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EF7896">
        <w:rPr>
          <w:rFonts w:cs="Arial"/>
          <w:b/>
          <w:i/>
          <w:sz w:val="22"/>
          <w:szCs w:val="22"/>
        </w:rPr>
        <w:t>1</w:t>
      </w:r>
      <w:r w:rsidR="005E4631">
        <w:rPr>
          <w:rFonts w:cs="Arial"/>
          <w:b/>
          <w:i/>
          <w:sz w:val="22"/>
          <w:szCs w:val="22"/>
        </w:rPr>
        <w:t>3</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E42538">
        <w:rPr>
          <w:rFonts w:cs="Arial"/>
          <w:sz w:val="24"/>
          <w:szCs w:val="24"/>
        </w:rPr>
        <w:t>**********</w:t>
      </w:r>
      <w:r w:rsidR="007A07CE">
        <w:rPr>
          <w:rFonts w:cs="Arial"/>
          <w:sz w:val="24"/>
          <w:szCs w:val="24"/>
        </w:rPr>
        <w:t xml:space="preserve"> **********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5E4631">
        <w:rPr>
          <w:rFonts w:ascii="Arial" w:hAnsi="Arial" w:cs="Arial"/>
          <w:b/>
          <w:sz w:val="24"/>
          <w:szCs w:val="24"/>
        </w:rPr>
        <w:t>2</w:t>
      </w:r>
      <w:r w:rsidR="009F2A82">
        <w:rPr>
          <w:rFonts w:ascii="Arial" w:hAnsi="Arial" w:cs="Arial"/>
          <w:b/>
          <w:sz w:val="24"/>
          <w:szCs w:val="24"/>
        </w:rPr>
        <w:t>3</w:t>
      </w:r>
      <w:r w:rsidR="000476EE">
        <w:rPr>
          <w:rFonts w:ascii="Arial" w:hAnsi="Arial" w:cs="Arial"/>
          <w:b/>
          <w:sz w:val="24"/>
          <w:szCs w:val="24"/>
        </w:rPr>
        <w:t xml:space="preserve"> VEINTI</w:t>
      </w:r>
      <w:r w:rsidR="009F2A82">
        <w:rPr>
          <w:rFonts w:ascii="Arial" w:hAnsi="Arial" w:cs="Arial"/>
          <w:b/>
          <w:sz w:val="24"/>
          <w:szCs w:val="24"/>
        </w:rPr>
        <w:t xml:space="preserve">TRÉS </w:t>
      </w:r>
      <w:r w:rsidR="000476EE">
        <w:rPr>
          <w:rFonts w:ascii="Arial" w:hAnsi="Arial" w:cs="Arial"/>
          <w:b/>
          <w:sz w:val="24"/>
          <w:szCs w:val="24"/>
        </w:rPr>
        <w:t>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F7896">
        <w:rPr>
          <w:rFonts w:ascii="Arial" w:hAnsi="Arial" w:cs="Arial"/>
          <w:b/>
          <w:sz w:val="24"/>
          <w:szCs w:val="24"/>
          <w:lang w:val="es-MX"/>
        </w:rPr>
        <w:t>11</w:t>
      </w:r>
      <w:r w:rsidR="005E4631">
        <w:rPr>
          <w:rFonts w:ascii="Arial" w:hAnsi="Arial" w:cs="Arial"/>
          <w:b/>
          <w:sz w:val="24"/>
          <w:szCs w:val="24"/>
          <w:lang w:val="es-MX"/>
        </w:rPr>
        <w:t>3</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42538">
        <w:rPr>
          <w:rFonts w:ascii="Arial" w:hAnsi="Arial" w:cs="Arial"/>
          <w:sz w:val="24"/>
          <w:szCs w:val="24"/>
        </w:rPr>
        <w:t>**********</w:t>
      </w:r>
      <w:r w:rsidR="007A07CE">
        <w:rPr>
          <w:rFonts w:ascii="Arial" w:hAnsi="Arial" w:cs="Arial"/>
          <w:sz w:val="24"/>
          <w:szCs w:val="24"/>
        </w:rPr>
        <w:t xml:space="preserve"> **********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935CC6"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1EA2772" wp14:editId="3EF83AEC">
                <wp:simplePos x="0" y="0"/>
                <wp:positionH relativeFrom="column">
                  <wp:posOffset>-1160780</wp:posOffset>
                </wp:positionH>
                <wp:positionV relativeFrom="paragraph">
                  <wp:posOffset>2326640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4pt;margin-top:183.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">
                <v:textbo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F7896">
        <w:rPr>
          <w:rFonts w:ascii="Arial" w:hAnsi="Arial" w:cs="Arial"/>
          <w:color w:val="000000"/>
          <w:sz w:val="24"/>
          <w:szCs w:val="24"/>
        </w:rPr>
        <w:t xml:space="preserve">23 veintitrés de </w:t>
      </w:r>
      <w:r w:rsidR="0042187B">
        <w:rPr>
          <w:rFonts w:ascii="Arial" w:hAnsi="Arial" w:cs="Arial"/>
          <w:color w:val="000000"/>
          <w:sz w:val="24"/>
          <w:szCs w:val="24"/>
        </w:rPr>
        <w:t>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42538">
        <w:rPr>
          <w:rFonts w:ascii="Arial" w:hAnsi="Arial" w:cs="Arial"/>
          <w:sz w:val="24"/>
          <w:szCs w:val="24"/>
        </w:rPr>
        <w:t>**********</w:t>
      </w:r>
      <w:r w:rsidR="007A07CE">
        <w:rPr>
          <w:rFonts w:ascii="Arial" w:hAnsi="Arial" w:cs="Arial"/>
          <w:sz w:val="24"/>
          <w:szCs w:val="24"/>
        </w:rPr>
        <w:t xml:space="preserve"> ********** **********</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EF7896">
        <w:rPr>
          <w:rFonts w:ascii="Arial" w:hAnsi="Arial" w:cs="Arial"/>
          <w:color w:val="000000"/>
          <w:sz w:val="24"/>
          <w:szCs w:val="24"/>
        </w:rPr>
        <w:t xml:space="preserve">relacionada  con la presentación de declaraciones del impuesto cedular a los ingresos por el otorgamiento del uso o goce temporal de bienes inmuebles con número de control </w:t>
      </w:r>
      <w:r w:rsidR="007A07CE">
        <w:rPr>
          <w:rFonts w:ascii="Arial" w:hAnsi="Arial" w:cs="Arial"/>
          <w:sz w:val="24"/>
          <w:szCs w:val="24"/>
        </w:rPr>
        <w:t>**********</w:t>
      </w:r>
      <w:r w:rsidR="00EF7896">
        <w:rPr>
          <w:rFonts w:ascii="Arial" w:hAnsi="Arial" w:cs="Arial"/>
          <w:color w:val="000000"/>
          <w:sz w:val="24"/>
          <w:szCs w:val="24"/>
        </w:rPr>
        <w:t xml:space="preserve"> de 17 diecisiete de agosto de </w:t>
      </w:r>
      <w:r w:rsidR="000F2596">
        <w:rPr>
          <w:rFonts w:ascii="Arial" w:hAnsi="Arial" w:cs="Arial"/>
          <w:color w:val="000000"/>
          <w:sz w:val="24"/>
          <w:szCs w:val="24"/>
        </w:rPr>
        <w:t>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EF7896"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formó cuaderno de suspensión, mismo que fue resuelto 16 dieciséis de enero del presente año. - - - -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EF7896">
        <w:rPr>
          <w:rFonts w:ascii="Arial" w:hAnsi="Arial" w:cs="Arial"/>
          <w:sz w:val="24"/>
          <w:szCs w:val="24"/>
        </w:rPr>
        <w:t xml:space="preserve">14 </w:t>
      </w:r>
      <w:r w:rsidR="002A0256">
        <w:rPr>
          <w:rFonts w:ascii="Arial" w:hAnsi="Arial" w:cs="Arial"/>
          <w:sz w:val="24"/>
          <w:szCs w:val="24"/>
        </w:rPr>
        <w:t xml:space="preserve">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66220A">
        <w:rPr>
          <w:rFonts w:ascii="Arial" w:hAnsi="Arial" w:cs="Arial"/>
          <w:sz w:val="24"/>
          <w:szCs w:val="24"/>
        </w:rPr>
        <w:lastRenderedPageBreak/>
        <w:t>Asimismo como lo establece el artículo 157 y 174 de la citada ley,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655A7">
        <w:rPr>
          <w:rFonts w:ascii="Arial" w:hAnsi="Arial" w:cs="Arial"/>
          <w:sz w:val="24"/>
          <w:szCs w:val="24"/>
          <w:lang w:val="es-MX"/>
        </w:rPr>
        <w:t>22 veintidós</w:t>
      </w:r>
      <w:r w:rsidR="000F2596">
        <w:rPr>
          <w:rFonts w:ascii="Arial" w:hAnsi="Arial" w:cs="Arial"/>
          <w:sz w:val="24"/>
          <w:szCs w:val="24"/>
          <w:lang w:val="es-MX"/>
        </w:rPr>
        <w:t xml:space="preserve"> 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Pr="000655A7" w:rsidRDefault="002A3764" w:rsidP="000655A7">
      <w:pPr>
        <w:spacing w:line="360" w:lineRule="auto"/>
        <w:ind w:right="-518" w:firstLine="567"/>
        <w:jc w:val="both"/>
        <w:rPr>
          <w:rFonts w:ascii="Arial" w:hAnsi="Arial" w:cs="Arial"/>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E42538">
        <w:rPr>
          <w:rFonts w:ascii="Arial" w:hAnsi="Arial" w:cs="Arial"/>
          <w:sz w:val="24"/>
          <w:szCs w:val="24"/>
        </w:rPr>
        <w:t>**********</w:t>
      </w:r>
      <w:r w:rsidR="007A07CE">
        <w:rPr>
          <w:rFonts w:ascii="Arial" w:hAnsi="Arial" w:cs="Arial"/>
          <w:sz w:val="24"/>
          <w:szCs w:val="24"/>
        </w:rPr>
        <w:t xml:space="preserve"> ********** **********</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27363E">
        <w:rPr>
          <w:rFonts w:ascii="Arial" w:hAnsi="Arial" w:cs="Arial"/>
          <w:sz w:val="24"/>
          <w:szCs w:val="24"/>
        </w:rPr>
        <w:t xml:space="preserve">- - - - - - - </w:t>
      </w:r>
    </w:p>
    <w:p w:rsidR="00136097" w:rsidRDefault="00136097" w:rsidP="002B7F87">
      <w:pPr>
        <w:spacing w:line="360" w:lineRule="auto"/>
        <w:ind w:right="-518" w:firstLine="567"/>
        <w:jc w:val="both"/>
        <w:rPr>
          <w:rFonts w:ascii="Arial" w:hAnsi="Arial" w:cs="Arial"/>
          <w:sz w:val="24"/>
          <w:szCs w:val="24"/>
        </w:rPr>
      </w:pPr>
    </w:p>
    <w:p w:rsidR="00F67B4C" w:rsidRDefault="00C108C5" w:rsidP="00F67B4C">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E42538">
        <w:rPr>
          <w:rFonts w:cs="Arial"/>
          <w:sz w:val="24"/>
          <w:szCs w:val="24"/>
        </w:rPr>
        <w:t>**********</w:t>
      </w:r>
      <w:r w:rsidR="007A07CE">
        <w:rPr>
          <w:rFonts w:cs="Arial"/>
          <w:sz w:val="24"/>
          <w:szCs w:val="24"/>
        </w:rPr>
        <w:t xml:space="preserve"> ********** **********</w:t>
      </w:r>
      <w:r w:rsidR="00F67B4C" w:rsidRPr="00D7799B">
        <w:rPr>
          <w:rFonts w:cs="Arial"/>
          <w:sz w:val="24"/>
          <w:szCs w:val="24"/>
        </w:rPr>
        <w:t xml:space="preserve">, </w:t>
      </w:r>
      <w:r w:rsidR="00F67B4C" w:rsidRPr="00D7799B">
        <w:rPr>
          <w:rFonts w:cs="Arial"/>
          <w:b w:val="0"/>
          <w:sz w:val="24"/>
          <w:szCs w:val="24"/>
        </w:rPr>
        <w:t>demandó la nulidad del documento en donde consta la multa por infracción establecida en el Código Fiscal para el Estado de Oaxaca, co</w:t>
      </w:r>
      <w:r w:rsidR="00F67B4C">
        <w:rPr>
          <w:rFonts w:cs="Arial"/>
          <w:b w:val="0"/>
          <w:sz w:val="24"/>
          <w:szCs w:val="24"/>
        </w:rPr>
        <w:t xml:space="preserve">n número de control </w:t>
      </w:r>
      <w:r w:rsidR="007A07CE">
        <w:rPr>
          <w:rFonts w:cs="Arial"/>
          <w:sz w:val="24"/>
          <w:szCs w:val="24"/>
        </w:rPr>
        <w:t>**********</w:t>
      </w:r>
      <w:r w:rsidR="00F67B4C" w:rsidRPr="00D7799B">
        <w:rPr>
          <w:rFonts w:cs="Arial"/>
          <w:b w:val="0"/>
          <w:sz w:val="24"/>
          <w:szCs w:val="24"/>
        </w:rPr>
        <w:t xml:space="preserve"> de </w:t>
      </w:r>
      <w:r w:rsidR="00F67B4C">
        <w:rPr>
          <w:rFonts w:cs="Arial"/>
          <w:b w:val="0"/>
          <w:sz w:val="24"/>
          <w:szCs w:val="24"/>
        </w:rPr>
        <w:t>17 diecisiete</w:t>
      </w:r>
      <w:r w:rsidR="00F67B4C" w:rsidRPr="00D7799B">
        <w:rPr>
          <w:rFonts w:cs="Arial"/>
          <w:b w:val="0"/>
          <w:sz w:val="24"/>
          <w:szCs w:val="24"/>
        </w:rPr>
        <w:t xml:space="preserve"> de agosto de 2017 dos mil diecisiete, emitido por la Directora de Ingresos y Recaudación de la Secretaría de Finanzas del Poder Ejecutivo del Estado de Oaxaca, al considerar que la resolución impugnada, </w:t>
      </w:r>
      <w:r w:rsidR="00F67B4C">
        <w:rPr>
          <w:rFonts w:cs="Arial"/>
          <w:b w:val="0"/>
          <w:sz w:val="24"/>
          <w:szCs w:val="24"/>
        </w:rPr>
        <w:t xml:space="preserve">no está debidamente fundada ni motivada, habida cuenta que la demandada se limitó a determinar e imponerle la multa, sustentando que dicha secretaría lo identificó como sujeto obligado en materia del Impuesto Cedular a los </w:t>
      </w:r>
      <w:r w:rsidR="00F67B4C">
        <w:rPr>
          <w:rFonts w:cs="Arial"/>
          <w:b w:val="0"/>
          <w:sz w:val="24"/>
          <w:szCs w:val="24"/>
        </w:rPr>
        <w:lastRenderedPageBreak/>
        <w:t>Ingresos por el Otorgamiento del Uso o Goce temporal de Bienes Inmuebles, y que no se advierte el dispositivo legal en que se previera que la autoridad tuviera facultades para imponerle sanciones, en base solo a un supuesta identificación del contribuyente. Y que no se advierten los elementos lógicos jurídicos en que la autoridad demandada sustentó para identificarlo como sujeto obligado al citado impuesto.</w:t>
      </w:r>
    </w:p>
    <w:p w:rsidR="00F67B4C" w:rsidRDefault="00F67B4C" w:rsidP="00F67B4C">
      <w:pPr>
        <w:pStyle w:val="corte3centro"/>
        <w:ind w:right="-518" w:firstLine="567"/>
        <w:jc w:val="both"/>
        <w:rPr>
          <w:rFonts w:cs="Arial"/>
          <w:b w:val="0"/>
          <w:sz w:val="24"/>
          <w:szCs w:val="24"/>
        </w:rPr>
      </w:pPr>
    </w:p>
    <w:p w:rsidR="00F67B4C" w:rsidRPr="00641A6B" w:rsidRDefault="00F67B4C" w:rsidP="00F67B4C">
      <w:pPr>
        <w:pStyle w:val="corte3centro"/>
        <w:ind w:right="-518" w:firstLine="567"/>
        <w:jc w:val="both"/>
        <w:rPr>
          <w:rFonts w:cs="Arial"/>
          <w:b w:val="0"/>
          <w:bCs/>
          <w:sz w:val="24"/>
          <w:szCs w:val="24"/>
        </w:rPr>
      </w:pPr>
      <w:r>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sí motivó la </w:t>
      </w:r>
      <w:r w:rsidRPr="00383F66">
        <w:rPr>
          <w:rFonts w:cs="Arial"/>
          <w:b w:val="0"/>
          <w:bCs/>
          <w:sz w:val="24"/>
          <w:szCs w:val="24"/>
          <w:lang w:val="es-ES"/>
        </w:rPr>
        <w:t>imposición de la multa establecida en el Código Fiscal para el Estado de Oaxaca, a la par de que fundó su actuar, conforme al artículo 6</w:t>
      </w:r>
      <w:r>
        <w:rPr>
          <w:rFonts w:cs="Arial"/>
          <w:b w:val="0"/>
          <w:bCs/>
          <w:sz w:val="24"/>
          <w:szCs w:val="24"/>
          <w:lang w:val="es-ES"/>
        </w:rPr>
        <w:t>1</w:t>
      </w:r>
      <w:r w:rsidRPr="00383F66">
        <w:rPr>
          <w:rFonts w:cs="Arial"/>
          <w:b w:val="0"/>
          <w:bCs/>
          <w:sz w:val="24"/>
          <w:szCs w:val="24"/>
          <w:lang w:val="es-ES"/>
        </w:rPr>
        <w:t xml:space="preserve"> </w:t>
      </w:r>
      <w:r>
        <w:rPr>
          <w:rFonts w:cs="Arial"/>
          <w:b w:val="0"/>
          <w:bCs/>
          <w:sz w:val="24"/>
          <w:szCs w:val="24"/>
          <w:lang w:val="es-ES"/>
        </w:rPr>
        <w:t xml:space="preserve">párrafos primero y tercero del </w:t>
      </w:r>
      <w:r w:rsidRPr="00383F66">
        <w:rPr>
          <w:rFonts w:cs="Arial"/>
          <w:b w:val="0"/>
          <w:bCs/>
          <w:sz w:val="24"/>
          <w:szCs w:val="24"/>
          <w:lang w:val="es-ES"/>
        </w:rPr>
        <w:t xml:space="preserve">Código Fiscal para el Estado de Oaxaca, </w:t>
      </w:r>
      <w:r>
        <w:rPr>
          <w:rFonts w:cs="Arial"/>
          <w:b w:val="0"/>
          <w:bCs/>
          <w:sz w:val="24"/>
          <w:szCs w:val="24"/>
          <w:lang w:val="es-ES"/>
        </w:rPr>
        <w:t>53 y 55 fracción I, II y III, 56 fracción III</w:t>
      </w:r>
      <w:r w:rsidRPr="00383F66">
        <w:rPr>
          <w:rFonts w:cs="Arial"/>
          <w:b w:val="0"/>
          <w:bCs/>
          <w:sz w:val="24"/>
          <w:szCs w:val="24"/>
          <w:lang w:val="es-ES"/>
        </w:rPr>
        <w:t xml:space="preserve"> del Reglamento del citado </w:t>
      </w:r>
      <w:r w:rsidRPr="00641A6B">
        <w:rPr>
          <w:rFonts w:cs="Arial"/>
          <w:b w:val="0"/>
          <w:bCs/>
          <w:sz w:val="24"/>
          <w:szCs w:val="24"/>
          <w:lang w:val="es-ES"/>
        </w:rPr>
        <w:t xml:space="preserve">código, los cuales señalan que los contribuyentes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F67B4C" w:rsidRDefault="00F67B4C" w:rsidP="00F67B4C">
      <w:pPr>
        <w:pStyle w:val="corte3centro"/>
        <w:ind w:right="-518" w:firstLine="567"/>
        <w:jc w:val="both"/>
        <w:rPr>
          <w:rFonts w:cs="Arial"/>
          <w:b w:val="0"/>
          <w:bCs/>
          <w:sz w:val="24"/>
          <w:szCs w:val="24"/>
          <w:lang w:val="es-ES"/>
        </w:rPr>
      </w:pPr>
    </w:p>
    <w:p w:rsidR="00F67B4C" w:rsidRPr="009C66B4" w:rsidRDefault="00935CC6" w:rsidP="00F67B4C">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5319EAD" wp14:editId="7BA122DE">
                <wp:simplePos x="0" y="0"/>
                <wp:positionH relativeFrom="column">
                  <wp:posOffset>-1103630</wp:posOffset>
                </wp:positionH>
                <wp:positionV relativeFrom="paragraph">
                  <wp:posOffset>1877060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6.9pt;margin-top:147.8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">
                <v:textbo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Pr>
          <w:rFonts w:cs="Arial"/>
          <w:b w:val="0"/>
          <w:sz w:val="24"/>
          <w:szCs w:val="24"/>
        </w:rPr>
        <w:t xml:space="preserve">Ahora bien, del análisis de la multa por infracción relacionada con la presentación de declaración del Impuesto Cedular a los Ingresos por el Otorgamiento del Uso o Goce Temporal de Bienes Inmuebles, con número de control </w:t>
      </w:r>
      <w:r w:rsidR="007A07CE">
        <w:rPr>
          <w:rFonts w:cs="Arial"/>
          <w:sz w:val="24"/>
          <w:szCs w:val="24"/>
        </w:rPr>
        <w:t>**********</w:t>
      </w:r>
      <w:r w:rsidR="00F67B4C">
        <w:rPr>
          <w:rFonts w:cs="Arial"/>
          <w:b w:val="0"/>
          <w:sz w:val="24"/>
          <w:szCs w:val="24"/>
        </w:rPr>
        <w:t xml:space="preserve"> de 17 diecisiete de agosto de 2017 dos mil diecisiete (foja </w:t>
      </w:r>
      <w:r w:rsidR="00B2464B">
        <w:rPr>
          <w:rFonts w:cs="Arial"/>
          <w:b w:val="0"/>
          <w:sz w:val="24"/>
          <w:szCs w:val="24"/>
        </w:rPr>
        <w:t>10</w:t>
      </w:r>
      <w:r w:rsidR="00F67B4C" w:rsidRPr="009C66B4">
        <w:rPr>
          <w:rFonts w:cs="Arial"/>
          <w:b w:val="0"/>
          <w:sz w:val="24"/>
          <w:szCs w:val="24"/>
        </w:rPr>
        <w:t xml:space="preserve">), </w:t>
      </w:r>
      <w:r w:rsidR="00F67B4C">
        <w:rPr>
          <w:rFonts w:cs="Arial"/>
          <w:b w:val="0"/>
          <w:sz w:val="24"/>
          <w:szCs w:val="24"/>
        </w:rPr>
        <w:t xml:space="preserve">documental, que hace prueba plena en términos de la fracción I del artículo 173 de la Ley de la Materia, por haber sido confeccionado por servidor público en ejercicio de sus funciones, </w:t>
      </w:r>
      <w:r w:rsidR="00F67B4C" w:rsidRPr="009C66B4">
        <w:rPr>
          <w:rFonts w:cs="Arial"/>
          <w:b w:val="0"/>
          <w:sz w:val="24"/>
          <w:szCs w:val="24"/>
        </w:rPr>
        <w:t xml:space="preserve">se advierte que la autoridad demandada en la parte que interesa </w:t>
      </w:r>
      <w:r w:rsidR="00F67B4C">
        <w:rPr>
          <w:rFonts w:cs="Arial"/>
          <w:b w:val="0"/>
          <w:sz w:val="24"/>
          <w:szCs w:val="24"/>
        </w:rPr>
        <w:t>dice:</w:t>
      </w:r>
    </w:p>
    <w:p w:rsidR="00F67B4C" w:rsidRPr="009C66B4" w:rsidRDefault="00F67B4C" w:rsidP="00F67B4C">
      <w:pPr>
        <w:pStyle w:val="corte3centro"/>
        <w:ind w:right="-518" w:firstLine="567"/>
        <w:jc w:val="both"/>
        <w:rPr>
          <w:rFonts w:cs="Arial"/>
          <w:b w:val="0"/>
          <w:sz w:val="24"/>
          <w:szCs w:val="24"/>
        </w:rPr>
      </w:pPr>
    </w:p>
    <w:p w:rsidR="00F67B4C" w:rsidRPr="00E92704" w:rsidRDefault="00F67B4C" w:rsidP="00F67B4C">
      <w:pPr>
        <w:pStyle w:val="corte3centro"/>
        <w:spacing w:line="276" w:lineRule="auto"/>
        <w:ind w:left="567" w:right="-518"/>
        <w:jc w:val="both"/>
        <w:rPr>
          <w:rFonts w:cs="Arial"/>
          <w:b w:val="0"/>
          <w:i/>
          <w:sz w:val="23"/>
          <w:szCs w:val="23"/>
        </w:rPr>
      </w:pPr>
      <w:r w:rsidRPr="00E92704">
        <w:rPr>
          <w:rFonts w:cs="Arial"/>
          <w:b w:val="0"/>
          <w:i/>
          <w:sz w:val="23"/>
          <w:szCs w:val="23"/>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F67B4C" w:rsidRPr="00E92704" w:rsidRDefault="00F67B4C" w:rsidP="00F67B4C">
      <w:pPr>
        <w:pStyle w:val="corte3centro"/>
        <w:spacing w:line="276" w:lineRule="auto"/>
        <w:ind w:left="567" w:right="-518"/>
        <w:jc w:val="both"/>
        <w:rPr>
          <w:rFonts w:cs="Arial"/>
          <w:b w:val="0"/>
          <w:i/>
          <w:sz w:val="23"/>
          <w:szCs w:val="23"/>
        </w:rPr>
      </w:pPr>
      <w:r w:rsidRPr="00E92704">
        <w:rPr>
          <w:rFonts w:cs="Arial"/>
          <w:b w:val="0"/>
          <w:i/>
          <w:sz w:val="23"/>
          <w:szCs w:val="23"/>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w:t>
      </w:r>
      <w:r w:rsidRPr="00E92704">
        <w:rPr>
          <w:rFonts w:cs="Arial"/>
          <w:b w:val="0"/>
          <w:i/>
          <w:sz w:val="23"/>
          <w:szCs w:val="23"/>
        </w:rPr>
        <w:lastRenderedPageBreak/>
        <w:t>declaración(es) bimestrales(es) definitiva(s) y enterar el Impuesto que nos ocupa, conforme a lo siguiente:</w:t>
      </w:r>
    </w:p>
    <w:p w:rsidR="00F67B4C" w:rsidRPr="00E92704" w:rsidRDefault="00F67B4C" w:rsidP="00F67B4C">
      <w:pPr>
        <w:pStyle w:val="corte3centro"/>
        <w:spacing w:line="276" w:lineRule="auto"/>
        <w:ind w:left="567" w:right="-518"/>
        <w:jc w:val="both"/>
        <w:rPr>
          <w:rFonts w:cs="Arial"/>
          <w:b w:val="0"/>
          <w:i/>
          <w:sz w:val="23"/>
          <w:szCs w:val="23"/>
        </w:rPr>
      </w:pPr>
    </w:p>
    <w:p w:rsidR="00F67B4C" w:rsidRPr="00E92704" w:rsidRDefault="00F67B4C" w:rsidP="00F67B4C">
      <w:pPr>
        <w:pStyle w:val="corte3centro"/>
        <w:spacing w:line="276" w:lineRule="auto"/>
        <w:ind w:right="-518" w:firstLine="567"/>
        <w:jc w:val="both"/>
        <w:rPr>
          <w:rFonts w:cs="Arial"/>
          <w:b w:val="0"/>
          <w:i/>
          <w:sz w:val="23"/>
          <w:szCs w:val="23"/>
        </w:rPr>
      </w:pPr>
      <w:r w:rsidRPr="00E92704">
        <w:rPr>
          <w:rFonts w:cs="Arial"/>
          <w:b w:val="0"/>
          <w:i/>
          <w:sz w:val="23"/>
          <w:szCs w:val="23"/>
        </w:rPr>
        <w:t>…</w:t>
      </w:r>
    </w:p>
    <w:p w:rsidR="00F67B4C" w:rsidRPr="00E92704" w:rsidRDefault="00F67B4C" w:rsidP="00F67B4C">
      <w:pPr>
        <w:pStyle w:val="corte3centro"/>
        <w:ind w:right="-518" w:firstLine="567"/>
        <w:jc w:val="both"/>
        <w:rPr>
          <w:rFonts w:cs="Arial"/>
          <w:sz w:val="23"/>
          <w:szCs w:val="23"/>
        </w:rPr>
      </w:pPr>
    </w:p>
    <w:p w:rsidR="00F67B4C" w:rsidRPr="00E92704" w:rsidRDefault="00F67B4C" w:rsidP="00F67B4C">
      <w:pPr>
        <w:pStyle w:val="corte3centro"/>
        <w:ind w:left="567" w:right="-518"/>
        <w:jc w:val="both"/>
        <w:rPr>
          <w:rFonts w:cs="Arial"/>
          <w:b w:val="0"/>
          <w:i/>
          <w:sz w:val="23"/>
          <w:szCs w:val="23"/>
        </w:rPr>
      </w:pPr>
      <w:r w:rsidRPr="00E92704">
        <w:rPr>
          <w:rFonts w:cs="Arial"/>
          <w:b w:val="0"/>
          <w:i/>
          <w:sz w:val="23"/>
          <w:szCs w:val="23"/>
        </w:rPr>
        <w:t>Considerando que con fecha 1</w:t>
      </w:r>
      <w:r w:rsidR="00B2464B">
        <w:rPr>
          <w:rFonts w:cs="Arial"/>
          <w:b w:val="0"/>
          <w:i/>
          <w:sz w:val="23"/>
          <w:szCs w:val="23"/>
        </w:rPr>
        <w:t>7</w:t>
      </w:r>
      <w:r w:rsidRPr="00E92704">
        <w:rPr>
          <w:rFonts w:cs="Arial"/>
          <w:b w:val="0"/>
          <w:i/>
          <w:sz w:val="23"/>
          <w:szCs w:val="23"/>
        </w:rPr>
        <w:t xml:space="preserve"> de </w:t>
      </w:r>
      <w:r w:rsidR="00B2464B">
        <w:rPr>
          <w:rFonts w:cs="Arial"/>
          <w:b w:val="0"/>
          <w:i/>
          <w:sz w:val="23"/>
          <w:szCs w:val="23"/>
        </w:rPr>
        <w:t xml:space="preserve">Marzo </w:t>
      </w:r>
      <w:r w:rsidRPr="00E92704">
        <w:rPr>
          <w:rFonts w:cs="Arial"/>
          <w:b w:val="0"/>
          <w:i/>
          <w:sz w:val="23"/>
          <w:szCs w:val="23"/>
        </w:rPr>
        <w:t>de 20</w:t>
      </w:r>
      <w:r w:rsidR="00B2464B">
        <w:rPr>
          <w:rFonts w:cs="Arial"/>
          <w:b w:val="0"/>
          <w:i/>
          <w:sz w:val="23"/>
          <w:szCs w:val="23"/>
        </w:rPr>
        <w:t>06</w:t>
      </w:r>
      <w:r w:rsidRPr="00E92704">
        <w:rPr>
          <w:rFonts w:cs="Arial"/>
          <w:b w:val="0"/>
          <w:i/>
          <w:sz w:val="23"/>
          <w:szCs w:val="23"/>
        </w:rPr>
        <w:t>,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F67B4C" w:rsidRPr="00E15A76" w:rsidRDefault="00F67B4C" w:rsidP="00F67B4C">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F67B4C" w:rsidRPr="00E15A76" w:rsidTr="0018258E">
        <w:tc>
          <w:tcPr>
            <w:tcW w:w="2660" w:type="dxa"/>
          </w:tcPr>
          <w:p w:rsidR="00F67B4C" w:rsidRPr="00E15A76" w:rsidRDefault="00F67B4C" w:rsidP="0018258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F67B4C" w:rsidRPr="00E15A76" w:rsidRDefault="00F67B4C" w:rsidP="0018258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F67B4C" w:rsidRPr="00E15A76" w:rsidRDefault="00F67B4C" w:rsidP="0018258E">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F67B4C" w:rsidRPr="00E15A76" w:rsidRDefault="00F67B4C" w:rsidP="0018258E">
            <w:pPr>
              <w:pStyle w:val="corte3centro"/>
              <w:tabs>
                <w:tab w:val="left" w:pos="4578"/>
              </w:tabs>
              <w:ind w:right="-518"/>
              <w:jc w:val="both"/>
              <w:rPr>
                <w:rFonts w:cs="Arial"/>
                <w:i/>
                <w:sz w:val="16"/>
                <w:szCs w:val="16"/>
              </w:rPr>
            </w:pPr>
            <w:r w:rsidRPr="00E15A76">
              <w:rPr>
                <w:rFonts w:cs="Arial"/>
                <w:i/>
                <w:sz w:val="16"/>
                <w:szCs w:val="16"/>
              </w:rPr>
              <w:t>MULTA A PAGAR</w:t>
            </w:r>
          </w:p>
        </w:tc>
      </w:tr>
      <w:tr w:rsidR="00F67B4C" w:rsidRPr="004B335E" w:rsidTr="0018258E">
        <w:tc>
          <w:tcPr>
            <w:tcW w:w="2660"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F67B4C" w:rsidRPr="004B335E" w:rsidRDefault="00F67B4C" w:rsidP="0018258E">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F67B4C" w:rsidRPr="004B335E" w:rsidRDefault="00F67B4C" w:rsidP="00F67B4C">
      <w:pPr>
        <w:pStyle w:val="corte3centro"/>
        <w:ind w:right="-518" w:firstLine="567"/>
        <w:jc w:val="both"/>
        <w:rPr>
          <w:rFonts w:cs="Arial"/>
          <w:b w:val="0"/>
          <w:i/>
          <w:sz w:val="24"/>
          <w:szCs w:val="24"/>
        </w:rPr>
      </w:pPr>
    </w:p>
    <w:p w:rsidR="00F67B4C" w:rsidRPr="00EA332C" w:rsidRDefault="00F67B4C" w:rsidP="00F67B4C">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la multa por infracción establecida en el Código Fiscal para el Estado de Oaxaca, con número de control </w:t>
      </w:r>
      <w:r w:rsidR="007A07CE">
        <w:rPr>
          <w:rFonts w:cs="Arial"/>
          <w:sz w:val="24"/>
          <w:szCs w:val="24"/>
        </w:rPr>
        <w:t>**********</w:t>
      </w:r>
      <w:r>
        <w:rPr>
          <w:rFonts w:cs="Arial"/>
          <w:b w:val="0"/>
          <w:sz w:val="24"/>
          <w:szCs w:val="24"/>
        </w:rPr>
        <w:t xml:space="preserve"> de 17 diecisiete de agosto de 2017 dos mil diecisiete, señala como fundamento: “</w:t>
      </w:r>
      <w:r w:rsidRPr="00EA332C">
        <w:rPr>
          <w:rFonts w:cs="Arial"/>
          <w:b w:val="0"/>
          <w:i/>
          <w:sz w:val="24"/>
          <w:szCs w:val="24"/>
        </w:rPr>
        <w:t>Artículo 269 fracción I del Código Fiscal para el Estado de Oaxaca vigente”</w:t>
      </w:r>
      <w:r>
        <w:rPr>
          <w:rFonts w:cs="Arial"/>
          <w:b w:val="0"/>
          <w:i/>
          <w:sz w:val="24"/>
          <w:szCs w:val="24"/>
        </w:rPr>
        <w:t xml:space="preserve">  </w:t>
      </w:r>
      <w:r>
        <w:rPr>
          <w:rFonts w:cs="Arial"/>
          <w:b w:val="0"/>
          <w:sz w:val="24"/>
          <w:szCs w:val="24"/>
        </w:rPr>
        <w:t>así también, le informa que “</w:t>
      </w:r>
      <w:r>
        <w:rPr>
          <w:rFonts w:cs="Arial"/>
          <w:b w:val="0"/>
          <w:i/>
          <w:sz w:val="24"/>
          <w:szCs w:val="24"/>
        </w:rPr>
        <w:t>se realizó una revisión minuciosa en el Registro Estatal de Contribuyentes con que cuenta esta Secretaría; la cual contiene los registros contables en materia de declaraciones y pagos. . .que se le ha identificado como sujeto obligado en materia del impuesto de referencia”;</w:t>
      </w:r>
    </w:p>
    <w:p w:rsidR="00F67B4C" w:rsidRDefault="00F67B4C" w:rsidP="00F67B4C">
      <w:pPr>
        <w:pStyle w:val="corte3centro"/>
        <w:tabs>
          <w:tab w:val="left" w:pos="4578"/>
        </w:tabs>
        <w:ind w:right="-518"/>
        <w:jc w:val="both"/>
        <w:rPr>
          <w:rFonts w:cs="Arial"/>
          <w:b w:val="0"/>
          <w:sz w:val="24"/>
          <w:szCs w:val="24"/>
        </w:rPr>
      </w:pPr>
      <w:r>
        <w:rPr>
          <w:rFonts w:cs="Arial"/>
          <w:b w:val="0"/>
          <w:sz w:val="24"/>
          <w:szCs w:val="24"/>
        </w:rPr>
        <w:t>sin embargo, no señala en qué consiste el Impuesto Cedular a los Ingresos por el Otorgamiento del Uso o goce Temporal de Bienes Inmuebles. Tampoco señala cuáles son las actividades que realiza la actora, para considerarla como sujeto obligado al pago del citado impuesto, ya que si bien es cierto, que la autoridad demandada, hace del conocimiento a la actora que realizó una revisión minuciosa en el Registro Estatal de Contribuyentes con que cuenta la Secretaría, que contiene los registros contables en materia de declaraciones y pagos, también, es cierto, que en ningún momento indica, cuales son las actividades que el actor realiza para adecuarlo como sujeto obligado en materia de impuestos.</w:t>
      </w:r>
    </w:p>
    <w:p w:rsidR="00F67B4C" w:rsidRDefault="00F67B4C" w:rsidP="00F67B4C">
      <w:pPr>
        <w:pStyle w:val="corte3centro"/>
        <w:tabs>
          <w:tab w:val="left" w:pos="4578"/>
        </w:tabs>
        <w:ind w:right="-518"/>
        <w:jc w:val="both"/>
        <w:rPr>
          <w:rFonts w:cs="Arial"/>
          <w:b w:val="0"/>
          <w:sz w:val="24"/>
          <w:szCs w:val="24"/>
        </w:rPr>
      </w:pPr>
    </w:p>
    <w:p w:rsidR="00F67B4C" w:rsidRPr="00E87363" w:rsidRDefault="00F67B4C" w:rsidP="00F67B4C">
      <w:pPr>
        <w:pStyle w:val="corte3centro"/>
        <w:ind w:right="-518" w:firstLine="567"/>
        <w:jc w:val="both"/>
        <w:rPr>
          <w:rFonts w:cs="Arial"/>
          <w:b w:val="0"/>
          <w:color w:val="FF0000"/>
          <w:sz w:val="24"/>
          <w:szCs w:val="24"/>
        </w:rPr>
      </w:pPr>
      <w:r>
        <w:rPr>
          <w:rFonts w:cs="Arial"/>
          <w:b w:val="0"/>
          <w:sz w:val="24"/>
          <w:szCs w:val="24"/>
        </w:rPr>
        <w:lastRenderedPageBreak/>
        <w:t>Lo anterior,</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al emitir todo acto administrativo</w:t>
      </w:r>
      <w:r w:rsidRPr="00676CA6">
        <w:rPr>
          <w:rFonts w:cs="Arial"/>
          <w:b w:val="0"/>
          <w:sz w:val="24"/>
          <w:szCs w:val="24"/>
        </w:rPr>
        <w:t xml:space="preserve">, </w:t>
      </w:r>
      <w:r>
        <w:rPr>
          <w:rFonts w:cs="Arial"/>
          <w:b w:val="0"/>
          <w:sz w:val="24"/>
          <w:szCs w:val="24"/>
        </w:rPr>
        <w:t xml:space="preserve">ya que  con la sola manifestación de que el actor fue identificado como sujeto </w:t>
      </w:r>
      <w:r w:rsidRPr="00E15A76">
        <w:rPr>
          <w:rFonts w:cs="Arial"/>
          <w:b w:val="0"/>
          <w:sz w:val="24"/>
          <w:szCs w:val="24"/>
        </w:rPr>
        <w:t>obligado al pago del Impuesto Cedular a los Ingresos por el Otorgamiento del Uso o goce Temporal de Bienes Inmuebles, no hay argumento lógico-jurídico que obliguen a la actora a pagar el impuesto señalado, por lo que la deja en estado de indefensión. Es decir, que la autoridad demandada, tiene la carga de la prueba para demostrar que las actividades comerciales que realiza la actora,</w:t>
      </w:r>
      <w:r>
        <w:rPr>
          <w:rFonts w:cs="Arial"/>
          <w:b w:val="0"/>
          <w:sz w:val="24"/>
          <w:szCs w:val="24"/>
        </w:rPr>
        <w:t xml:space="preserve"> están sujetas al pago del I</w:t>
      </w:r>
      <w:r w:rsidRPr="00E15A76">
        <w:rPr>
          <w:rFonts w:cs="Arial"/>
          <w:b w:val="0"/>
          <w:sz w:val="24"/>
          <w:szCs w:val="24"/>
        </w:rPr>
        <w:t xml:space="preserve">mpuesto </w:t>
      </w:r>
      <w:r>
        <w:rPr>
          <w:rFonts w:cs="Arial"/>
          <w:b w:val="0"/>
          <w:sz w:val="24"/>
          <w:szCs w:val="24"/>
        </w:rPr>
        <w:t>Cedular a los Ingresos por el Otorgamiento del Uso o Goce Temporal de Bienes Inmuebles</w:t>
      </w:r>
      <w:r w:rsidRPr="00E87363">
        <w:rPr>
          <w:rFonts w:cs="Arial"/>
          <w:b w:val="0"/>
          <w:color w:val="FF0000"/>
          <w:sz w:val="24"/>
          <w:szCs w:val="24"/>
        </w:rPr>
        <w:t xml:space="preserve">. </w:t>
      </w:r>
    </w:p>
    <w:p w:rsidR="00F67B4C" w:rsidRPr="00E87363" w:rsidRDefault="00F67B4C" w:rsidP="00F67B4C">
      <w:pPr>
        <w:pStyle w:val="corte3centro"/>
        <w:ind w:right="-518" w:firstLine="567"/>
        <w:jc w:val="both"/>
        <w:rPr>
          <w:rFonts w:cs="Arial"/>
          <w:b w:val="0"/>
          <w:color w:val="FF0000"/>
          <w:sz w:val="24"/>
          <w:szCs w:val="24"/>
        </w:rPr>
      </w:pPr>
    </w:p>
    <w:p w:rsidR="00F67B4C" w:rsidRPr="003C0E2A" w:rsidRDefault="00935CC6" w:rsidP="00F67B4C">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4B4A0B4" wp14:editId="6085F194">
                <wp:simplePos x="0" y="0"/>
                <wp:positionH relativeFrom="column">
                  <wp:posOffset>-1189355</wp:posOffset>
                </wp:positionH>
                <wp:positionV relativeFrom="paragraph">
                  <wp:posOffset>4166235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3.65pt;margin-top:328.0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">
                <v:textbo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Pr>
          <w:rFonts w:cs="Arial"/>
          <w:b w:val="0"/>
          <w:sz w:val="24"/>
          <w:szCs w:val="24"/>
        </w:rPr>
        <w:t>Lo anterior</w:t>
      </w:r>
      <w:r w:rsidR="00F67B4C" w:rsidRPr="004C6F80">
        <w:rPr>
          <w:rFonts w:cs="Arial"/>
          <w:b w:val="0"/>
          <w:sz w:val="24"/>
          <w:szCs w:val="24"/>
        </w:rPr>
        <w:t xml:space="preserve"> </w:t>
      </w:r>
      <w:r w:rsidR="00F67B4C">
        <w:rPr>
          <w:rFonts w:cs="Arial"/>
          <w:b w:val="0"/>
          <w:sz w:val="24"/>
          <w:szCs w:val="24"/>
        </w:rPr>
        <w:t>permite afirmar que la</w:t>
      </w:r>
      <w:r w:rsidR="00F67B4C" w:rsidRPr="004C6F80">
        <w:rPr>
          <w:rFonts w:cs="Arial"/>
          <w:b w:val="0"/>
          <w:sz w:val="24"/>
          <w:szCs w:val="24"/>
        </w:rPr>
        <w:t xml:space="preserve"> autoridad enjuiciada</w:t>
      </w:r>
      <w:r w:rsidR="00F67B4C" w:rsidRPr="005271D4">
        <w:t xml:space="preserve"> </w:t>
      </w:r>
      <w:r w:rsidR="00F67B4C" w:rsidRPr="005271D4">
        <w:rPr>
          <w:rFonts w:cs="Arial"/>
          <w:b w:val="0"/>
          <w:sz w:val="24"/>
          <w:szCs w:val="24"/>
        </w:rPr>
        <w:t xml:space="preserve">incumplió con la obligación de </w:t>
      </w:r>
      <w:r w:rsidR="00F67B4C">
        <w:rPr>
          <w:rFonts w:cs="Arial"/>
          <w:b w:val="0"/>
          <w:sz w:val="24"/>
          <w:szCs w:val="24"/>
        </w:rPr>
        <w:t xml:space="preserve">la debida fundamentación y </w:t>
      </w:r>
      <w:r w:rsidR="00F67B4C" w:rsidRPr="005271D4">
        <w:rPr>
          <w:rFonts w:cs="Arial"/>
          <w:b w:val="0"/>
          <w:sz w:val="24"/>
          <w:szCs w:val="24"/>
        </w:rPr>
        <w:t xml:space="preserve">motivación, que todo </w:t>
      </w:r>
      <w:r w:rsidR="00F67B4C">
        <w:rPr>
          <w:rFonts w:cs="Arial"/>
          <w:b w:val="0"/>
          <w:sz w:val="24"/>
          <w:szCs w:val="24"/>
        </w:rPr>
        <w:t>acto de autoridad debe contener;</w:t>
      </w:r>
      <w:r w:rsidR="00F67B4C" w:rsidRPr="005271D4">
        <w:rPr>
          <w:rFonts w:cs="Arial"/>
          <w:b w:val="0"/>
          <w:sz w:val="24"/>
          <w:szCs w:val="24"/>
        </w:rPr>
        <w:t xml:space="preserve">  ya que si bien es cierto, que la autoridad </w:t>
      </w:r>
      <w:r w:rsidR="00F67B4C">
        <w:rPr>
          <w:rFonts w:cs="Arial"/>
          <w:b w:val="0"/>
          <w:sz w:val="24"/>
          <w:szCs w:val="24"/>
        </w:rPr>
        <w:t>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Cedular a los Ingresos por el Otorgamiento del Uso o goce Temporal de Bienes Inmuebles, sin mencionar,  en qué consiste el citado impuesto, ni cuáles son las actividades que realiza la actora para que esté obligada al pago del citado impuesto</w:t>
      </w:r>
      <w:r w:rsidR="00F67B4C">
        <w:rPr>
          <w:rFonts w:cs="Arial"/>
          <w:sz w:val="24"/>
          <w:szCs w:val="24"/>
        </w:rPr>
        <w:t>.</w:t>
      </w:r>
      <w:r w:rsidR="00F67B4C" w:rsidRPr="00F5368D">
        <w:rPr>
          <w:rFonts w:cs="Arial"/>
          <w:sz w:val="24"/>
          <w:szCs w:val="24"/>
        </w:rPr>
        <w:t xml:space="preserve"> </w:t>
      </w:r>
      <w:r w:rsidR="00F67B4C">
        <w:rPr>
          <w:rFonts w:cs="Arial"/>
          <w:b w:val="0"/>
          <w:sz w:val="24"/>
          <w:szCs w:val="24"/>
        </w:rPr>
        <w:t>P</w:t>
      </w:r>
      <w:r w:rsidR="00F67B4C" w:rsidRPr="00AE076A">
        <w:rPr>
          <w:rFonts w:cs="Arial"/>
          <w:b w:val="0"/>
          <w:sz w:val="24"/>
          <w:szCs w:val="24"/>
        </w:rPr>
        <w:t xml:space="preserve">or </w:t>
      </w:r>
      <w:r w:rsidR="00F67B4C" w:rsidRPr="00E1058C">
        <w:rPr>
          <w:rFonts w:cs="Arial"/>
          <w:b w:val="0"/>
          <w:sz w:val="24"/>
          <w:szCs w:val="24"/>
        </w:rPr>
        <w:t xml:space="preserve">ello, 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w:t>
      </w:r>
      <w:r w:rsidR="00F67B4C">
        <w:rPr>
          <w:rFonts w:cs="Arial"/>
          <w:b w:val="0"/>
          <w:sz w:val="24"/>
          <w:szCs w:val="24"/>
        </w:rPr>
        <w:t>la</w:t>
      </w:r>
      <w:r w:rsidR="00F67B4C" w:rsidRPr="00E1058C">
        <w:rPr>
          <w:rFonts w:cs="Arial"/>
          <w:b w:val="0"/>
          <w:sz w:val="24"/>
          <w:szCs w:val="24"/>
        </w:rPr>
        <w:t xml:space="preserve"> </w:t>
      </w:r>
      <w:r w:rsidR="00F67B4C" w:rsidRPr="00237F27">
        <w:rPr>
          <w:rFonts w:cs="Arial"/>
          <w:sz w:val="24"/>
          <w:szCs w:val="24"/>
        </w:rPr>
        <w:t>NULIDAD LISA Y LLANA</w:t>
      </w:r>
      <w:r w:rsidR="00F67B4C" w:rsidRPr="00E1058C">
        <w:rPr>
          <w:rFonts w:cs="Arial"/>
          <w:b w:val="0"/>
          <w:sz w:val="24"/>
          <w:szCs w:val="24"/>
        </w:rPr>
        <w:t xml:space="preserve"> </w:t>
      </w:r>
      <w:r w:rsidR="00F67B4C" w:rsidRPr="00E1058C">
        <w:rPr>
          <w:b w:val="0"/>
          <w:sz w:val="24"/>
          <w:szCs w:val="24"/>
        </w:rPr>
        <w:t xml:space="preserve">de la multa por infracción establecida en el Código Fiscal para el Estado de Oaxaca, con número de control </w:t>
      </w:r>
      <w:r w:rsidR="007A07CE">
        <w:rPr>
          <w:rFonts w:cs="Arial"/>
          <w:sz w:val="24"/>
          <w:szCs w:val="24"/>
        </w:rPr>
        <w:t>**********</w:t>
      </w:r>
      <w:r w:rsidR="00F67B4C" w:rsidRPr="00237F27">
        <w:rPr>
          <w:sz w:val="24"/>
          <w:szCs w:val="24"/>
        </w:rPr>
        <w:t xml:space="preserve"> de </w:t>
      </w:r>
      <w:r w:rsidR="00F67B4C">
        <w:rPr>
          <w:sz w:val="24"/>
          <w:szCs w:val="24"/>
        </w:rPr>
        <w:t xml:space="preserve">17 diecisiete </w:t>
      </w:r>
      <w:r w:rsidR="00F67B4C" w:rsidRPr="00237F27">
        <w:rPr>
          <w:sz w:val="24"/>
          <w:szCs w:val="24"/>
        </w:rPr>
        <w:t>de agosto de 2017 dos mil diecisiete</w:t>
      </w:r>
      <w:r w:rsidR="00F67B4C">
        <w:rPr>
          <w:sz w:val="24"/>
          <w:szCs w:val="24"/>
        </w:rPr>
        <w:t xml:space="preserve">, </w:t>
      </w:r>
      <w:r w:rsidR="00F67B4C">
        <w:rPr>
          <w:b w:val="0"/>
          <w:sz w:val="24"/>
          <w:szCs w:val="24"/>
        </w:rPr>
        <w:t>emitida por la Directora de Ingresos y Recaudación</w:t>
      </w:r>
      <w:r w:rsidR="00F67B4C" w:rsidRPr="003C0E2A">
        <w:rPr>
          <w:rFonts w:cs="Arial"/>
          <w:b w:val="0"/>
          <w:sz w:val="24"/>
          <w:szCs w:val="24"/>
        </w:rPr>
        <w:t xml:space="preserve"> </w:t>
      </w:r>
      <w:r w:rsidR="00F67B4C">
        <w:rPr>
          <w:b w:val="0"/>
          <w:sz w:val="24"/>
          <w:szCs w:val="24"/>
        </w:rPr>
        <w:t>de la Secretaría de Finanzas del Poder Ejecutivo del Estado.</w:t>
      </w:r>
    </w:p>
    <w:p w:rsidR="00F67B4C" w:rsidRPr="00E1058C" w:rsidRDefault="00F67B4C" w:rsidP="00F67B4C">
      <w:pPr>
        <w:pStyle w:val="corte3centro"/>
        <w:ind w:right="-518" w:firstLine="567"/>
        <w:jc w:val="both"/>
        <w:rPr>
          <w:b w:val="0"/>
          <w:sz w:val="24"/>
          <w:szCs w:val="24"/>
        </w:rPr>
      </w:pPr>
    </w:p>
    <w:p w:rsidR="00F67B4C" w:rsidRDefault="00F67B4C" w:rsidP="00F67B4C">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67B4C" w:rsidRDefault="00F67B4C" w:rsidP="00F67B4C">
      <w:pPr>
        <w:pStyle w:val="corte3centro"/>
        <w:ind w:right="-518" w:firstLine="567"/>
        <w:jc w:val="both"/>
        <w:rPr>
          <w:rFonts w:cs="Arial"/>
          <w:b w:val="0"/>
          <w:sz w:val="24"/>
          <w:szCs w:val="24"/>
        </w:rPr>
      </w:pPr>
    </w:p>
    <w:p w:rsidR="00F67B4C" w:rsidRPr="00F5368D" w:rsidRDefault="00F67B4C" w:rsidP="00B2464B">
      <w:pPr>
        <w:pStyle w:val="corte3centro"/>
        <w:spacing w:line="276" w:lineRule="auto"/>
        <w:ind w:left="567" w:right="-518"/>
        <w:jc w:val="both"/>
        <w:rPr>
          <w:rFonts w:cs="Arial"/>
          <w:b w:val="0"/>
          <w:sz w:val="24"/>
          <w:szCs w:val="24"/>
        </w:rPr>
      </w:pPr>
      <w:r w:rsidRPr="0040050A">
        <w:rPr>
          <w:rFonts w:cs="Arial"/>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F5368D">
        <w:rPr>
          <w:rFonts w:cs="Arial"/>
          <w:b w:val="0"/>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0050A">
        <w:rPr>
          <w:rFonts w:cs="Arial"/>
          <w:sz w:val="24"/>
          <w:szCs w:val="24"/>
        </w:rPr>
        <w:t xml:space="preserve"> </w:t>
      </w:r>
      <w:r w:rsidRPr="00F5368D">
        <w:rPr>
          <w:rFonts w:cs="Arial"/>
          <w:b w:val="0"/>
          <w:sz w:val="24"/>
          <w:szCs w:val="24"/>
        </w:rPr>
        <w:t>actor, y sólo en el evento de estimarlos infundados, se</w:t>
      </w:r>
      <w:r w:rsidRPr="0040050A">
        <w:rPr>
          <w:rFonts w:cs="Arial"/>
          <w:sz w:val="24"/>
          <w:szCs w:val="24"/>
        </w:rPr>
        <w:t xml:space="preserve"> </w:t>
      </w:r>
      <w:r w:rsidRPr="00F5368D">
        <w:rPr>
          <w:rFonts w:cs="Arial"/>
          <w:b w:val="0"/>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F67B4C" w:rsidRPr="0041504C" w:rsidRDefault="00F67B4C" w:rsidP="00F67B4C">
      <w:pPr>
        <w:spacing w:line="360" w:lineRule="auto"/>
        <w:ind w:right="-518" w:firstLine="708"/>
        <w:jc w:val="both"/>
        <w:rPr>
          <w:rFonts w:ascii="Arial" w:hAnsi="Arial" w:cs="Arial"/>
          <w:bCs/>
          <w:color w:val="000000"/>
          <w:sz w:val="24"/>
          <w:szCs w:val="24"/>
        </w:rPr>
      </w:pPr>
    </w:p>
    <w:p w:rsidR="00F67B4C" w:rsidRDefault="00B2464B" w:rsidP="001610A0">
      <w:pPr>
        <w:pStyle w:val="corte3centro"/>
        <w:ind w:right="-518" w:firstLine="567"/>
        <w:jc w:val="both"/>
        <w:rPr>
          <w:rFonts w:cs="Arial"/>
          <w:b w:val="0"/>
          <w:sz w:val="24"/>
          <w:szCs w:val="24"/>
        </w:rPr>
      </w:pPr>
      <w:r w:rsidRPr="00BD53C3">
        <w:rPr>
          <w:rFonts w:cs="Arial"/>
          <w:sz w:val="23"/>
          <w:szCs w:val="23"/>
        </w:rPr>
        <w:t xml:space="preserve">CUARTO. </w:t>
      </w:r>
      <w:r w:rsidRPr="00AC7CD1">
        <w:rPr>
          <w:rFonts w:cs="Arial"/>
          <w:b w:val="0"/>
          <w:sz w:val="24"/>
          <w:szCs w:val="24"/>
        </w:rPr>
        <w:t>Toda vez que la parte actora objetó dentro del plazo de cinco días hábi</w:t>
      </w:r>
      <w:r>
        <w:rPr>
          <w:rFonts w:cs="Arial"/>
          <w:b w:val="0"/>
          <w:sz w:val="24"/>
          <w:szCs w:val="24"/>
        </w:rPr>
        <w:t xml:space="preserve">les el </w:t>
      </w:r>
      <w:r w:rsidR="004A4B84">
        <w:rPr>
          <w:rFonts w:cs="Arial"/>
          <w:b w:val="0"/>
          <w:sz w:val="24"/>
          <w:szCs w:val="24"/>
        </w:rPr>
        <w:t>acuse de recibo de 5 cinco de septiembre de 2017 dos mil diecisiete</w:t>
      </w:r>
      <w:r>
        <w:rPr>
          <w:rFonts w:cs="Arial"/>
          <w:b w:val="0"/>
          <w:sz w:val="24"/>
          <w:szCs w:val="24"/>
        </w:rPr>
        <w:t>, ofrecida por la representante de la autoridad demandada, documental que se agregó a los autos mediante acuerdo de 14 catorce de diciembre del año pasado, objeción que hizo consistir en que</w:t>
      </w:r>
      <w:r w:rsidR="001610A0">
        <w:rPr>
          <w:rFonts w:cs="Arial"/>
          <w:b w:val="0"/>
          <w:sz w:val="24"/>
          <w:szCs w:val="24"/>
        </w:rPr>
        <w:t xml:space="preserve"> es ilegal la notificación que realizó al autoridad demandada, mediante correo; sin embargo, la parte actora no aportó pruebas con el que probara su objeción.</w:t>
      </w:r>
    </w:p>
    <w:p w:rsidR="001610A0" w:rsidRPr="0041504C" w:rsidRDefault="001610A0" w:rsidP="001610A0">
      <w:pPr>
        <w:pStyle w:val="corte3centro"/>
        <w:ind w:right="-518" w:firstLine="567"/>
        <w:jc w:val="both"/>
        <w:rPr>
          <w:rFonts w:cs="Arial"/>
          <w:bCs/>
          <w:color w:val="00000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p>
    <w:p w:rsidR="00110BE0" w:rsidRDefault="00110BE0" w:rsidP="00FF2453">
      <w:pPr>
        <w:pStyle w:val="corte3centro"/>
        <w:ind w:right="-518" w:firstLine="567"/>
        <w:jc w:val="both"/>
        <w:rPr>
          <w:rFonts w:cs="Arial"/>
          <w:bCs/>
          <w:color w:val="000000"/>
          <w:sz w:val="24"/>
          <w:szCs w:val="24"/>
        </w:rPr>
      </w:pPr>
    </w:p>
    <w:p w:rsidR="00423229" w:rsidRPr="003C0E2A" w:rsidRDefault="00DA082B" w:rsidP="00423229">
      <w:pPr>
        <w:pStyle w:val="corte3centro"/>
        <w:ind w:right="-518" w:firstLine="567"/>
        <w:jc w:val="both"/>
        <w:rPr>
          <w:rFonts w:cs="Arial"/>
          <w:b w:val="0"/>
          <w:sz w:val="24"/>
          <w:szCs w:val="24"/>
        </w:rPr>
      </w:pPr>
      <w:r w:rsidRPr="001610A0">
        <w:rPr>
          <w:rFonts w:cs="Arial"/>
          <w:bCs/>
          <w:color w:val="000000"/>
          <w:sz w:val="24"/>
          <w:szCs w:val="24"/>
        </w:rPr>
        <w:t>TERCERO.</w:t>
      </w:r>
      <w:r w:rsidR="001610A0" w:rsidRPr="001610A0">
        <w:rPr>
          <w:rFonts w:cs="Arial"/>
          <w:bCs/>
          <w:color w:val="000000"/>
          <w:sz w:val="24"/>
          <w:szCs w:val="24"/>
        </w:rPr>
        <w:t xml:space="preserve"> </w:t>
      </w:r>
      <w:r w:rsidR="00423229">
        <w:rPr>
          <w:rFonts w:cs="Arial"/>
          <w:b w:val="0"/>
          <w:sz w:val="24"/>
          <w:szCs w:val="24"/>
        </w:rPr>
        <w:t>Se d</w:t>
      </w:r>
      <w:r w:rsidR="00423229" w:rsidRPr="00E1058C">
        <w:rPr>
          <w:rFonts w:cs="Arial"/>
          <w:b w:val="0"/>
          <w:sz w:val="24"/>
          <w:szCs w:val="24"/>
        </w:rPr>
        <w:t xml:space="preserve">eclara </w:t>
      </w:r>
      <w:r w:rsidR="00423229">
        <w:rPr>
          <w:rFonts w:cs="Arial"/>
          <w:b w:val="0"/>
          <w:sz w:val="24"/>
          <w:szCs w:val="24"/>
        </w:rPr>
        <w:t>la</w:t>
      </w:r>
      <w:r w:rsidR="00423229" w:rsidRPr="00E1058C">
        <w:rPr>
          <w:rFonts w:cs="Arial"/>
          <w:b w:val="0"/>
          <w:sz w:val="24"/>
          <w:szCs w:val="24"/>
        </w:rPr>
        <w:t xml:space="preserve"> </w:t>
      </w:r>
      <w:r w:rsidR="00423229" w:rsidRPr="00237F27">
        <w:rPr>
          <w:rFonts w:cs="Arial"/>
          <w:sz w:val="24"/>
          <w:szCs w:val="24"/>
        </w:rPr>
        <w:t>NULIDAD LISA Y LLANA</w:t>
      </w:r>
      <w:r w:rsidR="00423229" w:rsidRPr="00E1058C">
        <w:rPr>
          <w:rFonts w:cs="Arial"/>
          <w:b w:val="0"/>
          <w:sz w:val="24"/>
          <w:szCs w:val="24"/>
        </w:rPr>
        <w:t xml:space="preserve"> </w:t>
      </w:r>
      <w:r w:rsidR="00423229" w:rsidRPr="00E1058C">
        <w:rPr>
          <w:b w:val="0"/>
          <w:sz w:val="24"/>
          <w:szCs w:val="24"/>
        </w:rPr>
        <w:t xml:space="preserve">de la multa por infracción establecida en el Código Fiscal para el Estado de Oaxaca, con número de control </w:t>
      </w:r>
      <w:r w:rsidR="007A07CE">
        <w:rPr>
          <w:rFonts w:cs="Arial"/>
          <w:sz w:val="24"/>
          <w:szCs w:val="24"/>
        </w:rPr>
        <w:t>**********</w:t>
      </w:r>
      <w:r w:rsidR="00423229" w:rsidRPr="00237F27">
        <w:rPr>
          <w:sz w:val="24"/>
          <w:szCs w:val="24"/>
        </w:rPr>
        <w:t xml:space="preserve"> de </w:t>
      </w:r>
      <w:r w:rsidR="00423229">
        <w:rPr>
          <w:sz w:val="24"/>
          <w:szCs w:val="24"/>
        </w:rPr>
        <w:t xml:space="preserve">17 diecisiete </w:t>
      </w:r>
      <w:r w:rsidR="00423229" w:rsidRPr="00237F27">
        <w:rPr>
          <w:sz w:val="24"/>
          <w:szCs w:val="24"/>
        </w:rPr>
        <w:t>de agosto de 2017 dos mil diecisiete</w:t>
      </w:r>
      <w:r w:rsidR="00423229">
        <w:rPr>
          <w:sz w:val="24"/>
          <w:szCs w:val="24"/>
        </w:rPr>
        <w:t xml:space="preserve">, </w:t>
      </w:r>
      <w:r w:rsidR="00423229">
        <w:rPr>
          <w:b w:val="0"/>
          <w:sz w:val="24"/>
          <w:szCs w:val="24"/>
        </w:rPr>
        <w:t>emitida por la Directora de Ingresos y Recaudación</w:t>
      </w:r>
      <w:r w:rsidR="00423229" w:rsidRPr="003C0E2A">
        <w:rPr>
          <w:rFonts w:cs="Arial"/>
          <w:b w:val="0"/>
          <w:sz w:val="24"/>
          <w:szCs w:val="24"/>
        </w:rPr>
        <w:t xml:space="preserve"> </w:t>
      </w:r>
      <w:r w:rsidR="00423229">
        <w:rPr>
          <w:b w:val="0"/>
          <w:sz w:val="24"/>
          <w:szCs w:val="24"/>
        </w:rPr>
        <w:t>de la Secretaría de Finanzas del Poder Ejecutivo del Estado. - - - - - - - - - - - - - - - - - - - - - - - - - - - - - - - - - - - - - - - - - - - - - -</w:t>
      </w:r>
    </w:p>
    <w:p w:rsidR="00423229" w:rsidRDefault="00423229" w:rsidP="001610A0">
      <w:pPr>
        <w:spacing w:line="360" w:lineRule="auto"/>
        <w:ind w:right="-518" w:firstLine="567"/>
        <w:jc w:val="both"/>
        <w:rPr>
          <w:rFonts w:ascii="Arial" w:hAnsi="Arial" w:cs="Arial"/>
          <w:bCs/>
          <w:color w:val="000000"/>
          <w:sz w:val="24"/>
          <w:szCs w:val="24"/>
        </w:rPr>
      </w:pPr>
    </w:p>
    <w:p w:rsidR="002F7F2D" w:rsidRPr="0041504C" w:rsidRDefault="00935CC6" w:rsidP="001610A0">
      <w:pPr>
        <w:spacing w:line="360" w:lineRule="auto"/>
        <w:ind w:right="-518" w:firstLine="567"/>
        <w:jc w:val="both"/>
        <w:rPr>
          <w:rFonts w:cs="Arial"/>
          <w:bCs/>
          <w:color w:val="000000"/>
          <w:sz w:val="24"/>
          <w:szCs w:val="24"/>
        </w:rPr>
      </w:pPr>
      <w:r>
        <w:rPr>
          <w:rFonts w:eastAsiaTheme="minorHAnsi"/>
          <w:noProof/>
          <w:sz w:val="24"/>
          <w:szCs w:val="24"/>
          <w:lang w:val="es-MX" w:eastAsia="es-MX"/>
        </w:rPr>
        <w:lastRenderedPageBreak/>
        <mc:AlternateContent>
          <mc:Choice Requires="wps">
            <w:drawing>
              <wp:anchor distT="0" distB="0" distL="114300" distR="114300" simplePos="0" relativeHeight="251665408" behindDoc="0" locked="0" layoutInCell="1" allowOverlap="1" wp14:anchorId="79DE47CC" wp14:editId="5F7551FF">
                <wp:simplePos x="0" y="0"/>
                <wp:positionH relativeFrom="column">
                  <wp:posOffset>-1103630</wp:posOffset>
                </wp:positionH>
                <wp:positionV relativeFrom="paragraph">
                  <wp:posOffset>1619250</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86.9pt;margin-top:127.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">
                <v:textbox>
                  <w:txbxContent>
                    <w:p w:rsidR="00935CC6" w:rsidRDefault="00935CC6" w:rsidP="00935CC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23229">
        <w:rPr>
          <w:rFonts w:ascii="Arial" w:hAnsi="Arial" w:cs="Arial"/>
          <w:b/>
          <w:bCs/>
          <w:color w:val="000000"/>
          <w:sz w:val="24"/>
          <w:szCs w:val="24"/>
        </w:rPr>
        <w:t xml:space="preserve">CUARTO. </w:t>
      </w:r>
      <w:r w:rsidR="001610A0" w:rsidRPr="001610A0">
        <w:rPr>
          <w:rFonts w:ascii="Arial" w:hAnsi="Arial" w:cs="Arial"/>
          <w:bCs/>
          <w:color w:val="000000"/>
          <w:sz w:val="24"/>
          <w:szCs w:val="24"/>
        </w:rPr>
        <w:t xml:space="preserve">Fue recibido el 22 veintidós de enero de 2018 dos mil dieciocho, en la Oficialía de Partes Común de este Tribunal, el escrito de la parte actora </w:t>
      </w:r>
      <w:r w:rsidR="00E42538">
        <w:rPr>
          <w:rFonts w:ascii="Arial" w:hAnsi="Arial" w:cs="Arial"/>
          <w:sz w:val="24"/>
          <w:szCs w:val="24"/>
        </w:rPr>
        <w:t>**********</w:t>
      </w:r>
      <w:r w:rsidR="007A07CE">
        <w:rPr>
          <w:rFonts w:ascii="Arial" w:hAnsi="Arial" w:cs="Arial"/>
          <w:bCs/>
          <w:color w:val="000000"/>
          <w:sz w:val="24"/>
          <w:szCs w:val="24"/>
        </w:rPr>
        <w:t xml:space="preserve"> </w:t>
      </w:r>
      <w:r w:rsidR="007A07CE">
        <w:rPr>
          <w:rFonts w:ascii="Arial" w:hAnsi="Arial" w:cs="Arial"/>
          <w:sz w:val="24"/>
          <w:szCs w:val="24"/>
        </w:rPr>
        <w:t>********** **********</w:t>
      </w:r>
      <w:r w:rsidR="001610A0" w:rsidRPr="001610A0">
        <w:rPr>
          <w:rFonts w:ascii="Arial" w:hAnsi="Arial" w:cs="Arial"/>
          <w:bCs/>
          <w:color w:val="000000"/>
          <w:sz w:val="24"/>
          <w:szCs w:val="24"/>
        </w:rPr>
        <w:t xml:space="preserve"> por medio del cual, se le tiene objetando la prueba documental consistente en el  acuse de recibo de fecha 5 de septiembre del 2017 dos mil diecisiete; esto en términos</w:t>
      </w:r>
      <w:r w:rsidR="001610A0">
        <w:rPr>
          <w:rFonts w:ascii="Arial" w:hAnsi="Arial" w:cs="Arial"/>
          <w:bCs/>
          <w:color w:val="000000"/>
          <w:sz w:val="24"/>
          <w:szCs w:val="24"/>
        </w:rPr>
        <w:t xml:space="preserve"> del artículo 163 de la Ley de Justicia Administrativa para el Estado de Oaxaca, medio de defensa que se resuelve en esta sentencia, lo anterior tomando en consideración que fue presentado el escrito en mención, después</w:t>
      </w:r>
      <w:bookmarkStart w:id="0" w:name="_GoBack"/>
      <w:bookmarkEnd w:id="0"/>
      <w:r w:rsidR="001610A0">
        <w:rPr>
          <w:rFonts w:ascii="Arial" w:hAnsi="Arial" w:cs="Arial"/>
          <w:bCs/>
          <w:color w:val="000000"/>
          <w:sz w:val="24"/>
          <w:szCs w:val="24"/>
        </w:rPr>
        <w:t xml:space="preserve"> de la audiencia final y dentro del plazo de los cinco días hábiles.-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QUIN</w:t>
      </w:r>
      <w:r w:rsidR="00930A36">
        <w:rPr>
          <w:rFonts w:ascii="Arial" w:hAnsi="Arial" w:cs="Arial"/>
          <w:b/>
          <w:bCs/>
          <w:color w:val="000000"/>
          <w:sz w:val="24"/>
          <w:szCs w:val="24"/>
        </w:rPr>
        <w:t>TO.</w:t>
      </w:r>
      <w:r>
        <w:rPr>
          <w:rFonts w:ascii="Arial" w:hAnsi="Arial" w:cs="Arial"/>
          <w:b/>
          <w:bCs/>
          <w:color w:val="000000"/>
          <w:sz w:val="24"/>
          <w:szCs w:val="24"/>
        </w:rPr>
        <w:t xml:space="preserve">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597" w:rsidRDefault="00D17597" w:rsidP="00DD5D31">
      <w:r>
        <w:separator/>
      </w:r>
    </w:p>
  </w:endnote>
  <w:endnote w:type="continuationSeparator" w:id="0">
    <w:p w:rsidR="00D17597" w:rsidRDefault="00D1759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597" w:rsidRDefault="00D17597" w:rsidP="00DD5D31">
      <w:r>
        <w:separator/>
      </w:r>
    </w:p>
  </w:footnote>
  <w:footnote w:type="continuationSeparator" w:id="0">
    <w:p w:rsidR="00D17597" w:rsidRDefault="00D1759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35CC6" w:rsidRPr="00935CC6">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CF41AB">
          <w:rPr>
            <w:rFonts w:ascii="Arial" w:hAnsi="Arial" w:cs="Arial"/>
            <w:sz w:val="18"/>
            <w:szCs w:val="18"/>
          </w:rPr>
          <w:t>1</w:t>
        </w:r>
        <w:r w:rsidR="00B2464B">
          <w:rPr>
            <w:rFonts w:ascii="Arial" w:hAnsi="Arial" w:cs="Arial"/>
            <w:sz w:val="18"/>
            <w:szCs w:val="18"/>
          </w:rPr>
          <w:t>3</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655A7"/>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0BE0"/>
    <w:rsid w:val="00111BF6"/>
    <w:rsid w:val="00116804"/>
    <w:rsid w:val="00125AB1"/>
    <w:rsid w:val="00136097"/>
    <w:rsid w:val="0014304F"/>
    <w:rsid w:val="00147F00"/>
    <w:rsid w:val="001512FD"/>
    <w:rsid w:val="00151F09"/>
    <w:rsid w:val="00155AF4"/>
    <w:rsid w:val="0016020F"/>
    <w:rsid w:val="00160A37"/>
    <w:rsid w:val="001610A0"/>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05CF"/>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D12"/>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FEF"/>
    <w:rsid w:val="005D7B7D"/>
    <w:rsid w:val="005E2BA2"/>
    <w:rsid w:val="005E4631"/>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07CE"/>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381D"/>
    <w:rsid w:val="008E7278"/>
    <w:rsid w:val="008F224B"/>
    <w:rsid w:val="00903A6D"/>
    <w:rsid w:val="00911B10"/>
    <w:rsid w:val="00914381"/>
    <w:rsid w:val="00915547"/>
    <w:rsid w:val="00927E72"/>
    <w:rsid w:val="00930A36"/>
    <w:rsid w:val="00932AE5"/>
    <w:rsid w:val="0093314E"/>
    <w:rsid w:val="009341E2"/>
    <w:rsid w:val="00934345"/>
    <w:rsid w:val="009344F2"/>
    <w:rsid w:val="00935CC6"/>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8AF"/>
    <w:rsid w:val="009C39E1"/>
    <w:rsid w:val="009D0C4F"/>
    <w:rsid w:val="009D2B84"/>
    <w:rsid w:val="009D30EC"/>
    <w:rsid w:val="009E1320"/>
    <w:rsid w:val="009E4E1D"/>
    <w:rsid w:val="009F0A4B"/>
    <w:rsid w:val="009F15F1"/>
    <w:rsid w:val="009F2A82"/>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29AD"/>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464B"/>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244F"/>
    <w:rsid w:val="00BE522C"/>
    <w:rsid w:val="00BE7CC3"/>
    <w:rsid w:val="00BF03C8"/>
    <w:rsid w:val="00BF0ACD"/>
    <w:rsid w:val="00BF456B"/>
    <w:rsid w:val="00BF4F3D"/>
    <w:rsid w:val="00C00F42"/>
    <w:rsid w:val="00C07F38"/>
    <w:rsid w:val="00C108C5"/>
    <w:rsid w:val="00C1103F"/>
    <w:rsid w:val="00C3280C"/>
    <w:rsid w:val="00C369C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17597"/>
    <w:rsid w:val="00D308B2"/>
    <w:rsid w:val="00D32288"/>
    <w:rsid w:val="00D32461"/>
    <w:rsid w:val="00D340EA"/>
    <w:rsid w:val="00D360D6"/>
    <w:rsid w:val="00D36783"/>
    <w:rsid w:val="00D441DB"/>
    <w:rsid w:val="00D45332"/>
    <w:rsid w:val="00D55B75"/>
    <w:rsid w:val="00D56A4D"/>
    <w:rsid w:val="00D62FD0"/>
    <w:rsid w:val="00D70C31"/>
    <w:rsid w:val="00D72554"/>
    <w:rsid w:val="00D7533B"/>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E74B1"/>
    <w:rsid w:val="00DF3640"/>
    <w:rsid w:val="00DF55E5"/>
    <w:rsid w:val="00E01353"/>
    <w:rsid w:val="00E0673A"/>
    <w:rsid w:val="00E0795E"/>
    <w:rsid w:val="00E1058C"/>
    <w:rsid w:val="00E1140D"/>
    <w:rsid w:val="00E14DAD"/>
    <w:rsid w:val="00E163C7"/>
    <w:rsid w:val="00E171EE"/>
    <w:rsid w:val="00E25CFB"/>
    <w:rsid w:val="00E3507B"/>
    <w:rsid w:val="00E42538"/>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BC4AA-5382-4A82-9EE0-5A16D2AE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Pages>
  <Words>2932</Words>
  <Characters>16127</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2018-02-26T18:16:00Z</cp:lastPrinted>
  <dcterms:created xsi:type="dcterms:W3CDTF">2018-02-02T19:40:00Z</dcterms:created>
  <dcterms:modified xsi:type="dcterms:W3CDTF">2018-12-11T16:07:00Z</dcterms:modified>
</cp:coreProperties>
</file>