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7BD" w:rsidRDefault="00A937BD" w:rsidP="00A937BD">
      <w:pPr>
        <w:pStyle w:val="Encabezado"/>
        <w:ind w:left="4248"/>
        <w:jc w:val="both"/>
        <w:rPr>
          <w:rFonts w:ascii="Arial" w:hAnsi="Arial" w:cs="Arial"/>
          <w:b/>
          <w:color w:val="000000" w:themeColor="text1"/>
        </w:rPr>
      </w:pPr>
      <w:bookmarkStart w:id="0" w:name="_GoBack"/>
      <w:bookmarkEnd w:id="0"/>
      <w:r w:rsidRPr="0068797D">
        <w:rPr>
          <w:rFonts w:ascii="Arial" w:hAnsi="Arial" w:cs="Arial"/>
          <w:b/>
          <w:color w:val="000000" w:themeColor="text1"/>
        </w:rPr>
        <w:t>SEXTA SALA UN</w:t>
      </w:r>
      <w:r>
        <w:rPr>
          <w:rFonts w:ascii="Arial" w:hAnsi="Arial" w:cs="Arial"/>
          <w:b/>
          <w:color w:val="000000" w:themeColor="text1"/>
        </w:rPr>
        <w:t xml:space="preserve">ITARIA DE PRIMERA INSTANCIA </w:t>
      </w:r>
      <w:r w:rsidRPr="0068797D">
        <w:rPr>
          <w:rFonts w:ascii="Arial" w:hAnsi="Arial" w:cs="Arial"/>
          <w:b/>
          <w:color w:val="000000" w:themeColor="text1"/>
        </w:rPr>
        <w:t xml:space="preserve">DEL TRIBUNAL DE </w:t>
      </w:r>
      <w:r>
        <w:rPr>
          <w:rFonts w:ascii="Arial" w:hAnsi="Arial" w:cs="Arial"/>
          <w:b/>
          <w:color w:val="000000" w:themeColor="text1"/>
        </w:rPr>
        <w:t xml:space="preserve">JUSTICIA ADMINISTRATIVA DEL ESTADO DE OAXACA. </w:t>
      </w:r>
    </w:p>
    <w:p w:rsidR="00A937BD" w:rsidRPr="0068797D" w:rsidRDefault="00A937BD" w:rsidP="00A937BD">
      <w:pPr>
        <w:pStyle w:val="Encabezado"/>
        <w:ind w:left="4248"/>
        <w:jc w:val="both"/>
        <w:rPr>
          <w:rFonts w:ascii="Arial" w:hAnsi="Arial" w:cs="Arial"/>
          <w:b/>
          <w:color w:val="000000" w:themeColor="text1"/>
        </w:rPr>
      </w:pPr>
    </w:p>
    <w:p w:rsidR="00A937BD" w:rsidRPr="0068797D" w:rsidRDefault="00A937BD" w:rsidP="00A937BD">
      <w:pPr>
        <w:pStyle w:val="Encabezado"/>
        <w:jc w:val="both"/>
        <w:rPr>
          <w:rFonts w:ascii="Arial" w:hAnsi="Arial" w:cs="Arial"/>
          <w:b/>
          <w:color w:val="000000" w:themeColor="text1"/>
        </w:rPr>
      </w:pPr>
      <w:r w:rsidRPr="0068797D">
        <w:rPr>
          <w:rFonts w:ascii="Arial" w:hAnsi="Arial" w:cs="Arial"/>
          <w:b/>
          <w:color w:val="000000" w:themeColor="text1"/>
        </w:rPr>
        <w:t xml:space="preserve">                                                                </w:t>
      </w:r>
      <w:r>
        <w:rPr>
          <w:rFonts w:ascii="Arial" w:hAnsi="Arial" w:cs="Arial"/>
          <w:b/>
          <w:color w:val="000000" w:themeColor="text1"/>
        </w:rPr>
        <w:t xml:space="preserve">      </w:t>
      </w:r>
      <w:r w:rsidRPr="0068797D">
        <w:rPr>
          <w:rFonts w:ascii="Arial" w:hAnsi="Arial" w:cs="Arial"/>
          <w:b/>
          <w:color w:val="000000" w:themeColor="text1"/>
        </w:rPr>
        <w:t xml:space="preserve">EXPEDIENTE: </w:t>
      </w:r>
      <w:r>
        <w:rPr>
          <w:rFonts w:ascii="Arial" w:hAnsi="Arial" w:cs="Arial"/>
          <w:b/>
          <w:color w:val="000000" w:themeColor="text1"/>
        </w:rPr>
        <w:t>0119/2018</w:t>
      </w:r>
    </w:p>
    <w:p w:rsidR="00A937BD" w:rsidRPr="0068797D" w:rsidRDefault="00A937BD" w:rsidP="00A937BD">
      <w:pPr>
        <w:pStyle w:val="Encabezado"/>
        <w:ind w:left="4248"/>
        <w:jc w:val="both"/>
        <w:rPr>
          <w:rFonts w:ascii="Arial" w:hAnsi="Arial" w:cs="Arial"/>
          <w:b/>
          <w:color w:val="000000" w:themeColor="text1"/>
        </w:rPr>
      </w:pPr>
      <w:r w:rsidRPr="0068797D">
        <w:rPr>
          <w:rFonts w:ascii="Arial" w:hAnsi="Arial" w:cs="Arial"/>
          <w:b/>
          <w:color w:val="000000" w:themeColor="text1"/>
        </w:rPr>
        <w:t xml:space="preserve">                                                                           </w:t>
      </w:r>
      <w:r>
        <w:rPr>
          <w:rFonts w:ascii="Arial" w:hAnsi="Arial" w:cs="Arial"/>
          <w:b/>
          <w:color w:val="000000" w:themeColor="text1"/>
        </w:rPr>
        <w:t xml:space="preserve">   PARTE ACTORA: ***** ***** *****.</w:t>
      </w:r>
    </w:p>
    <w:p w:rsidR="00A937BD" w:rsidRPr="0068797D" w:rsidRDefault="00A937BD" w:rsidP="00A937BD">
      <w:pPr>
        <w:pStyle w:val="Encabezado"/>
        <w:ind w:left="4248"/>
        <w:jc w:val="both"/>
        <w:rPr>
          <w:rFonts w:ascii="Arial" w:hAnsi="Arial" w:cs="Arial"/>
          <w:b/>
          <w:color w:val="000000" w:themeColor="text1"/>
        </w:rPr>
      </w:pPr>
    </w:p>
    <w:p w:rsidR="00A937BD" w:rsidRPr="0068797D" w:rsidRDefault="00A937BD" w:rsidP="00A937BD">
      <w:pPr>
        <w:pStyle w:val="Encabezado"/>
        <w:ind w:left="4248"/>
        <w:jc w:val="both"/>
        <w:rPr>
          <w:rFonts w:ascii="Arial" w:hAnsi="Arial" w:cs="Arial"/>
          <w:b/>
          <w:color w:val="000000" w:themeColor="text1"/>
        </w:rPr>
      </w:pPr>
      <w:r w:rsidRPr="0068797D">
        <w:rPr>
          <w:rFonts w:ascii="Arial" w:hAnsi="Arial" w:cs="Arial"/>
          <w:b/>
          <w:color w:val="000000" w:themeColor="text1"/>
        </w:rPr>
        <w:t>DEMANDADA: DIRECTOR GENERAL DE</w:t>
      </w:r>
      <w:r>
        <w:rPr>
          <w:rFonts w:ascii="Arial" w:hAnsi="Arial" w:cs="Arial"/>
          <w:b/>
          <w:color w:val="000000" w:themeColor="text1"/>
        </w:rPr>
        <w:t xml:space="preserve"> LA</w:t>
      </w:r>
      <w:r w:rsidRPr="0068797D">
        <w:rPr>
          <w:rFonts w:ascii="Arial" w:hAnsi="Arial" w:cs="Arial"/>
          <w:b/>
          <w:color w:val="000000" w:themeColor="text1"/>
        </w:rPr>
        <w:t xml:space="preserve"> OFICINA DE PENSIONES DEL GOBIERNO DEL ESTADO</w:t>
      </w:r>
      <w:r>
        <w:rPr>
          <w:rFonts w:ascii="Arial" w:hAnsi="Arial" w:cs="Arial"/>
          <w:b/>
          <w:color w:val="000000" w:themeColor="text1"/>
        </w:rPr>
        <w:t xml:space="preserve"> DE OAXACA</w:t>
      </w:r>
      <w:r w:rsidRPr="0068797D">
        <w:rPr>
          <w:rFonts w:ascii="Arial" w:hAnsi="Arial" w:cs="Arial"/>
          <w:b/>
          <w:color w:val="000000" w:themeColor="text1"/>
        </w:rPr>
        <w:t xml:space="preserve">. </w:t>
      </w:r>
    </w:p>
    <w:p w:rsidR="00A937BD" w:rsidRPr="0068797D" w:rsidRDefault="00A937BD" w:rsidP="00A937BD">
      <w:pPr>
        <w:rPr>
          <w:rFonts w:ascii="Arial" w:hAnsi="Arial" w:cs="Arial"/>
          <w:b/>
          <w:color w:val="000000" w:themeColor="text1"/>
        </w:rPr>
      </w:pPr>
    </w:p>
    <w:p w:rsidR="00A937BD" w:rsidRPr="0068797D" w:rsidRDefault="00A937BD" w:rsidP="00A937BD">
      <w:pPr>
        <w:spacing w:line="240" w:lineRule="auto"/>
        <w:jc w:val="both"/>
        <w:rPr>
          <w:rFonts w:ascii="Arial" w:hAnsi="Arial" w:cs="Arial"/>
          <w:b/>
          <w:color w:val="000000" w:themeColor="text1"/>
        </w:rPr>
      </w:pPr>
      <w:r>
        <w:rPr>
          <w:rFonts w:ascii="Arial" w:hAnsi="Arial" w:cs="Arial"/>
          <w:b/>
          <w:color w:val="000000" w:themeColor="text1"/>
        </w:rPr>
        <w:t xml:space="preserve">OAXACA DE JUÁREZ, OAXACA A SIETE DE MAYO DE DOS MIL DIECINUEVE. </w:t>
      </w:r>
      <w:r w:rsidRPr="0068797D">
        <w:rPr>
          <w:rFonts w:ascii="Arial" w:hAnsi="Arial" w:cs="Arial"/>
          <w:b/>
          <w:color w:val="000000" w:themeColor="text1"/>
        </w:rPr>
        <w:t xml:space="preserve">- - - - </w:t>
      </w:r>
      <w:r>
        <w:rPr>
          <w:rFonts w:ascii="Arial" w:hAnsi="Arial" w:cs="Arial"/>
          <w:b/>
          <w:color w:val="000000" w:themeColor="text1"/>
        </w:rPr>
        <w:t xml:space="preserve">-  </w:t>
      </w:r>
    </w:p>
    <w:p w:rsidR="00A937BD" w:rsidRPr="0068797D" w:rsidRDefault="00A937BD" w:rsidP="00A937BD">
      <w:pPr>
        <w:spacing w:line="240" w:lineRule="auto"/>
        <w:ind w:firstLine="567"/>
        <w:jc w:val="both"/>
        <w:rPr>
          <w:rFonts w:ascii="Arial" w:hAnsi="Arial" w:cs="Arial"/>
          <w:b/>
        </w:rPr>
      </w:pPr>
      <w:r w:rsidRPr="0068797D">
        <w:rPr>
          <w:rFonts w:ascii="Arial" w:hAnsi="Arial" w:cs="Arial"/>
          <w:b/>
        </w:rPr>
        <w:t xml:space="preserve">VISTOS </w:t>
      </w:r>
      <w:r w:rsidRPr="0068797D">
        <w:rPr>
          <w:rFonts w:ascii="Arial" w:hAnsi="Arial" w:cs="Arial"/>
        </w:rPr>
        <w:t xml:space="preserve"> para resolver los autos del juicio de nulidad  de número </w:t>
      </w:r>
      <w:r w:rsidRPr="0068797D">
        <w:rPr>
          <w:rFonts w:ascii="Arial" w:hAnsi="Arial" w:cs="Arial"/>
          <w:b/>
        </w:rPr>
        <w:t>0</w:t>
      </w:r>
      <w:r>
        <w:rPr>
          <w:rFonts w:ascii="Arial" w:hAnsi="Arial" w:cs="Arial"/>
          <w:b/>
        </w:rPr>
        <w:t>119</w:t>
      </w:r>
      <w:r w:rsidRPr="0068797D">
        <w:rPr>
          <w:rFonts w:ascii="Arial" w:hAnsi="Arial" w:cs="Arial"/>
          <w:b/>
        </w:rPr>
        <w:t>/201</w:t>
      </w:r>
      <w:r>
        <w:rPr>
          <w:rFonts w:ascii="Arial" w:hAnsi="Arial" w:cs="Arial"/>
          <w:b/>
        </w:rPr>
        <w:t>8</w:t>
      </w:r>
      <w:r w:rsidRPr="0068797D">
        <w:rPr>
          <w:rFonts w:ascii="Arial" w:hAnsi="Arial" w:cs="Arial"/>
        </w:rPr>
        <w:t xml:space="preserve"> promovido por</w:t>
      </w:r>
      <w:r>
        <w:rPr>
          <w:rFonts w:ascii="Arial" w:hAnsi="Arial" w:cs="Arial"/>
          <w:b/>
        </w:rPr>
        <w:t xml:space="preserve"> </w:t>
      </w:r>
      <w:r>
        <w:rPr>
          <w:rFonts w:ascii="Arial" w:hAnsi="Arial" w:cs="Arial"/>
          <w:b/>
          <w:color w:val="000000" w:themeColor="text1"/>
        </w:rPr>
        <w:t>***** ***** *****</w:t>
      </w:r>
      <w:r w:rsidRPr="0068797D">
        <w:rPr>
          <w:rFonts w:ascii="Arial" w:hAnsi="Arial" w:cs="Arial"/>
        </w:rPr>
        <w:t xml:space="preserve">en contra </w:t>
      </w:r>
      <w:r w:rsidRPr="0068797D">
        <w:rPr>
          <w:rFonts w:ascii="Arial" w:hAnsi="Arial" w:cs="Arial"/>
          <w:b/>
        </w:rPr>
        <w:t xml:space="preserve">DEL DIRECTOR GENERAL DE LA OFICINA DE PENSIONES DEL GOBIERNO DEL ESTADO DE OAXACA. - - - - - - - - </w:t>
      </w:r>
    </w:p>
    <w:p w:rsidR="00A937BD" w:rsidRPr="008379A3" w:rsidRDefault="00A937BD" w:rsidP="00A937BD">
      <w:pPr>
        <w:spacing w:after="0"/>
        <w:jc w:val="center"/>
        <w:rPr>
          <w:rFonts w:ascii="Arial" w:hAnsi="Arial" w:cs="Arial"/>
          <w:b/>
        </w:rPr>
      </w:pPr>
      <w:r w:rsidRPr="008379A3">
        <w:rPr>
          <w:rFonts w:ascii="Arial" w:hAnsi="Arial" w:cs="Arial"/>
          <w:b/>
        </w:rPr>
        <w:t>R E S U L T A N D O:</w:t>
      </w:r>
    </w:p>
    <w:p w:rsidR="00A937BD" w:rsidRPr="008379A3" w:rsidRDefault="00A937BD" w:rsidP="00A937BD">
      <w:pPr>
        <w:spacing w:after="0"/>
        <w:rPr>
          <w:rFonts w:ascii="Arial" w:hAnsi="Arial" w:cs="Arial"/>
          <w:b/>
        </w:rPr>
      </w:pPr>
    </w:p>
    <w:p w:rsidR="00A937BD" w:rsidRPr="004D5F24" w:rsidRDefault="00A937BD" w:rsidP="00A937BD">
      <w:pPr>
        <w:spacing w:after="0"/>
        <w:ind w:firstLine="567"/>
        <w:jc w:val="both"/>
        <w:rPr>
          <w:rFonts w:ascii="Arial" w:hAnsi="Arial" w:cs="Arial"/>
        </w:rPr>
      </w:pPr>
      <w:r>
        <w:rPr>
          <w:rFonts w:ascii="Arial" w:hAnsi="Arial" w:cs="Arial"/>
          <w:b/>
        </w:rPr>
        <w:t xml:space="preserve">1º. </w:t>
      </w:r>
      <w:r>
        <w:rPr>
          <w:rFonts w:ascii="Arial" w:hAnsi="Arial" w:cs="Arial"/>
        </w:rPr>
        <w:t>Por escrito recibido el veintinueve de noviembre de dos mil dieciocho, en Oficialía de Partes Común del Tribunal de Justicia Administrativa del Estado de Oaxaca</w:t>
      </w:r>
      <w:r w:rsidRPr="008379A3">
        <w:rPr>
          <w:rFonts w:ascii="Arial" w:hAnsi="Arial" w:cs="Arial"/>
        </w:rPr>
        <w:t xml:space="preserve">, </w:t>
      </w:r>
      <w:r>
        <w:rPr>
          <w:rFonts w:ascii="Arial" w:hAnsi="Arial" w:cs="Arial"/>
          <w:b/>
          <w:color w:val="000000" w:themeColor="text1"/>
        </w:rPr>
        <w:t>***** ***** *****</w:t>
      </w:r>
      <w:r>
        <w:rPr>
          <w:rFonts w:ascii="Arial" w:hAnsi="Arial" w:cs="Arial"/>
        </w:rPr>
        <w:t>,</w:t>
      </w:r>
      <w:r w:rsidRPr="008379A3">
        <w:rPr>
          <w:rFonts w:ascii="Arial" w:hAnsi="Arial" w:cs="Arial"/>
        </w:rPr>
        <w:t xml:space="preserve"> </w:t>
      </w:r>
      <w:r w:rsidRPr="004105AF">
        <w:rPr>
          <w:rFonts w:ascii="Arial" w:hAnsi="Arial" w:cs="Arial"/>
        </w:rPr>
        <w:t xml:space="preserve">demandó la nulidad lisa y llana de la </w:t>
      </w:r>
      <w:r>
        <w:rPr>
          <w:rFonts w:ascii="Arial" w:hAnsi="Arial" w:cs="Arial"/>
        </w:rPr>
        <w:t xml:space="preserve">resolución administrativa contenida en el oficio </w:t>
      </w:r>
      <w:r>
        <w:rPr>
          <w:rFonts w:ascii="Arial" w:hAnsi="Arial" w:cs="Arial"/>
          <w:b/>
          <w:color w:val="000000" w:themeColor="text1"/>
        </w:rPr>
        <w:t xml:space="preserve">***** ***** </w:t>
      </w:r>
      <w:r>
        <w:rPr>
          <w:rFonts w:ascii="Arial" w:hAnsi="Arial" w:cs="Arial"/>
        </w:rPr>
        <w:t>de fecha seis de noviembre de dos mil dieciocho, señalando como autoridad demandada al Director General de la Oficina de Pensiones del Gobierno del Estado de Oaxaca. Por proveído de treinta de noviembre del dos mil dieciocho,</w:t>
      </w:r>
      <w:r w:rsidRPr="004105AF">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 la autoridad demandada Director General de la Oficina de Pensiones del Estado de Oaxaca;</w:t>
      </w:r>
      <w:r w:rsidRPr="008379A3">
        <w:rPr>
          <w:rFonts w:ascii="Arial" w:hAnsi="Arial" w:cs="Arial"/>
        </w:rPr>
        <w:t>ordenándose notificar, emplazar y co</w:t>
      </w:r>
      <w:r>
        <w:rPr>
          <w:rFonts w:ascii="Arial" w:hAnsi="Arial" w:cs="Arial"/>
        </w:rPr>
        <w:t xml:space="preserve">rrer traslado a la misma para efecto de que formulara su contestación de la demanda, apercibida que de no contestar los hechos planteados por el promovente, se le tendria contestando en sentido afirmativo salvo prueba en contrario. Admitiéndose a la parte actora las siguientes pruebas; </w:t>
      </w:r>
      <w:r>
        <w:rPr>
          <w:rFonts w:ascii="Arial" w:hAnsi="Arial" w:cs="Arial"/>
          <w:b/>
        </w:rPr>
        <w:t>1.</w:t>
      </w:r>
      <w:r>
        <w:rPr>
          <w:rFonts w:ascii="Arial" w:hAnsi="Arial" w:cs="Arial"/>
        </w:rPr>
        <w:t xml:space="preserve"> Oficio original </w:t>
      </w:r>
      <w:r>
        <w:rPr>
          <w:rFonts w:ascii="Arial" w:hAnsi="Arial" w:cs="Arial"/>
          <w:b/>
          <w:color w:val="000000" w:themeColor="text1"/>
        </w:rPr>
        <w:t>***** *****</w:t>
      </w:r>
      <w:r>
        <w:rPr>
          <w:rFonts w:ascii="Arial" w:hAnsi="Arial" w:cs="Arial"/>
        </w:rPr>
        <w:t xml:space="preserve"> de fecha seis de noviembre del dos mil dieciocho, suscrito por el Director General de la Oficina de Pensiones del Gobierno del Estado de Oaxaca, con sello original de recepción; </w:t>
      </w:r>
      <w:r>
        <w:rPr>
          <w:rFonts w:ascii="Arial" w:hAnsi="Arial" w:cs="Arial"/>
          <w:b/>
        </w:rPr>
        <w:t>2.</w:t>
      </w:r>
      <w:r>
        <w:rPr>
          <w:rFonts w:ascii="Arial" w:hAnsi="Arial" w:cs="Arial"/>
        </w:rPr>
        <w:t xml:space="preserve"> Original de la notificación de siete de noviembre de dos mil dieciocho, en la que se notificó el oficio </w:t>
      </w:r>
      <w:r>
        <w:rPr>
          <w:rFonts w:ascii="Arial" w:hAnsi="Arial" w:cs="Arial"/>
          <w:b/>
          <w:color w:val="000000" w:themeColor="text1"/>
        </w:rPr>
        <w:t>***** *****</w:t>
      </w:r>
      <w:r>
        <w:rPr>
          <w:rFonts w:ascii="Arial" w:hAnsi="Arial" w:cs="Arial"/>
        </w:rPr>
        <w:t xml:space="preserve">; </w:t>
      </w:r>
      <w:r>
        <w:rPr>
          <w:rFonts w:ascii="Arial" w:hAnsi="Arial" w:cs="Arial"/>
          <w:b/>
        </w:rPr>
        <w:t xml:space="preserve">3. </w:t>
      </w:r>
      <w:r>
        <w:rPr>
          <w:rFonts w:ascii="Arial" w:hAnsi="Arial" w:cs="Arial"/>
        </w:rPr>
        <w:t xml:space="preserve">Acuse de la solicitud de Devolución del Fondo de </w:t>
      </w:r>
      <w:r w:rsidRPr="004D5F24">
        <w:rPr>
          <w:rFonts w:ascii="Arial" w:hAnsi="Arial" w:cs="Arial"/>
        </w:rPr>
        <w:t xml:space="preserve">Pensiones de fecha veintidós de octubre de dos mil dieciocho dirigida al Director General de la Oficina de Pensiones; </w:t>
      </w:r>
      <w:r w:rsidRPr="004D5F24">
        <w:rPr>
          <w:rFonts w:ascii="Arial" w:hAnsi="Arial" w:cs="Arial"/>
          <w:b/>
        </w:rPr>
        <w:t>4.</w:t>
      </w:r>
      <w:r w:rsidRPr="004D5F24">
        <w:rPr>
          <w:rFonts w:ascii="Arial" w:hAnsi="Arial" w:cs="Arial"/>
        </w:rPr>
        <w:t xml:space="preserve"> Copia certificada por el Notario Público número 38 en el Estado de Oaxaca del oficio número </w:t>
      </w:r>
      <w:r>
        <w:rPr>
          <w:rFonts w:ascii="Arial" w:hAnsi="Arial" w:cs="Arial"/>
          <w:b/>
          <w:color w:val="000000" w:themeColor="text1"/>
        </w:rPr>
        <w:t xml:space="preserve">***** ***** </w:t>
      </w:r>
      <w:r w:rsidRPr="004D5F24">
        <w:rPr>
          <w:rFonts w:ascii="Arial" w:hAnsi="Arial" w:cs="Arial"/>
        </w:rPr>
        <w:t xml:space="preserve">de treinta de diciembre de dos mil quince, en el cual certifica que es una reproducción de su original qu consta del Dictamen de Pensión por Jubilación a nombre de la aquí actora; </w:t>
      </w:r>
      <w:r w:rsidRPr="004D5F24">
        <w:rPr>
          <w:rFonts w:ascii="Arial" w:hAnsi="Arial" w:cs="Arial"/>
          <w:b/>
        </w:rPr>
        <w:t xml:space="preserve">5. </w:t>
      </w:r>
      <w:r w:rsidRPr="004D5F24">
        <w:rPr>
          <w:rFonts w:ascii="Arial" w:hAnsi="Arial" w:cs="Arial"/>
        </w:rPr>
        <w:t xml:space="preserve">Copia certificada por el Notario Público número 38 en el Estado de Oaxaca, de la resolución de treinta de agosto del dos mil dieciocho dictada en el juicio de amparo 652/2018 promovido por la actora; </w:t>
      </w:r>
      <w:r w:rsidRPr="004D5F24">
        <w:rPr>
          <w:rFonts w:ascii="Arial" w:hAnsi="Arial" w:cs="Arial"/>
          <w:b/>
        </w:rPr>
        <w:t>6.</w:t>
      </w:r>
      <w:r w:rsidRPr="004D5F24">
        <w:rPr>
          <w:rFonts w:ascii="Arial" w:hAnsi="Arial" w:cs="Arial"/>
        </w:rPr>
        <w:t xml:space="preserve"> Copia simple de la credencial para votar expedida por el Instituto Nacional Electoral; </w:t>
      </w:r>
      <w:r w:rsidRPr="004D5F24">
        <w:rPr>
          <w:rFonts w:ascii="Arial" w:hAnsi="Arial" w:cs="Arial"/>
          <w:b/>
        </w:rPr>
        <w:t xml:space="preserve">7. </w:t>
      </w:r>
      <w:r w:rsidRPr="004D5F24">
        <w:rPr>
          <w:rFonts w:ascii="Arial" w:hAnsi="Arial" w:cs="Arial"/>
        </w:rPr>
        <w:t xml:space="preserve">Originales de recibos de pago de la pensión jubilatoria a nombre de la aquí actora, donde se aprecian los descuentos por concepto “202 FDO. D PENSIONES”; </w:t>
      </w:r>
      <w:r w:rsidRPr="004D5F24">
        <w:rPr>
          <w:rFonts w:ascii="Arial" w:hAnsi="Arial" w:cs="Arial"/>
          <w:b/>
        </w:rPr>
        <w:t>8.</w:t>
      </w:r>
      <w:r w:rsidRPr="004D5F24">
        <w:rPr>
          <w:rFonts w:ascii="Arial" w:hAnsi="Arial" w:cs="Arial"/>
        </w:rPr>
        <w:t xml:space="preserve"> La instrumental de actuaciones consistente en todo lo que le favorezca; </w:t>
      </w:r>
      <w:r w:rsidRPr="004D5F24">
        <w:rPr>
          <w:rFonts w:ascii="Arial" w:hAnsi="Arial" w:cs="Arial"/>
          <w:b/>
        </w:rPr>
        <w:t>9.</w:t>
      </w:r>
      <w:r w:rsidRPr="004D5F24">
        <w:rPr>
          <w:rFonts w:ascii="Arial" w:hAnsi="Arial" w:cs="Arial"/>
        </w:rPr>
        <w:t xml:space="preserve"> La presuncional legal y humana. Probanzas admitidas de conformidad con los artículos 188 y 189 de la Ley de Procedimiento y Justicia Administrativa para el Estado de Oaxaca. - - - - - - - - - - - - - - - - - </w:t>
      </w:r>
    </w:p>
    <w:p w:rsidR="00A937BD" w:rsidRPr="004D5F24" w:rsidRDefault="00A937BD" w:rsidP="00A937BD">
      <w:pPr>
        <w:spacing w:after="0"/>
        <w:ind w:firstLine="567"/>
        <w:jc w:val="both"/>
        <w:rPr>
          <w:rFonts w:ascii="Arial" w:hAnsi="Arial" w:cs="Arial"/>
        </w:rPr>
      </w:pPr>
    </w:p>
    <w:p w:rsidR="00A937BD" w:rsidRPr="004D5F24" w:rsidRDefault="00A937BD" w:rsidP="00A937BD">
      <w:pPr>
        <w:tabs>
          <w:tab w:val="right" w:pos="9214"/>
        </w:tabs>
        <w:spacing w:after="0"/>
        <w:ind w:firstLine="567"/>
        <w:jc w:val="both"/>
        <w:rPr>
          <w:rFonts w:ascii="Arial" w:hAnsi="Arial" w:cs="Arial"/>
          <w:b/>
        </w:rPr>
      </w:pPr>
      <w:r w:rsidRPr="004D5F24">
        <w:rPr>
          <w:rFonts w:ascii="Arial" w:hAnsi="Arial" w:cs="Arial"/>
          <w:b/>
        </w:rPr>
        <w:t xml:space="preserve">2º. </w:t>
      </w:r>
      <w:r w:rsidRPr="004D5F24">
        <w:rPr>
          <w:rFonts w:ascii="Arial" w:hAnsi="Arial" w:cs="Arial"/>
        </w:rPr>
        <w:t xml:space="preserve">Mediante </w:t>
      </w:r>
      <w:r w:rsidRPr="004D5F24">
        <w:rPr>
          <w:rFonts w:ascii="Arial" w:hAnsi="Arial" w:cs="Arial"/>
          <w:b/>
        </w:rPr>
        <w:t>acuerdo de veintidós de marzo de dos mil diecinueve</w:t>
      </w:r>
      <w:r w:rsidRPr="004D5F24">
        <w:rPr>
          <w:rFonts w:ascii="Arial" w:hAnsi="Arial" w:cs="Arial"/>
        </w:rPr>
        <w:t>,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 así mismo,</w:t>
      </w:r>
      <w:r w:rsidRPr="004D5F24">
        <w:rPr>
          <w:rFonts w:ascii="Arial" w:hAnsi="Arial" w:cs="Arial"/>
          <w:b/>
        </w:rPr>
        <w:t xml:space="preserve"> </w:t>
      </w:r>
      <w:r w:rsidRPr="004D5F24">
        <w:rPr>
          <w:rFonts w:ascii="Arial" w:hAnsi="Arial" w:cs="Arial"/>
        </w:rPr>
        <w:t xml:space="preserve">se recibió en esta Sala el </w:t>
      </w:r>
      <w:r w:rsidRPr="004D5F24">
        <w:rPr>
          <w:rFonts w:ascii="Arial" w:hAnsi="Arial" w:cs="Arial"/>
          <w:b/>
        </w:rPr>
        <w:t xml:space="preserve">oficio de fecha treinta y uno de enero de dos mil diecinueve </w:t>
      </w:r>
      <w:r w:rsidRPr="004D5F24">
        <w:rPr>
          <w:rFonts w:ascii="Arial" w:hAnsi="Arial" w:cs="Arial"/>
        </w:rPr>
        <w:t xml:space="preserve">de la persona que se ostenta como </w:t>
      </w:r>
      <w:r w:rsidRPr="004D5F24">
        <w:rPr>
          <w:rFonts w:ascii="Arial" w:hAnsi="Arial" w:cs="Arial"/>
          <w:b/>
        </w:rPr>
        <w:t>Director General de la Oficina de Pensiones del Estado de Oaxaca</w:t>
      </w:r>
      <w:r w:rsidRPr="004D5F24">
        <w:rPr>
          <w:rFonts w:ascii="Arial" w:hAnsi="Arial" w:cs="Arial"/>
        </w:rPr>
        <w:t xml:space="preserve">, quien acredita debidamente su personería de acuerdo al artículos 148 y 151 de la Ley de Justicia </w:t>
      </w:r>
      <w:r w:rsidRPr="004D5F24">
        <w:rPr>
          <w:rFonts w:ascii="Arial" w:hAnsi="Arial" w:cs="Arial"/>
        </w:rPr>
        <w:lastRenderedPageBreak/>
        <w:t xml:space="preserve">Administrativa para el Estado de Oaxaca, al exhibir copia certificada de su nombramiento y toma de protesta al cargo que ostenta; </w:t>
      </w:r>
      <w:r w:rsidRPr="004D5F24">
        <w:rPr>
          <w:rFonts w:ascii="Arial" w:hAnsi="Arial" w:cs="Arial"/>
          <w:b/>
        </w:rPr>
        <w:t>por lo que se le tuvo contestando la demanda de nulidad presentada por la parte actora</w:t>
      </w:r>
      <w:r w:rsidRPr="004D5F24">
        <w:rPr>
          <w:rFonts w:ascii="Arial" w:hAnsi="Arial" w:cs="Arial"/>
        </w:rPr>
        <w:t xml:space="preserve"> dentro del plazo establecido, así mismo se le tuvo a la autoridad demandada ofreciendo las siguiente pruebas: </w:t>
      </w:r>
      <w:r w:rsidRPr="004D5F24">
        <w:rPr>
          <w:rFonts w:ascii="Arial" w:hAnsi="Arial" w:cs="Arial"/>
          <w:b/>
        </w:rPr>
        <w:t xml:space="preserve"> 1.</w:t>
      </w:r>
      <w:r w:rsidRPr="004D5F24">
        <w:rPr>
          <w:rFonts w:ascii="Arial" w:hAnsi="Arial" w:cs="Arial"/>
        </w:rPr>
        <w:t xml:space="preserve"> Copia certificada por Notario Público del nombramiento expedido por el Gobernador Constitucional del Estado de Oaxaca, de fecha ocho de diciembre de dos mil dieciséis; </w:t>
      </w:r>
      <w:r w:rsidRPr="004D5F24">
        <w:rPr>
          <w:rFonts w:ascii="Arial" w:hAnsi="Arial" w:cs="Arial"/>
          <w:b/>
        </w:rPr>
        <w:t xml:space="preserve">2. </w:t>
      </w:r>
      <w:r w:rsidRPr="004D5F24">
        <w:rPr>
          <w:rFonts w:ascii="Arial" w:hAnsi="Arial" w:cs="Arial"/>
        </w:rPr>
        <w:t xml:space="preserve">Copia certificada del oficio </w:t>
      </w:r>
      <w:r>
        <w:rPr>
          <w:rFonts w:ascii="Arial" w:hAnsi="Arial" w:cs="Arial"/>
          <w:b/>
          <w:color w:val="000000" w:themeColor="text1"/>
        </w:rPr>
        <w:t xml:space="preserve">***** ***** </w:t>
      </w:r>
      <w:r w:rsidRPr="004D5F24">
        <w:rPr>
          <w:rFonts w:ascii="Arial" w:hAnsi="Arial" w:cs="Arial"/>
        </w:rPr>
        <w:t xml:space="preserve">de fecha seis de noviembre del dos mil dieciocho emitido por la Dirección General de la Oficina de Pensiones del Estado de Oaxaca; </w:t>
      </w:r>
      <w:r w:rsidRPr="004D5F24">
        <w:rPr>
          <w:rFonts w:ascii="Arial" w:hAnsi="Arial" w:cs="Arial"/>
          <w:b/>
        </w:rPr>
        <w:t xml:space="preserve">3. </w:t>
      </w:r>
      <w:r w:rsidRPr="004D5F24">
        <w:rPr>
          <w:rFonts w:ascii="Arial" w:hAnsi="Arial" w:cs="Arial"/>
        </w:rPr>
        <w:t xml:space="preserve">La instrumental de actuaciones; </w:t>
      </w:r>
      <w:r w:rsidRPr="004D5F24">
        <w:rPr>
          <w:rFonts w:ascii="Arial" w:hAnsi="Arial" w:cs="Arial"/>
          <w:b/>
        </w:rPr>
        <w:t xml:space="preserve">4. </w:t>
      </w:r>
      <w:r w:rsidRPr="004D5F24">
        <w:rPr>
          <w:rFonts w:ascii="Arial" w:hAnsi="Arial" w:cs="Arial"/>
        </w:rPr>
        <w:t xml:space="preserve">La presunsional legal y humana. - - - - - - - - - - - - - - - - - - - - - - - - - - - -  </w:t>
      </w:r>
    </w:p>
    <w:p w:rsidR="00A937BD" w:rsidRPr="004D5F24" w:rsidRDefault="00A937BD" w:rsidP="00A937BD">
      <w:pPr>
        <w:pStyle w:val="Encabezado"/>
        <w:spacing w:line="276" w:lineRule="auto"/>
        <w:ind w:left="4248"/>
        <w:jc w:val="both"/>
        <w:rPr>
          <w:rFonts w:ascii="Arial" w:hAnsi="Arial" w:cs="Arial"/>
        </w:rPr>
      </w:pPr>
    </w:p>
    <w:p w:rsidR="00A937BD" w:rsidRPr="004D5F24" w:rsidRDefault="00A937BD" w:rsidP="00A937BD">
      <w:pPr>
        <w:pStyle w:val="Encabezado"/>
        <w:spacing w:line="276" w:lineRule="auto"/>
        <w:ind w:firstLine="567"/>
        <w:jc w:val="both"/>
        <w:rPr>
          <w:rFonts w:ascii="Arial" w:hAnsi="Arial" w:cs="Arial"/>
          <w:b/>
        </w:rPr>
      </w:pPr>
      <w:r w:rsidRPr="004D5F24">
        <w:rPr>
          <w:rFonts w:ascii="Arial" w:hAnsi="Arial" w:cs="Arial"/>
          <w:b/>
        </w:rPr>
        <w:t>4º.</w:t>
      </w:r>
      <w:r w:rsidRPr="004D5F24">
        <w:rPr>
          <w:rFonts w:ascii="Arial" w:hAnsi="Arial" w:cs="Arial"/>
        </w:rPr>
        <w:t xml:space="preserve"> Mediante mismo auto de fecha veintidós de marzo de dos mil diecinueve, se fijaron las once horas del veinticuatro de abril del dos mil diecinueve para la celebración de la Audiencia Final, misma que se llevó a cabo en la hora y fecha señalados; a la que no comparecieron las partes ni persona alguna que legalmente los representará, abriéndose el periodo de desahogo de pruebas,  en donde el Titular de la Sexta Sala, las declaró que se desahogaran por su propia naturaleza. en el periodo de alegatos se dio cuenta con el escrito de la autorizada legal de la parte actora donde formulaba sus alegatos, los cuales se agregaron a los autos para que surtieran lo efectos legales correpondientes, no así la autoridad demandada que no presentó documento alguno formulando alegatos por lo que se declaró precluído su derecho. Finalmente se citó a las partes para oír sentencia, misma que ahora se pronuncia. - - - - - - - - - - - - - - - - - - - - - - -  </w:t>
      </w:r>
    </w:p>
    <w:p w:rsidR="00A937BD" w:rsidRPr="004D5F24" w:rsidRDefault="00A937BD" w:rsidP="00A937BD">
      <w:pPr>
        <w:pStyle w:val="Encabezado"/>
        <w:spacing w:line="276" w:lineRule="auto"/>
        <w:ind w:left="4248"/>
        <w:jc w:val="both"/>
        <w:rPr>
          <w:rFonts w:ascii="Arial" w:hAnsi="Arial" w:cs="Arial"/>
          <w:b/>
        </w:rPr>
      </w:pPr>
    </w:p>
    <w:p w:rsidR="00A937BD" w:rsidRPr="004D5F24" w:rsidRDefault="00A937BD" w:rsidP="00A937BD">
      <w:pPr>
        <w:spacing w:after="0"/>
        <w:jc w:val="both"/>
        <w:rPr>
          <w:rFonts w:ascii="Arial" w:hAnsi="Arial" w:cs="Arial"/>
        </w:rPr>
      </w:pPr>
    </w:p>
    <w:p w:rsidR="00A937BD" w:rsidRPr="004D5F24" w:rsidRDefault="00A937BD" w:rsidP="00A937BD">
      <w:pPr>
        <w:spacing w:after="0"/>
        <w:jc w:val="center"/>
        <w:rPr>
          <w:rFonts w:ascii="Arial" w:hAnsi="Arial" w:cs="Arial"/>
          <w:b/>
        </w:rPr>
      </w:pPr>
      <w:r w:rsidRPr="004D5F24">
        <w:rPr>
          <w:rFonts w:ascii="Arial" w:hAnsi="Arial" w:cs="Arial"/>
          <w:b/>
        </w:rPr>
        <w:t>C O N S I D E R A N D O:</w:t>
      </w:r>
    </w:p>
    <w:p w:rsidR="00A937BD" w:rsidRPr="004D5F24" w:rsidRDefault="00A937BD" w:rsidP="00A937BD">
      <w:pPr>
        <w:jc w:val="both"/>
        <w:rPr>
          <w:rFonts w:ascii="Arial" w:hAnsi="Arial" w:cs="Arial"/>
        </w:rPr>
      </w:pPr>
    </w:p>
    <w:p w:rsidR="00A937BD" w:rsidRPr="004D5F24" w:rsidRDefault="00A937BD" w:rsidP="00A937BD">
      <w:pPr>
        <w:tabs>
          <w:tab w:val="right" w:pos="8789"/>
        </w:tabs>
        <w:spacing w:after="0"/>
        <w:ind w:right="49" w:firstLine="567"/>
        <w:jc w:val="both"/>
        <w:rPr>
          <w:rFonts w:ascii="Arial" w:hAnsi="Arial" w:cs="Arial"/>
        </w:rPr>
      </w:pPr>
      <w:r w:rsidRPr="004D5F24">
        <w:rPr>
          <w:rFonts w:ascii="Arial" w:hAnsi="Arial" w:cs="Arial"/>
          <w:b/>
        </w:rPr>
        <w:t>PRIMERO.-</w:t>
      </w:r>
      <w:r w:rsidRPr="004D5F24">
        <w:rPr>
          <w:rFonts w:ascii="Arial" w:hAnsi="Arial" w:cs="Arial"/>
        </w:rPr>
        <w:t xml:space="preserve"> Competencia.-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inciso B)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unas autoridades de carácter estatal. - - - - - - - -</w:t>
      </w:r>
    </w:p>
    <w:p w:rsidR="00A937BD" w:rsidRPr="004D5F24" w:rsidRDefault="00A937BD" w:rsidP="00A937BD">
      <w:pPr>
        <w:tabs>
          <w:tab w:val="right" w:pos="8789"/>
        </w:tabs>
        <w:spacing w:after="0"/>
        <w:ind w:right="49" w:firstLine="567"/>
        <w:jc w:val="both"/>
        <w:rPr>
          <w:rFonts w:ascii="Arial" w:hAnsi="Arial" w:cs="Arial"/>
        </w:rPr>
      </w:pPr>
    </w:p>
    <w:p w:rsidR="00A937BD" w:rsidRPr="004D5F24" w:rsidRDefault="00A937BD" w:rsidP="00A937BD">
      <w:pPr>
        <w:tabs>
          <w:tab w:val="right" w:pos="8789"/>
        </w:tabs>
        <w:spacing w:after="0"/>
        <w:ind w:right="49" w:firstLine="567"/>
        <w:jc w:val="both"/>
        <w:rPr>
          <w:rFonts w:ascii="Arial" w:hAnsi="Arial" w:cs="Arial"/>
        </w:rPr>
      </w:pPr>
      <w:r w:rsidRPr="004D5F24">
        <w:rPr>
          <w:rFonts w:ascii="Arial" w:eastAsia="Times New Roman" w:hAnsi="Arial" w:cs="Arial"/>
          <w:b/>
          <w:lang w:eastAsia="es-MX"/>
        </w:rPr>
        <w:t xml:space="preserve">SEGUNDO.- </w:t>
      </w:r>
      <w:r w:rsidRPr="004D5F24">
        <w:rPr>
          <w:rFonts w:ascii="Arial" w:hAnsi="Arial" w:cs="Arial"/>
        </w:rPr>
        <w:t xml:space="preserve">Las partes acreditaron en términos de los artículos 148 y 151 de la Ley de Procedimiento y Justicia Administrativa para el Estado de Oaxaca, su personalidad ya que el actor promueve por su propio derecho; la autoridad demandada, Director General de la Oficina de Pensiones del Estado de Oaxaca acredita su personería, mediante copia certificada del nombramiento de ocho de diciembre de dos mil dieciséis, documento a los que se le concede pleno valor probatorio por ser documentos públicos, conforme lo dispuesto por el artículo 203, fracción I  de la Ley citada. - - - - - - - -  </w:t>
      </w:r>
    </w:p>
    <w:p w:rsidR="00A937BD" w:rsidRPr="004D5F24" w:rsidRDefault="00A937BD" w:rsidP="00A937BD">
      <w:pPr>
        <w:spacing w:after="0"/>
        <w:ind w:firstLine="567"/>
        <w:jc w:val="both"/>
        <w:rPr>
          <w:rFonts w:ascii="Arial" w:hAnsi="Arial" w:cs="Arial"/>
        </w:rPr>
      </w:pPr>
    </w:p>
    <w:p w:rsidR="00A937BD" w:rsidRPr="004D5F24" w:rsidRDefault="00A937BD" w:rsidP="00A937BD">
      <w:pPr>
        <w:spacing w:after="0"/>
        <w:jc w:val="both"/>
        <w:rPr>
          <w:rFonts w:ascii="Arial" w:hAnsi="Arial" w:cs="Arial"/>
        </w:rPr>
      </w:pPr>
    </w:p>
    <w:p w:rsidR="00A937BD" w:rsidRPr="004D5F24" w:rsidRDefault="00A937BD" w:rsidP="00A937BD">
      <w:pPr>
        <w:spacing w:after="0"/>
        <w:ind w:firstLine="567"/>
        <w:jc w:val="both"/>
        <w:rPr>
          <w:rFonts w:ascii="Arial" w:eastAsia="Times New Roman" w:hAnsi="Arial" w:cs="Arial"/>
          <w:lang w:eastAsia="es-MX"/>
        </w:rPr>
      </w:pPr>
      <w:r w:rsidRPr="004D5F24">
        <w:rPr>
          <w:rFonts w:ascii="Arial" w:hAnsi="Arial" w:cs="Arial"/>
          <w:b/>
        </w:rPr>
        <w:t>TERCERO.- Acreditación del Acto Impugnado</w:t>
      </w:r>
      <w:r w:rsidRPr="004D5F24">
        <w:rPr>
          <w:rFonts w:ascii="Arial" w:hAnsi="Arial" w:cs="Arial"/>
        </w:rPr>
        <w:t xml:space="preserve">.- Ahora bien, el acto impugnado lo es el oficio número </w:t>
      </w:r>
      <w:r>
        <w:rPr>
          <w:rFonts w:ascii="Arial" w:hAnsi="Arial" w:cs="Arial"/>
          <w:b/>
          <w:color w:val="000000" w:themeColor="text1"/>
        </w:rPr>
        <w:t xml:space="preserve">***** ***** </w:t>
      </w:r>
      <w:r w:rsidRPr="004D5F24">
        <w:rPr>
          <w:rFonts w:ascii="Arial" w:hAnsi="Arial" w:cs="Arial"/>
        </w:rPr>
        <w:t>de fecha seis de noviembre de dos mil dieciocho, emitido por el Director General de la Oficina de Pensiones del Estado de Oaxaca, constancia en original que obran en foja 9 del expediente principal al rubro indicado, aportada por la parte actora y que tiene valor probatorio pleno en términos de lo dispuesto por el artículo 203</w:t>
      </w:r>
      <w:r w:rsidRPr="004D5F24">
        <w:rPr>
          <w:rStyle w:val="Refdenotaalpie"/>
          <w:rFonts w:ascii="Arial" w:hAnsi="Arial" w:cs="Arial"/>
        </w:rPr>
        <w:footnoteReference w:id="1"/>
      </w:r>
      <w:r w:rsidRPr="004D5F24">
        <w:rPr>
          <w:rFonts w:ascii="Arial" w:hAnsi="Arial" w:cs="Arial"/>
        </w:rPr>
        <w:t xml:space="preserve"> fracción I de la Ley de Procedimiento y Justicia Administrativa para el Estado de Oaxaca y que fue reconocida por la autoridad demandada de forma expresa en su contestación de demanda de foja 33 a 38 en la que exhibió también copia certificada del mismo oficio, por lo que con esos medios de convicción  es que esta Sala tiene por acreditado el acto impugnado. - - - - - - - - - - - - - - - - - - - - - - - - - - - - - - - - - - - - - - - - - - -  </w:t>
      </w:r>
    </w:p>
    <w:p w:rsidR="00A937BD" w:rsidRPr="004D5F24" w:rsidRDefault="00A937BD" w:rsidP="00A937BD">
      <w:pPr>
        <w:spacing w:after="0"/>
        <w:jc w:val="both"/>
        <w:rPr>
          <w:rFonts w:ascii="Arial" w:hAnsi="Arial" w:cs="Arial"/>
        </w:rPr>
      </w:pPr>
    </w:p>
    <w:p w:rsidR="00A937BD" w:rsidRPr="004D5F24" w:rsidRDefault="00A937BD" w:rsidP="00A937BD">
      <w:pPr>
        <w:spacing w:after="0"/>
        <w:ind w:firstLine="567"/>
        <w:jc w:val="both"/>
        <w:rPr>
          <w:rFonts w:ascii="Arial" w:eastAsia="Times New Roman" w:hAnsi="Arial" w:cs="Arial"/>
          <w:b/>
          <w:lang w:eastAsia="es-MX"/>
        </w:rPr>
      </w:pPr>
      <w:r w:rsidRPr="004D5F24">
        <w:rPr>
          <w:rFonts w:ascii="Arial" w:eastAsia="Times New Roman" w:hAnsi="Arial" w:cs="Arial"/>
          <w:b/>
          <w:lang w:eastAsia="es-MX"/>
        </w:rPr>
        <w:lastRenderedPageBreak/>
        <w:t>CUARTO.- Considerando que las causales de improcedencia y sobreseimiento,</w:t>
      </w:r>
      <w:r w:rsidRPr="004D5F24">
        <w:rPr>
          <w:rFonts w:ascii="Arial" w:eastAsia="Times New Roman" w:hAnsi="Arial" w:cs="Arial"/>
          <w:lang w:eastAsia="es-MX"/>
        </w:rPr>
        <w:t xml:space="preserve">   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w:t>
      </w:r>
      <w:r w:rsidRPr="004D5F24">
        <w:rPr>
          <w:rFonts w:ascii="Arial" w:eastAsia="Times New Roman" w:hAnsi="Arial" w:cs="Arial"/>
          <w:b/>
          <w:lang w:eastAsia="es-MX"/>
        </w:rPr>
        <w:t xml:space="preserve"> </w:t>
      </w:r>
      <w:r w:rsidRPr="004D5F24">
        <w:rPr>
          <w:rFonts w:ascii="Arial" w:eastAsia="Times New Roman" w:hAnsi="Arial" w:cs="Arial"/>
          <w:lang w:eastAsia="es-MX"/>
        </w:rPr>
        <w:t xml:space="preserve">- - - - - - - - - - - - - - - - - </w:t>
      </w:r>
    </w:p>
    <w:p w:rsidR="00A937BD" w:rsidRPr="004D5F24" w:rsidRDefault="00A937BD" w:rsidP="00A937BD">
      <w:pPr>
        <w:spacing w:after="0"/>
        <w:jc w:val="both"/>
        <w:rPr>
          <w:rFonts w:ascii="Arial" w:eastAsia="Times New Roman" w:hAnsi="Arial" w:cs="Arial"/>
          <w:lang w:eastAsia="es-MX"/>
        </w:rPr>
      </w:pPr>
    </w:p>
    <w:p w:rsidR="00A937BD" w:rsidRDefault="00A937BD" w:rsidP="00A937BD">
      <w:pPr>
        <w:spacing w:after="0"/>
        <w:ind w:firstLine="567"/>
        <w:jc w:val="both"/>
        <w:rPr>
          <w:rFonts w:ascii="Arial" w:hAnsi="Arial" w:cs="Arial"/>
        </w:rPr>
      </w:pPr>
      <w:r w:rsidRPr="004D5F24">
        <w:rPr>
          <w:rFonts w:ascii="Arial" w:hAnsi="Arial" w:cs="Arial"/>
          <w:b/>
        </w:rPr>
        <w:t xml:space="preserve">QUINTO.- Fijación de la Litis. </w:t>
      </w:r>
      <w:r w:rsidRPr="004D5F24">
        <w:rPr>
          <w:rFonts w:ascii="Arial" w:hAnsi="Arial" w:cs="Arial"/>
        </w:rPr>
        <w:t xml:space="preserve">La parte actora, demandó la nulidad lisa y llana del oficio </w:t>
      </w:r>
      <w:r>
        <w:rPr>
          <w:rFonts w:ascii="Arial" w:hAnsi="Arial" w:cs="Arial"/>
          <w:b/>
          <w:color w:val="000000" w:themeColor="text1"/>
        </w:rPr>
        <w:t>***** *****</w:t>
      </w:r>
      <w:r w:rsidRPr="004D5F24">
        <w:rPr>
          <w:rFonts w:ascii="Arial" w:hAnsi="Arial" w:cs="Arial"/>
        </w:rPr>
        <w:t>,  de fecha  seis de noviembre del dos mil dieciocho, emitido por el Director General de la Oficina de Pensiones del Estado de Oaxaca</w:t>
      </w:r>
      <w:r>
        <w:rPr>
          <w:rFonts w:ascii="Arial" w:hAnsi="Arial" w:cs="Arial"/>
        </w:rPr>
        <w:t>;</w:t>
      </w:r>
      <w:r w:rsidRPr="004D5F24">
        <w:rPr>
          <w:rFonts w:ascii="Arial" w:hAnsi="Arial" w:cs="Arial"/>
        </w:rPr>
        <w:t xml:space="preserve"> al no estar debidamente  fundado y motivado, y toda vez que los artículos en que se funda la autoridad para realizar dichos descuentos,   6 fracción III,18 párrafo segundo y transitorio octavo de la Ley de Pensiones para los Trabajadores del Gobierno del Estado de Oaxaca, fueron declarados inconstitucionales e inconvencionales, violando sus derechos humanos</w:t>
      </w:r>
      <w:r>
        <w:rPr>
          <w:rFonts w:ascii="Arial" w:hAnsi="Arial" w:cs="Arial"/>
        </w:rPr>
        <w:t>; así mismo dejo de considerar lo previsto por el artículo 63 de la Ley de Pensiones para los Trabajadores del Gobierno del Estado de Oaxaca.</w:t>
      </w:r>
      <w:r w:rsidRPr="004D5F24">
        <w:rPr>
          <w:rFonts w:ascii="Arial" w:hAnsi="Arial" w:cs="Arial"/>
        </w:rPr>
        <w:t xml:space="preserve"> Pretendiendo la nulidad lisa y llana de dicho oficio y la devolución de sus descuentos efectuados por concepto de fondo pensiones durante los meses de enero a junio del dos mil dieciocho. - - - - - - - - - - - - - - - -</w:t>
      </w:r>
      <w:r>
        <w:rPr>
          <w:rFonts w:ascii="Arial" w:hAnsi="Arial" w:cs="Arial"/>
        </w:rPr>
        <w:t xml:space="preserve"> </w:t>
      </w:r>
    </w:p>
    <w:p w:rsidR="00A937BD" w:rsidRPr="004D5F24" w:rsidRDefault="00A937BD" w:rsidP="00A937BD">
      <w:pPr>
        <w:spacing w:after="0"/>
        <w:ind w:firstLine="567"/>
        <w:jc w:val="both"/>
        <w:rPr>
          <w:rFonts w:ascii="Arial" w:hAnsi="Arial" w:cs="Arial"/>
        </w:rPr>
      </w:pPr>
      <w:r w:rsidRPr="004D5F24">
        <w:rPr>
          <w:rFonts w:ascii="Arial" w:hAnsi="Arial" w:cs="Arial"/>
        </w:rPr>
        <w:t xml:space="preserve"> </w:t>
      </w:r>
    </w:p>
    <w:p w:rsidR="00A937BD" w:rsidRPr="004D5F24" w:rsidRDefault="00A937BD" w:rsidP="00A937BD">
      <w:pPr>
        <w:spacing w:after="0"/>
        <w:ind w:firstLine="567"/>
        <w:jc w:val="both"/>
        <w:rPr>
          <w:rFonts w:ascii="Arial" w:eastAsia="Times New Roman" w:hAnsi="Arial" w:cs="Arial"/>
          <w:lang w:eastAsia="es-MX"/>
        </w:rPr>
      </w:pPr>
      <w:r w:rsidRPr="004D5F24">
        <w:rPr>
          <w:rFonts w:ascii="Arial" w:eastAsia="Times New Roman" w:hAnsi="Arial" w:cs="Arial"/>
          <w:lang w:eastAsia="es-MX"/>
        </w:rPr>
        <w:t>Por su parte la autoridad demandada Director General de la Oficina de Pensiones del Estado de Oaxaca, expresa que el acto impugnado es legalmente válido al cumplir los elementos y requisitos que la Ley de Procedimiento y Justicia Administrativa para el Estado de Oaxaca prevé en su artículo 17, cumpliendo así con el requisito Sine Qua Non como lo establece el artículo 16 de la Constitución Política de los Estados Unidos Mexicanos; que la expedición del acto administrativo encuentra justificación legal a su existencia, en la premisa de que las disposiciones legales no se encuentran al arbitrio de las autoridades, como lo establece el artículo 2 párrafo tercero</w:t>
      </w:r>
      <w:r>
        <w:rPr>
          <w:rStyle w:val="Refdenotaalpie"/>
          <w:rFonts w:ascii="Arial" w:eastAsia="Times New Roman" w:hAnsi="Arial" w:cs="Arial"/>
          <w:lang w:eastAsia="es-MX"/>
        </w:rPr>
        <w:footnoteReference w:id="2"/>
      </w:r>
      <w:r w:rsidRPr="004D5F24">
        <w:rPr>
          <w:rFonts w:ascii="Arial" w:eastAsia="Times New Roman" w:hAnsi="Arial" w:cs="Arial"/>
          <w:lang w:eastAsia="es-MX"/>
        </w:rPr>
        <w:t xml:space="preserve"> de la Constitución Política para el Estado Libre y Soberano de Oaxaca; que la respuesta que se dio al ahora actora se encuentra en estricto apego y observancia a la Ley de Pensiones para los Trabajadores del Gobierno del Estado de Oaxaca; que la negativa de devolverle descuentos hechos para el Fondo de Pensiones, no constituye una restricción a un derecho, pues dichas aportaciones son para que pueda gozar de los beneficios de la ley de pensiones. - - - - - - - - - - - - - - - - - - - - - - - - - - - - - - - - - - - - - - - - - - - - - - - - - - - - - - -  </w:t>
      </w:r>
    </w:p>
    <w:p w:rsidR="00A937BD" w:rsidRPr="00F52D5F" w:rsidRDefault="00A937BD" w:rsidP="00A937BD">
      <w:pPr>
        <w:spacing w:after="0"/>
        <w:ind w:firstLine="567"/>
        <w:jc w:val="both"/>
        <w:rPr>
          <w:rFonts w:ascii="Arial" w:hAnsi="Arial" w:cs="Arial"/>
        </w:rPr>
      </w:pPr>
    </w:p>
    <w:p w:rsidR="00A937BD" w:rsidRPr="00F52D5F" w:rsidRDefault="00A937BD" w:rsidP="00A937BD">
      <w:pPr>
        <w:spacing w:after="0"/>
        <w:jc w:val="both"/>
        <w:rPr>
          <w:rFonts w:ascii="Arial" w:hAnsi="Arial" w:cs="Arial"/>
        </w:rPr>
      </w:pPr>
    </w:p>
    <w:p w:rsidR="00A937BD" w:rsidRPr="00F52D5F" w:rsidRDefault="00A937BD" w:rsidP="00A937BD">
      <w:pPr>
        <w:spacing w:after="0"/>
        <w:ind w:firstLine="567"/>
        <w:jc w:val="both"/>
        <w:rPr>
          <w:rFonts w:ascii="Arial" w:hAnsi="Arial" w:cs="Arial"/>
        </w:rPr>
      </w:pPr>
      <w:r w:rsidRPr="00F52D5F">
        <w:rPr>
          <w:rFonts w:ascii="Arial" w:hAnsi="Arial" w:cs="Arial"/>
          <w:b/>
        </w:rPr>
        <w:t>SEXTO.- Estudio del Fondo</w:t>
      </w:r>
      <w:r w:rsidRPr="00F52D5F">
        <w:rPr>
          <w:rFonts w:ascii="Arial" w:hAnsi="Arial" w:cs="Arial"/>
        </w:rPr>
        <w:t>. Esta Sala analiza el contenido del oficio OP/DG/</w:t>
      </w:r>
      <w:r>
        <w:rPr>
          <w:rFonts w:ascii="Arial" w:hAnsi="Arial" w:cs="Arial"/>
        </w:rPr>
        <w:t>2743</w:t>
      </w:r>
      <w:r w:rsidRPr="00F52D5F">
        <w:rPr>
          <w:rFonts w:ascii="Arial" w:hAnsi="Arial" w:cs="Arial"/>
        </w:rPr>
        <w:t>/2</w:t>
      </w:r>
      <w:r>
        <w:rPr>
          <w:rFonts w:ascii="Arial" w:hAnsi="Arial" w:cs="Arial"/>
        </w:rPr>
        <w:t>018</w:t>
      </w:r>
      <w:r w:rsidRPr="00F52D5F">
        <w:rPr>
          <w:rFonts w:ascii="Arial" w:hAnsi="Arial" w:cs="Arial"/>
        </w:rPr>
        <w:t xml:space="preserve">, de fecha </w:t>
      </w:r>
      <w:r>
        <w:rPr>
          <w:rFonts w:ascii="Arial" w:hAnsi="Arial" w:cs="Arial"/>
        </w:rPr>
        <w:t>6</w:t>
      </w:r>
      <w:r w:rsidRPr="00F52D5F">
        <w:rPr>
          <w:rFonts w:ascii="Arial" w:hAnsi="Arial" w:cs="Arial"/>
        </w:rPr>
        <w:t xml:space="preserve"> </w:t>
      </w:r>
      <w:r>
        <w:rPr>
          <w:rFonts w:ascii="Arial" w:hAnsi="Arial" w:cs="Arial"/>
        </w:rPr>
        <w:t>seis</w:t>
      </w:r>
      <w:r w:rsidRPr="00F52D5F">
        <w:rPr>
          <w:rFonts w:ascii="Arial" w:hAnsi="Arial" w:cs="Arial"/>
        </w:rPr>
        <w:t xml:space="preserve"> de </w:t>
      </w:r>
      <w:r>
        <w:rPr>
          <w:rFonts w:ascii="Arial" w:hAnsi="Arial" w:cs="Arial"/>
        </w:rPr>
        <w:t>noviembre</w:t>
      </w:r>
      <w:r w:rsidRPr="00F52D5F">
        <w:rPr>
          <w:rFonts w:ascii="Arial" w:hAnsi="Arial" w:cs="Arial"/>
        </w:rPr>
        <w:t xml:space="preserve"> </w:t>
      </w:r>
      <w:r>
        <w:rPr>
          <w:rFonts w:ascii="Arial" w:hAnsi="Arial" w:cs="Arial"/>
        </w:rPr>
        <w:t>de 2018</w:t>
      </w:r>
      <w:r w:rsidRPr="00F52D5F">
        <w:rPr>
          <w:rFonts w:ascii="Arial" w:hAnsi="Arial" w:cs="Arial"/>
        </w:rPr>
        <w:t xml:space="preserve"> dos mil </w:t>
      </w:r>
      <w:r>
        <w:rPr>
          <w:rFonts w:ascii="Arial" w:hAnsi="Arial" w:cs="Arial"/>
        </w:rPr>
        <w:t>dieciocho</w:t>
      </w:r>
      <w:r w:rsidRPr="00F52D5F">
        <w:rPr>
          <w:rFonts w:ascii="Arial" w:hAnsi="Arial" w:cs="Arial"/>
        </w:rPr>
        <w:t>, en la parte que interesa determinó:</w:t>
      </w:r>
    </w:p>
    <w:p w:rsidR="00A937BD" w:rsidRPr="00F52D5F" w:rsidRDefault="00A937BD" w:rsidP="00A937BD">
      <w:pPr>
        <w:jc w:val="both"/>
        <w:rPr>
          <w:rFonts w:ascii="Arial" w:hAnsi="Arial" w:cs="Arial"/>
        </w:rPr>
      </w:pPr>
    </w:p>
    <w:p w:rsidR="00A937BD" w:rsidRDefault="00A937BD" w:rsidP="00A937BD">
      <w:pPr>
        <w:ind w:left="567" w:right="758" w:firstLine="567"/>
        <w:jc w:val="both"/>
        <w:rPr>
          <w:rFonts w:ascii="Arial" w:hAnsi="Arial" w:cs="Arial"/>
          <w:i/>
        </w:rPr>
      </w:pPr>
      <w:r w:rsidRPr="00F52D5F">
        <w:rPr>
          <w:rFonts w:ascii="Arial" w:hAnsi="Arial" w:cs="Arial"/>
          <w:i/>
        </w:rPr>
        <w:t>“</w:t>
      </w:r>
      <w:r>
        <w:rPr>
          <w:rFonts w:ascii="Arial" w:hAnsi="Arial" w:cs="Arial"/>
          <w:i/>
        </w:rPr>
        <w:t>...Los descuento que usted reclama le fueron efectuados en apego a estricto derecho, en términos de lo dispuesto por los artículos 6° fracción III, 18 párrafo segundo y transitorio octavo de la Ley de Pensiones para los Trabajadores del Gobierno del Estado de Oaxaca, que a la letra dicen;</w:t>
      </w:r>
    </w:p>
    <w:p w:rsidR="00A937BD" w:rsidRDefault="00A937BD" w:rsidP="00A937BD">
      <w:pPr>
        <w:ind w:left="567" w:right="758" w:firstLine="567"/>
        <w:jc w:val="both"/>
        <w:rPr>
          <w:rFonts w:ascii="Arial" w:hAnsi="Arial" w:cs="Arial"/>
          <w:i/>
        </w:rPr>
      </w:pPr>
      <w:r>
        <w:rPr>
          <w:rFonts w:ascii="Arial" w:hAnsi="Arial" w:cs="Arial"/>
          <w:i/>
        </w:rPr>
        <w:t>ARTÍCULO 6.- El Fondo de Pensiones se constituirá con:</w:t>
      </w:r>
    </w:p>
    <w:p w:rsidR="00A937BD" w:rsidRDefault="00A937BD" w:rsidP="00A937BD">
      <w:pPr>
        <w:ind w:left="567" w:right="758" w:firstLine="567"/>
        <w:jc w:val="both"/>
        <w:rPr>
          <w:rFonts w:ascii="Arial" w:hAnsi="Arial" w:cs="Arial"/>
          <w:i/>
        </w:rPr>
      </w:pPr>
      <w:r>
        <w:rPr>
          <w:rFonts w:ascii="Arial" w:hAnsi="Arial" w:cs="Arial"/>
          <w:i/>
        </w:rPr>
        <w:t>III. Las cuotas de los jubilados, equivalentes al 9% de su pensión;</w:t>
      </w:r>
    </w:p>
    <w:p w:rsidR="00A937BD" w:rsidRDefault="00A937BD" w:rsidP="00A937BD">
      <w:pPr>
        <w:ind w:left="567" w:right="758" w:firstLine="567"/>
        <w:jc w:val="both"/>
        <w:rPr>
          <w:rFonts w:ascii="Arial" w:hAnsi="Arial" w:cs="Arial"/>
          <w:i/>
        </w:rPr>
      </w:pPr>
      <w:r>
        <w:rPr>
          <w:rFonts w:ascii="Arial" w:hAnsi="Arial" w:cs="Arial"/>
          <w:i/>
        </w:rPr>
        <w:t>ARTÍCULO 18.- Por lo que hace a las cuotas de los trabajadores a que se refiere la fracción II del artículo 6 de esta Ley, las dependencias harán su entrega quincenal a la Oficina de Pensiones, debiéndose encargar de hacer los respectivos descuentos del nueve por ciento que corresponde a los trabajadores, en el momento de cubrirles sus remuneraciones.</w:t>
      </w:r>
    </w:p>
    <w:p w:rsidR="00A937BD" w:rsidRDefault="00A937BD" w:rsidP="00A937BD">
      <w:pPr>
        <w:ind w:left="567" w:right="758" w:firstLine="567"/>
        <w:jc w:val="both"/>
        <w:rPr>
          <w:rFonts w:ascii="Arial" w:hAnsi="Arial" w:cs="Arial"/>
          <w:i/>
        </w:rPr>
      </w:pPr>
      <w:r>
        <w:rPr>
          <w:rFonts w:ascii="Arial" w:hAnsi="Arial" w:cs="Arial"/>
          <w:i/>
        </w:rPr>
        <w:t>Por lo que respecta a los jubilados y pensionados, la Oficina de Pensiones descontará del monto de sus respectivas pensiones, las cuotas a las que se refieren las fracciones III y IV del artículo 6 de esta Ley.</w:t>
      </w:r>
    </w:p>
    <w:p w:rsidR="00A937BD" w:rsidRDefault="00A937BD" w:rsidP="00A937BD">
      <w:pPr>
        <w:ind w:left="567" w:right="758" w:firstLine="567"/>
        <w:jc w:val="both"/>
        <w:rPr>
          <w:rFonts w:ascii="Arial" w:hAnsi="Arial" w:cs="Arial"/>
          <w:i/>
        </w:rPr>
      </w:pPr>
      <w:r>
        <w:rPr>
          <w:rFonts w:ascii="Arial" w:hAnsi="Arial" w:cs="Arial"/>
          <w:i/>
        </w:rPr>
        <w:t xml:space="preserve">OCTAVO. A partir de que los trabajadores incorporados antes de la vigencia de esta Ley adquieran el carácter de Jubilados o pensionados, contribuirán con una cuota equivalente al nueve por ciento de su pensión, importe que la Oficina de Pensiones retendrá, valiéndose del procedimiento </w:t>
      </w:r>
      <w:r>
        <w:rPr>
          <w:rFonts w:ascii="Arial" w:hAnsi="Arial" w:cs="Arial"/>
          <w:i/>
        </w:rPr>
        <w:lastRenderedPageBreak/>
        <w:t>señalado en el artículo 18 de esta Ley, debiéndose encargar de hacer los descuentos respectivos al momento de cubrirles sus numerales.</w:t>
      </w:r>
    </w:p>
    <w:p w:rsidR="00A937BD" w:rsidRDefault="00A937BD" w:rsidP="00A937BD">
      <w:pPr>
        <w:ind w:left="567" w:right="758" w:firstLine="567"/>
        <w:jc w:val="both"/>
        <w:rPr>
          <w:rFonts w:ascii="Arial" w:hAnsi="Arial" w:cs="Arial"/>
          <w:i/>
        </w:rPr>
      </w:pPr>
      <w:r>
        <w:rPr>
          <w:rFonts w:ascii="Arial" w:hAnsi="Arial" w:cs="Arial"/>
          <w:i/>
        </w:rPr>
        <w:t>Por lo que respecta a las aportaciones del 18.5% que el Gobierno del Estado se obliga a realizar al Fondo de Pensiones, estas las enterará con apego a lo señalado en el artículo 18 de esta Ley.</w:t>
      </w:r>
    </w:p>
    <w:p w:rsidR="00A937BD" w:rsidRDefault="00A937BD" w:rsidP="00A937BD">
      <w:pPr>
        <w:ind w:left="567" w:right="758" w:firstLine="567"/>
        <w:jc w:val="both"/>
        <w:rPr>
          <w:rFonts w:ascii="Arial" w:hAnsi="Arial" w:cs="Arial"/>
          <w:i/>
        </w:rPr>
      </w:pPr>
      <w:r>
        <w:rPr>
          <w:rFonts w:ascii="Arial" w:hAnsi="Arial" w:cs="Arial"/>
          <w:i/>
        </w:rPr>
        <w:t>Y cuya aplicación se vio materializada en el Dictamen de Pensión por Jubilación que derivó de la sesión ordinaria de trabajo del día treinta de diciembre del dos mil quince, en el cual el Consejo Directivo de la Oficina de Pensiones del Estado de Oaxaca, de conformidad con lo dispuesto por el artículo 88, fracción IV, de la Ley de Pensiones para los Trabajadores del Gobierno del Estado de Oaxaca, analizó su solicitud, emitiendo el acuerdo respectivo en estricto apego a derecho, como consta en el oficio OP/DG/4547/15 de fecha 30 de diciembre del 2015, de cuyo análisis se deducen los fundamentos legales y los motivos sobre los cuales se establecen los términos para el pago de su pensión por jubilación, mismo que usted recibió el día 30 de noviembre del 2017, como consta en el acuse de recibido del mencionado oficio, estampando su nombre, fecha y firma, con lo cual se acredita que usted desde ese momento se dio por notificada y enterada de los fundamentos legales con los cuales se otorgó tanto su jubilación como con los que se ordenaron los descuentos por concepto para el Fondo de Pensiones, de lo que se determina que dichas deducciones son actos consentidos tácitamente por usted...</w:t>
      </w:r>
    </w:p>
    <w:p w:rsidR="00A937BD" w:rsidRDefault="00A937BD" w:rsidP="00A937BD">
      <w:pPr>
        <w:ind w:left="567" w:right="758" w:firstLine="567"/>
        <w:jc w:val="both"/>
        <w:rPr>
          <w:rFonts w:ascii="Arial" w:hAnsi="Arial" w:cs="Arial"/>
          <w:i/>
        </w:rPr>
      </w:pPr>
      <w:r>
        <w:rPr>
          <w:rFonts w:ascii="Arial" w:hAnsi="Arial" w:cs="Arial"/>
          <w:i/>
        </w:rPr>
        <w:t xml:space="preserve">Aunado a lo anterior le informo que </w:t>
      </w:r>
      <w:r w:rsidRPr="001C0520">
        <w:rPr>
          <w:rFonts w:ascii="Arial" w:hAnsi="Arial" w:cs="Arial"/>
          <w:b/>
          <w:i/>
          <w:u w:val="single"/>
        </w:rPr>
        <w:t>no es posible obsequiar su petición como procedente, por no encontrarse regulada por la Ley de Pensiones para los Trabajadores del Gobierno del Estado de Oaxaca</w:t>
      </w:r>
      <w:r>
        <w:rPr>
          <w:rFonts w:ascii="Arial" w:hAnsi="Arial" w:cs="Arial"/>
          <w:i/>
        </w:rPr>
        <w:t>.”</w:t>
      </w:r>
    </w:p>
    <w:p w:rsidR="00A937BD" w:rsidRDefault="00A937BD" w:rsidP="00A937BD">
      <w:pPr>
        <w:ind w:left="567" w:right="758" w:firstLine="567"/>
        <w:jc w:val="both"/>
        <w:rPr>
          <w:rFonts w:ascii="Arial" w:hAnsi="Arial" w:cs="Arial"/>
          <w:i/>
        </w:rPr>
      </w:pPr>
    </w:p>
    <w:p w:rsidR="00A937BD" w:rsidRDefault="00A937BD" w:rsidP="00A937BD">
      <w:pPr>
        <w:ind w:firstLine="567"/>
        <w:jc w:val="both"/>
        <w:rPr>
          <w:rFonts w:ascii="Arial" w:hAnsi="Arial" w:cs="Arial"/>
        </w:rPr>
      </w:pPr>
      <w:r w:rsidRPr="00F52D5F">
        <w:rPr>
          <w:rFonts w:ascii="Arial" w:hAnsi="Arial" w:cs="Arial"/>
        </w:rPr>
        <w:t xml:space="preserve">De  la anterior transcripción del acto impugnado, </w:t>
      </w:r>
      <w:r w:rsidRPr="008348FD">
        <w:rPr>
          <w:rFonts w:ascii="Arial" w:hAnsi="Arial" w:cs="Arial"/>
          <w:b/>
        </w:rPr>
        <w:t>resultan fundados</w:t>
      </w:r>
      <w:r w:rsidRPr="00F52D5F">
        <w:rPr>
          <w:rFonts w:ascii="Arial" w:hAnsi="Arial" w:cs="Arial"/>
        </w:rPr>
        <w:t xml:space="preserve"> los conceptos de impugnación expuestos por </w:t>
      </w:r>
      <w:r>
        <w:rPr>
          <w:rFonts w:ascii="Arial" w:hAnsi="Arial" w:cs="Arial"/>
        </w:rPr>
        <w:t>el actor</w:t>
      </w:r>
      <w:r w:rsidRPr="00F52D5F">
        <w:rPr>
          <w:rFonts w:ascii="Arial" w:hAnsi="Arial" w:cs="Arial"/>
        </w:rPr>
        <w:t xml:space="preserve"> en su demanda; toda vez que adoptando una interpretación de carácter sistemático y funcional, es dable señalar que el artículo 63</w:t>
      </w:r>
      <w:r>
        <w:rPr>
          <w:rStyle w:val="Refdenotaalpie"/>
          <w:rFonts w:ascii="Arial" w:hAnsi="Arial" w:cs="Arial"/>
        </w:rPr>
        <w:footnoteReference w:id="3"/>
      </w:r>
      <w:r w:rsidRPr="00F52D5F">
        <w:rPr>
          <w:rFonts w:ascii="Arial" w:hAnsi="Arial" w:cs="Arial"/>
        </w:rPr>
        <w:t xml:space="preserve">, de la Ley de Pensiones para los Trabajadores del Estado de Oaxaca,  contempla diversos supuestos dentro de  los cuales se encuentra la devolución de descuentos,  siempre y cuando se reclamen dentro del término de los tres años a la fecha en que hubieren sido exigibles, como lo son en este caso específico, en que </w:t>
      </w:r>
      <w:r>
        <w:rPr>
          <w:rFonts w:ascii="Arial" w:hAnsi="Arial" w:cs="Arial"/>
        </w:rPr>
        <w:t>el actor</w:t>
      </w:r>
      <w:r w:rsidRPr="00F52D5F">
        <w:rPr>
          <w:rFonts w:ascii="Arial" w:hAnsi="Arial" w:cs="Arial"/>
        </w:rPr>
        <w:t xml:space="preserve"> solicitó  el </w:t>
      </w:r>
      <w:r>
        <w:rPr>
          <w:rFonts w:ascii="Arial" w:hAnsi="Arial" w:cs="Arial"/>
        </w:rPr>
        <w:t>24</w:t>
      </w:r>
      <w:r w:rsidRPr="00F52D5F">
        <w:rPr>
          <w:rFonts w:ascii="Arial" w:hAnsi="Arial" w:cs="Arial"/>
        </w:rPr>
        <w:t xml:space="preserve"> </w:t>
      </w:r>
      <w:r>
        <w:rPr>
          <w:rFonts w:ascii="Arial" w:hAnsi="Arial" w:cs="Arial"/>
        </w:rPr>
        <w:t>veinticuatro</w:t>
      </w:r>
      <w:r w:rsidRPr="00F52D5F">
        <w:rPr>
          <w:rFonts w:ascii="Arial" w:hAnsi="Arial" w:cs="Arial"/>
        </w:rPr>
        <w:t xml:space="preserve"> de </w:t>
      </w:r>
      <w:r>
        <w:rPr>
          <w:rFonts w:ascii="Arial" w:hAnsi="Arial" w:cs="Arial"/>
        </w:rPr>
        <w:t>octubre</w:t>
      </w:r>
      <w:r w:rsidRPr="00F52D5F">
        <w:rPr>
          <w:rFonts w:ascii="Arial" w:hAnsi="Arial" w:cs="Arial"/>
        </w:rPr>
        <w:t xml:space="preserve"> de 201</w:t>
      </w:r>
      <w:r>
        <w:rPr>
          <w:rFonts w:ascii="Arial" w:hAnsi="Arial" w:cs="Arial"/>
        </w:rPr>
        <w:t>8</w:t>
      </w:r>
      <w:r w:rsidRPr="00F52D5F">
        <w:rPr>
          <w:rFonts w:ascii="Arial" w:hAnsi="Arial" w:cs="Arial"/>
        </w:rPr>
        <w:t xml:space="preserve"> dos mil </w:t>
      </w:r>
      <w:r>
        <w:rPr>
          <w:rFonts w:ascii="Arial" w:hAnsi="Arial" w:cs="Arial"/>
        </w:rPr>
        <w:t>dieciocho</w:t>
      </w:r>
      <w:r w:rsidRPr="00F52D5F">
        <w:rPr>
          <w:rFonts w:ascii="Arial" w:hAnsi="Arial" w:cs="Arial"/>
        </w:rPr>
        <w:t xml:space="preserve">, la devolución de </w:t>
      </w:r>
      <w:r w:rsidRPr="00F52D5F">
        <w:rPr>
          <w:rFonts w:ascii="Arial" w:hAnsi="Arial" w:cs="Arial"/>
          <w:b/>
        </w:rPr>
        <w:t xml:space="preserve">los descuentos efectuados </w:t>
      </w:r>
      <w:r w:rsidRPr="00F52D5F">
        <w:rPr>
          <w:rFonts w:ascii="Arial" w:hAnsi="Arial" w:cs="Arial"/>
        </w:rPr>
        <w:t>de su pensión para el Fondo de Pensiones del periodo comprendido de</w:t>
      </w:r>
      <w:r>
        <w:rPr>
          <w:rFonts w:ascii="Arial" w:hAnsi="Arial" w:cs="Arial"/>
        </w:rPr>
        <w:t xml:space="preserve"> </w:t>
      </w:r>
      <w:r w:rsidRPr="00F52D5F">
        <w:rPr>
          <w:rFonts w:ascii="Arial" w:hAnsi="Arial" w:cs="Arial"/>
        </w:rPr>
        <w:t>l</w:t>
      </w:r>
      <w:r>
        <w:rPr>
          <w:rFonts w:ascii="Arial" w:hAnsi="Arial" w:cs="Arial"/>
        </w:rPr>
        <w:t>os</w:t>
      </w:r>
      <w:r w:rsidRPr="00F52D5F">
        <w:rPr>
          <w:rFonts w:ascii="Arial" w:hAnsi="Arial" w:cs="Arial"/>
        </w:rPr>
        <w:t xml:space="preserve"> mes</w:t>
      </w:r>
      <w:r>
        <w:rPr>
          <w:rFonts w:ascii="Arial" w:hAnsi="Arial" w:cs="Arial"/>
        </w:rPr>
        <w:t>es</w:t>
      </w:r>
      <w:r w:rsidRPr="00F52D5F">
        <w:rPr>
          <w:rFonts w:ascii="Arial" w:hAnsi="Arial" w:cs="Arial"/>
        </w:rPr>
        <w:t xml:space="preserve"> de </w:t>
      </w:r>
      <w:r>
        <w:rPr>
          <w:rFonts w:ascii="Arial" w:hAnsi="Arial" w:cs="Arial"/>
        </w:rPr>
        <w:t>enero a junio del 2018 dos mil dieciocho</w:t>
      </w:r>
      <w:r w:rsidRPr="00F52D5F">
        <w:rPr>
          <w:rFonts w:ascii="Arial" w:hAnsi="Arial" w:cs="Arial"/>
        </w:rPr>
        <w:t>, de acuerdo a  solicitud que obra a foja 1</w:t>
      </w:r>
      <w:r>
        <w:rPr>
          <w:rFonts w:ascii="Arial" w:hAnsi="Arial" w:cs="Arial"/>
        </w:rPr>
        <w:t xml:space="preserve">1 </w:t>
      </w:r>
      <w:r w:rsidRPr="00F52D5F">
        <w:rPr>
          <w:rFonts w:ascii="Arial" w:hAnsi="Arial" w:cs="Arial"/>
        </w:rPr>
        <w:t xml:space="preserve">del expediente natural al rubro indicado, mismo que hace prueba plena con fundamento en el artículo </w:t>
      </w:r>
      <w:r>
        <w:rPr>
          <w:rFonts w:ascii="Arial" w:hAnsi="Arial" w:cs="Arial"/>
        </w:rPr>
        <w:t>203</w:t>
      </w:r>
      <w:r w:rsidRPr="00F52D5F">
        <w:rPr>
          <w:rFonts w:ascii="Arial" w:hAnsi="Arial" w:cs="Arial"/>
        </w:rPr>
        <w:t xml:space="preserve"> de la </w:t>
      </w:r>
      <w:r>
        <w:rPr>
          <w:rFonts w:ascii="Arial" w:hAnsi="Arial" w:cs="Arial"/>
        </w:rPr>
        <w:t>L</w:t>
      </w:r>
      <w:r w:rsidRPr="00F52D5F">
        <w:rPr>
          <w:rFonts w:ascii="Arial" w:hAnsi="Arial" w:cs="Arial"/>
        </w:rPr>
        <w:t>ey ya citada. - - -  - - - - - - - - - - - - -</w:t>
      </w:r>
      <w:r>
        <w:rPr>
          <w:rFonts w:ascii="Arial" w:hAnsi="Arial" w:cs="Arial"/>
        </w:rPr>
        <w:t xml:space="preserve"> - - - - - - - - - - - - - - - - - - - - - -  - - - - - - - - - - - - </w:t>
      </w:r>
    </w:p>
    <w:p w:rsidR="00A937BD" w:rsidRDefault="00A937BD" w:rsidP="00A937BD">
      <w:pPr>
        <w:ind w:firstLine="567"/>
        <w:jc w:val="both"/>
        <w:rPr>
          <w:rFonts w:ascii="Arial" w:hAnsi="Arial" w:cs="Arial"/>
        </w:rPr>
      </w:pPr>
    </w:p>
    <w:p w:rsidR="00A937BD" w:rsidRPr="00F52D5F" w:rsidRDefault="00A937BD" w:rsidP="00A937BD">
      <w:pPr>
        <w:ind w:firstLine="567"/>
        <w:jc w:val="both"/>
        <w:rPr>
          <w:rFonts w:ascii="Arial" w:hAnsi="Arial" w:cs="Arial"/>
        </w:rPr>
      </w:pPr>
      <w:r w:rsidRPr="00F52D5F">
        <w:rPr>
          <w:rFonts w:ascii="Arial" w:hAnsi="Arial" w:cs="Arial"/>
        </w:rPr>
        <w:t xml:space="preserve">Así, en el asunto que nos ocupa, es evidente que la   autoridad demandada al no considerar el contenido del artículo 63 de la Ley de Pensiones para los Trabajadores del Gobierno del Estado de Oaxaca  que dice </w:t>
      </w:r>
      <w:r w:rsidRPr="00F52D5F">
        <w:rPr>
          <w:rFonts w:ascii="Arial" w:hAnsi="Arial" w:cs="Arial"/>
          <w:i/>
        </w:rPr>
        <w:t xml:space="preserve">“Las prestaciones caídas, la devolución de descuentos, los intereses y cualquiera prestación a cargo del Fondo de Pensiones, que no se reclame dentro de los tres años siguientes a la fecha en que hubieren sido exigibles, prescribirán a favor de dicho Fondo …” </w:t>
      </w:r>
      <w:r w:rsidRPr="00F52D5F">
        <w:rPr>
          <w:rFonts w:ascii="Arial" w:hAnsi="Arial" w:cs="Arial"/>
        </w:rPr>
        <w:t xml:space="preserve"> su determinación  trascendió en el sentido del acto impugnado afectando la esfera jurídica de la parte actora; pues  la misma se encontraba dentro del término establecido por el artículo </w:t>
      </w:r>
      <w:r>
        <w:rPr>
          <w:rFonts w:ascii="Arial" w:hAnsi="Arial" w:cs="Arial"/>
        </w:rPr>
        <w:t>en cita</w:t>
      </w:r>
      <w:r w:rsidRPr="00F52D5F">
        <w:rPr>
          <w:rFonts w:ascii="Arial" w:hAnsi="Arial" w:cs="Arial"/>
        </w:rPr>
        <w:t xml:space="preserve"> para reclamar la devolución de los descuentos ya mencionados, puesto que su derecho prescribirá solo cuando no se reclamen dentro de los tres años siguientes a la fecha en que hubieran sido exigibles, más aun cuando las disposiciones fundamento para realizar dichos descuentos han sido declarados inconstitucionales e inconvencionales. Situación jurídica que tuvo como esencia tomar en cuenta que el jubilado ya aportó cuotas durante su vida laboral para gozar del beneficio respectivo, por lo que los descuentos por el concepto del 9% a la pensión por jubilación de acuerdo a dicha declaratoria de inconvencionalidad </w:t>
      </w:r>
      <w:r>
        <w:rPr>
          <w:rFonts w:ascii="Arial" w:hAnsi="Arial" w:cs="Arial"/>
          <w:b/>
        </w:rPr>
        <w:t>es</w:t>
      </w:r>
      <w:r w:rsidRPr="00F52D5F">
        <w:rPr>
          <w:rFonts w:ascii="Arial" w:hAnsi="Arial" w:cs="Arial"/>
          <w:b/>
        </w:rPr>
        <w:t xml:space="preserve"> un descuento indebido a la pensión jubilatoria</w:t>
      </w:r>
      <w:r w:rsidRPr="00F52D5F">
        <w:rPr>
          <w:rFonts w:ascii="Arial" w:hAnsi="Arial" w:cs="Arial"/>
        </w:rPr>
        <w:t xml:space="preserve">. - - - - - - - - - - - - - - - - - - - -  - - - - -- - - - - - </w:t>
      </w:r>
    </w:p>
    <w:p w:rsidR="00A937BD" w:rsidRDefault="00A937BD" w:rsidP="00A937BD">
      <w:pPr>
        <w:ind w:firstLine="567"/>
        <w:jc w:val="both"/>
        <w:rPr>
          <w:rFonts w:ascii="Arial" w:hAnsi="Arial" w:cs="Arial"/>
        </w:rPr>
      </w:pPr>
      <w:r w:rsidRPr="00F52D5F">
        <w:rPr>
          <w:rFonts w:ascii="Arial" w:hAnsi="Arial" w:cs="Arial"/>
        </w:rPr>
        <w:lastRenderedPageBreak/>
        <w:t xml:space="preserve"> De igual manera, en el acto impugnado y como parte de su motivación la autoridad demandada cita el oficio </w:t>
      </w:r>
      <w:r>
        <w:rPr>
          <w:rFonts w:ascii="Arial" w:hAnsi="Arial" w:cs="Arial"/>
          <w:b/>
          <w:color w:val="000000" w:themeColor="text1"/>
        </w:rPr>
        <w:t xml:space="preserve">***** ***** </w:t>
      </w:r>
      <w:r w:rsidRPr="00F52D5F">
        <w:rPr>
          <w:rFonts w:ascii="Arial" w:hAnsi="Arial" w:cs="Arial"/>
        </w:rPr>
        <w:t xml:space="preserve">, de fecha </w:t>
      </w:r>
      <w:r>
        <w:rPr>
          <w:rFonts w:ascii="Arial" w:hAnsi="Arial" w:cs="Arial"/>
        </w:rPr>
        <w:t>30 treinta de diciembre</w:t>
      </w:r>
      <w:r w:rsidRPr="00F52D5F">
        <w:rPr>
          <w:rFonts w:ascii="Arial" w:hAnsi="Arial" w:cs="Arial"/>
        </w:rPr>
        <w:t xml:space="preserve"> del </w:t>
      </w:r>
      <w:r>
        <w:rPr>
          <w:rFonts w:ascii="Arial" w:hAnsi="Arial" w:cs="Arial"/>
        </w:rPr>
        <w:t>2015 dos</w:t>
      </w:r>
      <w:r w:rsidRPr="00F52D5F">
        <w:rPr>
          <w:rFonts w:ascii="Arial" w:hAnsi="Arial" w:cs="Arial"/>
        </w:rPr>
        <w:t xml:space="preserve"> mil </w:t>
      </w:r>
      <w:r>
        <w:rPr>
          <w:rFonts w:ascii="Arial" w:hAnsi="Arial" w:cs="Arial"/>
        </w:rPr>
        <w:t>quince</w:t>
      </w:r>
      <w:r w:rsidRPr="00F52D5F">
        <w:rPr>
          <w:rFonts w:ascii="Arial" w:hAnsi="Arial" w:cs="Arial"/>
        </w:rPr>
        <w:t xml:space="preserve"> ofrecido por la parte actora, misma que obra  foja </w:t>
      </w:r>
      <w:r>
        <w:rPr>
          <w:rFonts w:ascii="Arial" w:hAnsi="Arial" w:cs="Arial"/>
        </w:rPr>
        <w:t>12</w:t>
      </w:r>
      <w:r w:rsidRPr="00F52D5F">
        <w:rPr>
          <w:rFonts w:ascii="Arial" w:hAnsi="Arial" w:cs="Arial"/>
        </w:rPr>
        <w:t xml:space="preserve"> del expediente natural al  rubro indicado</w:t>
      </w:r>
      <w:r>
        <w:rPr>
          <w:rFonts w:ascii="Arial" w:hAnsi="Arial" w:cs="Arial"/>
        </w:rPr>
        <w:t xml:space="preserve"> y</w:t>
      </w:r>
      <w:r w:rsidRPr="00F52D5F">
        <w:rPr>
          <w:rFonts w:ascii="Arial" w:hAnsi="Arial" w:cs="Arial"/>
        </w:rPr>
        <w:t xml:space="preserve"> que hace prueba plena con fundamento </w:t>
      </w:r>
      <w:r>
        <w:rPr>
          <w:rFonts w:ascii="Arial" w:hAnsi="Arial" w:cs="Arial"/>
        </w:rPr>
        <w:t>20</w:t>
      </w:r>
      <w:r w:rsidRPr="00F52D5F">
        <w:rPr>
          <w:rFonts w:ascii="Arial" w:hAnsi="Arial" w:cs="Arial"/>
        </w:rPr>
        <w:t xml:space="preserve">3 de la ley de la materia, se aprecia que se determinó el descuento del monto de 9% de su pensión otorgada  fundándose  en los artículos 6º fracción III, 18 párrafo Segundo y  Octavo Transitorio de la Ley de Pensiones para los Trabajadores del Gobierno del Estado de Oaxaca, sin embargo  fueron declarados Inconstitucionales e Inconvencionales. </w:t>
      </w:r>
      <w:r>
        <w:rPr>
          <w:rFonts w:ascii="Arial" w:hAnsi="Arial" w:cs="Arial"/>
        </w:rPr>
        <w:t>Como podrá apreciarse en</w:t>
      </w:r>
      <w:r w:rsidRPr="00F52D5F">
        <w:rPr>
          <w:rFonts w:ascii="Arial" w:hAnsi="Arial" w:cs="Arial"/>
        </w:rPr>
        <w:t xml:space="preserve"> la Jurisprudencia de la Décima Época, con número de registro 2007629, sustentada por el Tribunal Colegiado en materias de Trabajo y Administrativas del Décimo Tercer Circuito en la Gaceta del Semanario Judicial de la Federación, Libro 11, Octubre de 2014, Tomo III, visible en la página 2512, en el rubro y texto siguiente: </w:t>
      </w:r>
      <w:r>
        <w:rPr>
          <w:rFonts w:ascii="Arial" w:hAnsi="Arial" w:cs="Arial"/>
        </w:rPr>
        <w:t xml:space="preserve"> - - - - - - - - - - - - - - - - - - - - - - </w:t>
      </w:r>
    </w:p>
    <w:p w:rsidR="00A937BD" w:rsidRPr="00C77465" w:rsidRDefault="00A937BD" w:rsidP="00A937BD">
      <w:pPr>
        <w:pStyle w:val="Textonotapie"/>
        <w:ind w:left="567" w:right="760"/>
        <w:jc w:val="both"/>
        <w:rPr>
          <w:rFonts w:ascii="Arial" w:hAnsi="Arial" w:cs="Arial"/>
          <w:b/>
          <w:bCs/>
          <w:i/>
          <w:color w:val="3F3F3F"/>
          <w:sz w:val="24"/>
          <w:szCs w:val="24"/>
          <w:shd w:val="clear" w:color="auto" w:fill="FFFFFF"/>
        </w:rPr>
      </w:pPr>
      <w:r w:rsidRPr="00C77465">
        <w:rPr>
          <w:rFonts w:ascii="Arial" w:hAnsi="Arial" w:cs="Arial"/>
          <w:b/>
          <w:bCs/>
          <w:i/>
          <w:color w:val="3F3F3F"/>
          <w:sz w:val="24"/>
          <w:szCs w:val="24"/>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A937BD" w:rsidRPr="001B6288" w:rsidRDefault="00A937BD" w:rsidP="00A937BD">
      <w:pPr>
        <w:pStyle w:val="Textonotapie"/>
        <w:ind w:left="567" w:right="760"/>
        <w:jc w:val="both"/>
        <w:rPr>
          <w:rFonts w:ascii="Arial" w:hAnsi="Arial" w:cs="Arial"/>
          <w:sz w:val="24"/>
          <w:szCs w:val="24"/>
        </w:rPr>
      </w:pPr>
      <w:r w:rsidRPr="00C77465">
        <w:rPr>
          <w:rFonts w:ascii="Arial" w:hAnsi="Arial" w:cs="Arial"/>
          <w:i/>
          <w:color w:val="3F3F3F"/>
          <w:sz w:val="24"/>
          <w:szCs w:val="24"/>
          <w:shd w:val="clear" w:color="auto" w:fill="FFFFFF"/>
        </w:rPr>
        <w:t>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C77465">
        <w:rPr>
          <w:rFonts w:ascii="Arial" w:hAnsi="Arial" w:cs="Arial"/>
          <w:color w:val="3F3F3F"/>
          <w:sz w:val="24"/>
          <w:szCs w:val="24"/>
        </w:rPr>
        <w:br/>
      </w:r>
    </w:p>
    <w:p w:rsidR="00A937BD" w:rsidRPr="00F52D5F" w:rsidRDefault="00A937BD" w:rsidP="00A937BD">
      <w:pPr>
        <w:ind w:firstLine="567"/>
        <w:jc w:val="both"/>
        <w:rPr>
          <w:rFonts w:ascii="Arial" w:hAnsi="Arial" w:cs="Arial"/>
        </w:rPr>
      </w:pPr>
      <w:r w:rsidRPr="00F52D5F">
        <w:rPr>
          <w:rFonts w:ascii="Arial" w:hAnsi="Arial" w:cs="Arial"/>
        </w:rPr>
        <w:t xml:space="preserve">En ese contexto e interpretando al artículo </w:t>
      </w:r>
      <w:r>
        <w:rPr>
          <w:rFonts w:ascii="Arial" w:hAnsi="Arial" w:cs="Arial"/>
        </w:rPr>
        <w:t>1</w:t>
      </w:r>
      <w:r w:rsidRPr="00F52D5F">
        <w:rPr>
          <w:rFonts w:ascii="Arial" w:hAnsi="Arial" w:cs="Arial"/>
        </w:rPr>
        <w:t>7 fracción V de la Ley de</w:t>
      </w:r>
      <w:r>
        <w:rPr>
          <w:rFonts w:ascii="Arial" w:hAnsi="Arial" w:cs="Arial"/>
        </w:rPr>
        <w:t xml:space="preserve"> Procedimiento y</w:t>
      </w:r>
      <w:r w:rsidRPr="00F52D5F">
        <w:rPr>
          <w:rFonts w:ascii="Arial" w:hAnsi="Arial" w:cs="Arial"/>
        </w:rPr>
        <w:t xml:space="preserve"> Justicia Administrativa para el Estado de Oaxaca</w:t>
      </w:r>
      <w:r w:rsidRPr="00F52D5F">
        <w:rPr>
          <w:rStyle w:val="Refdenotaalpie"/>
          <w:rFonts w:ascii="Arial" w:hAnsi="Arial" w:cs="Arial"/>
        </w:rPr>
        <w:footnoteReference w:id="4"/>
      </w:r>
      <w:r w:rsidRPr="00F52D5F">
        <w:rPr>
          <w:rFonts w:ascii="Arial" w:hAnsi="Arial" w:cs="Arial"/>
        </w:rPr>
        <w:t xml:space="preserve">, que rige el proceso del presente juicio, señala entre otros, como requisito de validez de todo acto administrativo, que debe estar fundado y motivado; en el caso no acótense. </w:t>
      </w:r>
      <w:r w:rsidRPr="00F52D5F">
        <w:rPr>
          <w:rFonts w:ascii="Arial" w:eastAsia="Times New Roman" w:hAnsi="Arial" w:cs="Arial"/>
          <w:lang w:eastAsia="es-MX"/>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F52D5F">
        <w:rPr>
          <w:rFonts w:ascii="Arial" w:eastAsia="Times New Roman" w:hAnsi="Arial" w:cs="Arial"/>
          <w:noProof/>
          <w:lang w:eastAsia="es-MX"/>
        </w:rPr>
        <w:t xml:space="preserve">  </w:t>
      </w:r>
    </w:p>
    <w:p w:rsidR="00A937BD" w:rsidRPr="00F52D5F" w:rsidRDefault="00A937BD" w:rsidP="00A937BD">
      <w:pPr>
        <w:spacing w:after="0"/>
        <w:ind w:left="709" w:right="758"/>
        <w:jc w:val="both"/>
        <w:rPr>
          <w:rFonts w:ascii="Arial" w:eastAsia="Times New Roman" w:hAnsi="Arial" w:cs="Arial"/>
          <w:b/>
          <w:i/>
          <w:noProof/>
          <w:lang w:eastAsia="es-MX"/>
        </w:rPr>
      </w:pPr>
      <w:r w:rsidRPr="00F52D5F">
        <w:rPr>
          <w:rFonts w:ascii="Arial" w:eastAsia="Times New Roman" w:hAnsi="Arial" w:cs="Arial"/>
          <w:noProof/>
          <w:lang w:eastAsia="es-MX"/>
        </w:rPr>
        <w:lastRenderedPageBreak/>
        <w:t xml:space="preserve"> “</w:t>
      </w:r>
      <w:r w:rsidRPr="00F52D5F">
        <w:rPr>
          <w:rFonts w:ascii="Arial" w:eastAsia="Times New Roman" w:hAnsi="Arial" w:cs="Arial"/>
          <w:b/>
          <w:i/>
          <w:noProof/>
          <w:lang w:eastAsia="es-MX"/>
        </w:rPr>
        <w:t>FUNDAMENTACION Y MOTIVACION DE LOS ACTOS ADMINISTRATIVOS.</w:t>
      </w:r>
    </w:p>
    <w:p w:rsidR="00A937BD" w:rsidRPr="00F52D5F" w:rsidRDefault="00A937BD" w:rsidP="00A937BD">
      <w:pPr>
        <w:spacing w:after="0"/>
        <w:ind w:left="709" w:right="758"/>
        <w:jc w:val="both"/>
        <w:rPr>
          <w:rFonts w:ascii="Arial" w:eastAsia="Times New Roman" w:hAnsi="Arial" w:cs="Arial"/>
          <w:i/>
          <w:noProof/>
          <w:lang w:eastAsia="es-MX"/>
        </w:rPr>
      </w:pPr>
      <w:r w:rsidRPr="00F52D5F">
        <w:rPr>
          <w:rFonts w:ascii="Arial" w:eastAsia="Times New Roman" w:hAnsi="Arial" w:cs="Arial"/>
          <w:i/>
          <w:noProof/>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A937BD" w:rsidRPr="00F52D5F" w:rsidRDefault="00A937BD" w:rsidP="00A937BD">
      <w:pPr>
        <w:jc w:val="both"/>
        <w:rPr>
          <w:rFonts w:ascii="Arial" w:hAnsi="Arial" w:cs="Arial"/>
        </w:rPr>
      </w:pPr>
    </w:p>
    <w:p w:rsidR="00A937BD" w:rsidRPr="00F52D5F" w:rsidRDefault="00A937BD" w:rsidP="00A937BD">
      <w:pPr>
        <w:ind w:firstLine="567"/>
        <w:jc w:val="both"/>
        <w:rPr>
          <w:rFonts w:ascii="Arial" w:hAnsi="Arial" w:cs="Arial"/>
        </w:rPr>
      </w:pPr>
      <w:r w:rsidRPr="00F52D5F">
        <w:rPr>
          <w:rFonts w:ascii="Arial" w:hAnsi="Arial" w:cs="Arial"/>
        </w:rPr>
        <w:t>De ahí que</w:t>
      </w:r>
      <w:r>
        <w:rPr>
          <w:rFonts w:ascii="Arial" w:hAnsi="Arial" w:cs="Arial"/>
        </w:rPr>
        <w:t>,</w:t>
      </w:r>
      <w:r w:rsidRPr="00F52D5F">
        <w:rPr>
          <w:rFonts w:ascii="Arial" w:hAnsi="Arial" w:cs="Arial"/>
        </w:rPr>
        <w:t xml:space="preserve"> al no existir una correcta adecuación entre los motivos aducidos y normas aplicables trajo como consecuencia los agravios expresados por la parte actora con la emisión de la resolución aquí impugnada por lo que resulta ilegal dicho acto, que obliga reparar sus derechos afectados. - - - - - - - - - - - - - - - - - - - - - - - - - - - - - - - - - - - - - </w:t>
      </w:r>
    </w:p>
    <w:p w:rsidR="00A937BD" w:rsidRPr="00F52D5F" w:rsidRDefault="00A937BD" w:rsidP="00A937BD">
      <w:pPr>
        <w:ind w:firstLine="567"/>
        <w:jc w:val="both"/>
        <w:rPr>
          <w:rFonts w:ascii="Arial" w:hAnsi="Arial" w:cs="Arial"/>
        </w:rPr>
      </w:pPr>
      <w:r w:rsidRPr="00F52D5F">
        <w:rPr>
          <w:rFonts w:ascii="Arial" w:hAnsi="Arial" w:cs="Arial"/>
        </w:rPr>
        <w:t>Por lo que considerando la pretensión esencial de la parte actora consistente en que se devuelvan las cantidades descontadas de su pensión del periodo comprendido de</w:t>
      </w:r>
      <w:r>
        <w:rPr>
          <w:rFonts w:ascii="Arial" w:hAnsi="Arial" w:cs="Arial"/>
        </w:rPr>
        <w:t xml:space="preserve"> </w:t>
      </w:r>
      <w:r w:rsidRPr="00F52D5F">
        <w:rPr>
          <w:rFonts w:ascii="Arial" w:hAnsi="Arial" w:cs="Arial"/>
        </w:rPr>
        <w:t>l</w:t>
      </w:r>
      <w:r>
        <w:rPr>
          <w:rFonts w:ascii="Arial" w:hAnsi="Arial" w:cs="Arial"/>
        </w:rPr>
        <w:t>os</w:t>
      </w:r>
      <w:r w:rsidRPr="00F52D5F">
        <w:rPr>
          <w:rFonts w:ascii="Arial" w:hAnsi="Arial" w:cs="Arial"/>
        </w:rPr>
        <w:t xml:space="preserve"> mes</w:t>
      </w:r>
      <w:r>
        <w:rPr>
          <w:rFonts w:ascii="Arial" w:hAnsi="Arial" w:cs="Arial"/>
        </w:rPr>
        <w:t>es de</w:t>
      </w:r>
      <w:r w:rsidRPr="00F52D5F">
        <w:rPr>
          <w:rFonts w:ascii="Arial" w:hAnsi="Arial" w:cs="Arial"/>
        </w:rPr>
        <w:t xml:space="preserve"> </w:t>
      </w:r>
      <w:r>
        <w:rPr>
          <w:rFonts w:ascii="Arial" w:hAnsi="Arial" w:cs="Arial"/>
        </w:rPr>
        <w:t>enero a junio del 2018 dos mil dieciocho</w:t>
      </w:r>
      <w:r w:rsidRPr="00F52D5F">
        <w:rPr>
          <w:rFonts w:ascii="Arial" w:hAnsi="Arial" w:cs="Arial"/>
          <w:b/>
        </w:rPr>
        <w:t>, es procedente</w:t>
      </w:r>
      <w:r w:rsidRPr="00F52D5F">
        <w:rPr>
          <w:rFonts w:ascii="Arial" w:hAnsi="Arial" w:cs="Arial"/>
        </w:rPr>
        <w:t>, al estar dentro del término concedido por el artículo 63 de la Ley de Pensiones  para el Gobierno del Estado de Oaxaca,</w:t>
      </w:r>
      <w:r w:rsidRPr="00F52D5F">
        <w:rPr>
          <w:rStyle w:val="Refdenotaalpie"/>
          <w:rFonts w:ascii="Arial" w:hAnsi="Arial" w:cs="Arial"/>
        </w:rPr>
        <w:footnoteReference w:id="5"/>
      </w:r>
      <w:r w:rsidRPr="00F52D5F">
        <w:rPr>
          <w:rFonts w:ascii="Arial" w:hAnsi="Arial" w:cs="Arial"/>
        </w:rPr>
        <w:t xml:space="preserve"> misma que especifica en el punto sexto de su demanda, primero y segundo de los conceptos de impugnación, a fojas </w:t>
      </w:r>
      <w:r>
        <w:rPr>
          <w:rFonts w:ascii="Arial" w:hAnsi="Arial" w:cs="Arial"/>
        </w:rPr>
        <w:t xml:space="preserve">3 a 7 </w:t>
      </w:r>
      <w:r w:rsidRPr="00F52D5F">
        <w:rPr>
          <w:rFonts w:ascii="Arial" w:hAnsi="Arial" w:cs="Arial"/>
        </w:rPr>
        <w:t xml:space="preserve">del expediente al rubro indicado del índice de esta Sala y cuyo monto de descuento se aprecia en los comprobantes de pago de su pensión correspondiente de </w:t>
      </w:r>
      <w:r>
        <w:rPr>
          <w:rFonts w:ascii="Arial" w:hAnsi="Arial" w:cs="Arial"/>
        </w:rPr>
        <w:t>enero a junio del dos mil dieciocho, que se aprecian a fojas 23 a 25 del expediente principal al rubro indicado y</w:t>
      </w:r>
      <w:r w:rsidRPr="00F52D5F">
        <w:rPr>
          <w:rFonts w:ascii="Arial" w:hAnsi="Arial" w:cs="Arial"/>
        </w:rPr>
        <w:t xml:space="preserve"> que desde luego se relaciona con todos y cada uno de los puntos controvertidos y planteados en la demanda; esto es, la retención del 9% </w:t>
      </w:r>
      <w:r>
        <w:rPr>
          <w:rFonts w:ascii="Arial" w:hAnsi="Arial" w:cs="Arial"/>
        </w:rPr>
        <w:t>de su pensión del ahora actor</w:t>
      </w:r>
      <w:r w:rsidRPr="00F52D5F">
        <w:rPr>
          <w:rFonts w:ascii="Arial" w:hAnsi="Arial" w:cs="Arial"/>
        </w:rPr>
        <w:t xml:space="preserve"> para el Fondo de Pensiones a partir de los meses antes referidos, lo cual produce prueba plena, conforme a lo dispuesto en el artículo </w:t>
      </w:r>
      <w:r>
        <w:rPr>
          <w:rFonts w:ascii="Arial" w:hAnsi="Arial" w:cs="Arial"/>
        </w:rPr>
        <w:t>20</w:t>
      </w:r>
      <w:r w:rsidRPr="00F52D5F">
        <w:rPr>
          <w:rFonts w:ascii="Arial" w:hAnsi="Arial" w:cs="Arial"/>
        </w:rPr>
        <w:t>3 fracción I de la Ley de</w:t>
      </w:r>
      <w:r>
        <w:rPr>
          <w:rFonts w:ascii="Arial" w:hAnsi="Arial" w:cs="Arial"/>
        </w:rPr>
        <w:t xml:space="preserve"> Procedimiento y</w:t>
      </w:r>
      <w:r w:rsidRPr="00F52D5F">
        <w:rPr>
          <w:rFonts w:ascii="Arial" w:hAnsi="Arial" w:cs="Arial"/>
        </w:rPr>
        <w:t xml:space="preserve"> Justicia Administrativa</w:t>
      </w:r>
      <w:r>
        <w:rPr>
          <w:rFonts w:ascii="Arial" w:hAnsi="Arial" w:cs="Arial"/>
        </w:rPr>
        <w:t xml:space="preserve"> para el Estado de Oaxaca</w:t>
      </w:r>
      <w:r w:rsidRPr="00F52D5F">
        <w:rPr>
          <w:rFonts w:ascii="Arial" w:hAnsi="Arial" w:cs="Arial"/>
        </w:rPr>
        <w:t xml:space="preserve">, respecto de su contenido y alcanza para demostrar el descuento referido. - - - </w:t>
      </w:r>
    </w:p>
    <w:p w:rsidR="00A937BD" w:rsidRPr="00F52D5F" w:rsidRDefault="00A937BD" w:rsidP="00A937BD">
      <w:pPr>
        <w:spacing w:after="0"/>
        <w:ind w:right="49" w:firstLine="567"/>
        <w:jc w:val="both"/>
        <w:rPr>
          <w:rFonts w:ascii="Arial" w:hAnsi="Arial" w:cs="Arial"/>
        </w:rPr>
      </w:pPr>
      <w:r w:rsidRPr="00F52D5F">
        <w:rPr>
          <w:rFonts w:ascii="Arial" w:hAnsi="Arial" w:cs="Arial"/>
        </w:rPr>
        <w:t xml:space="preserve">Por lo expuesto, resulta procedente, conforme a la fracción II del artículo </w:t>
      </w:r>
      <w:r>
        <w:rPr>
          <w:rFonts w:ascii="Arial" w:hAnsi="Arial" w:cs="Arial"/>
        </w:rPr>
        <w:t>20</w:t>
      </w:r>
      <w:r w:rsidRPr="00F52D5F">
        <w:rPr>
          <w:rFonts w:ascii="Arial" w:hAnsi="Arial" w:cs="Arial"/>
        </w:rPr>
        <w:t xml:space="preserve">8 y </w:t>
      </w:r>
      <w:r>
        <w:rPr>
          <w:rFonts w:ascii="Arial" w:hAnsi="Arial" w:cs="Arial"/>
        </w:rPr>
        <w:t>20</w:t>
      </w:r>
      <w:r w:rsidRPr="00F52D5F">
        <w:rPr>
          <w:rFonts w:ascii="Arial" w:hAnsi="Arial" w:cs="Arial"/>
        </w:rPr>
        <w:t xml:space="preserve">9 de la Ley de la Materia, declarar la NULIDAD del Oficio </w:t>
      </w:r>
      <w:r>
        <w:rPr>
          <w:rFonts w:ascii="Arial" w:hAnsi="Arial" w:cs="Arial"/>
          <w:b/>
          <w:color w:val="000000" w:themeColor="text1"/>
        </w:rPr>
        <w:t xml:space="preserve">***** ***** </w:t>
      </w:r>
      <w:r w:rsidRPr="00F52D5F">
        <w:rPr>
          <w:rFonts w:ascii="Arial" w:hAnsi="Arial" w:cs="Arial"/>
        </w:rPr>
        <w:t xml:space="preserve">, emitida por el Director General de la Oficina de Pensiones del Estado de Oaxaca para </w:t>
      </w:r>
      <w:r w:rsidRPr="00B264AC">
        <w:rPr>
          <w:rFonts w:ascii="Arial" w:hAnsi="Arial" w:cs="Arial"/>
          <w:b/>
        </w:rPr>
        <w:t>efecto</w:t>
      </w:r>
      <w:r w:rsidRPr="00F52D5F">
        <w:rPr>
          <w:rFonts w:ascii="Arial" w:hAnsi="Arial" w:cs="Arial"/>
        </w:rPr>
        <w:t xml:space="preserve"> </w:t>
      </w:r>
      <w:r w:rsidRPr="00F52D5F">
        <w:rPr>
          <w:rFonts w:ascii="Arial" w:eastAsia="Times New Roman" w:hAnsi="Arial" w:cs="Arial"/>
          <w:lang w:eastAsia="es-MX"/>
        </w:rPr>
        <w:t xml:space="preserve">de que emita otro donde </w:t>
      </w:r>
      <w:r w:rsidRPr="00F52D5F">
        <w:rPr>
          <w:rFonts w:ascii="Arial" w:hAnsi="Arial" w:cs="Arial"/>
        </w:rPr>
        <w:t xml:space="preserve">ordene la devolución de las cantidades descontadas a la parte actora por el monto del 9% a su Pensión para el Fondo de Pensiones durante  los meses de </w:t>
      </w:r>
      <w:r>
        <w:rPr>
          <w:rFonts w:ascii="Arial" w:hAnsi="Arial" w:cs="Arial"/>
        </w:rPr>
        <w:t>enero a junio del 2018 dos mil dieciocho</w:t>
      </w:r>
      <w:r w:rsidRPr="00F52D5F">
        <w:rPr>
          <w:rFonts w:ascii="Arial" w:hAnsi="Arial" w:cs="Arial"/>
        </w:rPr>
        <w:t>.</w:t>
      </w:r>
      <w:r>
        <w:rPr>
          <w:rFonts w:ascii="Arial" w:hAnsi="Arial" w:cs="Arial"/>
        </w:rPr>
        <w:t xml:space="preserve"> - </w:t>
      </w:r>
      <w:r w:rsidRPr="00F52D5F">
        <w:rPr>
          <w:rFonts w:ascii="Arial" w:hAnsi="Arial" w:cs="Arial"/>
        </w:rPr>
        <w:t>- - - - - - - - - - - - - - -</w:t>
      </w:r>
      <w:r>
        <w:rPr>
          <w:rFonts w:ascii="Arial" w:hAnsi="Arial" w:cs="Arial"/>
        </w:rPr>
        <w:t xml:space="preserve"> - - - - - - - - - - - - - - - - - - -  </w:t>
      </w:r>
      <w:r w:rsidRPr="00F52D5F">
        <w:rPr>
          <w:rFonts w:ascii="Arial" w:hAnsi="Arial" w:cs="Arial"/>
        </w:rPr>
        <w:t xml:space="preserve"> </w:t>
      </w:r>
    </w:p>
    <w:p w:rsidR="00A937BD" w:rsidRPr="00F52D5F" w:rsidRDefault="00A937BD" w:rsidP="00A937BD">
      <w:pPr>
        <w:jc w:val="both"/>
        <w:rPr>
          <w:rFonts w:ascii="Arial" w:hAnsi="Arial" w:cs="Arial"/>
        </w:rPr>
      </w:pPr>
    </w:p>
    <w:p w:rsidR="00A937BD" w:rsidRPr="00F52D5F" w:rsidRDefault="00A937BD" w:rsidP="00A937BD">
      <w:pPr>
        <w:spacing w:after="0"/>
        <w:ind w:right="49"/>
        <w:jc w:val="center"/>
        <w:rPr>
          <w:rFonts w:ascii="Arial" w:eastAsia="Times New Roman" w:hAnsi="Arial" w:cs="Arial"/>
          <w:b/>
          <w:lang w:eastAsia="es-MX"/>
        </w:rPr>
      </w:pPr>
      <w:r w:rsidRPr="00F52D5F">
        <w:rPr>
          <w:rFonts w:ascii="Arial" w:eastAsia="Times New Roman" w:hAnsi="Arial" w:cs="Arial"/>
          <w:b/>
          <w:lang w:eastAsia="es-MX"/>
        </w:rPr>
        <w:t>R E S U E L V E:</w:t>
      </w:r>
    </w:p>
    <w:p w:rsidR="00A937BD" w:rsidRPr="00F52D5F" w:rsidRDefault="00A937BD" w:rsidP="00A937BD">
      <w:pPr>
        <w:spacing w:after="0"/>
        <w:ind w:right="49"/>
        <w:jc w:val="center"/>
        <w:rPr>
          <w:rFonts w:ascii="Arial" w:eastAsia="Times New Roman" w:hAnsi="Arial" w:cs="Arial"/>
          <w:lang w:eastAsia="es-MX"/>
        </w:rPr>
      </w:pPr>
    </w:p>
    <w:p w:rsidR="00A937BD" w:rsidRPr="00F52D5F" w:rsidRDefault="00A937BD" w:rsidP="00A937BD">
      <w:pPr>
        <w:spacing w:after="0"/>
        <w:ind w:right="49" w:firstLine="567"/>
        <w:jc w:val="both"/>
        <w:rPr>
          <w:rFonts w:ascii="Arial" w:eastAsia="Times New Roman" w:hAnsi="Arial" w:cs="Arial"/>
          <w:lang w:eastAsia="es-MX"/>
        </w:rPr>
      </w:pPr>
      <w:r w:rsidRPr="00F52D5F">
        <w:rPr>
          <w:rFonts w:ascii="Arial" w:eastAsia="Times New Roman" w:hAnsi="Arial" w:cs="Arial"/>
          <w:b/>
          <w:lang w:eastAsia="es-MX"/>
        </w:rPr>
        <w:t>PRIMERO.-</w:t>
      </w:r>
      <w:r w:rsidRPr="00F52D5F">
        <w:rPr>
          <w:rFonts w:ascii="Arial" w:eastAsia="Times New Roman" w:hAnsi="Arial" w:cs="Arial"/>
          <w:lang w:eastAsia="es-MX"/>
        </w:rPr>
        <w:t xml:space="preserve"> Esta Sexta Sala Unitaria fue competente para conocer y resolver del Presente asunto - - - - - - - - - - - - - - - - - - - - - - - - - - - - - - - - - - - - - - - - - - - - - - - - - - - - - </w:t>
      </w:r>
    </w:p>
    <w:p w:rsidR="00A937BD" w:rsidRPr="00F52D5F" w:rsidRDefault="00A937BD" w:rsidP="00A937BD">
      <w:pPr>
        <w:spacing w:after="0"/>
        <w:ind w:right="49"/>
        <w:jc w:val="both"/>
        <w:rPr>
          <w:rFonts w:ascii="Arial" w:eastAsia="Times New Roman" w:hAnsi="Arial" w:cs="Arial"/>
          <w:lang w:eastAsia="es-MX"/>
        </w:rPr>
      </w:pPr>
    </w:p>
    <w:p w:rsidR="00A937BD" w:rsidRPr="00F52D5F" w:rsidRDefault="00A937BD" w:rsidP="00A937BD">
      <w:pPr>
        <w:spacing w:after="0"/>
        <w:ind w:right="49" w:firstLine="567"/>
        <w:jc w:val="both"/>
        <w:rPr>
          <w:rFonts w:ascii="Arial" w:eastAsia="Times New Roman" w:hAnsi="Arial" w:cs="Arial"/>
          <w:lang w:eastAsia="es-MX"/>
        </w:rPr>
      </w:pPr>
      <w:r w:rsidRPr="00F52D5F">
        <w:rPr>
          <w:rFonts w:ascii="Arial" w:eastAsia="Times New Roman" w:hAnsi="Arial" w:cs="Arial"/>
          <w:b/>
          <w:lang w:eastAsia="es-MX"/>
        </w:rPr>
        <w:lastRenderedPageBreak/>
        <w:t>SEGUNDO.</w:t>
      </w:r>
      <w:r w:rsidRPr="00F52D5F">
        <w:rPr>
          <w:rFonts w:ascii="Arial" w:eastAsia="Times New Roman" w:hAnsi="Arial" w:cs="Arial"/>
          <w:lang w:eastAsia="es-MX"/>
        </w:rPr>
        <w:t xml:space="preserve"> No se actualizaron causales de improcedencia por lo que no se sobresee el juicio. -  - - - - - - - - - - - - - - - - - - - - - - - - - - - - - - - - - -  - - - - - - - - - - - - - - - - </w:t>
      </w:r>
    </w:p>
    <w:p w:rsidR="00A937BD" w:rsidRPr="00F52D5F" w:rsidRDefault="00A937BD" w:rsidP="00A937BD">
      <w:pPr>
        <w:spacing w:after="0"/>
        <w:ind w:right="49"/>
        <w:jc w:val="both"/>
        <w:rPr>
          <w:rFonts w:ascii="Arial" w:eastAsia="Times New Roman" w:hAnsi="Arial" w:cs="Arial"/>
          <w:lang w:eastAsia="es-MX"/>
        </w:rPr>
      </w:pPr>
    </w:p>
    <w:p w:rsidR="00A937BD" w:rsidRPr="00F52D5F" w:rsidRDefault="00A937BD" w:rsidP="00A937BD">
      <w:pPr>
        <w:spacing w:after="0"/>
        <w:ind w:right="49" w:firstLine="567"/>
        <w:jc w:val="both"/>
        <w:rPr>
          <w:rFonts w:ascii="Arial" w:hAnsi="Arial" w:cs="Arial"/>
        </w:rPr>
      </w:pPr>
      <w:r w:rsidRPr="00F52D5F">
        <w:rPr>
          <w:rFonts w:ascii="Arial" w:eastAsia="Times New Roman" w:hAnsi="Arial" w:cs="Arial"/>
          <w:b/>
          <w:lang w:eastAsia="es-MX"/>
        </w:rPr>
        <w:t>TERCERO.-</w:t>
      </w:r>
      <w:r w:rsidRPr="00F52D5F">
        <w:rPr>
          <w:rFonts w:ascii="Arial" w:eastAsia="Times New Roman" w:hAnsi="Arial" w:cs="Arial"/>
          <w:lang w:eastAsia="es-MX"/>
        </w:rPr>
        <w:t xml:space="preserve"> Se declara la </w:t>
      </w:r>
      <w:r w:rsidRPr="00F52D5F">
        <w:rPr>
          <w:rFonts w:ascii="Arial" w:eastAsia="Times New Roman" w:hAnsi="Arial" w:cs="Arial"/>
          <w:b/>
          <w:lang w:eastAsia="es-MX"/>
        </w:rPr>
        <w:t>NULIDAD</w:t>
      </w:r>
      <w:r w:rsidRPr="00F52D5F">
        <w:rPr>
          <w:rFonts w:ascii="Arial" w:eastAsia="Times New Roman" w:hAnsi="Arial" w:cs="Arial"/>
          <w:lang w:eastAsia="es-MX"/>
        </w:rPr>
        <w:t xml:space="preserve"> </w:t>
      </w:r>
      <w:r w:rsidRPr="00F52D5F">
        <w:rPr>
          <w:rFonts w:ascii="Arial" w:eastAsia="Times New Roman" w:hAnsi="Arial" w:cs="Arial"/>
          <w:b/>
          <w:lang w:eastAsia="es-MX"/>
        </w:rPr>
        <w:t xml:space="preserve">del oficio </w:t>
      </w:r>
      <w:r>
        <w:rPr>
          <w:rFonts w:ascii="Arial" w:hAnsi="Arial" w:cs="Arial"/>
          <w:b/>
          <w:color w:val="000000" w:themeColor="text1"/>
        </w:rPr>
        <w:t>***** *****</w:t>
      </w:r>
      <w:r w:rsidRPr="00F52D5F">
        <w:rPr>
          <w:rFonts w:ascii="Arial" w:eastAsia="Times New Roman" w:hAnsi="Arial" w:cs="Arial"/>
          <w:b/>
          <w:lang w:eastAsia="es-MX"/>
        </w:rPr>
        <w:t xml:space="preserve">, de fecha </w:t>
      </w:r>
      <w:r>
        <w:rPr>
          <w:rFonts w:ascii="Arial" w:eastAsia="Times New Roman" w:hAnsi="Arial" w:cs="Arial"/>
          <w:b/>
          <w:lang w:eastAsia="es-MX"/>
        </w:rPr>
        <w:t>06 seis</w:t>
      </w:r>
      <w:r w:rsidRPr="00F52D5F">
        <w:rPr>
          <w:rFonts w:ascii="Arial" w:eastAsia="Times New Roman" w:hAnsi="Arial" w:cs="Arial"/>
          <w:b/>
          <w:lang w:eastAsia="es-MX"/>
        </w:rPr>
        <w:t xml:space="preserve"> de </w:t>
      </w:r>
      <w:r>
        <w:rPr>
          <w:rFonts w:ascii="Arial" w:eastAsia="Times New Roman" w:hAnsi="Arial" w:cs="Arial"/>
          <w:b/>
          <w:lang w:eastAsia="es-MX"/>
        </w:rPr>
        <w:t>noviembre</w:t>
      </w:r>
      <w:r w:rsidRPr="00F52D5F">
        <w:rPr>
          <w:rFonts w:ascii="Arial" w:eastAsia="Times New Roman" w:hAnsi="Arial" w:cs="Arial"/>
          <w:b/>
          <w:lang w:eastAsia="es-MX"/>
        </w:rPr>
        <w:t xml:space="preserve"> de </w:t>
      </w:r>
      <w:r>
        <w:rPr>
          <w:rFonts w:ascii="Arial" w:eastAsia="Times New Roman" w:hAnsi="Arial" w:cs="Arial"/>
          <w:b/>
          <w:lang w:eastAsia="es-MX"/>
        </w:rPr>
        <w:t xml:space="preserve"> 2018 </w:t>
      </w:r>
      <w:r w:rsidRPr="00F52D5F">
        <w:rPr>
          <w:rFonts w:ascii="Arial" w:eastAsia="Times New Roman" w:hAnsi="Arial" w:cs="Arial"/>
          <w:b/>
          <w:lang w:eastAsia="es-MX"/>
        </w:rPr>
        <w:t xml:space="preserve">dos mil </w:t>
      </w:r>
      <w:r>
        <w:rPr>
          <w:rFonts w:ascii="Arial" w:eastAsia="Times New Roman" w:hAnsi="Arial" w:cs="Arial"/>
          <w:b/>
          <w:lang w:eastAsia="es-MX"/>
        </w:rPr>
        <w:t>dieciocho</w:t>
      </w:r>
      <w:r w:rsidRPr="00F52D5F">
        <w:rPr>
          <w:rFonts w:ascii="Arial" w:eastAsia="Times New Roman" w:hAnsi="Arial" w:cs="Arial"/>
          <w:b/>
          <w:lang w:eastAsia="es-MX"/>
        </w:rPr>
        <w:t>,</w:t>
      </w:r>
      <w:r w:rsidRPr="00F52D5F">
        <w:rPr>
          <w:rFonts w:ascii="Arial" w:eastAsia="Times New Roman" w:hAnsi="Arial" w:cs="Arial"/>
          <w:lang w:eastAsia="es-MX"/>
        </w:rPr>
        <w:t xml:space="preserve"> emitido por el Director General de la Oficina de Pensiones del Estado de Oaxaca, para el EFECTO de que emita otro, donde </w:t>
      </w:r>
      <w:r w:rsidRPr="00F52D5F">
        <w:rPr>
          <w:rFonts w:ascii="Arial" w:hAnsi="Arial" w:cs="Arial"/>
        </w:rPr>
        <w:t xml:space="preserve">ordene  la devolución,  a la parte  actora  </w:t>
      </w:r>
      <w:r>
        <w:rPr>
          <w:rFonts w:ascii="Arial" w:hAnsi="Arial" w:cs="Arial"/>
          <w:b/>
          <w:color w:val="000000" w:themeColor="text1"/>
        </w:rPr>
        <w:t>***** ***** *****</w:t>
      </w:r>
      <w:r w:rsidRPr="00F52D5F">
        <w:rPr>
          <w:rFonts w:ascii="Arial" w:hAnsi="Arial" w:cs="Arial"/>
        </w:rPr>
        <w:t xml:space="preserve">,    las cantidades   descontadas por  concepto  del 9%  de su pensión por  jubilación  para el Fondo de Pensiones, durante  los meses de </w:t>
      </w:r>
      <w:r>
        <w:rPr>
          <w:rFonts w:ascii="Arial" w:hAnsi="Arial" w:cs="Arial"/>
        </w:rPr>
        <w:t>enero a junio del 2018 dos mil dieciocho</w:t>
      </w:r>
      <w:r w:rsidRPr="00F52D5F">
        <w:rPr>
          <w:rFonts w:ascii="Arial" w:hAnsi="Arial" w:cs="Arial"/>
        </w:rPr>
        <w:t>.- - -</w:t>
      </w:r>
      <w:r>
        <w:rPr>
          <w:rFonts w:ascii="Arial" w:hAnsi="Arial" w:cs="Arial"/>
        </w:rPr>
        <w:t xml:space="preserve"> - - - - - - - - - - - - - - - - - - - - - - - - - - - - - - - - -</w:t>
      </w:r>
    </w:p>
    <w:p w:rsidR="00A937BD" w:rsidRPr="00F52D5F" w:rsidRDefault="00A937BD" w:rsidP="00A937BD">
      <w:pPr>
        <w:spacing w:after="0"/>
        <w:ind w:right="49" w:firstLine="567"/>
        <w:jc w:val="both"/>
        <w:rPr>
          <w:rFonts w:ascii="Arial" w:eastAsia="Times New Roman" w:hAnsi="Arial" w:cs="Arial"/>
          <w:b/>
          <w:lang w:eastAsia="es-MX"/>
        </w:rPr>
      </w:pPr>
    </w:p>
    <w:p w:rsidR="00A937BD" w:rsidRPr="00F52D5F" w:rsidRDefault="00A937BD" w:rsidP="00A937BD">
      <w:pPr>
        <w:spacing w:after="0"/>
        <w:ind w:right="49" w:firstLine="567"/>
        <w:jc w:val="both"/>
        <w:rPr>
          <w:rFonts w:ascii="Arial" w:eastAsia="Times New Roman" w:hAnsi="Arial" w:cs="Arial"/>
          <w:b/>
          <w:lang w:eastAsia="es-MX"/>
        </w:rPr>
      </w:pPr>
      <w:r w:rsidRPr="00F52D5F">
        <w:rPr>
          <w:rFonts w:ascii="Arial" w:eastAsia="Times New Roman" w:hAnsi="Arial" w:cs="Arial"/>
          <w:b/>
          <w:lang w:eastAsia="es-MX"/>
        </w:rPr>
        <w:t xml:space="preserve">CUARTO.- </w:t>
      </w:r>
      <w:r>
        <w:rPr>
          <w:rFonts w:ascii="Arial" w:eastAsia="Times New Roman" w:hAnsi="Arial" w:cs="Arial"/>
          <w:b/>
          <w:lang w:eastAsia="es-MX"/>
        </w:rPr>
        <w:t>NOTIFÍQUESE PERSONALMENTE AL ACTOR</w:t>
      </w:r>
      <w:r w:rsidRPr="00F52D5F">
        <w:rPr>
          <w:rFonts w:ascii="Arial" w:eastAsia="Times New Roman" w:hAnsi="Arial" w:cs="Arial"/>
          <w:b/>
          <w:lang w:eastAsia="es-MX"/>
        </w:rPr>
        <w:t xml:space="preserve"> Y POR OFICIO A LA AUTORIDAD DEMANDADA</w:t>
      </w:r>
      <w:r w:rsidRPr="00F52D5F">
        <w:rPr>
          <w:rFonts w:ascii="Arial" w:eastAsia="Times New Roman" w:hAnsi="Arial" w:cs="Arial"/>
          <w:lang w:eastAsia="es-MX"/>
        </w:rPr>
        <w:t>, co</w:t>
      </w:r>
      <w:r>
        <w:rPr>
          <w:rFonts w:ascii="Arial" w:eastAsia="Times New Roman" w:hAnsi="Arial" w:cs="Arial"/>
          <w:lang w:eastAsia="es-MX"/>
        </w:rPr>
        <w:t>n fundamento en los artículos 172 fracción I y 17</w:t>
      </w:r>
      <w:r w:rsidRPr="00F52D5F">
        <w:rPr>
          <w:rFonts w:ascii="Arial" w:eastAsia="Times New Roman" w:hAnsi="Arial" w:cs="Arial"/>
          <w:lang w:eastAsia="es-MX"/>
        </w:rPr>
        <w:t>3 fracciones I y II, de la Ley de</w:t>
      </w:r>
      <w:r>
        <w:rPr>
          <w:rFonts w:ascii="Arial" w:eastAsia="Times New Roman" w:hAnsi="Arial" w:cs="Arial"/>
          <w:lang w:eastAsia="es-MX"/>
        </w:rPr>
        <w:t xml:space="preserve"> Procedimiento y Justicia Administrativa </w:t>
      </w:r>
      <w:r w:rsidRPr="00F52D5F">
        <w:rPr>
          <w:rFonts w:ascii="Arial" w:eastAsia="Times New Roman" w:hAnsi="Arial" w:cs="Arial"/>
          <w:lang w:eastAsia="es-MX"/>
        </w:rPr>
        <w:t>para el Estado de Oaxaca,</w:t>
      </w:r>
      <w:r w:rsidRPr="00F52D5F">
        <w:rPr>
          <w:rFonts w:ascii="Arial" w:eastAsia="Times New Roman" w:hAnsi="Arial" w:cs="Arial"/>
          <w:b/>
          <w:iCs/>
          <w:lang w:eastAsia="es-MX"/>
        </w:rPr>
        <w:t>- CÚMPLASE</w:t>
      </w:r>
      <w:r w:rsidRPr="00F52D5F">
        <w:rPr>
          <w:rFonts w:ascii="Arial" w:eastAsia="Times New Roman" w:hAnsi="Arial" w:cs="Arial"/>
          <w:lang w:eastAsia="es-MX"/>
        </w:rPr>
        <w:t xml:space="preserve">. - - - - - - - - - - - - - - - - - - - - - - - - - - - - - - - - - - - - - - - - - - - - - - - - </w:t>
      </w:r>
    </w:p>
    <w:p w:rsidR="00A937BD" w:rsidRPr="00F52D5F" w:rsidRDefault="00A937BD" w:rsidP="00A937BD">
      <w:pPr>
        <w:spacing w:after="0"/>
        <w:ind w:right="49" w:firstLine="708"/>
        <w:jc w:val="both"/>
        <w:rPr>
          <w:rFonts w:ascii="Arial" w:eastAsia="Times New Roman" w:hAnsi="Arial" w:cs="Arial"/>
          <w:lang w:eastAsia="es-MX"/>
        </w:rPr>
      </w:pPr>
    </w:p>
    <w:p w:rsidR="00A937BD" w:rsidRPr="00F52D5F" w:rsidRDefault="00A937BD" w:rsidP="00A937BD">
      <w:pPr>
        <w:spacing w:after="0"/>
        <w:ind w:right="49" w:firstLine="567"/>
        <w:jc w:val="both"/>
        <w:rPr>
          <w:rFonts w:ascii="Arial" w:eastAsia="Times New Roman" w:hAnsi="Arial" w:cs="Arial"/>
          <w:b/>
          <w:lang w:val="es-ES" w:eastAsia="es-MX"/>
        </w:rPr>
      </w:pPr>
      <w:r w:rsidRPr="00F52D5F">
        <w:rPr>
          <w:rFonts w:ascii="Arial" w:eastAsia="Times New Roman" w:hAnsi="Arial" w:cs="Arial"/>
          <w:lang w:eastAsia="es-MX"/>
        </w:rPr>
        <w:t xml:space="preserve">Así lo resolvió y firmó el Titular de la Sexta Sala Unitaria de Primera Instancia  del Tribunal de </w:t>
      </w:r>
      <w:r>
        <w:rPr>
          <w:rFonts w:ascii="Arial" w:eastAsia="Times New Roman" w:hAnsi="Arial" w:cs="Arial"/>
          <w:lang w:eastAsia="es-MX"/>
        </w:rPr>
        <w:t xml:space="preserve">Justicia Administrativa para </w:t>
      </w:r>
      <w:r w:rsidRPr="00F52D5F">
        <w:rPr>
          <w:rFonts w:ascii="Arial" w:eastAsia="Times New Roman" w:hAnsi="Arial" w:cs="Arial"/>
          <w:lang w:eastAsia="es-MX"/>
        </w:rPr>
        <w:t>el Estado de Oaxaca, Magistrado Abraham Santiago Soriano, quien actúa con el Licenciado Christian Mauricio Morales Morales, Secretario de Acuerdos, que autoriza y da fe.- - - - -- - - - - - - -</w:t>
      </w:r>
      <w:r>
        <w:rPr>
          <w:rFonts w:ascii="Arial" w:eastAsia="Times New Roman" w:hAnsi="Arial" w:cs="Arial"/>
          <w:lang w:eastAsia="es-MX"/>
        </w:rPr>
        <w:t xml:space="preserve"> - - - - - - - - - - - - - - - - - - - - </w:t>
      </w:r>
    </w:p>
    <w:p w:rsidR="00A937BD" w:rsidRPr="00F52D5F" w:rsidRDefault="00A937BD" w:rsidP="00A937BD">
      <w:pPr>
        <w:jc w:val="both"/>
        <w:rPr>
          <w:rFonts w:ascii="Arial" w:hAnsi="Arial" w:cs="Arial"/>
        </w:rPr>
      </w:pPr>
    </w:p>
    <w:p w:rsidR="00A937BD" w:rsidRPr="00F52D5F" w:rsidRDefault="00A937BD" w:rsidP="00A937BD">
      <w:pPr>
        <w:jc w:val="both"/>
        <w:rPr>
          <w:rFonts w:ascii="Arial" w:hAnsi="Arial" w:cs="Arial"/>
        </w:rPr>
      </w:pPr>
    </w:p>
    <w:p w:rsidR="00A937BD" w:rsidRPr="00F52D5F" w:rsidRDefault="00A937BD" w:rsidP="00A937BD">
      <w:pPr>
        <w:spacing w:after="0"/>
        <w:ind w:firstLine="708"/>
        <w:jc w:val="both"/>
        <w:rPr>
          <w:rFonts w:ascii="Arial" w:hAnsi="Arial" w:cs="Arial"/>
        </w:rPr>
      </w:pPr>
    </w:p>
    <w:p w:rsidR="00A937BD" w:rsidRPr="00F52D5F" w:rsidRDefault="00A937BD" w:rsidP="00A937BD">
      <w:pPr>
        <w:spacing w:after="0"/>
        <w:ind w:firstLine="708"/>
        <w:jc w:val="both"/>
        <w:rPr>
          <w:rFonts w:ascii="Arial" w:hAnsi="Arial" w:cs="Arial"/>
        </w:rPr>
      </w:pPr>
    </w:p>
    <w:p w:rsidR="00A937BD" w:rsidRPr="00F52D5F" w:rsidRDefault="00A937BD" w:rsidP="00A937BD">
      <w:pPr>
        <w:rPr>
          <w:rFonts w:ascii="Arial" w:hAnsi="Arial" w:cs="Arial"/>
        </w:rPr>
      </w:pPr>
    </w:p>
    <w:p w:rsidR="00A937BD" w:rsidRPr="00F52D5F" w:rsidRDefault="00A937BD" w:rsidP="00A937BD">
      <w:pPr>
        <w:spacing w:after="0"/>
        <w:jc w:val="both"/>
        <w:rPr>
          <w:rFonts w:ascii="Arial" w:hAnsi="Arial" w:cs="Arial"/>
        </w:rPr>
      </w:pPr>
    </w:p>
    <w:p w:rsidR="00A937BD" w:rsidRPr="00F52D5F" w:rsidRDefault="00A937BD" w:rsidP="00A937BD">
      <w:pPr>
        <w:rPr>
          <w:rFonts w:ascii="Arial" w:hAnsi="Arial" w:cs="Arial"/>
        </w:rPr>
      </w:pPr>
    </w:p>
    <w:p w:rsidR="00A937BD" w:rsidRPr="00F52D5F" w:rsidRDefault="00A937BD" w:rsidP="00A937BD">
      <w:pPr>
        <w:rPr>
          <w:rFonts w:ascii="Arial" w:hAnsi="Arial" w:cs="Arial"/>
        </w:rPr>
      </w:pPr>
    </w:p>
    <w:p w:rsidR="00A937BD" w:rsidRPr="00F52D5F" w:rsidRDefault="00A937BD" w:rsidP="00A937BD">
      <w:pPr>
        <w:rPr>
          <w:rFonts w:ascii="Arial" w:hAnsi="Arial" w:cs="Arial"/>
        </w:rPr>
      </w:pPr>
    </w:p>
    <w:p w:rsidR="005423A4" w:rsidRDefault="005423A4"/>
    <w:sectPr w:rsidR="005423A4"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FDB" w:rsidRDefault="004D6FDB" w:rsidP="00A937BD">
      <w:pPr>
        <w:spacing w:after="0" w:line="240" w:lineRule="auto"/>
      </w:pPr>
      <w:r>
        <w:separator/>
      </w:r>
    </w:p>
  </w:endnote>
  <w:endnote w:type="continuationSeparator" w:id="0">
    <w:p w:rsidR="004D6FDB" w:rsidRDefault="004D6FDB" w:rsidP="00A93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FDB" w:rsidRDefault="004D6FDB" w:rsidP="00A937BD">
      <w:pPr>
        <w:spacing w:after="0" w:line="240" w:lineRule="auto"/>
      </w:pPr>
      <w:r>
        <w:separator/>
      </w:r>
    </w:p>
  </w:footnote>
  <w:footnote w:type="continuationSeparator" w:id="0">
    <w:p w:rsidR="004D6FDB" w:rsidRDefault="004D6FDB" w:rsidP="00A937BD">
      <w:pPr>
        <w:spacing w:after="0" w:line="240" w:lineRule="auto"/>
      </w:pPr>
      <w:r>
        <w:continuationSeparator/>
      </w:r>
    </w:p>
  </w:footnote>
  <w:footnote w:id="1">
    <w:p w:rsidR="00A937BD" w:rsidRDefault="00A937BD" w:rsidP="00A937BD">
      <w:pPr>
        <w:pStyle w:val="Textonotapie"/>
        <w:rPr>
          <w:rFonts w:ascii="Arial" w:hAnsi="Arial" w:cs="Arial"/>
          <w:color w:val="000000"/>
          <w:sz w:val="16"/>
          <w:szCs w:val="16"/>
        </w:rPr>
      </w:pPr>
      <w:r w:rsidRPr="00F45B19">
        <w:rPr>
          <w:rStyle w:val="Refdenotaalpie"/>
          <w:rFonts w:ascii="Arial" w:hAnsi="Arial" w:cs="Arial"/>
        </w:rPr>
        <w:footnoteRef/>
      </w:r>
      <w:r>
        <w:rPr>
          <w:rFonts w:ascii="Arial" w:hAnsi="Arial" w:cs="Arial"/>
          <w:b/>
          <w:bCs/>
          <w:color w:val="000000"/>
          <w:sz w:val="16"/>
          <w:szCs w:val="16"/>
        </w:rPr>
        <w:t>“</w:t>
      </w:r>
      <w:r w:rsidRPr="00F45B19">
        <w:rPr>
          <w:rFonts w:ascii="Arial" w:hAnsi="Arial" w:cs="Arial"/>
          <w:b/>
          <w:bCs/>
          <w:color w:val="000000"/>
          <w:sz w:val="16"/>
          <w:szCs w:val="16"/>
        </w:rPr>
        <w:t xml:space="preserve">ARTICULO </w:t>
      </w:r>
      <w:r>
        <w:rPr>
          <w:rFonts w:ascii="Arial" w:hAnsi="Arial" w:cs="Arial"/>
          <w:b/>
          <w:bCs/>
          <w:color w:val="000000"/>
          <w:sz w:val="16"/>
          <w:szCs w:val="16"/>
        </w:rPr>
        <w:t>203</w:t>
      </w:r>
      <w:r w:rsidRPr="00F45B19">
        <w:rPr>
          <w:rFonts w:ascii="Arial" w:hAnsi="Arial" w:cs="Arial"/>
          <w:b/>
          <w:bCs/>
          <w:color w:val="000000"/>
          <w:sz w:val="16"/>
          <w:szCs w:val="16"/>
        </w:rPr>
        <w:t xml:space="preserve">.- </w:t>
      </w:r>
      <w:r w:rsidRPr="00F45B19">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r>
        <w:rPr>
          <w:rFonts w:ascii="Arial" w:hAnsi="Arial" w:cs="Arial"/>
          <w:color w:val="000000"/>
          <w:sz w:val="16"/>
          <w:szCs w:val="16"/>
        </w:rPr>
        <w:t>”</w:t>
      </w:r>
    </w:p>
    <w:p w:rsidR="00A937BD" w:rsidRPr="000304B0" w:rsidRDefault="00A937BD" w:rsidP="00A937BD">
      <w:pPr>
        <w:pStyle w:val="Textonotapie"/>
        <w:rPr>
          <w:rFonts w:ascii="Arial" w:hAnsi="Arial" w:cs="Arial"/>
          <w:color w:val="000000"/>
          <w:sz w:val="16"/>
          <w:szCs w:val="16"/>
        </w:rPr>
      </w:pPr>
    </w:p>
  </w:footnote>
  <w:footnote w:id="2">
    <w:p w:rsidR="00A937BD" w:rsidRDefault="00A937BD" w:rsidP="00A937BD">
      <w:pPr>
        <w:pStyle w:val="Textonotapie"/>
      </w:pPr>
      <w:r>
        <w:rPr>
          <w:rStyle w:val="Refdenotaalpie"/>
        </w:rPr>
        <w:footnoteRef/>
      </w:r>
      <w:r>
        <w:t xml:space="preserve"> “</w:t>
      </w:r>
      <w:r w:rsidRPr="0017064F">
        <w:rPr>
          <w:rFonts w:ascii="Arial" w:hAnsi="Arial" w:cs="Arial"/>
          <w:b/>
          <w:sz w:val="16"/>
          <w:szCs w:val="16"/>
        </w:rPr>
        <w:t>Articulo 2°.-</w:t>
      </w:r>
      <w:r w:rsidRPr="0017064F">
        <w:rPr>
          <w:rFonts w:ascii="Arial" w:hAnsi="Arial" w:cs="Arial"/>
          <w:sz w:val="16"/>
          <w:szCs w:val="16"/>
        </w:rPr>
        <w:t xml:space="preserve"> … El Poder Público y sus representantes solo pueden hacer lo que la Ley les autoriza y deben hacer, lo que la Ley les ordena… </w:t>
      </w:r>
      <w:r>
        <w:rPr>
          <w:rFonts w:ascii="Arial" w:hAnsi="Arial" w:cs="Arial"/>
          <w:sz w:val="16"/>
          <w:szCs w:val="16"/>
        </w:rPr>
        <w:t>“</w:t>
      </w:r>
    </w:p>
  </w:footnote>
  <w:footnote w:id="3">
    <w:p w:rsidR="00A937BD" w:rsidRPr="00650509" w:rsidRDefault="00A937BD" w:rsidP="00A937BD">
      <w:pPr>
        <w:pStyle w:val="Textonotapie"/>
        <w:rPr>
          <w:rFonts w:ascii="Arial" w:hAnsi="Arial" w:cs="Arial"/>
          <w:sz w:val="16"/>
          <w:szCs w:val="16"/>
        </w:rPr>
      </w:pPr>
      <w:r>
        <w:rPr>
          <w:rStyle w:val="Refdenotaalpie"/>
        </w:rPr>
        <w:footnoteRef/>
      </w:r>
      <w:r>
        <w:t xml:space="preserve"> “</w:t>
      </w:r>
      <w:r w:rsidRPr="00650509">
        <w:rPr>
          <w:rFonts w:ascii="Arial" w:hAnsi="Arial" w:cs="Arial"/>
          <w:b/>
          <w:sz w:val="16"/>
          <w:szCs w:val="16"/>
        </w:rPr>
        <w:t xml:space="preserve">Artículo 63.- </w:t>
      </w:r>
      <w:r w:rsidRPr="00650509">
        <w:rPr>
          <w:rFonts w:ascii="Arial" w:hAnsi="Arial" w:cs="Arial"/>
          <w:sz w:val="16"/>
          <w:szCs w:val="16"/>
        </w:rPr>
        <w:t>Las prestaciones caídas, la devolución de descuentos, los interese y cualquiera prestación a cargo del Fondo de Pensiones que no se reclame dentro de los tres años siguientes a la fecha en que hubieren sido exigibles, prescribirán a favor del dicho fondo, a excepción de lo previsto por el artículo 39 de esta Ley.</w:t>
      </w:r>
      <w:r>
        <w:rPr>
          <w:rFonts w:ascii="Arial" w:hAnsi="Arial" w:cs="Arial"/>
          <w:sz w:val="16"/>
          <w:szCs w:val="16"/>
        </w:rPr>
        <w:t>”</w:t>
      </w:r>
    </w:p>
  </w:footnote>
  <w:footnote w:id="4">
    <w:p w:rsidR="00A937BD" w:rsidRPr="00F66533" w:rsidRDefault="00A937BD" w:rsidP="00A937BD">
      <w:pPr>
        <w:pStyle w:val="Textonotapie"/>
        <w:rPr>
          <w:rFonts w:ascii="Arial" w:hAnsi="Arial" w:cs="Arial"/>
          <w:sz w:val="16"/>
          <w:szCs w:val="16"/>
        </w:rPr>
      </w:pPr>
      <w:r w:rsidRPr="00F66533">
        <w:rPr>
          <w:rStyle w:val="Refdenotaalpie"/>
          <w:rFonts w:ascii="Arial" w:hAnsi="Arial" w:cs="Arial"/>
          <w:sz w:val="16"/>
          <w:szCs w:val="16"/>
        </w:rPr>
        <w:footnoteRef/>
      </w:r>
      <w:r w:rsidRPr="00F66533">
        <w:rPr>
          <w:rFonts w:ascii="Arial" w:hAnsi="Arial" w:cs="Arial"/>
          <w:sz w:val="16"/>
          <w:szCs w:val="16"/>
        </w:rPr>
        <w:t xml:space="preserve"> </w:t>
      </w:r>
      <w:r>
        <w:rPr>
          <w:rFonts w:ascii="Arial" w:hAnsi="Arial" w:cs="Arial"/>
          <w:sz w:val="16"/>
          <w:szCs w:val="16"/>
        </w:rPr>
        <w:t>“</w:t>
      </w:r>
      <w:r w:rsidRPr="00F66533">
        <w:rPr>
          <w:rFonts w:ascii="Arial" w:hAnsi="Arial" w:cs="Arial"/>
          <w:b/>
          <w:bCs/>
          <w:sz w:val="16"/>
          <w:szCs w:val="16"/>
        </w:rPr>
        <w:t xml:space="preserve">ARTICULO </w:t>
      </w:r>
      <w:r>
        <w:rPr>
          <w:rFonts w:ascii="Arial" w:hAnsi="Arial" w:cs="Arial"/>
          <w:b/>
          <w:bCs/>
          <w:sz w:val="16"/>
          <w:szCs w:val="16"/>
        </w:rPr>
        <w:t>1</w:t>
      </w:r>
      <w:r w:rsidRPr="00F66533">
        <w:rPr>
          <w:rFonts w:ascii="Arial" w:hAnsi="Arial" w:cs="Arial"/>
          <w:b/>
          <w:bCs/>
          <w:sz w:val="16"/>
          <w:szCs w:val="16"/>
        </w:rPr>
        <w:t xml:space="preserve">7.- </w:t>
      </w:r>
      <w:r w:rsidRPr="00F66533">
        <w:rPr>
          <w:rFonts w:ascii="Arial" w:hAnsi="Arial" w:cs="Arial"/>
          <w:sz w:val="16"/>
          <w:szCs w:val="16"/>
        </w:rPr>
        <w:t>Son elementos y requisitos de validez del acto administrativo:</w:t>
      </w:r>
    </w:p>
    <w:p w:rsidR="00A937BD" w:rsidRPr="00F66533" w:rsidRDefault="00A937BD" w:rsidP="00A937BD">
      <w:pPr>
        <w:pStyle w:val="Textonotapie"/>
        <w:rPr>
          <w:rFonts w:ascii="Arial" w:hAnsi="Arial" w:cs="Arial"/>
          <w:sz w:val="16"/>
          <w:szCs w:val="16"/>
        </w:rPr>
      </w:pPr>
      <w:r w:rsidRPr="00F66533">
        <w:rPr>
          <w:rFonts w:ascii="Arial" w:hAnsi="Arial" w:cs="Arial"/>
          <w:sz w:val="16"/>
          <w:szCs w:val="16"/>
        </w:rPr>
        <w:t>….</w:t>
      </w:r>
    </w:p>
    <w:p w:rsidR="00A937BD" w:rsidRDefault="00A937BD" w:rsidP="00A937BD">
      <w:pPr>
        <w:pStyle w:val="Textonotapie"/>
        <w:rPr>
          <w:rFonts w:ascii="Arial" w:hAnsi="Arial" w:cs="Arial"/>
          <w:sz w:val="16"/>
          <w:szCs w:val="16"/>
        </w:rPr>
      </w:pPr>
      <w:r w:rsidRPr="00F66533">
        <w:rPr>
          <w:rFonts w:ascii="Arial" w:hAnsi="Arial" w:cs="Arial"/>
          <w:sz w:val="16"/>
          <w:szCs w:val="16"/>
        </w:rPr>
        <w:t>V. Estar fundado y motivado</w:t>
      </w:r>
      <w:r>
        <w:rPr>
          <w:rFonts w:ascii="Arial" w:hAnsi="Arial" w:cs="Arial"/>
          <w:sz w:val="16"/>
          <w:szCs w:val="16"/>
        </w:rPr>
        <w:t>; “</w:t>
      </w:r>
    </w:p>
    <w:p w:rsidR="00A937BD" w:rsidRPr="00F66533" w:rsidRDefault="00A937BD" w:rsidP="00A937BD">
      <w:pPr>
        <w:pStyle w:val="Textonotapie"/>
        <w:rPr>
          <w:rFonts w:ascii="Arial" w:hAnsi="Arial" w:cs="Arial"/>
          <w:sz w:val="16"/>
          <w:szCs w:val="16"/>
        </w:rPr>
      </w:pPr>
    </w:p>
  </w:footnote>
  <w:footnote w:id="5">
    <w:p w:rsidR="00A937BD" w:rsidRPr="00F66533" w:rsidRDefault="00A937BD" w:rsidP="00A937BD">
      <w:pPr>
        <w:jc w:val="both"/>
        <w:rPr>
          <w:rFonts w:ascii="Arial" w:hAnsi="Arial" w:cs="Arial"/>
          <w:sz w:val="16"/>
          <w:szCs w:val="16"/>
        </w:rPr>
      </w:pPr>
      <w:r w:rsidRPr="00F66533">
        <w:rPr>
          <w:rStyle w:val="Refdenotaalpie"/>
          <w:rFonts w:ascii="Arial" w:hAnsi="Arial" w:cs="Arial"/>
          <w:sz w:val="16"/>
          <w:szCs w:val="16"/>
        </w:rPr>
        <w:footnoteRef/>
      </w:r>
      <w:r w:rsidRPr="00F66533">
        <w:rPr>
          <w:rFonts w:ascii="Arial" w:hAnsi="Arial" w:cs="Arial"/>
          <w:sz w:val="16"/>
          <w:szCs w:val="16"/>
        </w:rPr>
        <w:t xml:space="preserve">   “</w:t>
      </w:r>
      <w:r w:rsidRPr="00004A93">
        <w:rPr>
          <w:rFonts w:ascii="Arial" w:hAnsi="Arial" w:cs="Arial"/>
          <w:b/>
          <w:sz w:val="16"/>
          <w:szCs w:val="16"/>
        </w:rPr>
        <w:t>ARTÍCULO 63.-</w:t>
      </w:r>
      <w:r w:rsidRPr="00F66533">
        <w:rPr>
          <w:rFonts w:ascii="Arial" w:hAnsi="Arial" w:cs="Arial"/>
          <w:sz w:val="16"/>
          <w:szCs w:val="16"/>
        </w:rPr>
        <w:t xml:space="preserve">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p>
    <w:p w:rsidR="00A937BD" w:rsidRPr="00707530" w:rsidRDefault="00A937BD" w:rsidP="00A937BD">
      <w:pPr>
        <w:pStyle w:val="Textonotapie"/>
        <w:jc w:val="both"/>
        <w:rPr>
          <w:rFonts w:asciiTheme="majorHAnsi" w:hAnsiTheme="majorHAns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4D6FDB">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6D0C53BB" wp14:editId="0CF53094">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9C2DA3"/>
                            <w:p w:rsidR="007D6863" w:rsidRDefault="009C2DA3"/>
                            <w:p w:rsidR="007D6863" w:rsidRDefault="009C2DA3"/>
                            <w:p w:rsidR="007D6863" w:rsidRDefault="009C2DA3"/>
                            <w:p w:rsidR="007D6863" w:rsidRDefault="009C2DA3"/>
                            <w:p w:rsidR="007D6863" w:rsidRDefault="009C2DA3"/>
                            <w:p w:rsidR="007D6863" w:rsidRDefault="009C2DA3"/>
                            <w:p w:rsidR="007D6863" w:rsidRDefault="009C2DA3"/>
                            <w:p w:rsidR="007D6863" w:rsidRDefault="009C2DA3"/>
                            <w:p w:rsidR="007D6863" w:rsidRDefault="009C2DA3"/>
                            <w:p w:rsidR="007D6863" w:rsidRDefault="009C2DA3"/>
                            <w:p w:rsidR="007D6863" w:rsidRDefault="009C2DA3"/>
                            <w:p w:rsidR="007D6863" w:rsidRDefault="009C2DA3"/>
                            <w:p w:rsidR="007D6863" w:rsidRDefault="009C2DA3"/>
                            <w:p w:rsidR="007D6863" w:rsidRPr="00E7449B" w:rsidRDefault="004D6FDB">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0C53BB"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4D6FDB"/>
                      <w:p w:rsidR="007D6863" w:rsidRDefault="004D6FDB"/>
                      <w:p w:rsidR="007D6863" w:rsidRDefault="004D6FDB"/>
                      <w:p w:rsidR="007D6863" w:rsidRDefault="004D6FDB"/>
                      <w:p w:rsidR="007D6863" w:rsidRDefault="004D6FDB"/>
                      <w:p w:rsidR="007D6863" w:rsidRDefault="004D6FDB"/>
                      <w:p w:rsidR="007D6863" w:rsidRDefault="004D6FDB"/>
                      <w:p w:rsidR="007D6863" w:rsidRDefault="004D6FDB"/>
                      <w:p w:rsidR="007D6863" w:rsidRDefault="004D6FDB"/>
                      <w:p w:rsidR="007D6863" w:rsidRDefault="004D6FDB"/>
                      <w:p w:rsidR="007D6863" w:rsidRDefault="004D6FDB"/>
                      <w:p w:rsidR="007D6863" w:rsidRDefault="004D6FDB"/>
                      <w:p w:rsidR="007D6863" w:rsidRDefault="004D6FDB"/>
                      <w:p w:rsidR="007D6863" w:rsidRDefault="004D6FDB"/>
                      <w:p w:rsidR="007D6863" w:rsidRPr="00E7449B" w:rsidRDefault="004D6FDB">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9C2DA3" w:rsidRPr="009C2DA3">
          <w:rPr>
            <w:noProof/>
            <w:lang w:val="es-ES"/>
          </w:rPr>
          <w:t>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3A4"/>
    <w:rsid w:val="004800A0"/>
    <w:rsid w:val="004D6FDB"/>
    <w:rsid w:val="005423A4"/>
    <w:rsid w:val="006F51EB"/>
    <w:rsid w:val="009C2DA3"/>
    <w:rsid w:val="00A937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3A4"/>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423A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423A4"/>
    <w:rPr>
      <w:sz w:val="22"/>
      <w:szCs w:val="22"/>
    </w:rPr>
  </w:style>
  <w:style w:type="character" w:styleId="Hipervnculo">
    <w:name w:val="Hyperlink"/>
    <w:basedOn w:val="Fuentedeprrafopredeter"/>
    <w:uiPriority w:val="99"/>
    <w:semiHidden/>
    <w:unhideWhenUsed/>
    <w:rsid w:val="005423A4"/>
    <w:rPr>
      <w:color w:val="0000FF"/>
      <w:u w:val="single"/>
    </w:rPr>
  </w:style>
  <w:style w:type="paragraph" w:styleId="Sinespaciado">
    <w:name w:val="No Spacing"/>
    <w:uiPriority w:val="1"/>
    <w:qFormat/>
    <w:rsid w:val="005423A4"/>
    <w:rPr>
      <w:sz w:val="22"/>
      <w:szCs w:val="22"/>
    </w:rPr>
  </w:style>
  <w:style w:type="paragraph" w:styleId="Textonotapie">
    <w:name w:val="footnote text"/>
    <w:basedOn w:val="Normal"/>
    <w:link w:val="TextonotapieCar"/>
    <w:uiPriority w:val="99"/>
    <w:unhideWhenUsed/>
    <w:rsid w:val="00A937BD"/>
    <w:pPr>
      <w:spacing w:after="0" w:line="240" w:lineRule="auto"/>
    </w:pPr>
    <w:rPr>
      <w:sz w:val="20"/>
      <w:szCs w:val="20"/>
    </w:rPr>
  </w:style>
  <w:style w:type="character" w:customStyle="1" w:styleId="TextonotapieCar">
    <w:name w:val="Texto nota pie Car"/>
    <w:basedOn w:val="Fuentedeprrafopredeter"/>
    <w:link w:val="Textonotapie"/>
    <w:uiPriority w:val="99"/>
    <w:rsid w:val="00A937BD"/>
    <w:rPr>
      <w:sz w:val="20"/>
      <w:szCs w:val="20"/>
    </w:rPr>
  </w:style>
  <w:style w:type="character" w:styleId="Refdenotaalpie">
    <w:name w:val="footnote reference"/>
    <w:basedOn w:val="Fuentedeprrafopredeter"/>
    <w:uiPriority w:val="99"/>
    <w:unhideWhenUsed/>
    <w:rsid w:val="00A937B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3A4"/>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423A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423A4"/>
    <w:rPr>
      <w:sz w:val="22"/>
      <w:szCs w:val="22"/>
    </w:rPr>
  </w:style>
  <w:style w:type="character" w:styleId="Hipervnculo">
    <w:name w:val="Hyperlink"/>
    <w:basedOn w:val="Fuentedeprrafopredeter"/>
    <w:uiPriority w:val="99"/>
    <w:semiHidden/>
    <w:unhideWhenUsed/>
    <w:rsid w:val="005423A4"/>
    <w:rPr>
      <w:color w:val="0000FF"/>
      <w:u w:val="single"/>
    </w:rPr>
  </w:style>
  <w:style w:type="paragraph" w:styleId="Sinespaciado">
    <w:name w:val="No Spacing"/>
    <w:uiPriority w:val="1"/>
    <w:qFormat/>
    <w:rsid w:val="005423A4"/>
    <w:rPr>
      <w:sz w:val="22"/>
      <w:szCs w:val="22"/>
    </w:rPr>
  </w:style>
  <w:style w:type="paragraph" w:styleId="Textonotapie">
    <w:name w:val="footnote text"/>
    <w:basedOn w:val="Normal"/>
    <w:link w:val="TextonotapieCar"/>
    <w:uiPriority w:val="99"/>
    <w:unhideWhenUsed/>
    <w:rsid w:val="00A937BD"/>
    <w:pPr>
      <w:spacing w:after="0" w:line="240" w:lineRule="auto"/>
    </w:pPr>
    <w:rPr>
      <w:sz w:val="20"/>
      <w:szCs w:val="20"/>
    </w:rPr>
  </w:style>
  <w:style w:type="character" w:customStyle="1" w:styleId="TextonotapieCar">
    <w:name w:val="Texto nota pie Car"/>
    <w:basedOn w:val="Fuentedeprrafopredeter"/>
    <w:link w:val="Textonotapie"/>
    <w:uiPriority w:val="99"/>
    <w:rsid w:val="00A937BD"/>
    <w:rPr>
      <w:sz w:val="20"/>
      <w:szCs w:val="20"/>
    </w:rPr>
  </w:style>
  <w:style w:type="character" w:styleId="Refdenotaalpie">
    <w:name w:val="footnote reference"/>
    <w:basedOn w:val="Fuentedeprrafopredeter"/>
    <w:uiPriority w:val="99"/>
    <w:unhideWhenUsed/>
    <w:rsid w:val="00A937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4029</Words>
  <Characters>22164</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3</cp:revision>
  <cp:lastPrinted>2019-07-11T14:32:00Z</cp:lastPrinted>
  <dcterms:created xsi:type="dcterms:W3CDTF">2019-07-09T19:41:00Z</dcterms:created>
  <dcterms:modified xsi:type="dcterms:W3CDTF">2019-07-11T14:32:00Z</dcterms:modified>
</cp:coreProperties>
</file>