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01F" w:rsidRDefault="006B201F" w:rsidP="006B201F">
      <w:pPr>
        <w:spacing w:line="240" w:lineRule="auto"/>
        <w:ind w:left="2127" w:right="497"/>
        <w:jc w:val="both"/>
        <w:rPr>
          <w:rFonts w:ascii="Arial" w:hAnsi="Arial" w:cs="Arial"/>
          <w:b/>
          <w:color w:val="FF0000"/>
          <w:sz w:val="26"/>
          <w:szCs w:val="26"/>
        </w:rPr>
      </w:pPr>
      <w:r>
        <w:rPr>
          <w:rFonts w:ascii="Arial" w:hAnsi="Arial" w:cs="Arial"/>
          <w:b/>
          <w:sz w:val="26"/>
          <w:szCs w:val="26"/>
        </w:rPr>
        <w:t>SALA SUPERIOR DEL T</w:t>
      </w:r>
      <w:r w:rsidR="00C07DF2">
        <w:rPr>
          <w:rFonts w:ascii="Arial" w:hAnsi="Arial" w:cs="Arial"/>
          <w:b/>
          <w:sz w:val="26"/>
          <w:szCs w:val="26"/>
        </w:rPr>
        <w:t>RIBUNAL DE JUSTICIA ADMINISTRAT</w:t>
      </w:r>
      <w:r>
        <w:rPr>
          <w:rFonts w:ascii="Arial" w:hAnsi="Arial" w:cs="Arial"/>
          <w:b/>
          <w:sz w:val="26"/>
          <w:szCs w:val="26"/>
        </w:rPr>
        <w:t>IVA DEL ESTADO DE OAXACA</w:t>
      </w:r>
      <w:r>
        <w:rPr>
          <w:rFonts w:ascii="Arial" w:hAnsi="Arial" w:cs="Arial"/>
          <w:b/>
          <w:color w:val="FF0000"/>
          <w:sz w:val="26"/>
          <w:szCs w:val="26"/>
        </w:rPr>
        <w:t>.</w:t>
      </w:r>
    </w:p>
    <w:p w:rsidR="006B201F" w:rsidRDefault="000A2419" w:rsidP="006B201F">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120</w:t>
      </w:r>
      <w:r w:rsidR="006B201F">
        <w:rPr>
          <w:rFonts w:ascii="Arial" w:hAnsi="Arial" w:cs="Arial"/>
          <w:b/>
          <w:sz w:val="26"/>
          <w:szCs w:val="26"/>
        </w:rPr>
        <w:t>/2018</w:t>
      </w:r>
    </w:p>
    <w:p w:rsidR="006B201F" w:rsidRDefault="000A2419" w:rsidP="006B201F">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448/2016</w:t>
      </w:r>
      <w:r w:rsidR="00C02675">
        <w:rPr>
          <w:rFonts w:ascii="Arial" w:hAnsi="Arial" w:cs="Arial"/>
          <w:b/>
          <w:sz w:val="26"/>
          <w:szCs w:val="26"/>
        </w:rPr>
        <w:t xml:space="preserve"> DE LA SÉ</w:t>
      </w:r>
      <w:r>
        <w:rPr>
          <w:rFonts w:ascii="Arial" w:hAnsi="Arial" w:cs="Arial"/>
          <w:b/>
          <w:sz w:val="26"/>
          <w:szCs w:val="26"/>
        </w:rPr>
        <w:t>PTIMA</w:t>
      </w:r>
      <w:r w:rsidR="006B201F">
        <w:rPr>
          <w:rFonts w:ascii="Arial" w:hAnsi="Arial" w:cs="Arial"/>
          <w:b/>
          <w:sz w:val="26"/>
          <w:szCs w:val="26"/>
        </w:rPr>
        <w:t xml:space="preserve"> SALA UNITARIA DE PRIMERA INSTANCIA</w:t>
      </w:r>
    </w:p>
    <w:p w:rsidR="006B201F" w:rsidRDefault="006B201F" w:rsidP="006B201F">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6B201F" w:rsidRDefault="00C07DF2" w:rsidP="006B201F">
      <w:pPr>
        <w:spacing w:after="0" w:line="360" w:lineRule="auto"/>
        <w:jc w:val="both"/>
        <w:rPr>
          <w:rFonts w:ascii="Arial" w:hAnsi="Arial" w:cs="Arial"/>
          <w:b/>
          <w:sz w:val="26"/>
          <w:szCs w:val="26"/>
        </w:rPr>
      </w:pPr>
      <w:r>
        <w:rPr>
          <w:rFonts w:ascii="Arial" w:hAnsi="Arial" w:cs="Arial"/>
          <w:b/>
          <w:sz w:val="26"/>
          <w:szCs w:val="26"/>
        </w:rPr>
        <w:t xml:space="preserve">OAXACA DE JUÁREZ, OAXACA, CATORCE </w:t>
      </w:r>
      <w:r w:rsidR="006B201F">
        <w:rPr>
          <w:rFonts w:ascii="Arial" w:hAnsi="Arial" w:cs="Arial"/>
          <w:b/>
          <w:sz w:val="26"/>
          <w:szCs w:val="26"/>
        </w:rPr>
        <w:t xml:space="preserve">DE </w:t>
      </w:r>
      <w:r w:rsidR="003E6EC8">
        <w:rPr>
          <w:rFonts w:ascii="Arial" w:hAnsi="Arial" w:cs="Arial"/>
          <w:b/>
          <w:sz w:val="26"/>
          <w:szCs w:val="26"/>
        </w:rPr>
        <w:t xml:space="preserve">NOVIEMBRE </w:t>
      </w:r>
      <w:r w:rsidR="006B201F">
        <w:rPr>
          <w:rFonts w:ascii="Arial" w:hAnsi="Arial" w:cs="Arial"/>
          <w:b/>
          <w:sz w:val="26"/>
          <w:szCs w:val="26"/>
        </w:rPr>
        <w:t>DE DOS MIL DIECIOCHO.</w:t>
      </w:r>
      <w:r>
        <w:rPr>
          <w:rFonts w:ascii="Arial" w:hAnsi="Arial" w:cs="Arial"/>
          <w:b/>
          <w:sz w:val="26"/>
          <w:szCs w:val="26"/>
        </w:rPr>
        <w:t xml:space="preserve"> </w:t>
      </w:r>
    </w:p>
    <w:p w:rsidR="006B201F" w:rsidRDefault="006B201F" w:rsidP="006B201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0A2419">
        <w:rPr>
          <w:rFonts w:ascii="Arial" w:hAnsi="Arial" w:cs="Arial"/>
          <w:b/>
          <w:sz w:val="26"/>
          <w:szCs w:val="26"/>
        </w:rPr>
        <w:t>120</w:t>
      </w:r>
      <w:r>
        <w:rPr>
          <w:rFonts w:ascii="Arial" w:hAnsi="Arial" w:cs="Arial"/>
          <w:b/>
          <w:sz w:val="26"/>
          <w:szCs w:val="26"/>
        </w:rPr>
        <w:t>/2018</w:t>
      </w:r>
      <w:r>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TANIA GABRIEL UNDA MORENO</w:t>
      </w:r>
      <w:r w:rsidR="00C02675">
        <w:rPr>
          <w:rFonts w:ascii="Arial" w:hAnsi="Arial" w:cs="Arial"/>
          <w:b/>
          <w:sz w:val="26"/>
          <w:szCs w:val="26"/>
        </w:rPr>
        <w:t>,</w:t>
      </w:r>
      <w:r>
        <w:rPr>
          <w:rFonts w:ascii="Arial" w:hAnsi="Arial" w:cs="Arial"/>
          <w:b/>
          <w:sz w:val="26"/>
          <w:szCs w:val="26"/>
        </w:rPr>
        <w:t xml:space="preserve"> CONTRALORA </w:t>
      </w:r>
      <w:r w:rsidR="00C02675">
        <w:rPr>
          <w:rFonts w:ascii="Arial" w:hAnsi="Arial" w:cs="Arial"/>
          <w:b/>
          <w:sz w:val="26"/>
          <w:szCs w:val="26"/>
        </w:rPr>
        <w:t xml:space="preserve">MUNICIPAL DEL MUNICIPIO DE OAXACA DE JUAREZ, </w:t>
      </w:r>
      <w:r>
        <w:rPr>
          <w:rFonts w:ascii="Arial" w:hAnsi="Arial" w:cs="Arial"/>
          <w:b/>
          <w:sz w:val="26"/>
          <w:szCs w:val="26"/>
        </w:rPr>
        <w:t xml:space="preserve"> </w:t>
      </w:r>
      <w:r>
        <w:rPr>
          <w:rFonts w:ascii="Arial" w:hAnsi="Arial" w:cs="Arial"/>
          <w:sz w:val="26"/>
          <w:szCs w:val="26"/>
        </w:rPr>
        <w:t xml:space="preserve">en contra de la sentencia de </w:t>
      </w:r>
      <w:r w:rsidR="000A2419">
        <w:rPr>
          <w:rFonts w:ascii="Arial" w:hAnsi="Arial" w:cs="Arial"/>
          <w:sz w:val="26"/>
          <w:szCs w:val="26"/>
        </w:rPr>
        <w:t>siete de marzo</w:t>
      </w:r>
      <w:r>
        <w:rPr>
          <w:rFonts w:ascii="Arial" w:hAnsi="Arial" w:cs="Arial"/>
          <w:sz w:val="26"/>
          <w:szCs w:val="26"/>
        </w:rPr>
        <w:t xml:space="preserve"> de dos mil dieciocho, dictada en el expediente </w:t>
      </w:r>
      <w:r w:rsidR="000A2419">
        <w:rPr>
          <w:rFonts w:ascii="Arial" w:hAnsi="Arial" w:cs="Arial"/>
          <w:b/>
          <w:sz w:val="26"/>
          <w:szCs w:val="26"/>
        </w:rPr>
        <w:t>448/2016</w:t>
      </w:r>
      <w:r>
        <w:rPr>
          <w:rFonts w:ascii="Arial" w:hAnsi="Arial" w:cs="Arial"/>
          <w:b/>
          <w:sz w:val="26"/>
          <w:szCs w:val="26"/>
        </w:rPr>
        <w:t>,</w:t>
      </w:r>
      <w:r>
        <w:rPr>
          <w:rFonts w:ascii="Arial" w:hAnsi="Arial" w:cs="Arial"/>
          <w:sz w:val="26"/>
          <w:szCs w:val="26"/>
        </w:rPr>
        <w:t xml:space="preserve"> de la </w:t>
      </w:r>
      <w:r w:rsidR="000A2419">
        <w:rPr>
          <w:rFonts w:ascii="Arial" w:hAnsi="Arial" w:cs="Arial"/>
          <w:sz w:val="26"/>
          <w:szCs w:val="26"/>
        </w:rPr>
        <w:t>Séptima</w:t>
      </w:r>
      <w:r>
        <w:rPr>
          <w:rFonts w:ascii="Arial" w:hAnsi="Arial" w:cs="Arial"/>
          <w:sz w:val="26"/>
          <w:szCs w:val="26"/>
        </w:rPr>
        <w:t xml:space="preserve"> Sala Unitaria de Primera Instancia, relativo al juicio de nulidad promovido por </w:t>
      </w:r>
      <w:r w:rsidR="00652D1A">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del</w:t>
      </w:r>
      <w:r w:rsidR="000A2419">
        <w:rPr>
          <w:rFonts w:ascii="Arial" w:hAnsi="Arial" w:cs="Arial"/>
          <w:sz w:val="26"/>
          <w:szCs w:val="26"/>
        </w:rPr>
        <w:t xml:space="preserve"> </w:t>
      </w:r>
      <w:r>
        <w:rPr>
          <w:rFonts w:ascii="Arial" w:hAnsi="Arial" w:cs="Arial"/>
          <w:sz w:val="26"/>
          <w:szCs w:val="26"/>
        </w:rPr>
        <w:t xml:space="preserve"> </w:t>
      </w:r>
      <w:r w:rsidR="000A2419">
        <w:rPr>
          <w:rFonts w:ascii="Arial" w:hAnsi="Arial" w:cs="Arial"/>
          <w:b/>
          <w:sz w:val="26"/>
          <w:szCs w:val="26"/>
        </w:rPr>
        <w:t>MARCO ANTONIO ESTRADA AGUILAR C</w:t>
      </w:r>
      <w:r>
        <w:rPr>
          <w:rFonts w:ascii="Arial" w:hAnsi="Arial" w:cs="Arial"/>
          <w:b/>
          <w:sz w:val="26"/>
          <w:szCs w:val="26"/>
        </w:rPr>
        <w:t xml:space="preserve">ONTRALOR </w:t>
      </w:r>
      <w:r w:rsidR="000A2419">
        <w:rPr>
          <w:rFonts w:ascii="Arial" w:hAnsi="Arial" w:cs="Arial"/>
          <w:b/>
          <w:sz w:val="26"/>
          <w:szCs w:val="26"/>
        </w:rPr>
        <w:t>DEL</w:t>
      </w:r>
      <w:r>
        <w:rPr>
          <w:rFonts w:ascii="Arial" w:hAnsi="Arial" w:cs="Arial"/>
          <w:b/>
          <w:sz w:val="26"/>
          <w:szCs w:val="26"/>
        </w:rPr>
        <w:t xml:space="preserve"> MUNICIPIO DE OAXACA DE JUÁREZ; </w:t>
      </w:r>
      <w:r>
        <w:rPr>
          <w:rFonts w:ascii="Arial" w:hAnsi="Arial" w:cs="Arial"/>
          <w:sz w:val="26"/>
          <w:szCs w:val="26"/>
        </w:rPr>
        <w:t xml:space="preserve">por lo que con fundamento en los artículos 207 y 208, de la Ley de Justicia Administrativa para el Estado de Oaxaca, vigente hasta el </w:t>
      </w:r>
      <w:r w:rsidR="00C07DF2">
        <w:rPr>
          <w:rFonts w:ascii="Arial" w:hAnsi="Arial" w:cs="Arial"/>
          <w:sz w:val="26"/>
          <w:szCs w:val="26"/>
        </w:rPr>
        <w:t>veinte de octubre de</w:t>
      </w:r>
      <w:r>
        <w:rPr>
          <w:rFonts w:ascii="Arial" w:hAnsi="Arial" w:cs="Arial"/>
          <w:sz w:val="26"/>
          <w:szCs w:val="26"/>
        </w:rPr>
        <w:t xml:space="preserve"> dos mil diecisiete, se admite. En consecuencia, se procede a dictar resolución en los siguientes términos:</w:t>
      </w:r>
    </w:p>
    <w:p w:rsidR="006B201F" w:rsidRDefault="006B201F" w:rsidP="006B201F">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C07DF2">
        <w:rPr>
          <w:rFonts w:ascii="Arial" w:hAnsi="Arial" w:cs="Arial"/>
          <w:sz w:val="26"/>
          <w:szCs w:val="26"/>
        </w:rPr>
        <w:t>Inconforme con la sentencia de</w:t>
      </w:r>
      <w:r w:rsidR="000A2419">
        <w:rPr>
          <w:rFonts w:ascii="Arial" w:hAnsi="Arial" w:cs="Arial"/>
          <w:sz w:val="26"/>
          <w:szCs w:val="26"/>
        </w:rPr>
        <w:t xml:space="preserve"> siete de marzo </w:t>
      </w:r>
      <w:r>
        <w:rPr>
          <w:rFonts w:ascii="Arial" w:hAnsi="Arial" w:cs="Arial"/>
          <w:sz w:val="26"/>
          <w:szCs w:val="26"/>
        </w:rPr>
        <w:t xml:space="preserve">de  dos mil dieciocho, dictada por la </w:t>
      </w:r>
      <w:r w:rsidR="000A2419">
        <w:rPr>
          <w:rFonts w:ascii="Arial" w:hAnsi="Arial" w:cs="Arial"/>
          <w:sz w:val="26"/>
          <w:szCs w:val="26"/>
        </w:rPr>
        <w:t>Séptima</w:t>
      </w:r>
      <w:r>
        <w:rPr>
          <w:rFonts w:ascii="Arial" w:hAnsi="Arial" w:cs="Arial"/>
          <w:sz w:val="26"/>
          <w:szCs w:val="26"/>
        </w:rPr>
        <w:t xml:space="preserve"> Sala Unitaria de Primera Instancia, </w:t>
      </w:r>
      <w:r>
        <w:rPr>
          <w:rFonts w:ascii="Arial" w:hAnsi="Arial" w:cs="Arial"/>
          <w:b/>
          <w:sz w:val="26"/>
          <w:szCs w:val="26"/>
        </w:rPr>
        <w:t>TANIA GABRIEL</w:t>
      </w:r>
      <w:r w:rsidR="00627DD7">
        <w:rPr>
          <w:rFonts w:ascii="Arial" w:hAnsi="Arial" w:cs="Arial"/>
          <w:b/>
          <w:sz w:val="26"/>
          <w:szCs w:val="26"/>
        </w:rPr>
        <w:t>A</w:t>
      </w:r>
      <w:r>
        <w:rPr>
          <w:rFonts w:ascii="Arial" w:hAnsi="Arial" w:cs="Arial"/>
          <w:b/>
          <w:sz w:val="26"/>
          <w:szCs w:val="26"/>
        </w:rPr>
        <w:t xml:space="preserve"> UNDA MORENO CONTRALORA MUNICIPAL</w:t>
      </w:r>
      <w:r w:rsidR="00C02675">
        <w:rPr>
          <w:rFonts w:ascii="Arial" w:hAnsi="Arial" w:cs="Arial"/>
          <w:b/>
          <w:sz w:val="26"/>
          <w:szCs w:val="26"/>
        </w:rPr>
        <w:t xml:space="preserve"> DEL MUNICIPIO DE OAXACA DE JUAREZ, </w:t>
      </w:r>
      <w:r>
        <w:rPr>
          <w:rFonts w:ascii="Arial" w:hAnsi="Arial" w:cs="Arial"/>
          <w:sz w:val="26"/>
          <w:szCs w:val="26"/>
        </w:rPr>
        <w:t xml:space="preserve"> interpuso en su contra recurso de revisión.</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C02675">
        <w:rPr>
          <w:rFonts w:ascii="Arial" w:hAnsi="Arial" w:cs="Arial"/>
          <w:sz w:val="26"/>
          <w:szCs w:val="26"/>
        </w:rPr>
        <w:t xml:space="preserve">Los puntos resolutivos de la sentencia </w:t>
      </w:r>
      <w:r>
        <w:rPr>
          <w:rFonts w:ascii="Arial" w:hAnsi="Arial" w:cs="Arial"/>
          <w:sz w:val="26"/>
          <w:szCs w:val="26"/>
        </w:rPr>
        <w:t xml:space="preserve"> recurrida </w:t>
      </w:r>
      <w:proofErr w:type="gramStart"/>
      <w:r>
        <w:rPr>
          <w:rFonts w:ascii="Arial" w:hAnsi="Arial" w:cs="Arial"/>
          <w:sz w:val="26"/>
          <w:szCs w:val="26"/>
        </w:rPr>
        <w:t>es</w:t>
      </w:r>
      <w:proofErr w:type="gramEnd"/>
      <w:r>
        <w:rPr>
          <w:rFonts w:ascii="Arial" w:hAnsi="Arial" w:cs="Arial"/>
          <w:sz w:val="26"/>
          <w:szCs w:val="26"/>
        </w:rPr>
        <w:t xml:space="preserve"> del tenor literal siguiente:</w:t>
      </w:r>
    </w:p>
    <w:p w:rsidR="006B201F" w:rsidRDefault="006B201F"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PRIMERO.- </w:t>
      </w:r>
      <w:r w:rsidR="005E214A">
        <w:rPr>
          <w:rFonts w:ascii="Arial" w:eastAsia="Calibri" w:hAnsi="Arial" w:cs="Arial"/>
          <w:bCs/>
          <w:color w:val="000000" w:themeColor="text1"/>
        </w:rPr>
        <w:t>Esta Séptima Sala de Primera Instancia del Tribunal de lo Contencioso Administrativo y de Cuenta</w:t>
      </w:r>
      <w:r w:rsidR="00C02675">
        <w:rPr>
          <w:rFonts w:ascii="Arial" w:eastAsia="Calibri" w:hAnsi="Arial" w:cs="Arial"/>
          <w:bCs/>
          <w:color w:val="000000" w:themeColor="text1"/>
        </w:rPr>
        <w:t xml:space="preserve">s del Poder Judicial del Estado </w:t>
      </w:r>
      <w:r w:rsidR="00C02675" w:rsidRPr="00C02675">
        <w:rPr>
          <w:rFonts w:ascii="Arial" w:eastAsia="Calibri" w:hAnsi="Arial" w:cs="Arial"/>
          <w:b/>
          <w:bCs/>
          <w:color w:val="000000" w:themeColor="text1"/>
          <w:sz w:val="24"/>
          <w:szCs w:val="24"/>
        </w:rPr>
        <w:t>(sic),</w:t>
      </w:r>
      <w:r w:rsidR="00C02675" w:rsidRPr="00C02675">
        <w:rPr>
          <w:rFonts w:ascii="Arial" w:eastAsia="Calibri" w:hAnsi="Arial" w:cs="Arial"/>
          <w:bCs/>
          <w:color w:val="000000" w:themeColor="text1"/>
          <w:sz w:val="24"/>
          <w:szCs w:val="24"/>
        </w:rPr>
        <w:t xml:space="preserve"> </w:t>
      </w:r>
      <w:r w:rsidR="005E214A" w:rsidRPr="00C02675">
        <w:rPr>
          <w:rFonts w:ascii="Arial" w:eastAsia="Calibri" w:hAnsi="Arial" w:cs="Arial"/>
          <w:bCs/>
          <w:color w:val="000000" w:themeColor="text1"/>
          <w:sz w:val="24"/>
          <w:szCs w:val="24"/>
        </w:rPr>
        <w:t xml:space="preserve"> </w:t>
      </w:r>
      <w:r w:rsidR="005E214A">
        <w:rPr>
          <w:rFonts w:ascii="Arial" w:eastAsia="Calibri" w:hAnsi="Arial" w:cs="Arial"/>
          <w:bCs/>
          <w:color w:val="000000" w:themeColor="text1"/>
        </w:rPr>
        <w:t xml:space="preserve">es legalmente competente para conocer y resolver del presente Juicio de Nulidad.- - - - - - - - - - - - - - - - - - - - </w:t>
      </w:r>
    </w:p>
    <w:p w:rsidR="005E214A" w:rsidRDefault="005E214A"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lastRenderedPageBreak/>
        <w:t xml:space="preserve">SEGUNDO.- </w:t>
      </w:r>
      <w:r>
        <w:rPr>
          <w:rFonts w:ascii="Arial" w:eastAsia="Calibri" w:hAnsi="Arial" w:cs="Arial"/>
          <w:bCs/>
          <w:color w:val="000000" w:themeColor="text1"/>
        </w:rPr>
        <w:t xml:space="preserve">No se actualizó alguna causal de improcedencia, por lo que NO SE SOBRESEE EL JUICIO, lo anterior en términos del considerando QUINTO, de esta resolución.- - - - - - - - - - - - - - - - - - </w:t>
      </w:r>
    </w:p>
    <w:p w:rsidR="00C02675" w:rsidRDefault="00C02675" w:rsidP="005E214A">
      <w:pPr>
        <w:spacing w:after="0" w:line="360" w:lineRule="auto"/>
        <w:ind w:left="1134" w:right="566"/>
        <w:jc w:val="both"/>
        <w:rPr>
          <w:rFonts w:ascii="Arial" w:eastAsia="Calibri" w:hAnsi="Arial" w:cs="Arial"/>
          <w:bCs/>
          <w:color w:val="000000" w:themeColor="text1"/>
        </w:rPr>
      </w:pPr>
    </w:p>
    <w:p w:rsidR="005E214A" w:rsidRDefault="005E214A"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Se declara la NULIDAD de las actuaciones realizadas en los expedientes administrativos de número CM/DRSP/92/2014 y CM/REVOCACIÓN/06/2015, del índice de la Contraloría Municipal de Oaxaca de Juárez, desde el acuerdo de inicio, únicamente por lo que el acto de este Juicio corresponde; </w:t>
      </w:r>
      <w:r>
        <w:rPr>
          <w:rFonts w:ascii="Arial" w:eastAsia="Calibri" w:hAnsi="Arial" w:cs="Arial"/>
          <w:b/>
          <w:bCs/>
          <w:color w:val="000000" w:themeColor="text1"/>
        </w:rPr>
        <w:t>para el efecto</w:t>
      </w:r>
      <w:r>
        <w:rPr>
          <w:rFonts w:ascii="Arial" w:eastAsia="Calibri" w:hAnsi="Arial" w:cs="Arial"/>
          <w:bCs/>
          <w:color w:val="000000" w:themeColor="text1"/>
        </w:rPr>
        <w:t xml:space="preserve"> de que el Contralor demandado, dicte un nuevo acuerdo y </w:t>
      </w:r>
      <w:r>
        <w:rPr>
          <w:rFonts w:ascii="Arial" w:eastAsia="Calibri" w:hAnsi="Arial" w:cs="Arial"/>
          <w:b/>
          <w:bCs/>
          <w:color w:val="000000" w:themeColor="text1"/>
        </w:rPr>
        <w:t xml:space="preserve">remita a la autoridad administrativa competente, </w:t>
      </w:r>
      <w:r>
        <w:rPr>
          <w:rFonts w:ascii="Arial" w:eastAsia="Calibri" w:hAnsi="Arial" w:cs="Arial"/>
          <w:bCs/>
          <w:color w:val="000000" w:themeColor="text1"/>
        </w:rPr>
        <w:t xml:space="preserve">las constancias que integran la Investigación Administrativa CM/IA/51/2014, </w:t>
      </w:r>
      <w:r>
        <w:rPr>
          <w:rFonts w:ascii="Arial" w:eastAsia="Calibri" w:hAnsi="Arial" w:cs="Arial"/>
          <w:b/>
          <w:bCs/>
          <w:color w:val="000000" w:themeColor="text1"/>
        </w:rPr>
        <w:t>quien con plenitud de jurisdicción,</w:t>
      </w:r>
      <w:r>
        <w:rPr>
          <w:rFonts w:ascii="Arial" w:eastAsia="Calibri" w:hAnsi="Arial" w:cs="Arial"/>
          <w:bCs/>
          <w:color w:val="000000" w:themeColor="text1"/>
        </w:rPr>
        <w:t xml:space="preserve"> acuerde iniciar o no, procedimiento administrativo disciplinario en contra del hoy actor, lo anterior de conformidad con el considerando SEXTO de esta resolución.- - - - - </w:t>
      </w:r>
      <w:r w:rsidR="00C02675">
        <w:rPr>
          <w:rFonts w:ascii="Arial" w:eastAsia="Calibri" w:hAnsi="Arial" w:cs="Arial"/>
          <w:bCs/>
          <w:color w:val="000000" w:themeColor="text1"/>
        </w:rPr>
        <w:t xml:space="preserve">- - - - - - - - - - - - - - - - - - - - - - - - - - - - </w:t>
      </w:r>
    </w:p>
    <w:p w:rsidR="00C02675" w:rsidRDefault="00C02675" w:rsidP="005E214A">
      <w:pPr>
        <w:spacing w:after="0" w:line="360" w:lineRule="auto"/>
        <w:ind w:left="1134" w:right="566"/>
        <w:jc w:val="both"/>
        <w:rPr>
          <w:rFonts w:ascii="Arial" w:eastAsia="Calibri" w:hAnsi="Arial" w:cs="Arial"/>
          <w:bCs/>
          <w:color w:val="000000" w:themeColor="text1"/>
        </w:rPr>
      </w:pPr>
    </w:p>
    <w:p w:rsidR="005E214A" w:rsidRDefault="005E214A" w:rsidP="005E214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CUARTO.</w:t>
      </w:r>
      <w:r>
        <w:rPr>
          <w:rFonts w:ascii="Arial" w:eastAsia="Calibri" w:hAnsi="Arial" w:cs="Arial"/>
          <w:bCs/>
          <w:color w:val="000000" w:themeColor="text1"/>
        </w:rPr>
        <w:t>- Conforme a lo dispuesto en el artículo 142 fracción I y 143 fracciones I y II, de la Ley de Justicia Administrativa para el Estado,</w:t>
      </w:r>
      <w:r>
        <w:rPr>
          <w:rFonts w:ascii="Arial" w:eastAsia="Calibri" w:hAnsi="Arial" w:cs="Arial"/>
          <w:b/>
          <w:bCs/>
          <w:color w:val="000000" w:themeColor="text1"/>
        </w:rPr>
        <w:t xml:space="preserve"> NOTIFÍQUESE PERSONALMENTE A LA PARTE ACTORA Y POR OFICIO A LA AUTORIDAD DEMANDADA. CÚMPLASE.- - - - - - - - - - - - - - - - - - - - - - - - - - - - - - - - - - - - - - - </w:t>
      </w:r>
      <w:r w:rsidR="00C02675">
        <w:rPr>
          <w:rFonts w:ascii="Arial" w:eastAsia="Calibri" w:hAnsi="Arial" w:cs="Arial"/>
          <w:b/>
          <w:bCs/>
          <w:color w:val="000000" w:themeColor="text1"/>
        </w:rPr>
        <w:t>…”</w:t>
      </w:r>
    </w:p>
    <w:p w:rsidR="006B201F" w:rsidRDefault="006B201F" w:rsidP="00C07DF2">
      <w:pPr>
        <w:spacing w:after="0" w:line="360" w:lineRule="auto"/>
        <w:ind w:right="566"/>
        <w:jc w:val="both"/>
        <w:rPr>
          <w:rFonts w:ascii="Arial" w:eastAsia="Calibri" w:hAnsi="Arial" w:cs="Arial"/>
          <w:b/>
          <w:bCs/>
          <w:color w:val="000000" w:themeColor="text1"/>
        </w:rPr>
      </w:pPr>
    </w:p>
    <w:p w:rsidR="006B201F" w:rsidRDefault="006B201F" w:rsidP="006B201F">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3E6EC8" w:rsidRDefault="003E6EC8" w:rsidP="00477676">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sentencia de </w:t>
      </w:r>
      <w:r w:rsidR="00C07DF2">
        <w:rPr>
          <w:rFonts w:ascii="Arial" w:hAnsi="Arial" w:cs="Arial"/>
          <w:bCs/>
          <w:iCs/>
          <w:sz w:val="26"/>
          <w:szCs w:val="26"/>
        </w:rPr>
        <w:t xml:space="preserve"> siete de marzo de</w:t>
      </w:r>
      <w:r>
        <w:rPr>
          <w:rFonts w:ascii="Arial" w:hAnsi="Arial" w:cs="Arial"/>
          <w:bCs/>
          <w:iCs/>
          <w:sz w:val="26"/>
          <w:szCs w:val="26"/>
        </w:rPr>
        <w:t xml:space="preserve"> dos mil dieciocho, dictado por la Séptima Sala Unitaria de Primera Instancia, en el expediente </w:t>
      </w:r>
      <w:r>
        <w:rPr>
          <w:rFonts w:ascii="Arial" w:hAnsi="Arial" w:cs="Arial"/>
          <w:b/>
          <w:bCs/>
          <w:iCs/>
          <w:sz w:val="26"/>
          <w:szCs w:val="26"/>
        </w:rPr>
        <w:t>0448/2016.</w:t>
      </w:r>
    </w:p>
    <w:p w:rsidR="006B201F" w:rsidRPr="00477676" w:rsidRDefault="006B201F" w:rsidP="00477676">
      <w:pPr>
        <w:spacing w:before="240" w:line="360" w:lineRule="auto"/>
        <w:ind w:firstLine="708"/>
        <w:jc w:val="both"/>
        <w:rPr>
          <w:rFonts w:ascii="Arial" w:hAnsi="Arial" w:cs="Arial"/>
          <w:bCs/>
          <w:color w:val="000000"/>
          <w:sz w:val="26"/>
          <w:szCs w:val="26"/>
          <w:lang w:val="es-MX"/>
        </w:rPr>
      </w:pPr>
      <w:r>
        <w:rPr>
          <w:rFonts w:ascii="Arial" w:hAnsi="Arial" w:cs="Arial"/>
          <w:b/>
          <w:bCs/>
          <w:sz w:val="26"/>
          <w:szCs w:val="26"/>
        </w:rPr>
        <w:t>SEGUNDO.</w:t>
      </w:r>
      <w:r>
        <w:rPr>
          <w:rFonts w:ascii="Arial" w:hAnsi="Arial" w:cs="Arial"/>
          <w:bCs/>
          <w:sz w:val="26"/>
          <w:szCs w:val="26"/>
        </w:rPr>
        <w:t xml:space="preserve"> </w:t>
      </w:r>
      <w:r>
        <w:rPr>
          <w:rFonts w:ascii="Arial" w:hAnsi="Arial" w:cs="Arial"/>
          <w:bCs/>
          <w:color w:val="000000"/>
          <w:sz w:val="26"/>
          <w:szCs w:val="26"/>
          <w:lang w:val="es-MX"/>
        </w:rPr>
        <w:t>De las constancias que integran el expediente principal, así como del cuaderno del presente recurso de revisión, a las que se les otorga pleno valor probatorio conforme a lo dispuesto por el artículo 173, fracción I, de la</w:t>
      </w:r>
      <w:r w:rsidR="00C07DF2">
        <w:rPr>
          <w:rFonts w:ascii="Arial" w:hAnsi="Arial" w:cs="Arial"/>
          <w:bCs/>
          <w:color w:val="000000"/>
          <w:sz w:val="26"/>
          <w:szCs w:val="26"/>
          <w:lang w:val="es-MX"/>
        </w:rPr>
        <w:t xml:space="preserve"> reformada</w:t>
      </w:r>
      <w:r>
        <w:rPr>
          <w:rFonts w:ascii="Arial" w:hAnsi="Arial" w:cs="Arial"/>
          <w:bCs/>
          <w:color w:val="000000"/>
          <w:sz w:val="26"/>
          <w:szCs w:val="26"/>
          <w:lang w:val="es-MX"/>
        </w:rPr>
        <w:t xml:space="preserve"> Ley de Justicia Administrativa </w:t>
      </w:r>
      <w:r>
        <w:rPr>
          <w:rFonts w:ascii="Arial" w:hAnsi="Arial" w:cs="Arial"/>
          <w:bCs/>
          <w:color w:val="000000"/>
          <w:sz w:val="26"/>
          <w:szCs w:val="26"/>
          <w:lang w:val="es-MX"/>
        </w:rPr>
        <w:lastRenderedPageBreak/>
        <w:t xml:space="preserve">para el Estado de Oaxaca, por tratarse de actuaciones judiciales, se advierte que: </w:t>
      </w:r>
      <w:r>
        <w:rPr>
          <w:rFonts w:ascii="Arial" w:hAnsi="Arial" w:cs="Arial"/>
          <w:b/>
          <w:color w:val="000000"/>
          <w:sz w:val="26"/>
          <w:szCs w:val="26"/>
          <w:lang w:val="es-MX"/>
        </w:rPr>
        <w:t>LIC</w:t>
      </w:r>
      <w:r w:rsidR="008939B5">
        <w:rPr>
          <w:rFonts w:ascii="Arial" w:hAnsi="Arial" w:cs="Arial"/>
          <w:b/>
          <w:color w:val="000000"/>
          <w:sz w:val="26"/>
          <w:szCs w:val="26"/>
          <w:lang w:val="es-MX"/>
        </w:rPr>
        <w:t>.</w:t>
      </w:r>
      <w:r>
        <w:rPr>
          <w:rFonts w:ascii="Arial" w:hAnsi="Arial" w:cs="Arial"/>
          <w:b/>
          <w:color w:val="000000"/>
          <w:sz w:val="26"/>
          <w:szCs w:val="26"/>
          <w:lang w:val="es-MX"/>
        </w:rPr>
        <w:t xml:space="preserve"> TANIA GABRIEL UNDA MORENO</w:t>
      </w:r>
      <w:r w:rsidR="00477676">
        <w:rPr>
          <w:rFonts w:ascii="Arial" w:hAnsi="Arial" w:cs="Arial"/>
          <w:b/>
          <w:color w:val="000000"/>
          <w:sz w:val="26"/>
          <w:szCs w:val="26"/>
          <w:lang w:val="es-MX"/>
        </w:rPr>
        <w:t>,</w:t>
      </w:r>
      <w:r>
        <w:rPr>
          <w:rFonts w:ascii="Arial" w:hAnsi="Arial" w:cs="Arial"/>
          <w:b/>
          <w:color w:val="000000"/>
          <w:sz w:val="26"/>
          <w:szCs w:val="26"/>
          <w:lang w:val="es-MX"/>
        </w:rPr>
        <w:t xml:space="preserve"> CONTRALORA MUNICIPAL </w:t>
      </w:r>
      <w:r w:rsidR="00477676">
        <w:rPr>
          <w:rFonts w:ascii="Arial" w:hAnsi="Arial" w:cs="Arial"/>
          <w:b/>
          <w:color w:val="000000"/>
          <w:sz w:val="26"/>
          <w:szCs w:val="26"/>
          <w:lang w:val="es-MX"/>
        </w:rPr>
        <w:t xml:space="preserve">DEL MUNICIPIO DE OAXACA DE JUÁREZ, </w:t>
      </w:r>
      <w:r>
        <w:rPr>
          <w:rFonts w:ascii="Arial" w:hAnsi="Arial" w:cs="Arial"/>
          <w:color w:val="000000"/>
          <w:sz w:val="26"/>
          <w:szCs w:val="26"/>
          <w:lang w:val="es-MX"/>
        </w:rPr>
        <w:t xml:space="preserve">presentó el escrito del recurso de revisión en contra de la sentencia de </w:t>
      </w:r>
      <w:r w:rsidR="008939B5">
        <w:rPr>
          <w:rFonts w:ascii="Arial" w:hAnsi="Arial" w:cs="Arial"/>
          <w:color w:val="000000"/>
          <w:sz w:val="26"/>
          <w:szCs w:val="26"/>
          <w:lang w:val="es-MX"/>
        </w:rPr>
        <w:t xml:space="preserve">siete de marzo </w:t>
      </w:r>
      <w:r w:rsidR="00C07DF2">
        <w:rPr>
          <w:rFonts w:ascii="Arial" w:hAnsi="Arial" w:cs="Arial"/>
          <w:color w:val="000000"/>
          <w:sz w:val="26"/>
          <w:szCs w:val="26"/>
          <w:lang w:val="es-MX"/>
        </w:rPr>
        <w:t>de</w:t>
      </w:r>
      <w:r w:rsidR="00973E15">
        <w:rPr>
          <w:rFonts w:ascii="Arial" w:hAnsi="Arial" w:cs="Arial"/>
          <w:color w:val="000000"/>
          <w:sz w:val="26"/>
          <w:szCs w:val="26"/>
          <w:lang w:val="es-MX"/>
        </w:rPr>
        <w:t xml:space="preserve"> dos mil dieciocho</w:t>
      </w:r>
      <w:r>
        <w:rPr>
          <w:rFonts w:ascii="Arial" w:hAnsi="Arial" w:cs="Arial"/>
          <w:color w:val="000000"/>
          <w:sz w:val="26"/>
          <w:szCs w:val="26"/>
          <w:lang w:val="es-MX"/>
        </w:rPr>
        <w:t xml:space="preserve">, el cual fue recibido en la Oficialía de Partes el </w:t>
      </w:r>
      <w:r w:rsidR="008939B5">
        <w:rPr>
          <w:rFonts w:ascii="Arial" w:hAnsi="Arial" w:cs="Arial"/>
          <w:color w:val="000000"/>
          <w:sz w:val="26"/>
          <w:szCs w:val="26"/>
          <w:lang w:val="es-MX"/>
        </w:rPr>
        <w:t xml:space="preserve">06 seis de abril </w:t>
      </w:r>
      <w:r>
        <w:rPr>
          <w:rFonts w:ascii="Arial" w:hAnsi="Arial" w:cs="Arial"/>
          <w:color w:val="000000"/>
          <w:sz w:val="26"/>
          <w:szCs w:val="26"/>
          <w:lang w:val="es-MX"/>
        </w:rPr>
        <w:t>de 2018 dos mil dieciocho.</w:t>
      </w:r>
    </w:p>
    <w:p w:rsidR="006B201F" w:rsidRDefault="006B201F" w:rsidP="006B201F">
      <w:pPr>
        <w:spacing w:line="360" w:lineRule="auto"/>
        <w:jc w:val="both"/>
        <w:rPr>
          <w:rFonts w:ascii="Arial" w:hAnsi="Arial" w:cs="Arial"/>
          <w:color w:val="000000"/>
          <w:sz w:val="26"/>
          <w:szCs w:val="26"/>
          <w:lang w:val="es-MX"/>
        </w:rPr>
      </w:pPr>
      <w:r>
        <w:rPr>
          <w:rFonts w:ascii="Arial" w:hAnsi="Arial" w:cs="Arial"/>
          <w:color w:val="000000"/>
          <w:sz w:val="26"/>
          <w:szCs w:val="26"/>
          <w:lang w:val="es-MX"/>
        </w:rPr>
        <w:tab/>
        <w:t xml:space="preserve">Ahora, el artículo 207 de la </w:t>
      </w:r>
      <w:r w:rsidR="00C07DF2">
        <w:rPr>
          <w:rFonts w:ascii="Arial" w:hAnsi="Arial" w:cs="Arial"/>
          <w:color w:val="000000"/>
          <w:sz w:val="26"/>
          <w:szCs w:val="26"/>
          <w:lang w:val="es-MX"/>
        </w:rPr>
        <w:t xml:space="preserve">citada </w:t>
      </w:r>
      <w:r>
        <w:rPr>
          <w:rFonts w:ascii="Arial" w:hAnsi="Arial" w:cs="Arial"/>
          <w:color w:val="000000"/>
          <w:sz w:val="26"/>
          <w:szCs w:val="26"/>
          <w:lang w:val="es-MX"/>
        </w:rPr>
        <w:t>Ley de Justicia Administrativa para el Estado de Oaxaca, establece:</w:t>
      </w:r>
    </w:p>
    <w:p w:rsidR="006B201F" w:rsidRDefault="006B201F" w:rsidP="006B201F">
      <w:pPr>
        <w:tabs>
          <w:tab w:val="left" w:pos="7938"/>
        </w:tabs>
        <w:spacing w:before="240"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207</w:t>
      </w:r>
      <w:r>
        <w:rPr>
          <w:rFonts w:ascii="Arial" w:hAnsi="Arial" w:cs="Arial"/>
          <w:color w:val="000000"/>
          <w:sz w:val="20"/>
          <w:szCs w:val="20"/>
          <w:lang w:val="es-MX"/>
        </w:rPr>
        <w:t>.- El recurso de revisión se presentará por escrito con expresión de agravios ante el Juzgado que dictó el acuerdo o resolución que se impugna, dentro de los cinco días siguientes a la notificación de la resolución recurrida.”</w:t>
      </w:r>
    </w:p>
    <w:p w:rsidR="006B201F" w:rsidRDefault="006B201F" w:rsidP="006B201F">
      <w:pPr>
        <w:spacing w:before="240" w:after="0" w:line="360" w:lineRule="auto"/>
        <w:ind w:right="476"/>
        <w:jc w:val="both"/>
        <w:rPr>
          <w:rFonts w:ascii="Arial" w:hAnsi="Arial" w:cs="Arial"/>
          <w:color w:val="000000"/>
          <w:sz w:val="26"/>
          <w:szCs w:val="26"/>
          <w:lang w:val="es-MX"/>
        </w:rPr>
      </w:pPr>
      <w:r>
        <w:rPr>
          <w:rFonts w:ascii="Arial" w:hAnsi="Arial" w:cs="Arial"/>
          <w:color w:val="000000"/>
          <w:sz w:val="26"/>
          <w:szCs w:val="26"/>
          <w:lang w:val="es-MX"/>
        </w:rPr>
        <w:t xml:space="preserve"> </w:t>
      </w:r>
      <w:r>
        <w:rPr>
          <w:rFonts w:ascii="Arial" w:hAnsi="Arial" w:cs="Arial"/>
          <w:color w:val="000000"/>
          <w:sz w:val="26"/>
          <w:szCs w:val="26"/>
          <w:lang w:val="es-MX"/>
        </w:rPr>
        <w:tab/>
        <w:t>Y, el diverso artículo 140, segundo párrafo de la citada Ley, señala:</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140</w:t>
      </w:r>
      <w:r>
        <w:rPr>
          <w:rFonts w:ascii="Arial" w:hAnsi="Arial" w:cs="Arial"/>
          <w:color w:val="000000"/>
          <w:sz w:val="20"/>
          <w:szCs w:val="20"/>
          <w:lang w:val="es-MX"/>
        </w:rPr>
        <w:t>.-…</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Las notificaciones surtirán sus efectos el día hábil siguiente de aquel en que se realicen.”</w:t>
      </w:r>
    </w:p>
    <w:p w:rsidR="006B201F" w:rsidRDefault="006B201F" w:rsidP="006B201F">
      <w:pPr>
        <w:spacing w:before="240" w:after="0" w:line="360" w:lineRule="auto"/>
        <w:jc w:val="both"/>
        <w:rPr>
          <w:rFonts w:ascii="Arial" w:eastAsia="Calibri" w:hAnsi="Arial" w:cs="Arial"/>
          <w:color w:val="000000"/>
          <w:sz w:val="26"/>
          <w:szCs w:val="26"/>
          <w:lang w:val="es-MX"/>
        </w:rPr>
      </w:pPr>
      <w:r>
        <w:rPr>
          <w:rFonts w:ascii="Arial" w:hAnsi="Arial" w:cs="Arial"/>
          <w:color w:val="000000"/>
          <w:sz w:val="26"/>
          <w:szCs w:val="26"/>
          <w:lang w:val="es-MX"/>
        </w:rPr>
        <w:tab/>
        <w:t xml:space="preserve">Así, se tiene que dicha resolución le fue notificada el </w:t>
      </w:r>
      <w:r w:rsidR="008939B5">
        <w:rPr>
          <w:rFonts w:ascii="Arial" w:hAnsi="Arial" w:cs="Arial"/>
          <w:color w:val="000000"/>
          <w:sz w:val="26"/>
          <w:szCs w:val="26"/>
          <w:lang w:val="es-MX"/>
        </w:rPr>
        <w:t xml:space="preserve">21 de marzo </w:t>
      </w:r>
      <w:r>
        <w:rPr>
          <w:rFonts w:ascii="Arial" w:hAnsi="Arial" w:cs="Arial"/>
          <w:color w:val="000000"/>
          <w:sz w:val="26"/>
          <w:szCs w:val="26"/>
          <w:lang w:val="es-MX"/>
        </w:rPr>
        <w:t>de 2018 dos mil dieciocho, como consta en diligencia de notificación correspondiente (folio 9</w:t>
      </w:r>
      <w:r w:rsidR="008939B5">
        <w:rPr>
          <w:rFonts w:ascii="Arial" w:hAnsi="Arial" w:cs="Arial"/>
          <w:color w:val="000000"/>
          <w:sz w:val="26"/>
          <w:szCs w:val="26"/>
          <w:lang w:val="es-MX"/>
        </w:rPr>
        <w:t>2</w:t>
      </w:r>
      <w:r>
        <w:rPr>
          <w:rFonts w:ascii="Arial" w:hAnsi="Arial" w:cs="Arial"/>
          <w:color w:val="000000"/>
          <w:sz w:val="26"/>
          <w:szCs w:val="26"/>
          <w:lang w:val="es-MX"/>
        </w:rPr>
        <w:t>), y surtiendo efectos el 2</w:t>
      </w:r>
      <w:r w:rsidR="005D6FAE">
        <w:rPr>
          <w:rFonts w:ascii="Arial" w:hAnsi="Arial" w:cs="Arial"/>
          <w:color w:val="000000"/>
          <w:sz w:val="26"/>
          <w:szCs w:val="26"/>
          <w:lang w:val="es-MX"/>
        </w:rPr>
        <w:t>2</w:t>
      </w:r>
      <w:r>
        <w:rPr>
          <w:rFonts w:ascii="Arial" w:hAnsi="Arial" w:cs="Arial"/>
          <w:color w:val="000000"/>
          <w:sz w:val="26"/>
          <w:szCs w:val="26"/>
          <w:lang w:val="es-MX"/>
        </w:rPr>
        <w:t xml:space="preserve"> </w:t>
      </w:r>
      <w:r w:rsidR="005D6FAE">
        <w:rPr>
          <w:rFonts w:ascii="Arial" w:hAnsi="Arial" w:cs="Arial"/>
          <w:color w:val="000000"/>
          <w:sz w:val="26"/>
          <w:szCs w:val="26"/>
          <w:lang w:val="es-MX"/>
        </w:rPr>
        <w:t>veintidós</w:t>
      </w:r>
      <w:r>
        <w:rPr>
          <w:rFonts w:ascii="Arial" w:hAnsi="Arial" w:cs="Arial"/>
          <w:color w:val="000000"/>
          <w:sz w:val="26"/>
          <w:szCs w:val="26"/>
          <w:lang w:val="es-MX"/>
        </w:rPr>
        <w:t xml:space="preserve"> de ma</w:t>
      </w:r>
      <w:r w:rsidR="008939B5">
        <w:rPr>
          <w:rFonts w:ascii="Arial" w:hAnsi="Arial" w:cs="Arial"/>
          <w:color w:val="000000"/>
          <w:sz w:val="26"/>
          <w:szCs w:val="26"/>
          <w:lang w:val="es-MX"/>
        </w:rPr>
        <w:t>rzo</w:t>
      </w:r>
      <w:r w:rsidR="005D6FAE">
        <w:rPr>
          <w:rFonts w:ascii="Arial" w:hAnsi="Arial" w:cs="Arial"/>
          <w:color w:val="000000"/>
          <w:sz w:val="26"/>
          <w:szCs w:val="26"/>
          <w:lang w:val="es-MX"/>
        </w:rPr>
        <w:t xml:space="preserve"> del presente</w:t>
      </w:r>
      <w:r>
        <w:rPr>
          <w:rFonts w:ascii="Arial" w:hAnsi="Arial" w:cs="Arial"/>
          <w:color w:val="000000"/>
          <w:sz w:val="26"/>
          <w:szCs w:val="26"/>
          <w:lang w:val="es-MX"/>
        </w:rPr>
        <w:t xml:space="preserve"> año, del día hábil siguiente a la realización de la referida notificación, por lo que el plazo aludido transcurrió del 2</w:t>
      </w:r>
      <w:r w:rsidR="008E649F">
        <w:rPr>
          <w:rFonts w:ascii="Arial" w:hAnsi="Arial" w:cs="Arial"/>
          <w:color w:val="000000"/>
          <w:sz w:val="26"/>
          <w:szCs w:val="26"/>
          <w:lang w:val="es-MX"/>
        </w:rPr>
        <w:t xml:space="preserve">3 veintitrés de marzo </w:t>
      </w:r>
      <w:r>
        <w:rPr>
          <w:rFonts w:ascii="Arial" w:hAnsi="Arial" w:cs="Arial"/>
          <w:color w:val="000000"/>
          <w:sz w:val="26"/>
          <w:szCs w:val="26"/>
          <w:lang w:val="es-MX"/>
        </w:rPr>
        <w:t xml:space="preserve">de 2018 dos mil dieciocho al </w:t>
      </w:r>
      <w:r w:rsidR="008E649F">
        <w:rPr>
          <w:rFonts w:ascii="Arial" w:hAnsi="Arial" w:cs="Arial"/>
          <w:color w:val="000000"/>
          <w:sz w:val="26"/>
          <w:szCs w:val="26"/>
          <w:lang w:val="es-MX"/>
        </w:rPr>
        <w:t>03 de abril</w:t>
      </w:r>
      <w:r>
        <w:rPr>
          <w:rFonts w:ascii="Arial" w:hAnsi="Arial" w:cs="Arial"/>
          <w:color w:val="000000"/>
          <w:sz w:val="26"/>
          <w:szCs w:val="26"/>
          <w:lang w:val="es-MX"/>
        </w:rPr>
        <w:t xml:space="preserve"> del 2018 dos mil diecioch</w:t>
      </w:r>
      <w:r w:rsidR="008E649F">
        <w:rPr>
          <w:rFonts w:ascii="Arial" w:hAnsi="Arial" w:cs="Arial"/>
          <w:color w:val="000000"/>
          <w:sz w:val="26"/>
          <w:szCs w:val="26"/>
          <w:lang w:val="es-MX"/>
        </w:rPr>
        <w:t>o, descontándose los días del 28, 29, 30, 31 de marzo y 01 de abril</w:t>
      </w:r>
      <w:r>
        <w:rPr>
          <w:rFonts w:ascii="Arial" w:hAnsi="Arial" w:cs="Arial"/>
          <w:color w:val="000000"/>
          <w:sz w:val="26"/>
          <w:szCs w:val="26"/>
          <w:lang w:val="es-MX"/>
        </w:rPr>
        <w:t xml:space="preserve">, </w:t>
      </w:r>
      <w:r>
        <w:rPr>
          <w:rFonts w:ascii="Arial" w:eastAsia="Calibri" w:hAnsi="Arial" w:cs="Arial"/>
          <w:color w:val="000000"/>
          <w:sz w:val="26"/>
          <w:szCs w:val="26"/>
          <w:lang w:val="es-MX"/>
        </w:rPr>
        <w:t xml:space="preserve">por corresponder a días inhábiles; lo anterior, conforme  a lo dispuesto en los artículos 135 y 138 de la </w:t>
      </w:r>
      <w:r w:rsidR="00C07DF2">
        <w:rPr>
          <w:rFonts w:ascii="Arial" w:eastAsia="Calibri" w:hAnsi="Arial" w:cs="Arial"/>
          <w:color w:val="000000"/>
          <w:sz w:val="26"/>
          <w:szCs w:val="26"/>
          <w:lang w:val="es-MX"/>
        </w:rPr>
        <w:t xml:space="preserve">reformada </w:t>
      </w:r>
      <w:r>
        <w:rPr>
          <w:rFonts w:ascii="Arial" w:eastAsia="Calibri" w:hAnsi="Arial" w:cs="Arial"/>
          <w:color w:val="000000"/>
          <w:sz w:val="26"/>
          <w:szCs w:val="26"/>
          <w:lang w:val="es-MX"/>
        </w:rPr>
        <w:t>Ley de Justicia Administrativa para el Estado de Oaxaca, los cuales establecen:</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ARTICULO 135</w:t>
      </w:r>
      <w:r>
        <w:rPr>
          <w:rFonts w:ascii="Arial" w:hAnsi="Arial" w:cs="Arial"/>
          <w:color w:val="000000"/>
          <w:sz w:val="20"/>
          <w:szCs w:val="20"/>
          <w:lang w:val="es-MX"/>
        </w:rPr>
        <w:t>.- Son días hábiles para la promoción, substanciación y resolución del juicio contencioso administrativo, todos los días del año, con exclusión de los sábados y domingos, así como los señalados en el calendario oficial del Tribunal.”</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w:t>
      </w:r>
      <w:r>
        <w:rPr>
          <w:rFonts w:ascii="Arial" w:hAnsi="Arial" w:cs="Arial"/>
          <w:b/>
          <w:color w:val="000000"/>
          <w:sz w:val="20"/>
          <w:szCs w:val="20"/>
          <w:lang w:val="es-MX"/>
        </w:rPr>
        <w:t>ARTICULO 138</w:t>
      </w:r>
      <w:r>
        <w:rPr>
          <w:rFonts w:ascii="Arial" w:hAnsi="Arial" w:cs="Arial"/>
          <w:color w:val="000000"/>
          <w:sz w:val="20"/>
          <w:szCs w:val="20"/>
          <w:lang w:val="es-MX"/>
        </w:rPr>
        <w:t>.- Los plazos serán improrrogables y su cómputo se sujetará a las reglas siguientes:</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 Empezarán a correr a partir del día siguiente a aquél en que surta efectos la notificación y se incluirá en ellos el día del vencimiento, y</w:t>
      </w:r>
    </w:p>
    <w:p w:rsidR="006B201F" w:rsidRDefault="006B201F" w:rsidP="006B201F">
      <w:pPr>
        <w:spacing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II. Los plazos se contarán por días hábiles.”</w:t>
      </w:r>
    </w:p>
    <w:p w:rsidR="006B201F" w:rsidRDefault="006B201F" w:rsidP="006B201F">
      <w:pPr>
        <w:spacing w:after="0" w:line="360" w:lineRule="auto"/>
        <w:ind w:left="1134" w:right="616"/>
        <w:jc w:val="both"/>
        <w:rPr>
          <w:rFonts w:ascii="Arial" w:hAnsi="Arial" w:cs="Arial"/>
          <w:color w:val="000000"/>
          <w:sz w:val="20"/>
          <w:szCs w:val="20"/>
          <w:lang w:val="es-MX"/>
        </w:rPr>
      </w:pPr>
    </w:p>
    <w:p w:rsidR="006B201F" w:rsidRDefault="006B201F" w:rsidP="006B201F">
      <w:pPr>
        <w:spacing w:after="0" w:line="360" w:lineRule="auto"/>
        <w:ind w:left="1134" w:right="616"/>
        <w:jc w:val="both"/>
        <w:rPr>
          <w:rFonts w:ascii="Arial" w:hAnsi="Arial" w:cs="Arial"/>
          <w:color w:val="000000"/>
          <w:sz w:val="20"/>
          <w:szCs w:val="20"/>
          <w:lang w:val="es-MX"/>
        </w:rPr>
      </w:pPr>
    </w:p>
    <w:p w:rsidR="006B201F" w:rsidRDefault="006B201F" w:rsidP="006B201F">
      <w:pPr>
        <w:widowControl w:val="0"/>
        <w:tabs>
          <w:tab w:val="left" w:pos="7938"/>
          <w:tab w:val="left" w:pos="8222"/>
        </w:tabs>
        <w:spacing w:after="0" w:line="360" w:lineRule="auto"/>
        <w:ind w:right="49"/>
        <w:jc w:val="both"/>
        <w:rPr>
          <w:rFonts w:ascii="Arial" w:eastAsia="Calibri" w:hAnsi="Arial" w:cs="Arial"/>
          <w:sz w:val="26"/>
          <w:szCs w:val="26"/>
          <w:lang w:val="es-MX"/>
        </w:rPr>
      </w:pPr>
      <w:r>
        <w:rPr>
          <w:rFonts w:ascii="Arial" w:hAnsi="Arial" w:cs="Arial"/>
          <w:color w:val="000000"/>
          <w:sz w:val="26"/>
          <w:szCs w:val="26"/>
          <w:lang w:val="es-MX"/>
        </w:rPr>
        <w:lastRenderedPageBreak/>
        <w:t xml:space="preserve">            Por tanto, al haberse presentado el escrito del recurso de revisión el </w:t>
      </w:r>
      <w:r w:rsidR="008E649F">
        <w:rPr>
          <w:rFonts w:ascii="Arial" w:hAnsi="Arial" w:cs="Arial"/>
          <w:color w:val="000000"/>
          <w:sz w:val="26"/>
          <w:szCs w:val="26"/>
          <w:lang w:val="es-MX"/>
        </w:rPr>
        <w:t xml:space="preserve">06 seis de abril </w:t>
      </w:r>
      <w:r>
        <w:rPr>
          <w:rFonts w:ascii="Arial" w:hAnsi="Arial" w:cs="Arial"/>
          <w:color w:val="000000"/>
          <w:sz w:val="26"/>
          <w:szCs w:val="26"/>
          <w:lang w:val="es-MX"/>
        </w:rPr>
        <w:t xml:space="preserve">de 2018 dos mil dieciocho, como consta del sello de recepción de la Oficialía de Partes de este Tribunal, es evidente que se realizó fuera del plazo, que dispone el artículo 207 de la Ley en comento, lo que impone </w:t>
      </w:r>
      <w:r>
        <w:rPr>
          <w:rFonts w:ascii="Arial" w:hAnsi="Arial" w:cs="Arial"/>
          <w:b/>
          <w:color w:val="000000"/>
          <w:sz w:val="26"/>
          <w:szCs w:val="26"/>
          <w:lang w:val="es-MX"/>
        </w:rPr>
        <w:t>DESECHARLO</w:t>
      </w:r>
      <w:r>
        <w:rPr>
          <w:rFonts w:ascii="Arial" w:hAnsi="Arial" w:cs="Arial"/>
          <w:color w:val="000000"/>
          <w:sz w:val="26"/>
          <w:szCs w:val="26"/>
          <w:lang w:val="es-MX"/>
        </w:rPr>
        <w:t xml:space="preserve"> por </w:t>
      </w:r>
      <w:r>
        <w:rPr>
          <w:rFonts w:ascii="Arial" w:hAnsi="Arial" w:cs="Arial"/>
          <w:b/>
          <w:color w:val="000000"/>
          <w:sz w:val="26"/>
          <w:szCs w:val="26"/>
          <w:lang w:val="es-MX"/>
        </w:rPr>
        <w:t xml:space="preserve">EXTEMPORÁNEO. </w:t>
      </w:r>
      <w:r>
        <w:rPr>
          <w:rFonts w:ascii="Arial" w:eastAsia="Calibri" w:hAnsi="Arial" w:cs="Arial"/>
          <w:sz w:val="26"/>
          <w:szCs w:val="26"/>
          <w:lang w:val="es-MX"/>
        </w:rPr>
        <w:t xml:space="preserve">En mérito de lo anterior, con fundamento en los artículos 207 y 208 de la Ley de Justicia Administrativa para el Estado, </w:t>
      </w:r>
      <w:r w:rsidR="00C07DF2">
        <w:rPr>
          <w:rFonts w:ascii="Arial" w:eastAsia="Calibri" w:hAnsi="Arial" w:cs="Arial"/>
          <w:sz w:val="26"/>
          <w:szCs w:val="26"/>
          <w:lang w:val="es-MX"/>
        </w:rPr>
        <w:t xml:space="preserve">vigente al inicio del juicio principal, </w:t>
      </w:r>
      <w:r>
        <w:rPr>
          <w:rFonts w:ascii="Arial" w:eastAsia="Calibri" w:hAnsi="Arial" w:cs="Arial"/>
          <w:sz w:val="26"/>
          <w:szCs w:val="26"/>
          <w:lang w:val="es-MX"/>
        </w:rPr>
        <w:t>se:</w:t>
      </w:r>
    </w:p>
    <w:p w:rsidR="006B201F" w:rsidRDefault="006B201F" w:rsidP="006B201F">
      <w:pPr>
        <w:spacing w:before="240" w:line="360" w:lineRule="auto"/>
        <w:jc w:val="center"/>
        <w:rPr>
          <w:rFonts w:ascii="Arial" w:hAnsi="Arial" w:cs="Arial"/>
          <w:b/>
          <w:sz w:val="24"/>
          <w:szCs w:val="24"/>
        </w:rPr>
      </w:pPr>
      <w:r>
        <w:rPr>
          <w:rFonts w:ascii="Arial" w:hAnsi="Arial" w:cs="Arial"/>
          <w:b/>
          <w:sz w:val="24"/>
          <w:szCs w:val="24"/>
        </w:rPr>
        <w:t>R E S U E L V E</w:t>
      </w:r>
    </w:p>
    <w:p w:rsidR="006B201F" w:rsidRDefault="006B201F" w:rsidP="006B201F">
      <w:pPr>
        <w:spacing w:after="0" w:line="360" w:lineRule="auto"/>
        <w:jc w:val="both"/>
        <w:rPr>
          <w:rFonts w:ascii="Arial" w:hAnsi="Arial" w:cs="Arial"/>
          <w:sz w:val="26"/>
          <w:szCs w:val="26"/>
          <w:lang w:val="es-MX"/>
        </w:rPr>
      </w:pPr>
      <w:r>
        <w:rPr>
          <w:rFonts w:ascii="Arial" w:hAnsi="Arial" w:cs="Arial"/>
          <w:b/>
          <w:sz w:val="26"/>
          <w:szCs w:val="26"/>
        </w:rPr>
        <w:tab/>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EXTEMPORÁNEO</w:t>
      </w:r>
      <w:r>
        <w:rPr>
          <w:rFonts w:ascii="Arial" w:hAnsi="Arial" w:cs="Arial"/>
          <w:sz w:val="26"/>
          <w:szCs w:val="26"/>
          <w:lang w:val="es-MX"/>
        </w:rPr>
        <w:t xml:space="preserve">, el recurso de revisión interpuesto en contra de la sentencia de </w:t>
      </w:r>
      <w:r w:rsidR="008E649F">
        <w:rPr>
          <w:rFonts w:ascii="Arial" w:hAnsi="Arial" w:cs="Arial"/>
          <w:sz w:val="26"/>
          <w:szCs w:val="26"/>
          <w:lang w:val="es-MX"/>
        </w:rPr>
        <w:t xml:space="preserve">siete de marzo </w:t>
      </w:r>
      <w:r>
        <w:rPr>
          <w:rFonts w:ascii="Arial" w:hAnsi="Arial" w:cs="Arial"/>
          <w:sz w:val="26"/>
          <w:szCs w:val="26"/>
          <w:lang w:val="es-MX"/>
        </w:rPr>
        <w:t>de dos mil dieciocho, por las razones expuestas en el Considerando que antecede.</w:t>
      </w:r>
    </w:p>
    <w:p w:rsidR="006B201F" w:rsidRDefault="006B201F" w:rsidP="006B201F">
      <w:pPr>
        <w:spacing w:after="0" w:line="360" w:lineRule="auto"/>
        <w:jc w:val="both"/>
        <w:rPr>
          <w:rFonts w:ascii="Arial" w:hAnsi="Arial" w:cs="Arial"/>
          <w:sz w:val="26"/>
          <w:szCs w:val="26"/>
          <w:lang w:val="es-MX"/>
        </w:rPr>
      </w:pPr>
    </w:p>
    <w:p w:rsidR="006B201F" w:rsidRDefault="006B201F" w:rsidP="006B201F">
      <w:pPr>
        <w:spacing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con copia certificada de la presente resolución, vuelvan las constancias remitidas a la </w:t>
      </w:r>
      <w:r w:rsidR="008E649F">
        <w:rPr>
          <w:rFonts w:ascii="Arial" w:hAnsi="Arial" w:cs="Arial"/>
          <w:sz w:val="26"/>
          <w:szCs w:val="26"/>
        </w:rPr>
        <w:t>Séptima</w:t>
      </w:r>
      <w:r>
        <w:rPr>
          <w:rFonts w:ascii="Arial" w:hAnsi="Arial" w:cs="Arial"/>
          <w:sz w:val="26"/>
          <w:szCs w:val="26"/>
        </w:rPr>
        <w:t xml:space="preserve"> Sala Unitaria de Primera Instancia, y en su oportunidad archívese el cuader</w:t>
      </w:r>
      <w:r w:rsidR="00755B34">
        <w:rPr>
          <w:rFonts w:ascii="Arial" w:hAnsi="Arial" w:cs="Arial"/>
          <w:sz w:val="26"/>
          <w:szCs w:val="26"/>
        </w:rPr>
        <w:t>no de revisión como concluido.</w:t>
      </w:r>
    </w:p>
    <w:p w:rsidR="00C07DF2" w:rsidRDefault="00C07DF2" w:rsidP="00C07DF2">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07DF2" w:rsidRDefault="00C07DF2" w:rsidP="00C07DF2">
      <w:pPr>
        <w:pStyle w:val="Sinespaciado"/>
        <w:spacing w:before="240" w:line="360" w:lineRule="auto"/>
        <w:ind w:firstLine="708"/>
        <w:jc w:val="both"/>
        <w:rPr>
          <w:rFonts w:ascii="Arial" w:eastAsiaTheme="minorEastAsia" w:hAnsi="Arial" w:cs="Arial"/>
          <w:sz w:val="26"/>
          <w:szCs w:val="26"/>
          <w:lang w:val="es-MX" w:eastAsia="es-MX"/>
        </w:rPr>
      </w:pPr>
    </w:p>
    <w:p w:rsidR="00C07DF2" w:rsidRDefault="00C07DF2" w:rsidP="00C07DF2">
      <w:pPr>
        <w:pStyle w:val="Sinespaciado"/>
        <w:spacing w:before="240" w:line="360" w:lineRule="auto"/>
        <w:ind w:firstLine="708"/>
        <w:jc w:val="both"/>
        <w:rPr>
          <w:rFonts w:ascii="Arial" w:eastAsiaTheme="minorEastAsia" w:hAnsi="Arial" w:cs="Arial"/>
          <w:sz w:val="26"/>
          <w:szCs w:val="26"/>
          <w:lang w:val="es-MX" w:eastAsia="es-MX"/>
        </w:rPr>
      </w:pPr>
    </w:p>
    <w:p w:rsidR="001E04FB" w:rsidRDefault="001E04FB" w:rsidP="00C07DF2">
      <w:pPr>
        <w:pStyle w:val="Sinespaciado"/>
        <w:spacing w:before="240" w:line="360" w:lineRule="auto"/>
        <w:ind w:firstLine="708"/>
        <w:jc w:val="both"/>
        <w:rPr>
          <w:rFonts w:ascii="Arial" w:eastAsiaTheme="minorEastAsia" w:hAnsi="Arial" w:cs="Arial"/>
          <w:sz w:val="26"/>
          <w:szCs w:val="26"/>
          <w:lang w:val="es-MX" w:eastAsia="es-MX"/>
        </w:rPr>
      </w:pPr>
    </w:p>
    <w:p w:rsidR="00C07DF2" w:rsidRPr="00557C64" w:rsidRDefault="00C07DF2" w:rsidP="001E04FB">
      <w:pPr>
        <w:pStyle w:val="Sinespaciado"/>
        <w:ind w:firstLine="708"/>
        <w:jc w:val="center"/>
        <w:rPr>
          <w:rFonts w:ascii="Arial" w:eastAsiaTheme="minorEastAsia" w:hAnsi="Arial" w:cs="Arial"/>
          <w:sz w:val="26"/>
          <w:szCs w:val="26"/>
          <w:lang w:val="es-MX" w:eastAsia="es-MX"/>
        </w:rPr>
      </w:pPr>
      <w:r w:rsidRPr="0007468A">
        <w:rPr>
          <w:rFonts w:ascii="Arial" w:eastAsia="Calibri" w:hAnsi="Arial" w:cs="Arial"/>
          <w:sz w:val="26"/>
          <w:szCs w:val="26"/>
        </w:rPr>
        <w:t>MAGISTRADO ADRIÁN QUIROGA AVENDAÑO</w:t>
      </w:r>
    </w:p>
    <w:p w:rsidR="00C07DF2" w:rsidRDefault="00C07DF2" w:rsidP="001E04FB">
      <w:pPr>
        <w:spacing w:after="0" w:line="240" w:lineRule="auto"/>
        <w:ind w:left="142" w:firstLine="709"/>
        <w:jc w:val="center"/>
        <w:rPr>
          <w:rFonts w:ascii="Arial" w:eastAsia="Calibri" w:hAnsi="Arial" w:cs="Arial"/>
          <w:sz w:val="26"/>
          <w:szCs w:val="26"/>
        </w:rPr>
      </w:pPr>
      <w:r w:rsidRPr="0007468A">
        <w:rPr>
          <w:rFonts w:ascii="Arial" w:eastAsia="Arial" w:hAnsi="Arial" w:cs="Arial"/>
          <w:bCs/>
          <w:sz w:val="26"/>
          <w:szCs w:val="26"/>
        </w:rPr>
        <w:t>PRESIDENTE</w:t>
      </w: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r>
        <w:rPr>
          <w:rFonts w:ascii="Arial" w:eastAsia="Calibri" w:hAnsi="Arial" w:cs="Arial"/>
          <w:sz w:val="26"/>
          <w:szCs w:val="26"/>
        </w:rPr>
        <w:t>MAGISTRADO HUGO VILLEGAS AQUINO</w:t>
      </w: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ENRIQUE PACHECO MARTÍNEZ</w:t>
      </w:r>
    </w:p>
    <w:p w:rsidR="00C07DF2" w:rsidRDefault="00C07DF2" w:rsidP="00C07DF2">
      <w:pPr>
        <w:spacing w:after="0" w:line="240" w:lineRule="auto"/>
        <w:ind w:left="142" w:firstLine="709"/>
        <w:jc w:val="center"/>
        <w:rPr>
          <w:rFonts w:ascii="Arial" w:eastAsia="Calibri" w:hAnsi="Arial" w:cs="Arial"/>
          <w:sz w:val="26"/>
          <w:szCs w:val="26"/>
        </w:rPr>
      </w:pPr>
    </w:p>
    <w:p w:rsidR="00C07DF2" w:rsidRDefault="00C07DF2" w:rsidP="00C07DF2">
      <w:pPr>
        <w:spacing w:after="0"/>
        <w:rPr>
          <w:rFonts w:ascii="Arial" w:eastAsia="Calibri" w:hAnsi="Arial" w:cs="Arial"/>
          <w:sz w:val="26"/>
          <w:szCs w:val="26"/>
        </w:rPr>
      </w:pPr>
    </w:p>
    <w:p w:rsidR="00C07DF2" w:rsidRPr="00DC4C8F" w:rsidRDefault="00C07DF2" w:rsidP="00C07DF2">
      <w:pPr>
        <w:spacing w:after="0"/>
        <w:jc w:val="center"/>
        <w:rPr>
          <w:rFonts w:ascii="Arial" w:eastAsia="Calibri" w:hAnsi="Arial" w:cs="Arial"/>
          <w:b/>
          <w:sz w:val="14"/>
          <w:szCs w:val="26"/>
        </w:rPr>
      </w:pPr>
      <w:r w:rsidRPr="00DC4C8F">
        <w:rPr>
          <w:rFonts w:ascii="Arial" w:eastAsia="Calibri" w:hAnsi="Arial" w:cs="Arial"/>
          <w:b/>
          <w:sz w:val="14"/>
          <w:szCs w:val="26"/>
        </w:rPr>
        <w:t>LAS PRESENTES FIRMAS CORRESPONDEN AL RECURSO DE REVISI</w:t>
      </w:r>
      <w:r w:rsidR="001E04FB">
        <w:rPr>
          <w:rFonts w:ascii="Arial" w:eastAsia="Calibri" w:hAnsi="Arial" w:cs="Arial"/>
          <w:b/>
          <w:sz w:val="14"/>
          <w:szCs w:val="26"/>
        </w:rPr>
        <w:t>ÓN 120</w:t>
      </w:r>
      <w:r w:rsidRPr="00DC4C8F">
        <w:rPr>
          <w:rFonts w:ascii="Arial" w:eastAsia="Calibri" w:hAnsi="Arial" w:cs="Arial"/>
          <w:b/>
          <w:sz w:val="14"/>
          <w:szCs w:val="26"/>
        </w:rPr>
        <w:t>/2018</w:t>
      </w:r>
    </w:p>
    <w:p w:rsidR="00C07DF2" w:rsidRPr="00DC4C8F" w:rsidRDefault="00C07DF2" w:rsidP="00C07DF2">
      <w:pPr>
        <w:spacing w:after="0"/>
        <w:jc w:val="center"/>
        <w:rPr>
          <w:rFonts w:ascii="Arial" w:eastAsia="Calibri" w:hAnsi="Arial" w:cs="Arial"/>
          <w:b/>
          <w:sz w:val="14"/>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line="240" w:lineRule="auto"/>
        <w:ind w:right="-72"/>
        <w:jc w:val="center"/>
        <w:rPr>
          <w:rFonts w:ascii="Arial" w:hAnsi="Arial" w:cs="Arial"/>
          <w:sz w:val="26"/>
          <w:szCs w:val="26"/>
        </w:rPr>
      </w:pPr>
      <w:r w:rsidRPr="0007468A">
        <w:rPr>
          <w:rFonts w:ascii="Arial" w:hAnsi="Arial" w:cs="Arial"/>
          <w:sz w:val="26"/>
          <w:szCs w:val="26"/>
        </w:rPr>
        <w:t>MAGISTRADA MARÍA ELENA VILLA DE JARQUÍN</w:t>
      </w:r>
    </w:p>
    <w:p w:rsidR="00C07DF2" w:rsidRDefault="00C07DF2" w:rsidP="00C07DF2">
      <w:pPr>
        <w:spacing w:after="0" w:line="240" w:lineRule="auto"/>
        <w:ind w:right="-72"/>
        <w:jc w:val="center"/>
        <w:rPr>
          <w:rFonts w:ascii="Arial" w:hAnsi="Arial" w:cs="Arial"/>
          <w:sz w:val="26"/>
          <w:szCs w:val="26"/>
        </w:rPr>
      </w:pPr>
    </w:p>
    <w:p w:rsidR="00C07DF2" w:rsidRDefault="00C07DF2" w:rsidP="00C07DF2">
      <w:pPr>
        <w:spacing w:after="0" w:line="240" w:lineRule="auto"/>
        <w:ind w:right="-72"/>
        <w:jc w:val="center"/>
        <w:rPr>
          <w:rFonts w:ascii="Arial" w:hAnsi="Arial" w:cs="Arial"/>
          <w:sz w:val="26"/>
          <w:szCs w:val="26"/>
        </w:rPr>
      </w:pPr>
    </w:p>
    <w:p w:rsidR="00C07DF2" w:rsidRDefault="00C07DF2" w:rsidP="00C07DF2">
      <w:pPr>
        <w:spacing w:after="0" w:line="240" w:lineRule="auto"/>
        <w:ind w:right="-72"/>
        <w:jc w:val="center"/>
        <w:rPr>
          <w:rFonts w:ascii="Arial" w:hAnsi="Arial" w:cs="Arial"/>
          <w:sz w:val="26"/>
          <w:szCs w:val="26"/>
        </w:rPr>
      </w:pPr>
    </w:p>
    <w:p w:rsidR="00C07DF2" w:rsidRDefault="00C07DF2" w:rsidP="00C07DF2">
      <w:pPr>
        <w:spacing w:after="0" w:line="240" w:lineRule="auto"/>
        <w:ind w:right="-72"/>
        <w:jc w:val="center"/>
        <w:rPr>
          <w:rFonts w:ascii="Arial" w:hAnsi="Arial" w:cs="Arial"/>
          <w:sz w:val="26"/>
          <w:szCs w:val="26"/>
        </w:rPr>
      </w:pPr>
    </w:p>
    <w:p w:rsidR="00C07DF2" w:rsidRDefault="00C07DF2" w:rsidP="00C07DF2">
      <w:pPr>
        <w:spacing w:after="0" w:line="240" w:lineRule="auto"/>
        <w:ind w:right="-72"/>
        <w:jc w:val="center"/>
        <w:rPr>
          <w:rFonts w:ascii="Arial" w:hAnsi="Arial" w:cs="Arial"/>
          <w:sz w:val="26"/>
          <w:szCs w:val="26"/>
        </w:rPr>
      </w:pPr>
    </w:p>
    <w:p w:rsidR="00C07DF2" w:rsidRDefault="00C07DF2" w:rsidP="00C07DF2">
      <w:pPr>
        <w:spacing w:after="0" w:line="240" w:lineRule="auto"/>
        <w:ind w:right="-72"/>
        <w:jc w:val="center"/>
        <w:rPr>
          <w:rFonts w:ascii="Arial" w:hAnsi="Arial" w:cs="Arial"/>
          <w:sz w:val="26"/>
          <w:szCs w:val="26"/>
        </w:rPr>
      </w:pPr>
    </w:p>
    <w:p w:rsidR="00C07DF2" w:rsidRPr="0007468A" w:rsidRDefault="00C07DF2" w:rsidP="00C07DF2">
      <w:pPr>
        <w:spacing w:after="0" w:line="240" w:lineRule="auto"/>
        <w:ind w:right="-72"/>
        <w:jc w:val="center"/>
        <w:rPr>
          <w:rFonts w:ascii="Arial" w:hAnsi="Arial" w:cs="Arial"/>
          <w:sz w:val="26"/>
          <w:szCs w:val="26"/>
        </w:rPr>
      </w:pPr>
    </w:p>
    <w:p w:rsidR="00C07DF2" w:rsidRDefault="00C07DF2" w:rsidP="00C07DF2">
      <w:pPr>
        <w:spacing w:after="0"/>
        <w:jc w:val="center"/>
        <w:rPr>
          <w:rFonts w:ascii="Arial" w:eastAsia="Calibri" w:hAnsi="Arial" w:cs="Arial"/>
          <w:sz w:val="26"/>
          <w:szCs w:val="26"/>
        </w:rPr>
      </w:pPr>
      <w:r>
        <w:rPr>
          <w:rFonts w:ascii="Arial" w:eastAsia="Calibri" w:hAnsi="Arial" w:cs="Arial"/>
          <w:sz w:val="26"/>
          <w:szCs w:val="26"/>
        </w:rPr>
        <w:t xml:space="preserve"> </w:t>
      </w:r>
    </w:p>
    <w:p w:rsidR="00C07DF2" w:rsidRDefault="00C07DF2" w:rsidP="00C07DF2">
      <w:pPr>
        <w:spacing w:after="0"/>
        <w:jc w:val="center"/>
        <w:rPr>
          <w:rFonts w:ascii="Arial" w:eastAsia="Calibri" w:hAnsi="Arial" w:cs="Arial"/>
          <w:sz w:val="26"/>
          <w:szCs w:val="26"/>
        </w:rPr>
      </w:pPr>
      <w:r>
        <w:rPr>
          <w:rFonts w:ascii="Arial" w:eastAsia="Calibri" w:hAnsi="Arial" w:cs="Arial"/>
          <w:sz w:val="26"/>
          <w:szCs w:val="26"/>
        </w:rPr>
        <w:t>MAGISTRADO MANUEL VELASCO ALCANTARA</w:t>
      </w: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Default="00C07DF2" w:rsidP="00C07DF2">
      <w:pPr>
        <w:spacing w:after="0"/>
        <w:jc w:val="center"/>
        <w:rPr>
          <w:rFonts w:ascii="Arial" w:eastAsia="Calibri" w:hAnsi="Arial" w:cs="Arial"/>
          <w:sz w:val="26"/>
          <w:szCs w:val="26"/>
        </w:rPr>
      </w:pPr>
    </w:p>
    <w:p w:rsidR="00C07DF2" w:rsidRPr="0007468A" w:rsidRDefault="00C07DF2" w:rsidP="00C07DF2">
      <w:pPr>
        <w:spacing w:after="0"/>
        <w:jc w:val="center"/>
        <w:rPr>
          <w:rFonts w:ascii="Arial" w:eastAsia="Calibri" w:hAnsi="Arial" w:cs="Arial"/>
          <w:sz w:val="26"/>
          <w:szCs w:val="26"/>
        </w:rPr>
      </w:pPr>
    </w:p>
    <w:p w:rsidR="00C07DF2" w:rsidRPr="0007468A" w:rsidRDefault="00C07DF2" w:rsidP="00C07DF2">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rsidR="00C07DF2" w:rsidRPr="0007468A" w:rsidRDefault="00C07DF2" w:rsidP="00C07DF2">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rsidR="00C07DF2" w:rsidRPr="0089276A" w:rsidRDefault="00C07DF2" w:rsidP="00C07DF2">
      <w:pPr>
        <w:pStyle w:val="Sinespaciado"/>
        <w:spacing w:before="240" w:line="360" w:lineRule="auto"/>
        <w:ind w:firstLine="708"/>
        <w:jc w:val="both"/>
        <w:rPr>
          <w:rFonts w:ascii="Arial" w:eastAsiaTheme="minorEastAsia" w:hAnsi="Arial" w:cs="Arial"/>
          <w:sz w:val="26"/>
          <w:szCs w:val="26"/>
          <w:lang w:eastAsia="es-MX"/>
        </w:rPr>
      </w:pPr>
    </w:p>
    <w:p w:rsidR="00C07DF2" w:rsidRPr="0089276A" w:rsidRDefault="00C07DF2" w:rsidP="00C07DF2">
      <w:pPr>
        <w:pStyle w:val="Sinespaciado"/>
        <w:spacing w:before="240" w:line="360" w:lineRule="auto"/>
        <w:ind w:firstLine="708"/>
        <w:jc w:val="both"/>
        <w:rPr>
          <w:rFonts w:ascii="Arial" w:eastAsiaTheme="minorEastAsia" w:hAnsi="Arial" w:cs="Arial"/>
          <w:sz w:val="26"/>
          <w:szCs w:val="26"/>
          <w:lang w:eastAsia="es-MX"/>
        </w:rPr>
      </w:pPr>
    </w:p>
    <w:p w:rsidR="00C07DF2" w:rsidRPr="00C60EB1" w:rsidRDefault="00C07DF2" w:rsidP="00C07DF2">
      <w:pPr>
        <w:pStyle w:val="Sinespaciado"/>
        <w:spacing w:line="360" w:lineRule="auto"/>
        <w:jc w:val="both"/>
      </w:pPr>
    </w:p>
    <w:p w:rsidR="0023434D" w:rsidRPr="00C60EB1" w:rsidRDefault="0023434D" w:rsidP="00C07DF2">
      <w:pPr>
        <w:pStyle w:val="Sinespaciado"/>
        <w:spacing w:line="360" w:lineRule="auto"/>
        <w:jc w:val="both"/>
      </w:pPr>
    </w:p>
    <w:sectPr w:rsidR="0023434D" w:rsidRPr="00C60EB1"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E68" w:rsidRDefault="00ED4E68">
      <w:pPr>
        <w:spacing w:after="0" w:line="240" w:lineRule="auto"/>
      </w:pPr>
      <w:r>
        <w:separator/>
      </w:r>
    </w:p>
  </w:endnote>
  <w:endnote w:type="continuationSeparator" w:id="0">
    <w:p w:rsidR="00ED4E68" w:rsidRDefault="00ED4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0" w:rsidRDefault="007527C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0" w:rsidRDefault="007527C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0" w:rsidRDefault="007527C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E68" w:rsidRDefault="00ED4E68">
      <w:pPr>
        <w:spacing w:after="0" w:line="240" w:lineRule="auto"/>
      </w:pPr>
      <w:r>
        <w:separator/>
      </w:r>
    </w:p>
  </w:footnote>
  <w:footnote w:type="continuationSeparator" w:id="0">
    <w:p w:rsidR="00ED4E68" w:rsidRDefault="00ED4E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bookmarkStart w:id="0" w:name="_GoBack" w:displacedByCustomXml="prev"/>
      <w:p w:rsidR="00E61AB6" w:rsidRDefault="007527C0" w:rsidP="00D25099">
        <w:pPr>
          <w:pStyle w:val="Encabezado"/>
          <w:jc w:val="center"/>
        </w:pPr>
        <w:r>
          <w:rPr>
            <w:noProof/>
            <w:lang w:val="es-MX" w:eastAsia="es-MX"/>
          </w:rPr>
          <w:drawing>
            <wp:anchor distT="0" distB="0" distL="114300" distR="114300" simplePos="0" relativeHeight="251661312" behindDoc="0" locked="0" layoutInCell="1" allowOverlap="1" wp14:anchorId="381959E1" wp14:editId="3F99D62B">
              <wp:simplePos x="0" y="0"/>
              <wp:positionH relativeFrom="column">
                <wp:posOffset>5718810</wp:posOffset>
              </wp:positionH>
              <wp:positionV relativeFrom="paragraph">
                <wp:posOffset>5235575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bookmarkEnd w:id="0"/>
        <w:r w:rsidR="00E61AB6">
          <w:fldChar w:fldCharType="begin"/>
        </w:r>
        <w:r w:rsidR="00E61AB6">
          <w:instrText>PAGE   \* MERGEFORMAT</w:instrText>
        </w:r>
        <w:r w:rsidR="00E61AB6">
          <w:fldChar w:fldCharType="separate"/>
        </w:r>
        <w:r>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7527C0">
          <w:rPr>
            <w:noProof/>
          </w:rPr>
          <w:t>5</w:t>
        </w:r>
        <w:r>
          <w:rPr>
            <w:noProof/>
          </w:rPr>
          <w:fldChar w:fldCharType="end"/>
        </w:r>
      </w:p>
      <w:p w:rsidR="00E61AB6" w:rsidRDefault="007527C0" w:rsidP="008C74CA">
        <w:pPr>
          <w:pStyle w:val="Encabezado"/>
          <w:jc w:val="center"/>
        </w:pPr>
        <w:r>
          <w:rPr>
            <w:noProof/>
            <w:lang w:val="es-MX" w:eastAsia="es-MX"/>
          </w:rPr>
          <w:drawing>
            <wp:anchor distT="0" distB="0" distL="114300" distR="114300" simplePos="0" relativeHeight="251659264" behindDoc="0" locked="0" layoutInCell="1" allowOverlap="1" wp14:anchorId="0BBA09C3" wp14:editId="7B154505">
              <wp:simplePos x="0" y="0"/>
              <wp:positionH relativeFrom="column">
                <wp:posOffset>-1323975</wp:posOffset>
              </wp:positionH>
              <wp:positionV relativeFrom="paragraph">
                <wp:posOffset>5060315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sdtContent>
  </w:sdt>
  <w:p w:rsidR="00E61AB6" w:rsidRDefault="00E61AB6" w:rsidP="00256B01">
    <w:pPr>
      <w:pStyle w:val="Encabezado"/>
      <w:jc w:val="center"/>
    </w:pPr>
  </w:p>
  <w:p w:rsidR="00E61AB6" w:rsidRDefault="00E61AB6" w:rsidP="00256B01">
    <w:pPr>
      <w:pStyle w:val="Encabezad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0" w:rsidRDefault="007527C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619D"/>
    <w:rsid w:val="00427081"/>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ED9"/>
    <w:rsid w:val="00621035"/>
    <w:rsid w:val="00621070"/>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2D1A"/>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2052"/>
    <w:rsid w:val="007527C0"/>
    <w:rsid w:val="00752B02"/>
    <w:rsid w:val="00755251"/>
    <w:rsid w:val="00755B34"/>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2D9C"/>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2178"/>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4E68"/>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9092-0196-4FA2-A490-50A8118CA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1214</Words>
  <Characters>6678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14</cp:revision>
  <cp:lastPrinted>2018-10-11T15:11:00Z</cp:lastPrinted>
  <dcterms:created xsi:type="dcterms:W3CDTF">2018-10-10T17:25:00Z</dcterms:created>
  <dcterms:modified xsi:type="dcterms:W3CDTF">2019-01-31T18:27:00Z</dcterms:modified>
</cp:coreProperties>
</file>