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E72679">
        <w:rPr>
          <w:rFonts w:cs="Arial"/>
          <w:b/>
          <w:i/>
          <w:sz w:val="22"/>
          <w:szCs w:val="22"/>
        </w:rPr>
        <w:t>2</w:t>
      </w:r>
      <w:r w:rsidR="002A0256">
        <w:rPr>
          <w:rFonts w:cs="Arial"/>
          <w:b/>
          <w:i/>
          <w:sz w:val="22"/>
          <w:szCs w:val="22"/>
        </w:rPr>
        <w:t>2</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7F7673">
        <w:rPr>
          <w:rFonts w:cs="Arial"/>
          <w:sz w:val="24"/>
          <w:szCs w:val="24"/>
        </w:rPr>
        <w:t>********** **********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E42D35">
        <w:rPr>
          <w:rFonts w:ascii="Arial" w:hAnsi="Arial" w:cs="Arial"/>
          <w:b/>
          <w:sz w:val="24"/>
          <w:szCs w:val="24"/>
        </w:rPr>
        <w:t>26 VEINTISÉIS</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72679">
        <w:rPr>
          <w:rFonts w:ascii="Arial" w:hAnsi="Arial" w:cs="Arial"/>
          <w:b/>
          <w:sz w:val="24"/>
          <w:szCs w:val="24"/>
          <w:lang w:val="es-MX"/>
        </w:rPr>
        <w:t>12</w:t>
      </w:r>
      <w:r w:rsidR="002A0256">
        <w:rPr>
          <w:rFonts w:ascii="Arial" w:hAnsi="Arial" w:cs="Arial"/>
          <w:b/>
          <w:sz w:val="24"/>
          <w:szCs w:val="24"/>
          <w:lang w:val="es-MX"/>
        </w:rPr>
        <w:t>2</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7F7673">
        <w:rPr>
          <w:rFonts w:ascii="Arial" w:hAnsi="Arial" w:cs="Arial"/>
          <w:sz w:val="24"/>
          <w:szCs w:val="24"/>
        </w:rPr>
        <w:t>********** ********** **********</w:t>
      </w:r>
      <w:r w:rsidR="00716B4A">
        <w:rPr>
          <w:rFonts w:cs="Arial"/>
          <w:b/>
          <w:i/>
          <w:sz w:val="22"/>
          <w:szCs w:val="22"/>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E51F5A"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DD1F7C8" wp14:editId="1B1B760C">
                <wp:simplePos x="0" y="0"/>
                <wp:positionH relativeFrom="column">
                  <wp:posOffset>-1256030</wp:posOffset>
                </wp:positionH>
                <wp:positionV relativeFrom="paragraph">
                  <wp:posOffset>2326640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8.9pt;margin-top:183.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">
                <v:textbo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72679">
        <w:rPr>
          <w:rFonts w:ascii="Arial" w:hAnsi="Arial" w:cs="Arial"/>
          <w:color w:val="000000"/>
          <w:sz w:val="24"/>
          <w:szCs w:val="24"/>
        </w:rPr>
        <w:t xml:space="preserve">26 veintiséis de </w:t>
      </w:r>
      <w:r w:rsidR="0042187B">
        <w:rPr>
          <w:rFonts w:ascii="Arial" w:hAnsi="Arial" w:cs="Arial"/>
          <w:color w:val="000000"/>
          <w:sz w:val="24"/>
          <w:szCs w:val="24"/>
        </w:rPr>
        <w:t>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7F7673">
        <w:rPr>
          <w:rFonts w:ascii="Arial" w:hAnsi="Arial" w:cs="Arial"/>
          <w:sz w:val="24"/>
          <w:szCs w:val="24"/>
        </w:rPr>
        <w:t>********** ********** **********</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7F7673">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2925FC">
        <w:rPr>
          <w:rFonts w:ascii="Arial" w:hAnsi="Arial" w:cs="Arial"/>
          <w:color w:val="000000"/>
          <w:sz w:val="24"/>
          <w:szCs w:val="24"/>
        </w:rPr>
        <w:t>tivo, salvo prueba en contrario.</w:t>
      </w:r>
      <w:r w:rsidR="002A0256">
        <w:rPr>
          <w:rFonts w:ascii="Arial" w:hAnsi="Arial" w:cs="Arial"/>
          <w:color w:val="000000"/>
          <w:sz w:val="24"/>
          <w:szCs w:val="24"/>
        </w:rPr>
        <w:t xml:space="preserve">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2925FC">
        <w:rPr>
          <w:rFonts w:ascii="Arial" w:hAnsi="Arial" w:cs="Arial"/>
          <w:sz w:val="24"/>
          <w:szCs w:val="24"/>
        </w:rPr>
        <w:t xml:space="preserve"> las pruebas ofrecidas 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w:t>
      </w:r>
      <w:r w:rsidR="002925FC">
        <w:rPr>
          <w:rFonts w:ascii="Arial" w:hAnsi="Arial" w:cs="Arial"/>
          <w:sz w:val="24"/>
          <w:szCs w:val="24"/>
        </w:rPr>
        <w:t>,</w:t>
      </w:r>
      <w:r w:rsidR="0066220A">
        <w:rPr>
          <w:rFonts w:ascii="Arial" w:hAnsi="Arial" w:cs="Arial"/>
          <w:sz w:val="24"/>
          <w:szCs w:val="24"/>
        </w:rPr>
        <w:t xml:space="preserve">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E72679">
        <w:rPr>
          <w:rFonts w:ascii="Arial" w:hAnsi="Arial" w:cs="Arial"/>
          <w:sz w:val="24"/>
          <w:szCs w:val="24"/>
          <w:lang w:val="es-MX"/>
        </w:rPr>
        <w:t xml:space="preserve">26 veintiséis de </w:t>
      </w:r>
      <w:r w:rsidR="000F2596">
        <w:rPr>
          <w:rFonts w:ascii="Arial" w:hAnsi="Arial" w:cs="Arial"/>
          <w:sz w:val="24"/>
          <w:szCs w:val="24"/>
          <w:lang w:val="es-MX"/>
        </w:rPr>
        <w:t>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w:t>
      </w:r>
      <w:r w:rsidR="004045BC" w:rsidRPr="006755D4">
        <w:rPr>
          <w:rFonts w:ascii="Arial" w:hAnsi="Arial" w:cs="Arial"/>
          <w:bCs/>
          <w:sz w:val="24"/>
          <w:szCs w:val="24"/>
          <w:lang w:val="es-ES"/>
        </w:rPr>
        <w:lastRenderedPageBreak/>
        <w:t xml:space="preserve">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Default="002159A2" w:rsidP="002925F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2925FC" w:rsidRPr="006755D4">
        <w:rPr>
          <w:rFonts w:ascii="Arial" w:hAnsi="Arial" w:cs="Arial"/>
          <w:b/>
          <w:bCs/>
          <w:color w:val="000000"/>
          <w:sz w:val="24"/>
          <w:szCs w:val="24"/>
        </w:rPr>
        <w:t>.</w:t>
      </w:r>
      <w:r w:rsidR="002925FC" w:rsidRPr="006755D4">
        <w:rPr>
          <w:rFonts w:ascii="Arial" w:hAnsi="Arial" w:cs="Arial"/>
          <w:color w:val="000000"/>
          <w:sz w:val="24"/>
          <w:szCs w:val="24"/>
        </w:rPr>
        <w:t xml:space="preserve"> </w:t>
      </w:r>
      <w:r w:rsidR="002925FC">
        <w:rPr>
          <w:rFonts w:ascii="Arial" w:hAnsi="Arial" w:cs="Arial"/>
          <w:color w:val="000000"/>
          <w:sz w:val="24"/>
          <w:szCs w:val="24"/>
        </w:rPr>
        <w:t>Esta Tercera S</w:t>
      </w:r>
      <w:r w:rsidR="002925FC" w:rsidRPr="006755D4">
        <w:rPr>
          <w:rFonts w:ascii="Arial" w:hAnsi="Arial" w:cs="Arial"/>
          <w:color w:val="000000"/>
          <w:sz w:val="24"/>
          <w:szCs w:val="24"/>
        </w:rPr>
        <w:t>ala</w:t>
      </w:r>
      <w:r w:rsidR="002925FC">
        <w:rPr>
          <w:rFonts w:ascii="Arial" w:hAnsi="Arial" w:cs="Arial"/>
          <w:color w:val="000000"/>
          <w:sz w:val="24"/>
          <w:szCs w:val="24"/>
        </w:rPr>
        <w:t xml:space="preserve"> Unitaria</w:t>
      </w:r>
      <w:r w:rsidR="002925FC" w:rsidRPr="006755D4">
        <w:rPr>
          <w:rFonts w:ascii="Arial" w:hAnsi="Arial" w:cs="Arial"/>
          <w:color w:val="000000"/>
          <w:sz w:val="24"/>
          <w:szCs w:val="24"/>
        </w:rPr>
        <w:t xml:space="preserve"> de </w:t>
      </w:r>
      <w:r w:rsidR="002925FC">
        <w:rPr>
          <w:rFonts w:ascii="Arial" w:hAnsi="Arial" w:cs="Arial"/>
          <w:color w:val="000000"/>
          <w:sz w:val="24"/>
          <w:szCs w:val="24"/>
        </w:rPr>
        <w:t>P</w:t>
      </w:r>
      <w:r w:rsidR="002925FC" w:rsidRPr="006755D4">
        <w:rPr>
          <w:rFonts w:ascii="Arial" w:hAnsi="Arial" w:cs="Arial"/>
          <w:color w:val="000000"/>
          <w:sz w:val="24"/>
          <w:szCs w:val="24"/>
        </w:rPr>
        <w:t xml:space="preserve">rimera </w:t>
      </w:r>
      <w:r w:rsidR="002925FC">
        <w:rPr>
          <w:rFonts w:ascii="Arial" w:hAnsi="Arial" w:cs="Arial"/>
          <w:color w:val="000000"/>
          <w:sz w:val="24"/>
          <w:szCs w:val="24"/>
        </w:rPr>
        <w:t>I</w:t>
      </w:r>
      <w:r w:rsidR="002925FC" w:rsidRPr="006755D4">
        <w:rPr>
          <w:rFonts w:ascii="Arial" w:hAnsi="Arial" w:cs="Arial"/>
          <w:color w:val="000000"/>
          <w:sz w:val="24"/>
          <w:szCs w:val="24"/>
        </w:rPr>
        <w:t>nstancia del Tribunal de lo C</w:t>
      </w:r>
      <w:r w:rsidR="002925FC">
        <w:rPr>
          <w:rFonts w:ascii="Arial" w:hAnsi="Arial" w:cs="Arial"/>
          <w:color w:val="000000"/>
          <w:sz w:val="24"/>
          <w:szCs w:val="24"/>
        </w:rPr>
        <w:t>ontencioso Administrativo y de C</w:t>
      </w:r>
      <w:r w:rsidR="002925FC" w:rsidRPr="006755D4">
        <w:rPr>
          <w:rFonts w:ascii="Arial" w:hAnsi="Arial" w:cs="Arial"/>
          <w:color w:val="000000"/>
          <w:sz w:val="24"/>
          <w:szCs w:val="24"/>
        </w:rPr>
        <w:t>uentas del Poder Judicial del Estado, es competente para conocer y resolver del presente juicio, con fundamento en l</w:t>
      </w:r>
      <w:r w:rsidR="002925FC">
        <w:rPr>
          <w:rFonts w:ascii="Arial" w:hAnsi="Arial" w:cs="Arial"/>
          <w:color w:val="000000"/>
          <w:sz w:val="24"/>
          <w:szCs w:val="24"/>
        </w:rPr>
        <w:t>os</w:t>
      </w:r>
      <w:r w:rsidR="002925FC" w:rsidRPr="006755D4">
        <w:rPr>
          <w:rFonts w:ascii="Arial" w:hAnsi="Arial" w:cs="Arial"/>
          <w:color w:val="000000"/>
          <w:sz w:val="24"/>
          <w:szCs w:val="24"/>
        </w:rPr>
        <w:t xml:space="preserve"> artículos 145, 146 y 149 fracción I inciso c) de la Ley Orgánica del Poder Judicial del Gobierno del Estado </w:t>
      </w:r>
      <w:r w:rsidR="002925FC" w:rsidRPr="006755D4">
        <w:rPr>
          <w:rFonts w:ascii="Arial" w:hAnsi="Arial" w:cs="Arial"/>
          <w:bCs/>
          <w:color w:val="000000"/>
          <w:sz w:val="24"/>
          <w:szCs w:val="24"/>
          <w:lang w:val="es-ES"/>
        </w:rPr>
        <w:t>y los</w:t>
      </w:r>
      <w:r w:rsidR="002925FC" w:rsidRPr="006755D4">
        <w:rPr>
          <w:rFonts w:ascii="Arial" w:hAnsi="Arial" w:cs="Arial"/>
          <w:bCs/>
          <w:color w:val="FF0000"/>
          <w:sz w:val="24"/>
          <w:szCs w:val="24"/>
          <w:lang w:val="es-ES"/>
        </w:rPr>
        <w:t xml:space="preserve"> </w:t>
      </w:r>
      <w:r w:rsidR="002925FC" w:rsidRPr="006755D4">
        <w:rPr>
          <w:rFonts w:ascii="Arial" w:hAnsi="Arial" w:cs="Arial"/>
          <w:bCs/>
          <w:color w:val="000000"/>
          <w:sz w:val="24"/>
          <w:szCs w:val="24"/>
          <w:lang w:val="es-ES"/>
        </w:rPr>
        <w:t xml:space="preserve">numerales </w:t>
      </w:r>
      <w:r w:rsidR="002925FC">
        <w:rPr>
          <w:rFonts w:ascii="Arial" w:hAnsi="Arial" w:cs="Arial"/>
          <w:bCs/>
          <w:color w:val="000000"/>
          <w:sz w:val="24"/>
          <w:szCs w:val="24"/>
          <w:lang w:val="es-ES"/>
        </w:rPr>
        <w:t>119</w:t>
      </w:r>
      <w:r w:rsidR="002925FC" w:rsidRPr="006755D4">
        <w:rPr>
          <w:rFonts w:ascii="Arial" w:hAnsi="Arial" w:cs="Arial"/>
          <w:bCs/>
          <w:color w:val="000000"/>
          <w:sz w:val="24"/>
          <w:szCs w:val="24"/>
          <w:lang w:val="es-ES"/>
        </w:rPr>
        <w:t xml:space="preserve">, </w:t>
      </w:r>
      <w:r w:rsidR="002925FC">
        <w:rPr>
          <w:rFonts w:ascii="Arial" w:hAnsi="Arial" w:cs="Arial"/>
          <w:bCs/>
          <w:color w:val="000000"/>
          <w:sz w:val="24"/>
          <w:szCs w:val="24"/>
          <w:lang w:val="es-ES"/>
        </w:rPr>
        <w:t>120</w:t>
      </w:r>
      <w:r w:rsidR="002925FC" w:rsidRPr="006755D4">
        <w:rPr>
          <w:rFonts w:ascii="Arial" w:hAnsi="Arial" w:cs="Arial"/>
          <w:bCs/>
          <w:color w:val="000000"/>
          <w:sz w:val="24"/>
          <w:szCs w:val="24"/>
          <w:lang w:val="es-ES"/>
        </w:rPr>
        <w:t xml:space="preserve">, </w:t>
      </w:r>
      <w:r w:rsidR="002925FC">
        <w:rPr>
          <w:rFonts w:ascii="Arial" w:hAnsi="Arial" w:cs="Arial"/>
          <w:bCs/>
          <w:color w:val="000000"/>
          <w:sz w:val="24"/>
          <w:szCs w:val="24"/>
          <w:lang w:val="es-ES"/>
        </w:rPr>
        <w:t>129</w:t>
      </w:r>
      <w:r w:rsidR="002925FC" w:rsidRPr="006755D4">
        <w:rPr>
          <w:rFonts w:ascii="Arial" w:hAnsi="Arial" w:cs="Arial"/>
          <w:bCs/>
          <w:color w:val="000000"/>
          <w:sz w:val="24"/>
          <w:szCs w:val="24"/>
          <w:lang w:val="es-ES"/>
        </w:rPr>
        <w:t xml:space="preserve">,  </w:t>
      </w:r>
      <w:r w:rsidR="002925FC">
        <w:rPr>
          <w:rFonts w:ascii="Arial" w:hAnsi="Arial" w:cs="Arial"/>
          <w:bCs/>
          <w:color w:val="000000"/>
          <w:sz w:val="24"/>
          <w:szCs w:val="24"/>
          <w:lang w:val="es-ES"/>
        </w:rPr>
        <w:t>132 y 132</w:t>
      </w:r>
      <w:r w:rsidR="002925FC" w:rsidRPr="006755D4">
        <w:rPr>
          <w:rFonts w:ascii="Arial" w:hAnsi="Arial" w:cs="Arial"/>
          <w:bCs/>
          <w:color w:val="000000"/>
          <w:sz w:val="24"/>
          <w:szCs w:val="24"/>
          <w:lang w:val="es-ES"/>
        </w:rPr>
        <w:t xml:space="preserve">, fracción </w:t>
      </w:r>
      <w:r w:rsidR="002925FC">
        <w:rPr>
          <w:rFonts w:ascii="Arial" w:hAnsi="Arial" w:cs="Arial"/>
          <w:bCs/>
          <w:color w:val="000000"/>
          <w:sz w:val="24"/>
          <w:szCs w:val="24"/>
          <w:lang w:val="es-ES"/>
        </w:rPr>
        <w:t>II</w:t>
      </w:r>
      <w:r w:rsidR="002925FC" w:rsidRPr="006755D4">
        <w:rPr>
          <w:rFonts w:ascii="Arial" w:hAnsi="Arial" w:cs="Arial"/>
          <w:bCs/>
          <w:color w:val="000000"/>
          <w:sz w:val="24"/>
          <w:szCs w:val="24"/>
          <w:lang w:val="es-ES"/>
        </w:rPr>
        <w:t>, y 1</w:t>
      </w:r>
      <w:r w:rsidR="002925FC">
        <w:rPr>
          <w:rFonts w:ascii="Arial" w:hAnsi="Arial" w:cs="Arial"/>
          <w:bCs/>
          <w:color w:val="000000"/>
          <w:sz w:val="24"/>
          <w:szCs w:val="24"/>
          <w:lang w:val="es-ES"/>
        </w:rPr>
        <w:t>46</w:t>
      </w:r>
      <w:r w:rsidR="002925FC" w:rsidRPr="006755D4">
        <w:rPr>
          <w:rFonts w:ascii="Arial" w:hAnsi="Arial" w:cs="Arial"/>
          <w:bCs/>
          <w:color w:val="000000"/>
          <w:sz w:val="24"/>
          <w:szCs w:val="24"/>
          <w:lang w:val="es-ES"/>
        </w:rPr>
        <w:t xml:space="preserve"> de la Ley de </w:t>
      </w:r>
      <w:r w:rsidR="002925FC">
        <w:rPr>
          <w:rFonts w:ascii="Arial" w:hAnsi="Arial" w:cs="Arial"/>
          <w:bCs/>
          <w:color w:val="000000"/>
          <w:sz w:val="24"/>
          <w:szCs w:val="24"/>
          <w:lang w:val="es-ES"/>
        </w:rPr>
        <w:t xml:space="preserve">Procedimiento y Justicia </w:t>
      </w:r>
      <w:r w:rsidR="002925FC" w:rsidRPr="006755D4">
        <w:rPr>
          <w:rFonts w:ascii="Arial" w:hAnsi="Arial" w:cs="Arial"/>
          <w:bCs/>
          <w:color w:val="000000"/>
          <w:sz w:val="24"/>
          <w:szCs w:val="24"/>
          <w:lang w:val="es-ES"/>
        </w:rPr>
        <w:t xml:space="preserve">Administrativa para el Estado de Oaxaca, por tratarse </w:t>
      </w:r>
      <w:r w:rsidR="002925FC" w:rsidRPr="006755D4">
        <w:rPr>
          <w:rFonts w:ascii="Arial" w:hAnsi="Arial" w:cs="Arial"/>
          <w:color w:val="000000"/>
          <w:sz w:val="24"/>
          <w:szCs w:val="24"/>
        </w:rPr>
        <w:t>de un acto atribuido a autoridad</w:t>
      </w:r>
      <w:r w:rsidR="002925FC">
        <w:rPr>
          <w:rFonts w:ascii="Arial" w:hAnsi="Arial" w:cs="Arial"/>
          <w:sz w:val="24"/>
          <w:szCs w:val="24"/>
        </w:rPr>
        <w:t xml:space="preserve"> fiscal</w:t>
      </w:r>
      <w:r w:rsidR="002925FC" w:rsidRPr="006755D4">
        <w:rPr>
          <w:rFonts w:ascii="Arial" w:hAnsi="Arial" w:cs="Arial"/>
          <w:sz w:val="24"/>
          <w:szCs w:val="24"/>
        </w:rPr>
        <w:t xml:space="preserve"> de carácter estatal, ya que de conformidad con el último de los preceptos citados, este Tribunal tiene jurisdicción en todo el territorio del Estado</w:t>
      </w:r>
      <w:r w:rsidR="002925FC">
        <w:rPr>
          <w:rFonts w:ascii="Arial" w:hAnsi="Arial" w:cs="Arial"/>
          <w:sz w:val="24"/>
          <w:szCs w:val="24"/>
        </w:rPr>
        <w:t xml:space="preserve">. </w:t>
      </w:r>
      <w:r w:rsidR="002925FC" w:rsidRPr="006755D4">
        <w:rPr>
          <w:rFonts w:ascii="Arial" w:hAnsi="Arial" w:cs="Arial"/>
          <w:sz w:val="24"/>
          <w:szCs w:val="24"/>
        </w:rPr>
        <w:t>-  - - - - - - - - - - - - - - - - - - - - - - - - - - - - -</w:t>
      </w:r>
      <w:r w:rsidR="003E1040">
        <w:rPr>
          <w:rFonts w:ascii="Arial" w:hAnsi="Arial" w:cs="Arial"/>
          <w:sz w:val="24"/>
          <w:szCs w:val="24"/>
        </w:rPr>
        <w:t xml:space="preserve"> - - - - - - - -</w:t>
      </w:r>
    </w:p>
    <w:p w:rsidR="002925FC" w:rsidRPr="006755D4" w:rsidRDefault="002925FC" w:rsidP="002925FC">
      <w:pPr>
        <w:spacing w:line="360" w:lineRule="auto"/>
        <w:ind w:right="-518" w:firstLine="567"/>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 xml:space="preserve">La personalidad de las partes, quedó acreditada en términos del artículo </w:t>
      </w:r>
      <w:r w:rsidR="003E1040">
        <w:rPr>
          <w:rFonts w:ascii="Arial" w:hAnsi="Arial" w:cs="Arial"/>
          <w:sz w:val="24"/>
          <w:szCs w:val="24"/>
        </w:rPr>
        <w:t>148</w:t>
      </w:r>
      <w:r w:rsidR="003E1040" w:rsidRPr="000C0153">
        <w:rPr>
          <w:rFonts w:ascii="Arial" w:hAnsi="Arial" w:cs="Arial"/>
          <w:sz w:val="24"/>
          <w:szCs w:val="24"/>
        </w:rPr>
        <w:t xml:space="preserve"> y 1</w:t>
      </w:r>
      <w:r w:rsidR="003E1040">
        <w:rPr>
          <w:rFonts w:ascii="Arial" w:hAnsi="Arial" w:cs="Arial"/>
          <w:sz w:val="24"/>
          <w:szCs w:val="24"/>
        </w:rPr>
        <w:t>51</w:t>
      </w:r>
      <w:r w:rsidR="003E1040" w:rsidRPr="000C0153">
        <w:rPr>
          <w:rFonts w:ascii="Arial" w:hAnsi="Arial" w:cs="Arial"/>
          <w:sz w:val="24"/>
          <w:szCs w:val="24"/>
        </w:rPr>
        <w:t xml:space="preserve"> </w:t>
      </w:r>
      <w:r w:rsidR="00C108C5" w:rsidRPr="000C0153">
        <w:rPr>
          <w:rFonts w:ascii="Arial" w:hAnsi="Arial" w:cs="Arial"/>
          <w:sz w:val="24"/>
          <w:szCs w:val="24"/>
        </w:rPr>
        <w:t xml:space="preserve"> de la Ley de</w:t>
      </w:r>
      <w:r w:rsidR="003E1040">
        <w:rPr>
          <w:rFonts w:ascii="Arial" w:hAnsi="Arial" w:cs="Arial"/>
          <w:sz w:val="24"/>
          <w:szCs w:val="24"/>
        </w:rPr>
        <w:t xml:space="preserve"> Procedimiento y</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 xml:space="preserve">ya que </w:t>
      </w:r>
      <w:r w:rsidR="00E72679">
        <w:rPr>
          <w:rFonts w:ascii="Arial" w:hAnsi="Arial" w:cs="Arial"/>
          <w:bCs/>
          <w:color w:val="000000"/>
          <w:sz w:val="24"/>
          <w:szCs w:val="24"/>
        </w:rPr>
        <w:t>e</w:t>
      </w:r>
      <w:r w:rsidR="00C108C5" w:rsidRPr="000C0153">
        <w:rPr>
          <w:rFonts w:ascii="Arial" w:hAnsi="Arial" w:cs="Arial"/>
          <w:bCs/>
          <w:color w:val="000000"/>
          <w:sz w:val="24"/>
          <w:szCs w:val="24"/>
        </w:rPr>
        <w:t>l actor</w:t>
      </w:r>
      <w:r w:rsidR="00E72679">
        <w:rPr>
          <w:rFonts w:ascii="Arial" w:hAnsi="Arial" w:cs="Arial"/>
          <w:bCs/>
          <w:color w:val="000000"/>
          <w:sz w:val="24"/>
          <w:szCs w:val="24"/>
        </w:rPr>
        <w:t xml:space="preserve"> </w:t>
      </w:r>
      <w:r w:rsidR="007F7673">
        <w:rPr>
          <w:rFonts w:ascii="Arial" w:hAnsi="Arial" w:cs="Arial"/>
          <w:sz w:val="24"/>
          <w:szCs w:val="24"/>
        </w:rPr>
        <w:t>********** ********** **********</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w:t>
      </w:r>
      <w:r w:rsidR="003E1040">
        <w:rPr>
          <w:rFonts w:ascii="Arial" w:hAnsi="Arial" w:cs="Arial"/>
          <w:sz w:val="24"/>
          <w:szCs w:val="24"/>
        </w:rPr>
        <w:t xml:space="preserve"> lo dispuesto por el artículo 20</w:t>
      </w:r>
      <w:r w:rsidR="00C108C5" w:rsidRPr="000C0153">
        <w:rPr>
          <w:rFonts w:ascii="Arial" w:hAnsi="Arial" w:cs="Arial"/>
          <w:sz w:val="24"/>
          <w:szCs w:val="24"/>
        </w:rPr>
        <w:t>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p>
    <w:p w:rsidR="00136097" w:rsidRDefault="00136097" w:rsidP="002B7F87">
      <w:pPr>
        <w:spacing w:line="360" w:lineRule="auto"/>
        <w:ind w:right="-518" w:firstLine="567"/>
        <w:jc w:val="both"/>
        <w:rPr>
          <w:rFonts w:ascii="Arial" w:hAnsi="Arial" w:cs="Arial"/>
          <w:sz w:val="24"/>
          <w:szCs w:val="24"/>
        </w:rPr>
      </w:pPr>
    </w:p>
    <w:p w:rsidR="00D7799B"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716B4A">
        <w:rPr>
          <w:rFonts w:cs="Arial"/>
          <w:b w:val="0"/>
          <w:i/>
          <w:sz w:val="22"/>
          <w:szCs w:val="22"/>
        </w:rPr>
        <w:t>**********</w:t>
      </w:r>
      <w:r w:rsidR="007F7673">
        <w:rPr>
          <w:rFonts w:cs="Arial"/>
          <w:b w:val="0"/>
          <w:i/>
          <w:sz w:val="22"/>
          <w:szCs w:val="22"/>
        </w:rPr>
        <w:t xml:space="preserve"> </w:t>
      </w:r>
      <w:r w:rsidR="007F7673">
        <w:rPr>
          <w:rFonts w:cs="Arial"/>
          <w:sz w:val="24"/>
          <w:szCs w:val="24"/>
        </w:rPr>
        <w:t>********** **********</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7F7673">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del Estado de Oaxaca, al considerar que </w:t>
      </w:r>
      <w:r w:rsidR="00160A37" w:rsidRPr="00D7799B">
        <w:rPr>
          <w:rFonts w:cs="Arial"/>
          <w:b w:val="0"/>
          <w:sz w:val="24"/>
          <w:szCs w:val="24"/>
        </w:rPr>
        <w:t xml:space="preserve">la resolución impugnada, </w:t>
      </w:r>
      <w:r w:rsidR="00841415">
        <w:rPr>
          <w:rFonts w:cs="Arial"/>
          <w:b w:val="0"/>
          <w:sz w:val="24"/>
          <w:szCs w:val="24"/>
        </w:rPr>
        <w:t>no reúne los requisitos de fundamentación y motivación, en cuanto las circunstancias de tiempo y lugar, así como de la mención de la oficina en donde se encuentre y pueda ser consultado el expediente respect</w:t>
      </w:r>
      <w:r w:rsidR="0057002A">
        <w:rPr>
          <w:rFonts w:cs="Arial"/>
          <w:b w:val="0"/>
          <w:sz w:val="24"/>
          <w:szCs w:val="24"/>
        </w:rPr>
        <w:t>ivo. Así también, que la autoridad demandada no señaló los suficientes preceptos y ordenamientos para otorgarle validez, y que se dejaron de observar características específicas que la Ley de Justicia administrativa para el Estado de Oaxaca.</w:t>
      </w:r>
    </w:p>
    <w:p w:rsidR="00D7799B" w:rsidRDefault="00D7799B"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en su contestación de demanda, manifestó que 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w:t>
      </w:r>
      <w:r w:rsidR="00D650C4">
        <w:rPr>
          <w:rFonts w:cs="Arial"/>
          <w:b w:val="0"/>
          <w:bCs/>
          <w:sz w:val="24"/>
          <w:szCs w:val="24"/>
          <w:lang w:val="es-ES"/>
        </w:rPr>
        <w:t>4</w:t>
      </w:r>
      <w:r w:rsidR="00D7799B">
        <w:rPr>
          <w:rFonts w:cs="Arial"/>
          <w:b w:val="0"/>
          <w:bCs/>
          <w:sz w:val="24"/>
          <w:szCs w:val="24"/>
          <w:lang w:val="es-ES"/>
        </w:rPr>
        <w:t xml:space="preserve"> del Código Fiscal </w:t>
      </w:r>
      <w:r w:rsidR="00D7799B">
        <w:rPr>
          <w:rFonts w:cs="Arial"/>
          <w:b w:val="0"/>
          <w:bCs/>
          <w:sz w:val="24"/>
          <w:szCs w:val="24"/>
          <w:lang w:val="es-ES"/>
        </w:rPr>
        <w:lastRenderedPageBreak/>
        <w:t>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establecida en el Código Fiscal para el Estado de Oaxaca, con número de control </w:t>
      </w:r>
      <w:r w:rsidR="007F7673">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 xml:space="preserve">foja </w:t>
      </w:r>
      <w:r w:rsidR="00125A51">
        <w:rPr>
          <w:rFonts w:cs="Arial"/>
          <w:b w:val="0"/>
          <w:sz w:val="24"/>
          <w:szCs w:val="24"/>
        </w:rPr>
        <w:t>7</w:t>
      </w:r>
      <w:r w:rsidR="00F66C0C" w:rsidRPr="009C66B4">
        <w:rPr>
          <w:rFonts w:cs="Arial"/>
          <w:b w:val="0"/>
          <w:sz w:val="24"/>
          <w:szCs w:val="24"/>
        </w:rPr>
        <w:t xml:space="preserve">), </w:t>
      </w:r>
      <w:r w:rsidR="00F66C0C">
        <w:rPr>
          <w:rFonts w:cs="Arial"/>
          <w:b w:val="0"/>
          <w:sz w:val="24"/>
          <w:szCs w:val="24"/>
        </w:rPr>
        <w:t>documental, a la que se le confiere pleno valor probatorio, en términos de la fra</w:t>
      </w:r>
      <w:r w:rsidR="003E1040">
        <w:rPr>
          <w:rFonts w:cs="Arial"/>
          <w:b w:val="0"/>
          <w:sz w:val="24"/>
          <w:szCs w:val="24"/>
        </w:rPr>
        <w:t>cción I del artículo 20</w:t>
      </w:r>
      <w:r w:rsidR="00F66C0C">
        <w:rPr>
          <w:rFonts w:cs="Arial"/>
          <w:b w:val="0"/>
          <w:sz w:val="24"/>
          <w:szCs w:val="24"/>
        </w:rPr>
        <w:t xml:space="preserve">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125A51"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125A51">
        <w:rPr>
          <w:rFonts w:cs="Arial"/>
          <w:b w:val="0"/>
          <w:i/>
          <w:sz w:val="24"/>
          <w:szCs w:val="24"/>
        </w:rPr>
        <w:t xml:space="preserve">Esta autoridad fiscal identificó que es sujeto obligado a inscribirse en el </w:t>
      </w:r>
      <w:r w:rsidR="00E51F5A">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-941705</wp:posOffset>
                </wp:positionH>
                <wp:positionV relativeFrom="paragraph">
                  <wp:posOffset>3640455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74.15pt;margin-top:286.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">
                <v:textbo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25A51">
        <w:rPr>
          <w:rFonts w:cs="Arial"/>
          <w:b w:val="0"/>
          <w:i/>
          <w:sz w:val="24"/>
          <w:szCs w:val="24"/>
        </w:rPr>
        <w:t>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 y Organismos Públicos en el ámbito Estatal y Federal, con fundamento en los artículos 96, 97 primer párrafo y 98 del Código Fiscal del Estado de Oaxaca.</w:t>
      </w:r>
    </w:p>
    <w:p w:rsidR="00125A51" w:rsidRDefault="00125A51" w:rsidP="004233F5">
      <w:pPr>
        <w:pStyle w:val="corte3centro"/>
        <w:spacing w:line="276" w:lineRule="auto"/>
        <w:ind w:left="567" w:right="-518"/>
        <w:jc w:val="both"/>
        <w:rPr>
          <w:rFonts w:cs="Arial"/>
          <w:b w:val="0"/>
          <w:i/>
          <w:sz w:val="24"/>
          <w:szCs w:val="24"/>
        </w:rPr>
      </w:pPr>
    </w:p>
    <w:p w:rsidR="00F66C0C" w:rsidRDefault="00F15407" w:rsidP="004233F5">
      <w:pPr>
        <w:pStyle w:val="corte3centro"/>
        <w:spacing w:line="276" w:lineRule="auto"/>
        <w:ind w:left="567" w:right="-518"/>
        <w:jc w:val="both"/>
        <w:rPr>
          <w:rFonts w:cs="Arial"/>
          <w:b w:val="0"/>
          <w:i/>
          <w:sz w:val="24"/>
          <w:szCs w:val="24"/>
        </w:rPr>
      </w:pPr>
      <w:r w:rsidRPr="005B118C">
        <w:rPr>
          <w:rFonts w:cs="Arial"/>
          <w:b w:val="0"/>
          <w:i/>
          <w:sz w:val="24"/>
          <w:szCs w:val="24"/>
        </w:rPr>
        <w:t xml:space="preserve">Considerando que la Dirección de Ingresos y Recaudación de la Secretaría de Finanzas </w:t>
      </w:r>
      <w:r w:rsidRPr="00562A61">
        <w:rPr>
          <w:rFonts w:cs="Arial"/>
          <w:b w:val="0"/>
          <w:i/>
          <w:sz w:val="24"/>
          <w:szCs w:val="24"/>
          <w:u w:val="single"/>
        </w:rPr>
        <w:t>lo ha identificado como sujeto obligado al pago del Impuesto sobre Erogaciones por Remuneraciones al Trabajo Personal</w:t>
      </w:r>
      <w:r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0E52B9" w:rsidRPr="005B118C" w:rsidRDefault="000E52B9" w:rsidP="004233F5">
      <w:pPr>
        <w:pStyle w:val="corte3centro"/>
        <w:spacing w:line="276" w:lineRule="auto"/>
        <w:ind w:left="567" w:right="-518"/>
        <w:jc w:val="both"/>
        <w:rPr>
          <w:rFonts w:cs="Arial"/>
          <w:b w:val="0"/>
          <w:i/>
          <w:sz w:val="24"/>
          <w:szCs w:val="24"/>
        </w:rPr>
      </w:pP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lastRenderedPageBreak/>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la multa por infracción establecida en el Código Fiscal para el Estado de Oaxaca, con número de control</w:t>
      </w:r>
      <w:r w:rsidR="00237F27" w:rsidRPr="00716B4A">
        <w:rPr>
          <w:rFonts w:cs="Arial"/>
          <w:b w:val="0"/>
          <w:color w:val="FF0000"/>
          <w:sz w:val="24"/>
          <w:szCs w:val="24"/>
        </w:rPr>
        <w:t xml:space="preserve"> </w:t>
      </w:r>
      <w:r w:rsidR="007F7673">
        <w:rPr>
          <w:rFonts w:cs="Arial"/>
          <w:sz w:val="24"/>
          <w:szCs w:val="24"/>
        </w:rPr>
        <w:t>**********</w:t>
      </w:r>
      <w:r w:rsidR="00237F27" w:rsidRPr="00716B4A">
        <w:rPr>
          <w:rFonts w:cs="Arial"/>
          <w:b w:val="0"/>
          <w:color w:val="FF0000"/>
          <w:sz w:val="24"/>
          <w:szCs w:val="24"/>
        </w:rPr>
        <w:t xml:space="preserve"> </w:t>
      </w:r>
      <w:r w:rsidR="00237F27">
        <w:rPr>
          <w:rFonts w:cs="Arial"/>
          <w:b w:val="0"/>
          <w:sz w:val="24"/>
          <w:szCs w:val="24"/>
        </w:rPr>
        <w:t xml:space="preserve">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7C30DC">
        <w:rPr>
          <w:rFonts w:cs="Arial"/>
          <w:b w:val="0"/>
          <w:sz w:val="24"/>
          <w:szCs w:val="24"/>
        </w:rPr>
        <w:t>, para identificar</w:t>
      </w:r>
      <w:r>
        <w:rPr>
          <w:rFonts w:cs="Arial"/>
          <w:b w:val="0"/>
          <w:sz w:val="24"/>
          <w:szCs w:val="24"/>
        </w:rPr>
        <w:t xml:space="preserve"> a la actora,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3E1040">
        <w:rPr>
          <w:rFonts w:cs="Arial"/>
          <w:b w:val="0"/>
          <w:sz w:val="24"/>
          <w:szCs w:val="24"/>
        </w:rPr>
        <w:t>1</w:t>
      </w:r>
      <w:r w:rsidR="00E1058C" w:rsidRPr="00E1058C">
        <w:rPr>
          <w:rFonts w:cs="Arial"/>
          <w:b w:val="0"/>
          <w:sz w:val="24"/>
          <w:szCs w:val="24"/>
        </w:rPr>
        <w:t xml:space="preserve">7 de la Ley </w:t>
      </w:r>
      <w:r w:rsidR="003E1040">
        <w:rPr>
          <w:rFonts w:cs="Arial"/>
          <w:b w:val="0"/>
          <w:sz w:val="24"/>
          <w:szCs w:val="24"/>
        </w:rPr>
        <w:t>de Procedimiento y</w:t>
      </w:r>
      <w:r w:rsidR="00E1058C" w:rsidRPr="00E1058C">
        <w:rPr>
          <w:rFonts w:cs="Arial"/>
          <w:b w:val="0"/>
          <w:sz w:val="24"/>
          <w:szCs w:val="24"/>
        </w:rPr>
        <w:t xml:space="preserve"> Justicia Administrativa</w:t>
      </w:r>
      <w:r w:rsidR="003E1040">
        <w:rPr>
          <w:rFonts w:cs="Arial"/>
          <w:b w:val="0"/>
          <w:sz w:val="24"/>
          <w:szCs w:val="24"/>
        </w:rPr>
        <w:t xml:space="preserve"> para el Estado de Oaxaca</w:t>
      </w:r>
      <w:r w:rsidR="00E1058C" w:rsidRPr="00E1058C">
        <w:rPr>
          <w:rFonts w:cs="Arial"/>
          <w:b w:val="0"/>
          <w:sz w:val="24"/>
          <w:szCs w:val="24"/>
        </w:rPr>
        <w:t xml:space="preserve">; en consecuencia, con fundamento en el artículo </w:t>
      </w:r>
      <w:r w:rsidR="003E1040">
        <w:rPr>
          <w:rFonts w:cs="Arial"/>
          <w:b w:val="0"/>
          <w:sz w:val="24"/>
          <w:szCs w:val="24"/>
        </w:rPr>
        <w:t>207 y 208</w:t>
      </w:r>
      <w:r w:rsidR="00E1058C" w:rsidRPr="00E1058C">
        <w:rPr>
          <w:rFonts w:cs="Arial"/>
          <w:b w:val="0"/>
          <w:sz w:val="24"/>
          <w:szCs w:val="24"/>
        </w:rPr>
        <w:t xml:space="preserve">, fracción VI, de la </w:t>
      </w:r>
      <w:r w:rsidR="003E1040">
        <w:rPr>
          <w:rFonts w:cs="Arial"/>
          <w:b w:val="0"/>
          <w:sz w:val="24"/>
          <w:szCs w:val="24"/>
        </w:rPr>
        <w:t>citada ley</w:t>
      </w:r>
      <w:r w:rsidR="00E1058C" w:rsidRPr="00E1058C">
        <w:rPr>
          <w:rFonts w:cs="Arial"/>
          <w:b w:val="0"/>
          <w:sz w:val="24"/>
          <w:szCs w:val="24"/>
        </w:rPr>
        <w:t xml:space="preserve">, procede declarar LA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7F7673">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r w:rsidR="003E1040">
        <w:rPr>
          <w:sz w:val="24"/>
          <w:szCs w:val="24"/>
        </w:rPr>
        <w:t xml:space="preserve"> - - - - - - - - - - - - - - - - - - - - - - - - - - - - - - -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Tribunales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w:t>
      </w:r>
      <w:r w:rsidRPr="00F5368D">
        <w:rPr>
          <w:rFonts w:cs="Arial"/>
          <w:b w:val="0"/>
          <w:sz w:val="24"/>
          <w:szCs w:val="24"/>
        </w:rPr>
        <w:lastRenderedPageBreak/>
        <w:t>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3E1040" w:rsidP="00004C8F">
      <w:pPr>
        <w:spacing w:line="360" w:lineRule="auto"/>
        <w:ind w:right="-518" w:firstLine="567"/>
        <w:jc w:val="both"/>
        <w:rPr>
          <w:rFonts w:ascii="Arial" w:hAnsi="Arial" w:cs="Arial"/>
          <w:bCs/>
          <w:color w:val="000000"/>
          <w:sz w:val="24"/>
          <w:szCs w:val="24"/>
        </w:rPr>
      </w:pPr>
      <w:r w:rsidRPr="00D46E57">
        <w:rPr>
          <w:rFonts w:ascii="Arial" w:hAnsi="Arial" w:cs="Arial"/>
          <w:bCs/>
          <w:sz w:val="24"/>
          <w:szCs w:val="24"/>
        </w:rPr>
        <w:t xml:space="preserve">Por lo anteriormente expuesto, y con fundamento en los artículos </w:t>
      </w:r>
      <w:r w:rsidRPr="00D46E57">
        <w:rPr>
          <w:rFonts w:ascii="Arial" w:hAnsi="Arial" w:cs="Arial"/>
          <w:sz w:val="24"/>
          <w:szCs w:val="24"/>
        </w:rPr>
        <w:t>207, 208, fracción VI y 209</w:t>
      </w:r>
      <w:r w:rsidRPr="00D46E57">
        <w:rPr>
          <w:rFonts w:ascii="Arial" w:hAnsi="Arial" w:cs="Arial"/>
          <w:bCs/>
          <w:sz w:val="24"/>
          <w:szCs w:val="24"/>
        </w:rPr>
        <w:t xml:space="preserve">, de la Ley de </w:t>
      </w:r>
      <w:r>
        <w:rPr>
          <w:rFonts w:ascii="Arial" w:hAnsi="Arial" w:cs="Arial"/>
          <w:bCs/>
          <w:sz w:val="24"/>
          <w:szCs w:val="24"/>
        </w:rPr>
        <w:t xml:space="preserve">Procedimiento y </w:t>
      </w:r>
      <w:r w:rsidRPr="00D46E57">
        <w:rPr>
          <w:rFonts w:ascii="Arial" w:hAnsi="Arial" w:cs="Arial"/>
          <w:bCs/>
          <w:sz w:val="24"/>
          <w:szCs w:val="24"/>
        </w:rPr>
        <w:t>Justicia Administrativa</w:t>
      </w:r>
      <w:r w:rsidRPr="00017A04">
        <w:rPr>
          <w:rFonts w:ascii="Arial" w:hAnsi="Arial" w:cs="Arial"/>
          <w:bCs/>
          <w:sz w:val="24"/>
          <w:szCs w:val="24"/>
        </w:rPr>
        <w:t xml:space="preserve"> para el Estado</w:t>
      </w:r>
      <w:r>
        <w:rPr>
          <w:rFonts w:ascii="Arial" w:hAnsi="Arial" w:cs="Arial"/>
          <w:bCs/>
          <w:sz w:val="24"/>
          <w:szCs w:val="24"/>
        </w:rPr>
        <w:t xml:space="preserve"> de Oaxaca</w:t>
      </w:r>
      <w:r w:rsidRPr="00017A04">
        <w:rPr>
          <w:rFonts w:ascii="Arial" w:hAnsi="Arial" w:cs="Arial"/>
          <w:bCs/>
          <w:sz w:val="24"/>
          <w:szCs w:val="24"/>
        </w:rPr>
        <w:t>,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E51F5A" w:rsidP="00147F00">
      <w:pPr>
        <w:spacing w:line="360" w:lineRule="auto"/>
        <w:ind w:right="-518" w:firstLine="708"/>
        <w:jc w:val="center"/>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3314296" wp14:editId="53D44D22">
                <wp:simplePos x="0" y="0"/>
                <wp:positionH relativeFrom="column">
                  <wp:posOffset>-1316355</wp:posOffset>
                </wp:positionH>
                <wp:positionV relativeFrom="paragraph">
                  <wp:posOffset>164465</wp:posOffset>
                </wp:positionV>
                <wp:extent cx="11144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866775"/>
                        </a:xfrm>
                        <a:prstGeom prst="rect">
                          <a:avLst/>
                        </a:prstGeom>
                        <a:solidFill>
                          <a:srgbClr val="FFFFFF"/>
                        </a:solidFill>
                        <a:ln w="9525">
                          <a:solidFill>
                            <a:srgbClr val="000000"/>
                          </a:solidFill>
                          <a:miter lim="800000"/>
                          <a:headEnd/>
                          <a:tailEnd/>
                        </a:ln>
                      </wps:spPr>
                      <wps:txb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103.65pt;margin-top:12.95pt;width:87.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">
                <v:textbox>
                  <w:txbxContent>
                    <w:p w:rsidR="00E51F5A" w:rsidRDefault="00E51F5A" w:rsidP="00E51F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w:t>
      </w:r>
      <w:bookmarkStart w:id="0" w:name="_GoBack"/>
      <w:bookmarkEnd w:id="0"/>
      <w:r>
        <w:rPr>
          <w:rFonts w:ascii="Arial" w:hAnsi="Arial" w:cs="Arial"/>
          <w:bCs/>
          <w:color w:val="000000"/>
          <w:sz w:val="24"/>
          <w:szCs w:val="24"/>
        </w:rPr>
        <w:t xml:space="preserve">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7F7673">
        <w:rPr>
          <w:rFonts w:cs="Arial"/>
          <w:sz w:val="24"/>
          <w:szCs w:val="24"/>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3E1040" w:rsidRPr="00E515F7" w:rsidRDefault="00930A36" w:rsidP="003E1040">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3E1040" w:rsidRPr="00514151">
        <w:rPr>
          <w:rFonts w:ascii="Arial" w:hAnsi="Arial" w:cs="Arial"/>
          <w:bCs/>
          <w:color w:val="000000"/>
          <w:sz w:val="24"/>
          <w:szCs w:val="24"/>
        </w:rPr>
        <w:t xml:space="preserve">Conforme a lo dispuesto en </w:t>
      </w:r>
      <w:r w:rsidR="003E1040">
        <w:rPr>
          <w:rFonts w:ascii="Arial" w:hAnsi="Arial" w:cs="Arial"/>
          <w:bCs/>
          <w:color w:val="000000"/>
          <w:sz w:val="24"/>
          <w:szCs w:val="24"/>
        </w:rPr>
        <w:t>los</w:t>
      </w:r>
      <w:r w:rsidR="003E1040" w:rsidRPr="00514151">
        <w:rPr>
          <w:rFonts w:ascii="Arial" w:hAnsi="Arial" w:cs="Arial"/>
          <w:bCs/>
          <w:color w:val="000000"/>
          <w:sz w:val="24"/>
          <w:szCs w:val="24"/>
        </w:rPr>
        <w:t xml:space="preserve"> artículo</w:t>
      </w:r>
      <w:r w:rsidR="003E1040">
        <w:rPr>
          <w:rFonts w:ascii="Arial" w:hAnsi="Arial" w:cs="Arial"/>
          <w:bCs/>
          <w:color w:val="000000"/>
          <w:sz w:val="24"/>
          <w:szCs w:val="24"/>
        </w:rPr>
        <w:t>s</w:t>
      </w:r>
      <w:r w:rsidR="003E1040" w:rsidRPr="00514151">
        <w:rPr>
          <w:rFonts w:ascii="Arial" w:hAnsi="Arial" w:cs="Arial"/>
          <w:bCs/>
          <w:color w:val="000000"/>
          <w:sz w:val="24"/>
          <w:szCs w:val="24"/>
        </w:rPr>
        <w:t xml:space="preserve"> 1</w:t>
      </w:r>
      <w:r w:rsidR="003E1040">
        <w:rPr>
          <w:rFonts w:ascii="Arial" w:hAnsi="Arial" w:cs="Arial"/>
          <w:bCs/>
          <w:color w:val="000000"/>
          <w:sz w:val="24"/>
          <w:szCs w:val="24"/>
        </w:rPr>
        <w:t>7</w:t>
      </w:r>
      <w:r w:rsidR="003E1040" w:rsidRPr="00514151">
        <w:rPr>
          <w:rFonts w:ascii="Arial" w:hAnsi="Arial" w:cs="Arial"/>
          <w:bCs/>
          <w:color w:val="000000"/>
          <w:sz w:val="24"/>
          <w:szCs w:val="24"/>
        </w:rPr>
        <w:t>2</w:t>
      </w:r>
      <w:r w:rsidR="003E1040">
        <w:rPr>
          <w:rFonts w:ascii="Arial" w:hAnsi="Arial" w:cs="Arial"/>
          <w:bCs/>
          <w:color w:val="000000"/>
          <w:sz w:val="24"/>
          <w:szCs w:val="24"/>
        </w:rPr>
        <w:t>,</w:t>
      </w:r>
      <w:r w:rsidR="003E1040" w:rsidRPr="00514151">
        <w:rPr>
          <w:rFonts w:ascii="Arial" w:hAnsi="Arial" w:cs="Arial"/>
          <w:bCs/>
          <w:color w:val="000000"/>
          <w:sz w:val="24"/>
          <w:szCs w:val="24"/>
        </w:rPr>
        <w:t xml:space="preserve"> fracción I</w:t>
      </w:r>
      <w:r w:rsidR="003E1040">
        <w:rPr>
          <w:rFonts w:ascii="Arial" w:hAnsi="Arial" w:cs="Arial"/>
          <w:bCs/>
          <w:color w:val="000000"/>
          <w:sz w:val="24"/>
          <w:szCs w:val="24"/>
        </w:rPr>
        <w:t>,</w:t>
      </w:r>
      <w:r w:rsidR="003E1040" w:rsidRPr="00514151">
        <w:rPr>
          <w:rFonts w:ascii="Arial" w:hAnsi="Arial" w:cs="Arial"/>
          <w:bCs/>
          <w:color w:val="000000"/>
          <w:sz w:val="24"/>
          <w:szCs w:val="24"/>
        </w:rPr>
        <w:t xml:space="preserve">  y 1</w:t>
      </w:r>
      <w:r w:rsidR="003E1040">
        <w:rPr>
          <w:rFonts w:ascii="Arial" w:hAnsi="Arial" w:cs="Arial"/>
          <w:bCs/>
          <w:color w:val="000000"/>
          <w:sz w:val="24"/>
          <w:szCs w:val="24"/>
        </w:rPr>
        <w:t>7</w:t>
      </w:r>
      <w:r w:rsidR="003E1040" w:rsidRPr="00514151">
        <w:rPr>
          <w:rFonts w:ascii="Arial" w:hAnsi="Arial" w:cs="Arial"/>
          <w:bCs/>
          <w:color w:val="000000"/>
          <w:sz w:val="24"/>
          <w:szCs w:val="24"/>
        </w:rPr>
        <w:t>3</w:t>
      </w:r>
      <w:r w:rsidR="003E1040">
        <w:rPr>
          <w:rFonts w:ascii="Arial" w:hAnsi="Arial" w:cs="Arial"/>
          <w:bCs/>
          <w:color w:val="000000"/>
          <w:sz w:val="24"/>
          <w:szCs w:val="24"/>
        </w:rPr>
        <w:t xml:space="preserve">, fracciones I y II, </w:t>
      </w:r>
      <w:r w:rsidR="003E1040" w:rsidRPr="00514151">
        <w:rPr>
          <w:rFonts w:ascii="Arial" w:hAnsi="Arial" w:cs="Arial"/>
          <w:bCs/>
          <w:color w:val="000000"/>
          <w:sz w:val="24"/>
          <w:szCs w:val="24"/>
        </w:rPr>
        <w:t xml:space="preserve">de la Ley de </w:t>
      </w:r>
      <w:r w:rsidR="003E1040">
        <w:rPr>
          <w:rFonts w:ascii="Arial" w:hAnsi="Arial" w:cs="Arial"/>
          <w:bCs/>
          <w:color w:val="000000"/>
          <w:sz w:val="24"/>
          <w:szCs w:val="24"/>
        </w:rPr>
        <w:t xml:space="preserve">Procedimiento y </w:t>
      </w:r>
      <w:r w:rsidR="003E1040" w:rsidRPr="00514151">
        <w:rPr>
          <w:rFonts w:ascii="Arial" w:hAnsi="Arial" w:cs="Arial"/>
          <w:bCs/>
          <w:color w:val="000000"/>
          <w:sz w:val="24"/>
          <w:szCs w:val="24"/>
        </w:rPr>
        <w:t xml:space="preserve">Justicia Administrativa para el Estado, </w:t>
      </w:r>
      <w:r w:rsidR="003E1040">
        <w:rPr>
          <w:rFonts w:ascii="Arial" w:hAnsi="Arial" w:cs="Arial"/>
          <w:b/>
          <w:bCs/>
          <w:color w:val="000000"/>
          <w:sz w:val="24"/>
          <w:szCs w:val="24"/>
        </w:rPr>
        <w:lastRenderedPageBreak/>
        <w:t xml:space="preserve">NOTIFÍQUESE PERSONALMENTE </w:t>
      </w:r>
      <w:r w:rsidR="003E1040" w:rsidRPr="001A33B6">
        <w:rPr>
          <w:rFonts w:ascii="Arial" w:hAnsi="Arial" w:cs="Arial"/>
          <w:b/>
          <w:bCs/>
          <w:color w:val="000000"/>
          <w:sz w:val="24"/>
          <w:szCs w:val="24"/>
        </w:rPr>
        <w:t>A LA PARTE ACTORA, Y POR OFICIO A LA AUTORIDAD DEMANDADA.</w:t>
      </w:r>
      <w:r w:rsidR="003E1040">
        <w:rPr>
          <w:rFonts w:ascii="Arial" w:hAnsi="Arial" w:cs="Arial"/>
          <w:bCs/>
          <w:color w:val="000000"/>
          <w:sz w:val="24"/>
          <w:szCs w:val="24"/>
        </w:rPr>
        <w:t xml:space="preserve"> </w:t>
      </w:r>
      <w:r w:rsidR="003E1040">
        <w:rPr>
          <w:rFonts w:ascii="Arial" w:hAnsi="Arial" w:cs="Arial"/>
          <w:b/>
          <w:bCs/>
          <w:color w:val="000000"/>
          <w:sz w:val="24"/>
          <w:szCs w:val="24"/>
        </w:rPr>
        <w:t>CÚ</w:t>
      </w:r>
      <w:r w:rsidR="003E1040" w:rsidRPr="003422DF">
        <w:rPr>
          <w:rFonts w:ascii="Arial" w:hAnsi="Arial" w:cs="Arial"/>
          <w:b/>
          <w:bCs/>
          <w:color w:val="000000"/>
          <w:sz w:val="24"/>
          <w:szCs w:val="24"/>
        </w:rPr>
        <w:t xml:space="preserve">MPLASE. - - - - - - - - - - - - - - - - - - - - - - - - - - - </w:t>
      </w:r>
      <w:r w:rsidR="003E1040">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511" w:rsidRDefault="00105511" w:rsidP="00DD5D31">
      <w:r>
        <w:separator/>
      </w:r>
    </w:p>
  </w:endnote>
  <w:endnote w:type="continuationSeparator" w:id="0">
    <w:p w:rsidR="00105511" w:rsidRDefault="0010551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511" w:rsidRDefault="00105511" w:rsidP="00DD5D31">
      <w:r>
        <w:separator/>
      </w:r>
    </w:p>
  </w:footnote>
  <w:footnote w:type="continuationSeparator" w:id="0">
    <w:p w:rsidR="00105511" w:rsidRDefault="0010551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51F5A" w:rsidRPr="00E51F5A">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E72679">
          <w:rPr>
            <w:rFonts w:ascii="Arial" w:hAnsi="Arial" w:cs="Arial"/>
            <w:sz w:val="18"/>
            <w:szCs w:val="18"/>
          </w:rPr>
          <w:t>2</w:t>
        </w:r>
        <w:r w:rsidR="00D7799B">
          <w:rPr>
            <w:rFonts w:ascii="Arial" w:hAnsi="Arial" w:cs="Arial"/>
            <w:sz w:val="18"/>
            <w:szCs w:val="18"/>
          </w:rPr>
          <w:t>2</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2B9"/>
    <w:rsid w:val="000E55BC"/>
    <w:rsid w:val="000F14A5"/>
    <w:rsid w:val="000F2596"/>
    <w:rsid w:val="000F2A2C"/>
    <w:rsid w:val="00103661"/>
    <w:rsid w:val="00103F8A"/>
    <w:rsid w:val="00105511"/>
    <w:rsid w:val="00107B71"/>
    <w:rsid w:val="00111BF6"/>
    <w:rsid w:val="00116804"/>
    <w:rsid w:val="00125A51"/>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5FC"/>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1040"/>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002A"/>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16B4A"/>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7F7673"/>
    <w:rsid w:val="00805B55"/>
    <w:rsid w:val="00805BCC"/>
    <w:rsid w:val="00813B0D"/>
    <w:rsid w:val="00816487"/>
    <w:rsid w:val="00823229"/>
    <w:rsid w:val="00824579"/>
    <w:rsid w:val="008253C8"/>
    <w:rsid w:val="00825CAD"/>
    <w:rsid w:val="00826139"/>
    <w:rsid w:val="00832594"/>
    <w:rsid w:val="00832A5C"/>
    <w:rsid w:val="00834A24"/>
    <w:rsid w:val="00841415"/>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D002E"/>
    <w:rsid w:val="00AD168D"/>
    <w:rsid w:val="00AD3569"/>
    <w:rsid w:val="00AD69BB"/>
    <w:rsid w:val="00AE010A"/>
    <w:rsid w:val="00AE076A"/>
    <w:rsid w:val="00AE3BEB"/>
    <w:rsid w:val="00AE4415"/>
    <w:rsid w:val="00AE5C86"/>
    <w:rsid w:val="00AE61B2"/>
    <w:rsid w:val="00AE6C60"/>
    <w:rsid w:val="00AF2D5A"/>
    <w:rsid w:val="00AF32ED"/>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57DD"/>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650C4"/>
    <w:rsid w:val="00D70C31"/>
    <w:rsid w:val="00D72554"/>
    <w:rsid w:val="00D75347"/>
    <w:rsid w:val="00D771E9"/>
    <w:rsid w:val="00D774DE"/>
    <w:rsid w:val="00D7799B"/>
    <w:rsid w:val="00D93DE7"/>
    <w:rsid w:val="00D94CF3"/>
    <w:rsid w:val="00DA007E"/>
    <w:rsid w:val="00DA082B"/>
    <w:rsid w:val="00DA0D02"/>
    <w:rsid w:val="00DA2866"/>
    <w:rsid w:val="00DA3C18"/>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42D35"/>
    <w:rsid w:val="00E43BF6"/>
    <w:rsid w:val="00E515F7"/>
    <w:rsid w:val="00E51F5A"/>
    <w:rsid w:val="00E54188"/>
    <w:rsid w:val="00E55533"/>
    <w:rsid w:val="00E55BF1"/>
    <w:rsid w:val="00E56565"/>
    <w:rsid w:val="00E6060B"/>
    <w:rsid w:val="00E609F1"/>
    <w:rsid w:val="00E637A4"/>
    <w:rsid w:val="00E72679"/>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A12F2-3B90-4C99-8A9F-5D91B2272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2336</Words>
  <Characters>12854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2018-02-09T17:47:00Z</cp:lastPrinted>
  <dcterms:created xsi:type="dcterms:W3CDTF">2018-02-07T17:25:00Z</dcterms:created>
  <dcterms:modified xsi:type="dcterms:W3CDTF">2018-12-11T16:13:00Z</dcterms:modified>
</cp:coreProperties>
</file>