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12770" w14:textId="75EB5D42" w:rsidR="001E6C62" w:rsidRPr="00CB6405" w:rsidRDefault="001E6C62" w:rsidP="00D5591E">
      <w:pPr>
        <w:spacing w:line="240" w:lineRule="auto"/>
        <w:ind w:left="3686"/>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3C52E80D" w14:textId="2B13478C" w:rsidR="001E6C62" w:rsidRPr="00A240AA" w:rsidRDefault="001E6C62" w:rsidP="00D5591E">
      <w:pPr>
        <w:spacing w:line="240" w:lineRule="auto"/>
        <w:ind w:left="3686"/>
        <w:jc w:val="both"/>
        <w:rPr>
          <w:rFonts w:ascii="Arial" w:hAnsi="Arial" w:cs="Arial"/>
          <w:b/>
          <w:sz w:val="26"/>
          <w:szCs w:val="26"/>
        </w:rPr>
      </w:pPr>
      <w:r>
        <w:rPr>
          <w:rFonts w:ascii="Arial" w:hAnsi="Arial" w:cs="Arial"/>
          <w:b/>
          <w:sz w:val="26"/>
          <w:szCs w:val="26"/>
        </w:rPr>
        <w:t xml:space="preserve">RECURSO DE REVISIÓN: </w:t>
      </w:r>
      <w:r w:rsidR="00B97FE8">
        <w:rPr>
          <w:rFonts w:ascii="Arial" w:hAnsi="Arial" w:cs="Arial"/>
          <w:b/>
          <w:sz w:val="26"/>
          <w:szCs w:val="26"/>
        </w:rPr>
        <w:t>0</w:t>
      </w:r>
      <w:r w:rsidR="006F388C">
        <w:rPr>
          <w:rFonts w:ascii="Arial" w:hAnsi="Arial" w:cs="Arial"/>
          <w:b/>
          <w:sz w:val="26"/>
          <w:szCs w:val="26"/>
        </w:rPr>
        <w:t>123</w:t>
      </w:r>
      <w:r>
        <w:rPr>
          <w:rFonts w:ascii="Arial" w:hAnsi="Arial" w:cs="Arial"/>
          <w:b/>
          <w:sz w:val="26"/>
          <w:szCs w:val="26"/>
        </w:rPr>
        <w:t>/202</w:t>
      </w:r>
      <w:r w:rsidR="006F388C">
        <w:rPr>
          <w:rFonts w:ascii="Arial" w:hAnsi="Arial" w:cs="Arial"/>
          <w:b/>
          <w:sz w:val="26"/>
          <w:szCs w:val="26"/>
        </w:rPr>
        <w:t>2 y 0124/2022</w:t>
      </w:r>
      <w:r>
        <w:rPr>
          <w:rFonts w:ascii="Arial" w:hAnsi="Arial" w:cs="Arial"/>
          <w:b/>
          <w:sz w:val="26"/>
          <w:szCs w:val="26"/>
        </w:rPr>
        <w:t>.</w:t>
      </w:r>
    </w:p>
    <w:p w14:paraId="539D1802" w14:textId="013AEC21" w:rsidR="001E6C62" w:rsidRPr="00CB6405" w:rsidRDefault="001E6C62" w:rsidP="00D5591E">
      <w:pPr>
        <w:spacing w:line="240" w:lineRule="auto"/>
        <w:ind w:left="3686"/>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B97FE8">
        <w:rPr>
          <w:rFonts w:ascii="Arial" w:hAnsi="Arial" w:cs="Arial"/>
          <w:b/>
          <w:sz w:val="26"/>
          <w:szCs w:val="26"/>
        </w:rPr>
        <w:t>0</w:t>
      </w:r>
      <w:r w:rsidR="006F388C">
        <w:rPr>
          <w:rFonts w:ascii="Arial" w:hAnsi="Arial" w:cs="Arial"/>
          <w:b/>
          <w:sz w:val="26"/>
          <w:szCs w:val="26"/>
        </w:rPr>
        <w:t>176</w:t>
      </w:r>
      <w:r>
        <w:rPr>
          <w:rFonts w:ascii="Arial" w:hAnsi="Arial" w:cs="Arial"/>
          <w:b/>
          <w:iCs/>
          <w:caps/>
          <w:sz w:val="26"/>
          <w:szCs w:val="26"/>
        </w:rPr>
        <w:t>/20</w:t>
      </w:r>
      <w:r w:rsidR="00B97FE8">
        <w:rPr>
          <w:rFonts w:ascii="Arial" w:hAnsi="Arial" w:cs="Arial"/>
          <w:b/>
          <w:iCs/>
          <w:caps/>
          <w:sz w:val="26"/>
          <w:szCs w:val="26"/>
        </w:rPr>
        <w:t xml:space="preserve">20 DE LA PRIMERA </w:t>
      </w:r>
      <w:r>
        <w:rPr>
          <w:rFonts w:ascii="Arial" w:hAnsi="Arial" w:cs="Arial"/>
          <w:b/>
          <w:iCs/>
          <w:caps/>
          <w:sz w:val="26"/>
          <w:szCs w:val="26"/>
        </w:rPr>
        <w:t>s</w:t>
      </w:r>
      <w:r w:rsidRPr="00CB6405">
        <w:rPr>
          <w:rFonts w:ascii="Arial" w:hAnsi="Arial" w:cs="Arial"/>
          <w:b/>
          <w:sz w:val="26"/>
          <w:szCs w:val="26"/>
        </w:rPr>
        <w:t>ALA UNITARIA DE PRIMERA INSTANCIA</w:t>
      </w:r>
      <w:r w:rsidR="00B72FA1">
        <w:rPr>
          <w:rFonts w:ascii="Arial" w:hAnsi="Arial" w:cs="Arial"/>
          <w:b/>
          <w:sz w:val="26"/>
          <w:szCs w:val="26"/>
        </w:rPr>
        <w:t xml:space="preserve"> </w:t>
      </w:r>
    </w:p>
    <w:p w14:paraId="4CAEE409" w14:textId="77777777" w:rsidR="001E6C62" w:rsidRPr="00CB6405" w:rsidRDefault="001E6C62" w:rsidP="00D5591E">
      <w:pPr>
        <w:spacing w:line="240" w:lineRule="auto"/>
        <w:ind w:left="3686"/>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6C6F08E8" w14:textId="77777777" w:rsidR="001E6C62" w:rsidRPr="00CB6405" w:rsidRDefault="001E6C62" w:rsidP="001E6C62">
      <w:pPr>
        <w:tabs>
          <w:tab w:val="left" w:pos="7482"/>
        </w:tabs>
        <w:spacing w:line="240" w:lineRule="auto"/>
        <w:ind w:left="2124"/>
        <w:jc w:val="both"/>
        <w:rPr>
          <w:rFonts w:ascii="Arial" w:hAnsi="Arial" w:cs="Arial"/>
          <w:b/>
          <w:sz w:val="26"/>
          <w:szCs w:val="26"/>
        </w:rPr>
      </w:pPr>
    </w:p>
    <w:p w14:paraId="7AB58BBD" w14:textId="6B342CA3" w:rsidR="001E6C62" w:rsidRDefault="001E6C62" w:rsidP="001E6C62">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D5591E">
        <w:rPr>
          <w:rFonts w:ascii="Arial" w:hAnsi="Arial" w:cs="Arial"/>
          <w:b/>
          <w:sz w:val="26"/>
          <w:szCs w:val="26"/>
        </w:rPr>
        <w:t>TRECE</w:t>
      </w:r>
      <w:r>
        <w:rPr>
          <w:rFonts w:ascii="Arial" w:hAnsi="Arial" w:cs="Arial"/>
          <w:b/>
          <w:sz w:val="26"/>
          <w:szCs w:val="26"/>
        </w:rPr>
        <w:t xml:space="preserve"> DE </w:t>
      </w:r>
      <w:r w:rsidR="00D5591E">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 </w:t>
      </w:r>
      <w:r w:rsidR="00D5591E">
        <w:rPr>
          <w:rFonts w:ascii="Arial" w:hAnsi="Arial" w:cs="Arial"/>
          <w:b/>
          <w:sz w:val="26"/>
          <w:szCs w:val="26"/>
        </w:rPr>
        <w:t xml:space="preserve">- - - - </w:t>
      </w:r>
    </w:p>
    <w:p w14:paraId="01EE2986" w14:textId="3FCFC59C" w:rsidR="008A4F9F" w:rsidRPr="00CB6405" w:rsidRDefault="008A4F9F" w:rsidP="008A4F9F">
      <w:pPr>
        <w:spacing w:line="360" w:lineRule="auto"/>
        <w:ind w:firstLine="708"/>
        <w:jc w:val="both"/>
        <w:rPr>
          <w:rFonts w:ascii="Arial" w:hAnsi="Arial" w:cs="Arial"/>
          <w:sz w:val="26"/>
          <w:szCs w:val="26"/>
        </w:rPr>
      </w:pPr>
      <w:r w:rsidRPr="00A979D7">
        <w:rPr>
          <w:rFonts w:ascii="Arial" w:eastAsia="Calibri" w:hAnsi="Arial" w:cs="Arial"/>
          <w:sz w:val="26"/>
          <w:szCs w:val="26"/>
          <w:lang w:eastAsia="en-US"/>
        </w:rPr>
        <w:t>Por recibido</w:t>
      </w:r>
      <w:r w:rsidR="006F388C">
        <w:rPr>
          <w:rFonts w:ascii="Arial" w:eastAsia="Calibri" w:hAnsi="Arial" w:cs="Arial"/>
          <w:sz w:val="26"/>
          <w:szCs w:val="26"/>
          <w:lang w:eastAsia="en-US"/>
        </w:rPr>
        <w:t>s los c</w:t>
      </w:r>
      <w:r w:rsidRPr="00A979D7">
        <w:rPr>
          <w:rFonts w:ascii="Arial" w:eastAsia="Calibri" w:hAnsi="Arial" w:cs="Arial"/>
          <w:sz w:val="26"/>
          <w:szCs w:val="26"/>
          <w:lang w:eastAsia="en-US"/>
        </w:rPr>
        <w:t>uaderno</w:t>
      </w:r>
      <w:r w:rsidR="006F388C">
        <w:rPr>
          <w:rFonts w:ascii="Arial" w:eastAsia="Calibri" w:hAnsi="Arial" w:cs="Arial"/>
          <w:sz w:val="26"/>
          <w:szCs w:val="26"/>
          <w:lang w:eastAsia="en-US"/>
        </w:rPr>
        <w:t>s</w:t>
      </w:r>
      <w:r w:rsidRPr="00A979D7">
        <w:rPr>
          <w:rFonts w:ascii="Arial" w:eastAsia="Calibri" w:hAnsi="Arial" w:cs="Arial"/>
          <w:sz w:val="26"/>
          <w:szCs w:val="26"/>
          <w:lang w:eastAsia="en-US"/>
        </w:rPr>
        <w:t xml:space="preserve"> de </w:t>
      </w:r>
      <w:r w:rsidR="006F388C">
        <w:rPr>
          <w:rFonts w:ascii="Arial" w:eastAsia="Calibri" w:hAnsi="Arial" w:cs="Arial"/>
          <w:sz w:val="26"/>
          <w:szCs w:val="26"/>
          <w:lang w:eastAsia="en-US"/>
        </w:rPr>
        <w:t>r</w:t>
      </w:r>
      <w:r w:rsidRPr="00A979D7">
        <w:rPr>
          <w:rFonts w:ascii="Arial" w:eastAsia="Calibri" w:hAnsi="Arial" w:cs="Arial"/>
          <w:sz w:val="26"/>
          <w:szCs w:val="26"/>
          <w:lang w:eastAsia="en-US"/>
        </w:rPr>
        <w:t xml:space="preserve">evisión </w:t>
      </w:r>
      <w:r w:rsidR="006F388C">
        <w:rPr>
          <w:rFonts w:ascii="Arial" w:hAnsi="Arial" w:cs="Arial"/>
          <w:b/>
          <w:sz w:val="26"/>
          <w:szCs w:val="26"/>
        </w:rPr>
        <w:t xml:space="preserve">0123/2022 y 0124/2022 </w:t>
      </w:r>
      <w:r w:rsidRPr="00A979D7">
        <w:rPr>
          <w:rFonts w:ascii="Arial" w:eastAsia="Calibri" w:hAnsi="Arial" w:cs="Arial"/>
          <w:sz w:val="26"/>
          <w:szCs w:val="26"/>
          <w:lang w:eastAsia="en-US"/>
        </w:rPr>
        <w:t>que remite la Secretaría General de Acuerdos, con motivo de</w:t>
      </w:r>
      <w:r w:rsidR="006F388C">
        <w:rPr>
          <w:rFonts w:ascii="Arial" w:eastAsia="Calibri" w:hAnsi="Arial" w:cs="Arial"/>
          <w:sz w:val="26"/>
          <w:szCs w:val="26"/>
          <w:lang w:eastAsia="en-US"/>
        </w:rPr>
        <w:t xml:space="preserve"> los </w:t>
      </w:r>
      <w:r w:rsidRPr="00A979D7">
        <w:rPr>
          <w:rFonts w:ascii="Arial" w:eastAsia="Calibri" w:hAnsi="Arial" w:cs="Arial"/>
          <w:sz w:val="26"/>
          <w:szCs w:val="26"/>
          <w:lang w:eastAsia="en-US"/>
        </w:rPr>
        <w:t>recurso</w:t>
      </w:r>
      <w:r w:rsidR="006F388C">
        <w:rPr>
          <w:rFonts w:ascii="Arial" w:eastAsia="Calibri" w:hAnsi="Arial" w:cs="Arial"/>
          <w:sz w:val="26"/>
          <w:szCs w:val="26"/>
          <w:lang w:eastAsia="en-US"/>
        </w:rPr>
        <w:t>s</w:t>
      </w:r>
      <w:r w:rsidRPr="00A979D7">
        <w:rPr>
          <w:rFonts w:ascii="Arial" w:eastAsia="Calibri" w:hAnsi="Arial" w:cs="Arial"/>
          <w:sz w:val="26"/>
          <w:szCs w:val="26"/>
          <w:lang w:eastAsia="en-US"/>
        </w:rPr>
        <w:t xml:space="preserve"> de revisión interpuesto</w:t>
      </w:r>
      <w:r w:rsidR="006F388C">
        <w:rPr>
          <w:rFonts w:ascii="Arial" w:eastAsia="Calibri" w:hAnsi="Arial" w:cs="Arial"/>
          <w:sz w:val="26"/>
          <w:szCs w:val="26"/>
          <w:lang w:eastAsia="en-US"/>
        </w:rPr>
        <w:t>s</w:t>
      </w:r>
      <w:r w:rsidRPr="00A979D7">
        <w:rPr>
          <w:rFonts w:ascii="Arial" w:eastAsia="Calibri" w:hAnsi="Arial" w:cs="Arial"/>
          <w:sz w:val="26"/>
          <w:szCs w:val="26"/>
          <w:lang w:eastAsia="en-US"/>
        </w:rPr>
        <w:t xml:space="preserve"> por</w:t>
      </w:r>
      <w:r w:rsidR="006F388C">
        <w:rPr>
          <w:rFonts w:ascii="Arial" w:eastAsia="Calibri" w:hAnsi="Arial" w:cs="Arial"/>
          <w:sz w:val="26"/>
          <w:szCs w:val="26"/>
          <w:lang w:eastAsia="en-US"/>
        </w:rPr>
        <w:t xml:space="preserve"> el </w:t>
      </w:r>
      <w:r w:rsidR="00D5591E" w:rsidRPr="00CD42E2">
        <w:rPr>
          <w:rFonts w:ascii="Arial" w:eastAsia="Calibri" w:hAnsi="Arial" w:cs="Arial"/>
          <w:b/>
          <w:bCs/>
          <w:sz w:val="26"/>
          <w:szCs w:val="26"/>
          <w:lang w:eastAsia="en-US"/>
        </w:rPr>
        <w:t>DIRECTOR JURÍDICO DE LA SECRETARÍA DE MOVILIDAD</w:t>
      </w:r>
      <w:r w:rsidR="00D62648" w:rsidRPr="00CD42E2">
        <w:rPr>
          <w:rFonts w:ascii="Arial" w:eastAsia="Calibri" w:hAnsi="Arial" w:cs="Arial"/>
          <w:b/>
          <w:bCs/>
          <w:sz w:val="26"/>
          <w:szCs w:val="26"/>
          <w:lang w:eastAsia="en-US"/>
        </w:rPr>
        <w:t xml:space="preserve">, </w:t>
      </w:r>
      <w:r w:rsidR="00D5591E" w:rsidRPr="00CD42E2">
        <w:rPr>
          <w:rFonts w:ascii="Arial" w:eastAsia="Calibri" w:hAnsi="Arial" w:cs="Arial"/>
          <w:b/>
          <w:bCs/>
          <w:sz w:val="26"/>
          <w:szCs w:val="26"/>
          <w:lang w:eastAsia="en-US"/>
        </w:rPr>
        <w:t>COMO REPRESENTANTE LEGAL DE LA AUTORIDAD DEMANDADA</w:t>
      </w:r>
      <w:r w:rsidR="00D62648" w:rsidRPr="00CD42E2">
        <w:rPr>
          <w:rFonts w:ascii="Arial" w:eastAsia="Calibri" w:hAnsi="Arial" w:cs="Arial"/>
          <w:b/>
          <w:bCs/>
          <w:sz w:val="26"/>
          <w:szCs w:val="26"/>
          <w:lang w:eastAsia="en-US"/>
        </w:rPr>
        <w:t xml:space="preserve">, </w:t>
      </w:r>
      <w:r w:rsidR="006F388C" w:rsidRPr="00CD42E2">
        <w:rPr>
          <w:rFonts w:ascii="Arial" w:eastAsia="Calibri" w:hAnsi="Arial" w:cs="Arial"/>
          <w:sz w:val="26"/>
          <w:szCs w:val="26"/>
          <w:lang w:eastAsia="en-US"/>
        </w:rPr>
        <w:t>y</w:t>
      </w:r>
      <w:r w:rsidR="006F388C" w:rsidRPr="00CD42E2">
        <w:rPr>
          <w:rFonts w:ascii="Arial" w:eastAsia="Calibri" w:hAnsi="Arial" w:cs="Arial"/>
          <w:b/>
          <w:bCs/>
          <w:sz w:val="26"/>
          <w:szCs w:val="26"/>
          <w:lang w:eastAsia="en-US"/>
        </w:rPr>
        <w:t xml:space="preserve"> </w:t>
      </w:r>
      <w:r w:rsidR="00D5591E" w:rsidRPr="00CD42E2">
        <w:rPr>
          <w:rFonts w:ascii="Arial" w:eastAsia="Calibri" w:hAnsi="Arial" w:cs="Arial"/>
          <w:b/>
          <w:bCs/>
          <w:sz w:val="26"/>
          <w:szCs w:val="26"/>
          <w:lang w:eastAsia="en-US"/>
        </w:rPr>
        <w:t>RAYMUNDO ELOY ZÁRATE HERNÁNDEZ</w:t>
      </w:r>
      <w:r w:rsidR="00D62648" w:rsidRPr="00CD42E2">
        <w:rPr>
          <w:rFonts w:ascii="Arial" w:eastAsia="Calibri" w:hAnsi="Arial" w:cs="Arial"/>
          <w:b/>
          <w:bCs/>
          <w:sz w:val="26"/>
          <w:szCs w:val="26"/>
          <w:lang w:eastAsia="en-US"/>
        </w:rPr>
        <w:t xml:space="preserve">, </w:t>
      </w:r>
      <w:r w:rsidR="00D5591E" w:rsidRPr="00CD42E2">
        <w:rPr>
          <w:rFonts w:ascii="Arial" w:eastAsia="Calibri" w:hAnsi="Arial" w:cs="Arial"/>
          <w:b/>
          <w:bCs/>
          <w:sz w:val="26"/>
          <w:szCs w:val="26"/>
          <w:lang w:eastAsia="en-US"/>
        </w:rPr>
        <w:t>REPRESENTANTE DEL SITIO RIVERAS DE SAN JACINTO AMILPAS A. C. COMO TERCERO AFECTADO</w:t>
      </w:r>
      <w:r w:rsidR="00D62648">
        <w:rPr>
          <w:rFonts w:ascii="Arial" w:eastAsia="Calibri" w:hAnsi="Arial" w:cs="Arial"/>
          <w:sz w:val="26"/>
          <w:szCs w:val="26"/>
          <w:lang w:eastAsia="en-US"/>
        </w:rPr>
        <w:t xml:space="preserve">, </w:t>
      </w:r>
      <w:r>
        <w:rPr>
          <w:rFonts w:ascii="Arial" w:hAnsi="Arial" w:cs="Arial"/>
          <w:sz w:val="26"/>
          <w:szCs w:val="26"/>
        </w:rPr>
        <w:t>en</w:t>
      </w:r>
      <w:r w:rsidRPr="00CB6405">
        <w:rPr>
          <w:rFonts w:ascii="Arial" w:hAnsi="Arial" w:cs="Arial"/>
          <w:sz w:val="26"/>
          <w:szCs w:val="26"/>
        </w:rPr>
        <w:t xml:space="preserve"> contra de</w:t>
      </w:r>
      <w:r>
        <w:rPr>
          <w:rFonts w:ascii="Arial" w:hAnsi="Arial" w:cs="Arial"/>
          <w:sz w:val="26"/>
          <w:szCs w:val="26"/>
        </w:rPr>
        <w:t xml:space="preserve"> la sentencia de </w:t>
      </w:r>
      <w:r w:rsidR="00D62648">
        <w:rPr>
          <w:rFonts w:ascii="Arial" w:hAnsi="Arial" w:cs="Arial"/>
          <w:sz w:val="26"/>
          <w:szCs w:val="26"/>
        </w:rPr>
        <w:t>veintiuno de abril de dos mil veintidós</w:t>
      </w:r>
      <w:r w:rsidRPr="00A240AA">
        <w:rPr>
          <w:rFonts w:ascii="Arial" w:hAnsi="Arial" w:cs="Arial"/>
          <w:sz w:val="26"/>
          <w:szCs w:val="26"/>
        </w:rPr>
        <w:t xml:space="preserve">, dictada en el expediente </w:t>
      </w:r>
      <w:r w:rsidR="00C95DCF" w:rsidRPr="00D5591E">
        <w:rPr>
          <w:rFonts w:ascii="Arial" w:hAnsi="Arial" w:cs="Arial"/>
          <w:b/>
          <w:bCs/>
          <w:sz w:val="26"/>
          <w:szCs w:val="26"/>
        </w:rPr>
        <w:t>0</w:t>
      </w:r>
      <w:r w:rsidR="00D62648">
        <w:rPr>
          <w:rFonts w:ascii="Arial" w:hAnsi="Arial" w:cs="Arial"/>
          <w:b/>
          <w:iCs/>
          <w:caps/>
          <w:sz w:val="26"/>
          <w:szCs w:val="26"/>
        </w:rPr>
        <w:t>176</w:t>
      </w:r>
      <w:r w:rsidR="00B72FA1">
        <w:rPr>
          <w:rFonts w:ascii="Arial" w:hAnsi="Arial" w:cs="Arial"/>
          <w:b/>
          <w:iCs/>
          <w:caps/>
          <w:sz w:val="26"/>
          <w:szCs w:val="26"/>
        </w:rPr>
        <w:t>/20</w:t>
      </w:r>
      <w:r w:rsidR="00D62648">
        <w:rPr>
          <w:rFonts w:ascii="Arial" w:hAnsi="Arial" w:cs="Arial"/>
          <w:b/>
          <w:iCs/>
          <w:caps/>
          <w:sz w:val="26"/>
          <w:szCs w:val="26"/>
        </w:rPr>
        <w:t>20</w:t>
      </w:r>
      <w:r w:rsidRPr="00A979D7">
        <w:rPr>
          <w:rFonts w:ascii="Arial" w:eastAsia="Calibri" w:hAnsi="Arial" w:cs="Arial"/>
          <w:sz w:val="26"/>
          <w:szCs w:val="26"/>
          <w:lang w:eastAsia="en-US"/>
        </w:rPr>
        <w:t xml:space="preserve">, </w:t>
      </w:r>
      <w:r w:rsidR="004121E3">
        <w:rPr>
          <w:rFonts w:ascii="Arial" w:eastAsia="Calibri" w:hAnsi="Arial" w:cs="Arial"/>
          <w:sz w:val="26"/>
          <w:szCs w:val="26"/>
          <w:lang w:eastAsia="en-US"/>
        </w:rPr>
        <w:t>d</w:t>
      </w:r>
      <w:r>
        <w:rPr>
          <w:rFonts w:ascii="Arial" w:eastAsia="Calibri" w:hAnsi="Arial" w:cs="Arial"/>
          <w:bCs/>
          <w:sz w:val="26"/>
          <w:szCs w:val="26"/>
          <w:lang w:eastAsia="en-US"/>
        </w:rPr>
        <w:t xml:space="preserve">e la </w:t>
      </w:r>
      <w:r w:rsidR="00D62648">
        <w:rPr>
          <w:rFonts w:ascii="Arial" w:eastAsia="Calibri" w:hAnsi="Arial" w:cs="Arial"/>
          <w:bCs/>
          <w:sz w:val="26"/>
          <w:szCs w:val="26"/>
          <w:lang w:eastAsia="en-US"/>
        </w:rPr>
        <w:t>Primera</w:t>
      </w:r>
      <w:r w:rsidRPr="00A979D7">
        <w:rPr>
          <w:rFonts w:ascii="Arial" w:eastAsia="Calibri" w:hAnsi="Arial" w:cs="Arial"/>
          <w:sz w:val="26"/>
          <w:szCs w:val="26"/>
          <w:lang w:eastAsia="en-US"/>
        </w:rPr>
        <w:t xml:space="preserve"> Sala Unitaria de Primera Instancia, relativo al juicio promovido </w:t>
      </w:r>
      <w:r w:rsidR="000D3B6B">
        <w:rPr>
          <w:rFonts w:ascii="Arial" w:eastAsia="Calibri" w:hAnsi="Arial" w:cs="Arial"/>
          <w:sz w:val="26"/>
          <w:szCs w:val="26"/>
          <w:lang w:eastAsia="en-US"/>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Pr>
          <w:rFonts w:ascii="Arial" w:eastAsia="Calibri" w:hAnsi="Arial" w:cs="Arial"/>
          <w:sz w:val="26"/>
          <w:szCs w:val="26"/>
          <w:lang w:eastAsia="en-US"/>
        </w:rPr>
        <w:t xml:space="preserve">l </w:t>
      </w:r>
      <w:r w:rsidR="00D5591E">
        <w:rPr>
          <w:rFonts w:ascii="Arial" w:hAnsi="Arial" w:cs="Arial"/>
          <w:b/>
          <w:sz w:val="26"/>
          <w:szCs w:val="26"/>
        </w:rPr>
        <w:t>SECRETARIO</w:t>
      </w:r>
      <w:r w:rsidR="00CD42E2">
        <w:rPr>
          <w:rFonts w:ascii="Arial" w:hAnsi="Arial" w:cs="Arial"/>
          <w:b/>
          <w:sz w:val="26"/>
          <w:szCs w:val="26"/>
        </w:rPr>
        <w:t xml:space="preserve"> </w:t>
      </w:r>
      <w:r w:rsidR="00CD42E2">
        <w:rPr>
          <w:rFonts w:ascii="Arial" w:hAnsi="Arial" w:cs="Arial"/>
          <w:bCs/>
          <w:sz w:val="26"/>
          <w:szCs w:val="26"/>
        </w:rPr>
        <w:t xml:space="preserve">y del </w:t>
      </w:r>
      <w:r w:rsidR="00D5591E">
        <w:rPr>
          <w:rFonts w:ascii="Arial" w:hAnsi="Arial" w:cs="Arial"/>
          <w:b/>
          <w:sz w:val="26"/>
          <w:szCs w:val="26"/>
        </w:rPr>
        <w:t>DIRECTOR JURÍDICO, AMBOS DE LA SECRETARÍA DE MOVILIDAD DEL PODER EJECUTIVO DEL ESTADO DE OAXACA</w:t>
      </w:r>
      <w:r w:rsidRPr="00D5311E">
        <w:rPr>
          <w:rFonts w:ascii="Arial" w:eastAsia="Calibri" w:hAnsi="Arial" w:cs="Arial"/>
          <w:b/>
          <w:sz w:val="26"/>
          <w:szCs w:val="26"/>
          <w:lang w:eastAsia="en-US"/>
        </w:rPr>
        <w:t>,</w:t>
      </w:r>
      <w:r>
        <w:rPr>
          <w:rFonts w:ascii="Arial" w:eastAsia="Calibri" w:hAnsi="Arial" w:cs="Arial"/>
          <w:b/>
          <w:sz w:val="26"/>
          <w:szCs w:val="26"/>
          <w:lang w:eastAsia="en-US"/>
        </w:rPr>
        <w:t xml:space="preserve"> </w:t>
      </w:r>
      <w:r w:rsidR="00373C02">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00373C02" w:rsidRPr="004B0F9D">
        <w:rPr>
          <w:rFonts w:ascii="Arial" w:hAnsi="Arial" w:cs="Arial"/>
          <w:sz w:val="26"/>
          <w:szCs w:val="26"/>
        </w:rPr>
        <w:t>:</w:t>
      </w:r>
      <w:r w:rsidR="00D5591E">
        <w:rPr>
          <w:rFonts w:ascii="Arial" w:hAnsi="Arial" w:cs="Arial"/>
          <w:sz w:val="26"/>
          <w:szCs w:val="26"/>
        </w:rPr>
        <w:t xml:space="preserve"> - - - - - - - - - - - - - - - - - - - - - - - - - - - - - - - - - </w:t>
      </w:r>
    </w:p>
    <w:p w14:paraId="2D2783D5" w14:textId="77777777" w:rsidR="001E6C62" w:rsidRPr="00CB6405" w:rsidRDefault="001E6C62" w:rsidP="001E6C62">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FF94510" w14:textId="7DA62F53" w:rsidR="001E6C62" w:rsidRPr="00CB6405" w:rsidRDefault="001E6C62" w:rsidP="001E6C6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w:t>
      </w:r>
      <w:r w:rsidR="005C65E6">
        <w:rPr>
          <w:rFonts w:ascii="Arial" w:hAnsi="Arial" w:cs="Arial"/>
          <w:sz w:val="26"/>
          <w:szCs w:val="26"/>
        </w:rPr>
        <w:t>s</w:t>
      </w:r>
      <w:r w:rsidRPr="00CB6405">
        <w:rPr>
          <w:rFonts w:ascii="Arial" w:hAnsi="Arial" w:cs="Arial"/>
          <w:sz w:val="26"/>
          <w:szCs w:val="26"/>
        </w:rPr>
        <w:t xml:space="preserve"> con </w:t>
      </w:r>
      <w:r>
        <w:rPr>
          <w:rFonts w:ascii="Arial" w:hAnsi="Arial" w:cs="Arial"/>
          <w:sz w:val="26"/>
          <w:szCs w:val="26"/>
        </w:rPr>
        <w:t xml:space="preserve">la sentencia de </w:t>
      </w:r>
      <w:r w:rsidR="005C65E6">
        <w:rPr>
          <w:rFonts w:ascii="Arial" w:hAnsi="Arial" w:cs="Arial"/>
          <w:sz w:val="26"/>
          <w:szCs w:val="26"/>
        </w:rPr>
        <w:t>veintiuno de abril de dos mil veintidós</w:t>
      </w:r>
      <w:r w:rsidRPr="00CB6405">
        <w:rPr>
          <w:rFonts w:ascii="Arial" w:hAnsi="Arial" w:cs="Arial"/>
          <w:sz w:val="26"/>
          <w:szCs w:val="26"/>
        </w:rPr>
        <w:t xml:space="preserve"> dictad</w:t>
      </w:r>
      <w:r>
        <w:rPr>
          <w:rFonts w:ascii="Arial" w:hAnsi="Arial" w:cs="Arial"/>
          <w:sz w:val="26"/>
          <w:szCs w:val="26"/>
        </w:rPr>
        <w:t xml:space="preserve">a </w:t>
      </w:r>
      <w:r w:rsidRPr="00CB6405">
        <w:rPr>
          <w:rFonts w:ascii="Arial" w:hAnsi="Arial" w:cs="Arial"/>
          <w:sz w:val="26"/>
          <w:szCs w:val="26"/>
        </w:rPr>
        <w:t xml:space="preserve">por la </w:t>
      </w:r>
      <w:r w:rsidR="005C65E6">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w:t>
      </w:r>
      <w:r w:rsidR="005C65E6">
        <w:rPr>
          <w:rFonts w:ascii="Arial" w:hAnsi="Arial" w:cs="Arial"/>
          <w:sz w:val="26"/>
          <w:szCs w:val="26"/>
        </w:rPr>
        <w:t xml:space="preserve">el </w:t>
      </w:r>
      <w:r w:rsidR="00D5591E" w:rsidRPr="00CD42E2">
        <w:rPr>
          <w:rFonts w:ascii="Arial" w:eastAsia="Calibri" w:hAnsi="Arial" w:cs="Arial"/>
          <w:b/>
          <w:bCs/>
          <w:sz w:val="26"/>
          <w:szCs w:val="26"/>
          <w:lang w:eastAsia="en-US"/>
        </w:rPr>
        <w:t>REPRESENTANTE LEGAL DE LA AUTORIDAD DEMANDADA</w:t>
      </w:r>
      <w:r w:rsidR="005C65E6" w:rsidRPr="00CD42E2">
        <w:rPr>
          <w:rFonts w:ascii="Arial" w:eastAsia="Calibri" w:hAnsi="Arial" w:cs="Arial"/>
          <w:b/>
          <w:bCs/>
          <w:sz w:val="26"/>
          <w:szCs w:val="26"/>
          <w:lang w:eastAsia="en-US"/>
        </w:rPr>
        <w:t xml:space="preserve">, </w:t>
      </w:r>
      <w:r w:rsidR="005C65E6" w:rsidRPr="00CD42E2">
        <w:rPr>
          <w:rFonts w:ascii="Arial" w:eastAsia="Calibri" w:hAnsi="Arial" w:cs="Arial"/>
          <w:sz w:val="26"/>
          <w:szCs w:val="26"/>
          <w:lang w:eastAsia="en-US"/>
        </w:rPr>
        <w:t>y</w:t>
      </w:r>
      <w:r w:rsidR="005C65E6" w:rsidRPr="00CD42E2">
        <w:rPr>
          <w:rFonts w:ascii="Arial" w:eastAsia="Calibri" w:hAnsi="Arial" w:cs="Arial"/>
          <w:b/>
          <w:bCs/>
          <w:sz w:val="26"/>
          <w:szCs w:val="26"/>
          <w:lang w:eastAsia="en-US"/>
        </w:rPr>
        <w:t xml:space="preserve"> </w:t>
      </w:r>
      <w:r w:rsidR="005C65E6" w:rsidRPr="005C65E6">
        <w:rPr>
          <w:rFonts w:ascii="Arial" w:eastAsia="Calibri" w:hAnsi="Arial" w:cs="Arial"/>
          <w:sz w:val="26"/>
          <w:szCs w:val="26"/>
          <w:lang w:eastAsia="en-US"/>
        </w:rPr>
        <w:t>el</w:t>
      </w:r>
      <w:r w:rsidR="005C65E6" w:rsidRPr="00CD42E2">
        <w:rPr>
          <w:rFonts w:ascii="Arial" w:eastAsia="Calibri" w:hAnsi="Arial" w:cs="Arial"/>
          <w:b/>
          <w:bCs/>
          <w:sz w:val="26"/>
          <w:szCs w:val="26"/>
          <w:lang w:eastAsia="en-US"/>
        </w:rPr>
        <w:t xml:space="preserve"> </w:t>
      </w:r>
      <w:r w:rsidR="00D5591E" w:rsidRPr="00CD42E2">
        <w:rPr>
          <w:rFonts w:ascii="Arial" w:eastAsia="Calibri" w:hAnsi="Arial" w:cs="Arial"/>
          <w:b/>
          <w:bCs/>
          <w:sz w:val="26"/>
          <w:szCs w:val="26"/>
          <w:lang w:eastAsia="en-US"/>
        </w:rPr>
        <w:t>TERCERO AFECTADO</w:t>
      </w:r>
      <w:r>
        <w:rPr>
          <w:rFonts w:ascii="Arial" w:hAnsi="Arial" w:cs="Arial"/>
          <w:b/>
          <w:sz w:val="26"/>
          <w:szCs w:val="26"/>
        </w:rPr>
        <w:t xml:space="preserve">, </w:t>
      </w:r>
      <w:r w:rsidRPr="00CB6405">
        <w:rPr>
          <w:rFonts w:ascii="Arial" w:hAnsi="Arial" w:cs="Arial"/>
          <w:sz w:val="26"/>
          <w:szCs w:val="26"/>
        </w:rPr>
        <w:t>interpus</w:t>
      </w:r>
      <w:r w:rsidR="005C65E6">
        <w:rPr>
          <w:rFonts w:ascii="Arial" w:hAnsi="Arial" w:cs="Arial"/>
          <w:sz w:val="26"/>
          <w:szCs w:val="26"/>
        </w:rPr>
        <w:t xml:space="preserve">ieron </w:t>
      </w:r>
      <w:r w:rsidRPr="00CB6405">
        <w:rPr>
          <w:rFonts w:ascii="Arial" w:hAnsi="Arial" w:cs="Arial"/>
          <w:sz w:val="26"/>
          <w:szCs w:val="26"/>
        </w:rPr>
        <w:t>en su contra recurso de revisión.</w:t>
      </w:r>
      <w:r w:rsidR="00D5591E">
        <w:rPr>
          <w:rFonts w:ascii="Arial" w:hAnsi="Arial" w:cs="Arial"/>
          <w:sz w:val="26"/>
          <w:szCs w:val="26"/>
        </w:rPr>
        <w:t xml:space="preserve"> - - - - - - - - - - - - - - - - - - - - - - - - - - - - - - - - - - - - - - </w:t>
      </w:r>
    </w:p>
    <w:p w14:paraId="78DB69F9" w14:textId="77777777" w:rsidR="001E6C62" w:rsidRDefault="001E6C62" w:rsidP="001E6C62">
      <w:pPr>
        <w:spacing w:after="0"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Pr="00C37A09">
        <w:rPr>
          <w:rFonts w:ascii="Arial" w:hAnsi="Arial" w:cs="Arial"/>
          <w:bCs/>
          <w:sz w:val="26"/>
          <w:szCs w:val="26"/>
        </w:rPr>
        <w:t xml:space="preserve">Los puntos </w:t>
      </w:r>
      <w:r>
        <w:rPr>
          <w:rFonts w:ascii="Arial" w:hAnsi="Arial" w:cs="Arial"/>
          <w:bCs/>
          <w:sz w:val="26"/>
          <w:szCs w:val="26"/>
        </w:rPr>
        <w:t>resolutivos de la sentencia recurrida son los siguientes:</w:t>
      </w:r>
    </w:p>
    <w:p w14:paraId="1F2497EB" w14:textId="36846632" w:rsidR="00CE455B" w:rsidRPr="00D5591E" w:rsidRDefault="001E6C62" w:rsidP="00D5591E">
      <w:pPr>
        <w:pStyle w:val="Textoindependiente"/>
        <w:spacing w:line="276" w:lineRule="auto"/>
        <w:ind w:left="567" w:right="616"/>
        <w:jc w:val="both"/>
        <w:rPr>
          <w:rFonts w:ascii="Arial" w:hAnsi="Arial" w:cs="Arial"/>
          <w:i/>
          <w:iCs/>
          <w:sz w:val="22"/>
          <w:szCs w:val="22"/>
        </w:rPr>
      </w:pPr>
      <w:r w:rsidRPr="00D5591E">
        <w:rPr>
          <w:rFonts w:ascii="Arial" w:hAnsi="Arial" w:cs="Arial"/>
          <w:b/>
          <w:i/>
          <w:iCs/>
          <w:sz w:val="22"/>
          <w:szCs w:val="22"/>
        </w:rPr>
        <w:t>“</w:t>
      </w:r>
      <w:r w:rsidR="00CE455B" w:rsidRPr="00D5591E">
        <w:rPr>
          <w:rFonts w:ascii="Arial" w:hAnsi="Arial" w:cs="Arial"/>
          <w:b/>
          <w:i/>
          <w:iCs/>
          <w:sz w:val="22"/>
          <w:szCs w:val="22"/>
        </w:rPr>
        <w:t xml:space="preserve">PRIMERO. </w:t>
      </w:r>
      <w:r w:rsidR="00CE455B" w:rsidRPr="00D5591E">
        <w:rPr>
          <w:rFonts w:ascii="Arial" w:hAnsi="Arial" w:cs="Arial"/>
          <w:i/>
          <w:iCs/>
          <w:sz w:val="22"/>
          <w:szCs w:val="22"/>
        </w:rPr>
        <w:t xml:space="preserve">Esta </w:t>
      </w:r>
      <w:r w:rsidR="00D844F9" w:rsidRPr="00D5591E">
        <w:rPr>
          <w:rFonts w:ascii="Arial" w:hAnsi="Arial" w:cs="Arial"/>
          <w:i/>
          <w:iCs/>
          <w:sz w:val="22"/>
          <w:szCs w:val="22"/>
        </w:rPr>
        <w:t xml:space="preserve">Primera </w:t>
      </w:r>
      <w:r w:rsidR="00CE455B" w:rsidRPr="00D5591E">
        <w:rPr>
          <w:rFonts w:ascii="Arial" w:hAnsi="Arial" w:cs="Arial"/>
          <w:i/>
          <w:iCs/>
          <w:sz w:val="22"/>
          <w:szCs w:val="22"/>
        </w:rPr>
        <w:t xml:space="preserve">Sala </w:t>
      </w:r>
      <w:r w:rsidR="00D844F9" w:rsidRPr="00D5591E">
        <w:rPr>
          <w:rFonts w:ascii="Arial" w:hAnsi="Arial" w:cs="Arial"/>
          <w:i/>
          <w:iCs/>
          <w:sz w:val="22"/>
          <w:szCs w:val="22"/>
        </w:rPr>
        <w:t xml:space="preserve">Unitaria </w:t>
      </w:r>
      <w:r w:rsidR="00CE455B" w:rsidRPr="00D5591E">
        <w:rPr>
          <w:rFonts w:ascii="Arial" w:hAnsi="Arial" w:cs="Arial"/>
          <w:i/>
          <w:iCs/>
          <w:sz w:val="22"/>
          <w:szCs w:val="22"/>
        </w:rPr>
        <w:t xml:space="preserve">de Primera Instancia del Tribunal de </w:t>
      </w:r>
      <w:r w:rsidR="00D844F9" w:rsidRPr="00D5591E">
        <w:rPr>
          <w:rFonts w:ascii="Arial" w:hAnsi="Arial" w:cs="Arial"/>
          <w:i/>
          <w:iCs/>
          <w:sz w:val="22"/>
          <w:szCs w:val="22"/>
        </w:rPr>
        <w:t>Justicia Administrativa del Estado de Oaxaca</w:t>
      </w:r>
      <w:r w:rsidR="00CE455B" w:rsidRPr="00D5591E">
        <w:rPr>
          <w:rFonts w:ascii="Arial" w:hAnsi="Arial" w:cs="Arial"/>
          <w:i/>
          <w:iCs/>
          <w:sz w:val="22"/>
          <w:szCs w:val="22"/>
        </w:rPr>
        <w:t xml:space="preserve">, </w:t>
      </w:r>
      <w:r w:rsidR="00D844F9" w:rsidRPr="00D5591E">
        <w:rPr>
          <w:rFonts w:ascii="Arial" w:hAnsi="Arial" w:cs="Arial"/>
          <w:i/>
          <w:iCs/>
          <w:sz w:val="22"/>
          <w:szCs w:val="22"/>
        </w:rPr>
        <w:t xml:space="preserve">fue </w:t>
      </w:r>
      <w:r w:rsidR="00CE455B" w:rsidRPr="00D5591E">
        <w:rPr>
          <w:rFonts w:ascii="Arial" w:hAnsi="Arial" w:cs="Arial"/>
          <w:i/>
          <w:iCs/>
          <w:sz w:val="22"/>
          <w:szCs w:val="22"/>
        </w:rPr>
        <w:t xml:space="preserve">competente para conocer y resolver el presente </w:t>
      </w:r>
      <w:r w:rsidR="00D844F9" w:rsidRPr="00D5591E">
        <w:rPr>
          <w:rFonts w:ascii="Arial" w:hAnsi="Arial" w:cs="Arial"/>
          <w:i/>
          <w:iCs/>
          <w:sz w:val="22"/>
          <w:szCs w:val="22"/>
        </w:rPr>
        <w:t>asunto</w:t>
      </w:r>
      <w:r w:rsidR="00CE455B" w:rsidRPr="00D5591E">
        <w:rPr>
          <w:rFonts w:ascii="Arial" w:hAnsi="Arial" w:cs="Arial"/>
          <w:i/>
          <w:iCs/>
          <w:sz w:val="22"/>
          <w:szCs w:val="22"/>
        </w:rPr>
        <w:t xml:space="preserve">. </w:t>
      </w:r>
    </w:p>
    <w:p w14:paraId="59E4CCAA" w14:textId="1210E15D" w:rsidR="00CE455B" w:rsidRPr="00D5591E" w:rsidRDefault="00CE455B" w:rsidP="00D5591E">
      <w:pPr>
        <w:pStyle w:val="Textoindependiente"/>
        <w:spacing w:line="276" w:lineRule="auto"/>
        <w:ind w:left="567" w:right="616"/>
        <w:jc w:val="both"/>
        <w:rPr>
          <w:rFonts w:ascii="Arial" w:hAnsi="Arial" w:cs="Arial"/>
          <w:i/>
          <w:iCs/>
          <w:sz w:val="22"/>
          <w:szCs w:val="22"/>
        </w:rPr>
      </w:pPr>
      <w:r w:rsidRPr="00D5591E">
        <w:rPr>
          <w:rFonts w:ascii="Arial" w:hAnsi="Arial" w:cs="Arial"/>
          <w:b/>
          <w:i/>
          <w:iCs/>
          <w:sz w:val="22"/>
          <w:szCs w:val="22"/>
        </w:rPr>
        <w:t>SEGUNDO.</w:t>
      </w:r>
      <w:r w:rsidRPr="00D5591E">
        <w:rPr>
          <w:rFonts w:ascii="Arial" w:hAnsi="Arial" w:cs="Arial"/>
          <w:i/>
          <w:iCs/>
          <w:sz w:val="22"/>
          <w:szCs w:val="22"/>
        </w:rPr>
        <w:t xml:space="preserve"> </w:t>
      </w:r>
      <w:r w:rsidR="00D844F9" w:rsidRPr="00D5591E">
        <w:rPr>
          <w:rFonts w:ascii="Arial" w:hAnsi="Arial" w:cs="Arial"/>
          <w:i/>
          <w:iCs/>
          <w:sz w:val="22"/>
          <w:szCs w:val="22"/>
        </w:rPr>
        <w:t xml:space="preserve">Por lo expuesto en el Considerando séptimo de la presente sentencia, se declara la nulidad lisa y llana del citado procedimiento administrativo al carecer de valor jurídico alguno y, por lo tanto, todos los actos que de él derivaron, como es la resolución de cuatro de noviembre de dos mil veinte; es decir, que las cosas vuelvan al estado en que se encontraban antes del inicio del procedimiento administrativo de revocación </w:t>
      </w:r>
      <w:r w:rsidR="000D3B6B">
        <w:rPr>
          <w:rFonts w:ascii="Arial" w:hAnsi="Arial" w:cs="Arial"/>
          <w:i/>
          <w:iCs/>
          <w:sz w:val="22"/>
          <w:szCs w:val="22"/>
        </w:rPr>
        <w:t>*******</w:t>
      </w:r>
      <w:r w:rsidR="00D844F9" w:rsidRPr="00D5591E">
        <w:rPr>
          <w:rFonts w:ascii="Arial" w:hAnsi="Arial" w:cs="Arial"/>
          <w:i/>
          <w:iCs/>
          <w:sz w:val="22"/>
          <w:szCs w:val="22"/>
        </w:rPr>
        <w:t>.</w:t>
      </w:r>
    </w:p>
    <w:p w14:paraId="3C32234A" w14:textId="58A1D9D4" w:rsidR="00CE455B" w:rsidRPr="00D5591E" w:rsidRDefault="00CE455B" w:rsidP="00D5591E">
      <w:pPr>
        <w:pStyle w:val="Textoindependiente"/>
        <w:spacing w:before="240" w:after="0" w:line="276" w:lineRule="auto"/>
        <w:ind w:left="567" w:right="616"/>
        <w:jc w:val="both"/>
        <w:rPr>
          <w:rFonts w:ascii="Arial" w:hAnsi="Arial" w:cs="Arial"/>
          <w:b/>
          <w:i/>
          <w:iCs/>
          <w:sz w:val="22"/>
          <w:szCs w:val="22"/>
        </w:rPr>
      </w:pPr>
      <w:r w:rsidRPr="00D5591E">
        <w:rPr>
          <w:rFonts w:ascii="Arial" w:hAnsi="Arial" w:cs="Arial"/>
          <w:b/>
          <w:i/>
          <w:iCs/>
          <w:sz w:val="22"/>
          <w:szCs w:val="22"/>
        </w:rPr>
        <w:t>TERCERO.</w:t>
      </w:r>
      <w:r w:rsidR="00D844F9" w:rsidRPr="00D5591E">
        <w:rPr>
          <w:rFonts w:ascii="Arial" w:hAnsi="Arial" w:cs="Arial"/>
          <w:b/>
          <w:i/>
          <w:iCs/>
          <w:sz w:val="22"/>
          <w:szCs w:val="22"/>
        </w:rPr>
        <w:t xml:space="preserve"> </w:t>
      </w:r>
      <w:r w:rsidRPr="00D5591E">
        <w:rPr>
          <w:rFonts w:ascii="Arial" w:hAnsi="Arial" w:cs="Arial"/>
          <w:b/>
          <w:i/>
          <w:iCs/>
          <w:sz w:val="22"/>
          <w:szCs w:val="22"/>
        </w:rPr>
        <w:t xml:space="preserve"> </w:t>
      </w:r>
      <w:r w:rsidRPr="00D5591E">
        <w:rPr>
          <w:rFonts w:ascii="Arial" w:hAnsi="Arial" w:cs="Arial"/>
          <w:i/>
          <w:iCs/>
          <w:sz w:val="22"/>
          <w:szCs w:val="22"/>
        </w:rPr>
        <w:t>Conforme a lo dispuesto en el artículo 1</w:t>
      </w:r>
      <w:r w:rsidR="00D844F9" w:rsidRPr="00D5591E">
        <w:rPr>
          <w:rFonts w:ascii="Arial" w:hAnsi="Arial" w:cs="Arial"/>
          <w:i/>
          <w:iCs/>
          <w:sz w:val="22"/>
          <w:szCs w:val="22"/>
        </w:rPr>
        <w:t>7</w:t>
      </w:r>
      <w:r w:rsidRPr="00D5591E">
        <w:rPr>
          <w:rFonts w:ascii="Arial" w:hAnsi="Arial" w:cs="Arial"/>
          <w:i/>
          <w:iCs/>
          <w:sz w:val="22"/>
          <w:szCs w:val="22"/>
        </w:rPr>
        <w:t>2 fracción I y 1</w:t>
      </w:r>
      <w:r w:rsidR="00D844F9" w:rsidRPr="00D5591E">
        <w:rPr>
          <w:rFonts w:ascii="Arial" w:hAnsi="Arial" w:cs="Arial"/>
          <w:i/>
          <w:iCs/>
          <w:sz w:val="22"/>
          <w:szCs w:val="22"/>
        </w:rPr>
        <w:t>7</w:t>
      </w:r>
      <w:r w:rsidRPr="00D5591E">
        <w:rPr>
          <w:rFonts w:ascii="Arial" w:hAnsi="Arial" w:cs="Arial"/>
          <w:i/>
          <w:iCs/>
          <w:sz w:val="22"/>
          <w:szCs w:val="22"/>
        </w:rPr>
        <w:t>3 fracciones I y II, de la Ley de</w:t>
      </w:r>
      <w:r w:rsidR="00D844F9" w:rsidRPr="00D5591E">
        <w:rPr>
          <w:rFonts w:ascii="Arial" w:hAnsi="Arial" w:cs="Arial"/>
          <w:i/>
          <w:iCs/>
          <w:sz w:val="22"/>
          <w:szCs w:val="22"/>
        </w:rPr>
        <w:t xml:space="preserve"> Procedimiento y </w:t>
      </w:r>
      <w:r w:rsidRPr="00D5591E">
        <w:rPr>
          <w:rFonts w:ascii="Arial" w:hAnsi="Arial" w:cs="Arial"/>
          <w:i/>
          <w:iCs/>
          <w:sz w:val="22"/>
          <w:szCs w:val="22"/>
        </w:rPr>
        <w:t>Justicia Administrativa para el Estado</w:t>
      </w:r>
      <w:r w:rsidR="00D844F9" w:rsidRPr="00D5591E">
        <w:rPr>
          <w:rFonts w:ascii="Arial" w:hAnsi="Arial" w:cs="Arial"/>
          <w:i/>
          <w:iCs/>
          <w:sz w:val="22"/>
          <w:szCs w:val="22"/>
        </w:rPr>
        <w:t xml:space="preserve"> de Oaxaca</w:t>
      </w:r>
      <w:r w:rsidRPr="00D5591E">
        <w:rPr>
          <w:rFonts w:ascii="Arial" w:hAnsi="Arial" w:cs="Arial"/>
          <w:i/>
          <w:iCs/>
          <w:sz w:val="22"/>
          <w:szCs w:val="22"/>
        </w:rPr>
        <w:t xml:space="preserve">, </w:t>
      </w:r>
      <w:r w:rsidRPr="00D5591E">
        <w:rPr>
          <w:rFonts w:ascii="Arial" w:hAnsi="Arial" w:cs="Arial"/>
          <w:b/>
          <w:i/>
          <w:iCs/>
          <w:sz w:val="22"/>
          <w:szCs w:val="22"/>
        </w:rPr>
        <w:t>NOTIFÍQUESE PERSONALMENTE AL</w:t>
      </w:r>
      <w:r w:rsidR="00D844F9" w:rsidRPr="00D5591E">
        <w:rPr>
          <w:rFonts w:ascii="Arial" w:hAnsi="Arial" w:cs="Arial"/>
          <w:b/>
          <w:i/>
          <w:iCs/>
          <w:sz w:val="22"/>
          <w:szCs w:val="22"/>
        </w:rPr>
        <w:t xml:space="preserve"> </w:t>
      </w:r>
      <w:r w:rsidRPr="00D5591E">
        <w:rPr>
          <w:rFonts w:ascii="Arial" w:hAnsi="Arial" w:cs="Arial"/>
          <w:b/>
          <w:i/>
          <w:iCs/>
          <w:sz w:val="22"/>
          <w:szCs w:val="22"/>
        </w:rPr>
        <w:t>ACTOR</w:t>
      </w:r>
      <w:r w:rsidR="00D844F9" w:rsidRPr="00D5591E">
        <w:rPr>
          <w:rFonts w:ascii="Arial" w:hAnsi="Arial" w:cs="Arial"/>
          <w:b/>
          <w:i/>
          <w:iCs/>
          <w:sz w:val="22"/>
          <w:szCs w:val="22"/>
        </w:rPr>
        <w:t xml:space="preserve"> </w:t>
      </w:r>
      <w:r w:rsidR="00D844F9" w:rsidRPr="00D5591E">
        <w:rPr>
          <w:rFonts w:ascii="Arial" w:hAnsi="Arial" w:cs="Arial"/>
          <w:bCs/>
          <w:i/>
          <w:iCs/>
          <w:sz w:val="22"/>
          <w:szCs w:val="22"/>
        </w:rPr>
        <w:t>(sic)</w:t>
      </w:r>
      <w:r w:rsidRPr="00D5591E">
        <w:rPr>
          <w:rFonts w:ascii="Arial" w:hAnsi="Arial" w:cs="Arial"/>
          <w:b/>
          <w:i/>
          <w:iCs/>
          <w:sz w:val="22"/>
          <w:szCs w:val="22"/>
        </w:rPr>
        <w:t xml:space="preserve"> Y POR OFICIO A LAS AUTORIDADES DEMANDADAS. CÚMPLA</w:t>
      </w:r>
      <w:r w:rsidR="002D1056" w:rsidRPr="00D5591E">
        <w:rPr>
          <w:rFonts w:ascii="Arial" w:hAnsi="Arial" w:cs="Arial"/>
          <w:b/>
          <w:i/>
          <w:iCs/>
          <w:sz w:val="22"/>
          <w:szCs w:val="22"/>
        </w:rPr>
        <w:t>S</w:t>
      </w:r>
      <w:r w:rsidRPr="00D5591E">
        <w:rPr>
          <w:rFonts w:ascii="Arial" w:hAnsi="Arial" w:cs="Arial"/>
          <w:b/>
          <w:i/>
          <w:iCs/>
          <w:sz w:val="22"/>
          <w:szCs w:val="22"/>
        </w:rPr>
        <w:t>E.</w:t>
      </w:r>
      <w:r w:rsidR="002D1056" w:rsidRPr="00D5591E">
        <w:rPr>
          <w:rFonts w:ascii="Arial" w:hAnsi="Arial" w:cs="Arial"/>
          <w:b/>
          <w:i/>
          <w:iCs/>
          <w:sz w:val="22"/>
          <w:szCs w:val="22"/>
        </w:rPr>
        <w:t>”</w:t>
      </w:r>
    </w:p>
    <w:p w14:paraId="26EE4CC3" w14:textId="5617A506" w:rsidR="001E6C62" w:rsidRDefault="001E6C62" w:rsidP="005C61DE">
      <w:pPr>
        <w:spacing w:before="240" w:after="0"/>
        <w:ind w:left="851" w:right="758"/>
        <w:jc w:val="center"/>
        <w:rPr>
          <w:rFonts w:ascii="Arial" w:hAnsi="Arial" w:cs="Arial"/>
          <w:b/>
          <w:bCs/>
          <w:sz w:val="26"/>
          <w:szCs w:val="26"/>
        </w:rPr>
      </w:pPr>
      <w:r w:rsidRPr="00CB6405">
        <w:rPr>
          <w:rFonts w:ascii="Arial" w:hAnsi="Arial" w:cs="Arial"/>
          <w:b/>
          <w:bCs/>
          <w:sz w:val="26"/>
          <w:szCs w:val="26"/>
        </w:rPr>
        <w:t>C O N S I D E R A N D O</w:t>
      </w:r>
    </w:p>
    <w:p w14:paraId="6422C4CC" w14:textId="77777777" w:rsidR="002F1D64" w:rsidRPr="00CB6405" w:rsidRDefault="002F1D64" w:rsidP="005C61DE">
      <w:pPr>
        <w:spacing w:before="240" w:after="0"/>
        <w:ind w:left="851" w:right="758"/>
        <w:jc w:val="center"/>
        <w:rPr>
          <w:rFonts w:ascii="Arial" w:hAnsi="Arial" w:cs="Arial"/>
          <w:b/>
          <w:bCs/>
          <w:sz w:val="26"/>
          <w:szCs w:val="26"/>
        </w:rPr>
      </w:pPr>
    </w:p>
    <w:p w14:paraId="604128C3" w14:textId="622F1DEA" w:rsidR="004A280F" w:rsidRPr="004B0F9D" w:rsidRDefault="001E6C62" w:rsidP="004A280F">
      <w:pPr>
        <w:spacing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sidR="004A280F" w:rsidRPr="004B0F9D">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4A280F">
        <w:rPr>
          <w:rFonts w:ascii="Arial" w:hAnsi="Arial" w:cs="Arial"/>
          <w:bCs/>
          <w:iCs/>
          <w:sz w:val="26"/>
          <w:szCs w:val="26"/>
        </w:rPr>
        <w:t>,</w:t>
      </w:r>
      <w:r w:rsidR="004A280F" w:rsidRPr="004B0F9D">
        <w:rPr>
          <w:rFonts w:ascii="Arial" w:hAnsi="Arial" w:cs="Arial"/>
          <w:bCs/>
          <w:iCs/>
          <w:sz w:val="26"/>
          <w:szCs w:val="26"/>
        </w:rPr>
        <w:t xml:space="preserve"> párrafo segundo, 2</w:t>
      </w:r>
      <w:r w:rsidR="004A280F">
        <w:rPr>
          <w:rFonts w:ascii="Arial" w:hAnsi="Arial" w:cs="Arial"/>
          <w:bCs/>
          <w:iCs/>
          <w:sz w:val="26"/>
          <w:szCs w:val="26"/>
        </w:rPr>
        <w:t>,</w:t>
      </w:r>
      <w:r w:rsidR="004A280F" w:rsidRPr="004B0F9D">
        <w:rPr>
          <w:rFonts w:ascii="Arial" w:hAnsi="Arial" w:cs="Arial"/>
          <w:bCs/>
          <w:iCs/>
          <w:sz w:val="26"/>
          <w:szCs w:val="26"/>
        </w:rPr>
        <w:t xml:space="preserve"> párrafos primero y cuarto, 4</w:t>
      </w:r>
      <w:r w:rsidR="004A280F">
        <w:rPr>
          <w:rFonts w:ascii="Arial" w:hAnsi="Arial" w:cs="Arial"/>
          <w:bCs/>
          <w:iCs/>
          <w:sz w:val="26"/>
          <w:szCs w:val="26"/>
        </w:rPr>
        <w:t>,</w:t>
      </w:r>
      <w:r w:rsidR="004A280F" w:rsidRPr="004B0F9D">
        <w:rPr>
          <w:rFonts w:ascii="Arial" w:hAnsi="Arial" w:cs="Arial"/>
          <w:bCs/>
          <w:iCs/>
          <w:sz w:val="26"/>
          <w:szCs w:val="26"/>
        </w:rPr>
        <w:t xml:space="preserve"> fracción VIII, 23, 24</w:t>
      </w:r>
      <w:r w:rsidR="004A280F">
        <w:rPr>
          <w:rFonts w:ascii="Arial" w:hAnsi="Arial" w:cs="Arial"/>
          <w:bCs/>
          <w:iCs/>
          <w:sz w:val="26"/>
          <w:szCs w:val="26"/>
        </w:rPr>
        <w:t>,</w:t>
      </w:r>
      <w:r w:rsidR="004A280F" w:rsidRPr="004B0F9D">
        <w:rPr>
          <w:rFonts w:ascii="Arial" w:hAnsi="Arial" w:cs="Arial"/>
          <w:bCs/>
          <w:iCs/>
          <w:sz w:val="26"/>
          <w:szCs w:val="26"/>
        </w:rPr>
        <w:t xml:space="preserve"> fracci</w:t>
      </w:r>
      <w:r w:rsidR="004A280F">
        <w:rPr>
          <w:rFonts w:ascii="Arial" w:hAnsi="Arial" w:cs="Arial"/>
          <w:bCs/>
          <w:iCs/>
          <w:sz w:val="26"/>
          <w:szCs w:val="26"/>
        </w:rPr>
        <w:t>ones I y III</w:t>
      </w:r>
      <w:r w:rsidR="004A280F" w:rsidRPr="004B0F9D">
        <w:rPr>
          <w:rFonts w:ascii="Arial" w:hAnsi="Arial" w:cs="Arial"/>
          <w:bCs/>
          <w:iCs/>
          <w:sz w:val="26"/>
          <w:szCs w:val="26"/>
        </w:rPr>
        <w:t>, 25</w:t>
      </w:r>
      <w:r w:rsidR="004A280F">
        <w:rPr>
          <w:rFonts w:ascii="Arial" w:hAnsi="Arial" w:cs="Arial"/>
          <w:bCs/>
          <w:iCs/>
          <w:sz w:val="26"/>
          <w:szCs w:val="26"/>
        </w:rPr>
        <w:t>,</w:t>
      </w:r>
      <w:r w:rsidR="004A280F" w:rsidRPr="004B0F9D">
        <w:rPr>
          <w:rFonts w:ascii="Arial" w:hAnsi="Arial" w:cs="Arial"/>
          <w:bCs/>
          <w:iCs/>
          <w:sz w:val="26"/>
          <w:szCs w:val="26"/>
        </w:rPr>
        <w:t xml:space="preserve"> fracción I y 27 de la Ley Orgánica del Tribunal de Justicia Administrativa del Estado de Oaxaca; así como los diversos 125, 127, 129, 130</w:t>
      </w:r>
      <w:r w:rsidR="004A280F">
        <w:rPr>
          <w:rFonts w:ascii="Arial" w:hAnsi="Arial" w:cs="Arial"/>
          <w:bCs/>
          <w:iCs/>
          <w:sz w:val="26"/>
          <w:szCs w:val="26"/>
        </w:rPr>
        <w:t>,</w:t>
      </w:r>
      <w:r w:rsidR="004A280F" w:rsidRPr="004B0F9D">
        <w:rPr>
          <w:rFonts w:ascii="Arial" w:hAnsi="Arial" w:cs="Arial"/>
          <w:bCs/>
          <w:iCs/>
          <w:sz w:val="26"/>
          <w:szCs w:val="26"/>
        </w:rPr>
        <w:t xml:space="preserve"> fracción I, 131, 231, 236 y 238 de la Ley de Procedimiento y Justicia Administrativa para el Estado de Oaxaca, dado que se trata de un recurso de revisión interpuesto en contra </w:t>
      </w:r>
      <w:r w:rsidR="004A280F">
        <w:rPr>
          <w:rFonts w:ascii="Arial" w:hAnsi="Arial" w:cs="Arial"/>
          <w:bCs/>
          <w:iCs/>
          <w:sz w:val="26"/>
          <w:szCs w:val="26"/>
        </w:rPr>
        <w:t>de la sentencia de</w:t>
      </w:r>
      <w:r w:rsidR="004A280F">
        <w:rPr>
          <w:rFonts w:ascii="Arial" w:hAnsi="Arial" w:cs="Arial"/>
          <w:sz w:val="26"/>
          <w:szCs w:val="26"/>
        </w:rPr>
        <w:t xml:space="preserve"> veintiuno de abril de dos mil veintidós </w:t>
      </w:r>
      <w:r w:rsidR="004A280F" w:rsidRPr="004B0F9D">
        <w:rPr>
          <w:rFonts w:ascii="Arial" w:hAnsi="Arial" w:cs="Arial"/>
          <w:sz w:val="26"/>
          <w:szCs w:val="26"/>
        </w:rPr>
        <w:t xml:space="preserve">dictado por la </w:t>
      </w:r>
      <w:r w:rsidR="004A280F">
        <w:rPr>
          <w:rFonts w:ascii="Arial" w:hAnsi="Arial" w:cs="Arial"/>
          <w:sz w:val="26"/>
          <w:szCs w:val="26"/>
        </w:rPr>
        <w:t xml:space="preserve">Primera </w:t>
      </w:r>
      <w:r w:rsidR="004A280F" w:rsidRPr="004B0F9D">
        <w:rPr>
          <w:rFonts w:ascii="Arial" w:hAnsi="Arial" w:cs="Arial"/>
          <w:sz w:val="26"/>
          <w:szCs w:val="26"/>
        </w:rPr>
        <w:t>Sala Unitaria de Primera Instancia del Tribunal de Justicia Administrativa del Estado de Oaxaca,</w:t>
      </w:r>
      <w:r w:rsidR="004A280F" w:rsidRPr="004B0F9D">
        <w:rPr>
          <w:rFonts w:ascii="Arial" w:hAnsi="Arial" w:cs="Arial"/>
          <w:bCs/>
          <w:iCs/>
          <w:sz w:val="26"/>
          <w:szCs w:val="26"/>
        </w:rPr>
        <w:t xml:space="preserve"> en el expediente relativo al </w:t>
      </w:r>
      <w:r w:rsidR="004A280F">
        <w:rPr>
          <w:rFonts w:ascii="Arial" w:hAnsi="Arial" w:cs="Arial"/>
          <w:bCs/>
          <w:iCs/>
          <w:sz w:val="26"/>
          <w:szCs w:val="26"/>
        </w:rPr>
        <w:t>j</w:t>
      </w:r>
      <w:r w:rsidR="004A280F" w:rsidRPr="004B0F9D">
        <w:rPr>
          <w:rFonts w:ascii="Arial" w:hAnsi="Arial" w:cs="Arial"/>
          <w:bCs/>
          <w:iCs/>
          <w:sz w:val="26"/>
          <w:szCs w:val="26"/>
        </w:rPr>
        <w:t xml:space="preserve">uicio de nulidad </w:t>
      </w:r>
      <w:r w:rsidR="004A280F" w:rsidRPr="004B0F9D">
        <w:rPr>
          <w:rFonts w:ascii="Arial" w:hAnsi="Arial" w:cs="Arial"/>
          <w:b/>
          <w:bCs/>
          <w:iCs/>
          <w:sz w:val="26"/>
          <w:szCs w:val="26"/>
        </w:rPr>
        <w:t>0</w:t>
      </w:r>
      <w:r w:rsidR="004A280F">
        <w:rPr>
          <w:rFonts w:ascii="Arial" w:hAnsi="Arial" w:cs="Arial"/>
          <w:b/>
          <w:bCs/>
          <w:iCs/>
          <w:sz w:val="26"/>
          <w:szCs w:val="26"/>
        </w:rPr>
        <w:t>176</w:t>
      </w:r>
      <w:r w:rsidR="004A280F" w:rsidRPr="004B0F9D">
        <w:rPr>
          <w:rFonts w:ascii="Arial" w:hAnsi="Arial" w:cs="Arial"/>
          <w:b/>
          <w:bCs/>
          <w:iCs/>
          <w:sz w:val="26"/>
          <w:szCs w:val="26"/>
        </w:rPr>
        <w:t>/20</w:t>
      </w:r>
      <w:r w:rsidR="004A280F">
        <w:rPr>
          <w:rFonts w:ascii="Arial" w:hAnsi="Arial" w:cs="Arial"/>
          <w:b/>
          <w:bCs/>
          <w:iCs/>
          <w:sz w:val="26"/>
          <w:szCs w:val="26"/>
        </w:rPr>
        <w:t>20</w:t>
      </w:r>
      <w:r w:rsidR="004A280F" w:rsidRPr="004B0F9D">
        <w:rPr>
          <w:rFonts w:ascii="Arial" w:hAnsi="Arial" w:cs="Arial"/>
          <w:b/>
          <w:bCs/>
          <w:iCs/>
          <w:sz w:val="26"/>
          <w:szCs w:val="26"/>
        </w:rPr>
        <w:t xml:space="preserve">. </w:t>
      </w:r>
      <w:r w:rsidR="00D5591E" w:rsidRPr="00D5591E">
        <w:rPr>
          <w:rFonts w:ascii="Arial" w:hAnsi="Arial" w:cs="Arial"/>
          <w:iCs/>
          <w:sz w:val="26"/>
          <w:szCs w:val="26"/>
        </w:rPr>
        <w:t>- - - - - - - - - - - - - - - - - - - - - - - - - - - - - - - - - - - - - - - - - - - -</w:t>
      </w:r>
    </w:p>
    <w:p w14:paraId="69BBCD1E" w14:textId="6AF27662" w:rsidR="001E6C62" w:rsidRDefault="001E6C62" w:rsidP="004A280F">
      <w:pPr>
        <w:pStyle w:val="Textoindependiente21"/>
        <w:spacing w:before="240" w:line="360" w:lineRule="auto"/>
        <w:ind w:right="18" w:firstLine="708"/>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00D5591E" w:rsidRPr="00D5591E">
        <w:rPr>
          <w:rFonts w:ascii="Arial" w:hAnsi="Arial" w:cs="Arial"/>
          <w:iCs/>
          <w:sz w:val="26"/>
          <w:szCs w:val="26"/>
        </w:rPr>
        <w:t>- - - - - - - - - - - - - - - - - - - - - - - - - - - - -</w:t>
      </w:r>
      <w:r w:rsidR="00D5591E">
        <w:rPr>
          <w:rFonts w:ascii="Arial" w:hAnsi="Arial" w:cs="Arial"/>
          <w:iCs/>
          <w:sz w:val="26"/>
          <w:szCs w:val="26"/>
        </w:rPr>
        <w:t xml:space="preserve"> - - - - - -</w:t>
      </w:r>
    </w:p>
    <w:p w14:paraId="64B8D6E8" w14:textId="77777777" w:rsidR="001E6C62" w:rsidRDefault="001E6C62" w:rsidP="001E6C62">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lastRenderedPageBreak/>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2196869" w14:textId="77777777" w:rsidR="001E6C62" w:rsidRPr="00F33C11" w:rsidRDefault="001E6C62" w:rsidP="009579DE">
      <w:pPr>
        <w:spacing w:before="240"/>
        <w:ind w:left="709" w:right="616"/>
        <w:jc w:val="both"/>
        <w:rPr>
          <w:rFonts w:ascii="Arial" w:eastAsia="Times New Roman" w:hAnsi="Arial" w:cs="Arial"/>
          <w:i/>
          <w:iCs/>
        </w:rPr>
      </w:pPr>
      <w:r w:rsidRPr="00F33C11">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F33C11">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E553FDD" w14:textId="0C5DFE45" w:rsidR="00BB7E47" w:rsidRPr="005D6A31" w:rsidRDefault="00BB7E47" w:rsidP="009579DE">
      <w:pPr>
        <w:spacing w:before="240" w:line="360" w:lineRule="auto"/>
        <w:ind w:firstLine="708"/>
        <w:jc w:val="both"/>
        <w:rPr>
          <w:rFonts w:ascii="Arial" w:hAnsi="Arial" w:cs="Arial"/>
          <w:bCs/>
          <w:sz w:val="26"/>
          <w:szCs w:val="26"/>
        </w:rPr>
      </w:pPr>
      <w:r w:rsidRPr="00817600">
        <w:rPr>
          <w:rFonts w:ascii="Arial" w:hAnsi="Arial" w:cs="Arial"/>
          <w:b/>
          <w:bCs/>
          <w:sz w:val="26"/>
          <w:szCs w:val="26"/>
        </w:rPr>
        <w:t xml:space="preserve">TERCERO. </w:t>
      </w:r>
      <w:r>
        <w:rPr>
          <w:rFonts w:ascii="Arial" w:hAnsi="Arial" w:cs="Arial"/>
          <w:bCs/>
          <w:sz w:val="26"/>
          <w:szCs w:val="26"/>
        </w:rPr>
        <w:t xml:space="preserve">Previa lectura de los agravios de los recurrentes, se aprecia la estrecha vinculación existente entre el recurso de revisión 0123/2022 con el diverso 0124/2022; por lo que a fin de armonizar la resolución correspondiente, conviene emitir una común a los dos medios de impugnación a efecto de contribuir a una mayor certeza y seguridad jurídica en favor de los recurrentes; consecuentemente, por razón de método, se inicia con el estudio de los agravios en el recurso hecho valer por </w:t>
      </w:r>
      <w:bookmarkStart w:id="0" w:name="_Hlk65679528"/>
      <w:r w:rsidR="00617A8E" w:rsidRPr="005C65E6">
        <w:rPr>
          <w:rFonts w:ascii="Arial" w:eastAsia="Calibri" w:hAnsi="Arial" w:cs="Arial"/>
          <w:sz w:val="26"/>
          <w:szCs w:val="26"/>
          <w:lang w:eastAsia="en-US"/>
        </w:rPr>
        <w:t>el</w:t>
      </w:r>
      <w:r w:rsidR="00617A8E" w:rsidRPr="00CD42E2">
        <w:rPr>
          <w:rFonts w:ascii="Arial" w:eastAsia="Calibri" w:hAnsi="Arial" w:cs="Arial"/>
          <w:b/>
          <w:bCs/>
          <w:sz w:val="26"/>
          <w:szCs w:val="26"/>
          <w:lang w:eastAsia="en-US"/>
        </w:rPr>
        <w:t xml:space="preserve"> tercero afectado</w:t>
      </w:r>
      <w:r w:rsidR="00617A8E">
        <w:rPr>
          <w:rFonts w:ascii="Arial" w:hAnsi="Arial" w:cs="Arial"/>
          <w:sz w:val="26"/>
          <w:szCs w:val="26"/>
        </w:rPr>
        <w:t xml:space="preserve">, </w:t>
      </w:r>
      <w:r>
        <w:rPr>
          <w:rFonts w:ascii="Arial" w:eastAsia="Calibri" w:hAnsi="Arial" w:cs="Arial"/>
          <w:sz w:val="26"/>
          <w:szCs w:val="26"/>
          <w:lang w:eastAsia="en-US"/>
        </w:rPr>
        <w:t xml:space="preserve">para después </w:t>
      </w:r>
      <w:r w:rsidR="00320489">
        <w:rPr>
          <w:rFonts w:ascii="Arial" w:eastAsia="Calibri" w:hAnsi="Arial" w:cs="Arial"/>
          <w:sz w:val="26"/>
          <w:szCs w:val="26"/>
          <w:lang w:eastAsia="en-US"/>
        </w:rPr>
        <w:t>analizar los agravios expuestos por</w:t>
      </w:r>
      <w:r w:rsidR="00617A8E" w:rsidRPr="00617A8E">
        <w:rPr>
          <w:rFonts w:ascii="Arial" w:hAnsi="Arial" w:cs="Arial"/>
          <w:sz w:val="26"/>
          <w:szCs w:val="26"/>
        </w:rPr>
        <w:t xml:space="preserve"> </w:t>
      </w:r>
      <w:r w:rsidR="00617A8E">
        <w:rPr>
          <w:rFonts w:ascii="Arial" w:hAnsi="Arial" w:cs="Arial"/>
          <w:sz w:val="26"/>
          <w:szCs w:val="26"/>
        </w:rPr>
        <w:t xml:space="preserve">el </w:t>
      </w:r>
      <w:r w:rsidR="00617A8E" w:rsidRPr="00CD42E2">
        <w:rPr>
          <w:rFonts w:ascii="Arial" w:eastAsia="Calibri" w:hAnsi="Arial" w:cs="Arial"/>
          <w:b/>
          <w:bCs/>
          <w:sz w:val="26"/>
          <w:szCs w:val="26"/>
          <w:lang w:eastAsia="en-US"/>
        </w:rPr>
        <w:t>representante legal de la autoridad demandada</w:t>
      </w:r>
      <w:r>
        <w:rPr>
          <w:rFonts w:ascii="Arial" w:hAnsi="Arial" w:cs="Arial"/>
          <w:b/>
          <w:sz w:val="26"/>
          <w:szCs w:val="26"/>
        </w:rPr>
        <w:t xml:space="preserve">. </w:t>
      </w:r>
      <w:bookmarkEnd w:id="0"/>
      <w:r w:rsidR="009579DE" w:rsidRPr="00D5591E">
        <w:rPr>
          <w:rFonts w:ascii="Arial" w:hAnsi="Arial" w:cs="Arial"/>
          <w:iCs/>
          <w:sz w:val="26"/>
          <w:szCs w:val="26"/>
        </w:rPr>
        <w:t xml:space="preserve">- - - - - - - - - - </w:t>
      </w:r>
    </w:p>
    <w:p w14:paraId="44ACB166" w14:textId="46358F92" w:rsidR="00137EFF" w:rsidRDefault="00BB7E47" w:rsidP="00137EFF">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
          <w:bCs/>
          <w:sz w:val="26"/>
          <w:szCs w:val="26"/>
        </w:rPr>
        <w:t>CUART</w:t>
      </w:r>
      <w:r w:rsidRPr="00817600">
        <w:rPr>
          <w:rFonts w:ascii="Arial" w:hAnsi="Arial" w:cs="Arial"/>
          <w:b/>
          <w:bCs/>
          <w:sz w:val="26"/>
          <w:szCs w:val="26"/>
        </w:rPr>
        <w:t xml:space="preserve">O. </w:t>
      </w:r>
      <w:r w:rsidR="00137EFF">
        <w:rPr>
          <w:rFonts w:ascii="Arial" w:hAnsi="Arial" w:cs="Arial"/>
          <w:bCs/>
          <w:color w:val="000000"/>
          <w:sz w:val="26"/>
          <w:szCs w:val="26"/>
        </w:rPr>
        <w:t xml:space="preserve">El tercero interesado ahora recurrente, en su primer agravio arguye que en la resolución no se tomó en cuenta lo que alegó en su escrito de veintidós de febrero de dos mil veintiuno, con el que contestó la demanda, en el que señaló que su señoría se encuentra impedida para analizar la competencia de origen de la autoridad que emitió el acto; ya que la legitimidad del funcionario y su competencia para conocer el citado procedimiento administrativo no ha sido demeritado por circunstancia especial por lo que su actuación está dentro de los cánones exigidos en los artículos 1°, 14, 16 y 17 constitucional y al no considerarlo así su señoría se altera el debido proceso en el procedimiento.  </w:t>
      </w:r>
      <w:r w:rsidR="009579DE" w:rsidRPr="00D5591E">
        <w:rPr>
          <w:rFonts w:ascii="Arial" w:hAnsi="Arial" w:cs="Arial"/>
          <w:iCs/>
          <w:sz w:val="26"/>
          <w:szCs w:val="26"/>
        </w:rPr>
        <w:t>- - - - - - - - - - - - - - - - - - -</w:t>
      </w:r>
      <w:r w:rsidR="009579DE">
        <w:rPr>
          <w:rFonts w:ascii="Arial" w:hAnsi="Arial" w:cs="Arial"/>
          <w:iCs/>
          <w:sz w:val="26"/>
          <w:szCs w:val="26"/>
        </w:rPr>
        <w:t xml:space="preserve"> - - - - - - - - - - - </w:t>
      </w:r>
    </w:p>
    <w:p w14:paraId="301E6328" w14:textId="7631479B" w:rsidR="00137EFF" w:rsidRDefault="00137EFF" w:rsidP="00137EFF">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Cs/>
          <w:color w:val="000000"/>
          <w:sz w:val="26"/>
          <w:szCs w:val="26"/>
        </w:rPr>
        <w:lastRenderedPageBreak/>
        <w:t>En el segundo agravio menciona que en el auto de inicio de veintiuno de abril de dos mil diecisiete, la autoridad demandada sí fundó su actuar en los artículos 1° y 10</w:t>
      </w:r>
      <w:r w:rsidR="009579DE">
        <w:rPr>
          <w:rFonts w:ascii="Arial" w:hAnsi="Arial" w:cs="Arial"/>
          <w:bCs/>
          <w:color w:val="000000"/>
          <w:sz w:val="26"/>
          <w:szCs w:val="26"/>
        </w:rPr>
        <w:t>°</w:t>
      </w:r>
      <w:r>
        <w:rPr>
          <w:rFonts w:ascii="Arial" w:hAnsi="Arial" w:cs="Arial"/>
          <w:bCs/>
          <w:color w:val="000000"/>
          <w:sz w:val="26"/>
          <w:szCs w:val="26"/>
        </w:rPr>
        <w:t xml:space="preserve"> de la Ley de Justicia Administrativa para el Estado de Oaxaca, por lo que el procedimiento desde su inicio no se encuentra viciado como indica su señoría por lo que debe revocar su determinación y dejar intocada la resolución derivada del procedimiento administrativo en el que se revocaron las concesiones, por encontrarse fundado el procedimiento desde su inicio. </w:t>
      </w:r>
      <w:r w:rsidR="009579DE">
        <w:rPr>
          <w:rFonts w:ascii="Arial" w:hAnsi="Arial" w:cs="Arial"/>
          <w:bCs/>
          <w:color w:val="000000"/>
          <w:sz w:val="26"/>
          <w:szCs w:val="26"/>
        </w:rPr>
        <w:t>- - - - - - - - - -</w:t>
      </w:r>
    </w:p>
    <w:p w14:paraId="18CECBDA" w14:textId="769E6BCA" w:rsidR="00137EFF" w:rsidRPr="0000461D" w:rsidRDefault="00137EFF" w:rsidP="00137EFF">
      <w:pPr>
        <w:widowControl w:val="0"/>
        <w:autoSpaceDE w:val="0"/>
        <w:autoSpaceDN w:val="0"/>
        <w:adjustRightInd w:val="0"/>
        <w:spacing w:before="24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En el tercer agravio el recurrente afirma que su señoría no hizo un análisis exhaustivo y congruente de la aplicación de las leyes al acto reclamado, lo que viola en su perjuicio las formalidades esenciales del procedimiento que son de orden público, ya que alteró el debido procedimiento, porque los actores se sometieron al procedimiento en forma de juicio con todas las formalidades y convalidaron cualquier irregularidad cometido en el mismo por haberlo consentido sin recurrirlo en el momento procesal oportuno, pues comparecieron al mismo, ofrecieron pruebas y tuvieron la oportunidad de </w:t>
      </w:r>
      <w:r w:rsidR="005B7038">
        <w:rPr>
          <w:rFonts w:ascii="Arial" w:hAnsi="Arial" w:cs="Arial"/>
          <w:bCs/>
          <w:color w:val="000000"/>
          <w:sz w:val="26"/>
          <w:szCs w:val="26"/>
        </w:rPr>
        <w:t xml:space="preserve">agotar </w:t>
      </w:r>
      <w:r>
        <w:rPr>
          <w:rFonts w:ascii="Arial" w:hAnsi="Arial" w:cs="Arial"/>
          <w:bCs/>
          <w:color w:val="000000"/>
          <w:sz w:val="26"/>
          <w:szCs w:val="26"/>
        </w:rPr>
        <w:t xml:space="preserve">todos los recursos en cada etapa sin que se violaran sus garantías de audiencia, por lo que precluyó su derecho procesal </w:t>
      </w:r>
      <w:r w:rsidR="005B7038">
        <w:rPr>
          <w:rFonts w:ascii="Arial" w:hAnsi="Arial" w:cs="Arial"/>
          <w:bCs/>
          <w:color w:val="000000"/>
          <w:sz w:val="26"/>
          <w:szCs w:val="26"/>
        </w:rPr>
        <w:t xml:space="preserve">a </w:t>
      </w:r>
      <w:r>
        <w:rPr>
          <w:rFonts w:ascii="Arial" w:hAnsi="Arial" w:cs="Arial"/>
          <w:bCs/>
          <w:color w:val="000000"/>
          <w:sz w:val="26"/>
          <w:szCs w:val="26"/>
        </w:rPr>
        <w:t xml:space="preserve">reclamar, el acuerdo de inicio de veintiuno de abril de dos mil diecisiete, por ende no se cometieron violaciones en su contra. Por lo anterior, la autoridad emisora de la resolución de cuatro de noviembre de dos mil veinte siempre se apegó a las formalidades del procedimiento sin alterarlo, conforme a las leyes expedidas con anterioridad al hecho, por lo que la resolución se encuentra debidamente fundada y motivada; razón por la que procede revocar la resolución que combate. </w:t>
      </w:r>
      <w:r w:rsidR="009579DE" w:rsidRPr="00D5591E">
        <w:rPr>
          <w:rFonts w:ascii="Arial" w:hAnsi="Arial" w:cs="Arial"/>
          <w:iCs/>
          <w:sz w:val="26"/>
          <w:szCs w:val="26"/>
        </w:rPr>
        <w:t>- - - - - - - - - - - - - - -</w:t>
      </w:r>
      <w:r w:rsidR="009579DE">
        <w:rPr>
          <w:rFonts w:ascii="Arial" w:hAnsi="Arial" w:cs="Arial"/>
          <w:iCs/>
          <w:sz w:val="26"/>
          <w:szCs w:val="26"/>
        </w:rPr>
        <w:t xml:space="preserve"> - - - - - - - - - - - </w:t>
      </w:r>
    </w:p>
    <w:p w14:paraId="4F92A30D" w14:textId="453EADAE" w:rsidR="00763D32" w:rsidRPr="00A3022C" w:rsidRDefault="00763D32" w:rsidP="00763D32">
      <w:pPr>
        <w:spacing w:line="360" w:lineRule="auto"/>
        <w:ind w:firstLine="708"/>
        <w:jc w:val="both"/>
        <w:rPr>
          <w:rFonts w:ascii="Arial" w:hAnsi="Arial" w:cs="Arial"/>
          <w:sz w:val="26"/>
          <w:szCs w:val="26"/>
          <w:highlight w:val="cyan"/>
        </w:rPr>
      </w:pPr>
      <w:r w:rsidRPr="00763D32">
        <w:rPr>
          <w:rFonts w:ascii="Arial" w:hAnsi="Arial" w:cs="Arial"/>
          <w:sz w:val="26"/>
          <w:szCs w:val="26"/>
        </w:rPr>
        <w:t>Son</w:t>
      </w:r>
      <w:r>
        <w:rPr>
          <w:rFonts w:ascii="Arial" w:hAnsi="Arial" w:cs="Arial"/>
          <w:b/>
          <w:bCs/>
          <w:sz w:val="26"/>
          <w:szCs w:val="26"/>
        </w:rPr>
        <w:t xml:space="preserve"> INFUNDADOS </w:t>
      </w:r>
      <w:r w:rsidRPr="00763D32">
        <w:rPr>
          <w:rFonts w:ascii="Arial" w:hAnsi="Arial" w:cs="Arial"/>
          <w:sz w:val="26"/>
          <w:szCs w:val="26"/>
        </w:rPr>
        <w:t>los agravios expuestos por el recurrente</w:t>
      </w:r>
      <w:r>
        <w:rPr>
          <w:rFonts w:ascii="Arial" w:hAnsi="Arial" w:cs="Arial"/>
          <w:sz w:val="26"/>
          <w:szCs w:val="26"/>
        </w:rPr>
        <w:t xml:space="preserve">, </w:t>
      </w:r>
      <w:r>
        <w:rPr>
          <w:rFonts w:ascii="Arial" w:hAnsi="Arial" w:cs="Arial"/>
          <w:bCs/>
          <w:sz w:val="26"/>
          <w:szCs w:val="26"/>
        </w:rPr>
        <w:t xml:space="preserve">en razón del análisis de las constancias </w:t>
      </w:r>
      <w:r w:rsidRPr="007A5E61">
        <w:rPr>
          <w:rFonts w:ascii="Arial" w:hAnsi="Arial" w:cs="Arial"/>
          <w:bCs/>
          <w:color w:val="000000"/>
          <w:sz w:val="26"/>
          <w:szCs w:val="26"/>
        </w:rPr>
        <w:t xml:space="preserve">de </w:t>
      </w:r>
      <w:r w:rsidRPr="007A5E61">
        <w:rPr>
          <w:rFonts w:ascii="Arial" w:hAnsi="Arial" w:cs="Arial"/>
          <w:sz w:val="26"/>
          <w:szCs w:val="26"/>
        </w:rPr>
        <w:t xml:space="preserve">autos que fueron remitidas para la substanciación del presente asunto, con valor probatorio pleno de conformidad con lo dispuesto en el artículo 203, fracción I, de la Ley de Procedimiento y Justicia Administrativa para el Estado de Oaxaca, por tratarse de actuaciones judiciales; de </w:t>
      </w:r>
      <w:r w:rsidRPr="007A5E61">
        <w:rPr>
          <w:rFonts w:ascii="Arial" w:hAnsi="Arial" w:cs="Arial"/>
          <w:bCs/>
          <w:color w:val="000000"/>
          <w:sz w:val="26"/>
          <w:szCs w:val="26"/>
        </w:rPr>
        <w:t xml:space="preserve">fojas </w:t>
      </w:r>
      <w:r>
        <w:rPr>
          <w:rFonts w:ascii="Arial" w:hAnsi="Arial" w:cs="Arial"/>
          <w:bCs/>
          <w:color w:val="000000"/>
          <w:sz w:val="26"/>
          <w:szCs w:val="26"/>
        </w:rPr>
        <w:t>noventa  y cuatro a cien</w:t>
      </w:r>
      <w:r w:rsidRPr="007A5E61">
        <w:rPr>
          <w:rFonts w:ascii="Arial" w:hAnsi="Arial" w:cs="Arial"/>
          <w:bCs/>
          <w:color w:val="000000"/>
          <w:sz w:val="26"/>
          <w:szCs w:val="26"/>
        </w:rPr>
        <w:t>, se advierte la</w:t>
      </w:r>
      <w:r w:rsidRPr="007A5E61">
        <w:rPr>
          <w:rFonts w:ascii="Arial" w:hAnsi="Arial" w:cs="Arial"/>
          <w:bCs/>
          <w:sz w:val="26"/>
          <w:szCs w:val="26"/>
        </w:rPr>
        <w:t xml:space="preserve"> </w:t>
      </w:r>
      <w:r w:rsidRPr="007A5E61">
        <w:rPr>
          <w:rFonts w:ascii="Arial" w:hAnsi="Arial" w:cs="Arial"/>
          <w:sz w:val="26"/>
          <w:szCs w:val="26"/>
        </w:rPr>
        <w:t>sentencia refutada en cuy</w:t>
      </w:r>
      <w:r>
        <w:rPr>
          <w:rFonts w:ascii="Arial" w:hAnsi="Arial" w:cs="Arial"/>
          <w:sz w:val="26"/>
          <w:szCs w:val="26"/>
        </w:rPr>
        <w:t xml:space="preserve">o </w:t>
      </w:r>
      <w:r w:rsidRPr="007A5E61">
        <w:rPr>
          <w:rFonts w:ascii="Arial" w:hAnsi="Arial" w:cs="Arial"/>
          <w:sz w:val="26"/>
          <w:szCs w:val="26"/>
        </w:rPr>
        <w:t xml:space="preserve">considerando </w:t>
      </w:r>
      <w:r>
        <w:rPr>
          <w:rFonts w:ascii="Arial" w:hAnsi="Arial" w:cs="Arial"/>
          <w:sz w:val="26"/>
          <w:szCs w:val="26"/>
        </w:rPr>
        <w:t>séptimo,</w:t>
      </w:r>
      <w:r w:rsidRPr="007A5E61">
        <w:rPr>
          <w:rFonts w:ascii="Arial" w:hAnsi="Arial" w:cs="Arial"/>
          <w:sz w:val="26"/>
          <w:szCs w:val="26"/>
        </w:rPr>
        <w:t xml:space="preserve"> el Magistrado de la Primera Sala Unitaria de Primera Instancia determinó lo siguiente:</w:t>
      </w:r>
      <w:r w:rsidRPr="00A3022C">
        <w:rPr>
          <w:rFonts w:ascii="Arial" w:hAnsi="Arial" w:cs="Arial"/>
          <w:sz w:val="26"/>
          <w:szCs w:val="26"/>
          <w:highlight w:val="cyan"/>
        </w:rPr>
        <w:t xml:space="preserve"> </w:t>
      </w:r>
    </w:p>
    <w:p w14:paraId="39FD54C4" w14:textId="77777777" w:rsidR="00763D32" w:rsidRPr="009579DE" w:rsidRDefault="00763D32" w:rsidP="009579DE">
      <w:pPr>
        <w:ind w:left="567" w:right="616"/>
        <w:jc w:val="both"/>
        <w:rPr>
          <w:rFonts w:ascii="Arial" w:hAnsi="Arial" w:cs="Arial"/>
          <w:b/>
          <w:i/>
          <w:iCs/>
        </w:rPr>
      </w:pPr>
      <w:r w:rsidRPr="009579DE">
        <w:rPr>
          <w:rFonts w:ascii="Arial" w:hAnsi="Arial" w:cs="Arial"/>
          <w:bCs/>
          <w:i/>
          <w:iCs/>
        </w:rPr>
        <w:t>“</w:t>
      </w:r>
      <w:r w:rsidRPr="009579DE">
        <w:rPr>
          <w:rFonts w:ascii="Arial" w:hAnsi="Arial" w:cs="Arial"/>
          <w:b/>
          <w:i/>
          <w:iCs/>
        </w:rPr>
        <w:t xml:space="preserve">SÉPTIMO. Estudio del Fondo del Asunto. </w:t>
      </w:r>
    </w:p>
    <w:p w14:paraId="46A9AAAF" w14:textId="77777777" w:rsidR="00763D32" w:rsidRPr="009579DE" w:rsidRDefault="00763D32" w:rsidP="009579DE">
      <w:pPr>
        <w:ind w:left="567" w:right="616" w:firstLine="708"/>
        <w:jc w:val="both"/>
        <w:rPr>
          <w:rFonts w:ascii="Arial" w:hAnsi="Arial" w:cs="Arial"/>
          <w:i/>
          <w:iCs/>
        </w:rPr>
      </w:pPr>
      <w:r w:rsidRPr="009579DE">
        <w:rPr>
          <w:rFonts w:ascii="Arial" w:hAnsi="Arial" w:cs="Arial"/>
          <w:i/>
          <w:iCs/>
        </w:rPr>
        <w:lastRenderedPageBreak/>
        <w:t xml:space="preserve">Con base en el principio de mayor beneficio, al que se encuentran sujetos los pronunciamientos de entes jurídicos que tenga jurisdicción sobre determinados asuntos y que consiste en el brindar preferencia al análisis de argumentos que, de resultar fundados, otorgarían la máxima protección que el ente jurisdiccional pueda brindar, siendo el caso concreto, la anulación absoluta de los actos impugnados. </w:t>
      </w:r>
    </w:p>
    <w:p w14:paraId="7605E05A" w14:textId="77777777" w:rsidR="00763D32" w:rsidRPr="009579DE" w:rsidRDefault="00763D32" w:rsidP="009579DE">
      <w:pPr>
        <w:ind w:left="567" w:right="616"/>
        <w:jc w:val="both"/>
        <w:rPr>
          <w:rFonts w:ascii="Arial" w:hAnsi="Arial" w:cs="Arial"/>
          <w:i/>
          <w:iCs/>
        </w:rPr>
      </w:pPr>
      <w:r w:rsidRPr="009579DE">
        <w:rPr>
          <w:rFonts w:ascii="Arial" w:hAnsi="Arial" w:cs="Arial"/>
          <w:i/>
          <w:iCs/>
        </w:rPr>
        <w:tab/>
        <w:t xml:space="preserve">Tal premisa se sustenta al tenor de la siguiente tesis: </w:t>
      </w:r>
    </w:p>
    <w:p w14:paraId="5A7CC24C" w14:textId="77777777" w:rsidR="00763D32" w:rsidRPr="009579DE" w:rsidRDefault="00763D32" w:rsidP="009579DE">
      <w:pPr>
        <w:ind w:left="567" w:right="616"/>
        <w:jc w:val="both"/>
        <w:rPr>
          <w:rFonts w:ascii="Arial" w:hAnsi="Arial" w:cs="Arial"/>
          <w:b/>
          <w:i/>
          <w:iCs/>
        </w:rPr>
      </w:pPr>
      <w:r w:rsidRPr="009579DE">
        <w:rPr>
          <w:rFonts w:ascii="Arial" w:hAnsi="Arial" w:cs="Arial"/>
          <w:b/>
          <w:i/>
          <w:iCs/>
        </w:rPr>
        <w:t>“CONCEPTOS DE ANULACIÓN EN EL JUICIO CONTENCIOSO ADMINISTRATIVO DEL ESTADO DE GUANAJUATO. ES PREFERENTE EL ESTUDIO DE LOS RELATIVOS A LA FALTA DE COMPETENCIA DE LA AUTORIDAD DEMANDADA PARA EMITIR EL ACTO IMPUGNADO, FRENTE A LOS ATINENTES A SU DEFICIENTE FUNDAMENTACIÓN Y MOTIVACIÓN, POR PRESENTAR UN MAYOR BENEFICIO PARA EL ACTOR.” […]</w:t>
      </w:r>
    </w:p>
    <w:p w14:paraId="7F36C322" w14:textId="77777777" w:rsidR="00763D32" w:rsidRPr="009579DE" w:rsidRDefault="00763D32" w:rsidP="009579DE">
      <w:pPr>
        <w:ind w:left="567" w:right="616" w:firstLine="708"/>
        <w:jc w:val="both"/>
        <w:rPr>
          <w:rFonts w:ascii="Arial" w:hAnsi="Arial" w:cs="Arial"/>
          <w:i/>
          <w:iCs/>
        </w:rPr>
      </w:pPr>
      <w:r w:rsidRPr="009579DE">
        <w:rPr>
          <w:rFonts w:ascii="Arial" w:hAnsi="Arial" w:cs="Arial"/>
          <w:i/>
          <w:iCs/>
        </w:rPr>
        <w:t xml:space="preserve">En tal circunstancia, se analizan de manera integral los argumentos esgrimidos por los(as) accionantes, referentes a la competencia de la autoridad demandada en la realización de los actos impugnados. </w:t>
      </w:r>
    </w:p>
    <w:p w14:paraId="72E8F446" w14:textId="6EFA1D7D" w:rsidR="00763D32" w:rsidRPr="009579DE" w:rsidRDefault="00763D32" w:rsidP="009579DE">
      <w:pPr>
        <w:pStyle w:val="Prrafodelista"/>
        <w:numPr>
          <w:ilvl w:val="0"/>
          <w:numId w:val="22"/>
        </w:numPr>
        <w:spacing w:after="160"/>
        <w:ind w:left="567" w:right="616"/>
        <w:jc w:val="both"/>
        <w:rPr>
          <w:rFonts w:ascii="Arial" w:hAnsi="Arial" w:cs="Arial"/>
          <w:b/>
          <w:i/>
          <w:iCs/>
        </w:rPr>
      </w:pPr>
      <w:r w:rsidRPr="009579DE">
        <w:rPr>
          <w:rFonts w:ascii="Arial" w:hAnsi="Arial" w:cs="Arial"/>
          <w:i/>
          <w:iCs/>
        </w:rPr>
        <w:t xml:space="preserve">Del concepto de impugnación marcado como el PRIMERO, se analiza la competencia de la Secretaria (sic) de Movilidad del Estado de Oaxaca, para instruir el expediente administrativo </w:t>
      </w:r>
      <w:r w:rsidR="000D3B6B">
        <w:rPr>
          <w:rFonts w:ascii="Arial" w:hAnsi="Arial" w:cs="Arial"/>
          <w:i/>
          <w:iCs/>
        </w:rPr>
        <w:t>*******</w:t>
      </w:r>
      <w:r w:rsidRPr="009579DE">
        <w:rPr>
          <w:rFonts w:ascii="Arial" w:hAnsi="Arial" w:cs="Arial"/>
          <w:i/>
          <w:iCs/>
        </w:rPr>
        <w:t xml:space="preserve"> y emitir la resolución de cuatro de noviembre de dos mil veinte; al señalar la parte actora que las autoridades demandadas para fundar su competencia invocan los artículos 1, 14, 16 de la Constitución Política de los Estados Unidos Mexicanos, 27 fracción VII y 40 de la Ley Orgánica del Poder Ejecutivo del Estado de Oaxaca, preceptos legales que de su lectura no se advierte competencia de la titular de la Secretaría de Movilidad o del Director Jurídico de esa misma dependencia para instruir y resolver un procedimiento de revocación de concesiones de taxis promovido a petición de particulares. </w:t>
      </w:r>
    </w:p>
    <w:p w14:paraId="6DF00442" w14:textId="77777777" w:rsidR="00763D32" w:rsidRPr="009579DE" w:rsidRDefault="00763D32" w:rsidP="009579DE">
      <w:pPr>
        <w:pStyle w:val="Prrafodelista"/>
        <w:ind w:left="567" w:right="616"/>
        <w:jc w:val="both"/>
        <w:rPr>
          <w:rFonts w:ascii="Arial" w:hAnsi="Arial" w:cs="Arial"/>
          <w:i/>
          <w:iCs/>
        </w:rPr>
      </w:pPr>
      <w:r w:rsidRPr="009579DE">
        <w:rPr>
          <w:rFonts w:ascii="Arial" w:hAnsi="Arial" w:cs="Arial"/>
          <w:i/>
          <w:iCs/>
        </w:rPr>
        <w:t xml:space="preserve">Asimismo, los artículos 11, fracción II, 13 fracción IX, 168 y 172 de la Ley de Transporte del Estado de Oaxaca, tampoco les da competencia, aunado que esa ley hace referencia a la Secretaría de Vialidad y Transporte del Estado y no así a la Secretaría de Movilidad del Estado, además que esos preceptos legales facultan al titular de la Secretaría de Vialidad y Transporte de instruir procedimiento hasta ponerlos en estado de resolución que deberá emitir el Gobernador del Estado. </w:t>
      </w:r>
    </w:p>
    <w:p w14:paraId="2BE0484C" w14:textId="77777777" w:rsidR="00763D32" w:rsidRPr="009579DE" w:rsidRDefault="00763D32" w:rsidP="009579DE">
      <w:pPr>
        <w:pStyle w:val="Prrafodelista"/>
        <w:ind w:left="567" w:right="616"/>
        <w:jc w:val="both"/>
        <w:rPr>
          <w:rFonts w:ascii="Arial" w:hAnsi="Arial" w:cs="Arial"/>
          <w:i/>
          <w:iCs/>
        </w:rPr>
      </w:pPr>
      <w:r w:rsidRPr="009579DE">
        <w:rPr>
          <w:rFonts w:ascii="Arial" w:hAnsi="Arial" w:cs="Arial"/>
          <w:i/>
          <w:iCs/>
        </w:rPr>
        <w:tab/>
        <w:t xml:space="preserve">Además, que es insuficiente la cita del acuerdo publicado en el extra del periódico oficial del Gobierno del Estado de catorce de mayo de dos mil catorce, por el cual el Gobernador del Estado delegó únicamente al Secretario de Vialidad y Transporte las facultades que menciona dicho acuerdo, no así le delega esas facultades al titular de la Secretaría de Movilidad del Estado. </w:t>
      </w:r>
    </w:p>
    <w:p w14:paraId="564249E0" w14:textId="162064D7" w:rsidR="00763D32" w:rsidRPr="009579DE" w:rsidRDefault="00763D32" w:rsidP="009579DE">
      <w:pPr>
        <w:pStyle w:val="Prrafodelista"/>
        <w:numPr>
          <w:ilvl w:val="0"/>
          <w:numId w:val="22"/>
        </w:numPr>
        <w:spacing w:after="160"/>
        <w:ind w:left="567" w:right="616"/>
        <w:jc w:val="both"/>
        <w:rPr>
          <w:rFonts w:ascii="Arial" w:hAnsi="Arial" w:cs="Arial"/>
          <w:b/>
          <w:i/>
          <w:iCs/>
        </w:rPr>
      </w:pPr>
      <w:r w:rsidRPr="009579DE">
        <w:rPr>
          <w:rFonts w:ascii="Arial" w:hAnsi="Arial" w:cs="Arial"/>
          <w:i/>
          <w:iCs/>
        </w:rPr>
        <w:t xml:space="preserve">En el concepto de impugnación SEGUNDO, manifiesta que la resolución impugnada carece de los requisitos de la debida fundamentación y motivación, en su aspecto material, porque deriva de un auto de inicio que fue emitido por la autoridad legalmente incompetente, dado que el artículo 16 de Constitución Federal (sic) señala que todo acto de molestia que invada la esfera jurídica de los gobernados debe reunir entre otros requisitos el de ser emitido por autoridad competente, que se satisface cuando se precisa el artículo, párrafo, fracción, inciso y sub inciso que le otorguen facultad para actuar en terminado sentido, pues la citación del artículo 17, fracción V, del Reglamento Interno de la Secretaría de Vialidad y Transporte del Estado, lo que resulta insuficiente para acreditar la competencia material para iniciar un procedimiento administrativo de </w:t>
      </w:r>
      <w:r w:rsidRPr="009579DE">
        <w:rPr>
          <w:rFonts w:ascii="Arial" w:hAnsi="Arial" w:cs="Arial"/>
          <w:i/>
          <w:iCs/>
        </w:rPr>
        <w:lastRenderedPageBreak/>
        <w:t xml:space="preserve">revocación de concesión a petición de particulares, resultando ilegal desde el auto de inicio el procedimiento administrativo de revocación, deviniendo ilegal la resolución administrativa emitida el cuatro de noviembre de dos mil veinte en el expediente administrativo </w:t>
      </w:r>
      <w:r w:rsidR="000D3B6B">
        <w:rPr>
          <w:rFonts w:ascii="Arial" w:hAnsi="Arial" w:cs="Arial"/>
          <w:i/>
          <w:iCs/>
        </w:rPr>
        <w:t>*******</w:t>
      </w:r>
      <w:r w:rsidRPr="009579DE">
        <w:rPr>
          <w:rFonts w:ascii="Arial" w:hAnsi="Arial" w:cs="Arial"/>
          <w:i/>
          <w:iCs/>
        </w:rPr>
        <w:t xml:space="preserve"> por la titular de la Secretaría de Movilidad del Estado de Oaxaca por la que revoca sus concesiones, por derivar de un procedimiento viciado desde su origen, ya que desde el auto de inicio no fundó su competencia material que exige el artículo 16 de la ley suprema.</w:t>
      </w:r>
    </w:p>
    <w:p w14:paraId="4818EE0A" w14:textId="77777777" w:rsidR="00763D32" w:rsidRPr="009579DE" w:rsidRDefault="00763D32" w:rsidP="009579DE">
      <w:pPr>
        <w:pStyle w:val="Prrafodelista"/>
        <w:numPr>
          <w:ilvl w:val="0"/>
          <w:numId w:val="22"/>
        </w:numPr>
        <w:spacing w:after="160"/>
        <w:ind w:left="567" w:right="616"/>
        <w:jc w:val="both"/>
        <w:rPr>
          <w:rFonts w:ascii="Arial" w:hAnsi="Arial" w:cs="Arial"/>
          <w:b/>
          <w:i/>
          <w:iCs/>
        </w:rPr>
      </w:pPr>
      <w:r w:rsidRPr="009579DE">
        <w:rPr>
          <w:rFonts w:ascii="Arial" w:hAnsi="Arial" w:cs="Arial"/>
          <w:i/>
          <w:iCs/>
        </w:rPr>
        <w:t xml:space="preserve">En el concepto de impugnación TERCERO, señala que debe decretarse la nulidad de la resolución dictada y del procedimiento de revocación emitida por la titular de la Secretaría de Movilidad del Gobierno del Estado de Oaxaca e instruido por la directora jurídica de la misma Secretaría, al carecer de facultades para instruir procedimiento para decretar su revocación a petición de particulares.; (sic) al no establecer el precepto legal que faculte a las autoridades demandadas para iniciar ese tipo de procedimientos a petición de particulares. </w:t>
      </w:r>
    </w:p>
    <w:p w14:paraId="7F70E366" w14:textId="77777777" w:rsidR="00763D32" w:rsidRPr="009579DE" w:rsidRDefault="00763D32" w:rsidP="009579DE">
      <w:pPr>
        <w:pStyle w:val="Prrafodelista"/>
        <w:ind w:left="567" w:right="616"/>
        <w:jc w:val="both"/>
        <w:rPr>
          <w:rFonts w:ascii="Arial" w:hAnsi="Arial" w:cs="Arial"/>
          <w:b/>
          <w:i/>
          <w:iCs/>
        </w:rPr>
      </w:pPr>
      <w:r w:rsidRPr="009579DE">
        <w:rPr>
          <w:rFonts w:ascii="Arial" w:hAnsi="Arial" w:cs="Arial"/>
          <w:b/>
          <w:i/>
          <w:iCs/>
        </w:rPr>
        <w:t xml:space="preserve">El Primero, Segundo y Tercer concepto de impugnación vertidos por la parte actora resultan sustancialmente fundados. </w:t>
      </w:r>
    </w:p>
    <w:p w14:paraId="28D0C43B" w14:textId="77777777" w:rsidR="00763D32" w:rsidRPr="009579DE" w:rsidRDefault="00763D32" w:rsidP="009579DE">
      <w:pPr>
        <w:pStyle w:val="Prrafodelista"/>
        <w:ind w:left="567" w:right="616" w:firstLine="360"/>
        <w:jc w:val="both"/>
        <w:rPr>
          <w:rFonts w:ascii="Arial" w:hAnsi="Arial" w:cs="Arial"/>
          <w:i/>
          <w:iCs/>
        </w:rPr>
      </w:pPr>
    </w:p>
    <w:p w14:paraId="6C04CECB" w14:textId="0B765ED9"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Lo anterior es así, dado que del estudio integral del procedimiento administrativo de revocación </w:t>
      </w:r>
      <w:r w:rsidR="000D3B6B">
        <w:rPr>
          <w:rFonts w:ascii="Arial" w:hAnsi="Arial" w:cs="Arial"/>
          <w:i/>
          <w:iCs/>
        </w:rPr>
        <w:t>*******</w:t>
      </w:r>
      <w:r w:rsidRPr="009579DE">
        <w:rPr>
          <w:rFonts w:ascii="Arial" w:hAnsi="Arial" w:cs="Arial"/>
          <w:i/>
          <w:iCs/>
        </w:rPr>
        <w:t xml:space="preserve"> del índice de la entonces denominada Secretaría de Vialidad y Transporte del Gobierno del Estado de Oaxaca, ahora Secretaría de Movilidad, que obra en esta sala en cuaderno adjunto al expediente en que se actúa que tiene valor probatorio pleno al estar contenido en documentos públicos, de conformidad en el artículo 203, fracción I, de la Ley de Procedimiento y Justicia Administrativa para el Estado de Oaxaca, se advierte que el acuerdo de veintiuno de abril de dos mil diecisiete no se citó la ley aplicable para el inicio y procedencia del procedimiento administrativo de revocación; y, el precepto legal y normatividad que otorgue competencia a la Directora Jurídica para iniciar la instrucción de dicho procedimiento, careciendo entonces de fundamentación y motivación, pues acorde al criterio jurisprudencial “COMPETENCIA DE LAS AUTORIDADES ADMINISTRATIVAS. EN EL MANDAMIENTO ESCRITO QUE CONTIENE EL ACTO DE MOLESTIA, DEBE SEÑALARSE CON PRECISIÓN EL PRECEPTO LEGAL QUE LES OTORGUE LA ATRIBUCIÓN EJERCIDA Y, EN SU CASO, LA RESPECTIVA FRACCIÓN, INCISO Y SUB INCISO.”, se debió expresar de manera detallada el inciso o sub inciso que otorga la facultad en mención, por lo que la competencia de una autoridad y su facultad para emitir un acto, debe estar expresamente establecida por una ley, reglamento o decreto del precepto legal que le otorgue la atribución ejercida, con la finalidad de otorgar certeza y seguridad jurídica al particular; en el presente caso, no se invocó precepto legal alguno que le otorgue la facultad a la Directora Jurídica de la Secretaría de Vialidad y Transporte del Gobierno del Estado de Oaxaca, para que instruyera el procedimiento administrativo de revocación, como se demuestra en la siguiente transcripción: </w:t>
      </w:r>
    </w:p>
    <w:p w14:paraId="0F7E26E7" w14:textId="77777777" w:rsidR="00763D32" w:rsidRPr="009579DE" w:rsidRDefault="00763D32" w:rsidP="009579DE">
      <w:pPr>
        <w:pStyle w:val="Prrafodelista"/>
        <w:ind w:left="567" w:right="616" w:firstLine="360"/>
        <w:jc w:val="both"/>
        <w:rPr>
          <w:rFonts w:ascii="Arial" w:hAnsi="Arial" w:cs="Arial"/>
          <w:b/>
          <w:i/>
          <w:iCs/>
        </w:rPr>
      </w:pPr>
    </w:p>
    <w:p w14:paraId="75A727C8" w14:textId="613D936A"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b/>
          <w:i/>
          <w:iCs/>
        </w:rPr>
        <w:t xml:space="preserve">“SAN ANTONIO DE LA CAL, OAXACA; A VEINTIUNO DE ABRIL DE DOS MIL DIECISIETE. </w:t>
      </w:r>
      <w:r w:rsidRPr="009579DE">
        <w:rPr>
          <w:rFonts w:ascii="Arial" w:hAnsi="Arial" w:cs="Arial"/>
          <w:i/>
          <w:iCs/>
        </w:rPr>
        <w:t xml:space="preserve">Visto el estado procesal que guarda el presente expediente administrativo, tomando en cuenta que de conformidad al artículo 10 de la Ley de Justicia Administrativa para el Estado de Oaxaca, el procedimiento administrativo general del estado de Oaxaca es común a todas las autoridades de naturaleza administrativa a las que se refiere el artículo 1 de la presente ley, y tiene como objetivo ampliar las posibilidades de legalidad y certeza jurídica tanto para la autoridad como para el administrado, es supletorio a la ley o reglamento con la que actúa la autoridad y tiende a otorgar garantías procesales al </w:t>
      </w:r>
      <w:r w:rsidRPr="009579DE">
        <w:rPr>
          <w:rFonts w:ascii="Arial" w:hAnsi="Arial" w:cs="Arial"/>
          <w:i/>
          <w:iCs/>
        </w:rPr>
        <w:lastRenderedPageBreak/>
        <w:t xml:space="preserve">particular, bajo los principios del procedimiento administrativo general, el que se desarrollará con arreglo a los principios de economía, celeridad, eficacia, legalidad, publicidad y buena fe, pudiendo tener inicio de oficio o a petición de parte interesada, sin que la autoridad pueda exigir más formalidades que las expresamente previstas en la presente ley, en atención a ello, y a efecto de regularizar el presente procedimiento administrativo se acuerda: </w:t>
      </w:r>
      <w:r w:rsidRPr="009579DE">
        <w:rPr>
          <w:rFonts w:ascii="Arial" w:hAnsi="Arial" w:cs="Arial"/>
          <w:b/>
          <w:i/>
          <w:iCs/>
        </w:rPr>
        <w:t xml:space="preserve">PRIMERO. </w:t>
      </w:r>
      <w:r w:rsidRPr="009579DE">
        <w:rPr>
          <w:rFonts w:ascii="Arial" w:hAnsi="Arial" w:cs="Arial"/>
          <w:i/>
          <w:iCs/>
        </w:rPr>
        <w:t xml:space="preserve">Se tiene a los promoventes solicitando la revocación de las concesiones de los ciudadanos </w:t>
      </w:r>
      <w:r w:rsidR="000D3B6B">
        <w:rPr>
          <w:rFonts w:ascii="Arial" w:hAnsi="Arial" w:cs="Arial"/>
          <w:b/>
          <w:i/>
          <w:iCs/>
        </w:rPr>
        <w:t>*******</w:t>
      </w:r>
      <w:r w:rsidRPr="009579DE">
        <w:rPr>
          <w:rFonts w:ascii="Arial" w:hAnsi="Arial" w:cs="Arial"/>
          <w:b/>
          <w:i/>
          <w:iCs/>
        </w:rPr>
        <w:t xml:space="preserve">; </w:t>
      </w:r>
      <w:r w:rsidRPr="009579DE">
        <w:rPr>
          <w:rFonts w:ascii="Arial" w:hAnsi="Arial" w:cs="Arial"/>
          <w:i/>
          <w:iCs/>
        </w:rPr>
        <w:t xml:space="preserve">asimismo se le tiene anexando como pruebas los siguientes documentales: (…) en consecuencia iníciese el recurso de revocación número </w:t>
      </w:r>
      <w:r w:rsidR="000D3B6B">
        <w:rPr>
          <w:rFonts w:ascii="Arial" w:hAnsi="Arial" w:cs="Arial"/>
          <w:i/>
          <w:iCs/>
        </w:rPr>
        <w:t>*******</w:t>
      </w:r>
      <w:r w:rsidRPr="009579DE">
        <w:rPr>
          <w:rFonts w:ascii="Arial" w:hAnsi="Arial" w:cs="Arial"/>
          <w:i/>
          <w:iCs/>
        </w:rPr>
        <w:t xml:space="preserve"> y regístrese en el Libro de Gobierno respectivo. (…)”. </w:t>
      </w:r>
    </w:p>
    <w:p w14:paraId="28AE28E1"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En el caso importa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que lo hace, lo que constituye la correspondiente motivación de su actuación. </w:t>
      </w:r>
    </w:p>
    <w:p w14:paraId="3C631814" w14:textId="77777777" w:rsidR="00763D32" w:rsidRPr="009579DE" w:rsidRDefault="00763D32" w:rsidP="009579DE">
      <w:pPr>
        <w:pStyle w:val="Prrafodelista"/>
        <w:ind w:left="567" w:right="616" w:firstLine="360"/>
        <w:jc w:val="both"/>
        <w:rPr>
          <w:rFonts w:ascii="Arial" w:hAnsi="Arial" w:cs="Arial"/>
          <w:i/>
          <w:iCs/>
        </w:rPr>
      </w:pPr>
    </w:p>
    <w:p w14:paraId="409F9706"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En este sentido, un acto que emita una autoridad que adolezca de fundamentación y motivación es ilegal, pues se opone al principio de legalidad y desde luego que coloca al afectado en un total estado de indefensión, esto por así disponerlo el artículo 16 de la Constitución Federal y como se sustenta en el siguiente criterio jurisprudencial: </w:t>
      </w:r>
    </w:p>
    <w:p w14:paraId="4571A044"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ab/>
      </w:r>
    </w:p>
    <w:p w14:paraId="331E1770" w14:textId="77777777"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i/>
          <w:iCs/>
        </w:rPr>
        <w:t>“</w:t>
      </w:r>
      <w:r w:rsidRPr="009579DE">
        <w:rPr>
          <w:rFonts w:ascii="Arial" w:hAnsi="Arial" w:cs="Arial"/>
          <w:b/>
          <w:i/>
          <w:iCs/>
        </w:rPr>
        <w:t>FUNDAMENTACIÓN Y MOTIVACIÓN. […]</w:t>
      </w:r>
    </w:p>
    <w:p w14:paraId="2475E926" w14:textId="77777777" w:rsidR="00763D32" w:rsidRPr="009579DE" w:rsidRDefault="00763D32" w:rsidP="009579DE">
      <w:pPr>
        <w:pStyle w:val="Prrafodelista"/>
        <w:ind w:left="567" w:right="616" w:firstLine="360"/>
        <w:jc w:val="both"/>
        <w:rPr>
          <w:rFonts w:ascii="Arial" w:hAnsi="Arial" w:cs="Arial"/>
          <w:i/>
          <w:iCs/>
        </w:rPr>
      </w:pPr>
    </w:p>
    <w:p w14:paraId="5A7E18E4"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Así como la jurisprudencia I.6º.C. J/52 del Sexto Tribunal Colegiado en Materia Civil del Primer Circuito, dictada en la novena época, y publicada en la página 2127 del Semanario Judicial de la Federación y su Gaceta en el Tomo XXV de enero de 2007, con el rubro y texto del tenor literal siguiente:</w:t>
      </w:r>
    </w:p>
    <w:p w14:paraId="328DC49C"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 </w:t>
      </w:r>
    </w:p>
    <w:p w14:paraId="03BC7017" w14:textId="77777777"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b/>
          <w:i/>
          <w:iCs/>
        </w:rPr>
        <w:t>“FUNDAMENTACIÓN Y MOTIVACIÓN. SU DISTINCIÓN ENTRE SU FALTA Y CUANDO ES INDEBIDA.” […]</w:t>
      </w:r>
    </w:p>
    <w:p w14:paraId="6F24C68B" w14:textId="77777777" w:rsidR="00763D32" w:rsidRPr="009579DE" w:rsidRDefault="00763D32" w:rsidP="009579DE">
      <w:pPr>
        <w:pStyle w:val="Prrafodelista"/>
        <w:ind w:left="567" w:right="616" w:firstLine="360"/>
        <w:jc w:val="both"/>
        <w:rPr>
          <w:rFonts w:ascii="Arial" w:hAnsi="Arial" w:cs="Arial"/>
          <w:b/>
          <w:i/>
          <w:iCs/>
        </w:rPr>
      </w:pPr>
    </w:p>
    <w:p w14:paraId="70E1B86E"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Se destaca lo anterior, dado que la Directora Jurídica de la Secretaría de Vialidad y Transporte del Gobierno del Estado de Oaxaca no aporta las razones jurídicas de su actuación, tampoco la ley aplicable para el inicio del procedimiento administrativo de revocación de concesión, transgrediendo así, el principio de legalidad pues incumple con su obligación de fundar y motivar su actuación colocando en estado de indefensión a los afectados, quienes deben tener el conocimiento y la certeza de que la autoridad que afecta su esfera de derechos, lo hace con apoyo en una norma jurídica que le faculta para proceder en ese sentido, a la vez, que se le pueda cuestionar esa atribución o la forma en que se ejerció,  como lo establece la siguiente jurisprudencia. </w:t>
      </w:r>
    </w:p>
    <w:p w14:paraId="1E6D5092" w14:textId="77777777" w:rsidR="00763D32" w:rsidRPr="009579DE" w:rsidRDefault="00763D32" w:rsidP="009579DE">
      <w:pPr>
        <w:pStyle w:val="Prrafodelista"/>
        <w:ind w:left="567" w:right="616" w:firstLine="360"/>
        <w:jc w:val="both"/>
        <w:rPr>
          <w:rFonts w:ascii="Arial" w:hAnsi="Arial" w:cs="Arial"/>
          <w:i/>
          <w:iCs/>
        </w:rPr>
      </w:pPr>
    </w:p>
    <w:p w14:paraId="62B8A736" w14:textId="77777777"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b/>
          <w:i/>
          <w:iCs/>
        </w:rPr>
        <w:t>“COMPETENCIA DE LAS AUTORIDADES ADMINISTRATIVAS. EL MANDAMIENTO ESCRITO QUE CONTIENE EL ACTO DE MOLESTIA A PARTICULARES DEBE FUNDARSE EN EL PRECEPTO LEGAL QUE LES OTORGUE LA ATRIBUCIÓN EJERCIDA, CITANDO EL APARTADO, FRACCIÓN, INCISO O SUB INCISO, Y EN CASO DE QUE NO LOS CONTENGA, SI SE TRATA DE UNA NORMA COMPLEJA, HABRÁ DE TRANSCRIBIRSE LA PARTE CORRESPONDIENTE.” […]</w:t>
      </w:r>
    </w:p>
    <w:p w14:paraId="60F3A8F8" w14:textId="77777777" w:rsidR="00763D32" w:rsidRPr="009579DE" w:rsidRDefault="00763D32" w:rsidP="009579DE">
      <w:pPr>
        <w:pStyle w:val="Prrafodelista"/>
        <w:ind w:left="567" w:right="616" w:firstLine="360"/>
        <w:jc w:val="both"/>
        <w:rPr>
          <w:rFonts w:ascii="Arial" w:hAnsi="Arial" w:cs="Arial"/>
          <w:b/>
          <w:i/>
          <w:iCs/>
        </w:rPr>
      </w:pPr>
    </w:p>
    <w:p w14:paraId="7EA61093" w14:textId="77AEA59C"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b/>
          <w:i/>
          <w:iCs/>
        </w:rPr>
        <w:t xml:space="preserve">Consecuentemente, </w:t>
      </w:r>
      <w:r w:rsidRPr="009579DE">
        <w:rPr>
          <w:rFonts w:ascii="Arial" w:hAnsi="Arial" w:cs="Arial"/>
          <w:i/>
          <w:iCs/>
        </w:rPr>
        <w:t xml:space="preserve">al no haberse citado la ley aplicable para el inicio y procedencia del procedimiento administrativo de revocación, así como el fundamento legal que le dé competencia a la Directora Jurídica </w:t>
      </w:r>
      <w:r w:rsidRPr="009579DE">
        <w:rPr>
          <w:rFonts w:ascii="Arial" w:hAnsi="Arial" w:cs="Arial"/>
          <w:i/>
          <w:iCs/>
        </w:rPr>
        <w:lastRenderedPageBreak/>
        <w:t xml:space="preserve">de la Secretaría de Vialidad y Transporte del Gobierno del Estado de Oaxaca para iniciar la instrucción del procedimiento administrativo de revocación </w:t>
      </w:r>
      <w:r w:rsidR="000D3B6B">
        <w:rPr>
          <w:rFonts w:ascii="Arial" w:hAnsi="Arial" w:cs="Arial"/>
          <w:i/>
          <w:iCs/>
        </w:rPr>
        <w:t>*******</w:t>
      </w:r>
      <w:r w:rsidRPr="009579DE">
        <w:rPr>
          <w:rFonts w:ascii="Arial" w:hAnsi="Arial" w:cs="Arial"/>
          <w:i/>
          <w:iCs/>
        </w:rPr>
        <w:t xml:space="preserve">, infringiéndose así el artículo 17, fracción V, de la Ley de Procedimiento y Justicia Administrativa para el Estado de Oaxaca y, el principio de legalidad previsto en el artículo 16, primer párrafo, de la Constitución Política de los Estados Unidos Mexicanos, </w:t>
      </w:r>
      <w:r w:rsidRPr="009579DE">
        <w:rPr>
          <w:rFonts w:ascii="Arial" w:hAnsi="Arial" w:cs="Arial"/>
          <w:b/>
          <w:i/>
          <w:iCs/>
        </w:rPr>
        <w:t xml:space="preserve">se declara la nulidad lisa y llana del citado procedimiento administrativo al carecer de valor jurídico alguno y, por lo tanto, todos los actos que de él derivaron, siguen la misma suerte, como es la resolución de cuatro de noviembre de dos mil veinte, </w:t>
      </w:r>
      <w:r w:rsidRPr="009579DE">
        <w:rPr>
          <w:rFonts w:ascii="Arial" w:hAnsi="Arial" w:cs="Arial"/>
          <w:i/>
          <w:iCs/>
        </w:rPr>
        <w:t xml:space="preserve">es decir, que las cosas vuelvan al estado en que se encontraban antes del inicio del procedimiento administrativo de revocación </w:t>
      </w:r>
      <w:r w:rsidR="000D3B6B">
        <w:rPr>
          <w:rFonts w:ascii="Arial" w:hAnsi="Arial" w:cs="Arial"/>
          <w:i/>
          <w:iCs/>
        </w:rPr>
        <w:t>*******</w:t>
      </w:r>
      <w:r w:rsidRPr="009579DE">
        <w:rPr>
          <w:rFonts w:ascii="Arial" w:hAnsi="Arial" w:cs="Arial"/>
          <w:i/>
          <w:iCs/>
        </w:rPr>
        <w:t xml:space="preserve">. </w:t>
      </w:r>
    </w:p>
    <w:p w14:paraId="43D6D97A" w14:textId="77777777" w:rsidR="00763D32" w:rsidRPr="009579DE" w:rsidRDefault="00763D32" w:rsidP="009579DE">
      <w:pPr>
        <w:pStyle w:val="Prrafodelista"/>
        <w:ind w:left="567" w:right="616" w:firstLine="360"/>
        <w:jc w:val="both"/>
        <w:rPr>
          <w:rFonts w:ascii="Arial" w:hAnsi="Arial" w:cs="Arial"/>
          <w:i/>
          <w:iCs/>
        </w:rPr>
      </w:pPr>
    </w:p>
    <w:p w14:paraId="246203C0"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Tiene aplicación la jurisprudencia por contradicción de tesis sustentada por la Segunda Sala de la Suprema Corte de Justicia de la Nación, que aparece publicada en la página 835 del Semanario Judicial de la Federación y su Gaceta, Libro V, Febrero de 2012, Tomo 2, Décima Época, materia Administrativa, con registro digital 160327, que a la letra dice:</w:t>
      </w:r>
    </w:p>
    <w:p w14:paraId="5F369BD7" w14:textId="77777777" w:rsidR="00763D32" w:rsidRPr="009579DE" w:rsidRDefault="00763D32" w:rsidP="009579DE">
      <w:pPr>
        <w:pStyle w:val="Prrafodelista"/>
        <w:ind w:left="567" w:right="616" w:firstLine="360"/>
        <w:jc w:val="both"/>
        <w:rPr>
          <w:rFonts w:ascii="Arial" w:hAnsi="Arial" w:cs="Arial"/>
          <w:b/>
          <w:i/>
          <w:iCs/>
        </w:rPr>
      </w:pPr>
    </w:p>
    <w:p w14:paraId="4D055EB2" w14:textId="77777777"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b/>
          <w:i/>
          <w:iCs/>
        </w:rPr>
        <w:t>“COMPETENCIA DE LAS AUTORIDADES ADMINISTRATIVAS. INAPLICABILIDAD DE LOS SUPUESTOS PREVISTOS EN EL ARTÍCULO 51, SEGUNDO PÁRRAFO, INCISO D), DE LA LEY FEDERAL DE PROCEDIMIENTO CONTENCIOSO ADMINISTRATIVO.” […]</w:t>
      </w:r>
    </w:p>
    <w:p w14:paraId="620EB977" w14:textId="77777777" w:rsidR="00763D32" w:rsidRPr="009579DE" w:rsidRDefault="00763D32" w:rsidP="009579DE">
      <w:pPr>
        <w:pStyle w:val="Prrafodelista"/>
        <w:ind w:left="567" w:right="616" w:firstLine="360"/>
        <w:jc w:val="both"/>
        <w:rPr>
          <w:rFonts w:ascii="Arial" w:hAnsi="Arial" w:cs="Arial"/>
          <w:i/>
          <w:iCs/>
        </w:rPr>
      </w:pPr>
    </w:p>
    <w:p w14:paraId="69EDEC29"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Así mismo, la Jurisprudencia de la Séptima Época con número de registro 252103, emitida por el Primer Tribunal Colegiado en materia Administrativa del Primer Circuito, publicada en el Semanario Judicial de la Federación, Volumen 121-126, Sexta Parte, visible en la página 280, de rubro y tenor siguientes: </w:t>
      </w:r>
    </w:p>
    <w:p w14:paraId="6789CA3E" w14:textId="77777777" w:rsidR="00763D32" w:rsidRPr="009579DE" w:rsidRDefault="00763D32" w:rsidP="009579DE">
      <w:pPr>
        <w:pStyle w:val="Prrafodelista"/>
        <w:ind w:left="567" w:right="616" w:firstLine="360"/>
        <w:jc w:val="both"/>
        <w:rPr>
          <w:rFonts w:ascii="Arial" w:hAnsi="Arial" w:cs="Arial"/>
          <w:b/>
          <w:i/>
          <w:iCs/>
        </w:rPr>
      </w:pPr>
    </w:p>
    <w:p w14:paraId="2C209533" w14:textId="77777777"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b/>
          <w:i/>
          <w:iCs/>
        </w:rPr>
        <w:t>“ACTOS VICIADOS, FRUTOS DE.” […]</w:t>
      </w:r>
    </w:p>
    <w:p w14:paraId="790895D9" w14:textId="77777777" w:rsidR="00763D32" w:rsidRPr="009579DE" w:rsidRDefault="00763D32" w:rsidP="009579DE">
      <w:pPr>
        <w:pStyle w:val="Prrafodelista"/>
        <w:ind w:left="567" w:right="616" w:firstLine="360"/>
        <w:jc w:val="both"/>
        <w:rPr>
          <w:rFonts w:ascii="Arial" w:hAnsi="Arial" w:cs="Arial"/>
          <w:b/>
          <w:i/>
          <w:iCs/>
        </w:rPr>
      </w:pPr>
    </w:p>
    <w:p w14:paraId="59699B3E"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Por último, al haber resultado suficiente el estudio del concepto de impugnación invocado en esta sentencia, por haber logrado evidenciar la legalidad de los actos impugnados y que estos son de mayor beneficio a la parte actora, aun cuando resultaren fundados los demás conceptos de impugnación formulados; que señalan su esencia, que el órgano que resolvió el procedimiento administrativo no se sujetó a las reglas generales de todo procedimiento seguido en forma de juicio y que afectó sus defensas al haber cambiado la autoridad administrativa los hechos que motivaron el procedimiento de revocación, asimismo al no realizar una interpretación estricta, al considerar que se actualiza la causal de revocación prevista en el artículo 100, fracciones V, IX y XII de la Ley de Transporte del Estado de Oaxaca, además de la falta de personalidad de la parte actora y de la directora jurídica de la Secretaría de Vialidad y Transporte, respectivamente para promover el procedimiento e iniciar el procedimiento administrativo, </w:t>
      </w:r>
      <w:r w:rsidRPr="009579DE">
        <w:rPr>
          <w:rFonts w:ascii="Arial" w:hAnsi="Arial" w:cs="Arial"/>
          <w:i/>
          <w:iCs/>
          <w:u w:val="single"/>
        </w:rPr>
        <w:t xml:space="preserve">resultando innecesario el análisis de los citados conceptos de impugnación, </w:t>
      </w:r>
      <w:r w:rsidRPr="009579DE">
        <w:rPr>
          <w:rFonts w:ascii="Arial" w:hAnsi="Arial" w:cs="Arial"/>
          <w:i/>
          <w:iCs/>
        </w:rPr>
        <w:t>pues en nada mejoraría la determinación emitida.</w:t>
      </w:r>
    </w:p>
    <w:p w14:paraId="43758BA4" w14:textId="77777777" w:rsidR="00763D32" w:rsidRPr="009579DE" w:rsidRDefault="00763D32" w:rsidP="009579DE">
      <w:pPr>
        <w:pStyle w:val="Prrafodelista"/>
        <w:ind w:left="567" w:right="616" w:firstLine="360"/>
        <w:jc w:val="both"/>
        <w:rPr>
          <w:rFonts w:ascii="Arial" w:hAnsi="Arial" w:cs="Arial"/>
          <w:i/>
          <w:iCs/>
        </w:rPr>
      </w:pPr>
    </w:p>
    <w:p w14:paraId="0F7ADE8F" w14:textId="77777777" w:rsidR="00763D32" w:rsidRPr="009579DE" w:rsidRDefault="00763D32" w:rsidP="009579DE">
      <w:pPr>
        <w:pStyle w:val="Prrafodelista"/>
        <w:ind w:left="567" w:right="616" w:firstLine="360"/>
        <w:jc w:val="both"/>
        <w:rPr>
          <w:rFonts w:ascii="Arial" w:hAnsi="Arial" w:cs="Arial"/>
          <w:i/>
          <w:iCs/>
        </w:rPr>
      </w:pPr>
      <w:r w:rsidRPr="009579DE">
        <w:rPr>
          <w:rFonts w:ascii="Arial" w:hAnsi="Arial" w:cs="Arial"/>
          <w:i/>
          <w:iCs/>
        </w:rPr>
        <w:t xml:space="preserve">Esta consideración encuentra apoyo por analogía jurídica, en los siguientes criterios: </w:t>
      </w:r>
      <w:r w:rsidRPr="009579DE">
        <w:rPr>
          <w:rFonts w:ascii="Arial" w:hAnsi="Arial" w:cs="Arial"/>
          <w:b/>
          <w:i/>
          <w:iCs/>
        </w:rPr>
        <w:t>1)</w:t>
      </w:r>
      <w:r w:rsidRPr="009579DE">
        <w:rPr>
          <w:rFonts w:ascii="Arial" w:hAnsi="Arial" w:cs="Arial"/>
          <w:i/>
          <w:iCs/>
        </w:rPr>
        <w:t xml:space="preserve"> jurisprudencia  P./J. 3/2005, del Pleno de la Suprema Corte de Justicia de la Nación, emitida en la novena época, publicada en el Semanario Judicial de la Federación y su Gaceta, Tomo XXI, febrero de 2005, consultable a página 5; </w:t>
      </w:r>
      <w:r w:rsidRPr="009579DE">
        <w:rPr>
          <w:rFonts w:ascii="Arial" w:hAnsi="Arial" w:cs="Arial"/>
          <w:b/>
          <w:i/>
          <w:iCs/>
        </w:rPr>
        <w:t xml:space="preserve">2) </w:t>
      </w:r>
      <w:r w:rsidRPr="009579DE">
        <w:rPr>
          <w:rFonts w:ascii="Arial" w:hAnsi="Arial" w:cs="Arial"/>
          <w:i/>
          <w:iCs/>
        </w:rPr>
        <w:t xml:space="preserve">jurisprudencia I.2º.A. J/23 del Segundo Tribunal Colegiado en Materia Administrativa del Primer </w:t>
      </w:r>
      <w:r w:rsidRPr="009579DE">
        <w:rPr>
          <w:rFonts w:ascii="Arial" w:hAnsi="Arial" w:cs="Arial"/>
          <w:i/>
          <w:iCs/>
        </w:rPr>
        <w:lastRenderedPageBreak/>
        <w:t xml:space="preserve">Circuito, emitida en la novena época, y publicada en el Semanario Judicial de la Federación y su Gaceta Tomo X de Agosto de 1999, consultable a página 647; criterios jurisprudenciales de rubro y texto del tenor literal siguiente: </w:t>
      </w:r>
    </w:p>
    <w:p w14:paraId="77B8CE77" w14:textId="77777777" w:rsidR="00763D32" w:rsidRPr="009579DE" w:rsidRDefault="00763D32" w:rsidP="009579DE">
      <w:pPr>
        <w:pStyle w:val="Prrafodelista"/>
        <w:ind w:left="567" w:right="616" w:firstLine="360"/>
        <w:jc w:val="both"/>
        <w:rPr>
          <w:rFonts w:ascii="Arial" w:hAnsi="Arial" w:cs="Arial"/>
          <w:i/>
          <w:iCs/>
        </w:rPr>
      </w:pPr>
    </w:p>
    <w:p w14:paraId="07D5A61E" w14:textId="77777777"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b/>
          <w:i/>
          <w:iCs/>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 […]</w:t>
      </w:r>
    </w:p>
    <w:p w14:paraId="2A527C2E" w14:textId="77777777" w:rsidR="00763D32" w:rsidRPr="009579DE" w:rsidRDefault="00763D32" w:rsidP="009579DE">
      <w:pPr>
        <w:pStyle w:val="Prrafodelista"/>
        <w:ind w:left="567" w:right="616" w:firstLine="360"/>
        <w:jc w:val="both"/>
        <w:rPr>
          <w:rFonts w:ascii="Arial" w:hAnsi="Arial" w:cs="Arial"/>
          <w:b/>
          <w:i/>
          <w:iCs/>
        </w:rPr>
      </w:pPr>
    </w:p>
    <w:p w14:paraId="3972BBCA" w14:textId="3882AE36" w:rsidR="00763D32" w:rsidRPr="009579DE" w:rsidRDefault="00763D32" w:rsidP="009579DE">
      <w:pPr>
        <w:pStyle w:val="Prrafodelista"/>
        <w:ind w:left="567" w:right="616" w:firstLine="360"/>
        <w:jc w:val="both"/>
        <w:rPr>
          <w:rFonts w:ascii="Arial" w:hAnsi="Arial" w:cs="Arial"/>
          <w:b/>
          <w:i/>
          <w:iCs/>
        </w:rPr>
      </w:pPr>
      <w:r w:rsidRPr="009579DE">
        <w:rPr>
          <w:rFonts w:ascii="Arial" w:hAnsi="Arial" w:cs="Arial"/>
          <w:b/>
          <w:i/>
          <w:iCs/>
        </w:rPr>
        <w:t>“CONCEPTOS DE ANULACIÓN. LA EXIGENCIA DE EXAMINARLOS EXHAUSTIVAMENTE DEBE PONDERARSE A LA LUZ DE CADA CONTROVERSIA EN PARTICULAR.” […]”</w:t>
      </w:r>
    </w:p>
    <w:p w14:paraId="0862115B" w14:textId="77777777" w:rsidR="0028521F" w:rsidRPr="009579DE" w:rsidRDefault="0028521F" w:rsidP="009579DE">
      <w:pPr>
        <w:pStyle w:val="Prrafodelista"/>
        <w:ind w:left="567" w:right="616" w:firstLine="360"/>
        <w:jc w:val="both"/>
        <w:rPr>
          <w:rFonts w:ascii="Arial" w:hAnsi="Arial" w:cs="Arial"/>
          <w:b/>
          <w:i/>
          <w:iCs/>
        </w:rPr>
      </w:pPr>
    </w:p>
    <w:p w14:paraId="02139FDB" w14:textId="124D2DEA" w:rsidR="008A7F40" w:rsidRPr="00825590" w:rsidRDefault="00763D32" w:rsidP="009D5526">
      <w:pPr>
        <w:spacing w:line="360" w:lineRule="auto"/>
        <w:ind w:firstLine="567"/>
        <w:jc w:val="both"/>
        <w:rPr>
          <w:rFonts w:ascii="Arial" w:hAnsi="Arial" w:cs="Arial"/>
          <w:bCs/>
          <w:sz w:val="26"/>
          <w:szCs w:val="26"/>
        </w:rPr>
      </w:pPr>
      <w:r w:rsidRPr="00A35C43">
        <w:rPr>
          <w:rFonts w:ascii="Arial" w:hAnsi="Arial" w:cs="Arial"/>
          <w:i/>
        </w:rPr>
        <w:t xml:space="preserve"> </w:t>
      </w:r>
      <w:r w:rsidRPr="00A35C43">
        <w:rPr>
          <w:rFonts w:ascii="Arial" w:hAnsi="Arial" w:cs="Arial"/>
          <w:bCs/>
          <w:color w:val="000000"/>
          <w:sz w:val="26"/>
          <w:szCs w:val="26"/>
        </w:rPr>
        <w:t xml:space="preserve">De lo anteriormente transcrito, se advierte que el magistrado de origen </w:t>
      </w:r>
      <w:r>
        <w:rPr>
          <w:rFonts w:ascii="Arial" w:hAnsi="Arial" w:cs="Arial"/>
          <w:bCs/>
          <w:color w:val="000000"/>
          <w:sz w:val="26"/>
          <w:szCs w:val="26"/>
        </w:rPr>
        <w:t xml:space="preserve">se avocó </w:t>
      </w:r>
      <w:r w:rsidR="00BE33C4">
        <w:rPr>
          <w:rFonts w:ascii="Arial" w:hAnsi="Arial" w:cs="Arial"/>
          <w:bCs/>
          <w:color w:val="000000"/>
          <w:sz w:val="26"/>
          <w:szCs w:val="26"/>
        </w:rPr>
        <w:t>a analizar l</w:t>
      </w:r>
      <w:r w:rsidR="002168B5">
        <w:rPr>
          <w:rFonts w:ascii="Arial" w:hAnsi="Arial" w:cs="Arial"/>
          <w:bCs/>
          <w:color w:val="000000"/>
          <w:sz w:val="26"/>
          <w:szCs w:val="26"/>
        </w:rPr>
        <w:t>os actos impugnados y l</w:t>
      </w:r>
      <w:r w:rsidR="00A9432A">
        <w:rPr>
          <w:rFonts w:ascii="Arial" w:hAnsi="Arial" w:cs="Arial"/>
          <w:bCs/>
          <w:color w:val="000000"/>
          <w:sz w:val="26"/>
          <w:szCs w:val="26"/>
        </w:rPr>
        <w:t xml:space="preserve">a prueba documental pública </w:t>
      </w:r>
      <w:r w:rsidR="002168B5">
        <w:rPr>
          <w:rFonts w:ascii="Arial" w:hAnsi="Arial" w:cs="Arial"/>
          <w:bCs/>
          <w:color w:val="000000"/>
          <w:sz w:val="26"/>
          <w:szCs w:val="26"/>
        </w:rPr>
        <w:t>existente en el expediente</w:t>
      </w:r>
      <w:r w:rsidR="00BE33C4">
        <w:rPr>
          <w:rFonts w:ascii="Arial" w:hAnsi="Arial" w:cs="Arial"/>
          <w:bCs/>
          <w:color w:val="000000"/>
          <w:sz w:val="26"/>
          <w:szCs w:val="26"/>
        </w:rPr>
        <w:t xml:space="preserve">, </w:t>
      </w:r>
      <w:r w:rsidR="00377346">
        <w:rPr>
          <w:rFonts w:ascii="Arial" w:hAnsi="Arial" w:cs="Arial"/>
          <w:bCs/>
          <w:color w:val="000000"/>
          <w:sz w:val="26"/>
          <w:szCs w:val="26"/>
        </w:rPr>
        <w:t xml:space="preserve">consistente en el procedimiento administrativo de revocación de concesión número </w:t>
      </w:r>
      <w:r w:rsidR="000D3B6B">
        <w:rPr>
          <w:rFonts w:ascii="Arial" w:hAnsi="Arial" w:cs="Arial"/>
          <w:bCs/>
          <w:color w:val="000000"/>
          <w:sz w:val="26"/>
          <w:szCs w:val="26"/>
        </w:rPr>
        <w:t>*******</w:t>
      </w:r>
      <w:r w:rsidR="00377346">
        <w:rPr>
          <w:rFonts w:ascii="Arial" w:hAnsi="Arial" w:cs="Arial"/>
          <w:bCs/>
          <w:color w:val="000000"/>
          <w:sz w:val="26"/>
          <w:szCs w:val="26"/>
        </w:rPr>
        <w:t xml:space="preserve">, de la entonces Secretaría de Vialidad y Transporte del Gobierno del Estado Oaxaca, ahora Secretaría de Movilidad; en el que el </w:t>
      </w:r>
      <w:r w:rsidR="008818C7">
        <w:rPr>
          <w:rFonts w:ascii="Arial" w:hAnsi="Arial" w:cs="Arial"/>
          <w:bCs/>
          <w:color w:val="000000"/>
          <w:sz w:val="26"/>
          <w:szCs w:val="26"/>
        </w:rPr>
        <w:t xml:space="preserve">instructor </w:t>
      </w:r>
      <w:r w:rsidR="00BE33C4">
        <w:rPr>
          <w:rFonts w:ascii="Arial" w:hAnsi="Arial" w:cs="Arial"/>
          <w:bCs/>
          <w:color w:val="000000"/>
          <w:sz w:val="26"/>
          <w:szCs w:val="26"/>
        </w:rPr>
        <w:t xml:space="preserve">detectó que la </w:t>
      </w:r>
      <w:r w:rsidR="00377346">
        <w:rPr>
          <w:rFonts w:ascii="Arial" w:hAnsi="Arial" w:cs="Arial"/>
          <w:bCs/>
          <w:color w:val="000000"/>
          <w:sz w:val="26"/>
          <w:szCs w:val="26"/>
        </w:rPr>
        <w:t xml:space="preserve">Directora Jurídica de la Secretaría </w:t>
      </w:r>
      <w:r w:rsidR="003C3161">
        <w:rPr>
          <w:rFonts w:ascii="Arial" w:hAnsi="Arial" w:cs="Arial"/>
          <w:bCs/>
          <w:color w:val="000000"/>
          <w:sz w:val="26"/>
          <w:szCs w:val="26"/>
        </w:rPr>
        <w:t xml:space="preserve">no aportó las razones jurídicas de su actuación </w:t>
      </w:r>
      <w:r w:rsidR="00377346">
        <w:rPr>
          <w:rFonts w:ascii="Arial" w:hAnsi="Arial" w:cs="Arial"/>
          <w:bCs/>
          <w:color w:val="000000"/>
          <w:sz w:val="26"/>
          <w:szCs w:val="26"/>
        </w:rPr>
        <w:t>en el</w:t>
      </w:r>
      <w:r w:rsidR="00E25866">
        <w:rPr>
          <w:rFonts w:ascii="Arial" w:hAnsi="Arial" w:cs="Arial"/>
          <w:bCs/>
          <w:color w:val="000000"/>
          <w:sz w:val="26"/>
          <w:szCs w:val="26"/>
        </w:rPr>
        <w:t xml:space="preserve"> acuerdo </w:t>
      </w:r>
      <w:r w:rsidR="00580781">
        <w:rPr>
          <w:rFonts w:ascii="Arial" w:hAnsi="Arial" w:cs="Arial"/>
          <w:bCs/>
          <w:color w:val="000000"/>
          <w:sz w:val="26"/>
          <w:szCs w:val="26"/>
        </w:rPr>
        <w:t>de veintiuno de abril de dos mil diecisiete</w:t>
      </w:r>
      <w:r w:rsidR="002F1D64">
        <w:rPr>
          <w:rFonts w:ascii="Arial" w:hAnsi="Arial" w:cs="Arial"/>
          <w:bCs/>
          <w:color w:val="000000"/>
          <w:sz w:val="26"/>
          <w:szCs w:val="26"/>
        </w:rPr>
        <w:t>,</w:t>
      </w:r>
      <w:r w:rsidR="00580781">
        <w:rPr>
          <w:rFonts w:ascii="Arial" w:hAnsi="Arial" w:cs="Arial"/>
          <w:bCs/>
          <w:color w:val="000000"/>
          <w:sz w:val="26"/>
          <w:szCs w:val="26"/>
        </w:rPr>
        <w:t xml:space="preserve"> </w:t>
      </w:r>
      <w:r w:rsidR="00377346">
        <w:rPr>
          <w:rFonts w:ascii="Arial" w:hAnsi="Arial" w:cs="Arial"/>
          <w:bCs/>
          <w:color w:val="000000"/>
          <w:sz w:val="26"/>
          <w:szCs w:val="26"/>
        </w:rPr>
        <w:t>para dictar e</w:t>
      </w:r>
      <w:r w:rsidR="00580781">
        <w:rPr>
          <w:rFonts w:ascii="Arial" w:hAnsi="Arial" w:cs="Arial"/>
          <w:bCs/>
          <w:color w:val="000000"/>
          <w:sz w:val="26"/>
          <w:szCs w:val="26"/>
        </w:rPr>
        <w:t>l inicio y procedencia d</w:t>
      </w:r>
      <w:r w:rsidR="00BE33C4">
        <w:rPr>
          <w:rFonts w:ascii="Arial" w:hAnsi="Arial" w:cs="Arial"/>
          <w:bCs/>
          <w:color w:val="000000"/>
          <w:sz w:val="26"/>
          <w:szCs w:val="26"/>
        </w:rPr>
        <w:t>e</w:t>
      </w:r>
      <w:r w:rsidR="00377346">
        <w:rPr>
          <w:rFonts w:ascii="Arial" w:hAnsi="Arial" w:cs="Arial"/>
          <w:bCs/>
          <w:color w:val="000000"/>
          <w:sz w:val="26"/>
          <w:szCs w:val="26"/>
        </w:rPr>
        <w:t xml:space="preserve"> ese procedimiento primigenio</w:t>
      </w:r>
      <w:r w:rsidR="003C3161">
        <w:rPr>
          <w:rFonts w:ascii="Arial" w:hAnsi="Arial" w:cs="Arial"/>
          <w:bCs/>
          <w:color w:val="000000"/>
          <w:sz w:val="26"/>
          <w:szCs w:val="26"/>
        </w:rPr>
        <w:t xml:space="preserve">; es decir, no fundó ni motivó su competencia en el acto que originó la </w:t>
      </w:r>
      <w:r w:rsidR="00006834">
        <w:rPr>
          <w:rFonts w:ascii="Arial" w:hAnsi="Arial" w:cs="Arial"/>
          <w:bCs/>
          <w:color w:val="000000"/>
          <w:sz w:val="26"/>
          <w:szCs w:val="26"/>
        </w:rPr>
        <w:t>molestia de los actores,</w:t>
      </w:r>
      <w:r w:rsidR="003C3161">
        <w:rPr>
          <w:rFonts w:ascii="Arial" w:hAnsi="Arial" w:cs="Arial"/>
          <w:bCs/>
          <w:color w:val="000000"/>
          <w:sz w:val="26"/>
          <w:szCs w:val="26"/>
        </w:rPr>
        <w:t xml:space="preserve"> lo que </w:t>
      </w:r>
      <w:r w:rsidR="00D239B1">
        <w:rPr>
          <w:rFonts w:ascii="Arial" w:hAnsi="Arial" w:cs="Arial"/>
          <w:bCs/>
          <w:color w:val="000000"/>
          <w:sz w:val="26"/>
          <w:szCs w:val="26"/>
        </w:rPr>
        <w:t>constituye una violación de forma que incide en su validez</w:t>
      </w:r>
      <w:r w:rsidR="003C3161">
        <w:rPr>
          <w:rFonts w:ascii="Arial" w:hAnsi="Arial" w:cs="Arial"/>
          <w:bCs/>
          <w:color w:val="000000"/>
          <w:sz w:val="26"/>
          <w:szCs w:val="26"/>
        </w:rPr>
        <w:t xml:space="preserve">, pues se trata de un vicio ostensible y particularmente grave que </w:t>
      </w:r>
      <w:r w:rsidR="007E7A52">
        <w:rPr>
          <w:rFonts w:ascii="Arial" w:hAnsi="Arial" w:cs="Arial"/>
          <w:bCs/>
          <w:color w:val="000000"/>
          <w:sz w:val="26"/>
          <w:szCs w:val="26"/>
        </w:rPr>
        <w:t>de ninguna forma puede ser convalidado</w:t>
      </w:r>
      <w:r w:rsidR="008818C7">
        <w:rPr>
          <w:rFonts w:ascii="Arial" w:hAnsi="Arial" w:cs="Arial"/>
          <w:bCs/>
          <w:color w:val="000000"/>
          <w:sz w:val="26"/>
          <w:szCs w:val="26"/>
        </w:rPr>
        <w:t xml:space="preserve">; </w:t>
      </w:r>
      <w:r w:rsidR="00564B42">
        <w:rPr>
          <w:rFonts w:ascii="Arial" w:hAnsi="Arial" w:cs="Arial"/>
          <w:bCs/>
          <w:color w:val="000000"/>
          <w:sz w:val="26"/>
          <w:szCs w:val="26"/>
        </w:rPr>
        <w:t xml:space="preserve">pues </w:t>
      </w:r>
      <w:r w:rsidR="001D598B">
        <w:rPr>
          <w:rFonts w:ascii="Arial" w:hAnsi="Arial" w:cs="Arial"/>
          <w:bCs/>
          <w:color w:val="000000"/>
          <w:sz w:val="26"/>
          <w:szCs w:val="26"/>
        </w:rPr>
        <w:t xml:space="preserve">incumple con </w:t>
      </w:r>
      <w:r w:rsidR="00564B42">
        <w:rPr>
          <w:rFonts w:ascii="Arial" w:hAnsi="Arial" w:cs="Arial"/>
          <w:bCs/>
          <w:color w:val="000000"/>
          <w:sz w:val="26"/>
          <w:szCs w:val="26"/>
        </w:rPr>
        <w:t>los</w:t>
      </w:r>
      <w:r w:rsidR="001D598B">
        <w:rPr>
          <w:rFonts w:ascii="Arial" w:hAnsi="Arial" w:cs="Arial"/>
          <w:bCs/>
          <w:color w:val="000000"/>
          <w:sz w:val="26"/>
          <w:szCs w:val="26"/>
        </w:rPr>
        <w:t xml:space="preserve"> elementos y requisitos que todo acto administrativo debe contener como ser expedido por </w:t>
      </w:r>
      <w:r w:rsidR="00564B42">
        <w:rPr>
          <w:rFonts w:ascii="Arial" w:hAnsi="Arial" w:cs="Arial"/>
          <w:bCs/>
          <w:color w:val="000000"/>
          <w:sz w:val="26"/>
          <w:szCs w:val="26"/>
        </w:rPr>
        <w:t>órgano competente, a través de servidor público que funde y motive su competencia, de conformidad con lo dispuesto por las fracciones I y V de la Ley de Procedimiento y Justicia Administrativa para el Estado de Oaxaca; lo que trasgrede el principio de legalidad contenido en el artículo 16 de la Constitución Política de los Estados Unidos Mexicanos. De ahí que</w:t>
      </w:r>
      <w:r w:rsidR="00FF0CC2">
        <w:rPr>
          <w:rFonts w:ascii="Arial" w:hAnsi="Arial" w:cs="Arial"/>
          <w:bCs/>
          <w:color w:val="000000"/>
          <w:sz w:val="26"/>
          <w:szCs w:val="26"/>
        </w:rPr>
        <w:t xml:space="preserve"> se encuentren apegadas a derecho</w:t>
      </w:r>
      <w:r w:rsidR="00564B42">
        <w:rPr>
          <w:rFonts w:ascii="Arial" w:hAnsi="Arial" w:cs="Arial"/>
          <w:bCs/>
          <w:color w:val="000000"/>
          <w:sz w:val="26"/>
          <w:szCs w:val="26"/>
        </w:rPr>
        <w:t xml:space="preserve"> </w:t>
      </w:r>
      <w:r w:rsidR="00D601C4">
        <w:rPr>
          <w:rFonts w:ascii="Arial" w:hAnsi="Arial" w:cs="Arial"/>
          <w:bCs/>
          <w:color w:val="000000"/>
          <w:sz w:val="26"/>
          <w:szCs w:val="26"/>
        </w:rPr>
        <w:t xml:space="preserve">las consideraciones del resolutor </w:t>
      </w:r>
      <w:r w:rsidR="00FF0CC2">
        <w:rPr>
          <w:rFonts w:ascii="Arial" w:hAnsi="Arial" w:cs="Arial"/>
          <w:bCs/>
          <w:color w:val="000000"/>
          <w:sz w:val="26"/>
          <w:szCs w:val="26"/>
        </w:rPr>
        <w:t xml:space="preserve">por las que decretó la </w:t>
      </w:r>
      <w:r w:rsidR="00A04612">
        <w:rPr>
          <w:rFonts w:ascii="Arial" w:hAnsi="Arial" w:cs="Arial"/>
          <w:bCs/>
          <w:color w:val="000000"/>
          <w:sz w:val="26"/>
          <w:szCs w:val="26"/>
        </w:rPr>
        <w:t>nulidad del acuerdo de veintiuno de abril de dos mil diecisiete</w:t>
      </w:r>
      <w:r w:rsidR="00FF0CC2">
        <w:rPr>
          <w:rFonts w:ascii="Arial" w:hAnsi="Arial" w:cs="Arial"/>
          <w:bCs/>
          <w:color w:val="000000"/>
          <w:sz w:val="26"/>
          <w:szCs w:val="26"/>
        </w:rPr>
        <w:t>,</w:t>
      </w:r>
      <w:r w:rsidR="00A04612">
        <w:rPr>
          <w:rFonts w:ascii="Arial" w:hAnsi="Arial" w:cs="Arial"/>
          <w:bCs/>
          <w:color w:val="000000"/>
          <w:sz w:val="26"/>
          <w:szCs w:val="26"/>
        </w:rPr>
        <w:t xml:space="preserve"> </w:t>
      </w:r>
      <w:r w:rsidR="008818C7">
        <w:rPr>
          <w:rFonts w:ascii="Arial" w:hAnsi="Arial" w:cs="Arial"/>
          <w:bCs/>
          <w:color w:val="000000"/>
          <w:sz w:val="26"/>
          <w:szCs w:val="26"/>
        </w:rPr>
        <w:t xml:space="preserve">con el que comenzó </w:t>
      </w:r>
      <w:r w:rsidR="00A04612">
        <w:rPr>
          <w:rFonts w:ascii="Arial" w:hAnsi="Arial" w:cs="Arial"/>
          <w:bCs/>
          <w:color w:val="000000"/>
          <w:sz w:val="26"/>
          <w:szCs w:val="26"/>
        </w:rPr>
        <w:t xml:space="preserve">el procedimiento administrativo de revocación de concesión </w:t>
      </w:r>
      <w:r w:rsidR="003B4130">
        <w:rPr>
          <w:rFonts w:ascii="Arial" w:hAnsi="Arial" w:cs="Arial"/>
          <w:bCs/>
          <w:color w:val="000000"/>
          <w:sz w:val="26"/>
          <w:szCs w:val="26"/>
        </w:rPr>
        <w:t xml:space="preserve">con número de expediente </w:t>
      </w:r>
      <w:r w:rsidR="000D3B6B">
        <w:rPr>
          <w:rFonts w:ascii="Arial" w:hAnsi="Arial" w:cs="Arial"/>
          <w:bCs/>
          <w:color w:val="000000"/>
          <w:sz w:val="26"/>
          <w:szCs w:val="26"/>
        </w:rPr>
        <w:t>*******</w:t>
      </w:r>
      <w:r w:rsidR="008818C7">
        <w:rPr>
          <w:rFonts w:ascii="Arial" w:hAnsi="Arial" w:cs="Arial"/>
          <w:bCs/>
          <w:color w:val="000000"/>
          <w:sz w:val="26"/>
          <w:szCs w:val="26"/>
        </w:rPr>
        <w:t xml:space="preserve"> y, por consiguiente, </w:t>
      </w:r>
      <w:r w:rsidR="00A04612">
        <w:rPr>
          <w:rFonts w:ascii="Arial" w:hAnsi="Arial" w:cs="Arial"/>
          <w:bCs/>
          <w:color w:val="000000"/>
          <w:sz w:val="26"/>
          <w:szCs w:val="26"/>
        </w:rPr>
        <w:t>todo lo actuado en él,</w:t>
      </w:r>
      <w:r w:rsidR="008818C7">
        <w:rPr>
          <w:rFonts w:ascii="Arial" w:hAnsi="Arial" w:cs="Arial"/>
          <w:bCs/>
          <w:color w:val="000000"/>
          <w:sz w:val="26"/>
          <w:szCs w:val="26"/>
        </w:rPr>
        <w:t xml:space="preserve"> </w:t>
      </w:r>
      <w:r w:rsidR="003B4130">
        <w:rPr>
          <w:rFonts w:ascii="Arial" w:hAnsi="Arial" w:cs="Arial"/>
          <w:bCs/>
          <w:color w:val="000000"/>
          <w:sz w:val="26"/>
          <w:szCs w:val="26"/>
        </w:rPr>
        <w:t xml:space="preserve">incluso </w:t>
      </w:r>
      <w:r w:rsidR="00A04612">
        <w:rPr>
          <w:rFonts w:ascii="Arial" w:hAnsi="Arial" w:cs="Arial"/>
          <w:bCs/>
          <w:sz w:val="26"/>
          <w:szCs w:val="26"/>
        </w:rPr>
        <w:t xml:space="preserve">la </w:t>
      </w:r>
      <w:r w:rsidR="00A04612" w:rsidRPr="000121D2">
        <w:rPr>
          <w:rFonts w:ascii="Arial" w:hAnsi="Arial" w:cs="Arial"/>
          <w:bCs/>
          <w:sz w:val="26"/>
          <w:szCs w:val="26"/>
        </w:rPr>
        <w:t xml:space="preserve">resolución </w:t>
      </w:r>
      <w:r w:rsidR="003B4130">
        <w:rPr>
          <w:rFonts w:ascii="Arial" w:hAnsi="Arial" w:cs="Arial"/>
          <w:bCs/>
          <w:sz w:val="26"/>
          <w:szCs w:val="26"/>
        </w:rPr>
        <w:t xml:space="preserve">final </w:t>
      </w:r>
      <w:r w:rsidR="00A04612" w:rsidRPr="000121D2">
        <w:rPr>
          <w:rFonts w:ascii="Arial" w:hAnsi="Arial" w:cs="Arial"/>
          <w:bCs/>
          <w:sz w:val="26"/>
          <w:szCs w:val="26"/>
        </w:rPr>
        <w:t>de cuatro de noviembre de dos mil veinte</w:t>
      </w:r>
      <w:r w:rsidR="003B4130">
        <w:rPr>
          <w:rFonts w:ascii="Arial" w:hAnsi="Arial" w:cs="Arial"/>
          <w:bCs/>
          <w:sz w:val="26"/>
          <w:szCs w:val="26"/>
        </w:rPr>
        <w:t xml:space="preserve"> por derivar de un acto </w:t>
      </w:r>
      <w:r w:rsidR="003B4130">
        <w:rPr>
          <w:rFonts w:ascii="Arial" w:hAnsi="Arial" w:cs="Arial"/>
          <w:bCs/>
          <w:sz w:val="26"/>
          <w:szCs w:val="26"/>
        </w:rPr>
        <w:lastRenderedPageBreak/>
        <w:t>viciado de origen</w:t>
      </w:r>
      <w:r w:rsidR="00FF0CC2">
        <w:rPr>
          <w:rFonts w:ascii="Arial" w:hAnsi="Arial" w:cs="Arial"/>
          <w:bCs/>
          <w:color w:val="000000"/>
          <w:sz w:val="26"/>
          <w:szCs w:val="26"/>
        </w:rPr>
        <w:t xml:space="preserve">; motivo por el cual se califican como </w:t>
      </w:r>
      <w:r w:rsidR="00F277C8" w:rsidRPr="00F277C8">
        <w:rPr>
          <w:rFonts w:ascii="Arial" w:hAnsi="Arial" w:cs="Arial"/>
          <w:b/>
          <w:color w:val="000000"/>
          <w:sz w:val="26"/>
          <w:szCs w:val="26"/>
        </w:rPr>
        <w:t>INFUNDADO</w:t>
      </w:r>
      <w:r w:rsidR="00FF0CC2">
        <w:rPr>
          <w:rFonts w:ascii="Arial" w:hAnsi="Arial" w:cs="Arial"/>
          <w:b/>
          <w:color w:val="000000"/>
          <w:sz w:val="26"/>
          <w:szCs w:val="26"/>
        </w:rPr>
        <w:t>S</w:t>
      </w:r>
      <w:r w:rsidR="00C77A84">
        <w:rPr>
          <w:rFonts w:ascii="Arial" w:hAnsi="Arial" w:cs="Arial"/>
          <w:bCs/>
          <w:color w:val="000000"/>
          <w:sz w:val="26"/>
          <w:szCs w:val="26"/>
        </w:rPr>
        <w:t xml:space="preserve"> los agravios del recurrente.</w:t>
      </w:r>
      <w:r w:rsidR="009579DE">
        <w:rPr>
          <w:rFonts w:ascii="Arial" w:hAnsi="Arial" w:cs="Arial"/>
          <w:bCs/>
          <w:color w:val="000000"/>
          <w:sz w:val="26"/>
          <w:szCs w:val="26"/>
        </w:rPr>
        <w:t xml:space="preserve"> - - - - - - - - - - - - - - - - - - - - - </w:t>
      </w:r>
      <w:r w:rsidR="000D3B6B">
        <w:rPr>
          <w:rFonts w:ascii="Arial" w:hAnsi="Arial" w:cs="Arial"/>
          <w:bCs/>
          <w:color w:val="000000"/>
          <w:sz w:val="26"/>
          <w:szCs w:val="26"/>
        </w:rPr>
        <w:t xml:space="preserve">- - - - - - - - - - - </w:t>
      </w:r>
    </w:p>
    <w:p w14:paraId="1C6ED39B" w14:textId="06EF982E" w:rsidR="00F277C8" w:rsidRPr="00F277C8" w:rsidRDefault="00F277C8" w:rsidP="00F277C8">
      <w:pPr>
        <w:spacing w:line="360" w:lineRule="auto"/>
        <w:ind w:firstLine="567"/>
        <w:jc w:val="both"/>
        <w:rPr>
          <w:rFonts w:ascii="Calibri" w:eastAsia="Times New Roman" w:hAnsi="Calibri" w:cs="Calibri"/>
          <w:color w:val="212529"/>
          <w:sz w:val="26"/>
          <w:szCs w:val="26"/>
        </w:rPr>
      </w:pPr>
      <w:r>
        <w:rPr>
          <w:rFonts w:ascii="Arial" w:hAnsi="Arial" w:cs="Arial"/>
          <w:bCs/>
          <w:color w:val="000000"/>
          <w:sz w:val="26"/>
          <w:szCs w:val="26"/>
        </w:rPr>
        <w:t>Sirve de apoyo a lo anterior, la Jurisprudencia en materia administrativa número 2a</w:t>
      </w:r>
      <w:proofErr w:type="gramStart"/>
      <w:r>
        <w:rPr>
          <w:rFonts w:ascii="Arial" w:hAnsi="Arial" w:cs="Arial"/>
          <w:bCs/>
          <w:color w:val="000000"/>
          <w:sz w:val="26"/>
          <w:szCs w:val="26"/>
        </w:rPr>
        <w:t>./</w:t>
      </w:r>
      <w:proofErr w:type="gramEnd"/>
      <w:r>
        <w:rPr>
          <w:rFonts w:ascii="Arial" w:hAnsi="Arial" w:cs="Arial"/>
          <w:bCs/>
          <w:color w:val="000000"/>
          <w:sz w:val="26"/>
          <w:szCs w:val="26"/>
        </w:rPr>
        <w:t xml:space="preserve">J. 174/2011 (9a.), con número de registro digital 160327, de la Décima Época, emitida por la Segunda Sala de la Suprema Corte de Justicia de la Nación, </w:t>
      </w:r>
      <w:r w:rsidR="009579DE">
        <w:rPr>
          <w:rFonts w:ascii="Arial" w:hAnsi="Arial" w:cs="Arial"/>
          <w:bCs/>
          <w:color w:val="000000"/>
          <w:sz w:val="26"/>
          <w:szCs w:val="26"/>
        </w:rPr>
        <w:t>publicada en</w:t>
      </w:r>
      <w:r>
        <w:rPr>
          <w:rFonts w:ascii="Arial" w:hAnsi="Arial" w:cs="Arial"/>
          <w:bCs/>
          <w:color w:val="000000"/>
          <w:sz w:val="26"/>
          <w:szCs w:val="26"/>
        </w:rPr>
        <w:t xml:space="preserve"> el Semanario Judicial de la Federación y su Gaceta, en el Libro V, Febrero de 2012, Tomo 2, visible a página 835, de rubro y texto siguientes: </w:t>
      </w:r>
    </w:p>
    <w:p w14:paraId="150D36D7" w14:textId="74E9D27B" w:rsidR="00F277C8" w:rsidRPr="00815AEB" w:rsidRDefault="00F277C8" w:rsidP="009579DE">
      <w:pPr>
        <w:shd w:val="clear" w:color="auto" w:fill="FFFFFF"/>
        <w:spacing w:after="0"/>
        <w:ind w:left="567" w:right="616"/>
        <w:jc w:val="both"/>
        <w:rPr>
          <w:rFonts w:ascii="Arial" w:eastAsia="Times New Roman" w:hAnsi="Arial" w:cs="Arial"/>
          <w:i/>
          <w:iCs/>
        </w:rPr>
      </w:pPr>
      <w:r w:rsidRPr="00815AEB">
        <w:rPr>
          <w:rFonts w:ascii="Arial" w:eastAsia="Times New Roman" w:hAnsi="Arial" w:cs="Arial"/>
          <w:b/>
          <w:bCs/>
          <w:i/>
          <w:iCs/>
        </w:rPr>
        <w:t xml:space="preserve">“COMPETENCIA DE LAS AUTORIDADES ADMINISTRATIVAS. INAPLICABILIDAD DE LOS SUPUESTOS PREVISTOS EN EL ARTÍCULO 51, SEGUNDO PÁRRAFO, INCISO D), DE LA LEY FEDERAL DE PROCEDIMIENTO CONTENCIOSO ADMINISTRATIVO. </w:t>
      </w:r>
      <w:r w:rsidRPr="00815AEB">
        <w:rPr>
          <w:rFonts w:ascii="Arial" w:eastAsia="Times New Roman" w:hAnsi="Arial" w:cs="Arial"/>
          <w:i/>
          <w:iCs/>
        </w:rPr>
        <w:t xml:space="preserve">Conforme a los criterios sustentados por este Alto Tribunal, </w:t>
      </w:r>
      <w:r w:rsidRPr="00815AEB">
        <w:rPr>
          <w:rFonts w:ascii="Arial" w:eastAsia="Times New Roman" w:hAnsi="Arial" w:cs="Arial"/>
          <w:i/>
          <w:iCs/>
          <w:u w:val="single"/>
        </w:rPr>
        <w:t xml:space="preserve">la falta, indebida o insuficiente fundamentación de la competencia de la autoridad que emite un acto administrativo, incide directamente en su validez, toda vez que esas deficiencias impiden que el juzgador pueda pronunciarse </w:t>
      </w:r>
      <w:r w:rsidRPr="00815AEB">
        <w:rPr>
          <w:rFonts w:ascii="Arial" w:eastAsia="Times New Roman" w:hAnsi="Arial" w:cs="Arial"/>
          <w:u w:val="single"/>
        </w:rPr>
        <w:t>respecto a los efectos o consecuencias jurídicas que dicho acto pudiera</w:t>
      </w:r>
      <w:r w:rsidRPr="00815AEB">
        <w:rPr>
          <w:rFonts w:ascii="Arial" w:eastAsia="Times New Roman" w:hAnsi="Arial" w:cs="Arial"/>
          <w:i/>
          <w:iCs/>
          <w:u w:val="single"/>
        </w:rPr>
        <w:t xml:space="preserve"> tener sobre el particular, obligándolo a declarar la nulidad del acto o resolución en su integridad, por lo que la nulidad decretada en esos casos constituye un supuesto en el cual la violación formal cometida no resulta, por regla general, subsanable. </w:t>
      </w:r>
      <w:r w:rsidRPr="00815AEB">
        <w:rPr>
          <w:rFonts w:ascii="Arial" w:eastAsia="Times New Roman" w:hAnsi="Arial" w:cs="Arial"/>
          <w:i/>
          <w:iCs/>
        </w:rPr>
        <w:t>Ahora bien, el </w:t>
      </w:r>
      <w:hyperlink r:id="rId8" w:history="1">
        <w:r w:rsidRPr="00815AEB">
          <w:rPr>
            <w:rFonts w:ascii="Arial" w:eastAsia="Times New Roman" w:hAnsi="Arial" w:cs="Arial"/>
            <w:i/>
            <w:iCs/>
          </w:rPr>
          <w:t>párrafo segundo, inciso d), del artículo 51</w:t>
        </w:r>
      </w:hyperlink>
      <w:r w:rsidRPr="00815AEB">
        <w:rPr>
          <w:rFonts w:ascii="Arial" w:eastAsia="Times New Roman" w:hAnsi="Arial" w:cs="Arial"/>
          <w:i/>
          <w:iCs/>
        </w:rPr>
        <w:t xml:space="preserve">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w:t>
      </w:r>
      <w:r w:rsidRPr="00815AEB">
        <w:rPr>
          <w:rFonts w:ascii="Arial" w:eastAsia="Times New Roman" w:hAnsi="Arial" w:cs="Arial"/>
          <w:i/>
          <w:iCs/>
          <w:u w:val="single"/>
        </w:rPr>
        <w:t>pues ello constituye un vicio que</w:t>
      </w:r>
      <w:r w:rsidRPr="00815AEB">
        <w:rPr>
          <w:rFonts w:ascii="Arial" w:eastAsia="Times New Roman" w:hAnsi="Arial" w:cs="Arial"/>
          <w:i/>
          <w:iCs/>
        </w:rPr>
        <w:t xml:space="preserve"> no es análogo a los referidos supuestos legales, además de que tal disposición no puede interpretarse extensivamente porque </w:t>
      </w:r>
      <w:r w:rsidRPr="00815AEB">
        <w:rPr>
          <w:rFonts w:ascii="Arial" w:eastAsia="Times New Roman" w:hAnsi="Arial" w:cs="Arial"/>
          <w:i/>
          <w:iCs/>
          <w:u w:val="single"/>
        </w:rPr>
        <w:t>atentaría contra el principio de legalidad previsto en el artículo </w:t>
      </w:r>
      <w:hyperlink r:id="rId9" w:history="1">
        <w:r w:rsidRPr="00815AEB">
          <w:rPr>
            <w:rFonts w:ascii="Arial" w:eastAsia="Times New Roman" w:hAnsi="Arial" w:cs="Arial"/>
            <w:i/>
            <w:iCs/>
            <w:u w:val="single"/>
          </w:rPr>
          <w:t>16 de la Constitución Política de los Estados Unidos Mexicanos</w:t>
        </w:r>
      </w:hyperlink>
      <w:r w:rsidRPr="00815AEB">
        <w:rPr>
          <w:rFonts w:ascii="Arial" w:eastAsia="Times New Roman" w:hAnsi="Arial" w:cs="Arial"/>
          <w:i/>
          <w:iCs/>
          <w:u w:val="single"/>
        </w:rPr>
        <w:t>.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w:t>
      </w:r>
      <w:r w:rsidRPr="00815AEB">
        <w:rPr>
          <w:rFonts w:ascii="Arial" w:eastAsia="Times New Roman" w:hAnsi="Arial" w:cs="Arial"/>
          <w:i/>
          <w:iCs/>
        </w:rPr>
        <w:t xml:space="preser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w:t>
      </w:r>
      <w:r w:rsidR="004912EB" w:rsidRPr="00815AEB">
        <w:rPr>
          <w:rFonts w:ascii="Arial" w:eastAsia="Times New Roman" w:hAnsi="Arial" w:cs="Arial"/>
          <w:i/>
          <w:iCs/>
        </w:rPr>
        <w:t xml:space="preserve"> </w:t>
      </w:r>
      <w:r w:rsidR="004912EB" w:rsidRPr="00815AEB">
        <w:rPr>
          <w:rFonts w:ascii="Arial" w:eastAsia="Times New Roman" w:hAnsi="Arial" w:cs="Arial"/>
        </w:rPr>
        <w:t>(Lo subrayado es propio)</w:t>
      </w:r>
    </w:p>
    <w:p w14:paraId="003B0064" w14:textId="77777777" w:rsidR="00330853" w:rsidRDefault="00330853" w:rsidP="00763D32">
      <w:pPr>
        <w:spacing w:line="360" w:lineRule="auto"/>
        <w:ind w:firstLine="567"/>
        <w:jc w:val="both"/>
        <w:rPr>
          <w:rFonts w:ascii="Arial" w:hAnsi="Arial" w:cs="Arial"/>
          <w:bCs/>
          <w:color w:val="000000"/>
          <w:sz w:val="26"/>
          <w:szCs w:val="26"/>
        </w:rPr>
      </w:pPr>
    </w:p>
    <w:p w14:paraId="152C852E" w14:textId="2A5874A1" w:rsidR="00760F14" w:rsidRDefault="00137EFF" w:rsidP="00691DA4">
      <w:pPr>
        <w:spacing w:line="360" w:lineRule="auto"/>
        <w:ind w:firstLine="708"/>
        <w:jc w:val="both"/>
        <w:rPr>
          <w:rFonts w:ascii="Arial" w:eastAsia="Calibri" w:hAnsi="Arial" w:cs="Arial"/>
          <w:bCs/>
          <w:sz w:val="26"/>
          <w:szCs w:val="26"/>
          <w:lang w:val="es-ES" w:eastAsia="en-US"/>
        </w:rPr>
      </w:pPr>
      <w:r w:rsidRPr="00137EFF">
        <w:rPr>
          <w:rFonts w:ascii="Arial" w:hAnsi="Arial" w:cs="Arial"/>
          <w:b/>
          <w:sz w:val="26"/>
          <w:szCs w:val="26"/>
        </w:rPr>
        <w:lastRenderedPageBreak/>
        <w:t>QUINTO.</w:t>
      </w:r>
      <w:r>
        <w:rPr>
          <w:rFonts w:ascii="Arial" w:hAnsi="Arial" w:cs="Arial"/>
          <w:bCs/>
          <w:sz w:val="26"/>
          <w:szCs w:val="26"/>
        </w:rPr>
        <w:t xml:space="preserve"> </w:t>
      </w:r>
      <w:r w:rsidR="00691DA4">
        <w:rPr>
          <w:rFonts w:ascii="Arial" w:hAnsi="Arial" w:cs="Arial"/>
          <w:bCs/>
          <w:sz w:val="26"/>
          <w:szCs w:val="26"/>
        </w:rPr>
        <w:t xml:space="preserve">Con relación a los agravios </w:t>
      </w:r>
      <w:r w:rsidR="00760F14">
        <w:rPr>
          <w:rFonts w:ascii="Arial" w:eastAsia="Calibri" w:hAnsi="Arial" w:cs="Arial"/>
          <w:bCs/>
          <w:sz w:val="26"/>
          <w:szCs w:val="26"/>
          <w:lang w:val="es-ES" w:eastAsia="en-US"/>
        </w:rPr>
        <w:t xml:space="preserve">expuestos por </w:t>
      </w:r>
      <w:r w:rsidR="00691DA4">
        <w:rPr>
          <w:rFonts w:ascii="Arial" w:eastAsia="Calibri" w:hAnsi="Arial" w:cs="Arial"/>
          <w:bCs/>
          <w:sz w:val="26"/>
          <w:szCs w:val="26"/>
          <w:lang w:val="es-ES" w:eastAsia="en-US"/>
        </w:rPr>
        <w:t xml:space="preserve">la autoridad recurrente, </w:t>
      </w:r>
      <w:r w:rsidR="00760F14">
        <w:rPr>
          <w:rFonts w:ascii="Arial" w:eastAsia="Calibri" w:hAnsi="Arial" w:cs="Arial"/>
          <w:bCs/>
          <w:sz w:val="26"/>
          <w:szCs w:val="26"/>
          <w:lang w:val="es-ES" w:eastAsia="en-US"/>
        </w:rPr>
        <w:t xml:space="preserve">se examinarán en orden diverso al propuesto en su escrito de impugnación, </w:t>
      </w:r>
      <w:r w:rsidR="00760F14">
        <w:rPr>
          <w:rFonts w:ascii="Arial" w:eastAsia="Calibri" w:hAnsi="Arial" w:cs="Arial"/>
          <w:bCs/>
          <w:sz w:val="26"/>
          <w:szCs w:val="26"/>
        </w:rPr>
        <w:t xml:space="preserve">con la finalidad de resolver la cuestión efectivamente planteada, </w:t>
      </w:r>
      <w:r w:rsidR="00760F14">
        <w:rPr>
          <w:rFonts w:ascii="Arial" w:eastAsia="Calibri" w:hAnsi="Arial" w:cs="Arial"/>
          <w:bCs/>
          <w:sz w:val="26"/>
          <w:szCs w:val="26"/>
          <w:lang w:val="es-ES" w:eastAsia="en-US"/>
        </w:rPr>
        <w:t>sin que ello implique violación a las formalidades esenciales del procedimiento.</w:t>
      </w:r>
      <w:r w:rsidR="00815AEB">
        <w:rPr>
          <w:rFonts w:ascii="Arial" w:eastAsia="Calibri" w:hAnsi="Arial" w:cs="Arial"/>
          <w:bCs/>
          <w:sz w:val="26"/>
          <w:szCs w:val="26"/>
          <w:lang w:val="es-ES" w:eastAsia="en-US"/>
        </w:rPr>
        <w:t xml:space="preserve"> </w:t>
      </w:r>
      <w:r w:rsidR="00815AEB">
        <w:rPr>
          <w:rFonts w:ascii="Arial" w:hAnsi="Arial" w:cs="Arial"/>
          <w:bCs/>
          <w:color w:val="000000"/>
          <w:sz w:val="26"/>
          <w:szCs w:val="26"/>
        </w:rPr>
        <w:t xml:space="preserve">- - - - - - - - - - - - - - - - - - - - - - - - - - - - - - - - - - - - - - - </w:t>
      </w:r>
    </w:p>
    <w:p w14:paraId="67FDFD0A" w14:textId="77777777" w:rsidR="00760F14" w:rsidRDefault="00760F14" w:rsidP="00760F14">
      <w:pPr>
        <w:tabs>
          <w:tab w:val="left" w:pos="5670"/>
        </w:tabs>
        <w:spacing w:before="240" w:after="0" w:line="360" w:lineRule="auto"/>
        <w:ind w:firstLine="708"/>
        <w:jc w:val="both"/>
        <w:rPr>
          <w:rFonts w:ascii="Arial" w:eastAsia="Calibri" w:hAnsi="Arial" w:cs="Arial"/>
          <w:b/>
          <w:sz w:val="24"/>
          <w:szCs w:val="24"/>
          <w:lang w:val="es-ES" w:eastAsia="en-US"/>
        </w:rPr>
      </w:pPr>
      <w:r>
        <w:rPr>
          <w:rFonts w:ascii="Arial" w:eastAsia="Calibri" w:hAnsi="Arial" w:cs="Arial"/>
          <w:bCs/>
          <w:sz w:val="26"/>
          <w:szCs w:val="26"/>
          <w:lang w:val="es-ES" w:eastAsia="en-US"/>
        </w:rPr>
        <w:t xml:space="preserve">Sirve de apoyo a lo anterior la jurisprudencia en materia común, de la Décima Época, con registro digital número 2011406, emitida por los Tribunales Colegiados de Circuito, publicada en el Semanario Judicial de la Federación y su Gaceta, </w:t>
      </w:r>
      <w:r>
        <w:rPr>
          <w:rFonts w:ascii="Arial" w:eastAsia="Calibri" w:hAnsi="Arial" w:cs="Arial"/>
          <w:sz w:val="26"/>
          <w:szCs w:val="26"/>
          <w:lang w:val="es-ES" w:eastAsia="en-US"/>
        </w:rPr>
        <w:t xml:space="preserve">Libro 29, abril de 2016, Tomo III, visible a  página 2018, de rubro y texto siguiente: </w:t>
      </w:r>
    </w:p>
    <w:p w14:paraId="15E165D7" w14:textId="77777777" w:rsidR="00760F14" w:rsidRPr="00815AEB" w:rsidRDefault="00760F14" w:rsidP="00815AEB">
      <w:pPr>
        <w:tabs>
          <w:tab w:val="left" w:pos="5670"/>
        </w:tabs>
        <w:spacing w:before="240"/>
        <w:ind w:left="567" w:right="616"/>
        <w:jc w:val="both"/>
        <w:rPr>
          <w:rFonts w:ascii="Arial" w:eastAsia="Arial Unicode MS" w:hAnsi="Arial" w:cs="Arial"/>
          <w:i/>
          <w:iCs/>
          <w:sz w:val="26"/>
          <w:szCs w:val="26"/>
        </w:rPr>
      </w:pPr>
      <w:r w:rsidRPr="00815AEB">
        <w:rPr>
          <w:rFonts w:ascii="Arial" w:eastAsia="Calibri" w:hAnsi="Arial" w:cs="Arial"/>
          <w:b/>
          <w:i/>
          <w:iCs/>
          <w:lang w:val="es-ES" w:eastAsia="en-US"/>
        </w:rPr>
        <w:t xml:space="preserve">“CONCEPTOS DE VIOLACIÓN O AGRAVIOS. PROCEDE SU ANÁLISIS DE MANERA INDIVIDUAL, CONJUNTA O POR GRUPOS Y EN EL ORDEN PROPUESTO O EN UNO DIVERSO. </w:t>
      </w:r>
      <w:r w:rsidRPr="00815AEB">
        <w:rPr>
          <w:rFonts w:ascii="Arial" w:eastAsia="Calibri" w:hAnsi="Arial" w:cs="Arial"/>
          <w:i/>
          <w:iCs/>
          <w:lang w:val="es-ES" w:eastAsia="en-US"/>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23F97315" w14:textId="663DF79C" w:rsidR="00AE5C92" w:rsidRDefault="00AE5C92" w:rsidP="00AE5C92">
      <w:pPr>
        <w:spacing w:before="240" w:line="360" w:lineRule="auto"/>
        <w:ind w:firstLine="708"/>
        <w:jc w:val="both"/>
        <w:rPr>
          <w:rFonts w:ascii="Arial" w:hAnsi="Arial" w:cs="Arial"/>
          <w:bCs/>
          <w:sz w:val="26"/>
          <w:szCs w:val="26"/>
        </w:rPr>
      </w:pPr>
      <w:r w:rsidRPr="00AE5C92">
        <w:rPr>
          <w:rFonts w:ascii="Arial" w:hAnsi="Arial" w:cs="Arial"/>
          <w:b/>
          <w:sz w:val="26"/>
          <w:szCs w:val="26"/>
        </w:rPr>
        <w:t xml:space="preserve">En </w:t>
      </w:r>
      <w:r>
        <w:rPr>
          <w:rFonts w:ascii="Arial" w:hAnsi="Arial" w:cs="Arial"/>
          <w:b/>
          <w:sz w:val="26"/>
          <w:szCs w:val="26"/>
        </w:rPr>
        <w:t xml:space="preserve">el </w:t>
      </w:r>
      <w:r w:rsidRPr="00AE5C92">
        <w:rPr>
          <w:rFonts w:ascii="Arial" w:hAnsi="Arial" w:cs="Arial"/>
          <w:b/>
          <w:sz w:val="26"/>
          <w:szCs w:val="26"/>
        </w:rPr>
        <w:t>agravio tercero</w:t>
      </w:r>
      <w:r>
        <w:rPr>
          <w:rFonts w:ascii="Arial" w:hAnsi="Arial" w:cs="Arial"/>
          <w:bCs/>
          <w:sz w:val="26"/>
          <w:szCs w:val="26"/>
        </w:rPr>
        <w:t xml:space="preserve">, el recurrente debate que la sentencia no se encuentra debidamente fundada y motivada porque la nulidad decretada debió ser para efectos por tratarse de un vicio de fondo que puede ser subsanado, de lo que se desprende que la primera instancia omitió pronunciarse respecto al procedimiento en su totalidad sin detenerse a analizar todas las etapas del procedimiento, violando en perjuicio de su representada los artículos 206 y 207 fracciones I y II de la Ley de Procedimiento y Justicia Administrativa para el Estado de Oaxaca. </w:t>
      </w:r>
      <w:r w:rsidR="00815AEB">
        <w:rPr>
          <w:rFonts w:ascii="Arial" w:hAnsi="Arial" w:cs="Arial"/>
          <w:bCs/>
          <w:color w:val="000000"/>
          <w:sz w:val="26"/>
          <w:szCs w:val="26"/>
        </w:rPr>
        <w:t>- - - - - - - - - - - - - - - - - - - - - - - - - - - - - - - - - - - - - - - - - - - - - -</w:t>
      </w:r>
    </w:p>
    <w:p w14:paraId="2CDF0E6E" w14:textId="14AFA0EE" w:rsidR="004815D1" w:rsidRDefault="00131F93" w:rsidP="00941EC1">
      <w:pPr>
        <w:pStyle w:val="Sinespaciado"/>
        <w:spacing w:before="240" w:line="360" w:lineRule="auto"/>
        <w:ind w:firstLine="708"/>
        <w:jc w:val="both"/>
        <w:rPr>
          <w:rFonts w:ascii="Arial" w:hAnsi="Arial" w:cs="Arial"/>
          <w:sz w:val="26"/>
          <w:szCs w:val="26"/>
          <w:shd w:val="clear" w:color="auto" w:fill="FFFFFF"/>
        </w:rPr>
      </w:pPr>
      <w:r>
        <w:rPr>
          <w:rFonts w:ascii="Arial" w:hAnsi="Arial" w:cs="Arial"/>
          <w:bCs/>
          <w:sz w:val="26"/>
          <w:szCs w:val="26"/>
        </w:rPr>
        <w:t xml:space="preserve">Es </w:t>
      </w:r>
      <w:r w:rsidRPr="00131F93">
        <w:rPr>
          <w:rFonts w:ascii="Arial" w:hAnsi="Arial" w:cs="Arial"/>
          <w:b/>
          <w:sz w:val="26"/>
          <w:szCs w:val="26"/>
        </w:rPr>
        <w:t>FUNDADO</w:t>
      </w:r>
      <w:r w:rsidR="00915BFF">
        <w:rPr>
          <w:rFonts w:ascii="Arial" w:hAnsi="Arial" w:cs="Arial"/>
          <w:bCs/>
          <w:sz w:val="26"/>
          <w:szCs w:val="26"/>
        </w:rPr>
        <w:t xml:space="preserve"> el alegato del recurrente </w:t>
      </w:r>
      <w:r w:rsidR="00291103">
        <w:rPr>
          <w:rFonts w:ascii="Arial" w:hAnsi="Arial" w:cs="Arial"/>
          <w:bCs/>
          <w:sz w:val="26"/>
          <w:szCs w:val="26"/>
        </w:rPr>
        <w:t>porque del considerando séptimo</w:t>
      </w:r>
      <w:r w:rsidR="00971E00">
        <w:rPr>
          <w:rFonts w:ascii="Arial" w:hAnsi="Arial" w:cs="Arial"/>
          <w:bCs/>
          <w:sz w:val="26"/>
          <w:szCs w:val="26"/>
        </w:rPr>
        <w:t xml:space="preserve"> de la sentencia en estudio,</w:t>
      </w:r>
      <w:r w:rsidR="00291103">
        <w:rPr>
          <w:rFonts w:ascii="Arial" w:hAnsi="Arial" w:cs="Arial"/>
          <w:bCs/>
          <w:sz w:val="26"/>
          <w:szCs w:val="26"/>
        </w:rPr>
        <w:t xml:space="preserve"> </w:t>
      </w:r>
      <w:r w:rsidR="00971E00">
        <w:rPr>
          <w:rFonts w:ascii="Arial" w:hAnsi="Arial" w:cs="Arial"/>
          <w:bCs/>
          <w:sz w:val="26"/>
          <w:szCs w:val="26"/>
        </w:rPr>
        <w:t xml:space="preserve">transcrito </w:t>
      </w:r>
      <w:r w:rsidR="001B7ED3">
        <w:rPr>
          <w:rFonts w:ascii="Arial" w:hAnsi="Arial" w:cs="Arial"/>
          <w:bCs/>
          <w:sz w:val="26"/>
          <w:szCs w:val="26"/>
        </w:rPr>
        <w:t>anteriormente</w:t>
      </w:r>
      <w:r w:rsidR="00971E00">
        <w:rPr>
          <w:rFonts w:ascii="Arial" w:hAnsi="Arial" w:cs="Arial"/>
          <w:bCs/>
          <w:sz w:val="26"/>
          <w:szCs w:val="26"/>
        </w:rPr>
        <w:t xml:space="preserve">, </w:t>
      </w:r>
      <w:r w:rsidR="00291103">
        <w:rPr>
          <w:rFonts w:ascii="Arial" w:hAnsi="Arial" w:cs="Arial"/>
          <w:bCs/>
          <w:sz w:val="26"/>
          <w:szCs w:val="26"/>
        </w:rPr>
        <w:t xml:space="preserve">se advierte que el magistrado </w:t>
      </w:r>
      <w:r w:rsidR="009970F1">
        <w:rPr>
          <w:rFonts w:ascii="Arial" w:hAnsi="Arial" w:cs="Arial"/>
          <w:bCs/>
          <w:sz w:val="26"/>
          <w:szCs w:val="26"/>
        </w:rPr>
        <w:t>instructor</w:t>
      </w:r>
      <w:r w:rsidR="00971E00">
        <w:rPr>
          <w:rFonts w:ascii="Arial" w:hAnsi="Arial" w:cs="Arial"/>
          <w:bCs/>
          <w:sz w:val="26"/>
          <w:szCs w:val="26"/>
        </w:rPr>
        <w:t xml:space="preserve"> decretó </w:t>
      </w:r>
      <w:r w:rsidR="00527AF7">
        <w:rPr>
          <w:rFonts w:ascii="Arial" w:hAnsi="Arial" w:cs="Arial"/>
          <w:bCs/>
          <w:sz w:val="26"/>
          <w:szCs w:val="26"/>
        </w:rPr>
        <w:t>legalmente</w:t>
      </w:r>
      <w:r w:rsidR="001B7ED3">
        <w:rPr>
          <w:rFonts w:ascii="Arial" w:hAnsi="Arial" w:cs="Arial"/>
          <w:bCs/>
          <w:sz w:val="26"/>
          <w:szCs w:val="26"/>
        </w:rPr>
        <w:t xml:space="preserve">, la nulidad de los actos impugnados consistentes en todo lo actuado en </w:t>
      </w:r>
      <w:r w:rsidR="001B7ED3" w:rsidRPr="000121D2">
        <w:rPr>
          <w:rFonts w:ascii="Arial" w:hAnsi="Arial" w:cs="Arial"/>
          <w:bCs/>
          <w:color w:val="000000"/>
          <w:sz w:val="26"/>
          <w:szCs w:val="26"/>
        </w:rPr>
        <w:t xml:space="preserve">el </w:t>
      </w:r>
      <w:r w:rsidR="001B7ED3" w:rsidRPr="000121D2">
        <w:rPr>
          <w:rFonts w:ascii="Arial" w:hAnsi="Arial" w:cs="Arial"/>
          <w:bCs/>
          <w:sz w:val="26"/>
          <w:szCs w:val="26"/>
        </w:rPr>
        <w:t xml:space="preserve">procedimiento administrativo de revocación </w:t>
      </w:r>
      <w:r w:rsidR="001B7ED3">
        <w:rPr>
          <w:rFonts w:ascii="Arial" w:hAnsi="Arial" w:cs="Arial"/>
          <w:bCs/>
          <w:sz w:val="26"/>
          <w:szCs w:val="26"/>
        </w:rPr>
        <w:t>de concesi</w:t>
      </w:r>
      <w:r w:rsidR="00635BC8">
        <w:rPr>
          <w:rFonts w:ascii="Arial" w:hAnsi="Arial" w:cs="Arial"/>
          <w:bCs/>
          <w:sz w:val="26"/>
          <w:szCs w:val="26"/>
        </w:rPr>
        <w:t xml:space="preserve">ones </w:t>
      </w:r>
      <w:r w:rsidR="000D3B6B">
        <w:rPr>
          <w:rFonts w:ascii="Arial" w:hAnsi="Arial" w:cs="Arial"/>
          <w:bCs/>
          <w:sz w:val="26"/>
          <w:szCs w:val="26"/>
        </w:rPr>
        <w:t>*******</w:t>
      </w:r>
      <w:r w:rsidR="001B7ED3" w:rsidRPr="001B7ED3">
        <w:rPr>
          <w:rFonts w:ascii="Arial" w:hAnsi="Arial" w:cs="Arial"/>
          <w:bCs/>
          <w:color w:val="000000"/>
          <w:sz w:val="26"/>
          <w:szCs w:val="26"/>
        </w:rPr>
        <w:t xml:space="preserve"> </w:t>
      </w:r>
      <w:r w:rsidR="001B7ED3">
        <w:rPr>
          <w:rFonts w:ascii="Arial" w:hAnsi="Arial" w:cs="Arial"/>
          <w:bCs/>
          <w:color w:val="000000"/>
          <w:sz w:val="26"/>
          <w:szCs w:val="26"/>
        </w:rPr>
        <w:t>de la entonces Secretaría de Vialidad y Transporte del Gobierno del Estado Oaxaca, ahora Secretaría de Movilidad,</w:t>
      </w:r>
      <w:r w:rsidR="001B7ED3" w:rsidRPr="000121D2">
        <w:rPr>
          <w:rFonts w:ascii="Arial" w:hAnsi="Arial" w:cs="Arial"/>
          <w:bCs/>
          <w:sz w:val="26"/>
          <w:szCs w:val="26"/>
        </w:rPr>
        <w:t xml:space="preserve"> </w:t>
      </w:r>
      <w:r w:rsidR="00815AEB">
        <w:rPr>
          <w:rFonts w:ascii="Arial" w:hAnsi="Arial" w:cs="Arial"/>
          <w:bCs/>
          <w:sz w:val="26"/>
          <w:szCs w:val="26"/>
        </w:rPr>
        <w:t>incluida</w:t>
      </w:r>
      <w:r w:rsidR="001B7ED3">
        <w:rPr>
          <w:rFonts w:ascii="Arial" w:hAnsi="Arial" w:cs="Arial"/>
          <w:bCs/>
          <w:sz w:val="26"/>
          <w:szCs w:val="26"/>
        </w:rPr>
        <w:t xml:space="preserve"> la </w:t>
      </w:r>
      <w:r w:rsidR="001B7ED3" w:rsidRPr="000121D2">
        <w:rPr>
          <w:rFonts w:ascii="Arial" w:hAnsi="Arial" w:cs="Arial"/>
          <w:bCs/>
          <w:sz w:val="26"/>
          <w:szCs w:val="26"/>
        </w:rPr>
        <w:t xml:space="preserve">resolución de cuatro de </w:t>
      </w:r>
      <w:r w:rsidR="001B7ED3" w:rsidRPr="000121D2">
        <w:rPr>
          <w:rFonts w:ascii="Arial" w:hAnsi="Arial" w:cs="Arial"/>
          <w:bCs/>
          <w:sz w:val="26"/>
          <w:szCs w:val="26"/>
        </w:rPr>
        <w:lastRenderedPageBreak/>
        <w:t>noviembre de dos mil veinte</w:t>
      </w:r>
      <w:r w:rsidR="001B7ED3">
        <w:rPr>
          <w:rFonts w:ascii="Arial" w:hAnsi="Arial" w:cs="Arial"/>
          <w:bCs/>
          <w:sz w:val="26"/>
          <w:szCs w:val="26"/>
        </w:rPr>
        <w:t xml:space="preserve"> dictada en ese expediente por ser consecuencia de un acto viciado de origen</w:t>
      </w:r>
      <w:r w:rsidR="009970F1">
        <w:rPr>
          <w:rFonts w:ascii="Arial" w:hAnsi="Arial" w:cs="Arial"/>
          <w:bCs/>
          <w:sz w:val="26"/>
          <w:szCs w:val="26"/>
        </w:rPr>
        <w:t xml:space="preserve">; </w:t>
      </w:r>
      <w:r w:rsidR="00971E00">
        <w:rPr>
          <w:rFonts w:ascii="Arial" w:hAnsi="Arial" w:cs="Arial"/>
          <w:bCs/>
          <w:color w:val="000000"/>
          <w:sz w:val="26"/>
          <w:szCs w:val="26"/>
        </w:rPr>
        <w:t xml:space="preserve">sin embargo, </w:t>
      </w:r>
      <w:r w:rsidR="00672C7D">
        <w:rPr>
          <w:rFonts w:ascii="Arial" w:hAnsi="Arial" w:cs="Arial"/>
          <w:bCs/>
          <w:color w:val="000000"/>
          <w:sz w:val="26"/>
          <w:szCs w:val="26"/>
        </w:rPr>
        <w:t xml:space="preserve">es procedente declarar </w:t>
      </w:r>
      <w:r w:rsidR="00971E00">
        <w:rPr>
          <w:rFonts w:ascii="Arial" w:hAnsi="Arial" w:cs="Arial"/>
          <w:bCs/>
          <w:color w:val="000000"/>
          <w:sz w:val="26"/>
          <w:szCs w:val="26"/>
        </w:rPr>
        <w:t xml:space="preserve">la nulidad </w:t>
      </w:r>
      <w:r w:rsidR="00672C7D">
        <w:rPr>
          <w:rFonts w:ascii="Arial" w:hAnsi="Arial" w:cs="Arial"/>
          <w:bCs/>
          <w:color w:val="000000"/>
          <w:sz w:val="26"/>
          <w:szCs w:val="26"/>
        </w:rPr>
        <w:t xml:space="preserve">con efecto liso y llano </w:t>
      </w:r>
      <w:r w:rsidR="00971E00">
        <w:rPr>
          <w:rFonts w:ascii="Arial" w:hAnsi="Arial" w:cs="Arial"/>
          <w:bCs/>
          <w:color w:val="000000"/>
          <w:sz w:val="26"/>
          <w:szCs w:val="26"/>
        </w:rPr>
        <w:t>cuando la autoridad actúe</w:t>
      </w:r>
      <w:r w:rsidR="00971E00" w:rsidRPr="00D92F07">
        <w:rPr>
          <w:rFonts w:ascii="Arial" w:hAnsi="Arial" w:cs="Arial"/>
          <w:sz w:val="26"/>
          <w:szCs w:val="26"/>
          <w:shd w:val="clear" w:color="auto" w:fill="FFFFFF"/>
        </w:rPr>
        <w:t xml:space="preserve"> en el ejercicio de sus facultades discrecionales</w:t>
      </w:r>
      <w:r w:rsidR="00672C7D">
        <w:rPr>
          <w:rFonts w:ascii="Arial" w:hAnsi="Arial" w:cs="Arial"/>
          <w:sz w:val="26"/>
          <w:szCs w:val="26"/>
          <w:shd w:val="clear" w:color="auto" w:fill="FFFFFF"/>
        </w:rPr>
        <w:t>, es decir, cuando actúe de oficio</w:t>
      </w:r>
      <w:r w:rsidR="009970F1">
        <w:rPr>
          <w:rFonts w:ascii="Arial" w:hAnsi="Arial" w:cs="Arial"/>
          <w:sz w:val="26"/>
          <w:szCs w:val="26"/>
          <w:shd w:val="clear" w:color="auto" w:fill="FFFFFF"/>
        </w:rPr>
        <w:t>;</w:t>
      </w:r>
      <w:r w:rsidR="00971E00">
        <w:rPr>
          <w:rFonts w:ascii="Arial" w:hAnsi="Arial" w:cs="Arial"/>
          <w:sz w:val="26"/>
          <w:szCs w:val="26"/>
          <w:shd w:val="clear" w:color="auto" w:fill="FFFFFF"/>
        </w:rPr>
        <w:t xml:space="preserve"> lo que no suced</w:t>
      </w:r>
      <w:r w:rsidR="009970F1">
        <w:rPr>
          <w:rFonts w:ascii="Arial" w:hAnsi="Arial" w:cs="Arial"/>
          <w:sz w:val="26"/>
          <w:szCs w:val="26"/>
          <w:shd w:val="clear" w:color="auto" w:fill="FFFFFF"/>
        </w:rPr>
        <w:t xml:space="preserve">ió </w:t>
      </w:r>
      <w:r w:rsidR="00971E00">
        <w:rPr>
          <w:rFonts w:ascii="Arial" w:hAnsi="Arial" w:cs="Arial"/>
          <w:sz w:val="26"/>
          <w:szCs w:val="26"/>
          <w:shd w:val="clear" w:color="auto" w:fill="FFFFFF"/>
        </w:rPr>
        <w:t>en el caso</w:t>
      </w:r>
      <w:r w:rsidR="00672C7D">
        <w:rPr>
          <w:rFonts w:ascii="Arial" w:hAnsi="Arial" w:cs="Arial"/>
          <w:sz w:val="26"/>
          <w:szCs w:val="26"/>
          <w:shd w:val="clear" w:color="auto" w:fill="FFFFFF"/>
        </w:rPr>
        <w:t xml:space="preserve"> </w:t>
      </w:r>
      <w:r w:rsidR="004815D1">
        <w:rPr>
          <w:rFonts w:ascii="Arial" w:hAnsi="Arial" w:cs="Arial"/>
          <w:sz w:val="26"/>
          <w:szCs w:val="26"/>
          <w:shd w:val="clear" w:color="auto" w:fill="FFFFFF"/>
        </w:rPr>
        <w:t>concreto</w:t>
      </w:r>
      <w:r w:rsidR="00971E00">
        <w:rPr>
          <w:rFonts w:ascii="Arial" w:hAnsi="Arial" w:cs="Arial"/>
          <w:sz w:val="26"/>
          <w:szCs w:val="26"/>
          <w:shd w:val="clear" w:color="auto" w:fill="FFFFFF"/>
        </w:rPr>
        <w:t xml:space="preserve">, </w:t>
      </w:r>
      <w:r w:rsidR="00672C7D">
        <w:rPr>
          <w:rFonts w:ascii="Arial" w:hAnsi="Arial" w:cs="Arial"/>
          <w:sz w:val="26"/>
          <w:szCs w:val="26"/>
          <w:shd w:val="clear" w:color="auto" w:fill="FFFFFF"/>
        </w:rPr>
        <w:t xml:space="preserve">ya que </w:t>
      </w:r>
      <w:r w:rsidR="00971E00">
        <w:rPr>
          <w:rFonts w:ascii="Arial" w:hAnsi="Arial" w:cs="Arial"/>
          <w:sz w:val="26"/>
          <w:szCs w:val="26"/>
          <w:shd w:val="clear" w:color="auto" w:fill="FFFFFF"/>
        </w:rPr>
        <w:t xml:space="preserve">el procedimiento de revocación de concesión, inició por solicitud </w:t>
      </w:r>
      <w:bookmarkStart w:id="1" w:name="_Hlk115340528"/>
      <w:r w:rsidR="00FF6D62">
        <w:rPr>
          <w:rFonts w:ascii="Arial" w:hAnsi="Arial" w:cs="Arial"/>
          <w:sz w:val="26"/>
          <w:szCs w:val="26"/>
          <w:shd w:val="clear" w:color="auto" w:fill="FFFFFF"/>
        </w:rPr>
        <w:t xml:space="preserve">de </w:t>
      </w:r>
      <w:r w:rsidR="00971E00">
        <w:rPr>
          <w:rFonts w:ascii="Arial" w:hAnsi="Arial" w:cs="Arial"/>
          <w:sz w:val="26"/>
          <w:szCs w:val="26"/>
          <w:shd w:val="clear" w:color="auto" w:fill="FFFFFF"/>
        </w:rPr>
        <w:t xml:space="preserve">los </w:t>
      </w:r>
      <w:r w:rsidR="009970F1">
        <w:rPr>
          <w:rFonts w:ascii="Arial" w:hAnsi="Arial" w:cs="Arial"/>
          <w:sz w:val="26"/>
          <w:szCs w:val="26"/>
          <w:shd w:val="clear" w:color="auto" w:fill="FFFFFF"/>
        </w:rPr>
        <w:t xml:space="preserve">presidentes de los sitios de taxis denominados </w:t>
      </w:r>
      <w:bookmarkEnd w:id="1"/>
      <w:r w:rsidR="000D3B6B">
        <w:rPr>
          <w:rFonts w:ascii="Arial" w:hAnsi="Arial" w:cs="Arial"/>
          <w:sz w:val="26"/>
          <w:szCs w:val="26"/>
          <w:shd w:val="clear" w:color="auto" w:fill="FFFFFF"/>
        </w:rPr>
        <w:t>*******</w:t>
      </w:r>
      <w:r w:rsidR="009970F1">
        <w:rPr>
          <w:rFonts w:ascii="Arial" w:hAnsi="Arial" w:cs="Arial"/>
          <w:sz w:val="26"/>
          <w:szCs w:val="26"/>
          <w:shd w:val="clear" w:color="auto" w:fill="FFFFFF"/>
        </w:rPr>
        <w:t xml:space="preserve"> </w:t>
      </w:r>
      <w:r w:rsidR="00FF6D62">
        <w:rPr>
          <w:rFonts w:ascii="Arial" w:hAnsi="Arial" w:cs="Arial"/>
          <w:sz w:val="26"/>
          <w:szCs w:val="26"/>
          <w:shd w:val="clear" w:color="auto" w:fill="FFFFFF"/>
        </w:rPr>
        <w:t xml:space="preserve">recibida el veintisiete de julio de dos mil dieciséis  en el Departamento de </w:t>
      </w:r>
      <w:r w:rsidR="00CB4D81">
        <w:rPr>
          <w:rFonts w:ascii="Arial" w:hAnsi="Arial" w:cs="Arial"/>
          <w:sz w:val="26"/>
          <w:szCs w:val="26"/>
          <w:shd w:val="clear" w:color="auto" w:fill="FFFFFF"/>
        </w:rPr>
        <w:t>R</w:t>
      </w:r>
      <w:r w:rsidR="00FF6D62">
        <w:rPr>
          <w:rFonts w:ascii="Arial" w:hAnsi="Arial" w:cs="Arial"/>
          <w:sz w:val="26"/>
          <w:szCs w:val="26"/>
          <w:shd w:val="clear" w:color="auto" w:fill="FFFFFF"/>
        </w:rPr>
        <w:t xml:space="preserve">ecepción, Registro y Trámites de </w:t>
      </w:r>
      <w:r w:rsidR="00D53713">
        <w:rPr>
          <w:rFonts w:ascii="Arial" w:hAnsi="Arial" w:cs="Arial"/>
          <w:bCs/>
          <w:color w:val="000000"/>
          <w:sz w:val="26"/>
          <w:szCs w:val="26"/>
        </w:rPr>
        <w:t>la entonces Secretaría de Vialidad y Transporte del Gobierno del Estado Oaxaca, ahora Secretaría de Movilidad</w:t>
      </w:r>
      <w:r w:rsidR="00FF6D62">
        <w:rPr>
          <w:rFonts w:ascii="Arial" w:hAnsi="Arial" w:cs="Arial"/>
          <w:sz w:val="26"/>
          <w:szCs w:val="26"/>
          <w:shd w:val="clear" w:color="auto" w:fill="FFFFFF"/>
        </w:rPr>
        <w:t xml:space="preserve">, </w:t>
      </w:r>
      <w:r w:rsidR="00D53713">
        <w:rPr>
          <w:rFonts w:ascii="Arial" w:hAnsi="Arial" w:cs="Arial"/>
          <w:sz w:val="26"/>
          <w:szCs w:val="26"/>
          <w:shd w:val="clear" w:color="auto" w:fill="FFFFFF"/>
        </w:rPr>
        <w:t>solicitantes</w:t>
      </w:r>
      <w:r w:rsidR="005574DE">
        <w:rPr>
          <w:rFonts w:ascii="Arial" w:hAnsi="Arial" w:cs="Arial"/>
          <w:sz w:val="26"/>
          <w:szCs w:val="26"/>
          <w:shd w:val="clear" w:color="auto" w:fill="FFFFFF"/>
        </w:rPr>
        <w:t xml:space="preserve"> que</w:t>
      </w:r>
      <w:r w:rsidR="00D53713">
        <w:rPr>
          <w:rFonts w:ascii="Arial" w:hAnsi="Arial" w:cs="Arial"/>
          <w:sz w:val="26"/>
          <w:szCs w:val="26"/>
          <w:shd w:val="clear" w:color="auto" w:fill="FFFFFF"/>
        </w:rPr>
        <w:t xml:space="preserve"> </w:t>
      </w:r>
      <w:r w:rsidR="009970F1">
        <w:rPr>
          <w:rFonts w:ascii="Arial" w:hAnsi="Arial" w:cs="Arial"/>
          <w:sz w:val="26"/>
          <w:szCs w:val="26"/>
          <w:shd w:val="clear" w:color="auto" w:fill="FFFFFF"/>
        </w:rPr>
        <w:t>intervinieron en el juicio de nulidad como terceros afectados</w:t>
      </w:r>
      <w:r w:rsidR="00FF6D62">
        <w:rPr>
          <w:rFonts w:ascii="Arial" w:hAnsi="Arial" w:cs="Arial"/>
          <w:sz w:val="26"/>
          <w:szCs w:val="26"/>
          <w:shd w:val="clear" w:color="auto" w:fill="FFFFFF"/>
        </w:rPr>
        <w:t xml:space="preserve">; </w:t>
      </w:r>
      <w:r w:rsidR="004815D1">
        <w:rPr>
          <w:rFonts w:ascii="Arial" w:hAnsi="Arial" w:cs="Arial"/>
          <w:sz w:val="26"/>
          <w:szCs w:val="26"/>
          <w:shd w:val="clear" w:color="auto" w:fill="FFFFFF"/>
        </w:rPr>
        <w:t>por tanto, en este caso representa una excepción a la regla de nulidad; en consecuencia, su efecto debe ser para que la autoridad subsane la deficiente fundamentación legal.</w:t>
      </w:r>
      <w:r w:rsidR="00AB6C44">
        <w:rPr>
          <w:rFonts w:ascii="Arial" w:hAnsi="Arial" w:cs="Arial"/>
          <w:sz w:val="26"/>
          <w:szCs w:val="26"/>
          <w:shd w:val="clear" w:color="auto" w:fill="FFFFFF"/>
        </w:rPr>
        <w:t xml:space="preserve"> - </w:t>
      </w:r>
      <w:r w:rsidR="000D3B6B">
        <w:rPr>
          <w:rFonts w:ascii="Arial" w:hAnsi="Arial" w:cs="Arial"/>
          <w:sz w:val="26"/>
          <w:szCs w:val="26"/>
          <w:shd w:val="clear" w:color="auto" w:fill="FFFFFF"/>
        </w:rPr>
        <w:t>- - - - - - - - - - - - - - - - - - - - - - - - - - - - - - - - - - -</w:t>
      </w:r>
    </w:p>
    <w:p w14:paraId="2675A490" w14:textId="77777777" w:rsidR="00AB43B7" w:rsidRPr="00D92F07" w:rsidRDefault="00AB43B7" w:rsidP="00AB43B7">
      <w:pPr>
        <w:pStyle w:val="Sinespaciado"/>
        <w:spacing w:before="240" w:line="360" w:lineRule="auto"/>
        <w:ind w:firstLine="708"/>
        <w:jc w:val="both"/>
        <w:rPr>
          <w:rFonts w:ascii="Arial" w:eastAsia="Times New Roman" w:hAnsi="Arial" w:cs="Arial"/>
          <w:sz w:val="26"/>
          <w:szCs w:val="26"/>
        </w:rPr>
      </w:pPr>
      <w:r>
        <w:rPr>
          <w:rFonts w:ascii="Arial" w:hAnsi="Arial" w:cs="Arial"/>
          <w:sz w:val="26"/>
          <w:szCs w:val="26"/>
          <w:shd w:val="clear" w:color="auto" w:fill="FFFFFF"/>
        </w:rPr>
        <w:t>Como dispone</w:t>
      </w:r>
      <w:r w:rsidRPr="004746D8">
        <w:rPr>
          <w:rFonts w:ascii="Arial" w:hAnsi="Arial" w:cs="Arial"/>
          <w:bCs/>
          <w:sz w:val="26"/>
          <w:szCs w:val="26"/>
          <w:shd w:val="clear" w:color="auto" w:fill="FFFFFF"/>
        </w:rPr>
        <w:t xml:space="preserve"> </w:t>
      </w:r>
      <w:r w:rsidRPr="00D92F07">
        <w:rPr>
          <w:rFonts w:ascii="Arial" w:hAnsi="Arial" w:cs="Arial"/>
          <w:bCs/>
          <w:sz w:val="26"/>
          <w:szCs w:val="26"/>
          <w:shd w:val="clear" w:color="auto" w:fill="FFFFFF"/>
        </w:rPr>
        <w:t xml:space="preserve">la </w:t>
      </w:r>
      <w:r w:rsidRPr="00D92F07">
        <w:rPr>
          <w:rFonts w:ascii="Arial" w:eastAsia="Times New Roman" w:hAnsi="Arial" w:cs="Arial"/>
          <w:sz w:val="26"/>
          <w:szCs w:val="26"/>
        </w:rPr>
        <w:t>Jurisprudencia en materia administrativa número 2a</w:t>
      </w:r>
      <w:proofErr w:type="gramStart"/>
      <w:r w:rsidRPr="00D92F07">
        <w:rPr>
          <w:rFonts w:ascii="Arial" w:eastAsia="Times New Roman" w:hAnsi="Arial" w:cs="Arial"/>
          <w:sz w:val="26"/>
          <w:szCs w:val="26"/>
        </w:rPr>
        <w:t>./</w:t>
      </w:r>
      <w:proofErr w:type="gramEnd"/>
      <w:r w:rsidRPr="00D92F07">
        <w:rPr>
          <w:rFonts w:ascii="Arial" w:eastAsia="Times New Roman" w:hAnsi="Arial" w:cs="Arial"/>
          <w:sz w:val="26"/>
          <w:szCs w:val="26"/>
        </w:rPr>
        <w:t xml:space="preserve">J. 99/2007, con número de registro digital 172182, de la Novena Época, emitida por la Segunda Sala de la Suprema Corte de Justicia de la Nación, publicada en el Semanario Judicial de la Federación y su Gaceta, Tomo XXV, Junio de 2007, visible a página 287, de rubro y texto siguientes: </w:t>
      </w:r>
    </w:p>
    <w:p w14:paraId="0A36F8B7" w14:textId="77777777" w:rsidR="00AB43B7" w:rsidRPr="00AB6C44" w:rsidRDefault="00AB43B7" w:rsidP="00AB6C44">
      <w:pPr>
        <w:shd w:val="clear" w:color="auto" w:fill="FFFFFF"/>
        <w:spacing w:before="240"/>
        <w:ind w:left="567" w:right="616"/>
        <w:jc w:val="both"/>
        <w:rPr>
          <w:rFonts w:ascii="Arial" w:eastAsia="Times New Roman" w:hAnsi="Arial" w:cs="Arial"/>
          <w:i/>
          <w:iCs/>
        </w:rPr>
      </w:pPr>
      <w:r w:rsidRPr="00AB6C44">
        <w:rPr>
          <w:rFonts w:ascii="Arial" w:eastAsia="Times New Roman" w:hAnsi="Arial" w:cs="Arial"/>
          <w:b/>
          <w:bCs/>
          <w:i/>
          <w:iCs/>
        </w:rPr>
        <w:t xml:space="preserve">“NULIDAD. LA DECRETADA POR INSUFICIENCIA EN LA FUNDAMENTACIÓN DE LA COMPETENCIA DE LA AUTORIDAD ADMINISTRATIVA, DEBE SER LISA Y LLANA. </w:t>
      </w:r>
      <w:r w:rsidRPr="00AB6C44">
        <w:rPr>
          <w:rFonts w:ascii="Arial" w:eastAsia="Times New Roman" w:hAnsi="Arial" w:cs="Arial"/>
          <w:i/>
          <w:iCs/>
        </w:rPr>
        <w:t>En congruencia con la jurisprudencia 2a./J. 52/2001 de esta Segunda Sala, publicada en el Semanario Judicial de la Federación y su Gaceta, Novena Época, Tomo XIV, noviembre de 2001, página 32, con el rubro: "</w:t>
      </w:r>
      <w:hyperlink r:id="rId10" w:tgtFrame="_blank" w:history="1">
        <w:r w:rsidRPr="00AB6C44">
          <w:rPr>
            <w:rFonts w:ascii="Arial" w:eastAsia="Times New Roman" w:hAnsi="Arial" w:cs="Arial"/>
            <w:i/>
            <w:iCs/>
          </w:rPr>
          <w:t>COMPETENCIA DE LAS AUTORIDADES ADMINISTRATIVAS. LA NULIDAD DECRETADA POR NO HABERLA FUNDADO NO PUEDE SER PARA EFECTOS, EXCEPTO EN LOS CASOS EN QUE LA RESOLUCIÓN IMPUGNADA RECAIGA A UNA PETICIÓN, INSTANCIA O RECURSO</w:t>
        </w:r>
      </w:hyperlink>
      <w:r w:rsidRPr="00AB6C44">
        <w:rPr>
          <w:rFonts w:ascii="Arial" w:eastAsia="Times New Roman" w:hAnsi="Arial" w:cs="Arial"/>
          <w:i/>
          <w:iCs/>
        </w:rPr>
        <w:t xml:space="preserve">.", se concluye que cuando la autoridad emisora de un acto administrativo no cite con precisión el apartado, fracción, inciso o </w:t>
      </w:r>
      <w:proofErr w:type="spellStart"/>
      <w:r w:rsidRPr="00AB6C44">
        <w:rPr>
          <w:rFonts w:ascii="Arial" w:eastAsia="Times New Roman" w:hAnsi="Arial" w:cs="Arial"/>
          <w:i/>
          <w:iCs/>
        </w:rPr>
        <w:t>subinciso</w:t>
      </w:r>
      <w:proofErr w:type="spellEnd"/>
      <w:r w:rsidRPr="00AB6C44">
        <w:rPr>
          <w:rFonts w:ascii="Arial" w:eastAsia="Times New Roman" w:hAnsi="Arial" w:cs="Arial"/>
          <w:i/>
          <w:iCs/>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w:t>
      </w:r>
      <w:r w:rsidRPr="00AB6C44">
        <w:rPr>
          <w:rFonts w:ascii="Arial" w:eastAsia="Times New Roman" w:hAnsi="Arial" w:cs="Arial"/>
          <w:i/>
          <w:iCs/>
          <w:u w:val="single"/>
        </w:rPr>
        <w:t>Tribunal Federal de Justicia Fiscal y Administrativa deberá declarar la nulidad lisa y llana del acto administrativo emitido por aquélla</w:t>
      </w:r>
      <w:r w:rsidRPr="00AB6C44">
        <w:rPr>
          <w:rFonts w:ascii="Arial" w:eastAsia="Times New Roman" w:hAnsi="Arial" w:cs="Arial"/>
          <w:i/>
          <w:iCs/>
        </w:rPr>
        <w:t xml:space="preserve">, esto es, no la vinculará a realizar acto alguno, por lo que su decisión no podrá tener un efecto conclusivo sobre el acto jurídico material que lo motivó, </w:t>
      </w:r>
      <w:r w:rsidRPr="00AB6C44">
        <w:rPr>
          <w:rFonts w:ascii="Arial" w:eastAsia="Times New Roman" w:hAnsi="Arial" w:cs="Arial"/>
          <w:i/>
          <w:iCs/>
          <w:u w:val="single"/>
        </w:rPr>
        <w:t>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AB6C44">
        <w:rPr>
          <w:rFonts w:ascii="Arial" w:eastAsia="Times New Roman" w:hAnsi="Arial" w:cs="Arial"/>
          <w:i/>
          <w:iCs/>
        </w:rPr>
        <w:t>”  (Lo subrayado es propio)</w:t>
      </w:r>
    </w:p>
    <w:p w14:paraId="41903D7E" w14:textId="30BD9864" w:rsidR="00941EC1" w:rsidRDefault="00D85065" w:rsidP="00941EC1">
      <w:pPr>
        <w:pStyle w:val="Sinespaciado"/>
        <w:spacing w:before="240" w:line="360" w:lineRule="auto"/>
        <w:ind w:firstLine="708"/>
        <w:jc w:val="both"/>
        <w:rPr>
          <w:rFonts w:ascii="Arial" w:hAnsi="Arial" w:cs="Arial"/>
          <w:sz w:val="26"/>
          <w:szCs w:val="26"/>
          <w:shd w:val="clear" w:color="auto" w:fill="FFFFFF"/>
        </w:rPr>
      </w:pPr>
      <w:r>
        <w:rPr>
          <w:rFonts w:ascii="Arial" w:hAnsi="Arial" w:cs="Arial"/>
          <w:sz w:val="26"/>
          <w:szCs w:val="26"/>
          <w:shd w:val="clear" w:color="auto" w:fill="FFFFFF"/>
        </w:rPr>
        <w:lastRenderedPageBreak/>
        <w:t>T</w:t>
      </w:r>
      <w:r w:rsidR="005574DE">
        <w:rPr>
          <w:rFonts w:ascii="Arial" w:hAnsi="Arial" w:cs="Arial"/>
          <w:sz w:val="26"/>
          <w:szCs w:val="26"/>
          <w:shd w:val="clear" w:color="auto" w:fill="FFFFFF"/>
        </w:rPr>
        <w:t xml:space="preserve">omando en consideración que </w:t>
      </w:r>
      <w:r w:rsidR="00672C7D">
        <w:rPr>
          <w:rFonts w:ascii="Arial" w:hAnsi="Arial" w:cs="Arial"/>
          <w:sz w:val="26"/>
          <w:szCs w:val="26"/>
          <w:shd w:val="clear" w:color="auto" w:fill="FFFFFF"/>
        </w:rPr>
        <w:t xml:space="preserve">el efecto </w:t>
      </w:r>
      <w:r w:rsidR="005574DE">
        <w:rPr>
          <w:rFonts w:ascii="Arial" w:hAnsi="Arial" w:cs="Arial"/>
          <w:sz w:val="26"/>
          <w:szCs w:val="26"/>
          <w:shd w:val="clear" w:color="auto" w:fill="FFFFFF"/>
        </w:rPr>
        <w:t xml:space="preserve">liso y llano </w:t>
      </w:r>
      <w:r w:rsidR="00672C7D">
        <w:rPr>
          <w:rFonts w:ascii="Arial" w:hAnsi="Arial" w:cs="Arial"/>
          <w:sz w:val="26"/>
          <w:szCs w:val="26"/>
          <w:shd w:val="clear" w:color="auto" w:fill="FFFFFF"/>
        </w:rPr>
        <w:t xml:space="preserve">de la nulidad decretada da lugar a que </w:t>
      </w:r>
      <w:r w:rsidR="0064599D">
        <w:rPr>
          <w:rFonts w:ascii="Arial" w:hAnsi="Arial" w:cs="Arial"/>
          <w:sz w:val="26"/>
          <w:szCs w:val="26"/>
          <w:shd w:val="clear" w:color="auto" w:fill="FFFFFF"/>
        </w:rPr>
        <w:t>l</w:t>
      </w:r>
      <w:r w:rsidR="00D53713">
        <w:rPr>
          <w:rFonts w:ascii="Arial" w:hAnsi="Arial" w:cs="Arial"/>
          <w:sz w:val="26"/>
          <w:szCs w:val="26"/>
          <w:shd w:val="clear" w:color="auto" w:fill="FFFFFF"/>
        </w:rPr>
        <w:t xml:space="preserve">as </w:t>
      </w:r>
      <w:r w:rsidR="00505547">
        <w:rPr>
          <w:rFonts w:ascii="Arial" w:hAnsi="Arial" w:cs="Arial"/>
          <w:sz w:val="26"/>
          <w:szCs w:val="26"/>
          <w:shd w:val="clear" w:color="auto" w:fill="FFFFFF"/>
        </w:rPr>
        <w:t xml:space="preserve">cosas </w:t>
      </w:r>
      <w:r w:rsidR="00672C7D">
        <w:rPr>
          <w:rFonts w:ascii="Arial" w:hAnsi="Arial" w:cs="Arial"/>
          <w:sz w:val="26"/>
          <w:szCs w:val="26"/>
          <w:shd w:val="clear" w:color="auto" w:fill="FFFFFF"/>
        </w:rPr>
        <w:t xml:space="preserve">vuelvan </w:t>
      </w:r>
      <w:r w:rsidR="00505547">
        <w:rPr>
          <w:rFonts w:ascii="Arial" w:hAnsi="Arial" w:cs="Arial"/>
          <w:sz w:val="26"/>
          <w:szCs w:val="26"/>
          <w:shd w:val="clear" w:color="auto" w:fill="FFFFFF"/>
        </w:rPr>
        <w:t xml:space="preserve">al estado en que se encontraban antes del inicio del procedimiento administrativo </w:t>
      </w:r>
      <w:r w:rsidR="0064599D">
        <w:rPr>
          <w:rFonts w:ascii="Arial" w:hAnsi="Arial" w:cs="Arial"/>
          <w:sz w:val="26"/>
          <w:szCs w:val="26"/>
          <w:shd w:val="clear" w:color="auto" w:fill="FFFFFF"/>
        </w:rPr>
        <w:t xml:space="preserve">de revocación de concesiones </w:t>
      </w:r>
      <w:r w:rsidR="000D3B6B">
        <w:rPr>
          <w:rFonts w:ascii="Arial" w:hAnsi="Arial" w:cs="Arial"/>
          <w:sz w:val="26"/>
          <w:szCs w:val="26"/>
          <w:shd w:val="clear" w:color="auto" w:fill="FFFFFF"/>
        </w:rPr>
        <w:t>*******</w:t>
      </w:r>
      <w:r w:rsidR="00672C7D">
        <w:rPr>
          <w:rFonts w:ascii="Arial" w:hAnsi="Arial" w:cs="Arial"/>
          <w:sz w:val="26"/>
          <w:szCs w:val="26"/>
          <w:shd w:val="clear" w:color="auto" w:fill="FFFFFF"/>
        </w:rPr>
        <w:t xml:space="preserve">, implica que </w:t>
      </w:r>
      <w:r w:rsidR="00635BC8">
        <w:rPr>
          <w:rFonts w:ascii="Arial" w:hAnsi="Arial" w:cs="Arial"/>
          <w:sz w:val="26"/>
          <w:szCs w:val="26"/>
          <w:shd w:val="clear" w:color="auto" w:fill="FFFFFF"/>
        </w:rPr>
        <w:t xml:space="preserve">quede inaudita </w:t>
      </w:r>
      <w:r w:rsidR="00672C7D">
        <w:rPr>
          <w:rFonts w:ascii="Arial" w:hAnsi="Arial" w:cs="Arial"/>
          <w:sz w:val="26"/>
          <w:szCs w:val="26"/>
          <w:shd w:val="clear" w:color="auto" w:fill="FFFFFF"/>
        </w:rPr>
        <w:t xml:space="preserve">la solicitud </w:t>
      </w:r>
      <w:r w:rsidR="00635BC8">
        <w:rPr>
          <w:rFonts w:ascii="Arial" w:hAnsi="Arial" w:cs="Arial"/>
          <w:sz w:val="26"/>
          <w:szCs w:val="26"/>
          <w:shd w:val="clear" w:color="auto" w:fill="FFFFFF"/>
        </w:rPr>
        <w:t xml:space="preserve">que </w:t>
      </w:r>
      <w:r w:rsidR="00672C7D">
        <w:rPr>
          <w:rFonts w:ascii="Arial" w:hAnsi="Arial" w:cs="Arial"/>
          <w:sz w:val="26"/>
          <w:szCs w:val="26"/>
          <w:shd w:val="clear" w:color="auto" w:fill="FFFFFF"/>
        </w:rPr>
        <w:t xml:space="preserve">los presidentes de los sitios de taxis </w:t>
      </w:r>
      <w:r w:rsidR="00635BC8">
        <w:rPr>
          <w:rFonts w:ascii="Arial" w:hAnsi="Arial" w:cs="Arial"/>
          <w:sz w:val="26"/>
          <w:szCs w:val="26"/>
          <w:shd w:val="clear" w:color="auto" w:fill="FFFFFF"/>
        </w:rPr>
        <w:t xml:space="preserve">efectuaron a la entonces Secretaría de </w:t>
      </w:r>
      <w:r w:rsidR="00635BC8">
        <w:rPr>
          <w:rFonts w:ascii="Arial" w:hAnsi="Arial" w:cs="Arial"/>
          <w:bCs/>
          <w:color w:val="000000"/>
          <w:sz w:val="26"/>
          <w:szCs w:val="26"/>
        </w:rPr>
        <w:t xml:space="preserve">Vialidad y Transporte del Gobierno del Estado Oaxaca, ahora Secretaría de Movilidad, </w:t>
      </w:r>
      <w:r w:rsidR="00941EC1">
        <w:rPr>
          <w:rFonts w:ascii="Arial" w:hAnsi="Arial" w:cs="Arial"/>
          <w:bCs/>
          <w:color w:val="000000"/>
          <w:sz w:val="26"/>
          <w:szCs w:val="26"/>
        </w:rPr>
        <w:t xml:space="preserve">para que inicie el procedimiento citado; por ello, </w:t>
      </w:r>
      <w:r w:rsidR="00941EC1" w:rsidRPr="004746D8">
        <w:rPr>
          <w:rFonts w:ascii="Arial" w:hAnsi="Arial" w:cs="Arial"/>
          <w:sz w:val="26"/>
          <w:szCs w:val="26"/>
          <w:u w:val="single"/>
          <w:shd w:val="clear" w:color="auto" w:fill="FFFFFF"/>
        </w:rPr>
        <w:t xml:space="preserve">la nulidad legalmente decretada no debe ser lisa y llana </w:t>
      </w:r>
      <w:r w:rsidR="007850BD">
        <w:rPr>
          <w:rFonts w:ascii="Arial" w:hAnsi="Arial" w:cs="Arial"/>
          <w:sz w:val="26"/>
          <w:szCs w:val="26"/>
          <w:u w:val="single"/>
          <w:shd w:val="clear" w:color="auto" w:fill="FFFFFF"/>
        </w:rPr>
        <w:t xml:space="preserve">como consideró el Magistrado de la Sala Unitaria, </w:t>
      </w:r>
      <w:r w:rsidR="00941EC1" w:rsidRPr="004746D8">
        <w:rPr>
          <w:rFonts w:ascii="Arial" w:hAnsi="Arial" w:cs="Arial"/>
          <w:sz w:val="26"/>
          <w:szCs w:val="26"/>
          <w:u w:val="single"/>
          <w:shd w:val="clear" w:color="auto" w:fill="FFFFFF"/>
        </w:rPr>
        <w:t>sino para efectos</w:t>
      </w:r>
      <w:r w:rsidR="00941EC1">
        <w:rPr>
          <w:rFonts w:ascii="Arial" w:hAnsi="Arial" w:cs="Arial"/>
          <w:sz w:val="26"/>
          <w:szCs w:val="26"/>
          <w:u w:val="single"/>
          <w:shd w:val="clear" w:color="auto" w:fill="FFFFFF"/>
        </w:rPr>
        <w:t>, en virtud de que el procedimiento</w:t>
      </w:r>
      <w:r w:rsidR="00941EC1" w:rsidRPr="00941EC1">
        <w:rPr>
          <w:rFonts w:ascii="Arial" w:hAnsi="Arial" w:cs="Arial"/>
          <w:sz w:val="26"/>
          <w:szCs w:val="26"/>
          <w:u w:val="single"/>
          <w:shd w:val="clear" w:color="auto" w:fill="FFFFFF"/>
        </w:rPr>
        <w:t xml:space="preserve"> </w:t>
      </w:r>
      <w:r w:rsidR="000D3B6B">
        <w:rPr>
          <w:rFonts w:ascii="Arial" w:hAnsi="Arial" w:cs="Arial"/>
          <w:sz w:val="26"/>
          <w:szCs w:val="26"/>
          <w:u w:val="single"/>
          <w:shd w:val="clear" w:color="auto" w:fill="FFFFFF"/>
        </w:rPr>
        <w:t>*******</w:t>
      </w:r>
      <w:r w:rsidR="00F04775">
        <w:rPr>
          <w:rFonts w:ascii="Arial" w:hAnsi="Arial" w:cs="Arial"/>
          <w:sz w:val="26"/>
          <w:szCs w:val="26"/>
          <w:u w:val="single"/>
          <w:shd w:val="clear" w:color="auto" w:fill="FFFFFF"/>
        </w:rPr>
        <w:t xml:space="preserve"> </w:t>
      </w:r>
      <w:r w:rsidR="007850BD">
        <w:rPr>
          <w:rFonts w:ascii="Arial" w:hAnsi="Arial" w:cs="Arial"/>
          <w:sz w:val="26"/>
          <w:szCs w:val="26"/>
          <w:u w:val="single"/>
          <w:shd w:val="clear" w:color="auto" w:fill="FFFFFF"/>
        </w:rPr>
        <w:t xml:space="preserve">tramitado en sede administrativa hasta su </w:t>
      </w:r>
      <w:r w:rsidR="00941EC1">
        <w:rPr>
          <w:rFonts w:ascii="Arial" w:hAnsi="Arial" w:cs="Arial"/>
          <w:sz w:val="26"/>
          <w:szCs w:val="26"/>
          <w:u w:val="single"/>
          <w:shd w:val="clear" w:color="auto" w:fill="FFFFFF"/>
        </w:rPr>
        <w:t>resolución final</w:t>
      </w:r>
      <w:r w:rsidR="007850BD">
        <w:rPr>
          <w:rFonts w:ascii="Arial" w:hAnsi="Arial" w:cs="Arial"/>
          <w:sz w:val="26"/>
          <w:szCs w:val="26"/>
          <w:u w:val="single"/>
          <w:shd w:val="clear" w:color="auto" w:fill="FFFFFF"/>
        </w:rPr>
        <w:t xml:space="preserve">, derivaron </w:t>
      </w:r>
      <w:r w:rsidR="00941EC1">
        <w:rPr>
          <w:rFonts w:ascii="Arial" w:hAnsi="Arial" w:cs="Arial"/>
          <w:sz w:val="26"/>
          <w:szCs w:val="26"/>
          <w:u w:val="single"/>
          <w:shd w:val="clear" w:color="auto" w:fill="FFFFFF"/>
        </w:rPr>
        <w:t>de una petición.</w:t>
      </w:r>
      <w:r w:rsidR="00F04775">
        <w:rPr>
          <w:rFonts w:ascii="Arial" w:hAnsi="Arial" w:cs="Arial"/>
          <w:sz w:val="26"/>
          <w:szCs w:val="26"/>
          <w:shd w:val="clear" w:color="auto" w:fill="FFFFFF"/>
        </w:rPr>
        <w:t xml:space="preserve"> </w:t>
      </w:r>
      <w:r w:rsidR="00C26316">
        <w:rPr>
          <w:rFonts w:ascii="Arial" w:hAnsi="Arial" w:cs="Arial"/>
          <w:sz w:val="26"/>
          <w:szCs w:val="26"/>
          <w:shd w:val="clear" w:color="auto" w:fill="FFFFFF"/>
        </w:rPr>
        <w:t xml:space="preserve">Caso de excepción que </w:t>
      </w:r>
      <w:r w:rsidR="00F04775">
        <w:rPr>
          <w:rFonts w:ascii="Arial" w:hAnsi="Arial" w:cs="Arial"/>
          <w:sz w:val="26"/>
          <w:szCs w:val="26"/>
          <w:shd w:val="clear" w:color="auto" w:fill="FFFFFF"/>
        </w:rPr>
        <w:t xml:space="preserve">el juzgador de origen </w:t>
      </w:r>
      <w:r w:rsidR="00C26316">
        <w:rPr>
          <w:rFonts w:ascii="Arial" w:hAnsi="Arial" w:cs="Arial"/>
          <w:sz w:val="26"/>
          <w:szCs w:val="26"/>
          <w:shd w:val="clear" w:color="auto" w:fill="FFFFFF"/>
        </w:rPr>
        <w:t xml:space="preserve">no advirtió </w:t>
      </w:r>
      <w:r w:rsidR="00F04775">
        <w:rPr>
          <w:rFonts w:ascii="Arial" w:hAnsi="Arial" w:cs="Arial"/>
          <w:sz w:val="26"/>
          <w:szCs w:val="26"/>
          <w:shd w:val="clear" w:color="auto" w:fill="FFFFFF"/>
        </w:rPr>
        <w:t xml:space="preserve">al </w:t>
      </w:r>
      <w:r w:rsidR="00111C5D">
        <w:rPr>
          <w:rFonts w:ascii="Arial" w:hAnsi="Arial" w:cs="Arial"/>
          <w:sz w:val="26"/>
          <w:szCs w:val="26"/>
          <w:shd w:val="clear" w:color="auto" w:fill="FFFFFF"/>
        </w:rPr>
        <w:t>dictar la sentencia en estudio</w:t>
      </w:r>
      <w:r w:rsidR="001F7C58">
        <w:rPr>
          <w:rFonts w:ascii="Arial" w:hAnsi="Arial" w:cs="Arial"/>
          <w:sz w:val="26"/>
          <w:szCs w:val="26"/>
          <w:shd w:val="clear" w:color="auto" w:fill="FFFFFF"/>
        </w:rPr>
        <w:t xml:space="preserve">, que </w:t>
      </w:r>
      <w:r w:rsidR="00C26316">
        <w:rPr>
          <w:rFonts w:ascii="Arial" w:hAnsi="Arial" w:cs="Arial"/>
          <w:sz w:val="26"/>
          <w:szCs w:val="26"/>
          <w:shd w:val="clear" w:color="auto" w:fill="FFFFFF"/>
        </w:rPr>
        <w:t xml:space="preserve">conllevó a que decretara </w:t>
      </w:r>
      <w:r w:rsidR="001F7C58">
        <w:rPr>
          <w:rFonts w:ascii="Arial" w:hAnsi="Arial" w:cs="Arial"/>
          <w:sz w:val="26"/>
          <w:szCs w:val="26"/>
          <w:shd w:val="clear" w:color="auto" w:fill="FFFFFF"/>
        </w:rPr>
        <w:t xml:space="preserve">el efecto de la nulidad que declaró, </w:t>
      </w:r>
      <w:r w:rsidR="00C26316">
        <w:rPr>
          <w:rFonts w:ascii="Arial" w:hAnsi="Arial" w:cs="Arial"/>
          <w:sz w:val="26"/>
          <w:szCs w:val="26"/>
          <w:shd w:val="clear" w:color="auto" w:fill="FFFFFF"/>
        </w:rPr>
        <w:t xml:space="preserve">sin la debida </w:t>
      </w:r>
      <w:r w:rsidR="00111C5D">
        <w:rPr>
          <w:rFonts w:ascii="Arial" w:hAnsi="Arial" w:cs="Arial"/>
          <w:sz w:val="26"/>
          <w:szCs w:val="26"/>
          <w:shd w:val="clear" w:color="auto" w:fill="FFFFFF"/>
        </w:rPr>
        <w:t>funda</w:t>
      </w:r>
      <w:r w:rsidR="00C26316">
        <w:rPr>
          <w:rFonts w:ascii="Arial" w:hAnsi="Arial" w:cs="Arial"/>
          <w:sz w:val="26"/>
          <w:szCs w:val="26"/>
          <w:shd w:val="clear" w:color="auto" w:fill="FFFFFF"/>
        </w:rPr>
        <w:t xml:space="preserve">mentación y </w:t>
      </w:r>
      <w:r w:rsidR="00111C5D">
        <w:rPr>
          <w:rFonts w:ascii="Arial" w:hAnsi="Arial" w:cs="Arial"/>
          <w:sz w:val="26"/>
          <w:szCs w:val="26"/>
          <w:shd w:val="clear" w:color="auto" w:fill="FFFFFF"/>
        </w:rPr>
        <w:t>motiva</w:t>
      </w:r>
      <w:r w:rsidR="00C26316">
        <w:rPr>
          <w:rFonts w:ascii="Arial" w:hAnsi="Arial" w:cs="Arial"/>
          <w:sz w:val="26"/>
          <w:szCs w:val="26"/>
          <w:shd w:val="clear" w:color="auto" w:fill="FFFFFF"/>
        </w:rPr>
        <w:t>ción</w:t>
      </w:r>
      <w:r w:rsidR="00111C5D">
        <w:rPr>
          <w:rFonts w:ascii="Arial" w:hAnsi="Arial" w:cs="Arial"/>
          <w:sz w:val="26"/>
          <w:szCs w:val="26"/>
          <w:shd w:val="clear" w:color="auto" w:fill="FFFFFF"/>
        </w:rPr>
        <w:t xml:space="preserve">, </w:t>
      </w:r>
      <w:r w:rsidR="001F7C58">
        <w:rPr>
          <w:rFonts w:ascii="Arial" w:hAnsi="Arial" w:cs="Arial"/>
          <w:sz w:val="26"/>
          <w:szCs w:val="26"/>
          <w:shd w:val="clear" w:color="auto" w:fill="FFFFFF"/>
        </w:rPr>
        <w:t>omisión que ocasionó la t</w:t>
      </w:r>
      <w:r w:rsidR="00111C5D">
        <w:rPr>
          <w:rFonts w:ascii="Arial" w:hAnsi="Arial" w:cs="Arial"/>
          <w:sz w:val="26"/>
          <w:szCs w:val="26"/>
          <w:shd w:val="clear" w:color="auto" w:fill="FFFFFF"/>
        </w:rPr>
        <w:t>rasgre</w:t>
      </w:r>
      <w:r w:rsidR="001F7C58">
        <w:rPr>
          <w:rFonts w:ascii="Arial" w:hAnsi="Arial" w:cs="Arial"/>
          <w:sz w:val="26"/>
          <w:szCs w:val="26"/>
          <w:shd w:val="clear" w:color="auto" w:fill="FFFFFF"/>
        </w:rPr>
        <w:t xml:space="preserve">sión de </w:t>
      </w:r>
      <w:r w:rsidR="00C26316">
        <w:rPr>
          <w:rFonts w:ascii="Arial" w:hAnsi="Arial" w:cs="Arial"/>
          <w:sz w:val="26"/>
          <w:szCs w:val="26"/>
          <w:shd w:val="clear" w:color="auto" w:fill="FFFFFF"/>
        </w:rPr>
        <w:t>l</w:t>
      </w:r>
      <w:r w:rsidR="00111C5D">
        <w:rPr>
          <w:rFonts w:ascii="Arial" w:hAnsi="Arial" w:cs="Arial"/>
          <w:sz w:val="26"/>
          <w:szCs w:val="26"/>
          <w:shd w:val="clear" w:color="auto" w:fill="FFFFFF"/>
        </w:rPr>
        <w:t xml:space="preserve">os principios de legalidad, </w:t>
      </w:r>
      <w:r w:rsidR="00264298">
        <w:rPr>
          <w:rFonts w:ascii="Arial" w:hAnsi="Arial" w:cs="Arial"/>
          <w:sz w:val="26"/>
          <w:szCs w:val="26"/>
          <w:shd w:val="clear" w:color="auto" w:fill="FFFFFF"/>
        </w:rPr>
        <w:t xml:space="preserve">certeza y </w:t>
      </w:r>
      <w:r w:rsidR="00111C5D">
        <w:rPr>
          <w:rFonts w:ascii="Arial" w:hAnsi="Arial" w:cs="Arial"/>
          <w:sz w:val="26"/>
          <w:szCs w:val="26"/>
          <w:shd w:val="clear" w:color="auto" w:fill="FFFFFF"/>
        </w:rPr>
        <w:t>seguridad jurídica</w:t>
      </w:r>
      <w:r w:rsidR="00C26316">
        <w:rPr>
          <w:rFonts w:ascii="Arial" w:hAnsi="Arial" w:cs="Arial"/>
          <w:sz w:val="26"/>
          <w:szCs w:val="26"/>
          <w:shd w:val="clear" w:color="auto" w:fill="FFFFFF"/>
        </w:rPr>
        <w:t>s</w:t>
      </w:r>
      <w:r w:rsidR="00111C5D">
        <w:rPr>
          <w:rFonts w:ascii="Arial" w:hAnsi="Arial" w:cs="Arial"/>
          <w:sz w:val="26"/>
          <w:szCs w:val="26"/>
          <w:shd w:val="clear" w:color="auto" w:fill="FFFFFF"/>
        </w:rPr>
        <w:t xml:space="preserve"> </w:t>
      </w:r>
      <w:r w:rsidR="00264298">
        <w:rPr>
          <w:rFonts w:ascii="Arial" w:hAnsi="Arial" w:cs="Arial"/>
          <w:sz w:val="26"/>
          <w:szCs w:val="26"/>
          <w:shd w:val="clear" w:color="auto" w:fill="FFFFFF"/>
        </w:rPr>
        <w:t xml:space="preserve">contenidos en los artículos 14, 16 y 17 de la Constitución Política de los Estados Unidos Mexicanos. De ahí lo </w:t>
      </w:r>
      <w:r w:rsidR="00264298" w:rsidRPr="00264298">
        <w:rPr>
          <w:rFonts w:ascii="Arial" w:hAnsi="Arial" w:cs="Arial"/>
          <w:b/>
          <w:bCs/>
          <w:sz w:val="26"/>
          <w:szCs w:val="26"/>
          <w:shd w:val="clear" w:color="auto" w:fill="FFFFFF"/>
        </w:rPr>
        <w:t>FUNDADO</w:t>
      </w:r>
      <w:r w:rsidR="00264298">
        <w:rPr>
          <w:rFonts w:ascii="Arial" w:hAnsi="Arial" w:cs="Arial"/>
          <w:sz w:val="26"/>
          <w:szCs w:val="26"/>
          <w:shd w:val="clear" w:color="auto" w:fill="FFFFFF"/>
        </w:rPr>
        <w:t xml:space="preserve"> del agravio del recurrente.</w:t>
      </w:r>
      <w:r w:rsidR="00AB6C44">
        <w:rPr>
          <w:rFonts w:ascii="Arial" w:hAnsi="Arial" w:cs="Arial"/>
          <w:sz w:val="26"/>
          <w:szCs w:val="26"/>
          <w:shd w:val="clear" w:color="auto" w:fill="FFFFFF"/>
        </w:rPr>
        <w:t xml:space="preserve"> </w:t>
      </w:r>
      <w:r w:rsidR="00AB6C44">
        <w:rPr>
          <w:rFonts w:ascii="Arial" w:hAnsi="Arial" w:cs="Arial"/>
          <w:bCs/>
          <w:color w:val="000000"/>
          <w:sz w:val="26"/>
          <w:szCs w:val="26"/>
        </w:rPr>
        <w:t xml:space="preserve">- - - - - - - - - - - - - - - - - - - - - - - - </w:t>
      </w:r>
      <w:r w:rsidR="000D3B6B">
        <w:rPr>
          <w:rFonts w:ascii="Arial" w:hAnsi="Arial" w:cs="Arial"/>
          <w:bCs/>
          <w:color w:val="000000"/>
          <w:sz w:val="26"/>
          <w:szCs w:val="26"/>
        </w:rPr>
        <w:t xml:space="preserve">- - - - - - - - - - - - - - - - - - - - </w:t>
      </w:r>
    </w:p>
    <w:p w14:paraId="2C57585E" w14:textId="7C195A03" w:rsidR="00D85065" w:rsidRPr="00D92F07" w:rsidRDefault="00D85065" w:rsidP="00B56C1F">
      <w:pPr>
        <w:pStyle w:val="Sinespaciado"/>
        <w:spacing w:before="240" w:after="240" w:line="360" w:lineRule="auto"/>
        <w:ind w:firstLine="708"/>
        <w:jc w:val="both"/>
        <w:rPr>
          <w:rFonts w:ascii="Arial" w:eastAsia="Times New Roman" w:hAnsi="Arial" w:cs="Arial"/>
          <w:sz w:val="26"/>
          <w:szCs w:val="26"/>
        </w:rPr>
      </w:pPr>
      <w:r>
        <w:rPr>
          <w:rFonts w:ascii="Arial" w:hAnsi="Arial" w:cs="Arial"/>
          <w:sz w:val="26"/>
          <w:szCs w:val="26"/>
          <w:shd w:val="clear" w:color="auto" w:fill="FFFFFF"/>
        </w:rPr>
        <w:t xml:space="preserve">De igual forma es aplicable al caso la Jurisprudencia </w:t>
      </w:r>
      <w:r w:rsidRPr="00D92F07">
        <w:rPr>
          <w:rFonts w:ascii="Arial" w:eastAsia="Times New Roman" w:hAnsi="Arial" w:cs="Arial"/>
          <w:sz w:val="26"/>
          <w:szCs w:val="26"/>
        </w:rPr>
        <w:t>en materia administrativa número 2a</w:t>
      </w:r>
      <w:proofErr w:type="gramStart"/>
      <w:r w:rsidRPr="00D92F07">
        <w:rPr>
          <w:rFonts w:ascii="Arial" w:eastAsia="Times New Roman" w:hAnsi="Arial" w:cs="Arial"/>
          <w:sz w:val="26"/>
          <w:szCs w:val="26"/>
        </w:rPr>
        <w:t>./</w:t>
      </w:r>
      <w:proofErr w:type="gramEnd"/>
      <w:r w:rsidRPr="00D92F07">
        <w:rPr>
          <w:rFonts w:ascii="Arial" w:eastAsia="Times New Roman" w:hAnsi="Arial" w:cs="Arial"/>
          <w:sz w:val="26"/>
          <w:szCs w:val="26"/>
        </w:rPr>
        <w:t xml:space="preserve">J. </w:t>
      </w:r>
      <w:r>
        <w:rPr>
          <w:rFonts w:ascii="Arial" w:eastAsia="Times New Roman" w:hAnsi="Arial" w:cs="Arial"/>
          <w:sz w:val="26"/>
          <w:szCs w:val="26"/>
        </w:rPr>
        <w:t>52</w:t>
      </w:r>
      <w:r w:rsidRPr="00D92F07">
        <w:rPr>
          <w:rFonts w:ascii="Arial" w:eastAsia="Times New Roman" w:hAnsi="Arial" w:cs="Arial"/>
          <w:sz w:val="26"/>
          <w:szCs w:val="26"/>
        </w:rPr>
        <w:t>/200</w:t>
      </w:r>
      <w:r>
        <w:rPr>
          <w:rFonts w:ascii="Arial" w:eastAsia="Times New Roman" w:hAnsi="Arial" w:cs="Arial"/>
          <w:sz w:val="26"/>
          <w:szCs w:val="26"/>
        </w:rPr>
        <w:t>1</w:t>
      </w:r>
      <w:r w:rsidRPr="00D92F07">
        <w:rPr>
          <w:rFonts w:ascii="Arial" w:eastAsia="Times New Roman" w:hAnsi="Arial" w:cs="Arial"/>
          <w:sz w:val="26"/>
          <w:szCs w:val="26"/>
        </w:rPr>
        <w:t>, con número de registro digital 1</w:t>
      </w:r>
      <w:r>
        <w:rPr>
          <w:rFonts w:ascii="Arial" w:eastAsia="Times New Roman" w:hAnsi="Arial" w:cs="Arial"/>
          <w:sz w:val="26"/>
          <w:szCs w:val="26"/>
        </w:rPr>
        <w:t>88431</w:t>
      </w:r>
      <w:r w:rsidRPr="00D92F07">
        <w:rPr>
          <w:rFonts w:ascii="Arial" w:eastAsia="Times New Roman" w:hAnsi="Arial" w:cs="Arial"/>
          <w:sz w:val="26"/>
          <w:szCs w:val="26"/>
        </w:rPr>
        <w:t>, de la Novena Época, emitida por la Segunda Sala de la Suprema Corte de Justicia de la Nación, publicada en el Semanario Judicial de la Federación y su Gaceta, Tomo X</w:t>
      </w:r>
      <w:r>
        <w:rPr>
          <w:rFonts w:ascii="Arial" w:eastAsia="Times New Roman" w:hAnsi="Arial" w:cs="Arial"/>
          <w:sz w:val="26"/>
          <w:szCs w:val="26"/>
        </w:rPr>
        <w:t>IV</w:t>
      </w:r>
      <w:r w:rsidRPr="00D92F07">
        <w:rPr>
          <w:rFonts w:ascii="Arial" w:eastAsia="Times New Roman" w:hAnsi="Arial" w:cs="Arial"/>
          <w:sz w:val="26"/>
          <w:szCs w:val="26"/>
        </w:rPr>
        <w:t xml:space="preserve">, </w:t>
      </w:r>
      <w:r>
        <w:rPr>
          <w:rFonts w:ascii="Arial" w:eastAsia="Times New Roman" w:hAnsi="Arial" w:cs="Arial"/>
          <w:sz w:val="26"/>
          <w:szCs w:val="26"/>
        </w:rPr>
        <w:t xml:space="preserve">Noviembre de </w:t>
      </w:r>
      <w:r w:rsidRPr="00D92F07">
        <w:rPr>
          <w:rFonts w:ascii="Arial" w:eastAsia="Times New Roman" w:hAnsi="Arial" w:cs="Arial"/>
          <w:sz w:val="26"/>
          <w:szCs w:val="26"/>
        </w:rPr>
        <w:t>200</w:t>
      </w:r>
      <w:r>
        <w:rPr>
          <w:rFonts w:ascii="Arial" w:eastAsia="Times New Roman" w:hAnsi="Arial" w:cs="Arial"/>
          <w:sz w:val="26"/>
          <w:szCs w:val="26"/>
        </w:rPr>
        <w:t>1</w:t>
      </w:r>
      <w:r w:rsidRPr="00D92F07">
        <w:rPr>
          <w:rFonts w:ascii="Arial" w:eastAsia="Times New Roman" w:hAnsi="Arial" w:cs="Arial"/>
          <w:sz w:val="26"/>
          <w:szCs w:val="26"/>
        </w:rPr>
        <w:t xml:space="preserve">, visible a página </w:t>
      </w:r>
      <w:r>
        <w:rPr>
          <w:rFonts w:ascii="Arial" w:eastAsia="Times New Roman" w:hAnsi="Arial" w:cs="Arial"/>
          <w:sz w:val="26"/>
          <w:szCs w:val="26"/>
        </w:rPr>
        <w:t>32</w:t>
      </w:r>
      <w:r w:rsidRPr="00D92F07">
        <w:rPr>
          <w:rFonts w:ascii="Arial" w:eastAsia="Times New Roman" w:hAnsi="Arial" w:cs="Arial"/>
          <w:sz w:val="26"/>
          <w:szCs w:val="26"/>
        </w:rPr>
        <w:t xml:space="preserve">, de rubro y texto siguientes: </w:t>
      </w:r>
    </w:p>
    <w:p w14:paraId="54D8014E" w14:textId="6F9A6409" w:rsidR="00264298" w:rsidRPr="00AB6C44" w:rsidRDefault="00D85065" w:rsidP="00AB6C44">
      <w:pPr>
        <w:shd w:val="clear" w:color="auto" w:fill="FFFFFF"/>
        <w:spacing w:after="240"/>
        <w:ind w:left="567" w:right="616"/>
        <w:jc w:val="both"/>
        <w:rPr>
          <w:rFonts w:ascii="Arial" w:eastAsia="Times New Roman" w:hAnsi="Arial" w:cs="Arial"/>
          <w:i/>
          <w:iCs/>
        </w:rPr>
      </w:pPr>
      <w:r w:rsidRPr="00AB6C44">
        <w:rPr>
          <w:rFonts w:ascii="Arial" w:eastAsia="Times New Roman" w:hAnsi="Arial" w:cs="Arial"/>
          <w:b/>
          <w:bCs/>
          <w:i/>
          <w:iCs/>
        </w:rPr>
        <w:t xml:space="preserve">“COMPETENCIA DE LAS AUTORIDADES ADMINISTRATIVAS. LA NULIDAD DECRETADA POR NO HABERLA FUNDADO NO PUEDE SER PARA EFECTOS, EXCEPTO EN LOS CASOS EN QUE LA RESOLUCIÓN IMPUGNADA RECAIGA A UNA PETICIÓN, INSTANCIA O RECURSO. </w:t>
      </w:r>
      <w:r w:rsidRPr="00AB6C44">
        <w:rPr>
          <w:rFonts w:ascii="Arial" w:eastAsia="Times New Roman" w:hAnsi="Arial" w:cs="Arial"/>
          <w:i/>
          <w:iCs/>
        </w:rPr>
        <w:t xml:space="preserve">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w:t>
      </w:r>
      <w:r w:rsidRPr="00AB6C44">
        <w:rPr>
          <w:rFonts w:ascii="Arial" w:eastAsia="Times New Roman" w:hAnsi="Arial" w:cs="Arial"/>
          <w:i/>
          <w:iCs/>
          <w:u w:val="single"/>
        </w:rPr>
        <w:t xml:space="preserve">en aquellos casos </w:t>
      </w:r>
      <w:r w:rsidRPr="00AB6C44">
        <w:rPr>
          <w:rFonts w:ascii="Arial" w:eastAsia="Times New Roman" w:hAnsi="Arial" w:cs="Arial"/>
          <w:i/>
          <w:iCs/>
          <w:u w:val="single"/>
        </w:rPr>
        <w:lastRenderedPageBreak/>
        <w:t>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w:t>
      </w:r>
      <w:hyperlink r:id="rId11" w:history="1">
        <w:r w:rsidRPr="00AB6C44">
          <w:rPr>
            <w:rFonts w:ascii="Arial" w:eastAsia="Times New Roman" w:hAnsi="Arial" w:cs="Arial"/>
            <w:i/>
            <w:iCs/>
            <w:u w:val="single"/>
          </w:rPr>
          <w:t>16 de la Constitución Política de los Estados Unidos Mexicanos</w:t>
        </w:r>
      </w:hyperlink>
      <w:r w:rsidRPr="00AB6C44">
        <w:rPr>
          <w:rFonts w:ascii="Arial" w:eastAsia="Times New Roman" w:hAnsi="Arial" w:cs="Arial"/>
          <w:i/>
          <w:iCs/>
          <w:u w:val="single"/>
        </w:rPr>
        <w:t>.</w:t>
      </w:r>
      <w:r w:rsidRPr="00AB6C44">
        <w:rPr>
          <w:rFonts w:ascii="Arial" w:eastAsia="Times New Roman" w:hAnsi="Arial" w:cs="Arial"/>
          <w:i/>
          <w:iCs/>
        </w:rPr>
        <w:t>”</w:t>
      </w:r>
      <w:r w:rsidR="00264298" w:rsidRPr="00AB6C44">
        <w:rPr>
          <w:rFonts w:ascii="Arial" w:eastAsia="Times New Roman" w:hAnsi="Arial" w:cs="Arial"/>
          <w:i/>
          <w:iCs/>
        </w:rPr>
        <w:t xml:space="preserve"> </w:t>
      </w:r>
      <w:r w:rsidR="00264298" w:rsidRPr="00AB6C44">
        <w:rPr>
          <w:rFonts w:ascii="Arial" w:eastAsia="Times New Roman" w:hAnsi="Arial" w:cs="Arial"/>
        </w:rPr>
        <w:t>(Lo subrayado es propio)</w:t>
      </w:r>
    </w:p>
    <w:p w14:paraId="2D3F9763" w14:textId="314DD8C5" w:rsidR="0000461D" w:rsidRDefault="001C4053" w:rsidP="005D0BC8">
      <w:pPr>
        <w:spacing w:line="360" w:lineRule="auto"/>
        <w:ind w:firstLine="708"/>
        <w:jc w:val="both"/>
        <w:rPr>
          <w:rFonts w:ascii="Arial" w:hAnsi="Arial" w:cs="Arial"/>
          <w:sz w:val="26"/>
          <w:szCs w:val="26"/>
          <w:shd w:val="clear" w:color="auto" w:fill="FFFFFF"/>
        </w:rPr>
      </w:pPr>
      <w:r>
        <w:rPr>
          <w:rFonts w:ascii="Arial" w:hAnsi="Arial" w:cs="Arial"/>
          <w:sz w:val="26"/>
          <w:szCs w:val="26"/>
          <w:shd w:val="clear" w:color="auto" w:fill="FFFFFF"/>
        </w:rPr>
        <w:t>En consecuencia</w:t>
      </w:r>
      <w:r w:rsidR="00941EC1">
        <w:rPr>
          <w:rFonts w:ascii="Arial" w:hAnsi="Arial" w:cs="Arial"/>
          <w:sz w:val="26"/>
          <w:szCs w:val="26"/>
          <w:shd w:val="clear" w:color="auto" w:fill="FFFFFF"/>
        </w:rPr>
        <w:t xml:space="preserve">, </w:t>
      </w:r>
      <w:r w:rsidR="00941EC1">
        <w:rPr>
          <w:rFonts w:ascii="Arial" w:hAnsi="Arial" w:cs="Arial"/>
          <w:bCs/>
          <w:color w:val="000000"/>
          <w:sz w:val="26"/>
          <w:szCs w:val="26"/>
        </w:rPr>
        <w:t xml:space="preserve">con la finalidad de </w:t>
      </w:r>
      <w:r>
        <w:rPr>
          <w:rFonts w:ascii="Arial" w:hAnsi="Arial" w:cs="Arial"/>
          <w:bCs/>
          <w:color w:val="000000"/>
          <w:sz w:val="26"/>
          <w:szCs w:val="26"/>
        </w:rPr>
        <w:t xml:space="preserve">la autoridad demandada ahora recurrente, </w:t>
      </w:r>
      <w:r w:rsidR="00941EC1">
        <w:rPr>
          <w:rFonts w:ascii="Arial" w:hAnsi="Arial" w:cs="Arial"/>
          <w:bCs/>
          <w:color w:val="000000"/>
          <w:sz w:val="26"/>
          <w:szCs w:val="26"/>
        </w:rPr>
        <w:t>no vulner</w:t>
      </w:r>
      <w:r>
        <w:rPr>
          <w:rFonts w:ascii="Arial" w:hAnsi="Arial" w:cs="Arial"/>
          <w:bCs/>
          <w:color w:val="000000"/>
          <w:sz w:val="26"/>
          <w:szCs w:val="26"/>
        </w:rPr>
        <w:t xml:space="preserve">e </w:t>
      </w:r>
      <w:r w:rsidR="00D85065">
        <w:rPr>
          <w:rFonts w:ascii="Arial" w:hAnsi="Arial" w:cs="Arial"/>
          <w:bCs/>
          <w:color w:val="000000"/>
          <w:sz w:val="26"/>
          <w:szCs w:val="26"/>
        </w:rPr>
        <w:t xml:space="preserve">los </w:t>
      </w:r>
      <w:r w:rsidR="00941EC1">
        <w:rPr>
          <w:rFonts w:ascii="Arial" w:hAnsi="Arial" w:cs="Arial"/>
          <w:bCs/>
          <w:color w:val="000000"/>
          <w:sz w:val="26"/>
          <w:szCs w:val="26"/>
        </w:rPr>
        <w:t>derecho</w:t>
      </w:r>
      <w:r w:rsidR="00D85065">
        <w:rPr>
          <w:rFonts w:ascii="Arial" w:hAnsi="Arial" w:cs="Arial"/>
          <w:bCs/>
          <w:color w:val="000000"/>
          <w:sz w:val="26"/>
          <w:szCs w:val="26"/>
        </w:rPr>
        <w:t>s</w:t>
      </w:r>
      <w:r w:rsidR="00941EC1">
        <w:rPr>
          <w:rFonts w:ascii="Arial" w:hAnsi="Arial" w:cs="Arial"/>
          <w:bCs/>
          <w:color w:val="000000"/>
          <w:sz w:val="26"/>
          <w:szCs w:val="26"/>
        </w:rPr>
        <w:t xml:space="preserve"> de </w:t>
      </w:r>
      <w:r w:rsidR="00FF5A10">
        <w:rPr>
          <w:rFonts w:ascii="Arial" w:hAnsi="Arial" w:cs="Arial"/>
          <w:sz w:val="26"/>
          <w:szCs w:val="26"/>
          <w:shd w:val="clear" w:color="auto" w:fill="FFFFFF"/>
        </w:rPr>
        <w:t xml:space="preserve">audiencia </w:t>
      </w:r>
      <w:r w:rsidR="00D85065">
        <w:rPr>
          <w:rFonts w:ascii="Arial" w:hAnsi="Arial" w:cs="Arial"/>
          <w:sz w:val="26"/>
          <w:szCs w:val="26"/>
          <w:shd w:val="clear" w:color="auto" w:fill="FFFFFF"/>
        </w:rPr>
        <w:t xml:space="preserve">y seguridad jurídica </w:t>
      </w:r>
      <w:r w:rsidR="00941EC1">
        <w:rPr>
          <w:rFonts w:ascii="Arial" w:hAnsi="Arial" w:cs="Arial"/>
          <w:sz w:val="26"/>
          <w:szCs w:val="26"/>
          <w:shd w:val="clear" w:color="auto" w:fill="FFFFFF"/>
        </w:rPr>
        <w:t>de los peticionarios</w:t>
      </w:r>
      <w:r w:rsidR="00C86A83">
        <w:rPr>
          <w:rFonts w:ascii="Arial" w:hAnsi="Arial" w:cs="Arial"/>
          <w:sz w:val="26"/>
          <w:szCs w:val="26"/>
          <w:shd w:val="clear" w:color="auto" w:fill="FFFFFF"/>
        </w:rPr>
        <w:t>,</w:t>
      </w:r>
      <w:r w:rsidR="00941EC1">
        <w:rPr>
          <w:rFonts w:ascii="Arial" w:hAnsi="Arial" w:cs="Arial"/>
          <w:sz w:val="26"/>
          <w:szCs w:val="26"/>
          <w:shd w:val="clear" w:color="auto" w:fill="FFFFFF"/>
        </w:rPr>
        <w:t xml:space="preserve"> </w:t>
      </w:r>
      <w:r w:rsidR="00FF5A10">
        <w:rPr>
          <w:rFonts w:ascii="Arial" w:hAnsi="Arial" w:cs="Arial"/>
          <w:sz w:val="26"/>
          <w:szCs w:val="26"/>
          <w:shd w:val="clear" w:color="auto" w:fill="FFFFFF"/>
        </w:rPr>
        <w:t>contenido</w:t>
      </w:r>
      <w:r w:rsidR="00D85065">
        <w:rPr>
          <w:rFonts w:ascii="Arial" w:hAnsi="Arial" w:cs="Arial"/>
          <w:sz w:val="26"/>
          <w:szCs w:val="26"/>
          <w:shd w:val="clear" w:color="auto" w:fill="FFFFFF"/>
        </w:rPr>
        <w:t>s</w:t>
      </w:r>
      <w:r w:rsidR="00FF5A10">
        <w:rPr>
          <w:rFonts w:ascii="Arial" w:hAnsi="Arial" w:cs="Arial"/>
          <w:sz w:val="26"/>
          <w:szCs w:val="26"/>
          <w:shd w:val="clear" w:color="auto" w:fill="FFFFFF"/>
        </w:rPr>
        <w:t xml:space="preserve"> en </w:t>
      </w:r>
      <w:r w:rsidR="00D85065">
        <w:rPr>
          <w:rFonts w:ascii="Arial" w:hAnsi="Arial" w:cs="Arial"/>
          <w:sz w:val="26"/>
          <w:szCs w:val="26"/>
          <w:shd w:val="clear" w:color="auto" w:fill="FFFFFF"/>
        </w:rPr>
        <w:t xml:space="preserve">los </w:t>
      </w:r>
      <w:r w:rsidR="00FF5A10">
        <w:rPr>
          <w:rFonts w:ascii="Arial" w:hAnsi="Arial" w:cs="Arial"/>
          <w:sz w:val="26"/>
          <w:szCs w:val="26"/>
          <w:shd w:val="clear" w:color="auto" w:fill="FFFFFF"/>
        </w:rPr>
        <w:t xml:space="preserve"> artículo</w:t>
      </w:r>
      <w:r w:rsidR="00D85065">
        <w:rPr>
          <w:rFonts w:ascii="Arial" w:hAnsi="Arial" w:cs="Arial"/>
          <w:sz w:val="26"/>
          <w:szCs w:val="26"/>
          <w:shd w:val="clear" w:color="auto" w:fill="FFFFFF"/>
        </w:rPr>
        <w:t>s</w:t>
      </w:r>
      <w:r w:rsidR="00FF5A10">
        <w:rPr>
          <w:rFonts w:ascii="Arial" w:hAnsi="Arial" w:cs="Arial"/>
          <w:sz w:val="26"/>
          <w:szCs w:val="26"/>
          <w:shd w:val="clear" w:color="auto" w:fill="FFFFFF"/>
        </w:rPr>
        <w:t xml:space="preserve"> 8 </w:t>
      </w:r>
      <w:r w:rsidR="00D85065">
        <w:rPr>
          <w:rFonts w:ascii="Arial" w:hAnsi="Arial" w:cs="Arial"/>
          <w:sz w:val="26"/>
          <w:szCs w:val="26"/>
          <w:shd w:val="clear" w:color="auto" w:fill="FFFFFF"/>
        </w:rPr>
        <w:t xml:space="preserve">y 16 </w:t>
      </w:r>
      <w:r w:rsidR="00FF5A10">
        <w:rPr>
          <w:rFonts w:ascii="Arial" w:hAnsi="Arial" w:cs="Arial"/>
          <w:sz w:val="26"/>
          <w:szCs w:val="26"/>
          <w:shd w:val="clear" w:color="auto" w:fill="FFFFFF"/>
        </w:rPr>
        <w:t xml:space="preserve">de la Constitución </w:t>
      </w:r>
      <w:r w:rsidR="00B6756B">
        <w:rPr>
          <w:rFonts w:ascii="Arial" w:hAnsi="Arial" w:cs="Arial"/>
          <w:sz w:val="26"/>
          <w:szCs w:val="26"/>
          <w:shd w:val="clear" w:color="auto" w:fill="FFFFFF"/>
        </w:rPr>
        <w:t>Política de los Estados Unidos Mexicanos</w:t>
      </w:r>
      <w:r w:rsidR="00941EC1">
        <w:rPr>
          <w:rFonts w:ascii="Arial" w:hAnsi="Arial" w:cs="Arial"/>
          <w:sz w:val="26"/>
          <w:szCs w:val="26"/>
          <w:shd w:val="clear" w:color="auto" w:fill="FFFFFF"/>
        </w:rPr>
        <w:t>;</w:t>
      </w:r>
      <w:r w:rsidR="0064599D">
        <w:rPr>
          <w:rFonts w:ascii="Arial" w:hAnsi="Arial" w:cs="Arial"/>
          <w:sz w:val="26"/>
          <w:szCs w:val="26"/>
          <w:shd w:val="clear" w:color="auto" w:fill="FFFFFF"/>
        </w:rPr>
        <w:t xml:space="preserve"> </w:t>
      </w:r>
      <w:r w:rsidR="00941EC1">
        <w:rPr>
          <w:rFonts w:ascii="Arial" w:hAnsi="Arial" w:cs="Arial"/>
          <w:sz w:val="26"/>
          <w:szCs w:val="26"/>
          <w:shd w:val="clear" w:color="auto" w:fill="FFFFFF"/>
        </w:rPr>
        <w:t xml:space="preserve">es procedente </w:t>
      </w:r>
      <w:r w:rsidR="00941EC1" w:rsidRPr="000D0458">
        <w:rPr>
          <w:rFonts w:ascii="Arial" w:hAnsi="Arial" w:cs="Arial"/>
          <w:b/>
          <w:bCs/>
          <w:sz w:val="26"/>
          <w:szCs w:val="26"/>
          <w:shd w:val="clear" w:color="auto" w:fill="FFFFFF"/>
        </w:rPr>
        <w:t xml:space="preserve">modificar </w:t>
      </w:r>
      <w:r w:rsidR="00941EC1">
        <w:rPr>
          <w:rFonts w:ascii="Arial" w:hAnsi="Arial" w:cs="Arial"/>
          <w:sz w:val="26"/>
          <w:szCs w:val="26"/>
          <w:shd w:val="clear" w:color="auto" w:fill="FFFFFF"/>
        </w:rPr>
        <w:t xml:space="preserve">la sentencia </w:t>
      </w:r>
      <w:r w:rsidR="000D0458">
        <w:rPr>
          <w:rFonts w:ascii="Arial" w:hAnsi="Arial" w:cs="Arial"/>
          <w:sz w:val="26"/>
          <w:szCs w:val="26"/>
          <w:shd w:val="clear" w:color="auto" w:fill="FFFFFF"/>
        </w:rPr>
        <w:t>impugnada</w:t>
      </w:r>
      <w:r w:rsidR="00941EC1">
        <w:rPr>
          <w:rFonts w:ascii="Arial" w:hAnsi="Arial" w:cs="Arial"/>
          <w:sz w:val="26"/>
          <w:szCs w:val="26"/>
          <w:shd w:val="clear" w:color="auto" w:fill="FFFFFF"/>
        </w:rPr>
        <w:t xml:space="preserve">, </w:t>
      </w:r>
      <w:r w:rsidR="00C86A83">
        <w:rPr>
          <w:rFonts w:ascii="Arial" w:hAnsi="Arial" w:cs="Arial"/>
          <w:sz w:val="26"/>
          <w:szCs w:val="26"/>
          <w:shd w:val="clear" w:color="auto" w:fill="FFFFFF"/>
        </w:rPr>
        <w:t xml:space="preserve">en </w:t>
      </w:r>
      <w:r w:rsidR="000D0458">
        <w:rPr>
          <w:rFonts w:ascii="Arial" w:hAnsi="Arial" w:cs="Arial"/>
          <w:sz w:val="26"/>
          <w:szCs w:val="26"/>
          <w:shd w:val="clear" w:color="auto" w:fill="FFFFFF"/>
        </w:rPr>
        <w:t xml:space="preserve">el </w:t>
      </w:r>
      <w:r w:rsidR="00C86A83">
        <w:rPr>
          <w:rFonts w:ascii="Arial" w:hAnsi="Arial" w:cs="Arial"/>
          <w:sz w:val="26"/>
          <w:szCs w:val="26"/>
          <w:shd w:val="clear" w:color="auto" w:fill="FFFFFF"/>
        </w:rPr>
        <w:t xml:space="preserve">sentido de que </w:t>
      </w:r>
      <w:r w:rsidR="00C86A83" w:rsidRPr="000D0458">
        <w:rPr>
          <w:rFonts w:ascii="Arial" w:hAnsi="Arial" w:cs="Arial"/>
          <w:b/>
          <w:bCs/>
          <w:sz w:val="26"/>
          <w:szCs w:val="26"/>
          <w:shd w:val="clear" w:color="auto" w:fill="FFFFFF"/>
        </w:rPr>
        <w:t>la nulidad decretada debe ser para el efecto</w:t>
      </w:r>
      <w:r w:rsidR="00C86A83">
        <w:rPr>
          <w:rFonts w:ascii="Arial" w:hAnsi="Arial" w:cs="Arial"/>
          <w:sz w:val="26"/>
          <w:szCs w:val="26"/>
          <w:shd w:val="clear" w:color="auto" w:fill="FFFFFF"/>
        </w:rPr>
        <w:t xml:space="preserve"> de que la autoridad demandada ahora recurrente,</w:t>
      </w:r>
      <w:r w:rsidR="005574DE">
        <w:rPr>
          <w:rFonts w:ascii="Arial" w:hAnsi="Arial" w:cs="Arial"/>
          <w:sz w:val="26"/>
          <w:szCs w:val="26"/>
          <w:shd w:val="clear" w:color="auto" w:fill="FFFFFF"/>
        </w:rPr>
        <w:t xml:space="preserve"> </w:t>
      </w:r>
      <w:r w:rsidR="00C86A83">
        <w:rPr>
          <w:rFonts w:ascii="Arial" w:hAnsi="Arial" w:cs="Arial"/>
          <w:sz w:val="26"/>
          <w:szCs w:val="26"/>
          <w:shd w:val="clear" w:color="auto" w:fill="FFFFFF"/>
        </w:rPr>
        <w:t>remita la solicitud de</w:t>
      </w:r>
      <w:r w:rsidR="002B2A17">
        <w:rPr>
          <w:rFonts w:ascii="Arial" w:hAnsi="Arial" w:cs="Arial"/>
          <w:sz w:val="26"/>
          <w:szCs w:val="26"/>
          <w:shd w:val="clear" w:color="auto" w:fill="FFFFFF"/>
        </w:rPr>
        <w:t xml:space="preserve"> diecinueve de julio de dos mil dieciséis firmada por los </w:t>
      </w:r>
      <w:r w:rsidR="00C86A83">
        <w:rPr>
          <w:rFonts w:ascii="Arial" w:hAnsi="Arial" w:cs="Arial"/>
          <w:sz w:val="26"/>
          <w:szCs w:val="26"/>
          <w:shd w:val="clear" w:color="auto" w:fill="FFFFFF"/>
        </w:rPr>
        <w:t xml:space="preserve">presidentes de los sitios de taxis denominados </w:t>
      </w:r>
      <w:r w:rsidR="000D3B6B">
        <w:rPr>
          <w:rFonts w:ascii="Arial" w:hAnsi="Arial" w:cs="Arial"/>
          <w:sz w:val="26"/>
          <w:szCs w:val="26"/>
          <w:shd w:val="clear" w:color="auto" w:fill="FFFFFF"/>
        </w:rPr>
        <w:t>*******</w:t>
      </w:r>
      <w:r w:rsidR="00C86A83">
        <w:rPr>
          <w:rFonts w:ascii="Arial" w:hAnsi="Arial" w:cs="Arial"/>
          <w:sz w:val="26"/>
          <w:szCs w:val="26"/>
          <w:shd w:val="clear" w:color="auto" w:fill="FFFFFF"/>
        </w:rPr>
        <w:t xml:space="preserve">, </w:t>
      </w:r>
      <w:r w:rsidR="005574DE">
        <w:rPr>
          <w:rFonts w:ascii="Arial" w:hAnsi="Arial" w:cs="Arial"/>
          <w:sz w:val="26"/>
          <w:szCs w:val="26"/>
          <w:shd w:val="clear" w:color="auto" w:fill="FFFFFF"/>
        </w:rPr>
        <w:t xml:space="preserve">recibida el veintisiete de julio de dos mil dieciséis en el Departamento de Recepción, Registro y Trámites de </w:t>
      </w:r>
      <w:r w:rsidR="005574DE">
        <w:rPr>
          <w:rFonts w:ascii="Arial" w:hAnsi="Arial" w:cs="Arial"/>
          <w:bCs/>
          <w:color w:val="000000"/>
          <w:sz w:val="26"/>
          <w:szCs w:val="26"/>
        </w:rPr>
        <w:t>la entonces Secretaría de Vialidad y Transporte del Gobierno del Estado Oaxaca, ahora Secretaría de Movilidad</w:t>
      </w:r>
      <w:r w:rsidR="005574DE">
        <w:rPr>
          <w:rFonts w:ascii="Arial" w:hAnsi="Arial" w:cs="Arial"/>
          <w:sz w:val="26"/>
          <w:szCs w:val="26"/>
          <w:shd w:val="clear" w:color="auto" w:fill="FFFFFF"/>
        </w:rPr>
        <w:t xml:space="preserve">, </w:t>
      </w:r>
      <w:r w:rsidR="00C86A83">
        <w:rPr>
          <w:rFonts w:ascii="Arial" w:hAnsi="Arial" w:cs="Arial"/>
          <w:sz w:val="26"/>
          <w:szCs w:val="26"/>
          <w:shd w:val="clear" w:color="auto" w:fill="FFFFFF"/>
        </w:rPr>
        <w:t>a</w:t>
      </w:r>
      <w:r w:rsidR="00AE3731">
        <w:rPr>
          <w:rFonts w:ascii="Arial" w:hAnsi="Arial" w:cs="Arial"/>
          <w:sz w:val="26"/>
          <w:szCs w:val="26"/>
          <w:shd w:val="clear" w:color="auto" w:fill="FFFFFF"/>
        </w:rPr>
        <w:t>l área q</w:t>
      </w:r>
      <w:r w:rsidR="00C86A83">
        <w:rPr>
          <w:rFonts w:ascii="Arial" w:hAnsi="Arial" w:cs="Arial"/>
          <w:sz w:val="26"/>
          <w:szCs w:val="26"/>
          <w:shd w:val="clear" w:color="auto" w:fill="FFFFFF"/>
        </w:rPr>
        <w:t>ue</w:t>
      </w:r>
      <w:r w:rsidR="000A563C">
        <w:rPr>
          <w:rFonts w:ascii="Arial" w:hAnsi="Arial" w:cs="Arial"/>
          <w:sz w:val="26"/>
          <w:szCs w:val="26"/>
          <w:shd w:val="clear" w:color="auto" w:fill="FFFFFF"/>
        </w:rPr>
        <w:t>,</w:t>
      </w:r>
      <w:r w:rsidR="00C86A83">
        <w:rPr>
          <w:rFonts w:ascii="Arial" w:hAnsi="Arial" w:cs="Arial"/>
          <w:sz w:val="26"/>
          <w:szCs w:val="26"/>
          <w:shd w:val="clear" w:color="auto" w:fill="FFFFFF"/>
        </w:rPr>
        <w:t xml:space="preserve"> de acuerdo a las atribuciones y facultades que la ley</w:t>
      </w:r>
      <w:r w:rsidR="005574DE">
        <w:rPr>
          <w:rFonts w:ascii="Arial" w:hAnsi="Arial" w:cs="Arial"/>
          <w:sz w:val="26"/>
          <w:szCs w:val="26"/>
          <w:shd w:val="clear" w:color="auto" w:fill="FFFFFF"/>
        </w:rPr>
        <w:t xml:space="preserve"> que </w:t>
      </w:r>
      <w:r w:rsidR="000D0458">
        <w:rPr>
          <w:rFonts w:ascii="Arial" w:hAnsi="Arial" w:cs="Arial"/>
          <w:sz w:val="26"/>
          <w:szCs w:val="26"/>
          <w:shd w:val="clear" w:color="auto" w:fill="FFFFFF"/>
        </w:rPr>
        <w:t>le conceda</w:t>
      </w:r>
      <w:r w:rsidR="000A563C">
        <w:rPr>
          <w:rFonts w:ascii="Arial" w:hAnsi="Arial" w:cs="Arial"/>
          <w:sz w:val="26"/>
          <w:szCs w:val="26"/>
          <w:shd w:val="clear" w:color="auto" w:fill="FFFFFF"/>
        </w:rPr>
        <w:t>,</w:t>
      </w:r>
      <w:r w:rsidR="000D0458">
        <w:rPr>
          <w:rFonts w:ascii="Arial" w:hAnsi="Arial" w:cs="Arial"/>
          <w:sz w:val="26"/>
          <w:szCs w:val="26"/>
          <w:shd w:val="clear" w:color="auto" w:fill="FFFFFF"/>
        </w:rPr>
        <w:t xml:space="preserve"> </w:t>
      </w:r>
      <w:r w:rsidR="00C86A83">
        <w:rPr>
          <w:rFonts w:ascii="Arial" w:hAnsi="Arial" w:cs="Arial"/>
          <w:sz w:val="26"/>
          <w:szCs w:val="26"/>
          <w:shd w:val="clear" w:color="auto" w:fill="FFFFFF"/>
        </w:rPr>
        <w:t>deba atender</w:t>
      </w:r>
      <w:r w:rsidR="000D0458">
        <w:rPr>
          <w:rFonts w:ascii="Arial" w:hAnsi="Arial" w:cs="Arial"/>
          <w:sz w:val="26"/>
          <w:szCs w:val="26"/>
          <w:shd w:val="clear" w:color="auto" w:fill="FFFFFF"/>
        </w:rPr>
        <w:t xml:space="preserve"> dicha petición y, de ser procedente, </w:t>
      </w:r>
      <w:r w:rsidR="000A563C">
        <w:rPr>
          <w:rFonts w:ascii="Arial" w:hAnsi="Arial" w:cs="Arial"/>
          <w:sz w:val="26"/>
          <w:szCs w:val="26"/>
          <w:shd w:val="clear" w:color="auto" w:fill="FFFFFF"/>
        </w:rPr>
        <w:t xml:space="preserve">inicie el </w:t>
      </w:r>
      <w:r w:rsidR="00C86A83">
        <w:rPr>
          <w:rFonts w:ascii="Arial" w:hAnsi="Arial" w:cs="Arial"/>
          <w:sz w:val="26"/>
          <w:szCs w:val="26"/>
          <w:shd w:val="clear" w:color="auto" w:fill="FFFFFF"/>
        </w:rPr>
        <w:t>tr</w:t>
      </w:r>
      <w:r w:rsidR="000A563C">
        <w:rPr>
          <w:rFonts w:ascii="Arial" w:hAnsi="Arial" w:cs="Arial"/>
          <w:sz w:val="26"/>
          <w:szCs w:val="26"/>
          <w:shd w:val="clear" w:color="auto" w:fill="FFFFFF"/>
        </w:rPr>
        <w:t>á</w:t>
      </w:r>
      <w:r w:rsidR="00C86A83">
        <w:rPr>
          <w:rFonts w:ascii="Arial" w:hAnsi="Arial" w:cs="Arial"/>
          <w:sz w:val="26"/>
          <w:szCs w:val="26"/>
          <w:shd w:val="clear" w:color="auto" w:fill="FFFFFF"/>
        </w:rPr>
        <w:t>mit</w:t>
      </w:r>
      <w:r w:rsidR="000D0458">
        <w:rPr>
          <w:rFonts w:ascii="Arial" w:hAnsi="Arial" w:cs="Arial"/>
          <w:sz w:val="26"/>
          <w:szCs w:val="26"/>
          <w:shd w:val="clear" w:color="auto" w:fill="FFFFFF"/>
        </w:rPr>
        <w:t xml:space="preserve">e </w:t>
      </w:r>
      <w:r w:rsidR="000A563C">
        <w:rPr>
          <w:rFonts w:ascii="Arial" w:hAnsi="Arial" w:cs="Arial"/>
          <w:sz w:val="26"/>
          <w:szCs w:val="26"/>
          <w:shd w:val="clear" w:color="auto" w:fill="FFFFFF"/>
        </w:rPr>
        <w:t>d</w:t>
      </w:r>
      <w:r w:rsidR="000D0458">
        <w:rPr>
          <w:rFonts w:ascii="Arial" w:hAnsi="Arial" w:cs="Arial"/>
          <w:sz w:val="26"/>
          <w:szCs w:val="26"/>
          <w:shd w:val="clear" w:color="auto" w:fill="FFFFFF"/>
        </w:rPr>
        <w:t xml:space="preserve">el procedimiento administrativo correspondiente </w:t>
      </w:r>
      <w:r w:rsidR="001F7C58">
        <w:rPr>
          <w:rFonts w:ascii="Arial" w:hAnsi="Arial" w:cs="Arial"/>
          <w:sz w:val="26"/>
          <w:szCs w:val="26"/>
          <w:shd w:val="clear" w:color="auto" w:fill="FFFFFF"/>
        </w:rPr>
        <w:t xml:space="preserve">en que le otorgue a los actores </w:t>
      </w:r>
      <w:r w:rsidR="00A963D4">
        <w:rPr>
          <w:rFonts w:ascii="Arial" w:hAnsi="Arial" w:cs="Arial"/>
          <w:sz w:val="26"/>
          <w:szCs w:val="26"/>
          <w:shd w:val="clear" w:color="auto" w:fill="FFFFFF"/>
        </w:rPr>
        <w:t xml:space="preserve">el derecho a </w:t>
      </w:r>
      <w:r w:rsidR="001F7C58">
        <w:rPr>
          <w:rFonts w:ascii="Arial" w:hAnsi="Arial" w:cs="Arial"/>
          <w:sz w:val="26"/>
          <w:szCs w:val="26"/>
          <w:shd w:val="clear" w:color="auto" w:fill="FFFFFF"/>
        </w:rPr>
        <w:t>defen</w:t>
      </w:r>
      <w:r w:rsidR="00A963D4">
        <w:rPr>
          <w:rFonts w:ascii="Arial" w:hAnsi="Arial" w:cs="Arial"/>
          <w:sz w:val="26"/>
          <w:szCs w:val="26"/>
          <w:shd w:val="clear" w:color="auto" w:fill="FFFFFF"/>
        </w:rPr>
        <w:t xml:space="preserve">derse y, </w:t>
      </w:r>
      <w:r w:rsidR="000D0458">
        <w:rPr>
          <w:rFonts w:ascii="Arial" w:hAnsi="Arial" w:cs="Arial"/>
          <w:sz w:val="26"/>
          <w:szCs w:val="26"/>
          <w:shd w:val="clear" w:color="auto" w:fill="FFFFFF"/>
        </w:rPr>
        <w:t>en su oportunidad,</w:t>
      </w:r>
      <w:r w:rsidR="00AE3731">
        <w:rPr>
          <w:rFonts w:ascii="Arial" w:hAnsi="Arial" w:cs="Arial"/>
          <w:sz w:val="26"/>
          <w:szCs w:val="26"/>
          <w:shd w:val="clear" w:color="auto" w:fill="FFFFFF"/>
        </w:rPr>
        <w:t xml:space="preserve"> sea resuelto por </w:t>
      </w:r>
      <w:r w:rsidR="000D0458">
        <w:rPr>
          <w:rFonts w:ascii="Arial" w:hAnsi="Arial" w:cs="Arial"/>
          <w:sz w:val="26"/>
          <w:szCs w:val="26"/>
          <w:shd w:val="clear" w:color="auto" w:fill="FFFFFF"/>
        </w:rPr>
        <w:t>la autoridad competente.</w:t>
      </w:r>
      <w:r w:rsidR="00AB6C44">
        <w:rPr>
          <w:rFonts w:ascii="Arial" w:hAnsi="Arial" w:cs="Arial"/>
          <w:sz w:val="26"/>
          <w:szCs w:val="26"/>
          <w:shd w:val="clear" w:color="auto" w:fill="FFFFFF"/>
        </w:rPr>
        <w:t xml:space="preserve"> </w:t>
      </w:r>
      <w:r w:rsidR="00AB6C44">
        <w:rPr>
          <w:rFonts w:ascii="Arial" w:hAnsi="Arial" w:cs="Arial"/>
          <w:bCs/>
          <w:color w:val="000000"/>
          <w:sz w:val="26"/>
          <w:szCs w:val="26"/>
        </w:rPr>
        <w:t xml:space="preserve">- - - - - - </w:t>
      </w:r>
    </w:p>
    <w:p w14:paraId="724C0C59" w14:textId="437AD36D" w:rsidR="007D3D99" w:rsidRDefault="007D3D99" w:rsidP="007D3D99">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Debido a que el agravio esgrimido resultó suficiente para evidenciar la i</w:t>
      </w:r>
      <w:r w:rsidR="00394153">
        <w:rPr>
          <w:rFonts w:ascii="Arial" w:eastAsia="Arial Unicode MS" w:hAnsi="Arial" w:cs="Arial"/>
          <w:sz w:val="26"/>
          <w:szCs w:val="26"/>
        </w:rPr>
        <w:t xml:space="preserve">legalidad </w:t>
      </w:r>
      <w:r>
        <w:rPr>
          <w:rFonts w:ascii="Arial" w:eastAsia="Arial Unicode MS" w:hAnsi="Arial" w:cs="Arial"/>
          <w:sz w:val="26"/>
          <w:szCs w:val="26"/>
        </w:rPr>
        <w:t>de la sentencia refutada, no es necesario el estudio de los demás agravios hechos valer, pues a nada práctico llevaría analizarlos, si con lo determinado en párrafos anteriores, se demuestra que a</w:t>
      </w:r>
      <w:r w:rsidR="007478F4">
        <w:rPr>
          <w:rFonts w:ascii="Arial" w:eastAsia="Arial Unicode MS" w:hAnsi="Arial" w:cs="Arial"/>
          <w:sz w:val="26"/>
          <w:szCs w:val="26"/>
        </w:rPr>
        <w:t>l</w:t>
      </w:r>
      <w:r>
        <w:rPr>
          <w:rFonts w:ascii="Arial" w:eastAsia="Arial Unicode MS" w:hAnsi="Arial" w:cs="Arial"/>
          <w:sz w:val="26"/>
          <w:szCs w:val="26"/>
        </w:rPr>
        <w:t xml:space="preserve"> recurrente le asistió la razón jurídica para </w:t>
      </w:r>
      <w:r w:rsidR="007478F4">
        <w:rPr>
          <w:rFonts w:ascii="Arial" w:eastAsia="Arial Unicode MS" w:hAnsi="Arial" w:cs="Arial"/>
          <w:sz w:val="26"/>
          <w:szCs w:val="26"/>
        </w:rPr>
        <w:t xml:space="preserve">impugnar </w:t>
      </w:r>
      <w:r>
        <w:rPr>
          <w:rFonts w:ascii="Arial" w:eastAsia="Arial Unicode MS" w:hAnsi="Arial" w:cs="Arial"/>
          <w:sz w:val="26"/>
          <w:szCs w:val="26"/>
        </w:rPr>
        <w:t>la sentencia dictada por la Primera Instancia.</w:t>
      </w:r>
      <w:r w:rsidR="00AB6C44">
        <w:rPr>
          <w:rFonts w:ascii="Arial" w:eastAsia="Arial Unicode MS" w:hAnsi="Arial" w:cs="Arial"/>
          <w:sz w:val="26"/>
          <w:szCs w:val="26"/>
        </w:rPr>
        <w:t xml:space="preserve"> </w:t>
      </w:r>
      <w:r w:rsidR="00AB6C44">
        <w:rPr>
          <w:rFonts w:ascii="Arial" w:hAnsi="Arial" w:cs="Arial"/>
          <w:bCs/>
          <w:color w:val="000000"/>
          <w:sz w:val="26"/>
          <w:szCs w:val="26"/>
        </w:rPr>
        <w:t xml:space="preserve">- - - - - - - - - - - - - - - - - - - - - </w:t>
      </w:r>
    </w:p>
    <w:p w14:paraId="6A829A2E" w14:textId="5A0DC50D" w:rsidR="007D3D99" w:rsidRDefault="007D3D99" w:rsidP="007D3D99">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r w:rsidR="00AB6C44">
        <w:rPr>
          <w:rFonts w:ascii="Arial" w:eastAsia="Arial Unicode MS" w:hAnsi="Arial" w:cs="Arial"/>
          <w:sz w:val="26"/>
          <w:szCs w:val="26"/>
        </w:rPr>
        <w:t xml:space="preserve"> </w:t>
      </w:r>
    </w:p>
    <w:p w14:paraId="2F61CDA0" w14:textId="77777777" w:rsidR="007D3D99" w:rsidRPr="00AB6C44" w:rsidRDefault="007D3D99" w:rsidP="00AB6C44">
      <w:pPr>
        <w:pStyle w:val="NormalWeb"/>
        <w:shd w:val="clear" w:color="auto" w:fill="FFFFFF"/>
        <w:spacing w:line="276" w:lineRule="auto"/>
        <w:ind w:left="567" w:right="616"/>
        <w:jc w:val="both"/>
        <w:rPr>
          <w:rFonts w:ascii="Arial" w:hAnsi="Arial" w:cs="Arial"/>
          <w:i/>
          <w:iCs/>
          <w:sz w:val="22"/>
          <w:szCs w:val="22"/>
        </w:rPr>
      </w:pPr>
      <w:r w:rsidRPr="00AB6C44">
        <w:rPr>
          <w:rFonts w:ascii="Arial" w:hAnsi="Arial" w:cs="Arial"/>
          <w:b/>
          <w:bCs/>
          <w:i/>
          <w:iCs/>
          <w:sz w:val="22"/>
          <w:szCs w:val="22"/>
        </w:rPr>
        <w:t xml:space="preserve">“AGRAVIOS EN LA REVISIÓN FISCAL. SI UNO DE ELLOS RESULTA FUNDADO Y SUFICIENTE PARA DEJAR SIN EFECTOS EL FALLO IMPUGNADO, ES INNECESARIO EL ESTUDIO DE LOS RESTANTES. </w:t>
      </w:r>
      <w:r w:rsidRPr="00AB6C44">
        <w:rPr>
          <w:rFonts w:ascii="Arial" w:hAnsi="Arial" w:cs="Arial"/>
          <w:i/>
          <w:iCs/>
          <w:sz w:val="22"/>
          <w:szCs w:val="22"/>
        </w:rPr>
        <w:t xml:space="preserve">Si al analizar los agravios invocados en el recurso de revisión fiscal </w:t>
      </w:r>
      <w:r w:rsidRPr="00AB6C44">
        <w:rPr>
          <w:rFonts w:ascii="Arial" w:hAnsi="Arial" w:cs="Arial"/>
          <w:i/>
          <w:iCs/>
          <w:sz w:val="22"/>
          <w:szCs w:val="22"/>
        </w:rPr>
        <w:lastRenderedPageBreak/>
        <w:t>previsto en el artículo </w:t>
      </w:r>
      <w:hyperlink r:id="rId12" w:history="1">
        <w:r w:rsidRPr="00AB6C44">
          <w:rPr>
            <w:rStyle w:val="Hipervnculo"/>
            <w:rFonts w:ascii="Arial" w:hAnsi="Arial" w:cs="Arial"/>
            <w:i/>
            <w:iCs/>
            <w:color w:val="auto"/>
            <w:sz w:val="22"/>
            <w:szCs w:val="22"/>
            <w:u w:val="none"/>
          </w:rPr>
          <w:t>63 de la Ley Federal de Procedimiento Contencioso Administrativo</w:t>
        </w:r>
      </w:hyperlink>
      <w:r w:rsidRPr="00AB6C44">
        <w:rPr>
          <w:rFonts w:ascii="Arial" w:hAnsi="Arial" w:cs="Arial"/>
          <w:i/>
          <w:iCs/>
          <w:sz w:val="22"/>
          <w:szCs w:val="22"/>
        </w:rPr>
        <w:t> (correlativo del precepto </w:t>
      </w:r>
      <w:hyperlink r:id="rId13" w:history="1">
        <w:r w:rsidRPr="00AB6C44">
          <w:rPr>
            <w:rStyle w:val="Hipervnculo"/>
            <w:rFonts w:ascii="Arial" w:hAnsi="Arial" w:cs="Arial"/>
            <w:i/>
            <w:iCs/>
            <w:color w:val="auto"/>
            <w:sz w:val="22"/>
            <w:szCs w:val="22"/>
            <w:u w:val="none"/>
          </w:rPr>
          <w:t>248 del Código Fiscal de la Federación</w:t>
        </w:r>
      </w:hyperlink>
      <w:r w:rsidRPr="00AB6C44">
        <w:rPr>
          <w:rFonts w:ascii="Arial" w:hAnsi="Arial" w:cs="Arial"/>
          <w:i/>
          <w:iCs/>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561A30B7" w14:textId="77777777" w:rsidR="007D3D99" w:rsidRDefault="007D3D99" w:rsidP="007D3D99">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siguientes:</w:t>
      </w:r>
    </w:p>
    <w:p w14:paraId="45CBC228" w14:textId="22850330" w:rsidR="007D3D99" w:rsidRPr="00AB6C44" w:rsidRDefault="007D3D99" w:rsidP="00AB6C44">
      <w:pPr>
        <w:shd w:val="clear" w:color="auto" w:fill="FFFFFF"/>
        <w:spacing w:before="100" w:beforeAutospacing="1" w:after="100" w:afterAutospacing="1"/>
        <w:ind w:left="567" w:right="616"/>
        <w:jc w:val="both"/>
        <w:rPr>
          <w:rFonts w:ascii="Arial" w:eastAsia="Times New Roman" w:hAnsi="Arial" w:cs="Arial"/>
          <w:i/>
          <w:iCs/>
        </w:rPr>
      </w:pPr>
      <w:r w:rsidRPr="00AB6C44">
        <w:rPr>
          <w:rFonts w:ascii="Arial" w:eastAsia="Times New Roman" w:hAnsi="Arial" w:cs="Arial"/>
          <w:b/>
          <w:bCs/>
          <w:i/>
          <w:iCs/>
        </w:rPr>
        <w:t xml:space="preserve">“AGRAVIOS EN LA </w:t>
      </w:r>
      <w:r w:rsidR="00AB6C44" w:rsidRPr="00AB6C44">
        <w:rPr>
          <w:rFonts w:ascii="Arial" w:eastAsia="Times New Roman" w:hAnsi="Arial" w:cs="Arial"/>
          <w:b/>
          <w:bCs/>
          <w:i/>
          <w:iCs/>
        </w:rPr>
        <w:t>REVISIÓN</w:t>
      </w:r>
      <w:r w:rsidRPr="00AB6C44">
        <w:rPr>
          <w:rFonts w:ascii="Arial" w:eastAsia="Times New Roman" w:hAnsi="Arial" w:cs="Arial"/>
          <w:b/>
          <w:bCs/>
          <w:i/>
          <w:iCs/>
        </w:rPr>
        <w:t xml:space="preserve">. CUANDO SU ESTUDIO ES INNECESARIO. </w:t>
      </w:r>
      <w:r w:rsidRPr="00AB6C44">
        <w:rPr>
          <w:rFonts w:ascii="Arial" w:eastAsia="Times New Roman" w:hAnsi="Arial" w:cs="Arial"/>
          <w:i/>
          <w:iCs/>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5FA6D7DA" w14:textId="0E34C757" w:rsidR="00C4631C" w:rsidRPr="00C4631C" w:rsidRDefault="007478F4" w:rsidP="00C4631C">
      <w:pPr>
        <w:spacing w:before="240" w:line="360" w:lineRule="auto"/>
        <w:ind w:firstLine="708"/>
        <w:jc w:val="both"/>
        <w:rPr>
          <w:rFonts w:ascii="Arial" w:hAnsi="Arial" w:cs="Arial"/>
          <w:sz w:val="26"/>
          <w:szCs w:val="26"/>
        </w:rPr>
      </w:pPr>
      <w:r>
        <w:rPr>
          <w:rFonts w:ascii="Arial" w:hAnsi="Arial" w:cs="Arial"/>
          <w:bCs/>
          <w:sz w:val="26"/>
          <w:szCs w:val="26"/>
        </w:rPr>
        <w:t xml:space="preserve">En mérito de lo anterior, </w:t>
      </w:r>
      <w:r w:rsidR="005B7038">
        <w:rPr>
          <w:rFonts w:ascii="Arial" w:hAnsi="Arial" w:cs="Arial"/>
          <w:bCs/>
          <w:sz w:val="26"/>
          <w:szCs w:val="26"/>
        </w:rPr>
        <w:t xml:space="preserve">pese a que </w:t>
      </w:r>
      <w:r w:rsidR="00E630A8">
        <w:rPr>
          <w:rFonts w:ascii="Arial" w:hAnsi="Arial" w:cs="Arial"/>
          <w:bCs/>
          <w:sz w:val="26"/>
          <w:szCs w:val="26"/>
        </w:rPr>
        <w:t>resulta</w:t>
      </w:r>
      <w:r w:rsidR="00394153">
        <w:rPr>
          <w:rFonts w:ascii="Arial" w:hAnsi="Arial" w:cs="Arial"/>
          <w:bCs/>
          <w:sz w:val="26"/>
          <w:szCs w:val="26"/>
        </w:rPr>
        <w:t>ron</w:t>
      </w:r>
      <w:r w:rsidR="00E630A8">
        <w:rPr>
          <w:rFonts w:ascii="Arial" w:hAnsi="Arial" w:cs="Arial"/>
          <w:bCs/>
          <w:sz w:val="26"/>
          <w:szCs w:val="26"/>
        </w:rPr>
        <w:t xml:space="preserve"> </w:t>
      </w:r>
      <w:r w:rsidR="00E630A8" w:rsidRPr="00E630A8">
        <w:rPr>
          <w:rFonts w:ascii="Arial" w:hAnsi="Arial" w:cs="Arial"/>
          <w:b/>
          <w:sz w:val="26"/>
          <w:szCs w:val="26"/>
        </w:rPr>
        <w:t>INFUNDADOS</w:t>
      </w:r>
      <w:r w:rsidR="00E630A8">
        <w:rPr>
          <w:rFonts w:ascii="Arial" w:hAnsi="Arial" w:cs="Arial"/>
          <w:bCs/>
          <w:sz w:val="26"/>
          <w:szCs w:val="26"/>
        </w:rPr>
        <w:t xml:space="preserve"> los agravios </w:t>
      </w:r>
      <w:r w:rsidR="005B7038">
        <w:rPr>
          <w:rFonts w:ascii="Arial" w:hAnsi="Arial" w:cs="Arial"/>
          <w:bCs/>
          <w:sz w:val="26"/>
          <w:szCs w:val="26"/>
        </w:rPr>
        <w:t>d</w:t>
      </w:r>
      <w:r w:rsidR="00E630A8">
        <w:rPr>
          <w:rFonts w:ascii="Arial" w:hAnsi="Arial" w:cs="Arial"/>
          <w:bCs/>
          <w:sz w:val="26"/>
          <w:szCs w:val="26"/>
        </w:rPr>
        <w:t>el tercero afectado</w:t>
      </w:r>
      <w:r w:rsidR="005B7038">
        <w:rPr>
          <w:rFonts w:ascii="Arial" w:hAnsi="Arial" w:cs="Arial"/>
          <w:bCs/>
          <w:sz w:val="26"/>
          <w:szCs w:val="26"/>
        </w:rPr>
        <w:t xml:space="preserve">, ante </w:t>
      </w:r>
      <w:r w:rsidR="00E630A8">
        <w:rPr>
          <w:rFonts w:ascii="Arial" w:hAnsi="Arial" w:cs="Arial"/>
          <w:bCs/>
          <w:sz w:val="26"/>
          <w:szCs w:val="26"/>
        </w:rPr>
        <w:t xml:space="preserve">lo </w:t>
      </w:r>
      <w:r w:rsidR="00E630A8" w:rsidRPr="00E630A8">
        <w:rPr>
          <w:rFonts w:ascii="Arial" w:hAnsi="Arial" w:cs="Arial"/>
          <w:b/>
          <w:sz w:val="26"/>
          <w:szCs w:val="26"/>
        </w:rPr>
        <w:t>FUNDADO</w:t>
      </w:r>
      <w:r w:rsidR="00E630A8">
        <w:rPr>
          <w:rFonts w:ascii="Arial" w:hAnsi="Arial" w:cs="Arial"/>
          <w:bCs/>
          <w:sz w:val="26"/>
          <w:szCs w:val="26"/>
        </w:rPr>
        <w:t xml:space="preserve"> </w:t>
      </w:r>
      <w:r>
        <w:rPr>
          <w:rFonts w:ascii="Arial" w:hAnsi="Arial" w:cs="Arial"/>
          <w:bCs/>
          <w:sz w:val="26"/>
          <w:szCs w:val="26"/>
        </w:rPr>
        <w:t xml:space="preserve">del agravio </w:t>
      </w:r>
      <w:r w:rsidR="005B7038">
        <w:rPr>
          <w:rFonts w:ascii="Arial" w:hAnsi="Arial" w:cs="Arial"/>
          <w:bCs/>
          <w:sz w:val="26"/>
          <w:szCs w:val="26"/>
        </w:rPr>
        <w:t xml:space="preserve">de </w:t>
      </w:r>
      <w:r>
        <w:rPr>
          <w:rFonts w:ascii="Arial" w:hAnsi="Arial" w:cs="Arial"/>
          <w:bCs/>
          <w:sz w:val="26"/>
          <w:szCs w:val="26"/>
        </w:rPr>
        <w:t xml:space="preserve">la autoridad </w:t>
      </w:r>
      <w:r w:rsidR="00E630A8">
        <w:rPr>
          <w:rFonts w:ascii="Arial" w:hAnsi="Arial" w:cs="Arial"/>
          <w:bCs/>
          <w:sz w:val="26"/>
          <w:szCs w:val="26"/>
        </w:rPr>
        <w:t>demandada</w:t>
      </w:r>
      <w:r w:rsidR="00513B08">
        <w:rPr>
          <w:rFonts w:ascii="Arial" w:hAnsi="Arial" w:cs="Arial"/>
          <w:bCs/>
          <w:sz w:val="26"/>
          <w:szCs w:val="26"/>
        </w:rPr>
        <w:t xml:space="preserve">, </w:t>
      </w:r>
      <w:r w:rsidR="00C4631C" w:rsidRPr="00C4631C">
        <w:rPr>
          <w:rFonts w:ascii="Arial" w:hAnsi="Arial" w:cs="Arial"/>
          <w:bCs/>
          <w:sz w:val="26"/>
          <w:szCs w:val="26"/>
        </w:rPr>
        <w:t xml:space="preserve">lo procedente es </w:t>
      </w:r>
      <w:r w:rsidR="00C4631C" w:rsidRPr="00C4631C">
        <w:rPr>
          <w:rFonts w:ascii="Arial" w:hAnsi="Arial" w:cs="Arial"/>
          <w:b/>
          <w:bCs/>
          <w:sz w:val="26"/>
          <w:szCs w:val="26"/>
        </w:rPr>
        <w:t xml:space="preserve">MODIFICAR </w:t>
      </w:r>
      <w:r w:rsidR="00C4631C" w:rsidRPr="00C4631C">
        <w:rPr>
          <w:rFonts w:ascii="Arial" w:hAnsi="Arial" w:cs="Arial"/>
          <w:bCs/>
          <w:sz w:val="26"/>
          <w:szCs w:val="26"/>
        </w:rPr>
        <w:t>la sentencia</w:t>
      </w:r>
      <w:r w:rsidR="00C4631C" w:rsidRPr="00C4631C">
        <w:rPr>
          <w:rFonts w:ascii="Arial" w:eastAsia="Calibri" w:hAnsi="Arial" w:cs="Arial"/>
          <w:bCs/>
          <w:sz w:val="26"/>
          <w:szCs w:val="26"/>
        </w:rPr>
        <w:t xml:space="preserve"> impugnada; en consecuencia</w:t>
      </w:r>
      <w:r w:rsidR="00C4631C" w:rsidRPr="00C4631C">
        <w:rPr>
          <w:rFonts w:ascii="Arial" w:hAnsi="Arial" w:cs="Arial"/>
          <w:sz w:val="26"/>
          <w:szCs w:val="26"/>
        </w:rPr>
        <w:t>, con fundamento en los artículos 2</w:t>
      </w:r>
      <w:r>
        <w:rPr>
          <w:rFonts w:ascii="Arial" w:hAnsi="Arial" w:cs="Arial"/>
          <w:sz w:val="26"/>
          <w:szCs w:val="26"/>
        </w:rPr>
        <w:t xml:space="preserve">36 </w:t>
      </w:r>
      <w:r w:rsidR="00C4631C" w:rsidRPr="00C4631C">
        <w:rPr>
          <w:rFonts w:ascii="Arial" w:hAnsi="Arial" w:cs="Arial"/>
          <w:sz w:val="26"/>
          <w:szCs w:val="26"/>
        </w:rPr>
        <w:t>y 2</w:t>
      </w:r>
      <w:r>
        <w:rPr>
          <w:rFonts w:ascii="Arial" w:hAnsi="Arial" w:cs="Arial"/>
          <w:sz w:val="26"/>
          <w:szCs w:val="26"/>
        </w:rPr>
        <w:t>3</w:t>
      </w:r>
      <w:r w:rsidR="00C4631C" w:rsidRPr="00C4631C">
        <w:rPr>
          <w:rFonts w:ascii="Arial" w:hAnsi="Arial" w:cs="Arial"/>
          <w:sz w:val="26"/>
          <w:szCs w:val="26"/>
        </w:rPr>
        <w:t xml:space="preserve">8 de la Ley de </w:t>
      </w:r>
      <w:r>
        <w:rPr>
          <w:rFonts w:ascii="Arial" w:hAnsi="Arial" w:cs="Arial"/>
          <w:sz w:val="26"/>
          <w:szCs w:val="26"/>
        </w:rPr>
        <w:t xml:space="preserve">Procedimiento y Justicia </w:t>
      </w:r>
      <w:r w:rsidR="00C4631C" w:rsidRPr="00C4631C">
        <w:rPr>
          <w:rFonts w:ascii="Arial" w:hAnsi="Arial" w:cs="Arial"/>
          <w:sz w:val="26"/>
          <w:szCs w:val="26"/>
        </w:rPr>
        <w:t>Administrativa para el Estado</w:t>
      </w:r>
      <w:r>
        <w:rPr>
          <w:rFonts w:ascii="Arial" w:hAnsi="Arial" w:cs="Arial"/>
          <w:sz w:val="26"/>
          <w:szCs w:val="26"/>
        </w:rPr>
        <w:t xml:space="preserve"> de Oaxaca</w:t>
      </w:r>
      <w:r w:rsidR="00C4631C" w:rsidRPr="00C4631C">
        <w:rPr>
          <w:rFonts w:ascii="Arial" w:hAnsi="Arial" w:cs="Arial"/>
          <w:sz w:val="26"/>
          <w:szCs w:val="26"/>
        </w:rPr>
        <w:t>, se:</w:t>
      </w:r>
      <w:r w:rsidR="00AB6C44">
        <w:rPr>
          <w:rFonts w:ascii="Arial" w:hAnsi="Arial" w:cs="Arial"/>
          <w:sz w:val="26"/>
          <w:szCs w:val="26"/>
        </w:rPr>
        <w:t xml:space="preserve"> </w:t>
      </w:r>
      <w:r w:rsidR="00AB6C44">
        <w:rPr>
          <w:rFonts w:ascii="Arial" w:hAnsi="Arial" w:cs="Arial"/>
          <w:bCs/>
          <w:color w:val="000000"/>
          <w:sz w:val="26"/>
          <w:szCs w:val="26"/>
        </w:rPr>
        <w:t xml:space="preserve">- - - - - - - - - - - - - - - - - - - - - - - - - - - - - - - - - - - - - - - - - - - </w:t>
      </w:r>
    </w:p>
    <w:p w14:paraId="1EB3C0C8" w14:textId="4ECEE28C" w:rsidR="00C4631C" w:rsidRPr="00C4631C" w:rsidRDefault="00C4631C" w:rsidP="00C4631C">
      <w:pPr>
        <w:widowControl w:val="0"/>
        <w:tabs>
          <w:tab w:val="left" w:pos="0"/>
        </w:tabs>
        <w:spacing w:before="240" w:line="360" w:lineRule="auto"/>
        <w:ind w:right="18"/>
        <w:jc w:val="center"/>
        <w:rPr>
          <w:rFonts w:ascii="Arial" w:hAnsi="Arial" w:cs="Arial"/>
          <w:b/>
          <w:sz w:val="26"/>
          <w:szCs w:val="26"/>
        </w:rPr>
      </w:pPr>
      <w:r w:rsidRPr="00C4631C">
        <w:rPr>
          <w:rFonts w:ascii="Arial" w:hAnsi="Arial" w:cs="Arial"/>
          <w:b/>
          <w:sz w:val="26"/>
          <w:szCs w:val="26"/>
        </w:rPr>
        <w:t>R E S U E L V E</w:t>
      </w:r>
    </w:p>
    <w:p w14:paraId="70F7726C" w14:textId="7810E386" w:rsidR="00C4631C" w:rsidRPr="00C4631C" w:rsidRDefault="00C4631C" w:rsidP="00C4631C">
      <w:pPr>
        <w:widowControl w:val="0"/>
        <w:tabs>
          <w:tab w:val="left" w:pos="0"/>
        </w:tabs>
        <w:spacing w:before="240" w:line="360" w:lineRule="auto"/>
        <w:ind w:right="18"/>
        <w:jc w:val="both"/>
        <w:rPr>
          <w:rFonts w:ascii="Arial" w:hAnsi="Arial" w:cs="Arial"/>
          <w:color w:val="000000"/>
          <w:sz w:val="26"/>
          <w:szCs w:val="26"/>
        </w:rPr>
      </w:pPr>
      <w:r w:rsidRPr="00C4631C">
        <w:rPr>
          <w:rFonts w:ascii="Arial" w:hAnsi="Arial" w:cs="Arial"/>
          <w:b/>
          <w:color w:val="000000"/>
          <w:sz w:val="26"/>
          <w:szCs w:val="26"/>
        </w:rPr>
        <w:tab/>
        <w:t>PRIMERO</w:t>
      </w:r>
      <w:r w:rsidRPr="00C4631C">
        <w:rPr>
          <w:rFonts w:ascii="Arial" w:hAnsi="Arial" w:cs="Arial"/>
          <w:color w:val="000000"/>
          <w:sz w:val="26"/>
          <w:szCs w:val="26"/>
        </w:rPr>
        <w:t xml:space="preserve">. Se </w:t>
      </w:r>
      <w:r w:rsidRPr="00C4631C">
        <w:rPr>
          <w:rFonts w:ascii="Arial" w:hAnsi="Arial" w:cs="Arial"/>
          <w:b/>
          <w:color w:val="000000"/>
          <w:sz w:val="26"/>
          <w:szCs w:val="26"/>
        </w:rPr>
        <w:t xml:space="preserve">MODIFICA </w:t>
      </w:r>
      <w:r w:rsidRPr="00C4631C">
        <w:rPr>
          <w:rFonts w:ascii="Arial" w:hAnsi="Arial" w:cs="Arial"/>
          <w:color w:val="000000"/>
          <w:sz w:val="26"/>
          <w:szCs w:val="26"/>
        </w:rPr>
        <w:t xml:space="preserve">la </w:t>
      </w:r>
      <w:r w:rsidRPr="00C4631C">
        <w:rPr>
          <w:rFonts w:ascii="Arial" w:hAnsi="Arial" w:cs="Arial"/>
          <w:sz w:val="26"/>
          <w:szCs w:val="26"/>
        </w:rPr>
        <w:t xml:space="preserve">sentencia </w:t>
      </w:r>
      <w:r w:rsidR="007478F4">
        <w:rPr>
          <w:rFonts w:ascii="Arial" w:hAnsi="Arial" w:cs="Arial"/>
          <w:sz w:val="26"/>
          <w:szCs w:val="26"/>
        </w:rPr>
        <w:t>de veintiuno de abril de dos mil veintidós</w:t>
      </w:r>
      <w:r w:rsidRPr="00C4631C">
        <w:rPr>
          <w:rFonts w:ascii="Arial" w:hAnsi="Arial" w:cs="Arial"/>
          <w:color w:val="000000"/>
          <w:sz w:val="26"/>
          <w:szCs w:val="26"/>
        </w:rPr>
        <w:t xml:space="preserve">, por las razones expuestas en el considerando </w:t>
      </w:r>
      <w:r w:rsidR="0001601F">
        <w:rPr>
          <w:rFonts w:ascii="Arial" w:hAnsi="Arial" w:cs="Arial"/>
          <w:color w:val="000000"/>
          <w:sz w:val="26"/>
          <w:szCs w:val="26"/>
        </w:rPr>
        <w:t xml:space="preserve">quinto </w:t>
      </w:r>
      <w:r w:rsidR="003B1F90">
        <w:rPr>
          <w:rFonts w:ascii="Arial" w:hAnsi="Arial" w:cs="Arial"/>
          <w:color w:val="000000"/>
          <w:sz w:val="26"/>
          <w:szCs w:val="26"/>
        </w:rPr>
        <w:t xml:space="preserve">de </w:t>
      </w:r>
      <w:r w:rsidRPr="00C4631C">
        <w:rPr>
          <w:rFonts w:ascii="Arial" w:hAnsi="Arial" w:cs="Arial"/>
          <w:color w:val="000000"/>
          <w:sz w:val="26"/>
          <w:szCs w:val="26"/>
        </w:rPr>
        <w:t xml:space="preserve">la presente resolución. - - - - - - </w:t>
      </w:r>
      <w:r w:rsidR="0001601F">
        <w:rPr>
          <w:rFonts w:ascii="Arial" w:hAnsi="Arial" w:cs="Arial"/>
          <w:color w:val="000000"/>
          <w:sz w:val="26"/>
          <w:szCs w:val="26"/>
        </w:rPr>
        <w:t xml:space="preserve">- - - - - - - - - - - - - - - - - - - - - - - - - - - </w:t>
      </w:r>
    </w:p>
    <w:p w14:paraId="71E85BB2" w14:textId="1A502DC9" w:rsidR="00EC3FBB" w:rsidRDefault="00EC3FBB" w:rsidP="00EC3FBB">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Pr>
          <w:rFonts w:ascii="Arial" w:hAnsi="Arial" w:cs="Arial"/>
          <w:sz w:val="26"/>
          <w:szCs w:val="26"/>
        </w:rPr>
        <w:t xml:space="preserve">glósese copia certificada de la presente resolución al diverso expediente de recurso de revisión número 124/2022;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r w:rsidRPr="00290DA6">
        <w:rPr>
          <w:rFonts w:ascii="Arial" w:hAnsi="Arial" w:cs="Arial"/>
          <w:sz w:val="26"/>
          <w:szCs w:val="26"/>
        </w:rPr>
        <w:t xml:space="preserve">- - - - - - - - - - - - - </w:t>
      </w:r>
    </w:p>
    <w:p w14:paraId="2D559313" w14:textId="7E895885" w:rsidR="00EC3FBB" w:rsidRPr="00366AD3" w:rsidRDefault="00EC3FBB" w:rsidP="00EC3FBB">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sidR="00E630A8">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7660745B" w14:textId="77777777" w:rsidR="000D3B6B" w:rsidRPr="002D6B2E" w:rsidRDefault="000D3B6B" w:rsidP="000D3B6B">
      <w:pPr>
        <w:tabs>
          <w:tab w:val="left" w:pos="1925"/>
          <w:tab w:val="center" w:pos="4135"/>
        </w:tabs>
        <w:spacing w:after="0"/>
        <w:jc w:val="center"/>
        <w:rPr>
          <w:rFonts w:ascii="Arial" w:hAnsi="Arial" w:cs="Arial"/>
          <w:b/>
          <w:sz w:val="16"/>
          <w:szCs w:val="16"/>
        </w:rPr>
      </w:pPr>
      <w:r w:rsidRPr="00326DD7">
        <w:rPr>
          <w:rFonts w:ascii="Arial" w:hAnsi="Arial" w:cs="Arial"/>
          <w:b/>
          <w:sz w:val="16"/>
          <w:szCs w:val="16"/>
        </w:rPr>
        <w:lastRenderedPageBreak/>
        <w:t>LAS PRESENTES FIRMAS CORRESPONDEN A LA R</w:t>
      </w:r>
      <w:bookmarkStart w:id="2" w:name="_GoBack"/>
      <w:bookmarkEnd w:id="2"/>
      <w:r w:rsidRPr="00326DD7">
        <w:rPr>
          <w:rFonts w:ascii="Arial" w:hAnsi="Arial" w:cs="Arial"/>
          <w:b/>
          <w:sz w:val="16"/>
          <w:szCs w:val="16"/>
        </w:rPr>
        <w:t>ESOLUCIÓN DE</w:t>
      </w:r>
      <w:r>
        <w:rPr>
          <w:rFonts w:ascii="Arial" w:hAnsi="Arial" w:cs="Arial"/>
          <w:b/>
          <w:sz w:val="16"/>
          <w:szCs w:val="16"/>
        </w:rPr>
        <w:t xml:space="preserve"> LOS</w:t>
      </w:r>
      <w:r w:rsidRPr="00326DD7">
        <w:rPr>
          <w:rFonts w:ascii="Arial" w:hAnsi="Arial" w:cs="Arial"/>
          <w:b/>
          <w:sz w:val="16"/>
          <w:szCs w:val="16"/>
        </w:rPr>
        <w:t xml:space="preserve"> RECURSO</w:t>
      </w:r>
      <w:r>
        <w:rPr>
          <w:rFonts w:ascii="Arial" w:hAnsi="Arial" w:cs="Arial"/>
          <w:b/>
          <w:sz w:val="16"/>
          <w:szCs w:val="16"/>
        </w:rPr>
        <w:t>S</w:t>
      </w:r>
      <w:r w:rsidRPr="00326DD7">
        <w:rPr>
          <w:rFonts w:ascii="Arial" w:hAnsi="Arial" w:cs="Arial"/>
          <w:b/>
          <w:sz w:val="16"/>
          <w:szCs w:val="16"/>
        </w:rPr>
        <w:t xml:space="preserve"> DE REVISIÓN </w:t>
      </w:r>
      <w:r>
        <w:rPr>
          <w:rFonts w:ascii="Arial" w:hAnsi="Arial" w:cs="Arial"/>
          <w:b/>
          <w:sz w:val="16"/>
          <w:szCs w:val="16"/>
        </w:rPr>
        <w:t>0123/2022 Y 0124/2022</w:t>
      </w:r>
      <w:r w:rsidRPr="00326DD7">
        <w:rPr>
          <w:rFonts w:ascii="Arial" w:hAnsi="Arial" w:cs="Arial"/>
          <w:b/>
          <w:sz w:val="16"/>
          <w:szCs w:val="16"/>
        </w:rPr>
        <w:t>.</w:t>
      </w:r>
    </w:p>
    <w:p w14:paraId="6CA81142" w14:textId="06AB0651" w:rsidR="00AB6C44" w:rsidRDefault="00AB6C44" w:rsidP="00EC3FBB">
      <w:pPr>
        <w:tabs>
          <w:tab w:val="center" w:pos="4135"/>
          <w:tab w:val="left" w:pos="7515"/>
        </w:tabs>
        <w:spacing w:line="360" w:lineRule="auto"/>
        <w:jc w:val="center"/>
        <w:rPr>
          <w:rFonts w:ascii="Arial" w:hAnsi="Arial" w:cs="Arial"/>
          <w:sz w:val="26"/>
          <w:szCs w:val="26"/>
        </w:rPr>
      </w:pPr>
    </w:p>
    <w:p w14:paraId="6D5CC682" w14:textId="77777777" w:rsidR="000D3B6B" w:rsidRDefault="000D3B6B" w:rsidP="00EC3FBB">
      <w:pPr>
        <w:tabs>
          <w:tab w:val="center" w:pos="4135"/>
          <w:tab w:val="left" w:pos="7515"/>
        </w:tabs>
        <w:spacing w:line="360" w:lineRule="auto"/>
        <w:jc w:val="center"/>
        <w:rPr>
          <w:rFonts w:ascii="Arial" w:hAnsi="Arial" w:cs="Arial"/>
          <w:sz w:val="26"/>
          <w:szCs w:val="26"/>
        </w:rPr>
      </w:pPr>
    </w:p>
    <w:p w14:paraId="6A1E1648" w14:textId="1F49C597" w:rsidR="00AB6C44" w:rsidRDefault="00AB6C44" w:rsidP="00EC3FBB">
      <w:pPr>
        <w:tabs>
          <w:tab w:val="center" w:pos="4135"/>
          <w:tab w:val="left" w:pos="7515"/>
        </w:tabs>
        <w:spacing w:line="360" w:lineRule="auto"/>
        <w:jc w:val="center"/>
        <w:rPr>
          <w:rFonts w:ascii="Arial" w:hAnsi="Arial" w:cs="Arial"/>
          <w:sz w:val="26"/>
          <w:szCs w:val="26"/>
        </w:rPr>
      </w:pPr>
    </w:p>
    <w:p w14:paraId="6C2DE7E0" w14:textId="77777777" w:rsidR="00AB6C44" w:rsidRDefault="00AB6C44" w:rsidP="00EC3FBB">
      <w:pPr>
        <w:tabs>
          <w:tab w:val="center" w:pos="4135"/>
          <w:tab w:val="left" w:pos="7515"/>
        </w:tabs>
        <w:spacing w:line="360" w:lineRule="auto"/>
        <w:jc w:val="center"/>
        <w:rPr>
          <w:rFonts w:ascii="Arial" w:hAnsi="Arial" w:cs="Arial"/>
          <w:sz w:val="26"/>
          <w:szCs w:val="26"/>
        </w:rPr>
      </w:pPr>
    </w:p>
    <w:p w14:paraId="5FE1091B" w14:textId="77777777" w:rsidR="00EC3FBB" w:rsidRPr="00366AD3" w:rsidRDefault="00EC3FBB" w:rsidP="00AB6C44">
      <w:pPr>
        <w:tabs>
          <w:tab w:val="center" w:pos="4135"/>
          <w:tab w:val="left" w:pos="7515"/>
        </w:tabs>
        <w:spacing w:after="0" w:line="240" w:lineRule="auto"/>
        <w:jc w:val="center"/>
        <w:rPr>
          <w:rFonts w:ascii="Arial" w:hAnsi="Arial" w:cs="Arial"/>
          <w:sz w:val="26"/>
          <w:szCs w:val="26"/>
        </w:rPr>
      </w:pPr>
      <w:r w:rsidRPr="00366AD3">
        <w:rPr>
          <w:rFonts w:ascii="Arial" w:hAnsi="Arial" w:cs="Arial"/>
          <w:sz w:val="26"/>
          <w:szCs w:val="26"/>
        </w:rPr>
        <w:t>MAGISTRADO MANUEL VELASCO ALCÁNTARA</w:t>
      </w:r>
    </w:p>
    <w:p w14:paraId="57273FB4" w14:textId="77777777" w:rsidR="00EC3FBB" w:rsidRDefault="00EC3FBB" w:rsidP="00AB6C44">
      <w:pPr>
        <w:tabs>
          <w:tab w:val="center" w:pos="4135"/>
          <w:tab w:val="left" w:pos="7515"/>
        </w:tabs>
        <w:spacing w:after="0" w:line="240" w:lineRule="auto"/>
        <w:jc w:val="center"/>
        <w:rPr>
          <w:rFonts w:ascii="Arial" w:hAnsi="Arial" w:cs="Arial"/>
          <w:sz w:val="26"/>
          <w:szCs w:val="26"/>
        </w:rPr>
      </w:pPr>
      <w:r w:rsidRPr="00366AD3">
        <w:rPr>
          <w:rFonts w:ascii="Arial" w:hAnsi="Arial" w:cs="Arial"/>
          <w:sz w:val="26"/>
          <w:szCs w:val="26"/>
        </w:rPr>
        <w:t>PRESIDENTE</w:t>
      </w:r>
    </w:p>
    <w:p w14:paraId="17C3AFA4" w14:textId="6C0A92A2" w:rsidR="00EC3FBB" w:rsidRDefault="00EC3FBB" w:rsidP="00EC3FBB">
      <w:pPr>
        <w:tabs>
          <w:tab w:val="center" w:pos="4135"/>
          <w:tab w:val="left" w:pos="7515"/>
        </w:tabs>
        <w:spacing w:line="360" w:lineRule="auto"/>
        <w:jc w:val="center"/>
        <w:rPr>
          <w:rFonts w:ascii="Arial" w:hAnsi="Arial" w:cs="Arial"/>
          <w:sz w:val="26"/>
          <w:szCs w:val="26"/>
        </w:rPr>
      </w:pPr>
    </w:p>
    <w:p w14:paraId="061A3F5A" w14:textId="345350BB" w:rsidR="00AB6C44" w:rsidRDefault="00AB6C44" w:rsidP="00EC3FBB">
      <w:pPr>
        <w:tabs>
          <w:tab w:val="center" w:pos="4135"/>
          <w:tab w:val="left" w:pos="7515"/>
        </w:tabs>
        <w:spacing w:line="360" w:lineRule="auto"/>
        <w:jc w:val="center"/>
        <w:rPr>
          <w:rFonts w:ascii="Arial" w:hAnsi="Arial" w:cs="Arial"/>
          <w:sz w:val="26"/>
          <w:szCs w:val="26"/>
        </w:rPr>
      </w:pPr>
    </w:p>
    <w:p w14:paraId="7B4CD94A" w14:textId="77777777" w:rsidR="00AB6C44" w:rsidRDefault="00AB6C44" w:rsidP="00EC3FBB">
      <w:pPr>
        <w:tabs>
          <w:tab w:val="center" w:pos="4135"/>
          <w:tab w:val="left" w:pos="7515"/>
        </w:tabs>
        <w:spacing w:line="360" w:lineRule="auto"/>
        <w:jc w:val="center"/>
        <w:rPr>
          <w:rFonts w:ascii="Arial" w:hAnsi="Arial" w:cs="Arial"/>
          <w:sz w:val="26"/>
          <w:szCs w:val="26"/>
        </w:rPr>
      </w:pPr>
    </w:p>
    <w:p w14:paraId="4935D27C" w14:textId="77777777" w:rsidR="00EC3FBB" w:rsidRDefault="00EC3FBB" w:rsidP="00EC3FBB">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6BAEA8BD" w14:textId="268C3B9F" w:rsidR="00AB6C44" w:rsidRDefault="00AB6C44" w:rsidP="00EC3FBB">
      <w:pPr>
        <w:tabs>
          <w:tab w:val="left" w:pos="1925"/>
          <w:tab w:val="center" w:pos="4135"/>
        </w:tabs>
        <w:jc w:val="center"/>
        <w:rPr>
          <w:rFonts w:ascii="Arial" w:hAnsi="Arial" w:cs="Arial"/>
          <w:sz w:val="26"/>
          <w:szCs w:val="26"/>
        </w:rPr>
      </w:pPr>
    </w:p>
    <w:p w14:paraId="07C350EA" w14:textId="77777777" w:rsidR="00EC3FBB" w:rsidRDefault="00EC3FBB" w:rsidP="00EC3FBB">
      <w:pPr>
        <w:tabs>
          <w:tab w:val="left" w:pos="1925"/>
          <w:tab w:val="center" w:pos="4135"/>
        </w:tabs>
        <w:jc w:val="center"/>
        <w:rPr>
          <w:rFonts w:ascii="Arial" w:hAnsi="Arial" w:cs="Arial"/>
          <w:sz w:val="26"/>
          <w:szCs w:val="26"/>
        </w:rPr>
      </w:pPr>
    </w:p>
    <w:p w14:paraId="3E6941CD" w14:textId="77777777" w:rsidR="000D3B6B" w:rsidRDefault="000D3B6B" w:rsidP="00EC3FBB">
      <w:pPr>
        <w:tabs>
          <w:tab w:val="left" w:pos="1925"/>
          <w:tab w:val="center" w:pos="4135"/>
        </w:tabs>
        <w:jc w:val="center"/>
        <w:rPr>
          <w:rFonts w:ascii="Arial" w:hAnsi="Arial" w:cs="Arial"/>
          <w:sz w:val="26"/>
          <w:szCs w:val="26"/>
        </w:rPr>
      </w:pPr>
    </w:p>
    <w:p w14:paraId="670E2C8A" w14:textId="77777777" w:rsidR="000D3B6B" w:rsidRDefault="000D3B6B" w:rsidP="00EC3FBB">
      <w:pPr>
        <w:tabs>
          <w:tab w:val="left" w:pos="1925"/>
          <w:tab w:val="center" w:pos="4135"/>
        </w:tabs>
        <w:jc w:val="center"/>
        <w:rPr>
          <w:rFonts w:ascii="Arial" w:hAnsi="Arial" w:cs="Arial"/>
          <w:sz w:val="26"/>
          <w:szCs w:val="26"/>
        </w:rPr>
      </w:pPr>
    </w:p>
    <w:p w14:paraId="6B03C964" w14:textId="77777777" w:rsidR="00EC3FBB" w:rsidRDefault="00EC3FBB" w:rsidP="00EC3FBB">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0B51FDDD" w14:textId="77777777" w:rsidR="00EC3FBB" w:rsidRDefault="00EC3FBB" w:rsidP="00EC3FBB">
      <w:pPr>
        <w:tabs>
          <w:tab w:val="left" w:pos="1925"/>
          <w:tab w:val="center" w:pos="4135"/>
        </w:tabs>
        <w:jc w:val="center"/>
        <w:rPr>
          <w:rFonts w:ascii="Arial" w:hAnsi="Arial" w:cs="Arial"/>
          <w:sz w:val="26"/>
          <w:szCs w:val="26"/>
        </w:rPr>
      </w:pPr>
    </w:p>
    <w:p w14:paraId="728E2A6C" w14:textId="77777777" w:rsidR="002D6B2E" w:rsidRDefault="002D6B2E" w:rsidP="00EC3FBB">
      <w:pPr>
        <w:tabs>
          <w:tab w:val="left" w:pos="1925"/>
          <w:tab w:val="center" w:pos="4135"/>
        </w:tabs>
        <w:jc w:val="center"/>
        <w:rPr>
          <w:rFonts w:ascii="Arial" w:hAnsi="Arial" w:cs="Arial"/>
          <w:sz w:val="26"/>
          <w:szCs w:val="26"/>
        </w:rPr>
      </w:pPr>
    </w:p>
    <w:p w14:paraId="25CF8685" w14:textId="77777777" w:rsidR="000D3B6B" w:rsidRDefault="000D3B6B" w:rsidP="00EC3FBB">
      <w:pPr>
        <w:tabs>
          <w:tab w:val="left" w:pos="1925"/>
          <w:tab w:val="center" w:pos="4135"/>
        </w:tabs>
        <w:jc w:val="center"/>
        <w:rPr>
          <w:rFonts w:ascii="Arial" w:hAnsi="Arial" w:cs="Arial"/>
          <w:sz w:val="26"/>
          <w:szCs w:val="26"/>
        </w:rPr>
      </w:pPr>
    </w:p>
    <w:p w14:paraId="22309FA5" w14:textId="77777777" w:rsidR="000D3B6B" w:rsidRDefault="000D3B6B" w:rsidP="00EC3FBB">
      <w:pPr>
        <w:tabs>
          <w:tab w:val="left" w:pos="1925"/>
          <w:tab w:val="center" w:pos="4135"/>
        </w:tabs>
        <w:jc w:val="center"/>
        <w:rPr>
          <w:rFonts w:ascii="Arial" w:hAnsi="Arial" w:cs="Arial"/>
          <w:sz w:val="26"/>
          <w:szCs w:val="26"/>
        </w:rPr>
      </w:pPr>
    </w:p>
    <w:p w14:paraId="755CA3C0" w14:textId="77777777" w:rsidR="00EC3FBB" w:rsidRPr="00366AD3" w:rsidRDefault="00EC3FBB" w:rsidP="00EC3FBB">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7E02FD19" w14:textId="77777777" w:rsidR="00EC3FBB" w:rsidRDefault="00EC3FBB" w:rsidP="00EC3FBB">
      <w:pPr>
        <w:tabs>
          <w:tab w:val="center" w:pos="4135"/>
          <w:tab w:val="left" w:pos="7515"/>
        </w:tabs>
        <w:spacing w:line="360" w:lineRule="auto"/>
        <w:jc w:val="center"/>
        <w:rPr>
          <w:rFonts w:ascii="Arial" w:hAnsi="Arial" w:cs="Arial"/>
          <w:sz w:val="26"/>
          <w:szCs w:val="26"/>
        </w:rPr>
      </w:pPr>
    </w:p>
    <w:p w14:paraId="256874BC" w14:textId="77777777" w:rsidR="000D3B6B" w:rsidRDefault="000D3B6B" w:rsidP="00EC3FBB">
      <w:pPr>
        <w:tabs>
          <w:tab w:val="center" w:pos="4135"/>
          <w:tab w:val="left" w:pos="7515"/>
        </w:tabs>
        <w:spacing w:line="360" w:lineRule="auto"/>
        <w:jc w:val="center"/>
        <w:rPr>
          <w:rFonts w:ascii="Arial" w:hAnsi="Arial" w:cs="Arial"/>
          <w:sz w:val="26"/>
          <w:szCs w:val="26"/>
        </w:rPr>
      </w:pPr>
    </w:p>
    <w:p w14:paraId="5E093484" w14:textId="77777777" w:rsidR="000D3B6B" w:rsidRDefault="000D3B6B" w:rsidP="00EC3FBB">
      <w:pPr>
        <w:tabs>
          <w:tab w:val="center" w:pos="4135"/>
          <w:tab w:val="left" w:pos="7515"/>
        </w:tabs>
        <w:spacing w:line="360" w:lineRule="auto"/>
        <w:jc w:val="center"/>
        <w:rPr>
          <w:rFonts w:ascii="Arial" w:hAnsi="Arial" w:cs="Arial"/>
          <w:sz w:val="26"/>
          <w:szCs w:val="26"/>
        </w:rPr>
      </w:pPr>
    </w:p>
    <w:p w14:paraId="5589002E" w14:textId="77777777" w:rsidR="00EC3FBB" w:rsidRDefault="00EC3FBB" w:rsidP="00EC3FBB">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074AA6A9" w14:textId="55E85FF5" w:rsidR="00AB6C44" w:rsidRDefault="00AB6C44" w:rsidP="00EC3FBB">
      <w:pPr>
        <w:jc w:val="center"/>
        <w:rPr>
          <w:rFonts w:ascii="Arial" w:hAnsi="Arial" w:cs="Arial"/>
          <w:sz w:val="26"/>
          <w:szCs w:val="26"/>
        </w:rPr>
      </w:pPr>
    </w:p>
    <w:p w14:paraId="4EB62D8B" w14:textId="3DFE0AC8" w:rsidR="00AB6C44" w:rsidRDefault="00AB6C44" w:rsidP="00EC3FBB">
      <w:pPr>
        <w:jc w:val="center"/>
        <w:rPr>
          <w:rFonts w:ascii="Arial" w:hAnsi="Arial" w:cs="Arial"/>
          <w:sz w:val="26"/>
          <w:szCs w:val="26"/>
        </w:rPr>
      </w:pPr>
    </w:p>
    <w:p w14:paraId="55F079F7" w14:textId="77777777" w:rsidR="00AB6C44" w:rsidRDefault="00AB6C44" w:rsidP="00EC3FBB">
      <w:pPr>
        <w:jc w:val="center"/>
        <w:rPr>
          <w:rFonts w:ascii="Arial" w:hAnsi="Arial" w:cs="Arial"/>
          <w:sz w:val="26"/>
          <w:szCs w:val="26"/>
        </w:rPr>
      </w:pPr>
    </w:p>
    <w:p w14:paraId="34750048" w14:textId="77777777" w:rsidR="00EC3FBB" w:rsidRDefault="00EC3FBB" w:rsidP="00AB6C44">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079896A9" w14:textId="77777777" w:rsidR="00EC3FBB" w:rsidRPr="00E5261F" w:rsidRDefault="00EC3FBB" w:rsidP="00AB6C44">
      <w:pPr>
        <w:spacing w:after="0" w:line="240" w:lineRule="auto"/>
        <w:jc w:val="center"/>
        <w:rPr>
          <w:sz w:val="26"/>
          <w:szCs w:val="26"/>
        </w:rPr>
      </w:pPr>
      <w:r w:rsidRPr="00366AD3">
        <w:rPr>
          <w:rFonts w:ascii="Arial" w:hAnsi="Arial" w:cs="Arial"/>
          <w:sz w:val="26"/>
          <w:szCs w:val="26"/>
        </w:rPr>
        <w:t>SECRETARIO GENERAL DE ACUERDOS</w:t>
      </w:r>
    </w:p>
    <w:p w14:paraId="3D0B6290" w14:textId="4A0E9ACD" w:rsidR="00757F26" w:rsidRDefault="00757F26" w:rsidP="00EC3FBB">
      <w:pPr>
        <w:tabs>
          <w:tab w:val="left" w:pos="1925"/>
          <w:tab w:val="center" w:pos="4135"/>
        </w:tabs>
        <w:spacing w:line="360" w:lineRule="auto"/>
        <w:jc w:val="both"/>
        <w:rPr>
          <w:rFonts w:ascii="Arial" w:hAnsi="Arial" w:cs="Arial"/>
          <w:bCs/>
          <w:sz w:val="26"/>
          <w:szCs w:val="26"/>
        </w:rPr>
      </w:pPr>
    </w:p>
    <w:sectPr w:rsidR="00757F26" w:rsidSect="00AB6C44">
      <w:headerReference w:type="even" r:id="rId14"/>
      <w:headerReference w:type="default" r:id="rId15"/>
      <w:footerReference w:type="default" r:id="rId16"/>
      <w:headerReference w:type="first" r:id="rId17"/>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A0389" w14:textId="77777777" w:rsidR="0018685D" w:rsidRDefault="0018685D">
      <w:pPr>
        <w:spacing w:after="0" w:line="240" w:lineRule="auto"/>
      </w:pPr>
      <w:r>
        <w:separator/>
      </w:r>
    </w:p>
  </w:endnote>
  <w:endnote w:type="continuationSeparator" w:id="0">
    <w:p w14:paraId="1B27EFA6" w14:textId="77777777" w:rsidR="0018685D" w:rsidRDefault="0018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A41CC" w14:textId="77777777" w:rsidR="0018685D" w:rsidRDefault="0018685D">
      <w:pPr>
        <w:spacing w:after="0" w:line="240" w:lineRule="auto"/>
      </w:pPr>
      <w:r>
        <w:separator/>
      </w:r>
    </w:p>
  </w:footnote>
  <w:footnote w:type="continuationSeparator" w:id="0">
    <w:p w14:paraId="6707E087" w14:textId="77777777" w:rsidR="0018685D" w:rsidRDefault="00186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0D3B6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D3B6B">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0D3B6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D3B6B">
          <w:rPr>
            <w:noProof/>
            <w:lang w:val="es-ES"/>
          </w:rPr>
          <w:t>15</w:t>
        </w:r>
        <w:r w:rsidR="000F5C41">
          <w:fldChar w:fldCharType="end"/>
        </w:r>
      </w:sdtContent>
    </w:sdt>
  </w:p>
  <w:p w14:paraId="51E22156" w14:textId="35B9B033" w:rsidR="00655BA3" w:rsidRDefault="000D3B6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FCB20D3" wp14:editId="5F75653D">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EB73604" w14:textId="77777777" w:rsidR="000D3B6B" w:rsidRDefault="000D3B6B" w:rsidP="000D3B6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B20D3"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EB73604" w14:textId="77777777" w:rsidR="000D3B6B" w:rsidRDefault="000D3B6B" w:rsidP="000D3B6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D3B6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BA67E1"/>
    <w:multiLevelType w:val="hybridMultilevel"/>
    <w:tmpl w:val="E0E40C6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411BA4"/>
    <w:multiLevelType w:val="hybridMultilevel"/>
    <w:tmpl w:val="1060920A"/>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2BB526A"/>
    <w:multiLevelType w:val="hybridMultilevel"/>
    <w:tmpl w:val="79D08016"/>
    <w:lvl w:ilvl="0" w:tplc="CB2E2D20">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FD85269"/>
    <w:multiLevelType w:val="hybridMultilevel"/>
    <w:tmpl w:val="1182F8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6996839"/>
    <w:multiLevelType w:val="hybridMultilevel"/>
    <w:tmpl w:val="294CADE8"/>
    <w:lvl w:ilvl="0" w:tplc="D0640A9A">
      <w:start w:val="1"/>
      <w:numFmt w:val="lowerLetter"/>
      <w:lvlText w:val="%1)"/>
      <w:lvlJc w:val="left"/>
      <w:pPr>
        <w:ind w:left="927" w:hanging="360"/>
      </w:pPr>
      <w:rPr>
        <w:rFonts w:hint="default"/>
        <w:b/>
        <w:sz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2B010293"/>
    <w:multiLevelType w:val="hybridMultilevel"/>
    <w:tmpl w:val="A858E264"/>
    <w:lvl w:ilvl="0" w:tplc="26222BE0">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2744560"/>
    <w:multiLevelType w:val="hybridMultilevel"/>
    <w:tmpl w:val="BD3062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4F90058"/>
    <w:multiLevelType w:val="hybridMultilevel"/>
    <w:tmpl w:val="62A0292C"/>
    <w:lvl w:ilvl="0" w:tplc="302670AE">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D973640"/>
    <w:multiLevelType w:val="hybridMultilevel"/>
    <w:tmpl w:val="DD84CAFA"/>
    <w:lvl w:ilvl="0" w:tplc="080A0017">
      <w:start w:val="1"/>
      <w:numFmt w:val="lowerLetter"/>
      <w:lvlText w:val="%1)"/>
      <w:lvlJc w:val="left"/>
      <w:pPr>
        <w:ind w:left="1480" w:hanging="360"/>
      </w:pPr>
    </w:lvl>
    <w:lvl w:ilvl="1" w:tplc="080A0019" w:tentative="1">
      <w:start w:val="1"/>
      <w:numFmt w:val="lowerLetter"/>
      <w:lvlText w:val="%2."/>
      <w:lvlJc w:val="left"/>
      <w:pPr>
        <w:ind w:left="2200" w:hanging="360"/>
      </w:pPr>
    </w:lvl>
    <w:lvl w:ilvl="2" w:tplc="080A001B" w:tentative="1">
      <w:start w:val="1"/>
      <w:numFmt w:val="lowerRoman"/>
      <w:lvlText w:val="%3."/>
      <w:lvlJc w:val="right"/>
      <w:pPr>
        <w:ind w:left="2920" w:hanging="180"/>
      </w:pPr>
    </w:lvl>
    <w:lvl w:ilvl="3" w:tplc="080A000F" w:tentative="1">
      <w:start w:val="1"/>
      <w:numFmt w:val="decimal"/>
      <w:lvlText w:val="%4."/>
      <w:lvlJc w:val="left"/>
      <w:pPr>
        <w:ind w:left="3640" w:hanging="360"/>
      </w:pPr>
    </w:lvl>
    <w:lvl w:ilvl="4" w:tplc="080A0019" w:tentative="1">
      <w:start w:val="1"/>
      <w:numFmt w:val="lowerLetter"/>
      <w:lvlText w:val="%5."/>
      <w:lvlJc w:val="left"/>
      <w:pPr>
        <w:ind w:left="4360" w:hanging="360"/>
      </w:pPr>
    </w:lvl>
    <w:lvl w:ilvl="5" w:tplc="080A001B" w:tentative="1">
      <w:start w:val="1"/>
      <w:numFmt w:val="lowerRoman"/>
      <w:lvlText w:val="%6."/>
      <w:lvlJc w:val="right"/>
      <w:pPr>
        <w:ind w:left="5080" w:hanging="180"/>
      </w:pPr>
    </w:lvl>
    <w:lvl w:ilvl="6" w:tplc="080A000F" w:tentative="1">
      <w:start w:val="1"/>
      <w:numFmt w:val="decimal"/>
      <w:lvlText w:val="%7."/>
      <w:lvlJc w:val="left"/>
      <w:pPr>
        <w:ind w:left="5800" w:hanging="360"/>
      </w:pPr>
    </w:lvl>
    <w:lvl w:ilvl="7" w:tplc="080A0019" w:tentative="1">
      <w:start w:val="1"/>
      <w:numFmt w:val="lowerLetter"/>
      <w:lvlText w:val="%8."/>
      <w:lvlJc w:val="left"/>
      <w:pPr>
        <w:ind w:left="6520" w:hanging="360"/>
      </w:pPr>
    </w:lvl>
    <w:lvl w:ilvl="8" w:tplc="080A001B" w:tentative="1">
      <w:start w:val="1"/>
      <w:numFmt w:val="lowerRoman"/>
      <w:lvlText w:val="%9."/>
      <w:lvlJc w:val="right"/>
      <w:pPr>
        <w:ind w:left="7240"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9FC03A2"/>
    <w:multiLevelType w:val="hybridMultilevel"/>
    <w:tmpl w:val="A86493E2"/>
    <w:lvl w:ilvl="0" w:tplc="0542001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5"/>
  </w:num>
  <w:num w:numId="3">
    <w:abstractNumId w:val="0"/>
  </w:num>
  <w:num w:numId="4">
    <w:abstractNumId w:val="16"/>
  </w:num>
  <w:num w:numId="5">
    <w:abstractNumId w:val="19"/>
  </w:num>
  <w:num w:numId="6">
    <w:abstractNumId w:val="11"/>
  </w:num>
  <w:num w:numId="7">
    <w:abstractNumId w:val="7"/>
  </w:num>
  <w:num w:numId="8">
    <w:abstractNumId w:val="3"/>
  </w:num>
  <w:num w:numId="9">
    <w:abstractNumId w:val="6"/>
  </w:num>
  <w:num w:numId="10">
    <w:abstractNumId w:val="15"/>
  </w:num>
  <w:num w:numId="11">
    <w:abstractNumId w:val="17"/>
  </w:num>
  <w:num w:numId="12">
    <w:abstractNumId w:val="14"/>
  </w:num>
  <w:num w:numId="13">
    <w:abstractNumId w:val="18"/>
  </w:num>
  <w:num w:numId="14">
    <w:abstractNumId w:val="9"/>
  </w:num>
  <w:num w:numId="15">
    <w:abstractNumId w:val="10"/>
  </w:num>
  <w:num w:numId="16">
    <w:abstractNumId w:val="1"/>
  </w:num>
  <w:num w:numId="17">
    <w:abstractNumId w:val="12"/>
  </w:num>
  <w:num w:numId="18">
    <w:abstractNumId w:val="8"/>
  </w:num>
  <w:num w:numId="19">
    <w:abstractNumId w:val="2"/>
  </w:num>
  <w:num w:numId="20">
    <w:abstractNumId w:val="4"/>
  </w:num>
  <w:num w:numId="21">
    <w:abstractNumId w:val="2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216"/>
    <w:rsid w:val="00000AF2"/>
    <w:rsid w:val="00000BFF"/>
    <w:rsid w:val="00000EAB"/>
    <w:rsid w:val="0000187B"/>
    <w:rsid w:val="00001FA6"/>
    <w:rsid w:val="0000259B"/>
    <w:rsid w:val="00002B85"/>
    <w:rsid w:val="00003193"/>
    <w:rsid w:val="00003CC3"/>
    <w:rsid w:val="00004038"/>
    <w:rsid w:val="0000461D"/>
    <w:rsid w:val="0000488B"/>
    <w:rsid w:val="00005B69"/>
    <w:rsid w:val="00005BCB"/>
    <w:rsid w:val="00005EA0"/>
    <w:rsid w:val="00006834"/>
    <w:rsid w:val="00007105"/>
    <w:rsid w:val="00007296"/>
    <w:rsid w:val="00007E09"/>
    <w:rsid w:val="00007EFD"/>
    <w:rsid w:val="00007FD5"/>
    <w:rsid w:val="000106FE"/>
    <w:rsid w:val="00011D42"/>
    <w:rsid w:val="000121A9"/>
    <w:rsid w:val="000121D2"/>
    <w:rsid w:val="000126F6"/>
    <w:rsid w:val="00012918"/>
    <w:rsid w:val="00012DC1"/>
    <w:rsid w:val="000130C8"/>
    <w:rsid w:val="000135AF"/>
    <w:rsid w:val="00014F98"/>
    <w:rsid w:val="0001601F"/>
    <w:rsid w:val="0001695E"/>
    <w:rsid w:val="00016C0B"/>
    <w:rsid w:val="00016E88"/>
    <w:rsid w:val="000174F5"/>
    <w:rsid w:val="00020680"/>
    <w:rsid w:val="00020D86"/>
    <w:rsid w:val="00021989"/>
    <w:rsid w:val="00021B04"/>
    <w:rsid w:val="00021C5F"/>
    <w:rsid w:val="00022BBC"/>
    <w:rsid w:val="0002324E"/>
    <w:rsid w:val="00023F33"/>
    <w:rsid w:val="000243C9"/>
    <w:rsid w:val="00024545"/>
    <w:rsid w:val="00024EF4"/>
    <w:rsid w:val="00025BEB"/>
    <w:rsid w:val="000262A2"/>
    <w:rsid w:val="000264DD"/>
    <w:rsid w:val="0002682B"/>
    <w:rsid w:val="00026972"/>
    <w:rsid w:val="00026C11"/>
    <w:rsid w:val="00027ED0"/>
    <w:rsid w:val="000306D4"/>
    <w:rsid w:val="00030BAF"/>
    <w:rsid w:val="000324B9"/>
    <w:rsid w:val="000329BA"/>
    <w:rsid w:val="00032D83"/>
    <w:rsid w:val="000330FB"/>
    <w:rsid w:val="000338EE"/>
    <w:rsid w:val="00034684"/>
    <w:rsid w:val="00034F3F"/>
    <w:rsid w:val="0003629C"/>
    <w:rsid w:val="00036809"/>
    <w:rsid w:val="00036823"/>
    <w:rsid w:val="000369AF"/>
    <w:rsid w:val="00037279"/>
    <w:rsid w:val="00037443"/>
    <w:rsid w:val="00037843"/>
    <w:rsid w:val="00037C6A"/>
    <w:rsid w:val="00040C69"/>
    <w:rsid w:val="0004148C"/>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22B"/>
    <w:rsid w:val="00054705"/>
    <w:rsid w:val="00054D3C"/>
    <w:rsid w:val="00055248"/>
    <w:rsid w:val="00055F66"/>
    <w:rsid w:val="000562FB"/>
    <w:rsid w:val="000565B2"/>
    <w:rsid w:val="00056FA4"/>
    <w:rsid w:val="0005716D"/>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660"/>
    <w:rsid w:val="00071C6F"/>
    <w:rsid w:val="00071E8C"/>
    <w:rsid w:val="00071F15"/>
    <w:rsid w:val="000728B9"/>
    <w:rsid w:val="000737BF"/>
    <w:rsid w:val="00074A23"/>
    <w:rsid w:val="00074C62"/>
    <w:rsid w:val="000755A5"/>
    <w:rsid w:val="000756DE"/>
    <w:rsid w:val="00075AB8"/>
    <w:rsid w:val="00076647"/>
    <w:rsid w:val="00076CEA"/>
    <w:rsid w:val="00077661"/>
    <w:rsid w:val="00077DFD"/>
    <w:rsid w:val="00080A85"/>
    <w:rsid w:val="00080C2C"/>
    <w:rsid w:val="0008122B"/>
    <w:rsid w:val="0008141F"/>
    <w:rsid w:val="00083375"/>
    <w:rsid w:val="00083DA0"/>
    <w:rsid w:val="00085132"/>
    <w:rsid w:val="0008514D"/>
    <w:rsid w:val="00085F74"/>
    <w:rsid w:val="00086C04"/>
    <w:rsid w:val="00087470"/>
    <w:rsid w:val="000875DB"/>
    <w:rsid w:val="000900BD"/>
    <w:rsid w:val="000904A5"/>
    <w:rsid w:val="0009077C"/>
    <w:rsid w:val="00090D7D"/>
    <w:rsid w:val="000910E0"/>
    <w:rsid w:val="00091B93"/>
    <w:rsid w:val="000939DB"/>
    <w:rsid w:val="00093BC5"/>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0C0"/>
    <w:rsid w:val="000A5540"/>
    <w:rsid w:val="000A563C"/>
    <w:rsid w:val="000A578F"/>
    <w:rsid w:val="000A58B5"/>
    <w:rsid w:val="000A5D36"/>
    <w:rsid w:val="000A5FA8"/>
    <w:rsid w:val="000A6961"/>
    <w:rsid w:val="000A6C87"/>
    <w:rsid w:val="000A6CAE"/>
    <w:rsid w:val="000A7945"/>
    <w:rsid w:val="000B01A0"/>
    <w:rsid w:val="000B0351"/>
    <w:rsid w:val="000B03B9"/>
    <w:rsid w:val="000B0431"/>
    <w:rsid w:val="000B091C"/>
    <w:rsid w:val="000B133E"/>
    <w:rsid w:val="000B1A06"/>
    <w:rsid w:val="000B1B1F"/>
    <w:rsid w:val="000B1F22"/>
    <w:rsid w:val="000B2866"/>
    <w:rsid w:val="000B31B3"/>
    <w:rsid w:val="000B35EE"/>
    <w:rsid w:val="000B36E5"/>
    <w:rsid w:val="000B39C8"/>
    <w:rsid w:val="000B3B3B"/>
    <w:rsid w:val="000B40FA"/>
    <w:rsid w:val="000B4996"/>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AE9"/>
    <w:rsid w:val="000C3DC9"/>
    <w:rsid w:val="000C4116"/>
    <w:rsid w:val="000C4139"/>
    <w:rsid w:val="000C47B5"/>
    <w:rsid w:val="000C5414"/>
    <w:rsid w:val="000C5BCE"/>
    <w:rsid w:val="000C5DC1"/>
    <w:rsid w:val="000C6670"/>
    <w:rsid w:val="000D0458"/>
    <w:rsid w:val="000D04BF"/>
    <w:rsid w:val="000D153E"/>
    <w:rsid w:val="000D170C"/>
    <w:rsid w:val="000D1CF0"/>
    <w:rsid w:val="000D2A1F"/>
    <w:rsid w:val="000D3B6B"/>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5FED"/>
    <w:rsid w:val="000E64AF"/>
    <w:rsid w:val="000E74F5"/>
    <w:rsid w:val="000E7DB2"/>
    <w:rsid w:val="000F0C84"/>
    <w:rsid w:val="000F0D7B"/>
    <w:rsid w:val="000F128D"/>
    <w:rsid w:val="000F166C"/>
    <w:rsid w:val="000F2020"/>
    <w:rsid w:val="000F2949"/>
    <w:rsid w:val="000F2B5A"/>
    <w:rsid w:val="000F2D32"/>
    <w:rsid w:val="000F3B34"/>
    <w:rsid w:val="000F4347"/>
    <w:rsid w:val="000F50E8"/>
    <w:rsid w:val="000F54B0"/>
    <w:rsid w:val="000F5C41"/>
    <w:rsid w:val="000F5DE0"/>
    <w:rsid w:val="000F62C3"/>
    <w:rsid w:val="000F64DA"/>
    <w:rsid w:val="000F75AF"/>
    <w:rsid w:val="000F77DE"/>
    <w:rsid w:val="001002F5"/>
    <w:rsid w:val="00100970"/>
    <w:rsid w:val="001010CA"/>
    <w:rsid w:val="001019F2"/>
    <w:rsid w:val="00101D14"/>
    <w:rsid w:val="001025E5"/>
    <w:rsid w:val="00102AFD"/>
    <w:rsid w:val="00102D35"/>
    <w:rsid w:val="001040C0"/>
    <w:rsid w:val="001041F6"/>
    <w:rsid w:val="001046AD"/>
    <w:rsid w:val="0010644A"/>
    <w:rsid w:val="0010719A"/>
    <w:rsid w:val="001077F9"/>
    <w:rsid w:val="0011052B"/>
    <w:rsid w:val="001108F3"/>
    <w:rsid w:val="00110B09"/>
    <w:rsid w:val="00110C32"/>
    <w:rsid w:val="00111BFC"/>
    <w:rsid w:val="00111C5D"/>
    <w:rsid w:val="00111CBB"/>
    <w:rsid w:val="0011210D"/>
    <w:rsid w:val="00112765"/>
    <w:rsid w:val="00112BF7"/>
    <w:rsid w:val="00113361"/>
    <w:rsid w:val="00113A28"/>
    <w:rsid w:val="00113A46"/>
    <w:rsid w:val="00114111"/>
    <w:rsid w:val="00114316"/>
    <w:rsid w:val="00114AC5"/>
    <w:rsid w:val="0011523B"/>
    <w:rsid w:val="00115421"/>
    <w:rsid w:val="001162E0"/>
    <w:rsid w:val="00116579"/>
    <w:rsid w:val="0011786C"/>
    <w:rsid w:val="00121DE8"/>
    <w:rsid w:val="00122F5E"/>
    <w:rsid w:val="001237B4"/>
    <w:rsid w:val="001239B6"/>
    <w:rsid w:val="001244EC"/>
    <w:rsid w:val="00125CD4"/>
    <w:rsid w:val="00126EEE"/>
    <w:rsid w:val="00126EEF"/>
    <w:rsid w:val="00126F80"/>
    <w:rsid w:val="00127248"/>
    <w:rsid w:val="001273FC"/>
    <w:rsid w:val="00127B1F"/>
    <w:rsid w:val="00127C05"/>
    <w:rsid w:val="00130500"/>
    <w:rsid w:val="0013065F"/>
    <w:rsid w:val="001312BC"/>
    <w:rsid w:val="00131911"/>
    <w:rsid w:val="00131CDF"/>
    <w:rsid w:val="00131F93"/>
    <w:rsid w:val="00132391"/>
    <w:rsid w:val="00133BFB"/>
    <w:rsid w:val="00133DCC"/>
    <w:rsid w:val="00134A68"/>
    <w:rsid w:val="00134AB5"/>
    <w:rsid w:val="00135132"/>
    <w:rsid w:val="0013555E"/>
    <w:rsid w:val="00135A23"/>
    <w:rsid w:val="00135B0C"/>
    <w:rsid w:val="00136897"/>
    <w:rsid w:val="0013695E"/>
    <w:rsid w:val="00136FB8"/>
    <w:rsid w:val="00137372"/>
    <w:rsid w:val="00137C86"/>
    <w:rsid w:val="00137EFF"/>
    <w:rsid w:val="0014043C"/>
    <w:rsid w:val="0014077B"/>
    <w:rsid w:val="00140D7E"/>
    <w:rsid w:val="00142417"/>
    <w:rsid w:val="00142C4F"/>
    <w:rsid w:val="00143682"/>
    <w:rsid w:val="001441D3"/>
    <w:rsid w:val="00144A12"/>
    <w:rsid w:val="001450E2"/>
    <w:rsid w:val="001460CF"/>
    <w:rsid w:val="00146509"/>
    <w:rsid w:val="00146688"/>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26B"/>
    <w:rsid w:val="00164A0B"/>
    <w:rsid w:val="00164BCE"/>
    <w:rsid w:val="001659D0"/>
    <w:rsid w:val="0016604B"/>
    <w:rsid w:val="0016700D"/>
    <w:rsid w:val="00167ADD"/>
    <w:rsid w:val="00167FE2"/>
    <w:rsid w:val="0017022B"/>
    <w:rsid w:val="001702C6"/>
    <w:rsid w:val="001711A1"/>
    <w:rsid w:val="00172205"/>
    <w:rsid w:val="0017260E"/>
    <w:rsid w:val="001729D0"/>
    <w:rsid w:val="00172B51"/>
    <w:rsid w:val="00172C89"/>
    <w:rsid w:val="00172DA0"/>
    <w:rsid w:val="00175113"/>
    <w:rsid w:val="0017568D"/>
    <w:rsid w:val="00175C14"/>
    <w:rsid w:val="00175DCD"/>
    <w:rsid w:val="001761CB"/>
    <w:rsid w:val="0017651E"/>
    <w:rsid w:val="001778B4"/>
    <w:rsid w:val="001779CB"/>
    <w:rsid w:val="00177A1E"/>
    <w:rsid w:val="00177B53"/>
    <w:rsid w:val="001826D0"/>
    <w:rsid w:val="001831E3"/>
    <w:rsid w:val="0018345B"/>
    <w:rsid w:val="0018356C"/>
    <w:rsid w:val="0018358B"/>
    <w:rsid w:val="001837A9"/>
    <w:rsid w:val="0018454F"/>
    <w:rsid w:val="001846BB"/>
    <w:rsid w:val="001854BD"/>
    <w:rsid w:val="00185DC5"/>
    <w:rsid w:val="00186701"/>
    <w:rsid w:val="0018685D"/>
    <w:rsid w:val="00186FB3"/>
    <w:rsid w:val="0018765B"/>
    <w:rsid w:val="00192287"/>
    <w:rsid w:val="001923AE"/>
    <w:rsid w:val="001924B2"/>
    <w:rsid w:val="00193379"/>
    <w:rsid w:val="00194B7B"/>
    <w:rsid w:val="00194C5F"/>
    <w:rsid w:val="001951A3"/>
    <w:rsid w:val="00195583"/>
    <w:rsid w:val="00196966"/>
    <w:rsid w:val="001A0745"/>
    <w:rsid w:val="001A1302"/>
    <w:rsid w:val="001A16CC"/>
    <w:rsid w:val="001A18E1"/>
    <w:rsid w:val="001A2144"/>
    <w:rsid w:val="001A247E"/>
    <w:rsid w:val="001A2FDB"/>
    <w:rsid w:val="001A3755"/>
    <w:rsid w:val="001A4127"/>
    <w:rsid w:val="001A4E1C"/>
    <w:rsid w:val="001A554E"/>
    <w:rsid w:val="001A597E"/>
    <w:rsid w:val="001A5B84"/>
    <w:rsid w:val="001A6EBE"/>
    <w:rsid w:val="001A6F68"/>
    <w:rsid w:val="001A77FB"/>
    <w:rsid w:val="001B009D"/>
    <w:rsid w:val="001B13DB"/>
    <w:rsid w:val="001B17F6"/>
    <w:rsid w:val="001B1D16"/>
    <w:rsid w:val="001B30FE"/>
    <w:rsid w:val="001B341D"/>
    <w:rsid w:val="001B3A10"/>
    <w:rsid w:val="001B6E63"/>
    <w:rsid w:val="001B7ED3"/>
    <w:rsid w:val="001B7EF3"/>
    <w:rsid w:val="001C0151"/>
    <w:rsid w:val="001C0C36"/>
    <w:rsid w:val="001C100F"/>
    <w:rsid w:val="001C1402"/>
    <w:rsid w:val="001C1FB7"/>
    <w:rsid w:val="001C1FDF"/>
    <w:rsid w:val="001C2557"/>
    <w:rsid w:val="001C2644"/>
    <w:rsid w:val="001C2B0B"/>
    <w:rsid w:val="001C2B81"/>
    <w:rsid w:val="001C36D8"/>
    <w:rsid w:val="001C39B4"/>
    <w:rsid w:val="001C3A80"/>
    <w:rsid w:val="001C4053"/>
    <w:rsid w:val="001C421F"/>
    <w:rsid w:val="001C422B"/>
    <w:rsid w:val="001C502D"/>
    <w:rsid w:val="001C53B0"/>
    <w:rsid w:val="001C64EB"/>
    <w:rsid w:val="001C7A67"/>
    <w:rsid w:val="001C7EC3"/>
    <w:rsid w:val="001D07F6"/>
    <w:rsid w:val="001D0DCF"/>
    <w:rsid w:val="001D31A6"/>
    <w:rsid w:val="001D3B81"/>
    <w:rsid w:val="001D40CC"/>
    <w:rsid w:val="001D4D61"/>
    <w:rsid w:val="001D4D8C"/>
    <w:rsid w:val="001D5282"/>
    <w:rsid w:val="001D529D"/>
    <w:rsid w:val="001D577C"/>
    <w:rsid w:val="001D598B"/>
    <w:rsid w:val="001D694C"/>
    <w:rsid w:val="001D754A"/>
    <w:rsid w:val="001E1D59"/>
    <w:rsid w:val="001E288A"/>
    <w:rsid w:val="001E2A02"/>
    <w:rsid w:val="001E2B84"/>
    <w:rsid w:val="001E338B"/>
    <w:rsid w:val="001E3B11"/>
    <w:rsid w:val="001E4C02"/>
    <w:rsid w:val="001E65E8"/>
    <w:rsid w:val="001E6AE5"/>
    <w:rsid w:val="001E6C62"/>
    <w:rsid w:val="001E7020"/>
    <w:rsid w:val="001E71FD"/>
    <w:rsid w:val="001E77A9"/>
    <w:rsid w:val="001E7BD1"/>
    <w:rsid w:val="001F2154"/>
    <w:rsid w:val="001F287C"/>
    <w:rsid w:val="001F2D73"/>
    <w:rsid w:val="001F5050"/>
    <w:rsid w:val="001F625A"/>
    <w:rsid w:val="001F6B28"/>
    <w:rsid w:val="001F6C56"/>
    <w:rsid w:val="001F7048"/>
    <w:rsid w:val="001F72DF"/>
    <w:rsid w:val="001F77D0"/>
    <w:rsid w:val="001F7C58"/>
    <w:rsid w:val="002010A9"/>
    <w:rsid w:val="00201769"/>
    <w:rsid w:val="0020247E"/>
    <w:rsid w:val="002025FD"/>
    <w:rsid w:val="00203FD3"/>
    <w:rsid w:val="00205A55"/>
    <w:rsid w:val="00206222"/>
    <w:rsid w:val="0020694D"/>
    <w:rsid w:val="00206A9B"/>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8B5"/>
    <w:rsid w:val="00216AB7"/>
    <w:rsid w:val="002170A5"/>
    <w:rsid w:val="002179C7"/>
    <w:rsid w:val="00217F57"/>
    <w:rsid w:val="00221687"/>
    <w:rsid w:val="00221709"/>
    <w:rsid w:val="00222A05"/>
    <w:rsid w:val="00222E1E"/>
    <w:rsid w:val="0022341D"/>
    <w:rsid w:val="0022360E"/>
    <w:rsid w:val="00223F75"/>
    <w:rsid w:val="00224412"/>
    <w:rsid w:val="002246DF"/>
    <w:rsid w:val="002248E9"/>
    <w:rsid w:val="00225069"/>
    <w:rsid w:val="00226980"/>
    <w:rsid w:val="00227445"/>
    <w:rsid w:val="00227471"/>
    <w:rsid w:val="00230D10"/>
    <w:rsid w:val="00231036"/>
    <w:rsid w:val="002318C4"/>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4C0"/>
    <w:rsid w:val="0025376B"/>
    <w:rsid w:val="00253A1C"/>
    <w:rsid w:val="002541B3"/>
    <w:rsid w:val="00255E3D"/>
    <w:rsid w:val="00256B3C"/>
    <w:rsid w:val="00256E7D"/>
    <w:rsid w:val="00256F27"/>
    <w:rsid w:val="00257816"/>
    <w:rsid w:val="00257C5E"/>
    <w:rsid w:val="00260433"/>
    <w:rsid w:val="0026116F"/>
    <w:rsid w:val="00261351"/>
    <w:rsid w:val="002617F9"/>
    <w:rsid w:val="00262666"/>
    <w:rsid w:val="00262D7C"/>
    <w:rsid w:val="00263720"/>
    <w:rsid w:val="00264298"/>
    <w:rsid w:val="00265161"/>
    <w:rsid w:val="00265F1B"/>
    <w:rsid w:val="002665A2"/>
    <w:rsid w:val="00267221"/>
    <w:rsid w:val="0026770D"/>
    <w:rsid w:val="00270087"/>
    <w:rsid w:val="0027018B"/>
    <w:rsid w:val="00270831"/>
    <w:rsid w:val="0027219A"/>
    <w:rsid w:val="0027275E"/>
    <w:rsid w:val="00272A7D"/>
    <w:rsid w:val="00273171"/>
    <w:rsid w:val="002748AA"/>
    <w:rsid w:val="00275418"/>
    <w:rsid w:val="00275649"/>
    <w:rsid w:val="002805AC"/>
    <w:rsid w:val="00280919"/>
    <w:rsid w:val="00281661"/>
    <w:rsid w:val="002825E0"/>
    <w:rsid w:val="00282C81"/>
    <w:rsid w:val="00283B3F"/>
    <w:rsid w:val="002841EE"/>
    <w:rsid w:val="002844AF"/>
    <w:rsid w:val="00284891"/>
    <w:rsid w:val="0028521F"/>
    <w:rsid w:val="00285B3A"/>
    <w:rsid w:val="00285C95"/>
    <w:rsid w:val="002860EB"/>
    <w:rsid w:val="00286C13"/>
    <w:rsid w:val="00286D80"/>
    <w:rsid w:val="00287888"/>
    <w:rsid w:val="00291103"/>
    <w:rsid w:val="00291333"/>
    <w:rsid w:val="00291341"/>
    <w:rsid w:val="002926B1"/>
    <w:rsid w:val="00292CA5"/>
    <w:rsid w:val="00293B1D"/>
    <w:rsid w:val="00293E41"/>
    <w:rsid w:val="00296748"/>
    <w:rsid w:val="0029678F"/>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0B1A"/>
    <w:rsid w:val="002B1C2A"/>
    <w:rsid w:val="002B221D"/>
    <w:rsid w:val="002B2706"/>
    <w:rsid w:val="002B2A17"/>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A9D"/>
    <w:rsid w:val="002C62F6"/>
    <w:rsid w:val="002C6CED"/>
    <w:rsid w:val="002C6F55"/>
    <w:rsid w:val="002D0290"/>
    <w:rsid w:val="002D0C9B"/>
    <w:rsid w:val="002D1056"/>
    <w:rsid w:val="002D1979"/>
    <w:rsid w:val="002D268B"/>
    <w:rsid w:val="002D2CEE"/>
    <w:rsid w:val="002D3701"/>
    <w:rsid w:val="002D38C8"/>
    <w:rsid w:val="002D3CF1"/>
    <w:rsid w:val="002D3F79"/>
    <w:rsid w:val="002D413F"/>
    <w:rsid w:val="002D4B99"/>
    <w:rsid w:val="002D5980"/>
    <w:rsid w:val="002D6038"/>
    <w:rsid w:val="002D6B2E"/>
    <w:rsid w:val="002D6E4D"/>
    <w:rsid w:val="002D724E"/>
    <w:rsid w:val="002D7BA0"/>
    <w:rsid w:val="002E1666"/>
    <w:rsid w:val="002E3358"/>
    <w:rsid w:val="002E3442"/>
    <w:rsid w:val="002E3511"/>
    <w:rsid w:val="002E3777"/>
    <w:rsid w:val="002E3B43"/>
    <w:rsid w:val="002E3D1C"/>
    <w:rsid w:val="002E5953"/>
    <w:rsid w:val="002E5971"/>
    <w:rsid w:val="002E5EAB"/>
    <w:rsid w:val="002E6032"/>
    <w:rsid w:val="002E60D4"/>
    <w:rsid w:val="002E773F"/>
    <w:rsid w:val="002E791E"/>
    <w:rsid w:val="002F02E0"/>
    <w:rsid w:val="002F0BB5"/>
    <w:rsid w:val="002F167A"/>
    <w:rsid w:val="002F19AF"/>
    <w:rsid w:val="002F1B7B"/>
    <w:rsid w:val="002F1C6A"/>
    <w:rsid w:val="002F1D64"/>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2E9A"/>
    <w:rsid w:val="0030330D"/>
    <w:rsid w:val="00304992"/>
    <w:rsid w:val="00304999"/>
    <w:rsid w:val="00304F25"/>
    <w:rsid w:val="003056B2"/>
    <w:rsid w:val="00305D48"/>
    <w:rsid w:val="00306940"/>
    <w:rsid w:val="00307353"/>
    <w:rsid w:val="00307E06"/>
    <w:rsid w:val="0031096E"/>
    <w:rsid w:val="00310F35"/>
    <w:rsid w:val="00311560"/>
    <w:rsid w:val="00311708"/>
    <w:rsid w:val="00311BB1"/>
    <w:rsid w:val="00312470"/>
    <w:rsid w:val="0031285C"/>
    <w:rsid w:val="00313A44"/>
    <w:rsid w:val="003150CD"/>
    <w:rsid w:val="003154AB"/>
    <w:rsid w:val="003155CF"/>
    <w:rsid w:val="00315B4C"/>
    <w:rsid w:val="00315BA3"/>
    <w:rsid w:val="00316707"/>
    <w:rsid w:val="00317B07"/>
    <w:rsid w:val="00317BDE"/>
    <w:rsid w:val="00317DC3"/>
    <w:rsid w:val="00320489"/>
    <w:rsid w:val="0032088F"/>
    <w:rsid w:val="0032101C"/>
    <w:rsid w:val="00321643"/>
    <w:rsid w:val="00321A91"/>
    <w:rsid w:val="00322486"/>
    <w:rsid w:val="00322588"/>
    <w:rsid w:val="00323295"/>
    <w:rsid w:val="00323848"/>
    <w:rsid w:val="00323FF5"/>
    <w:rsid w:val="0032464C"/>
    <w:rsid w:val="00324B78"/>
    <w:rsid w:val="003253CA"/>
    <w:rsid w:val="00326D5E"/>
    <w:rsid w:val="00327A8E"/>
    <w:rsid w:val="00327B46"/>
    <w:rsid w:val="00327BDD"/>
    <w:rsid w:val="003301B0"/>
    <w:rsid w:val="00330853"/>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787"/>
    <w:rsid w:val="00343BE2"/>
    <w:rsid w:val="00343FDE"/>
    <w:rsid w:val="003448FF"/>
    <w:rsid w:val="00345946"/>
    <w:rsid w:val="00345C53"/>
    <w:rsid w:val="00346754"/>
    <w:rsid w:val="00346D00"/>
    <w:rsid w:val="00347AAB"/>
    <w:rsid w:val="00347FD3"/>
    <w:rsid w:val="0035006A"/>
    <w:rsid w:val="003507C6"/>
    <w:rsid w:val="003508DC"/>
    <w:rsid w:val="003509B6"/>
    <w:rsid w:val="00350B13"/>
    <w:rsid w:val="003510D4"/>
    <w:rsid w:val="00352CC2"/>
    <w:rsid w:val="00352CD0"/>
    <w:rsid w:val="00352DE7"/>
    <w:rsid w:val="0035300A"/>
    <w:rsid w:val="0035347E"/>
    <w:rsid w:val="003549F9"/>
    <w:rsid w:val="00355E72"/>
    <w:rsid w:val="0035659D"/>
    <w:rsid w:val="00357A34"/>
    <w:rsid w:val="003611E4"/>
    <w:rsid w:val="0036133D"/>
    <w:rsid w:val="003617D9"/>
    <w:rsid w:val="00361938"/>
    <w:rsid w:val="003625FB"/>
    <w:rsid w:val="00362AC4"/>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C02"/>
    <w:rsid w:val="00374012"/>
    <w:rsid w:val="003743D7"/>
    <w:rsid w:val="003749C0"/>
    <w:rsid w:val="003750D6"/>
    <w:rsid w:val="003752B5"/>
    <w:rsid w:val="0037593B"/>
    <w:rsid w:val="0037599C"/>
    <w:rsid w:val="00375FDD"/>
    <w:rsid w:val="0037725F"/>
    <w:rsid w:val="00377346"/>
    <w:rsid w:val="003804A7"/>
    <w:rsid w:val="00381DC3"/>
    <w:rsid w:val="0038228C"/>
    <w:rsid w:val="00382BDE"/>
    <w:rsid w:val="003859C4"/>
    <w:rsid w:val="00385B11"/>
    <w:rsid w:val="00385EA5"/>
    <w:rsid w:val="00386F92"/>
    <w:rsid w:val="003874C3"/>
    <w:rsid w:val="00387725"/>
    <w:rsid w:val="00387C65"/>
    <w:rsid w:val="00390BB6"/>
    <w:rsid w:val="00390CDE"/>
    <w:rsid w:val="00392B20"/>
    <w:rsid w:val="00394153"/>
    <w:rsid w:val="00394516"/>
    <w:rsid w:val="003961E1"/>
    <w:rsid w:val="003961E4"/>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F90"/>
    <w:rsid w:val="003B210B"/>
    <w:rsid w:val="003B2F00"/>
    <w:rsid w:val="003B354A"/>
    <w:rsid w:val="003B3575"/>
    <w:rsid w:val="003B3697"/>
    <w:rsid w:val="003B373B"/>
    <w:rsid w:val="003B3A74"/>
    <w:rsid w:val="003B3E5E"/>
    <w:rsid w:val="003B4130"/>
    <w:rsid w:val="003B427B"/>
    <w:rsid w:val="003B4BAF"/>
    <w:rsid w:val="003B5111"/>
    <w:rsid w:val="003B57C3"/>
    <w:rsid w:val="003B5CF6"/>
    <w:rsid w:val="003B609E"/>
    <w:rsid w:val="003B6A64"/>
    <w:rsid w:val="003B6C7E"/>
    <w:rsid w:val="003B6CF0"/>
    <w:rsid w:val="003B79F9"/>
    <w:rsid w:val="003C0293"/>
    <w:rsid w:val="003C0DF1"/>
    <w:rsid w:val="003C1936"/>
    <w:rsid w:val="003C1D82"/>
    <w:rsid w:val="003C268F"/>
    <w:rsid w:val="003C3161"/>
    <w:rsid w:val="003C32DC"/>
    <w:rsid w:val="003C32FC"/>
    <w:rsid w:val="003C42AD"/>
    <w:rsid w:val="003C4C9F"/>
    <w:rsid w:val="003C5D9D"/>
    <w:rsid w:val="003C7036"/>
    <w:rsid w:val="003C7781"/>
    <w:rsid w:val="003C7FA5"/>
    <w:rsid w:val="003D0C96"/>
    <w:rsid w:val="003D1CAA"/>
    <w:rsid w:val="003D2539"/>
    <w:rsid w:val="003D4395"/>
    <w:rsid w:val="003D474C"/>
    <w:rsid w:val="003D5398"/>
    <w:rsid w:val="003D5BAD"/>
    <w:rsid w:val="003D5F20"/>
    <w:rsid w:val="003D6E19"/>
    <w:rsid w:val="003D737D"/>
    <w:rsid w:val="003D7E33"/>
    <w:rsid w:val="003E0C30"/>
    <w:rsid w:val="003E0F2A"/>
    <w:rsid w:val="003E1CD9"/>
    <w:rsid w:val="003E2CF8"/>
    <w:rsid w:val="003E3050"/>
    <w:rsid w:val="003E314B"/>
    <w:rsid w:val="003E3169"/>
    <w:rsid w:val="003E35FB"/>
    <w:rsid w:val="003E3999"/>
    <w:rsid w:val="003E43BE"/>
    <w:rsid w:val="003E496A"/>
    <w:rsid w:val="003E4A4E"/>
    <w:rsid w:val="003E504F"/>
    <w:rsid w:val="003E5231"/>
    <w:rsid w:val="003E5B98"/>
    <w:rsid w:val="003E5D2D"/>
    <w:rsid w:val="003E5F0E"/>
    <w:rsid w:val="003E62FB"/>
    <w:rsid w:val="003E6A41"/>
    <w:rsid w:val="003E7801"/>
    <w:rsid w:val="003F0AF5"/>
    <w:rsid w:val="003F14E4"/>
    <w:rsid w:val="003F1FC5"/>
    <w:rsid w:val="003F3E65"/>
    <w:rsid w:val="003F42FC"/>
    <w:rsid w:val="003F4391"/>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E2B"/>
    <w:rsid w:val="00406FC8"/>
    <w:rsid w:val="0040758D"/>
    <w:rsid w:val="00407734"/>
    <w:rsid w:val="00407A5C"/>
    <w:rsid w:val="004113F8"/>
    <w:rsid w:val="00411707"/>
    <w:rsid w:val="004121E3"/>
    <w:rsid w:val="0041258E"/>
    <w:rsid w:val="00412A58"/>
    <w:rsid w:val="00412C2F"/>
    <w:rsid w:val="0041486D"/>
    <w:rsid w:val="0041540D"/>
    <w:rsid w:val="0041584F"/>
    <w:rsid w:val="00415924"/>
    <w:rsid w:val="0041641F"/>
    <w:rsid w:val="004165A7"/>
    <w:rsid w:val="00416F89"/>
    <w:rsid w:val="00417B7B"/>
    <w:rsid w:val="00420C09"/>
    <w:rsid w:val="004211BE"/>
    <w:rsid w:val="0042205F"/>
    <w:rsid w:val="00423C26"/>
    <w:rsid w:val="00423E43"/>
    <w:rsid w:val="00424839"/>
    <w:rsid w:val="00424D35"/>
    <w:rsid w:val="004256FF"/>
    <w:rsid w:val="004258D6"/>
    <w:rsid w:val="004264F9"/>
    <w:rsid w:val="00426777"/>
    <w:rsid w:val="00427031"/>
    <w:rsid w:val="00427142"/>
    <w:rsid w:val="00427585"/>
    <w:rsid w:val="00427899"/>
    <w:rsid w:val="00427DBB"/>
    <w:rsid w:val="00427FBB"/>
    <w:rsid w:val="00430399"/>
    <w:rsid w:val="00430E42"/>
    <w:rsid w:val="0043209C"/>
    <w:rsid w:val="004322A6"/>
    <w:rsid w:val="004331A1"/>
    <w:rsid w:val="00433351"/>
    <w:rsid w:val="004340BA"/>
    <w:rsid w:val="004348C5"/>
    <w:rsid w:val="00436B6F"/>
    <w:rsid w:val="00437D5A"/>
    <w:rsid w:val="00440392"/>
    <w:rsid w:val="0044044F"/>
    <w:rsid w:val="00441DE8"/>
    <w:rsid w:val="00442936"/>
    <w:rsid w:val="00442F67"/>
    <w:rsid w:val="00442FBB"/>
    <w:rsid w:val="00443487"/>
    <w:rsid w:val="0044467E"/>
    <w:rsid w:val="0044496C"/>
    <w:rsid w:val="00444F46"/>
    <w:rsid w:val="0044520F"/>
    <w:rsid w:val="00445E2B"/>
    <w:rsid w:val="004468EC"/>
    <w:rsid w:val="00446A05"/>
    <w:rsid w:val="00446B69"/>
    <w:rsid w:val="004501B0"/>
    <w:rsid w:val="004502C5"/>
    <w:rsid w:val="004509CE"/>
    <w:rsid w:val="004515BE"/>
    <w:rsid w:val="00452B43"/>
    <w:rsid w:val="00454957"/>
    <w:rsid w:val="004557F7"/>
    <w:rsid w:val="00455A62"/>
    <w:rsid w:val="00456294"/>
    <w:rsid w:val="00456510"/>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674C7"/>
    <w:rsid w:val="0046750C"/>
    <w:rsid w:val="0047274B"/>
    <w:rsid w:val="00472B3D"/>
    <w:rsid w:val="00472D90"/>
    <w:rsid w:val="00473EB5"/>
    <w:rsid w:val="00474636"/>
    <w:rsid w:val="004746D8"/>
    <w:rsid w:val="004761C8"/>
    <w:rsid w:val="0047647A"/>
    <w:rsid w:val="00476CAF"/>
    <w:rsid w:val="00476D0C"/>
    <w:rsid w:val="004771E5"/>
    <w:rsid w:val="00477357"/>
    <w:rsid w:val="00477E07"/>
    <w:rsid w:val="00480A69"/>
    <w:rsid w:val="00480ABE"/>
    <w:rsid w:val="004813E0"/>
    <w:rsid w:val="004815D1"/>
    <w:rsid w:val="004826CB"/>
    <w:rsid w:val="00483B0E"/>
    <w:rsid w:val="00484AE9"/>
    <w:rsid w:val="00485508"/>
    <w:rsid w:val="0048659E"/>
    <w:rsid w:val="00486775"/>
    <w:rsid w:val="004874A4"/>
    <w:rsid w:val="004912EB"/>
    <w:rsid w:val="00491E99"/>
    <w:rsid w:val="004929E7"/>
    <w:rsid w:val="0049318A"/>
    <w:rsid w:val="00493A5B"/>
    <w:rsid w:val="00493D1E"/>
    <w:rsid w:val="00494F0A"/>
    <w:rsid w:val="00495547"/>
    <w:rsid w:val="004961AD"/>
    <w:rsid w:val="00496339"/>
    <w:rsid w:val="004967A0"/>
    <w:rsid w:val="00496C40"/>
    <w:rsid w:val="00497059"/>
    <w:rsid w:val="00497082"/>
    <w:rsid w:val="004973EC"/>
    <w:rsid w:val="00497B15"/>
    <w:rsid w:val="004A0617"/>
    <w:rsid w:val="004A1A63"/>
    <w:rsid w:val="004A2326"/>
    <w:rsid w:val="004A280F"/>
    <w:rsid w:val="004A2A39"/>
    <w:rsid w:val="004A319F"/>
    <w:rsid w:val="004A3235"/>
    <w:rsid w:val="004A32F1"/>
    <w:rsid w:val="004A363B"/>
    <w:rsid w:val="004A36A8"/>
    <w:rsid w:val="004A5F27"/>
    <w:rsid w:val="004A6251"/>
    <w:rsid w:val="004A6CA2"/>
    <w:rsid w:val="004A770C"/>
    <w:rsid w:val="004A781C"/>
    <w:rsid w:val="004A7ECD"/>
    <w:rsid w:val="004B0353"/>
    <w:rsid w:val="004B05A6"/>
    <w:rsid w:val="004B05CE"/>
    <w:rsid w:val="004B0EF8"/>
    <w:rsid w:val="004B117E"/>
    <w:rsid w:val="004B13CF"/>
    <w:rsid w:val="004B17F7"/>
    <w:rsid w:val="004B1E33"/>
    <w:rsid w:val="004B4654"/>
    <w:rsid w:val="004B5540"/>
    <w:rsid w:val="004B5F62"/>
    <w:rsid w:val="004B6800"/>
    <w:rsid w:val="004B69CB"/>
    <w:rsid w:val="004B6B98"/>
    <w:rsid w:val="004B721C"/>
    <w:rsid w:val="004B748E"/>
    <w:rsid w:val="004B7594"/>
    <w:rsid w:val="004B7C5E"/>
    <w:rsid w:val="004C05E4"/>
    <w:rsid w:val="004C1578"/>
    <w:rsid w:val="004C1927"/>
    <w:rsid w:val="004C20EA"/>
    <w:rsid w:val="004C2276"/>
    <w:rsid w:val="004C3A42"/>
    <w:rsid w:val="004C4721"/>
    <w:rsid w:val="004C4B13"/>
    <w:rsid w:val="004C4B5E"/>
    <w:rsid w:val="004C5064"/>
    <w:rsid w:val="004C513B"/>
    <w:rsid w:val="004C54F2"/>
    <w:rsid w:val="004C62A2"/>
    <w:rsid w:val="004C643F"/>
    <w:rsid w:val="004C6515"/>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284"/>
    <w:rsid w:val="004E744E"/>
    <w:rsid w:val="004E7818"/>
    <w:rsid w:val="004F026D"/>
    <w:rsid w:val="004F0402"/>
    <w:rsid w:val="004F07B7"/>
    <w:rsid w:val="004F12C9"/>
    <w:rsid w:val="004F1B13"/>
    <w:rsid w:val="004F1C22"/>
    <w:rsid w:val="004F28AC"/>
    <w:rsid w:val="004F2A92"/>
    <w:rsid w:val="004F2E5D"/>
    <w:rsid w:val="004F2E7C"/>
    <w:rsid w:val="004F421C"/>
    <w:rsid w:val="004F4289"/>
    <w:rsid w:val="004F48BF"/>
    <w:rsid w:val="004F5821"/>
    <w:rsid w:val="004F60E9"/>
    <w:rsid w:val="004F674E"/>
    <w:rsid w:val="004F6C74"/>
    <w:rsid w:val="005001E5"/>
    <w:rsid w:val="005008B1"/>
    <w:rsid w:val="00500A0B"/>
    <w:rsid w:val="00500C4C"/>
    <w:rsid w:val="005016CA"/>
    <w:rsid w:val="00502093"/>
    <w:rsid w:val="00502177"/>
    <w:rsid w:val="0050345B"/>
    <w:rsid w:val="00504E19"/>
    <w:rsid w:val="00505547"/>
    <w:rsid w:val="005063B6"/>
    <w:rsid w:val="00506A1C"/>
    <w:rsid w:val="0050734D"/>
    <w:rsid w:val="00507AB3"/>
    <w:rsid w:val="00510956"/>
    <w:rsid w:val="00510F23"/>
    <w:rsid w:val="0051133B"/>
    <w:rsid w:val="005115C3"/>
    <w:rsid w:val="00511D06"/>
    <w:rsid w:val="00512824"/>
    <w:rsid w:val="00512A03"/>
    <w:rsid w:val="00513B08"/>
    <w:rsid w:val="00515288"/>
    <w:rsid w:val="00515B21"/>
    <w:rsid w:val="00515CF2"/>
    <w:rsid w:val="00517079"/>
    <w:rsid w:val="00520023"/>
    <w:rsid w:val="005201C4"/>
    <w:rsid w:val="00520569"/>
    <w:rsid w:val="00520D51"/>
    <w:rsid w:val="005212AE"/>
    <w:rsid w:val="00521477"/>
    <w:rsid w:val="005229B8"/>
    <w:rsid w:val="00522C1A"/>
    <w:rsid w:val="00523091"/>
    <w:rsid w:val="005242CB"/>
    <w:rsid w:val="00524D42"/>
    <w:rsid w:val="00526DC4"/>
    <w:rsid w:val="005274E0"/>
    <w:rsid w:val="00527AF7"/>
    <w:rsid w:val="00527F7B"/>
    <w:rsid w:val="005300DF"/>
    <w:rsid w:val="00531B2A"/>
    <w:rsid w:val="00531B72"/>
    <w:rsid w:val="00531C8C"/>
    <w:rsid w:val="005324A4"/>
    <w:rsid w:val="00532D69"/>
    <w:rsid w:val="00532E56"/>
    <w:rsid w:val="00533B21"/>
    <w:rsid w:val="00533B77"/>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4D9"/>
    <w:rsid w:val="00554C70"/>
    <w:rsid w:val="00554F30"/>
    <w:rsid w:val="0055538E"/>
    <w:rsid w:val="0055560D"/>
    <w:rsid w:val="0055566D"/>
    <w:rsid w:val="005558DD"/>
    <w:rsid w:val="00555A41"/>
    <w:rsid w:val="00555D28"/>
    <w:rsid w:val="0055695F"/>
    <w:rsid w:val="00556D72"/>
    <w:rsid w:val="005574DE"/>
    <w:rsid w:val="00557727"/>
    <w:rsid w:val="00557C7D"/>
    <w:rsid w:val="00557EEB"/>
    <w:rsid w:val="00560145"/>
    <w:rsid w:val="0056061C"/>
    <w:rsid w:val="005609AA"/>
    <w:rsid w:val="00560A92"/>
    <w:rsid w:val="00561701"/>
    <w:rsid w:val="00561AFE"/>
    <w:rsid w:val="00561B8F"/>
    <w:rsid w:val="0056210B"/>
    <w:rsid w:val="00562D03"/>
    <w:rsid w:val="005632DA"/>
    <w:rsid w:val="0056331F"/>
    <w:rsid w:val="00563692"/>
    <w:rsid w:val="00563B9C"/>
    <w:rsid w:val="00564488"/>
    <w:rsid w:val="00564B42"/>
    <w:rsid w:val="0056508D"/>
    <w:rsid w:val="00567CCF"/>
    <w:rsid w:val="00570608"/>
    <w:rsid w:val="005707BD"/>
    <w:rsid w:val="00570A3B"/>
    <w:rsid w:val="0057187A"/>
    <w:rsid w:val="005720EB"/>
    <w:rsid w:val="0057273D"/>
    <w:rsid w:val="005731B2"/>
    <w:rsid w:val="00573350"/>
    <w:rsid w:val="00573419"/>
    <w:rsid w:val="00573D28"/>
    <w:rsid w:val="00573E34"/>
    <w:rsid w:val="005740D5"/>
    <w:rsid w:val="005740DA"/>
    <w:rsid w:val="00577656"/>
    <w:rsid w:val="0057772B"/>
    <w:rsid w:val="00580176"/>
    <w:rsid w:val="005802AF"/>
    <w:rsid w:val="00580781"/>
    <w:rsid w:val="00581327"/>
    <w:rsid w:val="00581366"/>
    <w:rsid w:val="005817AB"/>
    <w:rsid w:val="00582C57"/>
    <w:rsid w:val="00583642"/>
    <w:rsid w:val="00584BAB"/>
    <w:rsid w:val="00584EFB"/>
    <w:rsid w:val="0058621D"/>
    <w:rsid w:val="00586D72"/>
    <w:rsid w:val="00586E4F"/>
    <w:rsid w:val="00587330"/>
    <w:rsid w:val="00587984"/>
    <w:rsid w:val="00587A84"/>
    <w:rsid w:val="00590AF7"/>
    <w:rsid w:val="00591557"/>
    <w:rsid w:val="00592360"/>
    <w:rsid w:val="00593059"/>
    <w:rsid w:val="00593333"/>
    <w:rsid w:val="005960D3"/>
    <w:rsid w:val="005967C4"/>
    <w:rsid w:val="005973A7"/>
    <w:rsid w:val="005A0825"/>
    <w:rsid w:val="005A09A3"/>
    <w:rsid w:val="005A1FEE"/>
    <w:rsid w:val="005A273F"/>
    <w:rsid w:val="005A3583"/>
    <w:rsid w:val="005A4118"/>
    <w:rsid w:val="005A453F"/>
    <w:rsid w:val="005A493F"/>
    <w:rsid w:val="005A6A9E"/>
    <w:rsid w:val="005A752F"/>
    <w:rsid w:val="005B1930"/>
    <w:rsid w:val="005B1E67"/>
    <w:rsid w:val="005B2365"/>
    <w:rsid w:val="005B296A"/>
    <w:rsid w:val="005B3184"/>
    <w:rsid w:val="005B36F5"/>
    <w:rsid w:val="005B3BB9"/>
    <w:rsid w:val="005B3F3B"/>
    <w:rsid w:val="005B46E0"/>
    <w:rsid w:val="005B5FC8"/>
    <w:rsid w:val="005B6E2C"/>
    <w:rsid w:val="005B7038"/>
    <w:rsid w:val="005B7761"/>
    <w:rsid w:val="005C08BA"/>
    <w:rsid w:val="005C0DC0"/>
    <w:rsid w:val="005C194D"/>
    <w:rsid w:val="005C21B5"/>
    <w:rsid w:val="005C3179"/>
    <w:rsid w:val="005C464F"/>
    <w:rsid w:val="005C565F"/>
    <w:rsid w:val="005C5B71"/>
    <w:rsid w:val="005C61DE"/>
    <w:rsid w:val="005C639C"/>
    <w:rsid w:val="005C65E6"/>
    <w:rsid w:val="005C7062"/>
    <w:rsid w:val="005C714B"/>
    <w:rsid w:val="005C795A"/>
    <w:rsid w:val="005D0BC8"/>
    <w:rsid w:val="005D0E8F"/>
    <w:rsid w:val="005D2CDE"/>
    <w:rsid w:val="005D2DDC"/>
    <w:rsid w:val="005D341C"/>
    <w:rsid w:val="005D3A26"/>
    <w:rsid w:val="005D3C96"/>
    <w:rsid w:val="005D4EDA"/>
    <w:rsid w:val="005D58F0"/>
    <w:rsid w:val="005D65FC"/>
    <w:rsid w:val="005D6747"/>
    <w:rsid w:val="005D6918"/>
    <w:rsid w:val="005E07AE"/>
    <w:rsid w:val="005E08EE"/>
    <w:rsid w:val="005E3A57"/>
    <w:rsid w:val="005E3BA2"/>
    <w:rsid w:val="005E40A8"/>
    <w:rsid w:val="005E4FF5"/>
    <w:rsid w:val="005E5F15"/>
    <w:rsid w:val="005E7897"/>
    <w:rsid w:val="005F005C"/>
    <w:rsid w:val="005F0996"/>
    <w:rsid w:val="005F1394"/>
    <w:rsid w:val="005F156F"/>
    <w:rsid w:val="005F1C29"/>
    <w:rsid w:val="005F1C5A"/>
    <w:rsid w:val="005F1D9F"/>
    <w:rsid w:val="005F2179"/>
    <w:rsid w:val="005F2E7D"/>
    <w:rsid w:val="005F2F7D"/>
    <w:rsid w:val="005F3FD3"/>
    <w:rsid w:val="005F45C2"/>
    <w:rsid w:val="005F4ECF"/>
    <w:rsid w:val="005F569A"/>
    <w:rsid w:val="005F6073"/>
    <w:rsid w:val="005F6196"/>
    <w:rsid w:val="005F61B4"/>
    <w:rsid w:val="005F6454"/>
    <w:rsid w:val="005F7759"/>
    <w:rsid w:val="005F7852"/>
    <w:rsid w:val="0060041C"/>
    <w:rsid w:val="006011BB"/>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0F67"/>
    <w:rsid w:val="00614079"/>
    <w:rsid w:val="00614188"/>
    <w:rsid w:val="00615034"/>
    <w:rsid w:val="00615362"/>
    <w:rsid w:val="006157B6"/>
    <w:rsid w:val="00615A62"/>
    <w:rsid w:val="00615EBC"/>
    <w:rsid w:val="00616F1D"/>
    <w:rsid w:val="00616FA1"/>
    <w:rsid w:val="00617A8E"/>
    <w:rsid w:val="00617C77"/>
    <w:rsid w:val="0062006E"/>
    <w:rsid w:val="00620357"/>
    <w:rsid w:val="00620FB8"/>
    <w:rsid w:val="006214D7"/>
    <w:rsid w:val="0062164F"/>
    <w:rsid w:val="00621B71"/>
    <w:rsid w:val="00622BEF"/>
    <w:rsid w:val="0062386E"/>
    <w:rsid w:val="0062472F"/>
    <w:rsid w:val="00624802"/>
    <w:rsid w:val="00624F20"/>
    <w:rsid w:val="006252F5"/>
    <w:rsid w:val="00625F4E"/>
    <w:rsid w:val="006260FC"/>
    <w:rsid w:val="006279BE"/>
    <w:rsid w:val="006304BB"/>
    <w:rsid w:val="0063071F"/>
    <w:rsid w:val="006308C9"/>
    <w:rsid w:val="00630C62"/>
    <w:rsid w:val="00631207"/>
    <w:rsid w:val="006325C5"/>
    <w:rsid w:val="0063273E"/>
    <w:rsid w:val="00633242"/>
    <w:rsid w:val="00633FA0"/>
    <w:rsid w:val="00634534"/>
    <w:rsid w:val="00634EF5"/>
    <w:rsid w:val="00635BC8"/>
    <w:rsid w:val="00636401"/>
    <w:rsid w:val="00636905"/>
    <w:rsid w:val="00636A93"/>
    <w:rsid w:val="0063772A"/>
    <w:rsid w:val="006401B2"/>
    <w:rsid w:val="006418C8"/>
    <w:rsid w:val="006427D9"/>
    <w:rsid w:val="00642BAE"/>
    <w:rsid w:val="00642CAD"/>
    <w:rsid w:val="00643498"/>
    <w:rsid w:val="00643D25"/>
    <w:rsid w:val="006448DB"/>
    <w:rsid w:val="00644D3E"/>
    <w:rsid w:val="0064599D"/>
    <w:rsid w:val="00645AB9"/>
    <w:rsid w:val="00645E2A"/>
    <w:rsid w:val="006460CB"/>
    <w:rsid w:val="00646267"/>
    <w:rsid w:val="00646D5C"/>
    <w:rsid w:val="00646DD7"/>
    <w:rsid w:val="006473BA"/>
    <w:rsid w:val="006475F4"/>
    <w:rsid w:val="00647D90"/>
    <w:rsid w:val="006502D1"/>
    <w:rsid w:val="006504FE"/>
    <w:rsid w:val="00650AFC"/>
    <w:rsid w:val="00650BD3"/>
    <w:rsid w:val="00651275"/>
    <w:rsid w:val="0065228A"/>
    <w:rsid w:val="00654244"/>
    <w:rsid w:val="006546B6"/>
    <w:rsid w:val="006547BB"/>
    <w:rsid w:val="0065527A"/>
    <w:rsid w:val="0065544E"/>
    <w:rsid w:val="006555CA"/>
    <w:rsid w:val="00655BA3"/>
    <w:rsid w:val="006560E3"/>
    <w:rsid w:val="006564ED"/>
    <w:rsid w:val="00656C6E"/>
    <w:rsid w:val="006608CA"/>
    <w:rsid w:val="0066116D"/>
    <w:rsid w:val="00663F47"/>
    <w:rsid w:val="00664037"/>
    <w:rsid w:val="00664AC4"/>
    <w:rsid w:val="00664FB0"/>
    <w:rsid w:val="0066505B"/>
    <w:rsid w:val="00665ACE"/>
    <w:rsid w:val="0066701C"/>
    <w:rsid w:val="006671D4"/>
    <w:rsid w:val="0066750D"/>
    <w:rsid w:val="00667F2F"/>
    <w:rsid w:val="00671338"/>
    <w:rsid w:val="00672C7D"/>
    <w:rsid w:val="00672CE0"/>
    <w:rsid w:val="00672F8D"/>
    <w:rsid w:val="006730DE"/>
    <w:rsid w:val="006730F3"/>
    <w:rsid w:val="00673B33"/>
    <w:rsid w:val="006747AB"/>
    <w:rsid w:val="00676465"/>
    <w:rsid w:val="00676B28"/>
    <w:rsid w:val="006775C4"/>
    <w:rsid w:val="006777BA"/>
    <w:rsid w:val="006802B3"/>
    <w:rsid w:val="0068056E"/>
    <w:rsid w:val="00681AC1"/>
    <w:rsid w:val="00681EE7"/>
    <w:rsid w:val="00682165"/>
    <w:rsid w:val="00683178"/>
    <w:rsid w:val="0068325D"/>
    <w:rsid w:val="006838E3"/>
    <w:rsid w:val="00684000"/>
    <w:rsid w:val="00684F50"/>
    <w:rsid w:val="00685785"/>
    <w:rsid w:val="00686F6A"/>
    <w:rsid w:val="00687828"/>
    <w:rsid w:val="00687A4E"/>
    <w:rsid w:val="00687BEB"/>
    <w:rsid w:val="00691515"/>
    <w:rsid w:val="00691DA4"/>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199"/>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B74"/>
    <w:rsid w:val="006B7267"/>
    <w:rsid w:val="006C1219"/>
    <w:rsid w:val="006C1371"/>
    <w:rsid w:val="006C1F9E"/>
    <w:rsid w:val="006C2F23"/>
    <w:rsid w:val="006C408C"/>
    <w:rsid w:val="006C44AE"/>
    <w:rsid w:val="006C456A"/>
    <w:rsid w:val="006C564D"/>
    <w:rsid w:val="006C5A8E"/>
    <w:rsid w:val="006C671F"/>
    <w:rsid w:val="006C6F3C"/>
    <w:rsid w:val="006C6FB7"/>
    <w:rsid w:val="006D007C"/>
    <w:rsid w:val="006D06F5"/>
    <w:rsid w:val="006D120B"/>
    <w:rsid w:val="006D1DB2"/>
    <w:rsid w:val="006D3905"/>
    <w:rsid w:val="006D3FF8"/>
    <w:rsid w:val="006D428F"/>
    <w:rsid w:val="006D509A"/>
    <w:rsid w:val="006D54E1"/>
    <w:rsid w:val="006D5A11"/>
    <w:rsid w:val="006D5D32"/>
    <w:rsid w:val="006D668F"/>
    <w:rsid w:val="006E0406"/>
    <w:rsid w:val="006E09D6"/>
    <w:rsid w:val="006E1695"/>
    <w:rsid w:val="006E197B"/>
    <w:rsid w:val="006E1AC8"/>
    <w:rsid w:val="006E22C9"/>
    <w:rsid w:val="006E2B27"/>
    <w:rsid w:val="006E431A"/>
    <w:rsid w:val="006E58AF"/>
    <w:rsid w:val="006E698C"/>
    <w:rsid w:val="006E6A36"/>
    <w:rsid w:val="006E7F21"/>
    <w:rsid w:val="006F0329"/>
    <w:rsid w:val="006F0771"/>
    <w:rsid w:val="006F0913"/>
    <w:rsid w:val="006F2412"/>
    <w:rsid w:val="006F293D"/>
    <w:rsid w:val="006F3230"/>
    <w:rsid w:val="006F388C"/>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34B"/>
    <w:rsid w:val="00705D6A"/>
    <w:rsid w:val="00705E84"/>
    <w:rsid w:val="00706144"/>
    <w:rsid w:val="007061EE"/>
    <w:rsid w:val="007063E6"/>
    <w:rsid w:val="00706A2F"/>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7DF"/>
    <w:rsid w:val="00717898"/>
    <w:rsid w:val="00720FB1"/>
    <w:rsid w:val="0072215B"/>
    <w:rsid w:val="00722B88"/>
    <w:rsid w:val="0072304C"/>
    <w:rsid w:val="007231A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A9A"/>
    <w:rsid w:val="00735E39"/>
    <w:rsid w:val="00736F71"/>
    <w:rsid w:val="00740D93"/>
    <w:rsid w:val="007426D1"/>
    <w:rsid w:val="00743E50"/>
    <w:rsid w:val="00743F9C"/>
    <w:rsid w:val="00744BFA"/>
    <w:rsid w:val="00744DC2"/>
    <w:rsid w:val="00744E48"/>
    <w:rsid w:val="00744EED"/>
    <w:rsid w:val="00745220"/>
    <w:rsid w:val="00746015"/>
    <w:rsid w:val="00746730"/>
    <w:rsid w:val="007478F4"/>
    <w:rsid w:val="00751760"/>
    <w:rsid w:val="00751950"/>
    <w:rsid w:val="00751C24"/>
    <w:rsid w:val="00752C85"/>
    <w:rsid w:val="00752CFC"/>
    <w:rsid w:val="00755292"/>
    <w:rsid w:val="00755D5F"/>
    <w:rsid w:val="007562AF"/>
    <w:rsid w:val="00756771"/>
    <w:rsid w:val="00756A0B"/>
    <w:rsid w:val="00757070"/>
    <w:rsid w:val="0075716B"/>
    <w:rsid w:val="00757251"/>
    <w:rsid w:val="007573A2"/>
    <w:rsid w:val="00757BFC"/>
    <w:rsid w:val="00757F26"/>
    <w:rsid w:val="00757FD7"/>
    <w:rsid w:val="00760108"/>
    <w:rsid w:val="00760AB6"/>
    <w:rsid w:val="00760DD6"/>
    <w:rsid w:val="00760F14"/>
    <w:rsid w:val="00761447"/>
    <w:rsid w:val="00762460"/>
    <w:rsid w:val="00762B99"/>
    <w:rsid w:val="00763D32"/>
    <w:rsid w:val="007656A2"/>
    <w:rsid w:val="00766389"/>
    <w:rsid w:val="007677CD"/>
    <w:rsid w:val="00767FE0"/>
    <w:rsid w:val="00770340"/>
    <w:rsid w:val="00770536"/>
    <w:rsid w:val="00770AC5"/>
    <w:rsid w:val="00770F15"/>
    <w:rsid w:val="007711A1"/>
    <w:rsid w:val="00771AF2"/>
    <w:rsid w:val="00771FBE"/>
    <w:rsid w:val="007722CF"/>
    <w:rsid w:val="00772E06"/>
    <w:rsid w:val="00773C44"/>
    <w:rsid w:val="00774396"/>
    <w:rsid w:val="007743DD"/>
    <w:rsid w:val="0077494C"/>
    <w:rsid w:val="0077500A"/>
    <w:rsid w:val="007758EE"/>
    <w:rsid w:val="00775BD0"/>
    <w:rsid w:val="00777110"/>
    <w:rsid w:val="007779BF"/>
    <w:rsid w:val="00777B9A"/>
    <w:rsid w:val="00777CFA"/>
    <w:rsid w:val="00777F6C"/>
    <w:rsid w:val="007806D4"/>
    <w:rsid w:val="00781E84"/>
    <w:rsid w:val="00781EFF"/>
    <w:rsid w:val="00782019"/>
    <w:rsid w:val="00783638"/>
    <w:rsid w:val="007841D1"/>
    <w:rsid w:val="007850BD"/>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082"/>
    <w:rsid w:val="007A367E"/>
    <w:rsid w:val="007A3AF8"/>
    <w:rsid w:val="007A43A0"/>
    <w:rsid w:val="007A43F2"/>
    <w:rsid w:val="007A47F2"/>
    <w:rsid w:val="007A490A"/>
    <w:rsid w:val="007A530A"/>
    <w:rsid w:val="007A5E61"/>
    <w:rsid w:val="007A65AF"/>
    <w:rsid w:val="007A719C"/>
    <w:rsid w:val="007A726F"/>
    <w:rsid w:val="007A757A"/>
    <w:rsid w:val="007B0809"/>
    <w:rsid w:val="007B08F4"/>
    <w:rsid w:val="007B0A40"/>
    <w:rsid w:val="007B14D2"/>
    <w:rsid w:val="007B300F"/>
    <w:rsid w:val="007B34BC"/>
    <w:rsid w:val="007B3B8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29F3"/>
    <w:rsid w:val="007D303D"/>
    <w:rsid w:val="007D3939"/>
    <w:rsid w:val="007D3BCC"/>
    <w:rsid w:val="007D3CE0"/>
    <w:rsid w:val="007D3D99"/>
    <w:rsid w:val="007D404D"/>
    <w:rsid w:val="007D45CB"/>
    <w:rsid w:val="007D4645"/>
    <w:rsid w:val="007D5692"/>
    <w:rsid w:val="007D6201"/>
    <w:rsid w:val="007D6461"/>
    <w:rsid w:val="007D7816"/>
    <w:rsid w:val="007E26C8"/>
    <w:rsid w:val="007E3210"/>
    <w:rsid w:val="007E32FC"/>
    <w:rsid w:val="007E4266"/>
    <w:rsid w:val="007E49B9"/>
    <w:rsid w:val="007E4EA5"/>
    <w:rsid w:val="007E5A5C"/>
    <w:rsid w:val="007E6D30"/>
    <w:rsid w:val="007E7A52"/>
    <w:rsid w:val="007E7A9C"/>
    <w:rsid w:val="007F0BA9"/>
    <w:rsid w:val="007F14CC"/>
    <w:rsid w:val="007F17A3"/>
    <w:rsid w:val="007F1A1A"/>
    <w:rsid w:val="007F1ECE"/>
    <w:rsid w:val="007F23D2"/>
    <w:rsid w:val="007F2779"/>
    <w:rsid w:val="007F2DD4"/>
    <w:rsid w:val="007F3272"/>
    <w:rsid w:val="007F35C6"/>
    <w:rsid w:val="007F3BF0"/>
    <w:rsid w:val="007F425D"/>
    <w:rsid w:val="007F4946"/>
    <w:rsid w:val="007F4B42"/>
    <w:rsid w:val="007F5B11"/>
    <w:rsid w:val="007F7CB7"/>
    <w:rsid w:val="007F7F91"/>
    <w:rsid w:val="00800A31"/>
    <w:rsid w:val="0080186B"/>
    <w:rsid w:val="00801A10"/>
    <w:rsid w:val="00801F35"/>
    <w:rsid w:val="00802987"/>
    <w:rsid w:val="00803391"/>
    <w:rsid w:val="00803D21"/>
    <w:rsid w:val="00803D63"/>
    <w:rsid w:val="00805B95"/>
    <w:rsid w:val="008061D6"/>
    <w:rsid w:val="008068C9"/>
    <w:rsid w:val="00806D14"/>
    <w:rsid w:val="0080728A"/>
    <w:rsid w:val="00807B55"/>
    <w:rsid w:val="00807D76"/>
    <w:rsid w:val="00811182"/>
    <w:rsid w:val="00811407"/>
    <w:rsid w:val="00811596"/>
    <w:rsid w:val="00811B44"/>
    <w:rsid w:val="008122E4"/>
    <w:rsid w:val="00812D5A"/>
    <w:rsid w:val="00813494"/>
    <w:rsid w:val="00813755"/>
    <w:rsid w:val="00814524"/>
    <w:rsid w:val="00815AEB"/>
    <w:rsid w:val="008161D5"/>
    <w:rsid w:val="0081737B"/>
    <w:rsid w:val="00817A06"/>
    <w:rsid w:val="0082001A"/>
    <w:rsid w:val="008205D0"/>
    <w:rsid w:val="0082070E"/>
    <w:rsid w:val="00820D99"/>
    <w:rsid w:val="00820E06"/>
    <w:rsid w:val="008211F5"/>
    <w:rsid w:val="008226B1"/>
    <w:rsid w:val="00823863"/>
    <w:rsid w:val="008240AB"/>
    <w:rsid w:val="008241BA"/>
    <w:rsid w:val="008241FC"/>
    <w:rsid w:val="00824B51"/>
    <w:rsid w:val="00825590"/>
    <w:rsid w:val="00825657"/>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6"/>
    <w:rsid w:val="008370CF"/>
    <w:rsid w:val="00837CEF"/>
    <w:rsid w:val="00840C89"/>
    <w:rsid w:val="0084114B"/>
    <w:rsid w:val="0084253E"/>
    <w:rsid w:val="00842756"/>
    <w:rsid w:val="008430AD"/>
    <w:rsid w:val="008433AE"/>
    <w:rsid w:val="0084355F"/>
    <w:rsid w:val="00843D17"/>
    <w:rsid w:val="008448BC"/>
    <w:rsid w:val="0084703C"/>
    <w:rsid w:val="008473A8"/>
    <w:rsid w:val="00847424"/>
    <w:rsid w:val="0084762F"/>
    <w:rsid w:val="00847B25"/>
    <w:rsid w:val="00850259"/>
    <w:rsid w:val="008504C8"/>
    <w:rsid w:val="00850DEC"/>
    <w:rsid w:val="00851000"/>
    <w:rsid w:val="00851789"/>
    <w:rsid w:val="00854886"/>
    <w:rsid w:val="00855029"/>
    <w:rsid w:val="0085507C"/>
    <w:rsid w:val="0085563E"/>
    <w:rsid w:val="00857709"/>
    <w:rsid w:val="008601DA"/>
    <w:rsid w:val="00861520"/>
    <w:rsid w:val="00861653"/>
    <w:rsid w:val="00861978"/>
    <w:rsid w:val="008625C0"/>
    <w:rsid w:val="00863418"/>
    <w:rsid w:val="008634C5"/>
    <w:rsid w:val="00863FB1"/>
    <w:rsid w:val="008648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343"/>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8C7"/>
    <w:rsid w:val="00883058"/>
    <w:rsid w:val="0088412E"/>
    <w:rsid w:val="00884613"/>
    <w:rsid w:val="00884F71"/>
    <w:rsid w:val="0088509D"/>
    <w:rsid w:val="00885A50"/>
    <w:rsid w:val="008866BD"/>
    <w:rsid w:val="00887311"/>
    <w:rsid w:val="0088762D"/>
    <w:rsid w:val="00887B04"/>
    <w:rsid w:val="00890833"/>
    <w:rsid w:val="00890BC5"/>
    <w:rsid w:val="00890E9C"/>
    <w:rsid w:val="008911D9"/>
    <w:rsid w:val="00891864"/>
    <w:rsid w:val="0089217F"/>
    <w:rsid w:val="00892668"/>
    <w:rsid w:val="008927FE"/>
    <w:rsid w:val="00893861"/>
    <w:rsid w:val="00893B24"/>
    <w:rsid w:val="00894002"/>
    <w:rsid w:val="008946EA"/>
    <w:rsid w:val="00894A6C"/>
    <w:rsid w:val="00894D4A"/>
    <w:rsid w:val="0089545F"/>
    <w:rsid w:val="0089557F"/>
    <w:rsid w:val="008959BA"/>
    <w:rsid w:val="00896821"/>
    <w:rsid w:val="00896F48"/>
    <w:rsid w:val="008A0BA3"/>
    <w:rsid w:val="008A0E56"/>
    <w:rsid w:val="008A12C7"/>
    <w:rsid w:val="008A1DB7"/>
    <w:rsid w:val="008A23DD"/>
    <w:rsid w:val="008A249E"/>
    <w:rsid w:val="008A4A90"/>
    <w:rsid w:val="008A4EE6"/>
    <w:rsid w:val="008A4F9F"/>
    <w:rsid w:val="008A5E5B"/>
    <w:rsid w:val="008A6544"/>
    <w:rsid w:val="008A65C4"/>
    <w:rsid w:val="008A7EC3"/>
    <w:rsid w:val="008A7F40"/>
    <w:rsid w:val="008A7F72"/>
    <w:rsid w:val="008B0AD8"/>
    <w:rsid w:val="008B1D4F"/>
    <w:rsid w:val="008B299F"/>
    <w:rsid w:val="008B2A33"/>
    <w:rsid w:val="008B3030"/>
    <w:rsid w:val="008B32AC"/>
    <w:rsid w:val="008B33CF"/>
    <w:rsid w:val="008B43C8"/>
    <w:rsid w:val="008B458A"/>
    <w:rsid w:val="008B458E"/>
    <w:rsid w:val="008B478E"/>
    <w:rsid w:val="008B4EBC"/>
    <w:rsid w:val="008B5073"/>
    <w:rsid w:val="008B5200"/>
    <w:rsid w:val="008B53B8"/>
    <w:rsid w:val="008B5DFE"/>
    <w:rsid w:val="008B604B"/>
    <w:rsid w:val="008B66A0"/>
    <w:rsid w:val="008B68E8"/>
    <w:rsid w:val="008B7C99"/>
    <w:rsid w:val="008C02B6"/>
    <w:rsid w:val="008C0623"/>
    <w:rsid w:val="008C169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5"/>
    <w:rsid w:val="008C65C9"/>
    <w:rsid w:val="008C7C52"/>
    <w:rsid w:val="008D1236"/>
    <w:rsid w:val="008D1EDE"/>
    <w:rsid w:val="008D32AD"/>
    <w:rsid w:val="008D3620"/>
    <w:rsid w:val="008D42C7"/>
    <w:rsid w:val="008D458F"/>
    <w:rsid w:val="008D52D9"/>
    <w:rsid w:val="008D6772"/>
    <w:rsid w:val="008D7AC6"/>
    <w:rsid w:val="008D7AD1"/>
    <w:rsid w:val="008E02E6"/>
    <w:rsid w:val="008E08A8"/>
    <w:rsid w:val="008E0B04"/>
    <w:rsid w:val="008E15B5"/>
    <w:rsid w:val="008E25A7"/>
    <w:rsid w:val="008E2B42"/>
    <w:rsid w:val="008E350D"/>
    <w:rsid w:val="008E36E4"/>
    <w:rsid w:val="008E3B36"/>
    <w:rsid w:val="008E3CEC"/>
    <w:rsid w:val="008E480F"/>
    <w:rsid w:val="008E4A67"/>
    <w:rsid w:val="008E73CE"/>
    <w:rsid w:val="008E77EB"/>
    <w:rsid w:val="008F0205"/>
    <w:rsid w:val="008F0DCC"/>
    <w:rsid w:val="008F1EB2"/>
    <w:rsid w:val="008F284E"/>
    <w:rsid w:val="008F297C"/>
    <w:rsid w:val="008F2BAD"/>
    <w:rsid w:val="008F2CAE"/>
    <w:rsid w:val="008F351F"/>
    <w:rsid w:val="008F3613"/>
    <w:rsid w:val="008F39F2"/>
    <w:rsid w:val="008F45EB"/>
    <w:rsid w:val="008F4E1B"/>
    <w:rsid w:val="008F52F4"/>
    <w:rsid w:val="008F6AB2"/>
    <w:rsid w:val="008F733A"/>
    <w:rsid w:val="008F743B"/>
    <w:rsid w:val="009011B4"/>
    <w:rsid w:val="0090168E"/>
    <w:rsid w:val="00901AE0"/>
    <w:rsid w:val="009020E0"/>
    <w:rsid w:val="00902FFF"/>
    <w:rsid w:val="00903765"/>
    <w:rsid w:val="00903E8E"/>
    <w:rsid w:val="009043F7"/>
    <w:rsid w:val="00904455"/>
    <w:rsid w:val="00904985"/>
    <w:rsid w:val="00904997"/>
    <w:rsid w:val="00905D8A"/>
    <w:rsid w:val="009064F4"/>
    <w:rsid w:val="0090696C"/>
    <w:rsid w:val="00907C15"/>
    <w:rsid w:val="00910949"/>
    <w:rsid w:val="0091170B"/>
    <w:rsid w:val="00911817"/>
    <w:rsid w:val="00912F31"/>
    <w:rsid w:val="00912F68"/>
    <w:rsid w:val="009133A9"/>
    <w:rsid w:val="00913418"/>
    <w:rsid w:val="009137F9"/>
    <w:rsid w:val="00913BE5"/>
    <w:rsid w:val="00913C08"/>
    <w:rsid w:val="00915282"/>
    <w:rsid w:val="0091567A"/>
    <w:rsid w:val="00915BFF"/>
    <w:rsid w:val="00920287"/>
    <w:rsid w:val="00920947"/>
    <w:rsid w:val="0092099A"/>
    <w:rsid w:val="00920C90"/>
    <w:rsid w:val="00921E9D"/>
    <w:rsid w:val="009220E0"/>
    <w:rsid w:val="0092244D"/>
    <w:rsid w:val="00922FD0"/>
    <w:rsid w:val="0092383C"/>
    <w:rsid w:val="00923E83"/>
    <w:rsid w:val="00923FD8"/>
    <w:rsid w:val="009250CB"/>
    <w:rsid w:val="00925CF8"/>
    <w:rsid w:val="00926AC7"/>
    <w:rsid w:val="00926FCD"/>
    <w:rsid w:val="00927607"/>
    <w:rsid w:val="009317CE"/>
    <w:rsid w:val="00931D14"/>
    <w:rsid w:val="009322BE"/>
    <w:rsid w:val="00932FC8"/>
    <w:rsid w:val="00933060"/>
    <w:rsid w:val="00933673"/>
    <w:rsid w:val="00934282"/>
    <w:rsid w:val="00934719"/>
    <w:rsid w:val="00934B4F"/>
    <w:rsid w:val="00934FD0"/>
    <w:rsid w:val="00935C0C"/>
    <w:rsid w:val="00936747"/>
    <w:rsid w:val="0093774D"/>
    <w:rsid w:val="00937A05"/>
    <w:rsid w:val="00937A28"/>
    <w:rsid w:val="00937B14"/>
    <w:rsid w:val="00937D05"/>
    <w:rsid w:val="009401E4"/>
    <w:rsid w:val="0094044A"/>
    <w:rsid w:val="00940B55"/>
    <w:rsid w:val="00940C5D"/>
    <w:rsid w:val="00941603"/>
    <w:rsid w:val="00941839"/>
    <w:rsid w:val="00941EC1"/>
    <w:rsid w:val="00942282"/>
    <w:rsid w:val="00942CAB"/>
    <w:rsid w:val="00942E61"/>
    <w:rsid w:val="009450AA"/>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9DE"/>
    <w:rsid w:val="00957E51"/>
    <w:rsid w:val="009608E8"/>
    <w:rsid w:val="00960E04"/>
    <w:rsid w:val="0096112B"/>
    <w:rsid w:val="009616CF"/>
    <w:rsid w:val="009629EE"/>
    <w:rsid w:val="0096309B"/>
    <w:rsid w:val="0096343F"/>
    <w:rsid w:val="0096469D"/>
    <w:rsid w:val="00964A87"/>
    <w:rsid w:val="00964CE3"/>
    <w:rsid w:val="00965204"/>
    <w:rsid w:val="00965931"/>
    <w:rsid w:val="00965DB7"/>
    <w:rsid w:val="009663A9"/>
    <w:rsid w:val="00966C28"/>
    <w:rsid w:val="009700BB"/>
    <w:rsid w:val="00970C19"/>
    <w:rsid w:val="00971321"/>
    <w:rsid w:val="00971E00"/>
    <w:rsid w:val="0097211C"/>
    <w:rsid w:val="00972B61"/>
    <w:rsid w:val="009730F2"/>
    <w:rsid w:val="00973770"/>
    <w:rsid w:val="00974250"/>
    <w:rsid w:val="00974F50"/>
    <w:rsid w:val="009756EC"/>
    <w:rsid w:val="009757EE"/>
    <w:rsid w:val="0097584C"/>
    <w:rsid w:val="00976FCC"/>
    <w:rsid w:val="0097768E"/>
    <w:rsid w:val="009818A2"/>
    <w:rsid w:val="009829E2"/>
    <w:rsid w:val="00983525"/>
    <w:rsid w:val="0098390F"/>
    <w:rsid w:val="009844CE"/>
    <w:rsid w:val="00984590"/>
    <w:rsid w:val="00984F92"/>
    <w:rsid w:val="00984FB7"/>
    <w:rsid w:val="00985054"/>
    <w:rsid w:val="009855CB"/>
    <w:rsid w:val="00985932"/>
    <w:rsid w:val="00986795"/>
    <w:rsid w:val="009868FC"/>
    <w:rsid w:val="00986D6A"/>
    <w:rsid w:val="00987E6F"/>
    <w:rsid w:val="00990013"/>
    <w:rsid w:val="00990D44"/>
    <w:rsid w:val="00991E94"/>
    <w:rsid w:val="00992712"/>
    <w:rsid w:val="0099361C"/>
    <w:rsid w:val="00993E7E"/>
    <w:rsid w:val="0099690A"/>
    <w:rsid w:val="009970F1"/>
    <w:rsid w:val="00997136"/>
    <w:rsid w:val="009971A7"/>
    <w:rsid w:val="009A33BE"/>
    <w:rsid w:val="009A3F67"/>
    <w:rsid w:val="009B0402"/>
    <w:rsid w:val="009B0C38"/>
    <w:rsid w:val="009B1120"/>
    <w:rsid w:val="009B11FA"/>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6D5F"/>
    <w:rsid w:val="009C72C2"/>
    <w:rsid w:val="009D183B"/>
    <w:rsid w:val="009D20C4"/>
    <w:rsid w:val="009D2378"/>
    <w:rsid w:val="009D267D"/>
    <w:rsid w:val="009D30C1"/>
    <w:rsid w:val="009D3356"/>
    <w:rsid w:val="009D3CB7"/>
    <w:rsid w:val="009D3DBF"/>
    <w:rsid w:val="009D4901"/>
    <w:rsid w:val="009D4C43"/>
    <w:rsid w:val="009D5068"/>
    <w:rsid w:val="009D5281"/>
    <w:rsid w:val="009D5526"/>
    <w:rsid w:val="009D5AC5"/>
    <w:rsid w:val="009D5D6A"/>
    <w:rsid w:val="009D6566"/>
    <w:rsid w:val="009D6D8F"/>
    <w:rsid w:val="009D6EC6"/>
    <w:rsid w:val="009D7058"/>
    <w:rsid w:val="009D76EB"/>
    <w:rsid w:val="009D7E4B"/>
    <w:rsid w:val="009E0336"/>
    <w:rsid w:val="009E05E4"/>
    <w:rsid w:val="009E10EC"/>
    <w:rsid w:val="009E10F6"/>
    <w:rsid w:val="009E1628"/>
    <w:rsid w:val="009E24A7"/>
    <w:rsid w:val="009E2655"/>
    <w:rsid w:val="009E2B95"/>
    <w:rsid w:val="009E2F5D"/>
    <w:rsid w:val="009E34FA"/>
    <w:rsid w:val="009E3D69"/>
    <w:rsid w:val="009E3DB9"/>
    <w:rsid w:val="009E4B0C"/>
    <w:rsid w:val="009E4B72"/>
    <w:rsid w:val="009E646B"/>
    <w:rsid w:val="009E7B07"/>
    <w:rsid w:val="009F050C"/>
    <w:rsid w:val="009F14AC"/>
    <w:rsid w:val="009F1587"/>
    <w:rsid w:val="009F1DEB"/>
    <w:rsid w:val="009F26E8"/>
    <w:rsid w:val="009F344F"/>
    <w:rsid w:val="009F3537"/>
    <w:rsid w:val="009F3605"/>
    <w:rsid w:val="009F3962"/>
    <w:rsid w:val="009F3A8E"/>
    <w:rsid w:val="009F3B12"/>
    <w:rsid w:val="009F4300"/>
    <w:rsid w:val="009F46F3"/>
    <w:rsid w:val="009F4A03"/>
    <w:rsid w:val="009F4CDD"/>
    <w:rsid w:val="009F52DB"/>
    <w:rsid w:val="009F5F75"/>
    <w:rsid w:val="009F6D03"/>
    <w:rsid w:val="009F74A6"/>
    <w:rsid w:val="009F75C0"/>
    <w:rsid w:val="009F7671"/>
    <w:rsid w:val="00A00067"/>
    <w:rsid w:val="00A00501"/>
    <w:rsid w:val="00A00822"/>
    <w:rsid w:val="00A01117"/>
    <w:rsid w:val="00A022D9"/>
    <w:rsid w:val="00A023EE"/>
    <w:rsid w:val="00A02FDA"/>
    <w:rsid w:val="00A0357E"/>
    <w:rsid w:val="00A03CB6"/>
    <w:rsid w:val="00A03CB7"/>
    <w:rsid w:val="00A03FC9"/>
    <w:rsid w:val="00A04078"/>
    <w:rsid w:val="00A040CB"/>
    <w:rsid w:val="00A041FD"/>
    <w:rsid w:val="00A0428C"/>
    <w:rsid w:val="00A045DB"/>
    <w:rsid w:val="00A04612"/>
    <w:rsid w:val="00A04848"/>
    <w:rsid w:val="00A04D47"/>
    <w:rsid w:val="00A06A2F"/>
    <w:rsid w:val="00A06D1F"/>
    <w:rsid w:val="00A06F57"/>
    <w:rsid w:val="00A06FB2"/>
    <w:rsid w:val="00A073BA"/>
    <w:rsid w:val="00A075B0"/>
    <w:rsid w:val="00A07A56"/>
    <w:rsid w:val="00A1031F"/>
    <w:rsid w:val="00A10D42"/>
    <w:rsid w:val="00A10DF0"/>
    <w:rsid w:val="00A1186C"/>
    <w:rsid w:val="00A12661"/>
    <w:rsid w:val="00A12A6D"/>
    <w:rsid w:val="00A12D31"/>
    <w:rsid w:val="00A12F8B"/>
    <w:rsid w:val="00A13C0F"/>
    <w:rsid w:val="00A164A6"/>
    <w:rsid w:val="00A165FE"/>
    <w:rsid w:val="00A16EFC"/>
    <w:rsid w:val="00A17A7F"/>
    <w:rsid w:val="00A20CB1"/>
    <w:rsid w:val="00A20E9C"/>
    <w:rsid w:val="00A20FD0"/>
    <w:rsid w:val="00A21357"/>
    <w:rsid w:val="00A215C1"/>
    <w:rsid w:val="00A21B13"/>
    <w:rsid w:val="00A22381"/>
    <w:rsid w:val="00A23061"/>
    <w:rsid w:val="00A2339E"/>
    <w:rsid w:val="00A23D23"/>
    <w:rsid w:val="00A243B5"/>
    <w:rsid w:val="00A24A17"/>
    <w:rsid w:val="00A24B73"/>
    <w:rsid w:val="00A257A4"/>
    <w:rsid w:val="00A258BB"/>
    <w:rsid w:val="00A258C5"/>
    <w:rsid w:val="00A27105"/>
    <w:rsid w:val="00A27138"/>
    <w:rsid w:val="00A3022C"/>
    <w:rsid w:val="00A30D30"/>
    <w:rsid w:val="00A31158"/>
    <w:rsid w:val="00A3124F"/>
    <w:rsid w:val="00A3215A"/>
    <w:rsid w:val="00A321AE"/>
    <w:rsid w:val="00A32881"/>
    <w:rsid w:val="00A3359F"/>
    <w:rsid w:val="00A33F3B"/>
    <w:rsid w:val="00A34968"/>
    <w:rsid w:val="00A352E3"/>
    <w:rsid w:val="00A35446"/>
    <w:rsid w:val="00A3583F"/>
    <w:rsid w:val="00A35C43"/>
    <w:rsid w:val="00A35F74"/>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47A9B"/>
    <w:rsid w:val="00A51781"/>
    <w:rsid w:val="00A5203E"/>
    <w:rsid w:val="00A52320"/>
    <w:rsid w:val="00A52762"/>
    <w:rsid w:val="00A5295D"/>
    <w:rsid w:val="00A537AD"/>
    <w:rsid w:val="00A54A2D"/>
    <w:rsid w:val="00A54AAC"/>
    <w:rsid w:val="00A55915"/>
    <w:rsid w:val="00A55A68"/>
    <w:rsid w:val="00A56094"/>
    <w:rsid w:val="00A56340"/>
    <w:rsid w:val="00A5698E"/>
    <w:rsid w:val="00A56B70"/>
    <w:rsid w:val="00A5709A"/>
    <w:rsid w:val="00A575B4"/>
    <w:rsid w:val="00A608CD"/>
    <w:rsid w:val="00A61A4F"/>
    <w:rsid w:val="00A62EFE"/>
    <w:rsid w:val="00A64280"/>
    <w:rsid w:val="00A64C6C"/>
    <w:rsid w:val="00A64C7D"/>
    <w:rsid w:val="00A64E0F"/>
    <w:rsid w:val="00A654A2"/>
    <w:rsid w:val="00A654DF"/>
    <w:rsid w:val="00A655E9"/>
    <w:rsid w:val="00A65DDF"/>
    <w:rsid w:val="00A66CB2"/>
    <w:rsid w:val="00A703F5"/>
    <w:rsid w:val="00A71119"/>
    <w:rsid w:val="00A72E3D"/>
    <w:rsid w:val="00A72EE1"/>
    <w:rsid w:val="00A73B00"/>
    <w:rsid w:val="00A74685"/>
    <w:rsid w:val="00A746E4"/>
    <w:rsid w:val="00A761F4"/>
    <w:rsid w:val="00A76212"/>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65C"/>
    <w:rsid w:val="00A87E95"/>
    <w:rsid w:val="00A900FE"/>
    <w:rsid w:val="00A91101"/>
    <w:rsid w:val="00A92C9A"/>
    <w:rsid w:val="00A9370A"/>
    <w:rsid w:val="00A9432A"/>
    <w:rsid w:val="00A94E2C"/>
    <w:rsid w:val="00A94F2D"/>
    <w:rsid w:val="00A95DD5"/>
    <w:rsid w:val="00A96022"/>
    <w:rsid w:val="00A96139"/>
    <w:rsid w:val="00A963D4"/>
    <w:rsid w:val="00A966F4"/>
    <w:rsid w:val="00A96770"/>
    <w:rsid w:val="00A96F11"/>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358"/>
    <w:rsid w:val="00AB0CE7"/>
    <w:rsid w:val="00AB11B8"/>
    <w:rsid w:val="00AB22DC"/>
    <w:rsid w:val="00AB3569"/>
    <w:rsid w:val="00AB43B7"/>
    <w:rsid w:val="00AB45BF"/>
    <w:rsid w:val="00AB4651"/>
    <w:rsid w:val="00AB511E"/>
    <w:rsid w:val="00AB5C16"/>
    <w:rsid w:val="00AB5C8E"/>
    <w:rsid w:val="00AB628D"/>
    <w:rsid w:val="00AB6C44"/>
    <w:rsid w:val="00AC00B1"/>
    <w:rsid w:val="00AC0229"/>
    <w:rsid w:val="00AC12CF"/>
    <w:rsid w:val="00AC154D"/>
    <w:rsid w:val="00AC2548"/>
    <w:rsid w:val="00AC3C32"/>
    <w:rsid w:val="00AC3DB8"/>
    <w:rsid w:val="00AC4DA8"/>
    <w:rsid w:val="00AD0CAE"/>
    <w:rsid w:val="00AD100C"/>
    <w:rsid w:val="00AD2540"/>
    <w:rsid w:val="00AD38ED"/>
    <w:rsid w:val="00AD39D6"/>
    <w:rsid w:val="00AD3C97"/>
    <w:rsid w:val="00AD4282"/>
    <w:rsid w:val="00AD5A42"/>
    <w:rsid w:val="00AD5A7B"/>
    <w:rsid w:val="00AD7073"/>
    <w:rsid w:val="00AD77FD"/>
    <w:rsid w:val="00AD79E2"/>
    <w:rsid w:val="00AD7FFB"/>
    <w:rsid w:val="00AE1C5C"/>
    <w:rsid w:val="00AE271F"/>
    <w:rsid w:val="00AE3731"/>
    <w:rsid w:val="00AE3DF5"/>
    <w:rsid w:val="00AE4CFF"/>
    <w:rsid w:val="00AE4E46"/>
    <w:rsid w:val="00AE52B0"/>
    <w:rsid w:val="00AE54F8"/>
    <w:rsid w:val="00AE5C7F"/>
    <w:rsid w:val="00AE5C92"/>
    <w:rsid w:val="00AE6C47"/>
    <w:rsid w:val="00AF1629"/>
    <w:rsid w:val="00AF2172"/>
    <w:rsid w:val="00AF3B8C"/>
    <w:rsid w:val="00AF3E80"/>
    <w:rsid w:val="00AF4CB2"/>
    <w:rsid w:val="00AF4E0C"/>
    <w:rsid w:val="00AF4E17"/>
    <w:rsid w:val="00AF5B71"/>
    <w:rsid w:val="00AF64FA"/>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9DB"/>
    <w:rsid w:val="00B1212B"/>
    <w:rsid w:val="00B125A0"/>
    <w:rsid w:val="00B13177"/>
    <w:rsid w:val="00B13E8D"/>
    <w:rsid w:val="00B13E9B"/>
    <w:rsid w:val="00B14565"/>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488F"/>
    <w:rsid w:val="00B24E55"/>
    <w:rsid w:val="00B2541D"/>
    <w:rsid w:val="00B25FA6"/>
    <w:rsid w:val="00B26009"/>
    <w:rsid w:val="00B26215"/>
    <w:rsid w:val="00B26918"/>
    <w:rsid w:val="00B26C44"/>
    <w:rsid w:val="00B27702"/>
    <w:rsid w:val="00B27A4B"/>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2873"/>
    <w:rsid w:val="00B438BE"/>
    <w:rsid w:val="00B451D5"/>
    <w:rsid w:val="00B453AD"/>
    <w:rsid w:val="00B45776"/>
    <w:rsid w:val="00B462D1"/>
    <w:rsid w:val="00B50446"/>
    <w:rsid w:val="00B51B10"/>
    <w:rsid w:val="00B523E5"/>
    <w:rsid w:val="00B528A3"/>
    <w:rsid w:val="00B52B60"/>
    <w:rsid w:val="00B52E31"/>
    <w:rsid w:val="00B5349D"/>
    <w:rsid w:val="00B534E9"/>
    <w:rsid w:val="00B53FF1"/>
    <w:rsid w:val="00B54BDD"/>
    <w:rsid w:val="00B5501D"/>
    <w:rsid w:val="00B558B6"/>
    <w:rsid w:val="00B55AEC"/>
    <w:rsid w:val="00B55C20"/>
    <w:rsid w:val="00B56166"/>
    <w:rsid w:val="00B565A9"/>
    <w:rsid w:val="00B5681F"/>
    <w:rsid w:val="00B56C1F"/>
    <w:rsid w:val="00B56F11"/>
    <w:rsid w:val="00B60E54"/>
    <w:rsid w:val="00B6152A"/>
    <w:rsid w:val="00B61A36"/>
    <w:rsid w:val="00B6219D"/>
    <w:rsid w:val="00B62B0D"/>
    <w:rsid w:val="00B62E87"/>
    <w:rsid w:val="00B635E2"/>
    <w:rsid w:val="00B636E6"/>
    <w:rsid w:val="00B64DB8"/>
    <w:rsid w:val="00B6596E"/>
    <w:rsid w:val="00B65D72"/>
    <w:rsid w:val="00B661AF"/>
    <w:rsid w:val="00B66C8E"/>
    <w:rsid w:val="00B6756B"/>
    <w:rsid w:val="00B6786A"/>
    <w:rsid w:val="00B67AA4"/>
    <w:rsid w:val="00B7058E"/>
    <w:rsid w:val="00B70EC1"/>
    <w:rsid w:val="00B70F1D"/>
    <w:rsid w:val="00B7103E"/>
    <w:rsid w:val="00B72097"/>
    <w:rsid w:val="00B72FA1"/>
    <w:rsid w:val="00B72FDD"/>
    <w:rsid w:val="00B735DA"/>
    <w:rsid w:val="00B73AD3"/>
    <w:rsid w:val="00B748E1"/>
    <w:rsid w:val="00B759C6"/>
    <w:rsid w:val="00B766B9"/>
    <w:rsid w:val="00B76E0C"/>
    <w:rsid w:val="00B7789B"/>
    <w:rsid w:val="00B77DF2"/>
    <w:rsid w:val="00B8020F"/>
    <w:rsid w:val="00B8071F"/>
    <w:rsid w:val="00B81276"/>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F42"/>
    <w:rsid w:val="00B9493B"/>
    <w:rsid w:val="00B9583A"/>
    <w:rsid w:val="00B95FE2"/>
    <w:rsid w:val="00B962EE"/>
    <w:rsid w:val="00B97246"/>
    <w:rsid w:val="00B9725F"/>
    <w:rsid w:val="00B972B2"/>
    <w:rsid w:val="00B97390"/>
    <w:rsid w:val="00B97FE8"/>
    <w:rsid w:val="00BA03EE"/>
    <w:rsid w:val="00BA1836"/>
    <w:rsid w:val="00BA18D4"/>
    <w:rsid w:val="00BA19EA"/>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B7E47"/>
    <w:rsid w:val="00BC0108"/>
    <w:rsid w:val="00BC088B"/>
    <w:rsid w:val="00BC1305"/>
    <w:rsid w:val="00BC2587"/>
    <w:rsid w:val="00BC33AE"/>
    <w:rsid w:val="00BC342A"/>
    <w:rsid w:val="00BC40F2"/>
    <w:rsid w:val="00BC45CE"/>
    <w:rsid w:val="00BC4F3D"/>
    <w:rsid w:val="00BC64CE"/>
    <w:rsid w:val="00BC68AD"/>
    <w:rsid w:val="00BC7112"/>
    <w:rsid w:val="00BD0C00"/>
    <w:rsid w:val="00BD0DA0"/>
    <w:rsid w:val="00BD1F9D"/>
    <w:rsid w:val="00BD3693"/>
    <w:rsid w:val="00BD390E"/>
    <w:rsid w:val="00BD438C"/>
    <w:rsid w:val="00BD492B"/>
    <w:rsid w:val="00BD4F9A"/>
    <w:rsid w:val="00BD5E19"/>
    <w:rsid w:val="00BD6D4E"/>
    <w:rsid w:val="00BD71F1"/>
    <w:rsid w:val="00BD74CF"/>
    <w:rsid w:val="00BE1BBE"/>
    <w:rsid w:val="00BE2C9F"/>
    <w:rsid w:val="00BE33C4"/>
    <w:rsid w:val="00BE369F"/>
    <w:rsid w:val="00BE36D5"/>
    <w:rsid w:val="00BE4FDC"/>
    <w:rsid w:val="00BE5F60"/>
    <w:rsid w:val="00BE6056"/>
    <w:rsid w:val="00BE6217"/>
    <w:rsid w:val="00BE6A89"/>
    <w:rsid w:val="00BE72FC"/>
    <w:rsid w:val="00BE7C10"/>
    <w:rsid w:val="00BF01B9"/>
    <w:rsid w:val="00BF08C7"/>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DFA"/>
    <w:rsid w:val="00C060AE"/>
    <w:rsid w:val="00C061C0"/>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39"/>
    <w:rsid w:val="00C24B6B"/>
    <w:rsid w:val="00C25A02"/>
    <w:rsid w:val="00C26316"/>
    <w:rsid w:val="00C268F6"/>
    <w:rsid w:val="00C27D1A"/>
    <w:rsid w:val="00C31200"/>
    <w:rsid w:val="00C31602"/>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31C"/>
    <w:rsid w:val="00C46708"/>
    <w:rsid w:val="00C474EF"/>
    <w:rsid w:val="00C500D2"/>
    <w:rsid w:val="00C50922"/>
    <w:rsid w:val="00C512E1"/>
    <w:rsid w:val="00C51440"/>
    <w:rsid w:val="00C52089"/>
    <w:rsid w:val="00C53E87"/>
    <w:rsid w:val="00C54F04"/>
    <w:rsid w:val="00C55CDE"/>
    <w:rsid w:val="00C56885"/>
    <w:rsid w:val="00C56AE3"/>
    <w:rsid w:val="00C56D20"/>
    <w:rsid w:val="00C57069"/>
    <w:rsid w:val="00C57680"/>
    <w:rsid w:val="00C57997"/>
    <w:rsid w:val="00C6124E"/>
    <w:rsid w:val="00C613CF"/>
    <w:rsid w:val="00C61E12"/>
    <w:rsid w:val="00C6230B"/>
    <w:rsid w:val="00C6257D"/>
    <w:rsid w:val="00C62D88"/>
    <w:rsid w:val="00C632FA"/>
    <w:rsid w:val="00C635D0"/>
    <w:rsid w:val="00C64273"/>
    <w:rsid w:val="00C64D01"/>
    <w:rsid w:val="00C64E5A"/>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77A84"/>
    <w:rsid w:val="00C80261"/>
    <w:rsid w:val="00C808D5"/>
    <w:rsid w:val="00C810FC"/>
    <w:rsid w:val="00C83651"/>
    <w:rsid w:val="00C83754"/>
    <w:rsid w:val="00C83F2B"/>
    <w:rsid w:val="00C84998"/>
    <w:rsid w:val="00C855DB"/>
    <w:rsid w:val="00C86A83"/>
    <w:rsid w:val="00C9111E"/>
    <w:rsid w:val="00C91446"/>
    <w:rsid w:val="00C919AB"/>
    <w:rsid w:val="00C92681"/>
    <w:rsid w:val="00C94994"/>
    <w:rsid w:val="00C94C04"/>
    <w:rsid w:val="00C951C1"/>
    <w:rsid w:val="00C95DCF"/>
    <w:rsid w:val="00C95FEF"/>
    <w:rsid w:val="00C9600B"/>
    <w:rsid w:val="00C962CF"/>
    <w:rsid w:val="00C96BE2"/>
    <w:rsid w:val="00C96F6C"/>
    <w:rsid w:val="00C97806"/>
    <w:rsid w:val="00C978B4"/>
    <w:rsid w:val="00CA069E"/>
    <w:rsid w:val="00CA07FA"/>
    <w:rsid w:val="00CA13CE"/>
    <w:rsid w:val="00CA1A5E"/>
    <w:rsid w:val="00CA1BD1"/>
    <w:rsid w:val="00CA1D49"/>
    <w:rsid w:val="00CA2377"/>
    <w:rsid w:val="00CA265A"/>
    <w:rsid w:val="00CA29D7"/>
    <w:rsid w:val="00CA2D94"/>
    <w:rsid w:val="00CA403B"/>
    <w:rsid w:val="00CA4698"/>
    <w:rsid w:val="00CA476E"/>
    <w:rsid w:val="00CA4B98"/>
    <w:rsid w:val="00CA4BFA"/>
    <w:rsid w:val="00CA5463"/>
    <w:rsid w:val="00CA5A6D"/>
    <w:rsid w:val="00CA633A"/>
    <w:rsid w:val="00CB0C89"/>
    <w:rsid w:val="00CB1AC1"/>
    <w:rsid w:val="00CB24F9"/>
    <w:rsid w:val="00CB26F2"/>
    <w:rsid w:val="00CB2BAE"/>
    <w:rsid w:val="00CB304E"/>
    <w:rsid w:val="00CB3166"/>
    <w:rsid w:val="00CB40D4"/>
    <w:rsid w:val="00CB4D81"/>
    <w:rsid w:val="00CB5F7D"/>
    <w:rsid w:val="00CB638D"/>
    <w:rsid w:val="00CB6900"/>
    <w:rsid w:val="00CB6A9A"/>
    <w:rsid w:val="00CB6EB4"/>
    <w:rsid w:val="00CB7439"/>
    <w:rsid w:val="00CB748E"/>
    <w:rsid w:val="00CB7C3A"/>
    <w:rsid w:val="00CC0FC3"/>
    <w:rsid w:val="00CC1406"/>
    <w:rsid w:val="00CC154C"/>
    <w:rsid w:val="00CC1900"/>
    <w:rsid w:val="00CC1DB2"/>
    <w:rsid w:val="00CC367C"/>
    <w:rsid w:val="00CC3FEE"/>
    <w:rsid w:val="00CC416D"/>
    <w:rsid w:val="00CC45CC"/>
    <w:rsid w:val="00CC45E5"/>
    <w:rsid w:val="00CC466F"/>
    <w:rsid w:val="00CC55E8"/>
    <w:rsid w:val="00CC5DF0"/>
    <w:rsid w:val="00CC71C6"/>
    <w:rsid w:val="00CC778E"/>
    <w:rsid w:val="00CC7DB2"/>
    <w:rsid w:val="00CC7E7D"/>
    <w:rsid w:val="00CD0968"/>
    <w:rsid w:val="00CD0B6C"/>
    <w:rsid w:val="00CD1491"/>
    <w:rsid w:val="00CD2580"/>
    <w:rsid w:val="00CD3739"/>
    <w:rsid w:val="00CD3AE0"/>
    <w:rsid w:val="00CD3B16"/>
    <w:rsid w:val="00CD42E2"/>
    <w:rsid w:val="00CD4B83"/>
    <w:rsid w:val="00CD5020"/>
    <w:rsid w:val="00CD58BA"/>
    <w:rsid w:val="00CD6145"/>
    <w:rsid w:val="00CD64DE"/>
    <w:rsid w:val="00CD6D50"/>
    <w:rsid w:val="00CD7638"/>
    <w:rsid w:val="00CD7AA3"/>
    <w:rsid w:val="00CD7E95"/>
    <w:rsid w:val="00CE049D"/>
    <w:rsid w:val="00CE123E"/>
    <w:rsid w:val="00CE13DE"/>
    <w:rsid w:val="00CE140B"/>
    <w:rsid w:val="00CE2476"/>
    <w:rsid w:val="00CE25CA"/>
    <w:rsid w:val="00CE2CBA"/>
    <w:rsid w:val="00CE302C"/>
    <w:rsid w:val="00CE31BD"/>
    <w:rsid w:val="00CE3BB5"/>
    <w:rsid w:val="00CE431D"/>
    <w:rsid w:val="00CE449A"/>
    <w:rsid w:val="00CE455B"/>
    <w:rsid w:val="00CE4619"/>
    <w:rsid w:val="00CE4BDF"/>
    <w:rsid w:val="00CE4BF2"/>
    <w:rsid w:val="00CE5E91"/>
    <w:rsid w:val="00CF01EA"/>
    <w:rsid w:val="00CF10EF"/>
    <w:rsid w:val="00CF1F53"/>
    <w:rsid w:val="00CF1FAE"/>
    <w:rsid w:val="00CF3BED"/>
    <w:rsid w:val="00CF48C8"/>
    <w:rsid w:val="00CF4A6D"/>
    <w:rsid w:val="00CF56B3"/>
    <w:rsid w:val="00CF593F"/>
    <w:rsid w:val="00CF5B89"/>
    <w:rsid w:val="00CF5D88"/>
    <w:rsid w:val="00CF6510"/>
    <w:rsid w:val="00CF65E5"/>
    <w:rsid w:val="00CF66B8"/>
    <w:rsid w:val="00CF6971"/>
    <w:rsid w:val="00CF6D04"/>
    <w:rsid w:val="00CF7327"/>
    <w:rsid w:val="00CF779F"/>
    <w:rsid w:val="00CF7C57"/>
    <w:rsid w:val="00D000D1"/>
    <w:rsid w:val="00D0041D"/>
    <w:rsid w:val="00D0074A"/>
    <w:rsid w:val="00D00AC1"/>
    <w:rsid w:val="00D00B6C"/>
    <w:rsid w:val="00D0124D"/>
    <w:rsid w:val="00D0267B"/>
    <w:rsid w:val="00D02E18"/>
    <w:rsid w:val="00D032B4"/>
    <w:rsid w:val="00D03AC3"/>
    <w:rsid w:val="00D040A2"/>
    <w:rsid w:val="00D055E6"/>
    <w:rsid w:val="00D05CAF"/>
    <w:rsid w:val="00D05E39"/>
    <w:rsid w:val="00D065AD"/>
    <w:rsid w:val="00D06BB8"/>
    <w:rsid w:val="00D072EF"/>
    <w:rsid w:val="00D07394"/>
    <w:rsid w:val="00D07A9C"/>
    <w:rsid w:val="00D10A14"/>
    <w:rsid w:val="00D113FF"/>
    <w:rsid w:val="00D119F7"/>
    <w:rsid w:val="00D11E7B"/>
    <w:rsid w:val="00D12C52"/>
    <w:rsid w:val="00D12D84"/>
    <w:rsid w:val="00D14E13"/>
    <w:rsid w:val="00D15E34"/>
    <w:rsid w:val="00D16547"/>
    <w:rsid w:val="00D1697C"/>
    <w:rsid w:val="00D20368"/>
    <w:rsid w:val="00D209D8"/>
    <w:rsid w:val="00D20B6C"/>
    <w:rsid w:val="00D20DAB"/>
    <w:rsid w:val="00D2186C"/>
    <w:rsid w:val="00D22D77"/>
    <w:rsid w:val="00D239A5"/>
    <w:rsid w:val="00D239B1"/>
    <w:rsid w:val="00D24260"/>
    <w:rsid w:val="00D2457A"/>
    <w:rsid w:val="00D25024"/>
    <w:rsid w:val="00D250A5"/>
    <w:rsid w:val="00D25A36"/>
    <w:rsid w:val="00D26250"/>
    <w:rsid w:val="00D2737B"/>
    <w:rsid w:val="00D3007F"/>
    <w:rsid w:val="00D301C9"/>
    <w:rsid w:val="00D30447"/>
    <w:rsid w:val="00D30DBA"/>
    <w:rsid w:val="00D30EC7"/>
    <w:rsid w:val="00D32238"/>
    <w:rsid w:val="00D33362"/>
    <w:rsid w:val="00D33C0D"/>
    <w:rsid w:val="00D34C41"/>
    <w:rsid w:val="00D35BC6"/>
    <w:rsid w:val="00D3635F"/>
    <w:rsid w:val="00D36532"/>
    <w:rsid w:val="00D367F9"/>
    <w:rsid w:val="00D37F9E"/>
    <w:rsid w:val="00D37FBA"/>
    <w:rsid w:val="00D40A87"/>
    <w:rsid w:val="00D40D10"/>
    <w:rsid w:val="00D418AA"/>
    <w:rsid w:val="00D41BBA"/>
    <w:rsid w:val="00D41CA2"/>
    <w:rsid w:val="00D42026"/>
    <w:rsid w:val="00D424A2"/>
    <w:rsid w:val="00D4251B"/>
    <w:rsid w:val="00D42ECA"/>
    <w:rsid w:val="00D44BD1"/>
    <w:rsid w:val="00D45359"/>
    <w:rsid w:val="00D47AB6"/>
    <w:rsid w:val="00D507D9"/>
    <w:rsid w:val="00D50BC3"/>
    <w:rsid w:val="00D523C9"/>
    <w:rsid w:val="00D52E63"/>
    <w:rsid w:val="00D52EDD"/>
    <w:rsid w:val="00D53713"/>
    <w:rsid w:val="00D53E86"/>
    <w:rsid w:val="00D545A8"/>
    <w:rsid w:val="00D548A5"/>
    <w:rsid w:val="00D548E5"/>
    <w:rsid w:val="00D5591E"/>
    <w:rsid w:val="00D5594A"/>
    <w:rsid w:val="00D55BD9"/>
    <w:rsid w:val="00D56163"/>
    <w:rsid w:val="00D566F5"/>
    <w:rsid w:val="00D56BF3"/>
    <w:rsid w:val="00D601C4"/>
    <w:rsid w:val="00D60503"/>
    <w:rsid w:val="00D6073C"/>
    <w:rsid w:val="00D625FC"/>
    <w:rsid w:val="00D62605"/>
    <w:rsid w:val="00D62648"/>
    <w:rsid w:val="00D63073"/>
    <w:rsid w:val="00D6362A"/>
    <w:rsid w:val="00D63955"/>
    <w:rsid w:val="00D63DA5"/>
    <w:rsid w:val="00D641C8"/>
    <w:rsid w:val="00D64B3A"/>
    <w:rsid w:val="00D64D09"/>
    <w:rsid w:val="00D6587E"/>
    <w:rsid w:val="00D65ACB"/>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E"/>
    <w:rsid w:val="00D81033"/>
    <w:rsid w:val="00D81063"/>
    <w:rsid w:val="00D81136"/>
    <w:rsid w:val="00D82C07"/>
    <w:rsid w:val="00D82CE9"/>
    <w:rsid w:val="00D8317A"/>
    <w:rsid w:val="00D844F9"/>
    <w:rsid w:val="00D84AEE"/>
    <w:rsid w:val="00D8502A"/>
    <w:rsid w:val="00D85065"/>
    <w:rsid w:val="00D850ED"/>
    <w:rsid w:val="00D85E53"/>
    <w:rsid w:val="00D865D9"/>
    <w:rsid w:val="00D86B99"/>
    <w:rsid w:val="00D9154A"/>
    <w:rsid w:val="00D92216"/>
    <w:rsid w:val="00D923F4"/>
    <w:rsid w:val="00D93271"/>
    <w:rsid w:val="00D93F15"/>
    <w:rsid w:val="00D9475D"/>
    <w:rsid w:val="00D96319"/>
    <w:rsid w:val="00D9777F"/>
    <w:rsid w:val="00DA01D1"/>
    <w:rsid w:val="00DA020A"/>
    <w:rsid w:val="00DA07B6"/>
    <w:rsid w:val="00DA0CA2"/>
    <w:rsid w:val="00DA158D"/>
    <w:rsid w:val="00DA1D14"/>
    <w:rsid w:val="00DA3769"/>
    <w:rsid w:val="00DA3B52"/>
    <w:rsid w:val="00DA4151"/>
    <w:rsid w:val="00DA4B87"/>
    <w:rsid w:val="00DA5129"/>
    <w:rsid w:val="00DA54E7"/>
    <w:rsid w:val="00DA5795"/>
    <w:rsid w:val="00DA5945"/>
    <w:rsid w:val="00DA5B38"/>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22B"/>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6E3"/>
    <w:rsid w:val="00DC596B"/>
    <w:rsid w:val="00DC78C5"/>
    <w:rsid w:val="00DC78FE"/>
    <w:rsid w:val="00DC7910"/>
    <w:rsid w:val="00DC7CCB"/>
    <w:rsid w:val="00DD016C"/>
    <w:rsid w:val="00DD054C"/>
    <w:rsid w:val="00DD0B1B"/>
    <w:rsid w:val="00DD1994"/>
    <w:rsid w:val="00DD1BAF"/>
    <w:rsid w:val="00DD2441"/>
    <w:rsid w:val="00DD2585"/>
    <w:rsid w:val="00DD26EB"/>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110"/>
    <w:rsid w:val="00DE745D"/>
    <w:rsid w:val="00DE7752"/>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4E13"/>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6C67"/>
    <w:rsid w:val="00E17B49"/>
    <w:rsid w:val="00E17DE3"/>
    <w:rsid w:val="00E17F03"/>
    <w:rsid w:val="00E2102F"/>
    <w:rsid w:val="00E21CDD"/>
    <w:rsid w:val="00E21E11"/>
    <w:rsid w:val="00E233B1"/>
    <w:rsid w:val="00E233C9"/>
    <w:rsid w:val="00E23438"/>
    <w:rsid w:val="00E24415"/>
    <w:rsid w:val="00E24D01"/>
    <w:rsid w:val="00E25521"/>
    <w:rsid w:val="00E25866"/>
    <w:rsid w:val="00E25917"/>
    <w:rsid w:val="00E261E0"/>
    <w:rsid w:val="00E26580"/>
    <w:rsid w:val="00E2721C"/>
    <w:rsid w:val="00E279DF"/>
    <w:rsid w:val="00E27B4B"/>
    <w:rsid w:val="00E30F17"/>
    <w:rsid w:val="00E311CE"/>
    <w:rsid w:val="00E31D2B"/>
    <w:rsid w:val="00E31E30"/>
    <w:rsid w:val="00E31E40"/>
    <w:rsid w:val="00E3286F"/>
    <w:rsid w:val="00E32E26"/>
    <w:rsid w:val="00E33520"/>
    <w:rsid w:val="00E3372B"/>
    <w:rsid w:val="00E33741"/>
    <w:rsid w:val="00E33D3D"/>
    <w:rsid w:val="00E340C7"/>
    <w:rsid w:val="00E3566D"/>
    <w:rsid w:val="00E35EC1"/>
    <w:rsid w:val="00E35F95"/>
    <w:rsid w:val="00E3623E"/>
    <w:rsid w:val="00E369E0"/>
    <w:rsid w:val="00E36F87"/>
    <w:rsid w:val="00E36FAF"/>
    <w:rsid w:val="00E37775"/>
    <w:rsid w:val="00E37879"/>
    <w:rsid w:val="00E40254"/>
    <w:rsid w:val="00E4029A"/>
    <w:rsid w:val="00E40C8C"/>
    <w:rsid w:val="00E410B5"/>
    <w:rsid w:val="00E41D73"/>
    <w:rsid w:val="00E41DFA"/>
    <w:rsid w:val="00E4205C"/>
    <w:rsid w:val="00E42264"/>
    <w:rsid w:val="00E42D1E"/>
    <w:rsid w:val="00E433EA"/>
    <w:rsid w:val="00E43435"/>
    <w:rsid w:val="00E43479"/>
    <w:rsid w:val="00E44850"/>
    <w:rsid w:val="00E44D4F"/>
    <w:rsid w:val="00E455A1"/>
    <w:rsid w:val="00E45DF0"/>
    <w:rsid w:val="00E45F05"/>
    <w:rsid w:val="00E47A30"/>
    <w:rsid w:val="00E50E09"/>
    <w:rsid w:val="00E540CA"/>
    <w:rsid w:val="00E54462"/>
    <w:rsid w:val="00E54583"/>
    <w:rsid w:val="00E558D7"/>
    <w:rsid w:val="00E55F46"/>
    <w:rsid w:val="00E5633C"/>
    <w:rsid w:val="00E56E97"/>
    <w:rsid w:val="00E56EE4"/>
    <w:rsid w:val="00E60A17"/>
    <w:rsid w:val="00E616A6"/>
    <w:rsid w:val="00E621FE"/>
    <w:rsid w:val="00E62CBA"/>
    <w:rsid w:val="00E630A8"/>
    <w:rsid w:val="00E632E2"/>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425"/>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685"/>
    <w:rsid w:val="00E968B6"/>
    <w:rsid w:val="00E96D3C"/>
    <w:rsid w:val="00E97839"/>
    <w:rsid w:val="00E97BE5"/>
    <w:rsid w:val="00EA0BB9"/>
    <w:rsid w:val="00EA132F"/>
    <w:rsid w:val="00EA2148"/>
    <w:rsid w:val="00EA2C19"/>
    <w:rsid w:val="00EA3031"/>
    <w:rsid w:val="00EA3072"/>
    <w:rsid w:val="00EA3B39"/>
    <w:rsid w:val="00EA3BBF"/>
    <w:rsid w:val="00EA3EA7"/>
    <w:rsid w:val="00EA4F63"/>
    <w:rsid w:val="00EA689E"/>
    <w:rsid w:val="00EA727B"/>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00F"/>
    <w:rsid w:val="00EB61E5"/>
    <w:rsid w:val="00EB67AA"/>
    <w:rsid w:val="00EB70B5"/>
    <w:rsid w:val="00EB780C"/>
    <w:rsid w:val="00EC3746"/>
    <w:rsid w:val="00EC3FBB"/>
    <w:rsid w:val="00EC45FC"/>
    <w:rsid w:val="00EC4A4E"/>
    <w:rsid w:val="00EC4B0C"/>
    <w:rsid w:val="00EC50B4"/>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27A"/>
    <w:rsid w:val="00ED5337"/>
    <w:rsid w:val="00ED59E7"/>
    <w:rsid w:val="00ED5E08"/>
    <w:rsid w:val="00ED72E4"/>
    <w:rsid w:val="00ED7403"/>
    <w:rsid w:val="00ED7AA8"/>
    <w:rsid w:val="00EE054E"/>
    <w:rsid w:val="00EE057C"/>
    <w:rsid w:val="00EE0858"/>
    <w:rsid w:val="00EE236A"/>
    <w:rsid w:val="00EE2649"/>
    <w:rsid w:val="00EE3015"/>
    <w:rsid w:val="00EE31AF"/>
    <w:rsid w:val="00EE34A1"/>
    <w:rsid w:val="00EE41A1"/>
    <w:rsid w:val="00EE50C5"/>
    <w:rsid w:val="00EE536C"/>
    <w:rsid w:val="00EE53E7"/>
    <w:rsid w:val="00EE5A32"/>
    <w:rsid w:val="00EE71BF"/>
    <w:rsid w:val="00EE7219"/>
    <w:rsid w:val="00EE73E5"/>
    <w:rsid w:val="00EE7B44"/>
    <w:rsid w:val="00EE7D04"/>
    <w:rsid w:val="00EE7FB9"/>
    <w:rsid w:val="00EF09AC"/>
    <w:rsid w:val="00EF14D1"/>
    <w:rsid w:val="00EF1DD2"/>
    <w:rsid w:val="00EF58F2"/>
    <w:rsid w:val="00EF606C"/>
    <w:rsid w:val="00EF60C8"/>
    <w:rsid w:val="00EF6733"/>
    <w:rsid w:val="00EF6AD7"/>
    <w:rsid w:val="00F006A9"/>
    <w:rsid w:val="00F009EB"/>
    <w:rsid w:val="00F017FB"/>
    <w:rsid w:val="00F01F7A"/>
    <w:rsid w:val="00F02736"/>
    <w:rsid w:val="00F02A35"/>
    <w:rsid w:val="00F02DE0"/>
    <w:rsid w:val="00F030A2"/>
    <w:rsid w:val="00F0344E"/>
    <w:rsid w:val="00F03930"/>
    <w:rsid w:val="00F04775"/>
    <w:rsid w:val="00F04DD4"/>
    <w:rsid w:val="00F053FC"/>
    <w:rsid w:val="00F05564"/>
    <w:rsid w:val="00F06302"/>
    <w:rsid w:val="00F079CC"/>
    <w:rsid w:val="00F121CE"/>
    <w:rsid w:val="00F13509"/>
    <w:rsid w:val="00F1360C"/>
    <w:rsid w:val="00F1390D"/>
    <w:rsid w:val="00F151EA"/>
    <w:rsid w:val="00F15595"/>
    <w:rsid w:val="00F156A1"/>
    <w:rsid w:val="00F205C1"/>
    <w:rsid w:val="00F208B7"/>
    <w:rsid w:val="00F20B24"/>
    <w:rsid w:val="00F20B67"/>
    <w:rsid w:val="00F21368"/>
    <w:rsid w:val="00F21A7E"/>
    <w:rsid w:val="00F224D7"/>
    <w:rsid w:val="00F226DE"/>
    <w:rsid w:val="00F227F6"/>
    <w:rsid w:val="00F22851"/>
    <w:rsid w:val="00F23533"/>
    <w:rsid w:val="00F24944"/>
    <w:rsid w:val="00F24EE4"/>
    <w:rsid w:val="00F2516C"/>
    <w:rsid w:val="00F2560A"/>
    <w:rsid w:val="00F25B7F"/>
    <w:rsid w:val="00F2644C"/>
    <w:rsid w:val="00F26992"/>
    <w:rsid w:val="00F26D3B"/>
    <w:rsid w:val="00F26F0E"/>
    <w:rsid w:val="00F277C8"/>
    <w:rsid w:val="00F2789C"/>
    <w:rsid w:val="00F310A3"/>
    <w:rsid w:val="00F311B6"/>
    <w:rsid w:val="00F31B8A"/>
    <w:rsid w:val="00F31FDD"/>
    <w:rsid w:val="00F321C5"/>
    <w:rsid w:val="00F323A8"/>
    <w:rsid w:val="00F334EB"/>
    <w:rsid w:val="00F33C11"/>
    <w:rsid w:val="00F34104"/>
    <w:rsid w:val="00F34DC1"/>
    <w:rsid w:val="00F34DEA"/>
    <w:rsid w:val="00F35DBE"/>
    <w:rsid w:val="00F36021"/>
    <w:rsid w:val="00F36B23"/>
    <w:rsid w:val="00F370C9"/>
    <w:rsid w:val="00F37101"/>
    <w:rsid w:val="00F377CE"/>
    <w:rsid w:val="00F40094"/>
    <w:rsid w:val="00F40646"/>
    <w:rsid w:val="00F42591"/>
    <w:rsid w:val="00F426C8"/>
    <w:rsid w:val="00F428D9"/>
    <w:rsid w:val="00F42C82"/>
    <w:rsid w:val="00F4377C"/>
    <w:rsid w:val="00F44809"/>
    <w:rsid w:val="00F45459"/>
    <w:rsid w:val="00F45FAD"/>
    <w:rsid w:val="00F46D5A"/>
    <w:rsid w:val="00F47305"/>
    <w:rsid w:val="00F5036E"/>
    <w:rsid w:val="00F50410"/>
    <w:rsid w:val="00F519A9"/>
    <w:rsid w:val="00F5253C"/>
    <w:rsid w:val="00F52AF5"/>
    <w:rsid w:val="00F53204"/>
    <w:rsid w:val="00F537CA"/>
    <w:rsid w:val="00F537CE"/>
    <w:rsid w:val="00F53860"/>
    <w:rsid w:val="00F54021"/>
    <w:rsid w:val="00F542AA"/>
    <w:rsid w:val="00F543D3"/>
    <w:rsid w:val="00F551B0"/>
    <w:rsid w:val="00F55452"/>
    <w:rsid w:val="00F556C1"/>
    <w:rsid w:val="00F55CC1"/>
    <w:rsid w:val="00F56A49"/>
    <w:rsid w:val="00F57ACB"/>
    <w:rsid w:val="00F60902"/>
    <w:rsid w:val="00F60D33"/>
    <w:rsid w:val="00F61136"/>
    <w:rsid w:val="00F6166A"/>
    <w:rsid w:val="00F624A5"/>
    <w:rsid w:val="00F62D15"/>
    <w:rsid w:val="00F6398A"/>
    <w:rsid w:val="00F63C51"/>
    <w:rsid w:val="00F64C5A"/>
    <w:rsid w:val="00F6563E"/>
    <w:rsid w:val="00F66051"/>
    <w:rsid w:val="00F66D81"/>
    <w:rsid w:val="00F67C3E"/>
    <w:rsid w:val="00F67FE4"/>
    <w:rsid w:val="00F70281"/>
    <w:rsid w:val="00F707C2"/>
    <w:rsid w:val="00F707EE"/>
    <w:rsid w:val="00F70A78"/>
    <w:rsid w:val="00F710EA"/>
    <w:rsid w:val="00F71614"/>
    <w:rsid w:val="00F73249"/>
    <w:rsid w:val="00F734ED"/>
    <w:rsid w:val="00F74615"/>
    <w:rsid w:val="00F747E2"/>
    <w:rsid w:val="00F74CF0"/>
    <w:rsid w:val="00F75115"/>
    <w:rsid w:val="00F75D29"/>
    <w:rsid w:val="00F75F03"/>
    <w:rsid w:val="00F770D0"/>
    <w:rsid w:val="00F77624"/>
    <w:rsid w:val="00F804E8"/>
    <w:rsid w:val="00F80DF4"/>
    <w:rsid w:val="00F8181F"/>
    <w:rsid w:val="00F8258C"/>
    <w:rsid w:val="00F826FD"/>
    <w:rsid w:val="00F82BC8"/>
    <w:rsid w:val="00F82E77"/>
    <w:rsid w:val="00F838C1"/>
    <w:rsid w:val="00F83C99"/>
    <w:rsid w:val="00F83FB6"/>
    <w:rsid w:val="00F84C3A"/>
    <w:rsid w:val="00F85662"/>
    <w:rsid w:val="00F8643B"/>
    <w:rsid w:val="00F86E1B"/>
    <w:rsid w:val="00F902E3"/>
    <w:rsid w:val="00F921D2"/>
    <w:rsid w:val="00F92334"/>
    <w:rsid w:val="00F937E1"/>
    <w:rsid w:val="00F939DD"/>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1D43"/>
    <w:rsid w:val="00FB20F3"/>
    <w:rsid w:val="00FB43AC"/>
    <w:rsid w:val="00FB4763"/>
    <w:rsid w:val="00FB47EA"/>
    <w:rsid w:val="00FB567E"/>
    <w:rsid w:val="00FB7C38"/>
    <w:rsid w:val="00FB7F1F"/>
    <w:rsid w:val="00FC043D"/>
    <w:rsid w:val="00FC054A"/>
    <w:rsid w:val="00FC0790"/>
    <w:rsid w:val="00FC0A0D"/>
    <w:rsid w:val="00FC0F4A"/>
    <w:rsid w:val="00FC1289"/>
    <w:rsid w:val="00FC16C4"/>
    <w:rsid w:val="00FC2C7F"/>
    <w:rsid w:val="00FC2C91"/>
    <w:rsid w:val="00FC3459"/>
    <w:rsid w:val="00FC387F"/>
    <w:rsid w:val="00FC3BE3"/>
    <w:rsid w:val="00FC4C6D"/>
    <w:rsid w:val="00FC4DC2"/>
    <w:rsid w:val="00FC5311"/>
    <w:rsid w:val="00FC6C11"/>
    <w:rsid w:val="00FC7029"/>
    <w:rsid w:val="00FC73D3"/>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754C"/>
    <w:rsid w:val="00FE05FC"/>
    <w:rsid w:val="00FE0693"/>
    <w:rsid w:val="00FE086E"/>
    <w:rsid w:val="00FE0AF4"/>
    <w:rsid w:val="00FE109E"/>
    <w:rsid w:val="00FE127F"/>
    <w:rsid w:val="00FE27EE"/>
    <w:rsid w:val="00FE30E1"/>
    <w:rsid w:val="00FE32D1"/>
    <w:rsid w:val="00FE520C"/>
    <w:rsid w:val="00FE65C5"/>
    <w:rsid w:val="00FE6DA0"/>
    <w:rsid w:val="00FF0C49"/>
    <w:rsid w:val="00FF0CC2"/>
    <w:rsid w:val="00FF0FDB"/>
    <w:rsid w:val="00FF1282"/>
    <w:rsid w:val="00FF1339"/>
    <w:rsid w:val="00FF1682"/>
    <w:rsid w:val="00FF33D3"/>
    <w:rsid w:val="00FF479B"/>
    <w:rsid w:val="00FF5100"/>
    <w:rsid w:val="00FF5992"/>
    <w:rsid w:val="00FF5A10"/>
    <w:rsid w:val="00FF5C53"/>
    <w:rsid w:val="00FF634A"/>
    <w:rsid w:val="00FF63AC"/>
    <w:rsid w:val="00FF6AA1"/>
    <w:rsid w:val="00FF6D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20749294">
      <w:bodyDiv w:val="1"/>
      <w:marLeft w:val="0"/>
      <w:marRight w:val="0"/>
      <w:marTop w:val="0"/>
      <w:marBottom w:val="0"/>
      <w:divBdr>
        <w:top w:val="none" w:sz="0" w:space="0" w:color="auto"/>
        <w:left w:val="none" w:sz="0" w:space="0" w:color="auto"/>
        <w:bottom w:val="none" w:sz="0" w:space="0" w:color="auto"/>
        <w:right w:val="none" w:sz="0" w:space="0" w:color="auto"/>
      </w:divBdr>
      <w:divsChild>
        <w:div w:id="1846703826">
          <w:marLeft w:val="0"/>
          <w:marRight w:val="0"/>
          <w:marTop w:val="0"/>
          <w:marBottom w:val="0"/>
          <w:divBdr>
            <w:top w:val="none" w:sz="0" w:space="0" w:color="auto"/>
            <w:left w:val="none" w:sz="0" w:space="0" w:color="auto"/>
            <w:bottom w:val="none" w:sz="0" w:space="0" w:color="auto"/>
            <w:right w:val="none" w:sz="0" w:space="0" w:color="auto"/>
          </w:divBdr>
          <w:divsChild>
            <w:div w:id="573666158">
              <w:marLeft w:val="0"/>
              <w:marRight w:val="0"/>
              <w:marTop w:val="0"/>
              <w:marBottom w:val="0"/>
              <w:divBdr>
                <w:top w:val="none" w:sz="0" w:space="0" w:color="auto"/>
                <w:left w:val="none" w:sz="0" w:space="0" w:color="auto"/>
                <w:bottom w:val="none" w:sz="0" w:space="0" w:color="auto"/>
                <w:right w:val="none" w:sz="0" w:space="0" w:color="auto"/>
              </w:divBdr>
            </w:div>
          </w:divsChild>
        </w:div>
        <w:div w:id="1737362699">
          <w:marLeft w:val="0"/>
          <w:marRight w:val="0"/>
          <w:marTop w:val="0"/>
          <w:marBottom w:val="0"/>
          <w:divBdr>
            <w:top w:val="none" w:sz="0" w:space="0" w:color="auto"/>
            <w:left w:val="none" w:sz="0" w:space="0" w:color="auto"/>
            <w:bottom w:val="none" w:sz="0" w:space="0" w:color="auto"/>
            <w:right w:val="none" w:sz="0" w:space="0" w:color="auto"/>
          </w:divBdr>
          <w:divsChild>
            <w:div w:id="2056855156">
              <w:marLeft w:val="0"/>
              <w:marRight w:val="0"/>
              <w:marTop w:val="0"/>
              <w:marBottom w:val="0"/>
              <w:divBdr>
                <w:top w:val="none" w:sz="0" w:space="0" w:color="auto"/>
                <w:left w:val="none" w:sz="0" w:space="0" w:color="auto"/>
                <w:bottom w:val="none" w:sz="0" w:space="0" w:color="auto"/>
                <w:right w:val="none" w:sz="0" w:space="0" w:color="auto"/>
              </w:divBdr>
            </w:div>
            <w:div w:id="1312096771">
              <w:marLeft w:val="0"/>
              <w:marRight w:val="0"/>
              <w:marTop w:val="0"/>
              <w:marBottom w:val="0"/>
              <w:divBdr>
                <w:top w:val="none" w:sz="0" w:space="0" w:color="auto"/>
                <w:left w:val="none" w:sz="0" w:space="0" w:color="auto"/>
                <w:bottom w:val="none" w:sz="0" w:space="0" w:color="auto"/>
                <w:right w:val="none" w:sz="0" w:space="0" w:color="auto"/>
              </w:divBdr>
            </w:div>
            <w:div w:id="1038554016">
              <w:marLeft w:val="0"/>
              <w:marRight w:val="0"/>
              <w:marTop w:val="0"/>
              <w:marBottom w:val="0"/>
              <w:divBdr>
                <w:top w:val="none" w:sz="0" w:space="0" w:color="auto"/>
                <w:left w:val="none" w:sz="0" w:space="0" w:color="auto"/>
                <w:bottom w:val="none" w:sz="0" w:space="0" w:color="auto"/>
                <w:right w:val="none" w:sz="0" w:space="0" w:color="auto"/>
              </w:divBdr>
            </w:div>
          </w:divsChild>
        </w:div>
        <w:div w:id="892229920">
          <w:marLeft w:val="0"/>
          <w:marRight w:val="0"/>
          <w:marTop w:val="0"/>
          <w:marBottom w:val="0"/>
          <w:divBdr>
            <w:top w:val="none" w:sz="0" w:space="0" w:color="auto"/>
            <w:left w:val="none" w:sz="0" w:space="0" w:color="auto"/>
            <w:bottom w:val="none" w:sz="0" w:space="0" w:color="auto"/>
            <w:right w:val="none" w:sz="0" w:space="0" w:color="auto"/>
          </w:divBdr>
          <w:divsChild>
            <w:div w:id="1992515118">
              <w:marLeft w:val="0"/>
              <w:marRight w:val="0"/>
              <w:marTop w:val="0"/>
              <w:marBottom w:val="0"/>
              <w:divBdr>
                <w:top w:val="none" w:sz="0" w:space="0" w:color="auto"/>
                <w:left w:val="none" w:sz="0" w:space="0" w:color="auto"/>
                <w:bottom w:val="none" w:sz="0" w:space="0" w:color="auto"/>
                <w:right w:val="none" w:sz="0" w:space="0" w:color="auto"/>
              </w:divBdr>
            </w:div>
            <w:div w:id="992176150">
              <w:marLeft w:val="0"/>
              <w:marRight w:val="0"/>
              <w:marTop w:val="0"/>
              <w:marBottom w:val="0"/>
              <w:divBdr>
                <w:top w:val="none" w:sz="0" w:space="0" w:color="auto"/>
                <w:left w:val="none" w:sz="0" w:space="0" w:color="auto"/>
                <w:bottom w:val="none" w:sz="0" w:space="0" w:color="auto"/>
                <w:right w:val="none" w:sz="0" w:space="0" w:color="auto"/>
              </w:divBdr>
            </w:div>
            <w:div w:id="1147865013">
              <w:marLeft w:val="0"/>
              <w:marRight w:val="0"/>
              <w:marTop w:val="0"/>
              <w:marBottom w:val="0"/>
              <w:divBdr>
                <w:top w:val="none" w:sz="0" w:space="0" w:color="auto"/>
                <w:left w:val="none" w:sz="0" w:space="0" w:color="auto"/>
                <w:bottom w:val="none" w:sz="0" w:space="0" w:color="auto"/>
                <w:right w:val="none" w:sz="0" w:space="0" w:color="auto"/>
              </w:divBdr>
            </w:div>
          </w:divsChild>
        </w:div>
        <w:div w:id="906455651">
          <w:marLeft w:val="0"/>
          <w:marRight w:val="0"/>
          <w:marTop w:val="0"/>
          <w:marBottom w:val="0"/>
          <w:divBdr>
            <w:top w:val="none" w:sz="0" w:space="0" w:color="auto"/>
            <w:left w:val="none" w:sz="0" w:space="0" w:color="auto"/>
            <w:bottom w:val="none" w:sz="0" w:space="0" w:color="auto"/>
            <w:right w:val="none" w:sz="0" w:space="0" w:color="auto"/>
          </w:divBdr>
        </w:div>
        <w:div w:id="1927494927">
          <w:marLeft w:val="0"/>
          <w:marRight w:val="0"/>
          <w:marTop w:val="0"/>
          <w:marBottom w:val="0"/>
          <w:divBdr>
            <w:top w:val="none" w:sz="0" w:space="0" w:color="auto"/>
            <w:left w:val="none" w:sz="0" w:space="0" w:color="auto"/>
            <w:bottom w:val="none" w:sz="0" w:space="0" w:color="auto"/>
            <w:right w:val="none" w:sz="0" w:space="0" w:color="auto"/>
          </w:divBdr>
        </w:div>
      </w:divsChild>
    </w:div>
    <w:div w:id="384984542">
      <w:bodyDiv w:val="1"/>
      <w:marLeft w:val="0"/>
      <w:marRight w:val="0"/>
      <w:marTop w:val="0"/>
      <w:marBottom w:val="0"/>
      <w:divBdr>
        <w:top w:val="none" w:sz="0" w:space="0" w:color="auto"/>
        <w:left w:val="none" w:sz="0" w:space="0" w:color="auto"/>
        <w:bottom w:val="none" w:sz="0" w:space="0" w:color="auto"/>
        <w:right w:val="none" w:sz="0" w:space="0" w:color="auto"/>
      </w:divBdr>
      <w:divsChild>
        <w:div w:id="1094743902">
          <w:marLeft w:val="0"/>
          <w:marRight w:val="0"/>
          <w:marTop w:val="0"/>
          <w:marBottom w:val="0"/>
          <w:divBdr>
            <w:top w:val="none" w:sz="0" w:space="0" w:color="auto"/>
            <w:left w:val="none" w:sz="0" w:space="0" w:color="auto"/>
            <w:bottom w:val="none" w:sz="0" w:space="0" w:color="auto"/>
            <w:right w:val="none" w:sz="0" w:space="0" w:color="auto"/>
          </w:divBdr>
          <w:divsChild>
            <w:div w:id="1832676741">
              <w:marLeft w:val="0"/>
              <w:marRight w:val="0"/>
              <w:marTop w:val="0"/>
              <w:marBottom w:val="0"/>
              <w:divBdr>
                <w:top w:val="none" w:sz="0" w:space="0" w:color="auto"/>
                <w:left w:val="none" w:sz="0" w:space="0" w:color="auto"/>
                <w:bottom w:val="none" w:sz="0" w:space="0" w:color="auto"/>
                <w:right w:val="none" w:sz="0" w:space="0" w:color="auto"/>
              </w:divBdr>
            </w:div>
          </w:divsChild>
        </w:div>
        <w:div w:id="291642685">
          <w:marLeft w:val="0"/>
          <w:marRight w:val="0"/>
          <w:marTop w:val="0"/>
          <w:marBottom w:val="0"/>
          <w:divBdr>
            <w:top w:val="none" w:sz="0" w:space="0" w:color="auto"/>
            <w:left w:val="none" w:sz="0" w:space="0" w:color="auto"/>
            <w:bottom w:val="none" w:sz="0" w:space="0" w:color="auto"/>
            <w:right w:val="none" w:sz="0" w:space="0" w:color="auto"/>
          </w:divBdr>
          <w:divsChild>
            <w:div w:id="1874150480">
              <w:marLeft w:val="0"/>
              <w:marRight w:val="0"/>
              <w:marTop w:val="0"/>
              <w:marBottom w:val="0"/>
              <w:divBdr>
                <w:top w:val="none" w:sz="0" w:space="0" w:color="auto"/>
                <w:left w:val="none" w:sz="0" w:space="0" w:color="auto"/>
                <w:bottom w:val="none" w:sz="0" w:space="0" w:color="auto"/>
                <w:right w:val="none" w:sz="0" w:space="0" w:color="auto"/>
              </w:divBdr>
            </w:div>
            <w:div w:id="1497189666">
              <w:marLeft w:val="0"/>
              <w:marRight w:val="0"/>
              <w:marTop w:val="0"/>
              <w:marBottom w:val="0"/>
              <w:divBdr>
                <w:top w:val="none" w:sz="0" w:space="0" w:color="auto"/>
                <w:left w:val="none" w:sz="0" w:space="0" w:color="auto"/>
                <w:bottom w:val="none" w:sz="0" w:space="0" w:color="auto"/>
                <w:right w:val="none" w:sz="0" w:space="0" w:color="auto"/>
              </w:divBdr>
            </w:div>
            <w:div w:id="878517234">
              <w:marLeft w:val="0"/>
              <w:marRight w:val="0"/>
              <w:marTop w:val="0"/>
              <w:marBottom w:val="0"/>
              <w:divBdr>
                <w:top w:val="none" w:sz="0" w:space="0" w:color="auto"/>
                <w:left w:val="none" w:sz="0" w:space="0" w:color="auto"/>
                <w:bottom w:val="none" w:sz="0" w:space="0" w:color="auto"/>
                <w:right w:val="none" w:sz="0" w:space="0" w:color="auto"/>
              </w:divBdr>
            </w:div>
          </w:divsChild>
        </w:div>
        <w:div w:id="1095054385">
          <w:marLeft w:val="0"/>
          <w:marRight w:val="0"/>
          <w:marTop w:val="0"/>
          <w:marBottom w:val="0"/>
          <w:divBdr>
            <w:top w:val="none" w:sz="0" w:space="0" w:color="auto"/>
            <w:left w:val="none" w:sz="0" w:space="0" w:color="auto"/>
            <w:bottom w:val="none" w:sz="0" w:space="0" w:color="auto"/>
            <w:right w:val="none" w:sz="0" w:space="0" w:color="auto"/>
          </w:divBdr>
          <w:divsChild>
            <w:div w:id="1230530901">
              <w:marLeft w:val="0"/>
              <w:marRight w:val="0"/>
              <w:marTop w:val="0"/>
              <w:marBottom w:val="0"/>
              <w:divBdr>
                <w:top w:val="none" w:sz="0" w:space="0" w:color="auto"/>
                <w:left w:val="none" w:sz="0" w:space="0" w:color="auto"/>
                <w:bottom w:val="none" w:sz="0" w:space="0" w:color="auto"/>
                <w:right w:val="none" w:sz="0" w:space="0" w:color="auto"/>
              </w:divBdr>
            </w:div>
            <w:div w:id="389572615">
              <w:marLeft w:val="0"/>
              <w:marRight w:val="0"/>
              <w:marTop w:val="0"/>
              <w:marBottom w:val="0"/>
              <w:divBdr>
                <w:top w:val="none" w:sz="0" w:space="0" w:color="auto"/>
                <w:left w:val="none" w:sz="0" w:space="0" w:color="auto"/>
                <w:bottom w:val="none" w:sz="0" w:space="0" w:color="auto"/>
                <w:right w:val="none" w:sz="0" w:space="0" w:color="auto"/>
              </w:divBdr>
            </w:div>
            <w:div w:id="79370090">
              <w:marLeft w:val="0"/>
              <w:marRight w:val="0"/>
              <w:marTop w:val="0"/>
              <w:marBottom w:val="0"/>
              <w:divBdr>
                <w:top w:val="none" w:sz="0" w:space="0" w:color="auto"/>
                <w:left w:val="none" w:sz="0" w:space="0" w:color="auto"/>
                <w:bottom w:val="none" w:sz="0" w:space="0" w:color="auto"/>
                <w:right w:val="none" w:sz="0" w:space="0" w:color="auto"/>
              </w:divBdr>
            </w:div>
          </w:divsChild>
        </w:div>
        <w:div w:id="1668749103">
          <w:marLeft w:val="0"/>
          <w:marRight w:val="0"/>
          <w:marTop w:val="0"/>
          <w:marBottom w:val="0"/>
          <w:divBdr>
            <w:top w:val="none" w:sz="0" w:space="0" w:color="auto"/>
            <w:left w:val="none" w:sz="0" w:space="0" w:color="auto"/>
            <w:bottom w:val="none" w:sz="0" w:space="0" w:color="auto"/>
            <w:right w:val="none" w:sz="0" w:space="0" w:color="auto"/>
          </w:divBdr>
        </w:div>
        <w:div w:id="2146266801">
          <w:marLeft w:val="0"/>
          <w:marRight w:val="0"/>
          <w:marTop w:val="0"/>
          <w:marBottom w:val="0"/>
          <w:divBdr>
            <w:top w:val="none" w:sz="0" w:space="0" w:color="auto"/>
            <w:left w:val="none" w:sz="0" w:space="0" w:color="auto"/>
            <w:bottom w:val="none" w:sz="0" w:space="0" w:color="auto"/>
            <w:right w:val="none" w:sz="0" w:space="0" w:color="auto"/>
          </w:divBdr>
        </w:div>
      </w:divsChild>
    </w:div>
    <w:div w:id="417411518">
      <w:bodyDiv w:val="1"/>
      <w:marLeft w:val="0"/>
      <w:marRight w:val="0"/>
      <w:marTop w:val="0"/>
      <w:marBottom w:val="0"/>
      <w:divBdr>
        <w:top w:val="none" w:sz="0" w:space="0" w:color="auto"/>
        <w:left w:val="none" w:sz="0" w:space="0" w:color="auto"/>
        <w:bottom w:val="none" w:sz="0" w:space="0" w:color="auto"/>
        <w:right w:val="none" w:sz="0" w:space="0" w:color="auto"/>
      </w:divBdr>
      <w:divsChild>
        <w:div w:id="1930381290">
          <w:marLeft w:val="0"/>
          <w:marRight w:val="0"/>
          <w:marTop w:val="0"/>
          <w:marBottom w:val="0"/>
          <w:divBdr>
            <w:top w:val="none" w:sz="0" w:space="0" w:color="auto"/>
            <w:left w:val="none" w:sz="0" w:space="0" w:color="auto"/>
            <w:bottom w:val="none" w:sz="0" w:space="0" w:color="auto"/>
            <w:right w:val="none" w:sz="0" w:space="0" w:color="auto"/>
          </w:divBdr>
          <w:divsChild>
            <w:div w:id="882982586">
              <w:marLeft w:val="0"/>
              <w:marRight w:val="0"/>
              <w:marTop w:val="0"/>
              <w:marBottom w:val="0"/>
              <w:divBdr>
                <w:top w:val="none" w:sz="0" w:space="0" w:color="auto"/>
                <w:left w:val="none" w:sz="0" w:space="0" w:color="auto"/>
                <w:bottom w:val="none" w:sz="0" w:space="0" w:color="auto"/>
                <w:right w:val="none" w:sz="0" w:space="0" w:color="auto"/>
              </w:divBdr>
            </w:div>
          </w:divsChild>
        </w:div>
        <w:div w:id="412817026">
          <w:marLeft w:val="0"/>
          <w:marRight w:val="0"/>
          <w:marTop w:val="0"/>
          <w:marBottom w:val="0"/>
          <w:divBdr>
            <w:top w:val="none" w:sz="0" w:space="0" w:color="auto"/>
            <w:left w:val="none" w:sz="0" w:space="0" w:color="auto"/>
            <w:bottom w:val="none" w:sz="0" w:space="0" w:color="auto"/>
            <w:right w:val="none" w:sz="0" w:space="0" w:color="auto"/>
          </w:divBdr>
          <w:divsChild>
            <w:div w:id="1862473549">
              <w:marLeft w:val="0"/>
              <w:marRight w:val="0"/>
              <w:marTop w:val="0"/>
              <w:marBottom w:val="0"/>
              <w:divBdr>
                <w:top w:val="none" w:sz="0" w:space="0" w:color="auto"/>
                <w:left w:val="none" w:sz="0" w:space="0" w:color="auto"/>
                <w:bottom w:val="none" w:sz="0" w:space="0" w:color="auto"/>
                <w:right w:val="none" w:sz="0" w:space="0" w:color="auto"/>
              </w:divBdr>
            </w:div>
            <w:div w:id="1971788694">
              <w:marLeft w:val="0"/>
              <w:marRight w:val="0"/>
              <w:marTop w:val="0"/>
              <w:marBottom w:val="0"/>
              <w:divBdr>
                <w:top w:val="none" w:sz="0" w:space="0" w:color="auto"/>
                <w:left w:val="none" w:sz="0" w:space="0" w:color="auto"/>
                <w:bottom w:val="none" w:sz="0" w:space="0" w:color="auto"/>
                <w:right w:val="none" w:sz="0" w:space="0" w:color="auto"/>
              </w:divBdr>
            </w:div>
            <w:div w:id="1545679656">
              <w:marLeft w:val="0"/>
              <w:marRight w:val="0"/>
              <w:marTop w:val="0"/>
              <w:marBottom w:val="0"/>
              <w:divBdr>
                <w:top w:val="none" w:sz="0" w:space="0" w:color="auto"/>
                <w:left w:val="none" w:sz="0" w:space="0" w:color="auto"/>
                <w:bottom w:val="none" w:sz="0" w:space="0" w:color="auto"/>
                <w:right w:val="none" w:sz="0" w:space="0" w:color="auto"/>
              </w:divBdr>
            </w:div>
          </w:divsChild>
        </w:div>
        <w:div w:id="1673021813">
          <w:marLeft w:val="0"/>
          <w:marRight w:val="0"/>
          <w:marTop w:val="0"/>
          <w:marBottom w:val="0"/>
          <w:divBdr>
            <w:top w:val="none" w:sz="0" w:space="0" w:color="auto"/>
            <w:left w:val="none" w:sz="0" w:space="0" w:color="auto"/>
            <w:bottom w:val="none" w:sz="0" w:space="0" w:color="auto"/>
            <w:right w:val="none" w:sz="0" w:space="0" w:color="auto"/>
          </w:divBdr>
          <w:divsChild>
            <w:div w:id="2123186913">
              <w:marLeft w:val="0"/>
              <w:marRight w:val="0"/>
              <w:marTop w:val="0"/>
              <w:marBottom w:val="0"/>
              <w:divBdr>
                <w:top w:val="none" w:sz="0" w:space="0" w:color="auto"/>
                <w:left w:val="none" w:sz="0" w:space="0" w:color="auto"/>
                <w:bottom w:val="none" w:sz="0" w:space="0" w:color="auto"/>
                <w:right w:val="none" w:sz="0" w:space="0" w:color="auto"/>
              </w:divBdr>
            </w:div>
            <w:div w:id="1411926650">
              <w:marLeft w:val="0"/>
              <w:marRight w:val="0"/>
              <w:marTop w:val="0"/>
              <w:marBottom w:val="0"/>
              <w:divBdr>
                <w:top w:val="none" w:sz="0" w:space="0" w:color="auto"/>
                <w:left w:val="none" w:sz="0" w:space="0" w:color="auto"/>
                <w:bottom w:val="none" w:sz="0" w:space="0" w:color="auto"/>
                <w:right w:val="none" w:sz="0" w:space="0" w:color="auto"/>
              </w:divBdr>
            </w:div>
            <w:div w:id="1399279090">
              <w:marLeft w:val="0"/>
              <w:marRight w:val="0"/>
              <w:marTop w:val="0"/>
              <w:marBottom w:val="0"/>
              <w:divBdr>
                <w:top w:val="none" w:sz="0" w:space="0" w:color="auto"/>
                <w:left w:val="none" w:sz="0" w:space="0" w:color="auto"/>
                <w:bottom w:val="none" w:sz="0" w:space="0" w:color="auto"/>
                <w:right w:val="none" w:sz="0" w:space="0" w:color="auto"/>
              </w:divBdr>
            </w:div>
          </w:divsChild>
        </w:div>
        <w:div w:id="646933151">
          <w:marLeft w:val="0"/>
          <w:marRight w:val="0"/>
          <w:marTop w:val="0"/>
          <w:marBottom w:val="0"/>
          <w:divBdr>
            <w:top w:val="none" w:sz="0" w:space="0" w:color="auto"/>
            <w:left w:val="none" w:sz="0" w:space="0" w:color="auto"/>
            <w:bottom w:val="none" w:sz="0" w:space="0" w:color="auto"/>
            <w:right w:val="none" w:sz="0" w:space="0" w:color="auto"/>
          </w:divBdr>
        </w:div>
        <w:div w:id="1869289608">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49866015">
      <w:bodyDiv w:val="1"/>
      <w:marLeft w:val="0"/>
      <w:marRight w:val="0"/>
      <w:marTop w:val="0"/>
      <w:marBottom w:val="0"/>
      <w:divBdr>
        <w:top w:val="none" w:sz="0" w:space="0" w:color="auto"/>
        <w:left w:val="none" w:sz="0" w:space="0" w:color="auto"/>
        <w:bottom w:val="none" w:sz="0" w:space="0" w:color="auto"/>
        <w:right w:val="none" w:sz="0" w:space="0" w:color="auto"/>
      </w:divBdr>
      <w:divsChild>
        <w:div w:id="2097021033">
          <w:marLeft w:val="0"/>
          <w:marRight w:val="0"/>
          <w:marTop w:val="0"/>
          <w:marBottom w:val="0"/>
          <w:divBdr>
            <w:top w:val="none" w:sz="0" w:space="0" w:color="auto"/>
            <w:left w:val="none" w:sz="0" w:space="0" w:color="auto"/>
            <w:bottom w:val="none" w:sz="0" w:space="0" w:color="auto"/>
            <w:right w:val="none" w:sz="0" w:space="0" w:color="auto"/>
          </w:divBdr>
          <w:divsChild>
            <w:div w:id="1241868515">
              <w:marLeft w:val="0"/>
              <w:marRight w:val="0"/>
              <w:marTop w:val="0"/>
              <w:marBottom w:val="0"/>
              <w:divBdr>
                <w:top w:val="none" w:sz="0" w:space="0" w:color="auto"/>
                <w:left w:val="none" w:sz="0" w:space="0" w:color="auto"/>
                <w:bottom w:val="none" w:sz="0" w:space="0" w:color="auto"/>
                <w:right w:val="none" w:sz="0" w:space="0" w:color="auto"/>
              </w:divBdr>
            </w:div>
          </w:divsChild>
        </w:div>
        <w:div w:id="1968270063">
          <w:marLeft w:val="0"/>
          <w:marRight w:val="0"/>
          <w:marTop w:val="0"/>
          <w:marBottom w:val="0"/>
          <w:divBdr>
            <w:top w:val="none" w:sz="0" w:space="0" w:color="auto"/>
            <w:left w:val="none" w:sz="0" w:space="0" w:color="auto"/>
            <w:bottom w:val="none" w:sz="0" w:space="0" w:color="auto"/>
            <w:right w:val="none" w:sz="0" w:space="0" w:color="auto"/>
          </w:divBdr>
          <w:divsChild>
            <w:div w:id="1416131284">
              <w:marLeft w:val="0"/>
              <w:marRight w:val="0"/>
              <w:marTop w:val="0"/>
              <w:marBottom w:val="0"/>
              <w:divBdr>
                <w:top w:val="none" w:sz="0" w:space="0" w:color="auto"/>
                <w:left w:val="none" w:sz="0" w:space="0" w:color="auto"/>
                <w:bottom w:val="none" w:sz="0" w:space="0" w:color="auto"/>
                <w:right w:val="none" w:sz="0" w:space="0" w:color="auto"/>
              </w:divBdr>
            </w:div>
            <w:div w:id="1200315527">
              <w:marLeft w:val="0"/>
              <w:marRight w:val="0"/>
              <w:marTop w:val="0"/>
              <w:marBottom w:val="0"/>
              <w:divBdr>
                <w:top w:val="none" w:sz="0" w:space="0" w:color="auto"/>
                <w:left w:val="none" w:sz="0" w:space="0" w:color="auto"/>
                <w:bottom w:val="none" w:sz="0" w:space="0" w:color="auto"/>
                <w:right w:val="none" w:sz="0" w:space="0" w:color="auto"/>
              </w:divBdr>
            </w:div>
            <w:div w:id="1480343102">
              <w:marLeft w:val="0"/>
              <w:marRight w:val="0"/>
              <w:marTop w:val="0"/>
              <w:marBottom w:val="0"/>
              <w:divBdr>
                <w:top w:val="none" w:sz="0" w:space="0" w:color="auto"/>
                <w:left w:val="none" w:sz="0" w:space="0" w:color="auto"/>
                <w:bottom w:val="none" w:sz="0" w:space="0" w:color="auto"/>
                <w:right w:val="none" w:sz="0" w:space="0" w:color="auto"/>
              </w:divBdr>
            </w:div>
          </w:divsChild>
        </w:div>
        <w:div w:id="1306164081">
          <w:marLeft w:val="0"/>
          <w:marRight w:val="0"/>
          <w:marTop w:val="0"/>
          <w:marBottom w:val="0"/>
          <w:divBdr>
            <w:top w:val="none" w:sz="0" w:space="0" w:color="auto"/>
            <w:left w:val="none" w:sz="0" w:space="0" w:color="auto"/>
            <w:bottom w:val="none" w:sz="0" w:space="0" w:color="auto"/>
            <w:right w:val="none" w:sz="0" w:space="0" w:color="auto"/>
          </w:divBdr>
          <w:divsChild>
            <w:div w:id="2100983621">
              <w:marLeft w:val="0"/>
              <w:marRight w:val="0"/>
              <w:marTop w:val="0"/>
              <w:marBottom w:val="0"/>
              <w:divBdr>
                <w:top w:val="none" w:sz="0" w:space="0" w:color="auto"/>
                <w:left w:val="none" w:sz="0" w:space="0" w:color="auto"/>
                <w:bottom w:val="none" w:sz="0" w:space="0" w:color="auto"/>
                <w:right w:val="none" w:sz="0" w:space="0" w:color="auto"/>
              </w:divBdr>
            </w:div>
            <w:div w:id="1062874152">
              <w:marLeft w:val="0"/>
              <w:marRight w:val="0"/>
              <w:marTop w:val="0"/>
              <w:marBottom w:val="0"/>
              <w:divBdr>
                <w:top w:val="none" w:sz="0" w:space="0" w:color="auto"/>
                <w:left w:val="none" w:sz="0" w:space="0" w:color="auto"/>
                <w:bottom w:val="none" w:sz="0" w:space="0" w:color="auto"/>
                <w:right w:val="none" w:sz="0" w:space="0" w:color="auto"/>
              </w:divBdr>
            </w:div>
            <w:div w:id="4291942">
              <w:marLeft w:val="0"/>
              <w:marRight w:val="0"/>
              <w:marTop w:val="0"/>
              <w:marBottom w:val="0"/>
              <w:divBdr>
                <w:top w:val="none" w:sz="0" w:space="0" w:color="auto"/>
                <w:left w:val="none" w:sz="0" w:space="0" w:color="auto"/>
                <w:bottom w:val="none" w:sz="0" w:space="0" w:color="auto"/>
                <w:right w:val="none" w:sz="0" w:space="0" w:color="auto"/>
              </w:divBdr>
            </w:div>
          </w:divsChild>
        </w:div>
        <w:div w:id="1067874912">
          <w:marLeft w:val="0"/>
          <w:marRight w:val="0"/>
          <w:marTop w:val="0"/>
          <w:marBottom w:val="0"/>
          <w:divBdr>
            <w:top w:val="none" w:sz="0" w:space="0" w:color="auto"/>
            <w:left w:val="none" w:sz="0" w:space="0" w:color="auto"/>
            <w:bottom w:val="none" w:sz="0" w:space="0" w:color="auto"/>
            <w:right w:val="none" w:sz="0" w:space="0" w:color="auto"/>
          </w:divBdr>
        </w:div>
        <w:div w:id="147583162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87412375">
      <w:bodyDiv w:val="1"/>
      <w:marLeft w:val="0"/>
      <w:marRight w:val="0"/>
      <w:marTop w:val="0"/>
      <w:marBottom w:val="0"/>
      <w:divBdr>
        <w:top w:val="none" w:sz="0" w:space="0" w:color="auto"/>
        <w:left w:val="none" w:sz="0" w:space="0" w:color="auto"/>
        <w:bottom w:val="none" w:sz="0" w:space="0" w:color="auto"/>
        <w:right w:val="none" w:sz="0" w:space="0" w:color="auto"/>
      </w:divBdr>
      <w:divsChild>
        <w:div w:id="853494465">
          <w:marLeft w:val="0"/>
          <w:marRight w:val="0"/>
          <w:marTop w:val="0"/>
          <w:marBottom w:val="0"/>
          <w:divBdr>
            <w:top w:val="none" w:sz="0" w:space="0" w:color="auto"/>
            <w:left w:val="none" w:sz="0" w:space="0" w:color="auto"/>
            <w:bottom w:val="none" w:sz="0" w:space="0" w:color="auto"/>
            <w:right w:val="none" w:sz="0" w:space="0" w:color="auto"/>
          </w:divBdr>
          <w:divsChild>
            <w:div w:id="423842589">
              <w:marLeft w:val="0"/>
              <w:marRight w:val="0"/>
              <w:marTop w:val="0"/>
              <w:marBottom w:val="0"/>
              <w:divBdr>
                <w:top w:val="none" w:sz="0" w:space="0" w:color="auto"/>
                <w:left w:val="none" w:sz="0" w:space="0" w:color="auto"/>
                <w:bottom w:val="none" w:sz="0" w:space="0" w:color="auto"/>
                <w:right w:val="none" w:sz="0" w:space="0" w:color="auto"/>
              </w:divBdr>
            </w:div>
          </w:divsChild>
        </w:div>
        <w:div w:id="2133088087">
          <w:marLeft w:val="0"/>
          <w:marRight w:val="0"/>
          <w:marTop w:val="0"/>
          <w:marBottom w:val="0"/>
          <w:divBdr>
            <w:top w:val="none" w:sz="0" w:space="0" w:color="auto"/>
            <w:left w:val="none" w:sz="0" w:space="0" w:color="auto"/>
            <w:bottom w:val="none" w:sz="0" w:space="0" w:color="auto"/>
            <w:right w:val="none" w:sz="0" w:space="0" w:color="auto"/>
          </w:divBdr>
          <w:divsChild>
            <w:div w:id="2101563610">
              <w:marLeft w:val="0"/>
              <w:marRight w:val="0"/>
              <w:marTop w:val="0"/>
              <w:marBottom w:val="0"/>
              <w:divBdr>
                <w:top w:val="none" w:sz="0" w:space="0" w:color="auto"/>
                <w:left w:val="none" w:sz="0" w:space="0" w:color="auto"/>
                <w:bottom w:val="none" w:sz="0" w:space="0" w:color="auto"/>
                <w:right w:val="none" w:sz="0" w:space="0" w:color="auto"/>
              </w:divBdr>
            </w:div>
            <w:div w:id="1287202856">
              <w:marLeft w:val="0"/>
              <w:marRight w:val="0"/>
              <w:marTop w:val="0"/>
              <w:marBottom w:val="0"/>
              <w:divBdr>
                <w:top w:val="none" w:sz="0" w:space="0" w:color="auto"/>
                <w:left w:val="none" w:sz="0" w:space="0" w:color="auto"/>
                <w:bottom w:val="none" w:sz="0" w:space="0" w:color="auto"/>
                <w:right w:val="none" w:sz="0" w:space="0" w:color="auto"/>
              </w:divBdr>
            </w:div>
            <w:div w:id="611328656">
              <w:marLeft w:val="0"/>
              <w:marRight w:val="0"/>
              <w:marTop w:val="0"/>
              <w:marBottom w:val="0"/>
              <w:divBdr>
                <w:top w:val="none" w:sz="0" w:space="0" w:color="auto"/>
                <w:left w:val="none" w:sz="0" w:space="0" w:color="auto"/>
                <w:bottom w:val="none" w:sz="0" w:space="0" w:color="auto"/>
                <w:right w:val="none" w:sz="0" w:space="0" w:color="auto"/>
              </w:divBdr>
            </w:div>
          </w:divsChild>
        </w:div>
        <w:div w:id="316543493">
          <w:marLeft w:val="0"/>
          <w:marRight w:val="0"/>
          <w:marTop w:val="0"/>
          <w:marBottom w:val="0"/>
          <w:divBdr>
            <w:top w:val="none" w:sz="0" w:space="0" w:color="auto"/>
            <w:left w:val="none" w:sz="0" w:space="0" w:color="auto"/>
            <w:bottom w:val="none" w:sz="0" w:space="0" w:color="auto"/>
            <w:right w:val="none" w:sz="0" w:space="0" w:color="auto"/>
          </w:divBdr>
          <w:divsChild>
            <w:div w:id="870799236">
              <w:marLeft w:val="0"/>
              <w:marRight w:val="0"/>
              <w:marTop w:val="0"/>
              <w:marBottom w:val="0"/>
              <w:divBdr>
                <w:top w:val="none" w:sz="0" w:space="0" w:color="auto"/>
                <w:left w:val="none" w:sz="0" w:space="0" w:color="auto"/>
                <w:bottom w:val="none" w:sz="0" w:space="0" w:color="auto"/>
                <w:right w:val="none" w:sz="0" w:space="0" w:color="auto"/>
              </w:divBdr>
            </w:div>
            <w:div w:id="13700124">
              <w:marLeft w:val="0"/>
              <w:marRight w:val="0"/>
              <w:marTop w:val="0"/>
              <w:marBottom w:val="0"/>
              <w:divBdr>
                <w:top w:val="none" w:sz="0" w:space="0" w:color="auto"/>
                <w:left w:val="none" w:sz="0" w:space="0" w:color="auto"/>
                <w:bottom w:val="none" w:sz="0" w:space="0" w:color="auto"/>
                <w:right w:val="none" w:sz="0" w:space="0" w:color="auto"/>
              </w:divBdr>
            </w:div>
            <w:div w:id="206138286">
              <w:marLeft w:val="0"/>
              <w:marRight w:val="0"/>
              <w:marTop w:val="0"/>
              <w:marBottom w:val="0"/>
              <w:divBdr>
                <w:top w:val="none" w:sz="0" w:space="0" w:color="auto"/>
                <w:left w:val="none" w:sz="0" w:space="0" w:color="auto"/>
                <w:bottom w:val="none" w:sz="0" w:space="0" w:color="auto"/>
                <w:right w:val="none" w:sz="0" w:space="0" w:color="auto"/>
              </w:divBdr>
            </w:div>
          </w:divsChild>
        </w:div>
        <w:div w:id="1247227952">
          <w:marLeft w:val="0"/>
          <w:marRight w:val="0"/>
          <w:marTop w:val="0"/>
          <w:marBottom w:val="0"/>
          <w:divBdr>
            <w:top w:val="none" w:sz="0" w:space="0" w:color="auto"/>
            <w:left w:val="none" w:sz="0" w:space="0" w:color="auto"/>
            <w:bottom w:val="none" w:sz="0" w:space="0" w:color="auto"/>
            <w:right w:val="none" w:sz="0" w:space="0" w:color="auto"/>
          </w:divBdr>
        </w:div>
        <w:div w:id="759646302">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33427975">
      <w:bodyDiv w:val="1"/>
      <w:marLeft w:val="0"/>
      <w:marRight w:val="0"/>
      <w:marTop w:val="0"/>
      <w:marBottom w:val="0"/>
      <w:divBdr>
        <w:top w:val="none" w:sz="0" w:space="0" w:color="auto"/>
        <w:left w:val="none" w:sz="0" w:space="0" w:color="auto"/>
        <w:bottom w:val="none" w:sz="0" w:space="0" w:color="auto"/>
        <w:right w:val="none" w:sz="0" w:space="0" w:color="auto"/>
      </w:divBdr>
      <w:divsChild>
        <w:div w:id="906257601">
          <w:marLeft w:val="0"/>
          <w:marRight w:val="0"/>
          <w:marTop w:val="0"/>
          <w:marBottom w:val="0"/>
          <w:divBdr>
            <w:top w:val="none" w:sz="0" w:space="0" w:color="auto"/>
            <w:left w:val="none" w:sz="0" w:space="0" w:color="auto"/>
            <w:bottom w:val="none" w:sz="0" w:space="0" w:color="auto"/>
            <w:right w:val="none" w:sz="0" w:space="0" w:color="auto"/>
          </w:divBdr>
          <w:divsChild>
            <w:div w:id="1443573348">
              <w:marLeft w:val="0"/>
              <w:marRight w:val="0"/>
              <w:marTop w:val="0"/>
              <w:marBottom w:val="0"/>
              <w:divBdr>
                <w:top w:val="none" w:sz="0" w:space="0" w:color="auto"/>
                <w:left w:val="none" w:sz="0" w:space="0" w:color="auto"/>
                <w:bottom w:val="none" w:sz="0" w:space="0" w:color="auto"/>
                <w:right w:val="none" w:sz="0" w:space="0" w:color="auto"/>
              </w:divBdr>
            </w:div>
          </w:divsChild>
        </w:div>
        <w:div w:id="313336831">
          <w:marLeft w:val="0"/>
          <w:marRight w:val="0"/>
          <w:marTop w:val="0"/>
          <w:marBottom w:val="0"/>
          <w:divBdr>
            <w:top w:val="none" w:sz="0" w:space="0" w:color="auto"/>
            <w:left w:val="none" w:sz="0" w:space="0" w:color="auto"/>
            <w:bottom w:val="none" w:sz="0" w:space="0" w:color="auto"/>
            <w:right w:val="none" w:sz="0" w:space="0" w:color="auto"/>
          </w:divBdr>
          <w:divsChild>
            <w:div w:id="1509950539">
              <w:marLeft w:val="0"/>
              <w:marRight w:val="0"/>
              <w:marTop w:val="0"/>
              <w:marBottom w:val="0"/>
              <w:divBdr>
                <w:top w:val="none" w:sz="0" w:space="0" w:color="auto"/>
                <w:left w:val="none" w:sz="0" w:space="0" w:color="auto"/>
                <w:bottom w:val="none" w:sz="0" w:space="0" w:color="auto"/>
                <w:right w:val="none" w:sz="0" w:space="0" w:color="auto"/>
              </w:divBdr>
            </w:div>
            <w:div w:id="780690527">
              <w:marLeft w:val="0"/>
              <w:marRight w:val="0"/>
              <w:marTop w:val="0"/>
              <w:marBottom w:val="0"/>
              <w:divBdr>
                <w:top w:val="none" w:sz="0" w:space="0" w:color="auto"/>
                <w:left w:val="none" w:sz="0" w:space="0" w:color="auto"/>
                <w:bottom w:val="none" w:sz="0" w:space="0" w:color="auto"/>
                <w:right w:val="none" w:sz="0" w:space="0" w:color="auto"/>
              </w:divBdr>
            </w:div>
            <w:div w:id="699628413">
              <w:marLeft w:val="0"/>
              <w:marRight w:val="0"/>
              <w:marTop w:val="0"/>
              <w:marBottom w:val="0"/>
              <w:divBdr>
                <w:top w:val="none" w:sz="0" w:space="0" w:color="auto"/>
                <w:left w:val="none" w:sz="0" w:space="0" w:color="auto"/>
                <w:bottom w:val="none" w:sz="0" w:space="0" w:color="auto"/>
                <w:right w:val="none" w:sz="0" w:space="0" w:color="auto"/>
              </w:divBdr>
            </w:div>
          </w:divsChild>
        </w:div>
        <w:div w:id="1862164521">
          <w:marLeft w:val="0"/>
          <w:marRight w:val="0"/>
          <w:marTop w:val="0"/>
          <w:marBottom w:val="0"/>
          <w:divBdr>
            <w:top w:val="none" w:sz="0" w:space="0" w:color="auto"/>
            <w:left w:val="none" w:sz="0" w:space="0" w:color="auto"/>
            <w:bottom w:val="none" w:sz="0" w:space="0" w:color="auto"/>
            <w:right w:val="none" w:sz="0" w:space="0" w:color="auto"/>
          </w:divBdr>
          <w:divsChild>
            <w:div w:id="2136672085">
              <w:marLeft w:val="0"/>
              <w:marRight w:val="0"/>
              <w:marTop w:val="0"/>
              <w:marBottom w:val="0"/>
              <w:divBdr>
                <w:top w:val="none" w:sz="0" w:space="0" w:color="auto"/>
                <w:left w:val="none" w:sz="0" w:space="0" w:color="auto"/>
                <w:bottom w:val="none" w:sz="0" w:space="0" w:color="auto"/>
                <w:right w:val="none" w:sz="0" w:space="0" w:color="auto"/>
              </w:divBdr>
            </w:div>
            <w:div w:id="1287155759">
              <w:marLeft w:val="0"/>
              <w:marRight w:val="0"/>
              <w:marTop w:val="0"/>
              <w:marBottom w:val="0"/>
              <w:divBdr>
                <w:top w:val="none" w:sz="0" w:space="0" w:color="auto"/>
                <w:left w:val="none" w:sz="0" w:space="0" w:color="auto"/>
                <w:bottom w:val="none" w:sz="0" w:space="0" w:color="auto"/>
                <w:right w:val="none" w:sz="0" w:space="0" w:color="auto"/>
              </w:divBdr>
            </w:div>
            <w:div w:id="1862862601">
              <w:marLeft w:val="0"/>
              <w:marRight w:val="0"/>
              <w:marTop w:val="0"/>
              <w:marBottom w:val="0"/>
              <w:divBdr>
                <w:top w:val="none" w:sz="0" w:space="0" w:color="auto"/>
                <w:left w:val="none" w:sz="0" w:space="0" w:color="auto"/>
                <w:bottom w:val="none" w:sz="0" w:space="0" w:color="auto"/>
                <w:right w:val="none" w:sz="0" w:space="0" w:color="auto"/>
              </w:divBdr>
            </w:div>
          </w:divsChild>
        </w:div>
        <w:div w:id="501355572">
          <w:marLeft w:val="0"/>
          <w:marRight w:val="0"/>
          <w:marTop w:val="0"/>
          <w:marBottom w:val="0"/>
          <w:divBdr>
            <w:top w:val="none" w:sz="0" w:space="0" w:color="auto"/>
            <w:left w:val="none" w:sz="0" w:space="0" w:color="auto"/>
            <w:bottom w:val="none" w:sz="0" w:space="0" w:color="auto"/>
            <w:right w:val="none" w:sz="0" w:space="0" w:color="auto"/>
          </w:divBdr>
        </w:div>
        <w:div w:id="784889746">
          <w:marLeft w:val="0"/>
          <w:marRight w:val="0"/>
          <w:marTop w:val="0"/>
          <w:marBottom w:val="0"/>
          <w:divBdr>
            <w:top w:val="none" w:sz="0" w:space="0" w:color="auto"/>
            <w:left w:val="none" w:sz="0" w:space="0" w:color="auto"/>
            <w:bottom w:val="none" w:sz="0" w:space="0" w:color="auto"/>
            <w:right w:val="none" w:sz="0" w:space="0" w:color="auto"/>
          </w:divBdr>
        </w:div>
      </w:divsChild>
    </w:div>
    <w:div w:id="1463572704">
      <w:bodyDiv w:val="1"/>
      <w:marLeft w:val="0"/>
      <w:marRight w:val="0"/>
      <w:marTop w:val="0"/>
      <w:marBottom w:val="0"/>
      <w:divBdr>
        <w:top w:val="none" w:sz="0" w:space="0" w:color="auto"/>
        <w:left w:val="none" w:sz="0" w:space="0" w:color="auto"/>
        <w:bottom w:val="none" w:sz="0" w:space="0" w:color="auto"/>
        <w:right w:val="none" w:sz="0" w:space="0" w:color="auto"/>
      </w:divBdr>
      <w:divsChild>
        <w:div w:id="2027976978">
          <w:marLeft w:val="0"/>
          <w:marRight w:val="0"/>
          <w:marTop w:val="0"/>
          <w:marBottom w:val="0"/>
          <w:divBdr>
            <w:top w:val="none" w:sz="0" w:space="0" w:color="auto"/>
            <w:left w:val="none" w:sz="0" w:space="0" w:color="auto"/>
            <w:bottom w:val="none" w:sz="0" w:space="0" w:color="auto"/>
            <w:right w:val="none" w:sz="0" w:space="0" w:color="auto"/>
          </w:divBdr>
          <w:divsChild>
            <w:div w:id="1705061736">
              <w:marLeft w:val="0"/>
              <w:marRight w:val="0"/>
              <w:marTop w:val="0"/>
              <w:marBottom w:val="0"/>
              <w:divBdr>
                <w:top w:val="none" w:sz="0" w:space="0" w:color="auto"/>
                <w:left w:val="none" w:sz="0" w:space="0" w:color="auto"/>
                <w:bottom w:val="none" w:sz="0" w:space="0" w:color="auto"/>
                <w:right w:val="none" w:sz="0" w:space="0" w:color="auto"/>
              </w:divBdr>
            </w:div>
          </w:divsChild>
        </w:div>
        <w:div w:id="671613417">
          <w:marLeft w:val="0"/>
          <w:marRight w:val="0"/>
          <w:marTop w:val="0"/>
          <w:marBottom w:val="0"/>
          <w:divBdr>
            <w:top w:val="none" w:sz="0" w:space="0" w:color="auto"/>
            <w:left w:val="none" w:sz="0" w:space="0" w:color="auto"/>
            <w:bottom w:val="none" w:sz="0" w:space="0" w:color="auto"/>
            <w:right w:val="none" w:sz="0" w:space="0" w:color="auto"/>
          </w:divBdr>
          <w:divsChild>
            <w:div w:id="1625505353">
              <w:marLeft w:val="0"/>
              <w:marRight w:val="0"/>
              <w:marTop w:val="0"/>
              <w:marBottom w:val="0"/>
              <w:divBdr>
                <w:top w:val="none" w:sz="0" w:space="0" w:color="auto"/>
                <w:left w:val="none" w:sz="0" w:space="0" w:color="auto"/>
                <w:bottom w:val="none" w:sz="0" w:space="0" w:color="auto"/>
                <w:right w:val="none" w:sz="0" w:space="0" w:color="auto"/>
              </w:divBdr>
            </w:div>
            <w:div w:id="596866951">
              <w:marLeft w:val="0"/>
              <w:marRight w:val="0"/>
              <w:marTop w:val="0"/>
              <w:marBottom w:val="0"/>
              <w:divBdr>
                <w:top w:val="none" w:sz="0" w:space="0" w:color="auto"/>
                <w:left w:val="none" w:sz="0" w:space="0" w:color="auto"/>
                <w:bottom w:val="none" w:sz="0" w:space="0" w:color="auto"/>
                <w:right w:val="none" w:sz="0" w:space="0" w:color="auto"/>
              </w:divBdr>
            </w:div>
            <w:div w:id="783841947">
              <w:marLeft w:val="0"/>
              <w:marRight w:val="0"/>
              <w:marTop w:val="0"/>
              <w:marBottom w:val="0"/>
              <w:divBdr>
                <w:top w:val="none" w:sz="0" w:space="0" w:color="auto"/>
                <w:left w:val="none" w:sz="0" w:space="0" w:color="auto"/>
                <w:bottom w:val="none" w:sz="0" w:space="0" w:color="auto"/>
                <w:right w:val="none" w:sz="0" w:space="0" w:color="auto"/>
              </w:divBdr>
            </w:div>
          </w:divsChild>
        </w:div>
        <w:div w:id="747649989">
          <w:marLeft w:val="0"/>
          <w:marRight w:val="0"/>
          <w:marTop w:val="0"/>
          <w:marBottom w:val="0"/>
          <w:divBdr>
            <w:top w:val="none" w:sz="0" w:space="0" w:color="auto"/>
            <w:left w:val="none" w:sz="0" w:space="0" w:color="auto"/>
            <w:bottom w:val="none" w:sz="0" w:space="0" w:color="auto"/>
            <w:right w:val="none" w:sz="0" w:space="0" w:color="auto"/>
          </w:divBdr>
          <w:divsChild>
            <w:div w:id="1584871668">
              <w:marLeft w:val="0"/>
              <w:marRight w:val="0"/>
              <w:marTop w:val="0"/>
              <w:marBottom w:val="0"/>
              <w:divBdr>
                <w:top w:val="none" w:sz="0" w:space="0" w:color="auto"/>
                <w:left w:val="none" w:sz="0" w:space="0" w:color="auto"/>
                <w:bottom w:val="none" w:sz="0" w:space="0" w:color="auto"/>
                <w:right w:val="none" w:sz="0" w:space="0" w:color="auto"/>
              </w:divBdr>
            </w:div>
            <w:div w:id="17436709">
              <w:marLeft w:val="0"/>
              <w:marRight w:val="0"/>
              <w:marTop w:val="0"/>
              <w:marBottom w:val="0"/>
              <w:divBdr>
                <w:top w:val="none" w:sz="0" w:space="0" w:color="auto"/>
                <w:left w:val="none" w:sz="0" w:space="0" w:color="auto"/>
                <w:bottom w:val="none" w:sz="0" w:space="0" w:color="auto"/>
                <w:right w:val="none" w:sz="0" w:space="0" w:color="auto"/>
              </w:divBdr>
            </w:div>
            <w:div w:id="1642493251">
              <w:marLeft w:val="0"/>
              <w:marRight w:val="0"/>
              <w:marTop w:val="0"/>
              <w:marBottom w:val="0"/>
              <w:divBdr>
                <w:top w:val="none" w:sz="0" w:space="0" w:color="auto"/>
                <w:left w:val="none" w:sz="0" w:space="0" w:color="auto"/>
                <w:bottom w:val="none" w:sz="0" w:space="0" w:color="auto"/>
                <w:right w:val="none" w:sz="0" w:space="0" w:color="auto"/>
              </w:divBdr>
            </w:div>
          </w:divsChild>
        </w:div>
        <w:div w:id="215509733">
          <w:marLeft w:val="0"/>
          <w:marRight w:val="0"/>
          <w:marTop w:val="0"/>
          <w:marBottom w:val="0"/>
          <w:divBdr>
            <w:top w:val="none" w:sz="0" w:space="0" w:color="auto"/>
            <w:left w:val="none" w:sz="0" w:space="0" w:color="auto"/>
            <w:bottom w:val="none" w:sz="0" w:space="0" w:color="auto"/>
            <w:right w:val="none" w:sz="0" w:space="0" w:color="auto"/>
          </w:divBdr>
        </w:div>
        <w:div w:id="173689620">
          <w:marLeft w:val="0"/>
          <w:marRight w:val="0"/>
          <w:marTop w:val="0"/>
          <w:marBottom w:val="0"/>
          <w:divBdr>
            <w:top w:val="none" w:sz="0" w:space="0" w:color="auto"/>
            <w:left w:val="none" w:sz="0" w:space="0" w:color="auto"/>
            <w:bottom w:val="none" w:sz="0" w:space="0" w:color="auto"/>
            <w:right w:val="none" w:sz="0" w:space="0" w:color="auto"/>
          </w:divBdr>
        </w:div>
      </w:divsChild>
    </w:div>
    <w:div w:id="1917544157">
      <w:bodyDiv w:val="1"/>
      <w:marLeft w:val="0"/>
      <w:marRight w:val="0"/>
      <w:marTop w:val="0"/>
      <w:marBottom w:val="0"/>
      <w:divBdr>
        <w:top w:val="none" w:sz="0" w:space="0" w:color="auto"/>
        <w:left w:val="none" w:sz="0" w:space="0" w:color="auto"/>
        <w:bottom w:val="none" w:sz="0" w:space="0" w:color="auto"/>
        <w:right w:val="none" w:sz="0" w:space="0" w:color="auto"/>
      </w:divBdr>
      <w:divsChild>
        <w:div w:id="1862207697">
          <w:marLeft w:val="0"/>
          <w:marRight w:val="0"/>
          <w:marTop w:val="0"/>
          <w:marBottom w:val="0"/>
          <w:divBdr>
            <w:top w:val="none" w:sz="0" w:space="0" w:color="auto"/>
            <w:left w:val="none" w:sz="0" w:space="0" w:color="auto"/>
            <w:bottom w:val="none" w:sz="0" w:space="0" w:color="auto"/>
            <w:right w:val="none" w:sz="0" w:space="0" w:color="auto"/>
          </w:divBdr>
          <w:divsChild>
            <w:div w:id="840393161">
              <w:marLeft w:val="0"/>
              <w:marRight w:val="0"/>
              <w:marTop w:val="0"/>
              <w:marBottom w:val="0"/>
              <w:divBdr>
                <w:top w:val="none" w:sz="0" w:space="0" w:color="auto"/>
                <w:left w:val="none" w:sz="0" w:space="0" w:color="auto"/>
                <w:bottom w:val="none" w:sz="0" w:space="0" w:color="auto"/>
                <w:right w:val="none" w:sz="0" w:space="0" w:color="auto"/>
              </w:divBdr>
            </w:div>
          </w:divsChild>
        </w:div>
        <w:div w:id="175730117">
          <w:marLeft w:val="0"/>
          <w:marRight w:val="0"/>
          <w:marTop w:val="0"/>
          <w:marBottom w:val="0"/>
          <w:divBdr>
            <w:top w:val="none" w:sz="0" w:space="0" w:color="auto"/>
            <w:left w:val="none" w:sz="0" w:space="0" w:color="auto"/>
            <w:bottom w:val="none" w:sz="0" w:space="0" w:color="auto"/>
            <w:right w:val="none" w:sz="0" w:space="0" w:color="auto"/>
          </w:divBdr>
          <w:divsChild>
            <w:div w:id="944534463">
              <w:marLeft w:val="0"/>
              <w:marRight w:val="0"/>
              <w:marTop w:val="0"/>
              <w:marBottom w:val="0"/>
              <w:divBdr>
                <w:top w:val="none" w:sz="0" w:space="0" w:color="auto"/>
                <w:left w:val="none" w:sz="0" w:space="0" w:color="auto"/>
                <w:bottom w:val="none" w:sz="0" w:space="0" w:color="auto"/>
                <w:right w:val="none" w:sz="0" w:space="0" w:color="auto"/>
              </w:divBdr>
            </w:div>
            <w:div w:id="63920287">
              <w:marLeft w:val="0"/>
              <w:marRight w:val="0"/>
              <w:marTop w:val="0"/>
              <w:marBottom w:val="0"/>
              <w:divBdr>
                <w:top w:val="none" w:sz="0" w:space="0" w:color="auto"/>
                <w:left w:val="none" w:sz="0" w:space="0" w:color="auto"/>
                <w:bottom w:val="none" w:sz="0" w:space="0" w:color="auto"/>
                <w:right w:val="none" w:sz="0" w:space="0" w:color="auto"/>
              </w:divBdr>
            </w:div>
            <w:div w:id="16667123">
              <w:marLeft w:val="0"/>
              <w:marRight w:val="0"/>
              <w:marTop w:val="0"/>
              <w:marBottom w:val="0"/>
              <w:divBdr>
                <w:top w:val="none" w:sz="0" w:space="0" w:color="auto"/>
                <w:left w:val="none" w:sz="0" w:space="0" w:color="auto"/>
                <w:bottom w:val="none" w:sz="0" w:space="0" w:color="auto"/>
                <w:right w:val="none" w:sz="0" w:space="0" w:color="auto"/>
              </w:divBdr>
            </w:div>
          </w:divsChild>
        </w:div>
        <w:div w:id="548690122">
          <w:marLeft w:val="0"/>
          <w:marRight w:val="0"/>
          <w:marTop w:val="0"/>
          <w:marBottom w:val="0"/>
          <w:divBdr>
            <w:top w:val="none" w:sz="0" w:space="0" w:color="auto"/>
            <w:left w:val="none" w:sz="0" w:space="0" w:color="auto"/>
            <w:bottom w:val="none" w:sz="0" w:space="0" w:color="auto"/>
            <w:right w:val="none" w:sz="0" w:space="0" w:color="auto"/>
          </w:divBdr>
          <w:divsChild>
            <w:div w:id="1443763586">
              <w:marLeft w:val="0"/>
              <w:marRight w:val="0"/>
              <w:marTop w:val="0"/>
              <w:marBottom w:val="0"/>
              <w:divBdr>
                <w:top w:val="none" w:sz="0" w:space="0" w:color="auto"/>
                <w:left w:val="none" w:sz="0" w:space="0" w:color="auto"/>
                <w:bottom w:val="none" w:sz="0" w:space="0" w:color="auto"/>
                <w:right w:val="none" w:sz="0" w:space="0" w:color="auto"/>
              </w:divBdr>
            </w:div>
            <w:div w:id="944003747">
              <w:marLeft w:val="0"/>
              <w:marRight w:val="0"/>
              <w:marTop w:val="0"/>
              <w:marBottom w:val="0"/>
              <w:divBdr>
                <w:top w:val="none" w:sz="0" w:space="0" w:color="auto"/>
                <w:left w:val="none" w:sz="0" w:space="0" w:color="auto"/>
                <w:bottom w:val="none" w:sz="0" w:space="0" w:color="auto"/>
                <w:right w:val="none" w:sz="0" w:space="0" w:color="auto"/>
              </w:divBdr>
            </w:div>
            <w:div w:id="875702629">
              <w:marLeft w:val="0"/>
              <w:marRight w:val="0"/>
              <w:marTop w:val="0"/>
              <w:marBottom w:val="0"/>
              <w:divBdr>
                <w:top w:val="none" w:sz="0" w:space="0" w:color="auto"/>
                <w:left w:val="none" w:sz="0" w:space="0" w:color="auto"/>
                <w:bottom w:val="none" w:sz="0" w:space="0" w:color="auto"/>
                <w:right w:val="none" w:sz="0" w:space="0" w:color="auto"/>
              </w:divBdr>
            </w:div>
          </w:divsChild>
        </w:div>
        <w:div w:id="1369144623">
          <w:marLeft w:val="0"/>
          <w:marRight w:val="0"/>
          <w:marTop w:val="0"/>
          <w:marBottom w:val="0"/>
          <w:divBdr>
            <w:top w:val="none" w:sz="0" w:space="0" w:color="auto"/>
            <w:left w:val="none" w:sz="0" w:space="0" w:color="auto"/>
            <w:bottom w:val="none" w:sz="0" w:space="0" w:color="auto"/>
            <w:right w:val="none" w:sz="0" w:space="0" w:color="auto"/>
          </w:divBdr>
        </w:div>
        <w:div w:id="659887745">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31197142">
      <w:bodyDiv w:val="1"/>
      <w:marLeft w:val="0"/>
      <w:marRight w:val="0"/>
      <w:marTop w:val="0"/>
      <w:marBottom w:val="0"/>
      <w:divBdr>
        <w:top w:val="none" w:sz="0" w:space="0" w:color="auto"/>
        <w:left w:val="none" w:sz="0" w:space="0" w:color="auto"/>
        <w:bottom w:val="none" w:sz="0" w:space="0" w:color="auto"/>
        <w:right w:val="none" w:sz="0" w:space="0" w:color="auto"/>
      </w:divBdr>
      <w:divsChild>
        <w:div w:id="262688949">
          <w:marLeft w:val="0"/>
          <w:marRight w:val="0"/>
          <w:marTop w:val="0"/>
          <w:marBottom w:val="0"/>
          <w:divBdr>
            <w:top w:val="none" w:sz="0" w:space="0" w:color="auto"/>
            <w:left w:val="none" w:sz="0" w:space="0" w:color="auto"/>
            <w:bottom w:val="none" w:sz="0" w:space="0" w:color="auto"/>
            <w:right w:val="none" w:sz="0" w:space="0" w:color="auto"/>
          </w:divBdr>
          <w:divsChild>
            <w:div w:id="581255953">
              <w:marLeft w:val="0"/>
              <w:marRight w:val="0"/>
              <w:marTop w:val="0"/>
              <w:marBottom w:val="0"/>
              <w:divBdr>
                <w:top w:val="none" w:sz="0" w:space="0" w:color="auto"/>
                <w:left w:val="none" w:sz="0" w:space="0" w:color="auto"/>
                <w:bottom w:val="none" w:sz="0" w:space="0" w:color="auto"/>
                <w:right w:val="none" w:sz="0" w:space="0" w:color="auto"/>
              </w:divBdr>
            </w:div>
          </w:divsChild>
        </w:div>
        <w:div w:id="2034647633">
          <w:marLeft w:val="0"/>
          <w:marRight w:val="0"/>
          <w:marTop w:val="0"/>
          <w:marBottom w:val="0"/>
          <w:divBdr>
            <w:top w:val="none" w:sz="0" w:space="0" w:color="auto"/>
            <w:left w:val="none" w:sz="0" w:space="0" w:color="auto"/>
            <w:bottom w:val="none" w:sz="0" w:space="0" w:color="auto"/>
            <w:right w:val="none" w:sz="0" w:space="0" w:color="auto"/>
          </w:divBdr>
          <w:divsChild>
            <w:div w:id="1254240583">
              <w:marLeft w:val="0"/>
              <w:marRight w:val="0"/>
              <w:marTop w:val="0"/>
              <w:marBottom w:val="0"/>
              <w:divBdr>
                <w:top w:val="none" w:sz="0" w:space="0" w:color="auto"/>
                <w:left w:val="none" w:sz="0" w:space="0" w:color="auto"/>
                <w:bottom w:val="none" w:sz="0" w:space="0" w:color="auto"/>
                <w:right w:val="none" w:sz="0" w:space="0" w:color="auto"/>
              </w:divBdr>
            </w:div>
            <w:div w:id="395859112">
              <w:marLeft w:val="0"/>
              <w:marRight w:val="0"/>
              <w:marTop w:val="0"/>
              <w:marBottom w:val="0"/>
              <w:divBdr>
                <w:top w:val="none" w:sz="0" w:space="0" w:color="auto"/>
                <w:left w:val="none" w:sz="0" w:space="0" w:color="auto"/>
                <w:bottom w:val="none" w:sz="0" w:space="0" w:color="auto"/>
                <w:right w:val="none" w:sz="0" w:space="0" w:color="auto"/>
              </w:divBdr>
            </w:div>
            <w:div w:id="1287197630">
              <w:marLeft w:val="0"/>
              <w:marRight w:val="0"/>
              <w:marTop w:val="0"/>
              <w:marBottom w:val="0"/>
              <w:divBdr>
                <w:top w:val="none" w:sz="0" w:space="0" w:color="auto"/>
                <w:left w:val="none" w:sz="0" w:space="0" w:color="auto"/>
                <w:bottom w:val="none" w:sz="0" w:space="0" w:color="auto"/>
                <w:right w:val="none" w:sz="0" w:space="0" w:color="auto"/>
              </w:divBdr>
            </w:div>
          </w:divsChild>
        </w:div>
        <w:div w:id="1885291733">
          <w:marLeft w:val="0"/>
          <w:marRight w:val="0"/>
          <w:marTop w:val="0"/>
          <w:marBottom w:val="0"/>
          <w:divBdr>
            <w:top w:val="none" w:sz="0" w:space="0" w:color="auto"/>
            <w:left w:val="none" w:sz="0" w:space="0" w:color="auto"/>
            <w:bottom w:val="none" w:sz="0" w:space="0" w:color="auto"/>
            <w:right w:val="none" w:sz="0" w:space="0" w:color="auto"/>
          </w:divBdr>
          <w:divsChild>
            <w:div w:id="734859039">
              <w:marLeft w:val="0"/>
              <w:marRight w:val="0"/>
              <w:marTop w:val="0"/>
              <w:marBottom w:val="0"/>
              <w:divBdr>
                <w:top w:val="none" w:sz="0" w:space="0" w:color="auto"/>
                <w:left w:val="none" w:sz="0" w:space="0" w:color="auto"/>
                <w:bottom w:val="none" w:sz="0" w:space="0" w:color="auto"/>
                <w:right w:val="none" w:sz="0" w:space="0" w:color="auto"/>
              </w:divBdr>
            </w:div>
            <w:div w:id="655577069">
              <w:marLeft w:val="0"/>
              <w:marRight w:val="0"/>
              <w:marTop w:val="0"/>
              <w:marBottom w:val="0"/>
              <w:divBdr>
                <w:top w:val="none" w:sz="0" w:space="0" w:color="auto"/>
                <w:left w:val="none" w:sz="0" w:space="0" w:color="auto"/>
                <w:bottom w:val="none" w:sz="0" w:space="0" w:color="auto"/>
                <w:right w:val="none" w:sz="0" w:space="0" w:color="auto"/>
              </w:divBdr>
            </w:div>
            <w:div w:id="1508714328">
              <w:marLeft w:val="0"/>
              <w:marRight w:val="0"/>
              <w:marTop w:val="0"/>
              <w:marBottom w:val="0"/>
              <w:divBdr>
                <w:top w:val="none" w:sz="0" w:space="0" w:color="auto"/>
                <w:left w:val="none" w:sz="0" w:space="0" w:color="auto"/>
                <w:bottom w:val="none" w:sz="0" w:space="0" w:color="auto"/>
                <w:right w:val="none" w:sz="0" w:space="0" w:color="auto"/>
              </w:divBdr>
            </w:div>
          </w:divsChild>
        </w:div>
        <w:div w:id="1234777762">
          <w:marLeft w:val="0"/>
          <w:marRight w:val="0"/>
          <w:marTop w:val="0"/>
          <w:marBottom w:val="0"/>
          <w:divBdr>
            <w:top w:val="none" w:sz="0" w:space="0" w:color="auto"/>
            <w:left w:val="none" w:sz="0" w:space="0" w:color="auto"/>
            <w:bottom w:val="none" w:sz="0" w:space="0" w:color="auto"/>
            <w:right w:val="none" w:sz="0" w:space="0" w:color="auto"/>
          </w:divBdr>
        </w:div>
        <w:div w:id="145360946">
          <w:marLeft w:val="0"/>
          <w:marRight w:val="0"/>
          <w:marTop w:val="0"/>
          <w:marBottom w:val="0"/>
          <w:divBdr>
            <w:top w:val="none" w:sz="0" w:space="0" w:color="auto"/>
            <w:left w:val="none" w:sz="0" w:space="0" w:color="auto"/>
            <w:bottom w:val="none" w:sz="0" w:space="0" w:color="auto"/>
            <w:right w:val="none" w:sz="0" w:space="0" w:color="auto"/>
          </w:divBdr>
        </w:div>
      </w:divsChild>
    </w:div>
    <w:div w:id="2142452903">
      <w:bodyDiv w:val="1"/>
      <w:marLeft w:val="0"/>
      <w:marRight w:val="0"/>
      <w:marTop w:val="0"/>
      <w:marBottom w:val="0"/>
      <w:divBdr>
        <w:top w:val="none" w:sz="0" w:space="0" w:color="auto"/>
        <w:left w:val="none" w:sz="0" w:space="0" w:color="auto"/>
        <w:bottom w:val="none" w:sz="0" w:space="0" w:color="auto"/>
        <w:right w:val="none" w:sz="0" w:space="0" w:color="auto"/>
      </w:divBdr>
      <w:divsChild>
        <w:div w:id="1934850276">
          <w:marLeft w:val="0"/>
          <w:marRight w:val="0"/>
          <w:marTop w:val="0"/>
          <w:marBottom w:val="0"/>
          <w:divBdr>
            <w:top w:val="none" w:sz="0" w:space="0" w:color="auto"/>
            <w:left w:val="none" w:sz="0" w:space="0" w:color="auto"/>
            <w:bottom w:val="none" w:sz="0" w:space="0" w:color="auto"/>
            <w:right w:val="none" w:sz="0" w:space="0" w:color="auto"/>
          </w:divBdr>
          <w:divsChild>
            <w:div w:id="1367606462">
              <w:marLeft w:val="0"/>
              <w:marRight w:val="0"/>
              <w:marTop w:val="0"/>
              <w:marBottom w:val="0"/>
              <w:divBdr>
                <w:top w:val="none" w:sz="0" w:space="0" w:color="auto"/>
                <w:left w:val="none" w:sz="0" w:space="0" w:color="auto"/>
                <w:bottom w:val="none" w:sz="0" w:space="0" w:color="auto"/>
                <w:right w:val="none" w:sz="0" w:space="0" w:color="auto"/>
              </w:divBdr>
            </w:div>
          </w:divsChild>
        </w:div>
        <w:div w:id="543255772">
          <w:marLeft w:val="0"/>
          <w:marRight w:val="0"/>
          <w:marTop w:val="0"/>
          <w:marBottom w:val="0"/>
          <w:divBdr>
            <w:top w:val="none" w:sz="0" w:space="0" w:color="auto"/>
            <w:left w:val="none" w:sz="0" w:space="0" w:color="auto"/>
            <w:bottom w:val="none" w:sz="0" w:space="0" w:color="auto"/>
            <w:right w:val="none" w:sz="0" w:space="0" w:color="auto"/>
          </w:divBdr>
          <w:divsChild>
            <w:div w:id="1967153284">
              <w:marLeft w:val="0"/>
              <w:marRight w:val="0"/>
              <w:marTop w:val="0"/>
              <w:marBottom w:val="0"/>
              <w:divBdr>
                <w:top w:val="none" w:sz="0" w:space="0" w:color="auto"/>
                <w:left w:val="none" w:sz="0" w:space="0" w:color="auto"/>
                <w:bottom w:val="none" w:sz="0" w:space="0" w:color="auto"/>
                <w:right w:val="none" w:sz="0" w:space="0" w:color="auto"/>
              </w:divBdr>
            </w:div>
            <w:div w:id="1091271922">
              <w:marLeft w:val="0"/>
              <w:marRight w:val="0"/>
              <w:marTop w:val="0"/>
              <w:marBottom w:val="0"/>
              <w:divBdr>
                <w:top w:val="none" w:sz="0" w:space="0" w:color="auto"/>
                <w:left w:val="none" w:sz="0" w:space="0" w:color="auto"/>
                <w:bottom w:val="none" w:sz="0" w:space="0" w:color="auto"/>
                <w:right w:val="none" w:sz="0" w:space="0" w:color="auto"/>
              </w:divBdr>
            </w:div>
            <w:div w:id="79760539">
              <w:marLeft w:val="0"/>
              <w:marRight w:val="0"/>
              <w:marTop w:val="0"/>
              <w:marBottom w:val="0"/>
              <w:divBdr>
                <w:top w:val="none" w:sz="0" w:space="0" w:color="auto"/>
                <w:left w:val="none" w:sz="0" w:space="0" w:color="auto"/>
                <w:bottom w:val="none" w:sz="0" w:space="0" w:color="auto"/>
                <w:right w:val="none" w:sz="0" w:space="0" w:color="auto"/>
              </w:divBdr>
            </w:div>
          </w:divsChild>
        </w:div>
        <w:div w:id="16927420">
          <w:marLeft w:val="0"/>
          <w:marRight w:val="0"/>
          <w:marTop w:val="0"/>
          <w:marBottom w:val="0"/>
          <w:divBdr>
            <w:top w:val="none" w:sz="0" w:space="0" w:color="auto"/>
            <w:left w:val="none" w:sz="0" w:space="0" w:color="auto"/>
            <w:bottom w:val="none" w:sz="0" w:space="0" w:color="auto"/>
            <w:right w:val="none" w:sz="0" w:space="0" w:color="auto"/>
          </w:divBdr>
          <w:divsChild>
            <w:div w:id="1687947116">
              <w:marLeft w:val="0"/>
              <w:marRight w:val="0"/>
              <w:marTop w:val="0"/>
              <w:marBottom w:val="0"/>
              <w:divBdr>
                <w:top w:val="none" w:sz="0" w:space="0" w:color="auto"/>
                <w:left w:val="none" w:sz="0" w:space="0" w:color="auto"/>
                <w:bottom w:val="none" w:sz="0" w:space="0" w:color="auto"/>
                <w:right w:val="none" w:sz="0" w:space="0" w:color="auto"/>
              </w:divBdr>
            </w:div>
            <w:div w:id="1073314015">
              <w:marLeft w:val="0"/>
              <w:marRight w:val="0"/>
              <w:marTop w:val="0"/>
              <w:marBottom w:val="0"/>
              <w:divBdr>
                <w:top w:val="none" w:sz="0" w:space="0" w:color="auto"/>
                <w:left w:val="none" w:sz="0" w:space="0" w:color="auto"/>
                <w:bottom w:val="none" w:sz="0" w:space="0" w:color="auto"/>
                <w:right w:val="none" w:sz="0" w:space="0" w:color="auto"/>
              </w:divBdr>
            </w:div>
            <w:div w:id="1059283308">
              <w:marLeft w:val="0"/>
              <w:marRight w:val="0"/>
              <w:marTop w:val="0"/>
              <w:marBottom w:val="0"/>
              <w:divBdr>
                <w:top w:val="none" w:sz="0" w:space="0" w:color="auto"/>
                <w:left w:val="none" w:sz="0" w:space="0" w:color="auto"/>
                <w:bottom w:val="none" w:sz="0" w:space="0" w:color="auto"/>
                <w:right w:val="none" w:sz="0" w:space="0" w:color="auto"/>
              </w:divBdr>
            </w:div>
          </w:divsChild>
        </w:div>
        <w:div w:id="464782190">
          <w:marLeft w:val="0"/>
          <w:marRight w:val="0"/>
          <w:marTop w:val="0"/>
          <w:marBottom w:val="0"/>
          <w:divBdr>
            <w:top w:val="none" w:sz="0" w:space="0" w:color="auto"/>
            <w:left w:val="none" w:sz="0" w:space="0" w:color="auto"/>
            <w:bottom w:val="none" w:sz="0" w:space="0" w:color="auto"/>
            <w:right w:val="none" w:sz="0" w:space="0" w:color="auto"/>
          </w:divBdr>
        </w:div>
        <w:div w:id="447045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jf2.scjn.gob.mx/detalle/tesis/18843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82D73-C01B-4B4F-90EE-766FA1EC7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6727</Words>
  <Characters>37001</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2022-10-24T15:52:00Z</cp:lastPrinted>
  <dcterms:created xsi:type="dcterms:W3CDTF">2022-10-19T18:52:00Z</dcterms:created>
  <dcterms:modified xsi:type="dcterms:W3CDTF">2023-02-28T17:19:00Z</dcterms:modified>
</cp:coreProperties>
</file>