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F37" w:rsidRPr="007B0581" w:rsidRDefault="005D3F37" w:rsidP="005D3F37">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5D3F37" w:rsidRPr="007B0581" w:rsidRDefault="005D3F37" w:rsidP="005D3F37">
      <w:pPr>
        <w:pStyle w:val="corte4fondo"/>
        <w:spacing w:line="276" w:lineRule="auto"/>
        <w:ind w:left="3544" w:right="-521" w:firstLine="0"/>
        <w:rPr>
          <w:rFonts w:cs="Arial"/>
          <w:b/>
          <w:sz w:val="24"/>
          <w:szCs w:val="24"/>
        </w:rPr>
      </w:pPr>
    </w:p>
    <w:p w:rsidR="005D3F37" w:rsidRPr="007B0581" w:rsidRDefault="005D3F37" w:rsidP="005D3F37">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0127</w:t>
      </w:r>
      <w:r w:rsidRPr="007B0581">
        <w:rPr>
          <w:rFonts w:cs="Arial"/>
          <w:b/>
          <w:bCs/>
          <w:sz w:val="24"/>
          <w:szCs w:val="24"/>
        </w:rPr>
        <w:t>/20</w:t>
      </w:r>
      <w:r>
        <w:rPr>
          <w:rFonts w:cs="Arial"/>
          <w:b/>
          <w:bCs/>
          <w:sz w:val="24"/>
          <w:szCs w:val="24"/>
        </w:rPr>
        <w:t>19</w:t>
      </w:r>
      <w:r w:rsidRPr="007B0581">
        <w:rPr>
          <w:rFonts w:cs="Arial"/>
          <w:sz w:val="24"/>
          <w:szCs w:val="24"/>
        </w:rPr>
        <w:t xml:space="preserve">. </w:t>
      </w:r>
    </w:p>
    <w:p w:rsidR="005D3F37" w:rsidRPr="007B0581" w:rsidRDefault="005D3F37" w:rsidP="005D3F37">
      <w:pPr>
        <w:pStyle w:val="corte4fondo"/>
        <w:spacing w:line="276" w:lineRule="auto"/>
        <w:ind w:left="3544" w:right="-521" w:firstLine="0"/>
        <w:rPr>
          <w:rFonts w:cs="Arial"/>
          <w:sz w:val="24"/>
          <w:szCs w:val="24"/>
        </w:rPr>
      </w:pPr>
    </w:p>
    <w:p w:rsidR="005D3F37" w:rsidRPr="007B0581" w:rsidRDefault="005D3F37" w:rsidP="005D3F37">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5D3F37" w:rsidRPr="007B0581" w:rsidRDefault="005D3F37" w:rsidP="005D3F37">
      <w:pPr>
        <w:pStyle w:val="corte4fondo"/>
        <w:spacing w:line="276" w:lineRule="auto"/>
        <w:ind w:left="3544" w:right="-521" w:firstLine="0"/>
        <w:rPr>
          <w:rFonts w:cs="Arial"/>
          <w:b/>
          <w:i/>
          <w:sz w:val="24"/>
          <w:szCs w:val="24"/>
        </w:rPr>
      </w:pPr>
      <w:r w:rsidRPr="007B0581">
        <w:rPr>
          <w:rFonts w:cs="Arial"/>
          <w:b/>
          <w:i/>
          <w:sz w:val="24"/>
          <w:szCs w:val="24"/>
        </w:rPr>
        <w:t xml:space="preserve"> </w:t>
      </w:r>
    </w:p>
    <w:p w:rsidR="005D3F37" w:rsidRPr="007B0581" w:rsidRDefault="005D3F37" w:rsidP="005D3F37">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DIRECTORA DE INGRESOS Y RECAUDACIÓN DE LA SECRETARÍA DE FINANZAS DEL PODER EJECUTIVO DEL ESTADO DE OAXACA.</w:t>
      </w:r>
    </w:p>
    <w:p w:rsidR="005D3F37" w:rsidRPr="007B0581" w:rsidRDefault="005D3F37" w:rsidP="005D3F37">
      <w:pPr>
        <w:pStyle w:val="corte4fondo"/>
        <w:spacing w:line="276" w:lineRule="auto"/>
        <w:ind w:left="3544" w:right="51" w:firstLine="0"/>
        <w:rPr>
          <w:rFonts w:cs="Arial"/>
          <w:bCs/>
          <w:sz w:val="24"/>
          <w:szCs w:val="24"/>
        </w:rPr>
      </w:pPr>
    </w:p>
    <w:p w:rsidR="005D3F37" w:rsidRPr="007B0581" w:rsidRDefault="005D3F37" w:rsidP="005D3F37">
      <w:pPr>
        <w:pStyle w:val="corte4fondo"/>
        <w:spacing w:line="276" w:lineRule="auto"/>
        <w:ind w:left="3544" w:right="51" w:firstLine="0"/>
        <w:rPr>
          <w:rFonts w:cs="Arial"/>
          <w:bCs/>
          <w:sz w:val="24"/>
          <w:szCs w:val="24"/>
        </w:rPr>
      </w:pPr>
    </w:p>
    <w:p w:rsidR="005D3F37" w:rsidRDefault="005D3F37" w:rsidP="005D3F37">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VEINTISÉIS DE ENERO DE DOS MIL VEINTITRÉS</w:t>
      </w:r>
      <w:r w:rsidRPr="007B0581">
        <w:rPr>
          <w:rFonts w:ascii="Arial" w:hAnsi="Arial" w:cs="Arial"/>
          <w:b/>
          <w:sz w:val="24"/>
          <w:szCs w:val="24"/>
        </w:rPr>
        <w:t xml:space="preserve">. </w:t>
      </w:r>
    </w:p>
    <w:p w:rsidR="005D3F37" w:rsidRDefault="005D3F37" w:rsidP="005D3F37">
      <w:pPr>
        <w:spacing w:line="360" w:lineRule="auto"/>
        <w:jc w:val="both"/>
        <w:rPr>
          <w:rFonts w:ascii="Arial" w:hAnsi="Arial" w:cs="Arial"/>
          <w:b/>
          <w:sz w:val="24"/>
          <w:szCs w:val="24"/>
        </w:rPr>
      </w:pPr>
    </w:p>
    <w:p w:rsidR="005D3F37" w:rsidRDefault="005D3F37" w:rsidP="005D3F37">
      <w:pPr>
        <w:spacing w:line="360" w:lineRule="auto"/>
        <w:jc w:val="both"/>
        <w:rPr>
          <w:rFonts w:ascii="Arial" w:hAnsi="Arial" w:cs="Arial"/>
          <w:b/>
          <w:sz w:val="24"/>
          <w:szCs w:val="24"/>
        </w:rPr>
      </w:pPr>
      <w:r w:rsidRPr="007B0581">
        <w:rPr>
          <w:rFonts w:ascii="Arial" w:hAnsi="Arial" w:cs="Arial"/>
          <w:b/>
          <w:sz w:val="24"/>
          <w:szCs w:val="24"/>
        </w:rPr>
        <w:t xml:space="preserve"> </w:t>
      </w:r>
    </w:p>
    <w:p w:rsidR="005D3F37" w:rsidRDefault="005D3F37" w:rsidP="005D3F37">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sidRPr="00622626">
        <w:rPr>
          <w:rFonts w:ascii="Arial" w:hAnsi="Arial" w:cs="Arial"/>
          <w:b/>
          <w:sz w:val="24"/>
          <w:szCs w:val="24"/>
        </w:rPr>
        <w:t>0</w:t>
      </w:r>
      <w:r>
        <w:rPr>
          <w:rFonts w:ascii="Arial" w:hAnsi="Arial" w:cs="Arial"/>
          <w:b/>
          <w:sz w:val="24"/>
          <w:szCs w:val="24"/>
        </w:rPr>
        <w:t>127</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5D3F37" w:rsidRPr="007B0581" w:rsidRDefault="005D3F37" w:rsidP="005D3F37">
      <w:pPr>
        <w:spacing w:line="360" w:lineRule="auto"/>
        <w:jc w:val="both"/>
        <w:rPr>
          <w:rFonts w:ascii="Arial" w:hAnsi="Arial" w:cs="Arial"/>
          <w:b/>
          <w:bCs/>
          <w:sz w:val="24"/>
          <w:szCs w:val="24"/>
        </w:rPr>
      </w:pPr>
    </w:p>
    <w:bookmarkEnd w:id="0"/>
    <w:p w:rsidR="005D3F37" w:rsidRDefault="005D3F37" w:rsidP="005D3F37">
      <w:pPr>
        <w:contextualSpacing/>
        <w:jc w:val="both"/>
        <w:rPr>
          <w:rFonts w:ascii="Arial" w:hAnsi="Arial" w:cs="Arial"/>
          <w:sz w:val="24"/>
          <w:szCs w:val="24"/>
        </w:rPr>
      </w:pPr>
    </w:p>
    <w:p w:rsidR="005D3F37" w:rsidRDefault="005D3F37" w:rsidP="005D3F37">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5D3F37" w:rsidRDefault="005D3F37" w:rsidP="005D3F37">
      <w:pPr>
        <w:spacing w:line="360" w:lineRule="auto"/>
        <w:ind w:firstLine="708"/>
        <w:jc w:val="center"/>
        <w:rPr>
          <w:rFonts w:ascii="Arial" w:hAnsi="Arial" w:cs="Arial"/>
          <w:b/>
          <w:spacing w:val="-3"/>
          <w:sz w:val="24"/>
          <w:szCs w:val="24"/>
          <w:lang w:val="es-ES_tradnl"/>
        </w:rPr>
      </w:pPr>
    </w:p>
    <w:p w:rsidR="005D3F37" w:rsidRPr="007B0581" w:rsidRDefault="005D3F37" w:rsidP="005D3F37">
      <w:pPr>
        <w:spacing w:line="360" w:lineRule="auto"/>
        <w:ind w:firstLine="708"/>
        <w:jc w:val="center"/>
        <w:rPr>
          <w:rFonts w:ascii="Arial" w:hAnsi="Arial" w:cs="Arial"/>
          <w:b/>
          <w:spacing w:val="-3"/>
          <w:sz w:val="24"/>
          <w:szCs w:val="24"/>
          <w:lang w:val="es-ES_tradnl"/>
        </w:rPr>
      </w:pPr>
    </w:p>
    <w:p w:rsidR="005D3F37" w:rsidRPr="007B0581" w:rsidRDefault="005D3F37" w:rsidP="005D3F37">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cinco de noviembre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w:t>
      </w:r>
      <w:r>
        <w:rPr>
          <w:rFonts w:ascii="Arial" w:hAnsi="Arial" w:cs="Arial"/>
          <w:sz w:val="24"/>
          <w:szCs w:val="24"/>
        </w:rPr>
        <w:t>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7B0581">
        <w:rPr>
          <w:rFonts w:ascii="Arial" w:hAnsi="Arial" w:cs="Arial"/>
          <w:sz w:val="24"/>
          <w:szCs w:val="24"/>
        </w:rPr>
        <w:t xml:space="preserve">. </w:t>
      </w:r>
    </w:p>
    <w:bookmarkEnd w:id="1"/>
    <w:p w:rsidR="005D3F37" w:rsidRPr="007B0581" w:rsidRDefault="005D3F37" w:rsidP="005D3F37">
      <w:pPr>
        <w:contextualSpacing/>
        <w:jc w:val="both"/>
        <w:rPr>
          <w:rFonts w:ascii="Arial" w:hAnsi="Arial" w:cs="Arial"/>
          <w:sz w:val="24"/>
          <w:szCs w:val="24"/>
        </w:rPr>
      </w:pPr>
    </w:p>
    <w:p w:rsidR="005D3F37" w:rsidRDefault="005D3F37" w:rsidP="005D3F37">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B56612">
        <w:rPr>
          <w:rFonts w:ascii="Arial" w:hAnsi="Arial" w:cs="Arial"/>
          <w:bCs/>
          <w:sz w:val="24"/>
          <w:szCs w:val="24"/>
        </w:rPr>
        <w:t xml:space="preserve">Por acuerdo de </w:t>
      </w:r>
      <w:r>
        <w:rPr>
          <w:rFonts w:ascii="Arial" w:hAnsi="Arial" w:cs="Arial"/>
          <w:bCs/>
          <w:sz w:val="24"/>
          <w:szCs w:val="24"/>
        </w:rPr>
        <w:t>seis de noviembre de dos mil diecinueve</w:t>
      </w:r>
      <w:r w:rsidRPr="00B56612">
        <w:rPr>
          <w:rFonts w:ascii="Arial" w:hAnsi="Arial" w:cs="Arial"/>
          <w:bCs/>
          <w:sz w:val="24"/>
          <w:szCs w:val="24"/>
        </w:rPr>
        <w:t xml:space="preserve">, </w:t>
      </w:r>
      <w:r w:rsidRPr="00B56612">
        <w:rPr>
          <w:rFonts w:ascii="Arial" w:hAnsi="Arial" w:cs="Arial"/>
          <w:sz w:val="24"/>
          <w:szCs w:val="24"/>
        </w:rPr>
        <w:t>se admitió a trámite la demanda, ordenándose notificar, emplazar y correr traslado a la autoridad demandada, para que produjera su contestación en los términos de ley.</w:t>
      </w:r>
    </w:p>
    <w:p w:rsidR="005D3F37" w:rsidRDefault="005D3F37" w:rsidP="005D3F37">
      <w:pPr>
        <w:spacing w:line="360" w:lineRule="auto"/>
        <w:ind w:firstLine="567"/>
        <w:jc w:val="both"/>
        <w:rPr>
          <w:rFonts w:ascii="Arial" w:hAnsi="Arial" w:cs="Arial"/>
          <w:sz w:val="24"/>
          <w:szCs w:val="24"/>
        </w:rPr>
      </w:pPr>
    </w:p>
    <w:p w:rsidR="005D3F37" w:rsidRDefault="005D3F37" w:rsidP="005D3F37">
      <w:pPr>
        <w:pStyle w:val="corte4fondo"/>
        <w:ind w:right="51" w:firstLine="567"/>
        <w:contextualSpacing/>
        <w:rPr>
          <w:rFonts w:cs="Arial"/>
          <w:sz w:val="24"/>
          <w:szCs w:val="24"/>
        </w:rPr>
      </w:pPr>
      <w:r w:rsidRPr="007B0581">
        <w:rPr>
          <w:rFonts w:cs="Arial"/>
          <w:bCs/>
          <w:sz w:val="24"/>
          <w:szCs w:val="24"/>
        </w:rPr>
        <w:tab/>
      </w: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w:t>
      </w:r>
      <w:r w:rsidRPr="007B0581">
        <w:rPr>
          <w:rFonts w:cs="Arial"/>
          <w:sz w:val="24"/>
          <w:szCs w:val="24"/>
        </w:rPr>
        <w:t xml:space="preserve">Por acuerdo de </w:t>
      </w:r>
      <w:r>
        <w:rPr>
          <w:rFonts w:cs="Arial"/>
          <w:sz w:val="24"/>
          <w:szCs w:val="24"/>
        </w:rPr>
        <w:t>veintiuno de enero de dos mil veinte</w:t>
      </w:r>
      <w:r w:rsidRPr="007B0581">
        <w:rPr>
          <w:rFonts w:cs="Arial"/>
          <w:sz w:val="24"/>
          <w:szCs w:val="24"/>
        </w:rPr>
        <w:t>,</w:t>
      </w:r>
      <w:r>
        <w:rPr>
          <w:rFonts w:cs="Arial"/>
          <w:sz w:val="24"/>
          <w:szCs w:val="24"/>
        </w:rPr>
        <w:t xml:space="preserve"> </w:t>
      </w:r>
      <w:r w:rsidRPr="00AD192C">
        <w:rPr>
          <w:rFonts w:cs="Arial"/>
          <w:bCs/>
          <w:sz w:val="24"/>
          <w:szCs w:val="24"/>
        </w:rPr>
        <w:t>se tuvo</w:t>
      </w:r>
      <w:r>
        <w:rPr>
          <w:rFonts w:cs="Arial"/>
          <w:bCs/>
          <w:sz w:val="24"/>
          <w:szCs w:val="24"/>
        </w:rPr>
        <w:t xml:space="preserve"> al Procurador Fiscal dependiente de la Subsecretaría de Ingresos de la Secretaría de Finanzas del Poder Ejecutivo del Estado, </w:t>
      </w:r>
      <w:r w:rsidRPr="00AD192C">
        <w:rPr>
          <w:rFonts w:cs="Arial"/>
          <w:sz w:val="24"/>
          <w:szCs w:val="24"/>
        </w:rPr>
        <w:t xml:space="preserve">dando contestación a la demanda en </w:t>
      </w:r>
      <w:r w:rsidRPr="00AD192C">
        <w:rPr>
          <w:rFonts w:cs="Arial"/>
          <w:sz w:val="24"/>
          <w:szCs w:val="24"/>
        </w:rPr>
        <w:lastRenderedPageBreak/>
        <w:t>tiempo y forma</w:t>
      </w:r>
      <w:r>
        <w:rPr>
          <w:rFonts w:cs="Arial"/>
          <w:sz w:val="24"/>
          <w:szCs w:val="24"/>
        </w:rPr>
        <w:t>, en representación legal de la autoridad demandada</w:t>
      </w:r>
      <w:r w:rsidRPr="00AD192C">
        <w:rPr>
          <w:rFonts w:cs="Arial"/>
          <w:sz w:val="24"/>
          <w:szCs w:val="24"/>
        </w:rPr>
        <w:t>, por acreditada la personalidad con la que compareció a juicio, haciendo valer sus excepciones y defensas, y por admitidas las pruebas ofrecidas, ordenándose correr traslado a la parte actora</w:t>
      </w:r>
      <w:r>
        <w:rPr>
          <w:rFonts w:cs="Arial"/>
          <w:sz w:val="24"/>
          <w:szCs w:val="24"/>
        </w:rPr>
        <w:t>,</w:t>
      </w:r>
      <w:r w:rsidRPr="00AD192C">
        <w:rPr>
          <w:rFonts w:cs="Arial"/>
          <w:sz w:val="24"/>
          <w:szCs w:val="24"/>
        </w:rPr>
        <w:t xml:space="preserve"> </w:t>
      </w:r>
      <w:r>
        <w:rPr>
          <w:rFonts w:cs="Arial"/>
          <w:sz w:val="24"/>
          <w:szCs w:val="24"/>
        </w:rPr>
        <w:t>para que dentro del plazo de cinco días hábiles ampliara su demanda, apercibiéndole que de no hacerlo se tendría por precluído su derecho.</w:t>
      </w:r>
    </w:p>
    <w:p w:rsidR="005D3F37" w:rsidRDefault="005D3F37" w:rsidP="005D3F37">
      <w:pPr>
        <w:pStyle w:val="corte4fondo"/>
        <w:ind w:right="51" w:firstLine="567"/>
        <w:rPr>
          <w:rFonts w:cs="Arial"/>
          <w:bCs/>
          <w:sz w:val="24"/>
          <w:szCs w:val="24"/>
        </w:rPr>
      </w:pPr>
    </w:p>
    <w:p w:rsidR="005D3F37" w:rsidRDefault="005D3F37" w:rsidP="005D3F37">
      <w:pPr>
        <w:pStyle w:val="corte4fondo"/>
        <w:ind w:right="51" w:firstLine="567"/>
        <w:rPr>
          <w:rFonts w:cs="Arial"/>
          <w:sz w:val="24"/>
          <w:szCs w:val="24"/>
        </w:rPr>
      </w:pPr>
      <w:r w:rsidRPr="007B0581">
        <w:rPr>
          <w:rFonts w:cs="Arial"/>
          <w:b/>
          <w:bCs/>
          <w:sz w:val="24"/>
          <w:szCs w:val="24"/>
        </w:rPr>
        <w:t xml:space="preserve">CUARTO. </w:t>
      </w:r>
      <w:r>
        <w:rPr>
          <w:rFonts w:cs="Arial"/>
          <w:b/>
          <w:bCs/>
          <w:sz w:val="24"/>
          <w:szCs w:val="24"/>
        </w:rPr>
        <w:t xml:space="preserve">- </w:t>
      </w:r>
      <w:r>
        <w:rPr>
          <w:rFonts w:cs="Arial"/>
          <w:sz w:val="24"/>
          <w:szCs w:val="24"/>
        </w:rPr>
        <w:t>Por acuerdo de veintiséis de febrero de dos mil veinte, se tuvo a la actora ampliando su demanda en tiempo y forma, ordenándose correr traslado a la autoridad demandada para que dentro del plazo de cinco días hábiles efectuara contestación a la ampliación de la demanda, apercibiéndole que de no hacerlo se tendría por precluído su derecho.</w:t>
      </w:r>
    </w:p>
    <w:p w:rsidR="005D3F37" w:rsidRDefault="005D3F37" w:rsidP="005D3F37">
      <w:pPr>
        <w:pStyle w:val="corte4fondo"/>
        <w:ind w:right="51" w:firstLine="567"/>
        <w:rPr>
          <w:rFonts w:cs="Arial"/>
          <w:bCs/>
          <w:sz w:val="24"/>
          <w:szCs w:val="24"/>
        </w:rPr>
      </w:pPr>
    </w:p>
    <w:p w:rsidR="005D3F37" w:rsidRDefault="005D3F37" w:rsidP="005D3F37">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 xml:space="preserve">- </w:t>
      </w:r>
      <w:r>
        <w:rPr>
          <w:rFonts w:cs="Arial"/>
          <w:sz w:val="24"/>
          <w:szCs w:val="24"/>
        </w:rPr>
        <w:t xml:space="preserve">Por acuerdo de dieciocho de marzo de dos mil veinte, se tuvo al Director de lo Contencioso de la Secretaría de Finanzas del Poder Ejecutivo del Estado, por acreditada la personalidad con la que compareció a juicio, dando contestación en tiempo y forma a la ampliación de la demanda efectuada por la actora, ordenándose correr traslado a ésta para los efectos legales correspondientes. </w:t>
      </w:r>
    </w:p>
    <w:p w:rsidR="005D3F37" w:rsidRDefault="005D3F37" w:rsidP="005D3F37">
      <w:pPr>
        <w:pStyle w:val="corte4fondo"/>
        <w:ind w:right="51" w:firstLine="567"/>
        <w:rPr>
          <w:rFonts w:cs="Arial"/>
          <w:sz w:val="24"/>
          <w:szCs w:val="24"/>
        </w:rPr>
      </w:pPr>
    </w:p>
    <w:p w:rsidR="005D3F37" w:rsidRDefault="005D3F37" w:rsidP="005D3F37">
      <w:pPr>
        <w:pStyle w:val="corte4fondo"/>
        <w:ind w:right="51" w:firstLine="567"/>
        <w:rPr>
          <w:rFonts w:cs="Arial"/>
          <w:sz w:val="24"/>
          <w:szCs w:val="24"/>
        </w:rPr>
      </w:pPr>
      <w:r w:rsidRPr="00637B2F">
        <w:rPr>
          <w:rFonts w:cs="Arial"/>
          <w:b/>
          <w:bCs/>
          <w:sz w:val="24"/>
          <w:szCs w:val="24"/>
        </w:rPr>
        <w:t xml:space="preserve">SEXTO. </w:t>
      </w:r>
      <w:r>
        <w:rPr>
          <w:rFonts w:cs="Arial"/>
          <w:b/>
          <w:bCs/>
          <w:sz w:val="24"/>
          <w:szCs w:val="24"/>
        </w:rPr>
        <w:t xml:space="preserve">- </w:t>
      </w:r>
      <w:r w:rsidRPr="00CC33EA">
        <w:rPr>
          <w:rFonts w:cs="Arial"/>
          <w:sz w:val="24"/>
          <w:szCs w:val="24"/>
        </w:rPr>
        <w:t>Por acuerdo</w:t>
      </w:r>
      <w:r>
        <w:rPr>
          <w:rFonts w:cs="Arial"/>
          <w:sz w:val="24"/>
          <w:szCs w:val="24"/>
        </w:rPr>
        <w:t xml:space="preserve"> de cuatro de junio de dos mil veintiuno, se señalaron las once horas del día tres de septiembre de dos mil veintiuno, para la celebración de la audiencia final. Asimismo, se hizo del conocimiento de las partes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5D3F37" w:rsidRDefault="005D3F37" w:rsidP="005D3F37">
      <w:pPr>
        <w:pStyle w:val="corte4fondo"/>
        <w:ind w:right="51" w:firstLine="567"/>
        <w:rPr>
          <w:rFonts w:cs="Arial"/>
          <w:sz w:val="24"/>
          <w:szCs w:val="24"/>
        </w:rPr>
      </w:pPr>
    </w:p>
    <w:p w:rsidR="005D3F37" w:rsidRDefault="005D3F37" w:rsidP="005D3F37">
      <w:pPr>
        <w:pStyle w:val="corte4fondo"/>
        <w:ind w:right="51" w:firstLine="567"/>
        <w:rPr>
          <w:rFonts w:cs="Arial"/>
          <w:sz w:val="24"/>
          <w:szCs w:val="24"/>
        </w:rPr>
      </w:pPr>
      <w:r w:rsidRPr="006C7E55">
        <w:rPr>
          <w:rFonts w:cs="Arial"/>
          <w:b/>
          <w:bCs/>
          <w:sz w:val="24"/>
          <w:szCs w:val="24"/>
        </w:rPr>
        <w:t>SÉPTIMO. -</w:t>
      </w:r>
      <w:r>
        <w:rPr>
          <w:rFonts w:cs="Arial"/>
          <w:sz w:val="24"/>
          <w:szCs w:val="24"/>
        </w:rPr>
        <w:t xml:space="preserve"> Por acuerdo de quince de diciembre de dos mil veintiuno, se hizo del conocimiento de las partes que no fue posible celebrar la audiencia final señalada para las once horas del día tres de septiembre de esa anualidad, en razón que fueron suspendidas las actividades de este órgano jurisdiccional. Asimismo, se señalaron las ONCE HORAS del día QUINCE DE MARZO DE DOS MIL VEINTIDÓS, para la celebración de la audiencia final. </w:t>
      </w:r>
    </w:p>
    <w:p w:rsidR="005D3F37" w:rsidRDefault="005D3F37" w:rsidP="005D3F37">
      <w:pPr>
        <w:pStyle w:val="corte4fondo"/>
        <w:ind w:right="51" w:firstLine="567"/>
        <w:rPr>
          <w:rFonts w:cs="Arial"/>
          <w:sz w:val="24"/>
          <w:szCs w:val="24"/>
        </w:rPr>
      </w:pPr>
    </w:p>
    <w:p w:rsidR="005D3F37" w:rsidRDefault="005D3F37" w:rsidP="005D3F37">
      <w:pPr>
        <w:pStyle w:val="corte4fondo"/>
        <w:ind w:right="51" w:firstLine="567"/>
        <w:rPr>
          <w:rFonts w:cs="Arial"/>
          <w:sz w:val="24"/>
          <w:szCs w:val="24"/>
        </w:rPr>
      </w:pPr>
      <w:r>
        <w:rPr>
          <w:rFonts w:cs="Arial"/>
          <w:b/>
          <w:bCs/>
          <w:sz w:val="24"/>
          <w:szCs w:val="24"/>
        </w:rPr>
        <w:t>OCTAVO</w:t>
      </w:r>
      <w:r w:rsidRPr="00637B2F">
        <w:rPr>
          <w:rFonts w:cs="Arial"/>
          <w:b/>
          <w:bCs/>
          <w:sz w:val="24"/>
          <w:szCs w:val="24"/>
        </w:rPr>
        <w:t>. -</w:t>
      </w:r>
      <w:r>
        <w:rPr>
          <w:rFonts w:cs="Arial"/>
          <w:sz w:val="24"/>
          <w:szCs w:val="24"/>
        </w:rPr>
        <w:t xml:space="preserve"> E</w:t>
      </w:r>
      <w:r w:rsidRPr="007B0581">
        <w:rPr>
          <w:rFonts w:cs="Arial"/>
          <w:sz w:val="24"/>
          <w:szCs w:val="24"/>
          <w:lang w:val="es-ES"/>
        </w:rPr>
        <w:t xml:space="preserve">l </w:t>
      </w:r>
      <w:r>
        <w:rPr>
          <w:rFonts w:cs="Arial"/>
          <w:sz w:val="24"/>
          <w:szCs w:val="24"/>
          <w:lang w:val="es-ES"/>
        </w:rPr>
        <w:t>quince de marzo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 no formularon</w:t>
      </w:r>
      <w:r w:rsidRPr="00402863">
        <w:rPr>
          <w:rFonts w:cs="Arial"/>
          <w:sz w:val="24"/>
          <w:szCs w:val="24"/>
        </w:rPr>
        <w:t xml:space="preserve"> alegatos</w:t>
      </w:r>
      <w:r>
        <w:rPr>
          <w:rFonts w:cs="Arial"/>
          <w:sz w:val="24"/>
          <w:szCs w:val="24"/>
        </w:rPr>
        <w:t>;</w:t>
      </w:r>
      <w:r w:rsidRPr="00402863">
        <w:rPr>
          <w:rFonts w:cs="Arial"/>
          <w:sz w:val="24"/>
          <w:szCs w:val="24"/>
        </w:rPr>
        <w:t xml:space="preserve"> por lo que se ordenó citar a las partes a oír sentencia dentro del término de ley</w:t>
      </w:r>
      <w:r>
        <w:rPr>
          <w:rFonts w:cs="Arial"/>
          <w:sz w:val="24"/>
          <w:szCs w:val="24"/>
        </w:rPr>
        <w:t>, misma que ahora se pronuncia, y;</w:t>
      </w:r>
    </w:p>
    <w:p w:rsidR="005D3F37" w:rsidRDefault="005D3F37" w:rsidP="005D3F37">
      <w:pPr>
        <w:pStyle w:val="corte4fondo"/>
        <w:ind w:right="51" w:firstLine="567"/>
        <w:jc w:val="center"/>
        <w:rPr>
          <w:rFonts w:cs="Arial"/>
          <w:b/>
          <w:spacing w:val="-3"/>
          <w:sz w:val="24"/>
          <w:szCs w:val="24"/>
        </w:rPr>
      </w:pPr>
      <w:r w:rsidRPr="007B0581">
        <w:rPr>
          <w:rFonts w:cs="Arial"/>
          <w:b/>
          <w:spacing w:val="-3"/>
          <w:sz w:val="24"/>
          <w:szCs w:val="24"/>
        </w:rPr>
        <w:lastRenderedPageBreak/>
        <w:t>C O N S I D E R A N D O</w:t>
      </w:r>
    </w:p>
    <w:p w:rsidR="005D3F37" w:rsidRDefault="005D3F37" w:rsidP="005D3F37">
      <w:pPr>
        <w:pStyle w:val="corte4fondo"/>
        <w:ind w:right="51" w:firstLine="567"/>
        <w:jc w:val="center"/>
        <w:rPr>
          <w:rFonts w:cs="Arial"/>
          <w:b/>
          <w:spacing w:val="-3"/>
          <w:sz w:val="24"/>
          <w:szCs w:val="24"/>
        </w:rPr>
      </w:pPr>
    </w:p>
    <w:p w:rsidR="005D3F37" w:rsidRPr="007B0581" w:rsidRDefault="005D3F37" w:rsidP="005D3F37">
      <w:pPr>
        <w:pStyle w:val="corte4fondo"/>
        <w:ind w:right="51" w:firstLine="567"/>
        <w:jc w:val="center"/>
        <w:rPr>
          <w:rFonts w:cs="Arial"/>
          <w:b/>
          <w:spacing w:val="-3"/>
          <w:sz w:val="24"/>
          <w:szCs w:val="24"/>
        </w:rPr>
      </w:pPr>
    </w:p>
    <w:p w:rsidR="005D3F37" w:rsidRPr="007B0581" w:rsidRDefault="005D3F37" w:rsidP="005D3F37">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w:t>
      </w:r>
      <w:r w:rsidRPr="00701981">
        <w:rPr>
          <w:rFonts w:ascii="Arial" w:hAnsi="Arial" w:cs="Arial"/>
          <w:sz w:val="24"/>
          <w:szCs w:val="24"/>
        </w:rPr>
        <w:t xml:space="preserve">fracción </w:t>
      </w:r>
      <w:r w:rsidRPr="006832E6">
        <w:rPr>
          <w:rFonts w:ascii="Arial" w:hAnsi="Arial" w:cs="Arial"/>
          <w:sz w:val="24"/>
          <w:szCs w:val="24"/>
        </w:rPr>
        <w:t>VI</w:t>
      </w:r>
      <w:r w:rsidRPr="00701981">
        <w:rPr>
          <w:rFonts w:ascii="Arial" w:hAnsi="Arial" w:cs="Arial"/>
          <w:sz w:val="24"/>
          <w:szCs w:val="24"/>
        </w:rPr>
        <w:t xml:space="preserve"> de la Constitución</w:t>
      </w:r>
      <w:r w:rsidRPr="007B0581">
        <w:rPr>
          <w:rFonts w:ascii="Arial" w:hAnsi="Arial" w:cs="Arial"/>
          <w:sz w:val="24"/>
          <w:szCs w:val="24"/>
        </w:rPr>
        <w:t xml:space="preserve"> Política del Estado Libre y Soberano de Oaxaca; 120, fracción I, 132 fracciones </w:t>
      </w:r>
      <w:r w:rsidRPr="00B2434F">
        <w:rPr>
          <w:rFonts w:ascii="Arial" w:hAnsi="Arial" w:cs="Arial"/>
          <w:sz w:val="24"/>
          <w:szCs w:val="24"/>
        </w:rPr>
        <w:t>I y II</w:t>
      </w:r>
      <w:r w:rsidRPr="007B0581">
        <w:rPr>
          <w:rFonts w:ascii="Arial" w:hAnsi="Arial" w:cs="Arial"/>
          <w:sz w:val="24"/>
          <w:szCs w:val="24"/>
        </w:rPr>
        <w:t xml:space="preserve">, 133 </w:t>
      </w:r>
      <w:r w:rsidRPr="00AD2533">
        <w:rPr>
          <w:rFonts w:ascii="Arial" w:hAnsi="Arial" w:cs="Arial"/>
          <w:sz w:val="24"/>
          <w:szCs w:val="24"/>
        </w:rPr>
        <w:t>fracción II</w:t>
      </w:r>
      <w:r w:rsidRPr="00D82BB8">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5D3F37" w:rsidRPr="007B0581" w:rsidRDefault="005D3F37" w:rsidP="005D3F37">
      <w:pPr>
        <w:spacing w:line="360" w:lineRule="auto"/>
        <w:jc w:val="both"/>
        <w:rPr>
          <w:rFonts w:ascii="Arial" w:hAnsi="Arial" w:cs="Arial"/>
          <w:sz w:val="24"/>
          <w:szCs w:val="24"/>
        </w:rPr>
      </w:pPr>
      <w:r w:rsidRPr="007B0581">
        <w:rPr>
          <w:rFonts w:ascii="Arial" w:hAnsi="Arial" w:cs="Arial"/>
          <w:sz w:val="24"/>
          <w:szCs w:val="24"/>
        </w:rPr>
        <w:t xml:space="preserve"> </w:t>
      </w:r>
    </w:p>
    <w:p w:rsidR="005D3F37" w:rsidRPr="007B0581" w:rsidRDefault="005D3F37" w:rsidP="005D3F37">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la actora promueve por su propio derecho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5D3F37" w:rsidRPr="007B0581" w:rsidRDefault="005D3F37" w:rsidP="005D3F37">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5D3F37" w:rsidRDefault="005D3F37" w:rsidP="005D3F37">
      <w:pPr>
        <w:spacing w:line="360" w:lineRule="auto"/>
        <w:ind w:firstLine="709"/>
        <w:contextualSpacing/>
        <w:jc w:val="both"/>
        <w:rPr>
          <w:rFonts w:ascii="Arial" w:hAnsi="Arial" w:cs="Arial"/>
          <w:sz w:val="24"/>
          <w:szCs w:val="24"/>
        </w:rPr>
      </w:pPr>
      <w:r w:rsidRPr="00A27D3D">
        <w:rPr>
          <w:rFonts w:ascii="Arial" w:hAnsi="Arial" w:cs="Arial"/>
          <w:b/>
          <w:sz w:val="24"/>
          <w:szCs w:val="24"/>
        </w:rPr>
        <w:t>TERCERO</w:t>
      </w:r>
      <w:r w:rsidRPr="00C664F9">
        <w:rPr>
          <w:rFonts w:ascii="Arial" w:hAnsi="Arial" w:cs="Arial"/>
          <w:b/>
          <w:sz w:val="24"/>
          <w:szCs w:val="24"/>
        </w:rPr>
        <w:t>.-</w:t>
      </w:r>
      <w:r w:rsidRPr="009D5140">
        <w:rPr>
          <w:rFonts w:ascii="Arial" w:hAnsi="Arial" w:cs="Arial"/>
          <w:sz w:val="24"/>
          <w:szCs w:val="24"/>
        </w:rPr>
        <w:t xml:space="preserve"> </w:t>
      </w:r>
      <w:r>
        <w:rPr>
          <w:rFonts w:ascii="Arial" w:hAnsi="Arial" w:cs="Arial"/>
          <w:sz w:val="24"/>
          <w:szCs w:val="24"/>
        </w:rPr>
        <w:t>E</w:t>
      </w:r>
      <w:r w:rsidRPr="009D5140">
        <w:rPr>
          <w:rFonts w:ascii="Arial" w:hAnsi="Arial" w:cs="Arial"/>
          <w:sz w:val="24"/>
          <w:szCs w:val="24"/>
        </w:rPr>
        <w:t>sta Sala procede a analizar,</w:t>
      </w:r>
      <w:r>
        <w:rPr>
          <w:rFonts w:ascii="Arial" w:hAnsi="Arial" w:cs="Arial"/>
          <w:sz w:val="24"/>
          <w:szCs w:val="24"/>
        </w:rPr>
        <w:t xml:space="preserve"> la causal de </w:t>
      </w:r>
      <w:r w:rsidRPr="009D5140">
        <w:rPr>
          <w:rFonts w:ascii="Arial" w:hAnsi="Arial" w:cs="Arial"/>
          <w:sz w:val="24"/>
          <w:szCs w:val="24"/>
        </w:rPr>
        <w:t xml:space="preserve">improcedencia </w:t>
      </w:r>
      <w:r>
        <w:rPr>
          <w:rFonts w:ascii="Arial" w:hAnsi="Arial" w:cs="Arial"/>
          <w:sz w:val="24"/>
          <w:szCs w:val="24"/>
        </w:rPr>
        <w:t xml:space="preserve">hecha valer por la autoridad demandada establecida en los </w:t>
      </w:r>
      <w:r w:rsidRPr="009D5140">
        <w:rPr>
          <w:rFonts w:ascii="Arial" w:hAnsi="Arial" w:cs="Arial"/>
          <w:sz w:val="24"/>
          <w:szCs w:val="24"/>
        </w:rPr>
        <w:t>artículo</w:t>
      </w:r>
      <w:r>
        <w:rPr>
          <w:rFonts w:ascii="Arial" w:hAnsi="Arial" w:cs="Arial"/>
          <w:sz w:val="24"/>
          <w:szCs w:val="24"/>
        </w:rPr>
        <w:t xml:space="preserve">s 161, fracción VI y </w:t>
      </w:r>
      <w:r w:rsidRPr="009D5140">
        <w:rPr>
          <w:rFonts w:ascii="Arial" w:hAnsi="Arial" w:cs="Arial"/>
          <w:sz w:val="24"/>
          <w:szCs w:val="24"/>
        </w:rPr>
        <w:t>162</w:t>
      </w:r>
      <w:r>
        <w:rPr>
          <w:rFonts w:ascii="Arial" w:hAnsi="Arial" w:cs="Arial"/>
          <w:sz w:val="24"/>
          <w:szCs w:val="24"/>
        </w:rPr>
        <w:t>, fracción II,</w:t>
      </w:r>
      <w:r w:rsidRPr="009D5140">
        <w:rPr>
          <w:rFonts w:ascii="Arial" w:hAnsi="Arial" w:cs="Arial"/>
          <w:sz w:val="24"/>
          <w:szCs w:val="24"/>
        </w:rPr>
        <w:t xml:space="preserve"> de la Ley de Procedimiento y Justicia Administrativa para el Estado de Oaxaca</w:t>
      </w:r>
      <w:r>
        <w:rPr>
          <w:rFonts w:ascii="Arial" w:hAnsi="Arial" w:cs="Arial"/>
          <w:sz w:val="24"/>
          <w:szCs w:val="24"/>
        </w:rPr>
        <w:t>, que establecen lo siguiente:</w:t>
      </w:r>
    </w:p>
    <w:p w:rsidR="005D3F37" w:rsidRDefault="005D3F37" w:rsidP="005D3F37">
      <w:pPr>
        <w:spacing w:line="360" w:lineRule="auto"/>
        <w:ind w:firstLine="709"/>
        <w:contextualSpacing/>
        <w:jc w:val="both"/>
        <w:rPr>
          <w:rFonts w:ascii="Arial" w:hAnsi="Arial" w:cs="Arial"/>
          <w:sz w:val="24"/>
          <w:szCs w:val="24"/>
        </w:rPr>
      </w:pPr>
    </w:p>
    <w:p w:rsidR="005D3F37" w:rsidRDefault="005D3F37" w:rsidP="005D3F37">
      <w:pPr>
        <w:spacing w:line="360" w:lineRule="auto"/>
        <w:ind w:firstLine="709"/>
        <w:contextualSpacing/>
        <w:jc w:val="both"/>
        <w:rPr>
          <w:rFonts w:ascii="Arial" w:hAnsi="Arial" w:cs="Arial"/>
          <w:sz w:val="24"/>
          <w:szCs w:val="24"/>
        </w:rPr>
      </w:pPr>
      <w:r w:rsidRPr="005A5287">
        <w:rPr>
          <w:rFonts w:ascii="Arial" w:hAnsi="Arial" w:cs="Arial"/>
          <w:sz w:val="24"/>
          <w:szCs w:val="24"/>
        </w:rPr>
        <w:t>ARTÍCULO 161.- Es improcedente el juicio ante el Tribunal contra actos:</w:t>
      </w:r>
    </w:p>
    <w:p w:rsidR="005D3F37" w:rsidRDefault="005D3F37" w:rsidP="005D3F37">
      <w:pPr>
        <w:spacing w:line="360" w:lineRule="auto"/>
        <w:ind w:firstLine="709"/>
        <w:contextualSpacing/>
        <w:jc w:val="both"/>
        <w:rPr>
          <w:rFonts w:ascii="Arial" w:hAnsi="Arial" w:cs="Arial"/>
          <w:sz w:val="24"/>
          <w:szCs w:val="24"/>
        </w:rPr>
      </w:pPr>
    </w:p>
    <w:p w:rsidR="005D3F37" w:rsidRDefault="005D3F37" w:rsidP="005D3F37">
      <w:pPr>
        <w:spacing w:line="360" w:lineRule="auto"/>
        <w:ind w:firstLine="709"/>
        <w:contextualSpacing/>
        <w:jc w:val="both"/>
        <w:rPr>
          <w:rFonts w:ascii="Arial" w:hAnsi="Arial" w:cs="Arial"/>
          <w:sz w:val="24"/>
          <w:szCs w:val="24"/>
        </w:rPr>
      </w:pPr>
      <w:r w:rsidRPr="005A5287">
        <w:rPr>
          <w:rFonts w:ascii="Arial" w:hAnsi="Arial" w:cs="Arial"/>
          <w:sz w:val="24"/>
          <w:szCs w:val="24"/>
        </w:rPr>
        <w:t>VI. Contra actos consentidos expresamente o por manifestaciones de voluntad que</w:t>
      </w:r>
      <w:r>
        <w:rPr>
          <w:rFonts w:ascii="Arial" w:hAnsi="Arial" w:cs="Arial"/>
          <w:sz w:val="24"/>
          <w:szCs w:val="24"/>
        </w:rPr>
        <w:t xml:space="preserve"> </w:t>
      </w:r>
      <w:r w:rsidRPr="005A5287">
        <w:rPr>
          <w:rFonts w:ascii="Arial" w:hAnsi="Arial" w:cs="Arial"/>
          <w:sz w:val="24"/>
          <w:szCs w:val="24"/>
        </w:rPr>
        <w:t>entrañen ese consentimiento, entendiéndose por éstos últimos, en contra de los</w:t>
      </w:r>
      <w:r>
        <w:rPr>
          <w:rFonts w:ascii="Arial" w:hAnsi="Arial" w:cs="Arial"/>
          <w:sz w:val="24"/>
          <w:szCs w:val="24"/>
        </w:rPr>
        <w:t xml:space="preserve"> </w:t>
      </w:r>
      <w:r w:rsidRPr="005A5287">
        <w:rPr>
          <w:rFonts w:ascii="Arial" w:hAnsi="Arial" w:cs="Arial"/>
          <w:sz w:val="24"/>
          <w:szCs w:val="24"/>
        </w:rPr>
        <w:t>cuales no se promueva el juicio dentro del término que para tal efecto señale esta Ley;</w:t>
      </w:r>
    </w:p>
    <w:p w:rsidR="005D3F37" w:rsidRDefault="005D3F37" w:rsidP="005D3F37">
      <w:pPr>
        <w:spacing w:line="360" w:lineRule="auto"/>
        <w:ind w:firstLine="709"/>
        <w:contextualSpacing/>
        <w:jc w:val="both"/>
        <w:rPr>
          <w:rFonts w:ascii="Arial" w:hAnsi="Arial" w:cs="Arial"/>
          <w:sz w:val="24"/>
          <w:szCs w:val="24"/>
        </w:rPr>
      </w:pPr>
    </w:p>
    <w:p w:rsidR="005D3F37" w:rsidRDefault="005D3F37" w:rsidP="005D3F37">
      <w:pPr>
        <w:spacing w:line="360" w:lineRule="auto"/>
        <w:ind w:firstLine="709"/>
        <w:contextualSpacing/>
        <w:jc w:val="both"/>
        <w:rPr>
          <w:rFonts w:ascii="Arial" w:hAnsi="Arial" w:cs="Arial"/>
          <w:sz w:val="24"/>
          <w:szCs w:val="24"/>
        </w:rPr>
      </w:pPr>
      <w:r w:rsidRPr="005A5287">
        <w:rPr>
          <w:rFonts w:ascii="Arial" w:hAnsi="Arial" w:cs="Arial"/>
          <w:sz w:val="24"/>
          <w:szCs w:val="24"/>
        </w:rPr>
        <w:t>ARTÍCULO 162.- Procede el sobreseimiento del juicio:</w:t>
      </w:r>
    </w:p>
    <w:p w:rsidR="005D3F37" w:rsidRDefault="005D3F37" w:rsidP="005D3F37">
      <w:pPr>
        <w:spacing w:line="360" w:lineRule="auto"/>
        <w:ind w:firstLine="709"/>
        <w:contextualSpacing/>
        <w:jc w:val="both"/>
        <w:rPr>
          <w:rFonts w:ascii="Arial" w:hAnsi="Arial" w:cs="Arial"/>
          <w:sz w:val="24"/>
          <w:szCs w:val="24"/>
        </w:rPr>
      </w:pPr>
    </w:p>
    <w:p w:rsidR="005D3F37" w:rsidRPr="009D5140" w:rsidRDefault="005D3F37" w:rsidP="005D3F37">
      <w:pPr>
        <w:spacing w:line="360" w:lineRule="auto"/>
        <w:ind w:firstLine="709"/>
        <w:contextualSpacing/>
        <w:jc w:val="both"/>
        <w:rPr>
          <w:rFonts w:ascii="Arial" w:hAnsi="Arial" w:cs="Arial"/>
          <w:sz w:val="24"/>
          <w:szCs w:val="24"/>
        </w:rPr>
      </w:pPr>
      <w:r w:rsidRPr="005A5287">
        <w:rPr>
          <w:rFonts w:ascii="Arial" w:hAnsi="Arial" w:cs="Arial"/>
          <w:sz w:val="24"/>
          <w:szCs w:val="24"/>
        </w:rPr>
        <w:t>II. Cuando durante la tramitación del procedimiento sobreviniere alguna de las causas</w:t>
      </w:r>
      <w:r>
        <w:rPr>
          <w:rFonts w:ascii="Arial" w:hAnsi="Arial" w:cs="Arial"/>
          <w:sz w:val="24"/>
          <w:szCs w:val="24"/>
        </w:rPr>
        <w:t xml:space="preserve"> </w:t>
      </w:r>
      <w:r w:rsidRPr="005A5287">
        <w:rPr>
          <w:rFonts w:ascii="Arial" w:hAnsi="Arial" w:cs="Arial"/>
          <w:sz w:val="24"/>
          <w:szCs w:val="24"/>
        </w:rPr>
        <w:t>de improcedencia a que se refiere el artículo anterior;</w:t>
      </w:r>
    </w:p>
    <w:p w:rsidR="005D3F37" w:rsidRDefault="005D3F37" w:rsidP="005D3F37">
      <w:pPr>
        <w:spacing w:line="360" w:lineRule="auto"/>
        <w:ind w:firstLine="709"/>
        <w:contextualSpacing/>
        <w:jc w:val="both"/>
        <w:rPr>
          <w:rFonts w:cs="Arial"/>
          <w:sz w:val="24"/>
          <w:szCs w:val="24"/>
          <w:highlight w:val="yellow"/>
        </w:rPr>
      </w:pPr>
    </w:p>
    <w:p w:rsidR="005D3F37" w:rsidRDefault="005D3F37" w:rsidP="005D3F37">
      <w:pPr>
        <w:spacing w:line="360" w:lineRule="auto"/>
        <w:ind w:firstLine="708"/>
        <w:jc w:val="both"/>
        <w:rPr>
          <w:rFonts w:ascii="Arial" w:hAnsi="Arial" w:cs="Arial"/>
          <w:sz w:val="24"/>
          <w:szCs w:val="24"/>
        </w:rPr>
      </w:pPr>
      <w:r>
        <w:rPr>
          <w:rFonts w:ascii="Arial" w:hAnsi="Arial" w:cs="Arial"/>
          <w:sz w:val="24"/>
          <w:szCs w:val="24"/>
        </w:rPr>
        <w:t>Ahora bien</w:t>
      </w:r>
      <w:r w:rsidRPr="007B0581">
        <w:rPr>
          <w:rFonts w:ascii="Arial" w:hAnsi="Arial" w:cs="Arial"/>
          <w:sz w:val="24"/>
          <w:szCs w:val="24"/>
        </w:rPr>
        <w:t xml:space="preserve">, esta juzgadora </w:t>
      </w:r>
      <w:r>
        <w:rPr>
          <w:rFonts w:ascii="Arial" w:hAnsi="Arial" w:cs="Arial"/>
          <w:sz w:val="24"/>
          <w:szCs w:val="24"/>
        </w:rPr>
        <w:t>después de haber realizado el estudio</w:t>
      </w:r>
      <w:r w:rsidRPr="007B0581">
        <w:rPr>
          <w:rFonts w:ascii="Arial" w:hAnsi="Arial" w:cs="Arial"/>
          <w:sz w:val="24"/>
          <w:szCs w:val="24"/>
        </w:rPr>
        <w:t xml:space="preserve"> a</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os presentes autos, advierte que la actora en su escrito inicial de demanda refirió haber tenido conocimiento del acto aquí impugnado el veintisiete de octubre de dos mil diecinueve; no obstante, la autoridad demandada al contestar la demanda exhibió como prueba, copia certificada del acta de notificación de fecha doce de septiembre de dos mil diecinueve, visible a fojas 41 a 44 de los presentes autos, efectuada </w:t>
      </w:r>
      <w:r>
        <w:rPr>
          <w:rFonts w:ascii="Arial" w:hAnsi="Arial" w:cs="Arial"/>
          <w:sz w:val="24"/>
          <w:szCs w:val="24"/>
        </w:rPr>
        <w:lastRenderedPageBreak/>
        <w:t xml:space="preserve">personalmente a la aquí actora, lo anterior en virtud que en la citada documental, obra su nombre y presuntamente su firma, esta última no fue controvertida por la administrada en cuanto a su autenticidad, documental a la que se le otorga pleno valor probatorio de conformidad con el artículo 203, fracción I, de la Ley de Procedimiento y Justicia Administrativa para el Estado de Oaxaca. Ahora, si bien es cierto que el notificador o ejecutor de la Secretaría de Finanzas plasmó en el acta de notificación realizada personalmente a la actora el doce de septiembre de dos mil doce,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w:t>
      </w:r>
      <w:bookmarkStart w:id="2" w:name="_GoBack"/>
      <w:bookmarkEnd w:id="2"/>
      <w:r>
        <w:rPr>
          <w:rFonts w:ascii="Arial" w:hAnsi="Arial" w:cs="Arial"/>
          <w:sz w:val="24"/>
          <w:szCs w:val="24"/>
        </w:rPr>
        <w:t xml:space="preserve">Directora de Ingresos y Recaudación de la Secretaría de Finanzas del Poder Ejecutivo del Estado de Oaxaca, esto es, un número de control diverso al aquí impugnado, </w:t>
      </w:r>
      <w:r w:rsidRPr="0040657F">
        <w:rPr>
          <w:rFonts w:ascii="Arial" w:hAnsi="Arial" w:cs="Arial"/>
          <w:sz w:val="24"/>
          <w:szCs w:val="24"/>
        </w:rPr>
        <w:t>también</w:t>
      </w:r>
      <w:r>
        <w:rPr>
          <w:rFonts w:ascii="Arial" w:hAnsi="Arial" w:cs="Arial"/>
          <w:sz w:val="24"/>
          <w:szCs w:val="24"/>
        </w:rPr>
        <w:t xml:space="preserve"> lo es que el citado notificador o ejecutor proporcionó a la actora </w:t>
      </w:r>
      <w:r>
        <w:rPr>
          <w:rFonts w:cs="Arial"/>
          <w:b/>
          <w:sz w:val="24"/>
          <w:szCs w:val="24"/>
        </w:rPr>
        <w:t>**********</w:t>
      </w:r>
      <w:r>
        <w:rPr>
          <w:rFonts w:cs="Arial"/>
          <w:b/>
          <w:sz w:val="24"/>
          <w:szCs w:val="24"/>
        </w:rPr>
        <w:t xml:space="preserve"> </w:t>
      </w:r>
      <w:r>
        <w:rPr>
          <w:rFonts w:ascii="Arial" w:hAnsi="Arial" w:cs="Arial"/>
          <w:sz w:val="24"/>
          <w:szCs w:val="24"/>
        </w:rPr>
        <w:t xml:space="preserve">el original de la Multa por Infracción Establecida en el Código Fiscal para el Estado de Oaxaca, con Número de control </w:t>
      </w:r>
      <w:r>
        <w:rPr>
          <w:rFonts w:cs="Arial"/>
          <w:b/>
          <w:sz w:val="24"/>
          <w:szCs w:val="24"/>
        </w:rPr>
        <w:t>**********</w:t>
      </w:r>
      <w:r>
        <w:rPr>
          <w:rFonts w:cs="Arial"/>
          <w:b/>
          <w:sz w:val="24"/>
          <w:szCs w:val="24"/>
        </w:rPr>
        <w:t xml:space="preserve"> </w:t>
      </w:r>
      <w:r>
        <w:rPr>
          <w:rFonts w:ascii="Arial" w:hAnsi="Arial" w:cs="Arial"/>
          <w:sz w:val="24"/>
          <w:szCs w:val="24"/>
        </w:rPr>
        <w:t>de diecinueve de agosto de dos mil diecinueve, emitida por la Directora de Ingresos y Recaudación de la Secretaría de Finanzas del Poder Ejecutivo del Estado de Oaxaca, se dice lo anterior en razón que, a foja 40 de los presentes autos, obra agregada copia certificada del acuse de recibido de la multa con el número de control en cita, en la que se encuentran plasmadas además de la fecha de doce de septiembre de dos mil diecinueve y nombre, presumiblemente la firma de la actora, la cual no fue controvertida por ésta en cuanto a su autenticidad, documental a la que se le otorga valor probatorio pleno de conformidad con el artículo 203, fracción I, de la Ley de la Materia.</w:t>
      </w:r>
    </w:p>
    <w:p w:rsidR="005D3F37" w:rsidRDefault="005D3F37" w:rsidP="005D3F37">
      <w:pPr>
        <w:spacing w:line="360" w:lineRule="auto"/>
        <w:ind w:firstLine="708"/>
        <w:jc w:val="both"/>
        <w:rPr>
          <w:rFonts w:ascii="Arial" w:hAnsi="Arial" w:cs="Arial"/>
          <w:sz w:val="24"/>
          <w:szCs w:val="24"/>
        </w:rPr>
      </w:pPr>
    </w:p>
    <w:p w:rsidR="005D3F37" w:rsidRDefault="005D3F37" w:rsidP="005D3F37">
      <w:pPr>
        <w:spacing w:line="360" w:lineRule="auto"/>
        <w:ind w:firstLine="708"/>
        <w:jc w:val="both"/>
        <w:rPr>
          <w:rFonts w:ascii="Arial" w:hAnsi="Arial" w:cs="Arial"/>
          <w:sz w:val="24"/>
          <w:szCs w:val="24"/>
        </w:rPr>
      </w:pPr>
      <w:r>
        <w:rPr>
          <w:rFonts w:ascii="Arial" w:hAnsi="Arial" w:cs="Arial"/>
          <w:sz w:val="24"/>
          <w:szCs w:val="24"/>
        </w:rPr>
        <w:t xml:space="preserve"> Aunado a lo anterior, es de señalar, que en el presente asunto la actora promovió juicio de nulidad en contra de la Multa por Infracción Establecida en el Código Fiscal para el Estado de Oaxaca, con Número de control </w:t>
      </w:r>
      <w:r>
        <w:rPr>
          <w:rFonts w:cs="Arial"/>
          <w:b/>
          <w:sz w:val="24"/>
          <w:szCs w:val="24"/>
        </w:rPr>
        <w:t>**********</w:t>
      </w:r>
      <w:r>
        <w:rPr>
          <w:rFonts w:cs="Arial"/>
          <w:b/>
          <w:sz w:val="24"/>
          <w:szCs w:val="24"/>
        </w:rPr>
        <w:t xml:space="preserve"> </w:t>
      </w:r>
      <w:r>
        <w:rPr>
          <w:rFonts w:ascii="Arial" w:hAnsi="Arial" w:cs="Arial"/>
          <w:sz w:val="24"/>
          <w:szCs w:val="24"/>
        </w:rPr>
        <w:t>de diecinueve de agosto de dos mil diecinueve, emitida por la Directora de Ingresos y Recaudación de la Secretaría de Finanzas del Poder Ejecutivo del Estado de Oaxaca; de lo antes expuesto se concluye que la fecha de notificación del acto aquí impugnado se realizó personalmente a la actora el doce de septiembre de dos mil diecinueve.</w:t>
      </w:r>
    </w:p>
    <w:p w:rsidR="005D3F37" w:rsidRDefault="005D3F37" w:rsidP="005D3F37">
      <w:pPr>
        <w:spacing w:line="360" w:lineRule="auto"/>
        <w:ind w:firstLine="708"/>
        <w:jc w:val="both"/>
        <w:rPr>
          <w:rFonts w:ascii="Arial" w:hAnsi="Arial" w:cs="Arial"/>
          <w:sz w:val="24"/>
          <w:szCs w:val="24"/>
        </w:rPr>
      </w:pPr>
    </w:p>
    <w:p w:rsidR="005D3F37" w:rsidRDefault="005D3F37" w:rsidP="005D3F37">
      <w:pPr>
        <w:spacing w:line="360" w:lineRule="auto"/>
        <w:ind w:firstLine="708"/>
        <w:jc w:val="both"/>
        <w:rPr>
          <w:rFonts w:ascii="Arial" w:hAnsi="Arial" w:cs="Arial"/>
          <w:sz w:val="24"/>
          <w:szCs w:val="24"/>
        </w:rPr>
      </w:pPr>
      <w:r>
        <w:rPr>
          <w:rFonts w:ascii="Arial" w:hAnsi="Arial" w:cs="Arial"/>
          <w:sz w:val="24"/>
          <w:szCs w:val="24"/>
        </w:rPr>
        <w:t xml:space="preserve">De lo anteriormente vertido, el plazo que tuvo la actora para promover juicio de nulidad en contra de la Multa por Infracción Establecida en el Código Fiscal para el Estado de Oaxaca, con Número de control </w:t>
      </w:r>
      <w:r>
        <w:rPr>
          <w:rFonts w:cs="Arial"/>
          <w:b/>
          <w:sz w:val="24"/>
          <w:szCs w:val="24"/>
        </w:rPr>
        <w:t>**********</w:t>
      </w:r>
      <w:r>
        <w:rPr>
          <w:rFonts w:cs="Arial"/>
          <w:b/>
          <w:sz w:val="24"/>
          <w:szCs w:val="24"/>
        </w:rPr>
        <w:t xml:space="preserve"> </w:t>
      </w:r>
      <w:r>
        <w:rPr>
          <w:rFonts w:ascii="Arial" w:hAnsi="Arial" w:cs="Arial"/>
          <w:sz w:val="24"/>
          <w:szCs w:val="24"/>
        </w:rPr>
        <w:t xml:space="preserve">de diecinueve de agosto de dos mil diecinueve, emitida por la Directora de Ingresos y Recaudación de la Secretaría de Finanzas del Poder Ejecutivo del Estado de Oaxaca,       transcurrió a partir del dieciocho de septiembre y feneció el cuatro de noviembre de </w:t>
      </w:r>
      <w:r>
        <w:rPr>
          <w:rFonts w:ascii="Arial" w:hAnsi="Arial" w:cs="Arial"/>
          <w:sz w:val="24"/>
          <w:szCs w:val="24"/>
        </w:rPr>
        <w:lastRenderedPageBreak/>
        <w:t xml:space="preserve">dos mil diecinueve, descontándose los días sábados y domingos, trece y dieciséis de septiembre, veintiuno, treinta y treinta y uno de octubre y uno de noviembre de dos mil diecinueve, de conformidad con lo establecido en los artículos 165, 166 y 168 de la Ley de Procedimiento y Justicia Administrativa para el Estado de Oaxaca y el calendario oficial correspondiente al ejercicio dos mil diecinueve, aprobado mediante Acuerdo General AG/TJAO/01/2019, por los integrantes de la Sala Superior de este órgano jurisdiccional, por lo anteriormente vertido, y toda vez que el escrito de demanda de la actora fue presentado en la Oficialía de Partes Común de este Tribunal, el cinco de noviembre de dos mil diecinueve, como se observa del sello de recepción, visible a foja 3 vuelta, el juicio de nulidad no se realizó dentro del plazo de treinta días hábiles que establece el artículo 166, párrafo primero, de la Ley de Procedimiento y Justicia Administrativa para el Estado de Oaxaca. En consecuencia, </w:t>
      </w:r>
      <w:r w:rsidRPr="00B167FF">
        <w:rPr>
          <w:rFonts w:ascii="Arial" w:hAnsi="Arial" w:cs="Arial"/>
          <w:b/>
          <w:bCs/>
          <w:sz w:val="24"/>
          <w:szCs w:val="24"/>
        </w:rPr>
        <w:t>SE SOBRESEE EN EL JUICIO</w:t>
      </w:r>
      <w:r>
        <w:rPr>
          <w:rFonts w:ascii="Arial" w:hAnsi="Arial" w:cs="Arial"/>
          <w:sz w:val="24"/>
          <w:szCs w:val="24"/>
        </w:rPr>
        <w:t xml:space="preserve"> de conformidad con los artículos 161, fracción VI y 162, fracción II, de la Ley en cita. </w:t>
      </w:r>
    </w:p>
    <w:p w:rsidR="005D3F37" w:rsidRDefault="005D3F37" w:rsidP="005D3F37">
      <w:pPr>
        <w:spacing w:line="360" w:lineRule="auto"/>
        <w:ind w:right="51"/>
        <w:jc w:val="both"/>
        <w:rPr>
          <w:rFonts w:ascii="Arial" w:hAnsi="Arial" w:cs="Arial"/>
          <w:b/>
          <w:sz w:val="24"/>
          <w:szCs w:val="24"/>
        </w:rPr>
      </w:pPr>
    </w:p>
    <w:p w:rsidR="005D3F37" w:rsidRPr="007B0581" w:rsidRDefault="005D3F37" w:rsidP="005D3F37">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5D3F37" w:rsidRDefault="005D3F37" w:rsidP="005D3F37">
      <w:pPr>
        <w:spacing w:line="360" w:lineRule="auto"/>
        <w:ind w:firstLine="708"/>
        <w:jc w:val="both"/>
        <w:rPr>
          <w:rFonts w:ascii="Arial" w:eastAsia="Calibri" w:hAnsi="Arial" w:cs="Arial"/>
          <w:color w:val="000000"/>
          <w:sz w:val="24"/>
          <w:szCs w:val="24"/>
          <w:lang w:val="es-MX" w:eastAsia="en-US"/>
        </w:rPr>
      </w:pPr>
    </w:p>
    <w:p w:rsidR="005D3F37" w:rsidRDefault="005D3F37" w:rsidP="005D3F37">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w:t>
      </w:r>
      <w:r>
        <w:rPr>
          <w:rFonts w:ascii="Arial" w:eastAsia="Calibri" w:hAnsi="Arial" w:cs="Arial"/>
          <w:color w:val="000000"/>
          <w:sz w:val="24"/>
          <w:szCs w:val="24"/>
          <w:lang w:val="es-MX" w:eastAsia="en-US"/>
        </w:rPr>
        <w:t xml:space="preserve"> 161, fracción VI y 162, fracción II</w:t>
      </w:r>
      <w:r w:rsidRPr="007B0581">
        <w:rPr>
          <w:rFonts w:ascii="Arial" w:eastAsia="Calibri" w:hAnsi="Arial" w:cs="Arial"/>
          <w:color w:val="000000"/>
          <w:sz w:val="24"/>
          <w:szCs w:val="24"/>
          <w:lang w:val="es-MX" w:eastAsia="en-US"/>
        </w:rPr>
        <w:t>, de la Ley de Procedimiento y Justicia Administrativa para el Estado de Oaxaca, se;</w:t>
      </w:r>
    </w:p>
    <w:p w:rsidR="005D3F37" w:rsidRDefault="005D3F37" w:rsidP="005D3F37">
      <w:pPr>
        <w:spacing w:line="360" w:lineRule="auto"/>
        <w:ind w:firstLine="708"/>
        <w:jc w:val="both"/>
        <w:rPr>
          <w:rFonts w:ascii="Arial" w:eastAsia="Calibri" w:hAnsi="Arial" w:cs="Arial"/>
          <w:color w:val="000000"/>
          <w:sz w:val="24"/>
          <w:szCs w:val="24"/>
          <w:lang w:val="es-MX" w:eastAsia="en-US"/>
        </w:rPr>
      </w:pPr>
    </w:p>
    <w:p w:rsidR="005D3F37" w:rsidRDefault="005D3F37" w:rsidP="005D3F37">
      <w:pPr>
        <w:spacing w:line="360" w:lineRule="auto"/>
        <w:ind w:firstLine="708"/>
        <w:jc w:val="both"/>
        <w:rPr>
          <w:rFonts w:ascii="Arial" w:eastAsia="Calibri" w:hAnsi="Arial" w:cs="Arial"/>
          <w:color w:val="000000"/>
          <w:sz w:val="24"/>
          <w:szCs w:val="24"/>
          <w:lang w:val="es-MX" w:eastAsia="en-US"/>
        </w:rPr>
      </w:pPr>
    </w:p>
    <w:p w:rsidR="005D3F37" w:rsidRDefault="005D3F37" w:rsidP="005D3F37">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5D3F37" w:rsidRDefault="005D3F37" w:rsidP="005D3F37">
      <w:pPr>
        <w:tabs>
          <w:tab w:val="left" w:pos="3786"/>
        </w:tabs>
        <w:spacing w:line="360" w:lineRule="auto"/>
        <w:ind w:firstLine="708"/>
        <w:jc w:val="both"/>
        <w:rPr>
          <w:rFonts w:ascii="Arial" w:hAnsi="Arial" w:cs="Arial"/>
          <w:b/>
          <w:sz w:val="24"/>
          <w:szCs w:val="24"/>
        </w:rPr>
      </w:pPr>
    </w:p>
    <w:p w:rsidR="005D3F37" w:rsidRDefault="005D3F37" w:rsidP="005D3F37">
      <w:pPr>
        <w:tabs>
          <w:tab w:val="left" w:pos="3786"/>
        </w:tabs>
        <w:spacing w:line="360" w:lineRule="auto"/>
        <w:ind w:firstLine="708"/>
        <w:jc w:val="both"/>
        <w:rPr>
          <w:rFonts w:ascii="Arial" w:hAnsi="Arial" w:cs="Arial"/>
          <w:b/>
          <w:sz w:val="24"/>
          <w:szCs w:val="24"/>
        </w:rPr>
      </w:pPr>
    </w:p>
    <w:p w:rsidR="005D3F37" w:rsidRPr="007B0581" w:rsidRDefault="005D3F37" w:rsidP="005D3F37">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5D3F37" w:rsidRPr="007B0581" w:rsidRDefault="005D3F37" w:rsidP="005D3F37">
      <w:pPr>
        <w:pStyle w:val="Textoindependiente"/>
        <w:ind w:firstLine="709"/>
        <w:contextualSpacing/>
        <w:jc w:val="both"/>
        <w:rPr>
          <w:rFonts w:ascii="Arial" w:hAnsi="Arial" w:cs="Arial"/>
          <w:b/>
          <w:sz w:val="24"/>
          <w:szCs w:val="24"/>
        </w:rPr>
      </w:pPr>
    </w:p>
    <w:p w:rsidR="005D3F37" w:rsidRPr="007B0581" w:rsidRDefault="005D3F37" w:rsidP="005D3F37">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5D3F37" w:rsidRPr="007B0581" w:rsidRDefault="005D3F37" w:rsidP="005D3F37">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5D3F37" w:rsidRDefault="005D3F37" w:rsidP="005D3F37">
      <w:pPr>
        <w:spacing w:line="360" w:lineRule="auto"/>
        <w:ind w:right="51" w:firstLine="567"/>
        <w:contextualSpacing/>
        <w:jc w:val="both"/>
        <w:rPr>
          <w:rFonts w:ascii="Arial" w:hAnsi="Arial" w:cs="Arial"/>
          <w:b/>
          <w:bCs/>
          <w:sz w:val="24"/>
          <w:szCs w:val="24"/>
        </w:rPr>
      </w:pPr>
      <w:r w:rsidRPr="007B0581">
        <w:rPr>
          <w:rFonts w:ascii="Arial" w:hAnsi="Arial" w:cs="Arial"/>
          <w:b/>
          <w:sz w:val="24"/>
          <w:szCs w:val="24"/>
        </w:rPr>
        <w:lastRenderedPageBreak/>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EL PRESENTE JUICIO</w:t>
      </w:r>
      <w:r>
        <w:rPr>
          <w:rFonts w:ascii="Arial" w:eastAsia="Calibri" w:hAnsi="Arial" w:cs="Arial"/>
          <w:color w:val="000000"/>
          <w:sz w:val="24"/>
          <w:szCs w:val="24"/>
          <w:lang w:val="es-MX" w:eastAsia="en-US"/>
        </w:rPr>
        <w:t xml:space="preserve">, por los motivos indicados en el considerando </w:t>
      </w:r>
      <w:r w:rsidRPr="0096543D">
        <w:rPr>
          <w:rFonts w:ascii="Arial" w:eastAsia="Calibri" w:hAnsi="Arial" w:cs="Arial"/>
          <w:b/>
          <w:bCs/>
          <w:color w:val="000000"/>
          <w:sz w:val="24"/>
          <w:szCs w:val="24"/>
          <w:lang w:val="es-MX" w:eastAsia="en-US"/>
        </w:rPr>
        <w:t>TERCERO</w:t>
      </w:r>
      <w:r>
        <w:rPr>
          <w:rFonts w:ascii="Arial" w:eastAsia="Calibri" w:hAnsi="Arial" w:cs="Arial"/>
          <w:color w:val="000000"/>
          <w:sz w:val="24"/>
          <w:szCs w:val="24"/>
          <w:lang w:val="es-MX" w:eastAsia="en-US"/>
        </w:rPr>
        <w:t xml:space="preserve"> de la presente sentencia.</w:t>
      </w:r>
    </w:p>
    <w:p w:rsidR="005D3F37" w:rsidRDefault="005D3F37" w:rsidP="005D3F37">
      <w:pPr>
        <w:spacing w:line="360" w:lineRule="auto"/>
        <w:ind w:right="51" w:firstLine="567"/>
        <w:jc w:val="both"/>
        <w:rPr>
          <w:rFonts w:ascii="Arial" w:hAnsi="Arial" w:cs="Arial"/>
          <w:b/>
          <w:bCs/>
          <w:sz w:val="24"/>
          <w:szCs w:val="24"/>
        </w:rPr>
      </w:pPr>
    </w:p>
    <w:p w:rsidR="005D3F37" w:rsidRDefault="005D3F37" w:rsidP="005D3F37">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5D3F37" w:rsidRPr="007B0581" w:rsidRDefault="005D3F37" w:rsidP="005D3F37">
      <w:pPr>
        <w:spacing w:line="360" w:lineRule="auto"/>
        <w:ind w:right="51" w:firstLine="567"/>
        <w:jc w:val="both"/>
        <w:rPr>
          <w:rFonts w:ascii="Arial" w:eastAsia="Calibri" w:hAnsi="Arial" w:cs="Arial"/>
          <w:b/>
          <w:color w:val="000000"/>
          <w:sz w:val="24"/>
          <w:szCs w:val="24"/>
          <w:lang w:val="es-MX" w:eastAsia="en-US"/>
        </w:rPr>
      </w:pPr>
    </w:p>
    <w:p w:rsidR="005D3F37" w:rsidRDefault="005D3F37" w:rsidP="005D3F37">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5D3F37" w:rsidRDefault="005D3F37" w:rsidP="005D3F37">
      <w:pPr>
        <w:spacing w:line="360" w:lineRule="auto"/>
        <w:ind w:right="-91"/>
        <w:contextualSpacing/>
        <w:jc w:val="both"/>
        <w:rPr>
          <w:rFonts w:ascii="Arial" w:hAnsi="Arial" w:cs="Arial"/>
          <w:sz w:val="24"/>
          <w:szCs w:val="24"/>
          <w:lang w:val="es-MX"/>
        </w:rPr>
      </w:pPr>
    </w:p>
    <w:p w:rsidR="005D3F37" w:rsidRDefault="005D3F37" w:rsidP="005D3F37">
      <w:pPr>
        <w:spacing w:line="360" w:lineRule="auto"/>
        <w:ind w:right="-91"/>
        <w:contextualSpacing/>
        <w:jc w:val="both"/>
        <w:rPr>
          <w:rFonts w:ascii="Arial" w:hAnsi="Arial" w:cs="Arial"/>
          <w:sz w:val="24"/>
          <w:szCs w:val="24"/>
          <w:lang w:val="es-MX"/>
        </w:rPr>
      </w:pPr>
    </w:p>
    <w:p w:rsidR="005D3F37" w:rsidRDefault="005D3F37" w:rsidP="005D3F37">
      <w:pPr>
        <w:spacing w:line="360" w:lineRule="auto"/>
        <w:ind w:right="-91"/>
        <w:contextualSpacing/>
        <w:jc w:val="both"/>
        <w:rPr>
          <w:rFonts w:ascii="Arial" w:hAnsi="Arial" w:cs="Arial"/>
          <w:sz w:val="24"/>
          <w:szCs w:val="24"/>
          <w:lang w:val="es-MX"/>
        </w:rPr>
      </w:pPr>
    </w:p>
    <w:p w:rsidR="005D3F37" w:rsidRPr="007B0581" w:rsidRDefault="005D3F37" w:rsidP="005D3F37">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F37" w:rsidRDefault="005D3F37" w:rsidP="005D3F37">
      <w:r>
        <w:separator/>
      </w:r>
    </w:p>
  </w:endnote>
  <w:endnote w:type="continuationSeparator" w:id="0">
    <w:p w:rsidR="005D3F37" w:rsidRDefault="005D3F37" w:rsidP="005D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5D3F37">
        <w:pPr>
          <w:pStyle w:val="Piedepgina"/>
          <w:jc w:val="center"/>
        </w:pPr>
        <w:r>
          <w:fldChar w:fldCharType="begin"/>
        </w:r>
        <w:r>
          <w:instrText xml:space="preserve">PAGE   \* </w:instrText>
        </w:r>
        <w:r>
          <w:instrText>MERGEFORMAT</w:instrText>
        </w:r>
        <w:r>
          <w:fldChar w:fldCharType="separate"/>
        </w:r>
        <w:r>
          <w:rPr>
            <w:noProof/>
          </w:rPr>
          <w:t>6</w:t>
        </w:r>
        <w:r>
          <w:fldChar w:fldCharType="end"/>
        </w:r>
      </w:p>
    </w:sdtContent>
  </w:sdt>
  <w:p w:rsidR="009525A3" w:rsidRDefault="005D3F3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F37" w:rsidRDefault="005D3F37">
    <w:pPr>
      <w:pStyle w:val="Piedepgina"/>
    </w:pPr>
    <w:r w:rsidRPr="005D3F37">
      <w:rPr>
        <w:rFonts w:eastAsia="Calibri"/>
        <w:noProof/>
        <w:lang w:val="es-MX"/>
      </w:rPr>
      <mc:AlternateContent>
        <mc:Choice Requires="wps">
          <w:drawing>
            <wp:anchor distT="45720" distB="45720" distL="114300" distR="114300" simplePos="0" relativeHeight="251665408" behindDoc="1" locked="0" layoutInCell="1" allowOverlap="1" wp14:anchorId="0A996963" wp14:editId="3A6CC0A6">
              <wp:simplePos x="0" y="0"/>
              <wp:positionH relativeFrom="leftMargin">
                <wp:posOffset>218049</wp:posOffset>
              </wp:positionH>
              <wp:positionV relativeFrom="paragraph">
                <wp:posOffset>-5591859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5D3F37" w:rsidRDefault="005D3F37" w:rsidP="005D3F3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996963" id="_x0000_t202" coordsize="21600,21600" o:spt="202" path="m,l,21600r21600,l21600,xe">
              <v:stroke joinstyle="miter"/>
              <v:path gradientshapeok="t" o:connecttype="rect"/>
            </v:shapetype>
            <v:shape id="Cuadro de texto 4" o:spid="_x0000_s1027" type="#_x0000_t202" style="position:absolute;margin-left:17.15pt;margin-top:-440.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">
              <v:textbox>
                <w:txbxContent>
                  <w:p w:rsidR="005D3F37" w:rsidRDefault="005D3F37" w:rsidP="005D3F37">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F37" w:rsidRDefault="005D3F37" w:rsidP="005D3F37">
      <w:r>
        <w:separator/>
      </w:r>
    </w:p>
  </w:footnote>
  <w:footnote w:type="continuationSeparator" w:id="0">
    <w:p w:rsidR="005D3F37" w:rsidRDefault="005D3F37" w:rsidP="005D3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5D3F37" w:rsidP="00A73AD7">
    <w:pPr>
      <w:pStyle w:val="Encabezado"/>
      <w:jc w:val="right"/>
      <w:rPr>
        <w:rFonts w:ascii="Arial" w:hAnsi="Arial" w:cs="Arial"/>
      </w:rPr>
    </w:pPr>
    <w:r w:rsidRPr="005D3F37">
      <w:rPr>
        <w:rFonts w:eastAsia="Calibri"/>
        <w:noProof/>
        <w:lang w:val="es-MX"/>
      </w:rPr>
      <mc:AlternateContent>
        <mc:Choice Requires="wps">
          <w:drawing>
            <wp:anchor distT="45720" distB="45720" distL="114300" distR="114300" simplePos="0" relativeHeight="251663360" behindDoc="1" locked="0" layoutInCell="1" allowOverlap="1" wp14:anchorId="33D9127E" wp14:editId="29A74936">
              <wp:simplePos x="0" y="0"/>
              <wp:positionH relativeFrom="leftMargin">
                <wp:posOffset>253219</wp:posOffset>
              </wp:positionH>
              <wp:positionV relativeFrom="paragraph">
                <wp:posOffset>3333408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5D3F37" w:rsidRDefault="005D3F37" w:rsidP="005D3F3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9127E" id="_x0000_t202" coordsize="21600,21600" o:spt="202" path="m,l,21600r21600,l21600,xe">
              <v:stroke joinstyle="miter"/>
              <v:path gradientshapeok="t" o:connecttype="rect"/>
            </v:shapetype>
            <v:shape id="Cuadro de texto 5" o:spid="_x0000_s1026" type="#_x0000_t202" style="position:absolute;left:0;text-align:left;margin-left:19.95pt;margin-top:262.4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">
              <v:textbox>
                <w:txbxContent>
                  <w:p w:rsidR="005D3F37" w:rsidRDefault="005D3F37" w:rsidP="005D3F37">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4E99F6AA" wp14:editId="0398BDB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127</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5D3F37">
    <w:pPr>
      <w:pStyle w:val="Encabezado"/>
    </w:pPr>
    <w:r>
      <w:rPr>
        <w:noProof/>
        <w:lang w:val="es-MX"/>
      </w:rPr>
      <w:drawing>
        <wp:anchor distT="0" distB="0" distL="114300" distR="114300" simplePos="0" relativeHeight="251661312" behindDoc="1" locked="0" layoutInCell="1" allowOverlap="1" wp14:anchorId="7CCC15B7" wp14:editId="3C69FF1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96B3D77" wp14:editId="3221D599">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F37"/>
    <w:rsid w:val="00294EC6"/>
    <w:rsid w:val="004B1DB0"/>
    <w:rsid w:val="005223BF"/>
    <w:rsid w:val="005D3F37"/>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36D48E-1967-465B-8C0A-2F633701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F3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5D3F37"/>
    <w:pPr>
      <w:spacing w:after="120"/>
    </w:pPr>
    <w:rPr>
      <w:lang w:val="x-none"/>
    </w:rPr>
  </w:style>
  <w:style w:type="character" w:customStyle="1" w:styleId="TextoindependienteCar">
    <w:name w:val="Texto independiente Car"/>
    <w:basedOn w:val="Fuentedeprrafopredeter"/>
    <w:link w:val="Textoindependiente"/>
    <w:uiPriority w:val="99"/>
    <w:rsid w:val="005D3F37"/>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5D3F3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5D3F37"/>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5D3F37"/>
    <w:pPr>
      <w:tabs>
        <w:tab w:val="center" w:pos="4419"/>
        <w:tab w:val="right" w:pos="8838"/>
      </w:tabs>
    </w:pPr>
  </w:style>
  <w:style w:type="character" w:customStyle="1" w:styleId="EncabezadoCar">
    <w:name w:val="Encabezado Car"/>
    <w:basedOn w:val="Fuentedeprrafopredeter"/>
    <w:link w:val="Encabezado"/>
    <w:uiPriority w:val="99"/>
    <w:rsid w:val="005D3F37"/>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5D3F37"/>
    <w:pPr>
      <w:tabs>
        <w:tab w:val="center" w:pos="4419"/>
        <w:tab w:val="right" w:pos="8838"/>
      </w:tabs>
    </w:pPr>
  </w:style>
  <w:style w:type="character" w:customStyle="1" w:styleId="PiedepginaCar">
    <w:name w:val="Pie de página Car"/>
    <w:basedOn w:val="Fuentedeprrafopredeter"/>
    <w:link w:val="Piedepgina"/>
    <w:uiPriority w:val="99"/>
    <w:rsid w:val="005D3F3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A4D"/>
    <w:rsid w:val="00186A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4B4969A24DA4E09A28E2610B7F1FE0D">
    <w:name w:val="F4B4969A24DA4E09A28E2610B7F1FE0D"/>
    <w:rsid w:val="00186A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1851</Words>
  <Characters>10182</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2023-07-14T16:21:00Z</dcterms:created>
  <dcterms:modified xsi:type="dcterms:W3CDTF">2023-07-14T16:27:00Z</dcterms:modified>
</cp:coreProperties>
</file>