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C04DB1" w:rsidRPr="00312B2E" w:rsidRDefault="00C04DB1" w:rsidP="00C04DB1">
      <w:pPr>
        <w:spacing w:after="0"/>
        <w:ind w:left="3686" w:right="51"/>
        <w:jc w:val="both"/>
        <w:rPr>
          <w:rFonts w:ascii="Tahoma" w:eastAsia="Times New Roman" w:hAnsi="Tahoma" w:cs="Tahoma"/>
          <w:b/>
          <w:sz w:val="24"/>
          <w:szCs w:val="24"/>
          <w:lang w:val="es-ES_tradnl" w:eastAsia="es-ES"/>
        </w:rPr>
      </w:pPr>
      <w:r w:rsidRPr="00312B2E">
        <w:rPr>
          <w:rFonts w:ascii="Tahoma" w:eastAsia="Times New Roman" w:hAnsi="Tahoma" w:cs="Tahoma"/>
          <w:b/>
          <w:sz w:val="24"/>
          <w:szCs w:val="24"/>
          <w:lang w:val="es-ES_tradnl" w:eastAsia="es-ES"/>
        </w:rPr>
        <w:t>TRIBUNAL DE JUSTICIA ADMINISTRATIVA DEL ESTADO DE OAXACA.</w:t>
      </w:r>
    </w:p>
    <w:p w:rsidR="00C04DB1" w:rsidRPr="00312B2E" w:rsidRDefault="00C04DB1" w:rsidP="00C04DB1">
      <w:pPr>
        <w:spacing w:after="0"/>
        <w:ind w:left="3686" w:right="51"/>
        <w:jc w:val="both"/>
        <w:rPr>
          <w:rFonts w:ascii="Tahoma" w:eastAsia="Times New Roman" w:hAnsi="Tahoma" w:cs="Tahoma"/>
          <w:b/>
          <w:sz w:val="24"/>
          <w:szCs w:val="24"/>
          <w:lang w:val="es-ES_tradnl" w:eastAsia="es-ES"/>
        </w:rPr>
      </w:pPr>
    </w:p>
    <w:p w:rsidR="00C04DB1" w:rsidRPr="00312B2E" w:rsidRDefault="00C04DB1" w:rsidP="00C04DB1">
      <w:pPr>
        <w:spacing w:after="0"/>
        <w:ind w:left="3686" w:right="51"/>
        <w:jc w:val="both"/>
        <w:rPr>
          <w:rFonts w:ascii="Tahoma" w:eastAsia="Times New Roman" w:hAnsi="Tahoma" w:cs="Tahoma"/>
          <w:b/>
          <w:sz w:val="24"/>
          <w:szCs w:val="24"/>
          <w:lang w:val="es-ES_tradnl" w:eastAsia="es-ES"/>
        </w:rPr>
      </w:pPr>
      <w:r w:rsidRPr="00312B2E">
        <w:rPr>
          <w:rFonts w:ascii="Tahoma" w:eastAsia="Times New Roman" w:hAnsi="Tahoma" w:cs="Tahoma"/>
          <w:b/>
          <w:sz w:val="24"/>
          <w:szCs w:val="24"/>
          <w:lang w:val="es-ES_tradnl" w:eastAsia="es-ES"/>
        </w:rPr>
        <w:t>SEXTA SALA UNITARIA DE PRIMERA INSTANCIA.</w:t>
      </w:r>
    </w:p>
    <w:p w:rsidR="00C04DB1" w:rsidRPr="00312B2E" w:rsidRDefault="00C04DB1" w:rsidP="00C04DB1">
      <w:pPr>
        <w:spacing w:after="0"/>
        <w:ind w:left="3686" w:right="51"/>
        <w:jc w:val="both"/>
        <w:rPr>
          <w:rFonts w:ascii="Tahoma" w:eastAsia="Times New Roman" w:hAnsi="Tahoma" w:cs="Tahoma"/>
          <w:b/>
          <w:sz w:val="24"/>
          <w:szCs w:val="24"/>
          <w:lang w:val="es-ES_tradnl" w:eastAsia="es-ES"/>
        </w:rPr>
      </w:pPr>
    </w:p>
    <w:p w:rsidR="00C04DB1" w:rsidRPr="00312B2E" w:rsidRDefault="00C04DB1" w:rsidP="00C04DB1">
      <w:pPr>
        <w:spacing w:after="0"/>
        <w:ind w:left="3686" w:right="51"/>
        <w:jc w:val="both"/>
        <w:rPr>
          <w:rFonts w:ascii="Tahoma" w:eastAsia="Times New Roman" w:hAnsi="Tahoma" w:cs="Tahoma"/>
          <w:bCs/>
          <w:sz w:val="24"/>
          <w:szCs w:val="24"/>
          <w:lang w:val="es-ES_tradnl" w:eastAsia="es-ES"/>
        </w:rPr>
      </w:pPr>
      <w:r w:rsidRPr="00312B2E">
        <w:rPr>
          <w:rFonts w:ascii="Tahoma" w:eastAsia="Times New Roman" w:hAnsi="Tahoma" w:cs="Tahoma"/>
          <w:b/>
          <w:sz w:val="24"/>
          <w:szCs w:val="24"/>
          <w:lang w:val="es-ES_tradnl" w:eastAsia="es-ES"/>
        </w:rPr>
        <w:t xml:space="preserve">JUICIO DE NULIDAD: </w:t>
      </w:r>
      <w:r w:rsidRPr="00312B2E">
        <w:rPr>
          <w:rFonts w:ascii="Tahoma" w:eastAsia="Times New Roman" w:hAnsi="Tahoma" w:cs="Tahoma"/>
          <w:bCs/>
          <w:sz w:val="24"/>
          <w:szCs w:val="24"/>
          <w:lang w:val="es-ES_tradnl" w:eastAsia="es-ES"/>
        </w:rPr>
        <w:t xml:space="preserve">129/2019. </w:t>
      </w:r>
    </w:p>
    <w:p w:rsidR="00C04DB1" w:rsidRPr="00312B2E" w:rsidRDefault="00C04DB1" w:rsidP="00C04DB1">
      <w:pPr>
        <w:spacing w:after="0"/>
        <w:ind w:left="3686" w:right="51"/>
        <w:jc w:val="both"/>
        <w:rPr>
          <w:rFonts w:ascii="Tahoma" w:eastAsia="Times New Roman" w:hAnsi="Tahoma" w:cs="Tahoma"/>
          <w:b/>
          <w:sz w:val="24"/>
          <w:szCs w:val="24"/>
          <w:lang w:val="es-ES_tradnl" w:eastAsia="es-ES"/>
        </w:rPr>
      </w:pPr>
    </w:p>
    <w:p w:rsidR="00C04DB1" w:rsidRPr="00312B2E" w:rsidRDefault="00C04DB1" w:rsidP="00C04DB1">
      <w:pPr>
        <w:spacing w:after="0"/>
        <w:ind w:left="3686" w:right="51"/>
        <w:jc w:val="both"/>
        <w:rPr>
          <w:rFonts w:ascii="Tahoma" w:eastAsia="Times New Roman" w:hAnsi="Tahoma" w:cs="Tahoma"/>
          <w:sz w:val="24"/>
          <w:szCs w:val="24"/>
          <w:lang w:val="es-ES_tradnl" w:eastAsia="es-ES"/>
        </w:rPr>
      </w:pPr>
      <w:r w:rsidRPr="00312B2E">
        <w:rPr>
          <w:rFonts w:ascii="Tahoma" w:eastAsia="Times New Roman" w:hAnsi="Tahoma" w:cs="Tahoma"/>
          <w:b/>
          <w:sz w:val="24"/>
          <w:szCs w:val="24"/>
          <w:lang w:val="es-ES_tradnl" w:eastAsia="es-ES"/>
        </w:rPr>
        <w:t>ACTOR</w:t>
      </w:r>
      <w:proofErr w:type="gramStart"/>
      <w:r w:rsidRPr="00312B2E">
        <w:rPr>
          <w:rFonts w:ascii="Tahoma" w:eastAsia="Times New Roman" w:hAnsi="Tahoma" w:cs="Tahoma"/>
          <w:b/>
          <w:sz w:val="24"/>
          <w:szCs w:val="24"/>
          <w:lang w:val="es-ES_tradnl" w:eastAsia="es-ES"/>
        </w:rPr>
        <w:t xml:space="preserve">: </w:t>
      </w:r>
      <w:r w:rsidR="00092347">
        <w:rPr>
          <w:rFonts w:ascii="Tahoma" w:eastAsia="Times New Roman" w:hAnsi="Tahoma" w:cs="Tahoma"/>
          <w:sz w:val="24"/>
          <w:szCs w:val="24"/>
          <w:lang w:val="es-ES_tradnl" w:eastAsia="es-ES"/>
        </w:rPr>
        <w:t xml:space="preserve"> </w:t>
      </w:r>
      <w:r w:rsidRPr="006C7EF9">
        <w:rPr>
          <w:rFonts w:ascii="Tahoma" w:eastAsia="Times New Roman" w:hAnsi="Tahoma" w:cs="Tahoma"/>
          <w:sz w:val="24"/>
          <w:szCs w:val="24"/>
          <w:lang w:val="es-ES_tradnl" w:eastAsia="es-ES"/>
        </w:rPr>
        <w:t>.</w:t>
      </w:r>
      <w:proofErr w:type="gramEnd"/>
      <w:r w:rsidRPr="006C7EF9">
        <w:rPr>
          <w:rFonts w:ascii="Tahoma" w:eastAsia="Times New Roman" w:hAnsi="Tahoma" w:cs="Tahoma"/>
          <w:sz w:val="24"/>
          <w:szCs w:val="24"/>
          <w:lang w:val="es-ES_tradnl" w:eastAsia="es-ES"/>
        </w:rPr>
        <w:t xml:space="preserve">  </w:t>
      </w:r>
    </w:p>
    <w:p w:rsidR="00C04DB1" w:rsidRPr="00312B2E" w:rsidRDefault="00C04DB1" w:rsidP="00C04DB1">
      <w:pPr>
        <w:spacing w:after="0"/>
        <w:ind w:left="3686" w:right="51"/>
        <w:jc w:val="both"/>
        <w:rPr>
          <w:rFonts w:ascii="Tahoma" w:eastAsia="Times New Roman" w:hAnsi="Tahoma" w:cs="Tahoma"/>
          <w:sz w:val="24"/>
          <w:szCs w:val="24"/>
          <w:lang w:val="es-ES_tradnl" w:eastAsia="es-ES"/>
        </w:rPr>
      </w:pPr>
    </w:p>
    <w:p w:rsidR="00C04DB1" w:rsidRPr="00312B2E" w:rsidRDefault="00C04DB1" w:rsidP="00C04DB1">
      <w:pPr>
        <w:spacing w:after="0"/>
        <w:ind w:left="3686" w:right="51"/>
        <w:jc w:val="both"/>
        <w:rPr>
          <w:rFonts w:ascii="Tahoma" w:eastAsia="Times New Roman" w:hAnsi="Tahoma" w:cs="Tahoma"/>
          <w:sz w:val="24"/>
          <w:szCs w:val="24"/>
          <w:lang w:val="es-ES_tradnl" w:eastAsia="es-ES"/>
        </w:rPr>
      </w:pPr>
      <w:r w:rsidRPr="00312B2E">
        <w:rPr>
          <w:rFonts w:ascii="Tahoma" w:eastAsia="Times New Roman" w:hAnsi="Tahoma" w:cs="Tahoma"/>
          <w:b/>
          <w:sz w:val="24"/>
          <w:szCs w:val="24"/>
          <w:lang w:val="es-ES_tradnl" w:eastAsia="es-ES"/>
        </w:rPr>
        <w:t xml:space="preserve">AUTORIDAD DEMANDADA: </w:t>
      </w:r>
      <w:bookmarkStart w:id="0" w:name="_Hlk49769963"/>
      <w:r w:rsidRPr="00312B2E">
        <w:rPr>
          <w:rFonts w:ascii="Tahoma" w:eastAsia="Times New Roman" w:hAnsi="Tahoma" w:cs="Tahoma"/>
          <w:sz w:val="24"/>
          <w:szCs w:val="24"/>
          <w:lang w:val="es-ES_tradnl" w:eastAsia="es-ES"/>
        </w:rPr>
        <w:t>DIRECTORA DE INGRESOS Y RECAUDACIÓN DE LA SUBSECRETARÍA DE INGRESOS DE LA SECRETARÍA DE FINANZAS DEL GOBIERNO DEL ESTADO DE OAXACA</w:t>
      </w:r>
      <w:bookmarkEnd w:id="0"/>
      <w:r w:rsidRPr="00312B2E">
        <w:rPr>
          <w:rFonts w:ascii="Tahoma" w:eastAsia="Times New Roman" w:hAnsi="Tahoma" w:cs="Tahoma"/>
          <w:sz w:val="24"/>
          <w:szCs w:val="24"/>
          <w:lang w:val="es-ES_tradnl" w:eastAsia="es-ES"/>
        </w:rPr>
        <w:t>.</w:t>
      </w:r>
    </w:p>
    <w:p w:rsidR="00C04DB1" w:rsidRPr="00312B2E" w:rsidRDefault="00C04DB1" w:rsidP="00C04DB1">
      <w:pPr>
        <w:spacing w:after="0"/>
        <w:ind w:left="3969" w:right="51"/>
        <w:jc w:val="both"/>
        <w:rPr>
          <w:rFonts w:ascii="Tahoma" w:eastAsia="Times New Roman" w:hAnsi="Tahoma" w:cs="Tahoma"/>
          <w:sz w:val="24"/>
          <w:szCs w:val="24"/>
          <w:lang w:val="es-ES_tradnl" w:eastAsia="es-ES"/>
        </w:rPr>
      </w:pPr>
    </w:p>
    <w:p w:rsidR="00C04DB1" w:rsidRPr="00312B2E" w:rsidRDefault="00C04DB1" w:rsidP="00C04DB1">
      <w:pPr>
        <w:widowControl w:val="0"/>
        <w:spacing w:after="0" w:line="240" w:lineRule="auto"/>
        <w:ind w:right="51"/>
        <w:rPr>
          <w:rFonts w:ascii="Tahoma" w:eastAsia="Times New Roman" w:hAnsi="Tahoma" w:cs="Tahoma"/>
          <w:color w:val="FF0000"/>
          <w:sz w:val="24"/>
          <w:szCs w:val="24"/>
          <w:lang w:val="es-ES" w:eastAsia="es-ES"/>
        </w:rPr>
      </w:pPr>
    </w:p>
    <w:p w:rsidR="00C04DB1" w:rsidRPr="00312B2E" w:rsidRDefault="00C04DB1" w:rsidP="00C04DB1">
      <w:pPr>
        <w:widowControl w:val="0"/>
        <w:spacing w:line="360" w:lineRule="auto"/>
        <w:ind w:right="51" w:firstLine="567"/>
        <w:jc w:val="both"/>
        <w:rPr>
          <w:rFonts w:ascii="Tahoma" w:eastAsia="Times New Roman" w:hAnsi="Tahoma" w:cs="Tahoma"/>
          <w:b/>
          <w:sz w:val="24"/>
          <w:szCs w:val="24"/>
          <w:lang w:val="es-ES" w:eastAsia="es-ES"/>
        </w:rPr>
      </w:pPr>
      <w:r w:rsidRPr="00312B2E">
        <w:rPr>
          <w:rFonts w:ascii="Tahoma" w:eastAsia="Times New Roman" w:hAnsi="Tahoma" w:cs="Tahoma"/>
          <w:b/>
          <w:sz w:val="24"/>
          <w:szCs w:val="24"/>
          <w:lang w:val="es-ES" w:eastAsia="es-ES"/>
        </w:rPr>
        <w:t>OAX</w:t>
      </w:r>
      <w:r w:rsidR="006C7EF9">
        <w:rPr>
          <w:rFonts w:ascii="Tahoma" w:eastAsia="Times New Roman" w:hAnsi="Tahoma" w:cs="Tahoma"/>
          <w:b/>
          <w:sz w:val="24"/>
          <w:szCs w:val="24"/>
          <w:lang w:val="es-ES" w:eastAsia="es-ES"/>
        </w:rPr>
        <w:t xml:space="preserve">ACA DE JUÁREZ, OAXACA, TREINTA DE SEPTIEMBRE </w:t>
      </w:r>
      <w:r w:rsidRPr="00312B2E">
        <w:rPr>
          <w:rFonts w:ascii="Tahoma" w:eastAsia="Times New Roman" w:hAnsi="Tahoma" w:cs="Tahoma"/>
          <w:b/>
          <w:sz w:val="24"/>
          <w:szCs w:val="24"/>
          <w:lang w:val="es-ES" w:eastAsia="es-ES"/>
        </w:rPr>
        <w:t>DE DOS MIL VEINTE.</w:t>
      </w:r>
      <w:r w:rsidRPr="00312B2E">
        <w:rPr>
          <w:rFonts w:ascii="Tahoma" w:hAnsi="Tahoma" w:cs="Tahoma"/>
          <w:sz w:val="24"/>
          <w:szCs w:val="24"/>
        </w:rPr>
        <w:t xml:space="preserve"> </w:t>
      </w:r>
      <w:r w:rsidRPr="00312B2E">
        <w:rPr>
          <w:rFonts w:ascii="Tahoma" w:eastAsia="Times New Roman" w:hAnsi="Tahoma" w:cs="Tahoma"/>
          <w:b/>
          <w:sz w:val="24"/>
          <w:szCs w:val="24"/>
          <w:lang w:val="es-ES" w:eastAsia="es-ES"/>
        </w:rPr>
        <w:t xml:space="preserve"> </w:t>
      </w:r>
    </w:p>
    <w:p w:rsidR="00C04DB1" w:rsidRPr="00312B2E" w:rsidRDefault="00C04DB1" w:rsidP="00C04DB1">
      <w:pPr>
        <w:widowControl w:val="0"/>
        <w:spacing w:line="360" w:lineRule="auto"/>
        <w:ind w:right="51" w:firstLine="567"/>
        <w:jc w:val="both"/>
        <w:rPr>
          <w:rFonts w:ascii="Tahoma" w:eastAsia="Times New Roman" w:hAnsi="Tahoma" w:cs="Tahoma"/>
          <w:sz w:val="24"/>
          <w:szCs w:val="24"/>
          <w:lang w:val="es-ES" w:eastAsia="es-ES"/>
        </w:rPr>
      </w:pPr>
      <w:r w:rsidRPr="00312B2E">
        <w:rPr>
          <w:rFonts w:ascii="Tahoma" w:eastAsia="Times New Roman" w:hAnsi="Tahoma" w:cs="Tahoma"/>
          <w:b/>
          <w:sz w:val="24"/>
          <w:szCs w:val="24"/>
          <w:lang w:val="es-ES_tradnl" w:eastAsia="es-ES"/>
        </w:rPr>
        <w:t xml:space="preserve">V I S T O S, </w:t>
      </w:r>
      <w:r w:rsidRPr="00312B2E">
        <w:rPr>
          <w:rFonts w:ascii="Tahoma" w:eastAsia="Times New Roman" w:hAnsi="Tahoma" w:cs="Tahoma"/>
          <w:sz w:val="24"/>
          <w:szCs w:val="24"/>
          <w:lang w:val="es-ES_tradnl" w:eastAsia="es-ES"/>
        </w:rPr>
        <w:t xml:space="preserve">para resolver los autos del juicio de nulidad número </w:t>
      </w:r>
      <w:r w:rsidRPr="00312B2E">
        <w:rPr>
          <w:rFonts w:ascii="Tahoma" w:eastAsia="Times New Roman" w:hAnsi="Tahoma" w:cs="Tahoma"/>
          <w:b/>
          <w:bCs/>
          <w:sz w:val="24"/>
          <w:szCs w:val="24"/>
          <w:lang w:val="es-ES_tradnl" w:eastAsia="es-ES"/>
        </w:rPr>
        <w:t>129/2019</w:t>
      </w:r>
      <w:r w:rsidRPr="00312B2E">
        <w:rPr>
          <w:rFonts w:ascii="Tahoma" w:eastAsia="Times New Roman" w:hAnsi="Tahoma" w:cs="Tahoma"/>
          <w:sz w:val="24"/>
          <w:szCs w:val="24"/>
          <w:lang w:val="es-ES_tradnl" w:eastAsia="es-ES"/>
        </w:rPr>
        <w:t xml:space="preserve">, interpuesto por </w:t>
      </w:r>
      <w:r w:rsidR="00092347">
        <w:rPr>
          <w:rFonts w:ascii="Tahoma" w:eastAsia="Times New Roman" w:hAnsi="Tahoma" w:cs="Tahoma"/>
          <w:b/>
          <w:bCs/>
          <w:sz w:val="24"/>
          <w:szCs w:val="24"/>
          <w:lang w:val="es-ES_tradnl" w:eastAsia="es-ES"/>
        </w:rPr>
        <w:t>**********</w:t>
      </w:r>
      <w:r w:rsidRPr="00312B2E">
        <w:rPr>
          <w:rFonts w:ascii="Tahoma" w:eastAsia="Times New Roman" w:hAnsi="Tahoma" w:cs="Tahoma"/>
          <w:sz w:val="24"/>
          <w:szCs w:val="24"/>
          <w:lang w:val="es-ES_tradnl" w:eastAsia="es-ES"/>
        </w:rPr>
        <w:t xml:space="preserve">, en contra de la </w:t>
      </w:r>
      <w:r w:rsidRPr="00312B2E">
        <w:rPr>
          <w:rFonts w:ascii="Tahoma" w:eastAsia="Times New Roman" w:hAnsi="Tahoma" w:cs="Tahoma"/>
          <w:b/>
          <w:sz w:val="24"/>
          <w:szCs w:val="24"/>
          <w:lang w:val="es-ES_tradnl" w:eastAsia="es-ES"/>
        </w:rPr>
        <w:t>DIRECTORA DE INGRESOS Y RECAUDACIÓN DE LA SUBSECRETARÍA DE INGRESOS DE LA SECRETARÍA DE FINANZAS DEL GOBIERNO DEL ESTADO DE OAXACA</w:t>
      </w:r>
      <w:r w:rsidRPr="00312B2E">
        <w:rPr>
          <w:rFonts w:ascii="Tahoma" w:eastAsia="Times New Roman" w:hAnsi="Tahoma" w:cs="Tahoma"/>
          <w:sz w:val="24"/>
          <w:szCs w:val="24"/>
          <w:lang w:val="es-ES_tradnl" w:eastAsia="es-ES"/>
        </w:rPr>
        <w:t xml:space="preserve">, y; </w:t>
      </w:r>
    </w:p>
    <w:p w:rsidR="00C04DB1" w:rsidRPr="00312B2E" w:rsidRDefault="00C04DB1" w:rsidP="00C04DB1">
      <w:pPr>
        <w:spacing w:line="360" w:lineRule="auto"/>
        <w:jc w:val="center"/>
        <w:rPr>
          <w:rFonts w:ascii="Tahoma" w:hAnsi="Tahoma" w:cs="Tahoma"/>
          <w:b/>
          <w:spacing w:val="-3"/>
          <w:sz w:val="24"/>
          <w:szCs w:val="24"/>
          <w:lang w:val="es-ES_tradnl"/>
        </w:rPr>
      </w:pPr>
      <w:r w:rsidRPr="00312B2E">
        <w:rPr>
          <w:rFonts w:ascii="Tahoma" w:hAnsi="Tahoma" w:cs="Tahoma"/>
          <w:b/>
          <w:sz w:val="24"/>
          <w:szCs w:val="24"/>
        </w:rPr>
        <w:t>R E</w:t>
      </w:r>
      <w:r w:rsidRPr="00312B2E">
        <w:rPr>
          <w:rFonts w:ascii="Tahoma" w:hAnsi="Tahoma" w:cs="Tahoma"/>
          <w:b/>
          <w:spacing w:val="-3"/>
          <w:sz w:val="24"/>
          <w:szCs w:val="24"/>
          <w:lang w:val="es-ES_tradnl"/>
        </w:rPr>
        <w:t xml:space="preserve"> S U L T A N D O:</w:t>
      </w:r>
    </w:p>
    <w:p w:rsidR="00C04DB1" w:rsidRPr="00312B2E" w:rsidRDefault="00790CFB" w:rsidP="00C04DB1">
      <w:pPr>
        <w:spacing w:line="360" w:lineRule="auto"/>
        <w:ind w:firstLine="567"/>
        <w:jc w:val="both"/>
        <w:rPr>
          <w:rFonts w:ascii="Tahoma" w:hAnsi="Tahoma" w:cs="Tahoma"/>
          <w:bCs/>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2D9C17B1" wp14:editId="5845B020">
                <wp:simplePos x="0" y="0"/>
                <wp:positionH relativeFrom="column">
                  <wp:posOffset>-1167130</wp:posOffset>
                </wp:positionH>
                <wp:positionV relativeFrom="paragraph">
                  <wp:posOffset>527160</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C17B1" id="_x0000_t202" coordsize="21600,21600" o:spt="202" path="m,l,21600r21600,l21600,xe">
                <v:stroke joinstyle="miter"/>
                <v:path gradientshapeok="t" o:connecttype="rect"/>
              </v:shapetype>
              <v:shape id="Cuadro de texto 5" o:spid="_x0000_s1026" type="#_x0000_t202" style="position:absolute;left:0;text-align:left;margin-left:-91.9pt;margin-top:41.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
          <w:spacing w:val="-3"/>
          <w:sz w:val="24"/>
          <w:szCs w:val="24"/>
          <w:lang w:val="es-ES_tradnl"/>
        </w:rPr>
        <w:t xml:space="preserve">PRIMERO.- </w:t>
      </w:r>
      <w:r w:rsidR="00C04DB1" w:rsidRPr="00312B2E">
        <w:rPr>
          <w:rFonts w:ascii="Tahoma" w:hAnsi="Tahoma" w:cs="Tahoma"/>
          <w:bCs/>
          <w:spacing w:val="-3"/>
          <w:sz w:val="24"/>
          <w:szCs w:val="24"/>
          <w:lang w:val="es-ES_tradnl"/>
        </w:rPr>
        <w:t xml:space="preserve">Con fecha seis de noviembre de dos mil diecinueve (06/11/2019) </w:t>
      </w:r>
      <w:r w:rsidR="00092347">
        <w:rPr>
          <w:rFonts w:ascii="Tahoma" w:hAnsi="Tahoma" w:cs="Tahoma"/>
          <w:bCs/>
          <w:spacing w:val="-3"/>
          <w:sz w:val="24"/>
          <w:szCs w:val="24"/>
          <w:lang w:val="es-ES_tradnl"/>
        </w:rPr>
        <w:t>**********</w:t>
      </w:r>
      <w:r w:rsidR="00C04DB1" w:rsidRPr="00312B2E">
        <w:rPr>
          <w:rFonts w:ascii="Tahoma" w:hAnsi="Tahoma" w:cs="Tahoma"/>
          <w:bCs/>
          <w:spacing w:val="-3"/>
          <w:sz w:val="24"/>
          <w:szCs w:val="24"/>
          <w:lang w:val="es-ES_tradnl"/>
        </w:rPr>
        <w:t xml:space="preserve">, presentó en la Oficialía de Partes Común de este Tribunal, presentó en la Oficialía de Partes Común de este Tribunal su escrito de demanda, en el cual  solicitó la nulidad de la multa por infracción con número de control 01MI54ER190470 de fecha diecinueve de agosto de dos mil diecinueve, emitida por la maestra </w:t>
      </w:r>
      <w:r w:rsidR="00C04DB1" w:rsidRPr="006C7EF9">
        <w:rPr>
          <w:rFonts w:ascii="Tahoma" w:hAnsi="Tahoma" w:cs="Tahoma"/>
          <w:bCs/>
          <w:spacing w:val="-3"/>
          <w:sz w:val="24"/>
          <w:szCs w:val="24"/>
          <w:lang w:val="es-ES_tradnl"/>
        </w:rPr>
        <w:t>ELIZABETH MARTÍNEZ ARZOLA</w:t>
      </w:r>
      <w:r w:rsidR="00C04DB1" w:rsidRPr="00312B2E">
        <w:rPr>
          <w:rFonts w:ascii="Tahoma" w:hAnsi="Tahoma" w:cs="Tahoma"/>
          <w:bCs/>
          <w:spacing w:val="-3"/>
          <w:sz w:val="24"/>
          <w:szCs w:val="24"/>
          <w:lang w:val="es-ES_tradnl"/>
        </w:rPr>
        <w:t xml:space="preserve">, Directora de Ingresos y Recaudación de la Subsecretaría de Ingresos de la Secretaría de Finanzas del Gobierno del Estado de Oaxaca. Por lo que mediante acuerdo de fecha ocho de noviembre de dos mil diecinueve (08/11/2019), se admitió a trámite la demanda, ordenándose notificar, emplazar y correr traslado a la autoridad demandada, para que produjera su contestación en los términos de ley. </w:t>
      </w:r>
    </w:p>
    <w:p w:rsidR="00C04DB1" w:rsidRPr="00312B2E" w:rsidRDefault="00C04DB1" w:rsidP="00C04DB1">
      <w:pPr>
        <w:spacing w:line="360" w:lineRule="auto"/>
        <w:ind w:firstLine="567"/>
        <w:jc w:val="both"/>
        <w:rPr>
          <w:rFonts w:ascii="Tahoma" w:hAnsi="Tahoma" w:cs="Tahoma"/>
          <w:bCs/>
          <w:spacing w:val="-3"/>
          <w:sz w:val="24"/>
          <w:szCs w:val="24"/>
          <w:lang w:val="es-ES_tradnl"/>
        </w:rPr>
      </w:pPr>
      <w:r w:rsidRPr="00312B2E">
        <w:rPr>
          <w:rFonts w:ascii="Tahoma" w:hAnsi="Tahoma" w:cs="Tahoma"/>
          <w:b/>
          <w:spacing w:val="-3"/>
          <w:sz w:val="24"/>
          <w:szCs w:val="24"/>
          <w:lang w:val="es-ES_tradnl"/>
        </w:rPr>
        <w:t>SEGUNDO.-</w:t>
      </w:r>
      <w:r w:rsidRPr="00312B2E">
        <w:rPr>
          <w:rFonts w:ascii="Tahoma" w:hAnsi="Tahoma" w:cs="Tahoma"/>
          <w:bCs/>
          <w:spacing w:val="-3"/>
          <w:sz w:val="24"/>
          <w:szCs w:val="24"/>
          <w:lang w:val="es-ES_tradnl"/>
        </w:rPr>
        <w:t xml:space="preserve"> Por acuerdo de fecha diecisiete de marzo de dos mil veinte (17/03/2020), se tuvo al Procurador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admitidas las pruebas que ofreció, por último se </w:t>
      </w:r>
      <w:r w:rsidRPr="00312B2E">
        <w:rPr>
          <w:rFonts w:ascii="Tahoma" w:hAnsi="Tahoma" w:cs="Tahoma"/>
          <w:bCs/>
          <w:spacing w:val="-3"/>
          <w:sz w:val="24"/>
          <w:szCs w:val="24"/>
          <w:lang w:val="es-ES_tradnl"/>
        </w:rPr>
        <w:lastRenderedPageBreak/>
        <w:t>señaló fecha y hora para la celebración de la audiencia final</w:t>
      </w:r>
      <w:r w:rsidR="006C7EF9">
        <w:rPr>
          <w:rFonts w:ascii="Tahoma" w:hAnsi="Tahoma" w:cs="Tahoma"/>
          <w:bCs/>
          <w:spacing w:val="-3"/>
          <w:sz w:val="24"/>
          <w:szCs w:val="24"/>
          <w:lang w:val="es-ES_tradnl"/>
        </w:rPr>
        <w:t>, misma que no fue posible su desahogo, dada la suspensión de las labores de este Tribunal, debido a la contingencia sanitaria que se vive en el país, por ello, la misma fue diferida para el día veintitrés de septiembre del año que transcurre mediante proveído de treinta de agosto del actual, de igual forma, se les hizo saber a las partes el cambio de personal de esta sala</w:t>
      </w:r>
      <w:r w:rsidRPr="00312B2E">
        <w:rPr>
          <w:rFonts w:ascii="Tahoma" w:hAnsi="Tahoma" w:cs="Tahoma"/>
          <w:bCs/>
          <w:spacing w:val="-3"/>
          <w:sz w:val="24"/>
          <w:szCs w:val="24"/>
          <w:lang w:val="es-ES_tradnl"/>
        </w:rPr>
        <w:t>.</w:t>
      </w:r>
    </w:p>
    <w:p w:rsidR="00C04DB1" w:rsidRPr="00312B2E" w:rsidRDefault="00C04DB1" w:rsidP="00C04DB1">
      <w:pPr>
        <w:spacing w:line="360" w:lineRule="auto"/>
        <w:ind w:firstLine="567"/>
        <w:jc w:val="both"/>
        <w:rPr>
          <w:rFonts w:ascii="Tahoma" w:hAnsi="Tahoma" w:cs="Tahoma"/>
          <w:bCs/>
          <w:spacing w:val="-3"/>
          <w:sz w:val="24"/>
          <w:szCs w:val="24"/>
          <w:lang w:val="es-ES_tradnl"/>
        </w:rPr>
      </w:pPr>
      <w:r w:rsidRPr="00312B2E">
        <w:rPr>
          <w:rFonts w:ascii="Tahoma" w:hAnsi="Tahoma" w:cs="Tahoma"/>
          <w:b/>
          <w:spacing w:val="-3"/>
          <w:sz w:val="24"/>
          <w:szCs w:val="24"/>
          <w:lang w:val="es-ES_tradnl"/>
        </w:rPr>
        <w:t>TERCERO.-</w:t>
      </w:r>
      <w:r w:rsidRPr="00312B2E">
        <w:rPr>
          <w:rFonts w:ascii="Tahoma" w:hAnsi="Tahoma" w:cs="Tahoma"/>
          <w:bCs/>
          <w:spacing w:val="-3"/>
          <w:sz w:val="24"/>
          <w:szCs w:val="24"/>
          <w:lang w:val="es-ES_tradnl"/>
        </w:rPr>
        <w:t xml:space="preserve"> </w:t>
      </w:r>
      <w:r w:rsidR="00210B6C">
        <w:rPr>
          <w:rFonts w:ascii="Tahoma" w:hAnsi="Tahoma" w:cs="Tahoma"/>
          <w:bCs/>
          <w:spacing w:val="-3"/>
          <w:sz w:val="24"/>
          <w:szCs w:val="24"/>
          <w:lang w:val="es-ES_tradnl"/>
        </w:rPr>
        <w:t>el veintitrés de septiembre de dos mil veinte (23/09</w:t>
      </w:r>
      <w:r w:rsidRPr="00312B2E">
        <w:rPr>
          <w:rFonts w:ascii="Tahoma" w:hAnsi="Tahoma" w:cs="Tahoma"/>
          <w:bCs/>
          <w:spacing w:val="-3"/>
          <w:sz w:val="24"/>
          <w:szCs w:val="24"/>
          <w:lang w:val="es-ES_tradnl"/>
        </w:rPr>
        <w:t xml:space="preserve">/2020) se llevó a cabo la Audiencia de Ley, en la que no se presentaron las partes, ni persona alguna que legalmente las representara, asentando el Secretario de Acuerdos, que ninguna de las partes presentó alegatos, por lo que se citó a las partes oír sentencia dentro del término de ley, y; </w:t>
      </w:r>
    </w:p>
    <w:p w:rsidR="00C04DB1" w:rsidRPr="00312B2E" w:rsidRDefault="00C04DB1" w:rsidP="00C04DB1">
      <w:pPr>
        <w:spacing w:line="360" w:lineRule="auto"/>
        <w:jc w:val="both"/>
        <w:rPr>
          <w:rFonts w:ascii="Tahoma" w:hAnsi="Tahoma" w:cs="Tahoma"/>
          <w:b/>
          <w:spacing w:val="-3"/>
          <w:sz w:val="24"/>
          <w:szCs w:val="24"/>
          <w:lang w:val="es-ES_tradnl"/>
        </w:rPr>
      </w:pP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t>C O N S I D E R A N D O:</w:t>
      </w:r>
    </w:p>
    <w:p w:rsidR="00C04DB1" w:rsidRPr="00312B2E" w:rsidRDefault="00790CFB" w:rsidP="00C04DB1">
      <w:pPr>
        <w:spacing w:line="360" w:lineRule="auto"/>
        <w:ind w:firstLine="567"/>
        <w:jc w:val="both"/>
        <w:rPr>
          <w:rFonts w:ascii="Tahoma" w:hAnsi="Tahoma" w:cs="Tahoma"/>
          <w:sz w:val="24"/>
          <w:szCs w:val="24"/>
        </w:rPr>
      </w:pPr>
      <w:r>
        <w:rPr>
          <w:noProof/>
          <w:lang w:eastAsia="es-MX"/>
        </w:rPr>
        <mc:AlternateContent>
          <mc:Choice Requires="wps">
            <w:drawing>
              <wp:anchor distT="0" distB="0" distL="114300" distR="114300" simplePos="0" relativeHeight="251661312" behindDoc="1" locked="0" layoutInCell="1" allowOverlap="1" wp14:anchorId="58C43A0A" wp14:editId="7AF36B05">
                <wp:simplePos x="0" y="0"/>
                <wp:positionH relativeFrom="column">
                  <wp:posOffset>5738649</wp:posOffset>
                </wp:positionH>
                <wp:positionV relativeFrom="paragraph">
                  <wp:posOffset>725258</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43A0A" id="Cuadro de texto 1" o:spid="_x0000_s1027" type="#_x0000_t202" style="position:absolute;left:0;text-align:left;margin-left:451.85pt;margin-top:57.1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
          <w:sz w:val="24"/>
          <w:szCs w:val="24"/>
        </w:rPr>
        <w:t xml:space="preserve">PRIMERO. </w:t>
      </w:r>
      <w:r w:rsidR="00C04DB1" w:rsidRPr="00312B2E">
        <w:rPr>
          <w:rFonts w:ascii="Tahoma" w:hAnsi="Tahoma" w:cs="Tahoma"/>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66077C" w:rsidRPr="00312B2E" w:rsidRDefault="00C04DB1" w:rsidP="0066077C">
      <w:pPr>
        <w:spacing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 xml:space="preserve">SEGUNDO. </w:t>
      </w:r>
      <w:r w:rsidRPr="00312B2E">
        <w:rPr>
          <w:rFonts w:ascii="Tahoma" w:hAnsi="Tahoma" w:cs="Tahoma"/>
          <w:bCs/>
          <w:snapToGrid w:val="0"/>
          <w:sz w:val="24"/>
          <w:szCs w:val="24"/>
        </w:rPr>
        <w:t>La personalidad de las partes quedó acreditada en autos en términos del artículo 148 y 151 de la Ley de Procedimiento y Justicia Administrativa para el Estado de Oaxaca.</w:t>
      </w:r>
    </w:p>
    <w:p w:rsidR="00C04DB1" w:rsidRPr="00312B2E" w:rsidRDefault="00C04DB1" w:rsidP="0066077C">
      <w:pPr>
        <w:spacing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TERCERO.</w:t>
      </w:r>
      <w:r w:rsidRPr="00312B2E">
        <w:rPr>
          <w:rFonts w:ascii="Tahoma" w:hAnsi="Tahoma" w:cs="Tahoma"/>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Pr="00312B2E">
        <w:rPr>
          <w:rFonts w:ascii="Tahoma" w:hAnsi="Tahoma" w:cs="Tahoma"/>
          <w:b/>
          <w:snapToGrid w:val="0"/>
          <w:sz w:val="24"/>
          <w:szCs w:val="24"/>
        </w:rPr>
        <w:t>NO SE SOBRESEE EL PRESENTE JUICIO</w:t>
      </w:r>
      <w:r w:rsidRPr="00312B2E">
        <w:rPr>
          <w:rFonts w:ascii="Tahoma" w:hAnsi="Tahoma" w:cs="Tahoma"/>
          <w:bCs/>
          <w:snapToGrid w:val="0"/>
          <w:sz w:val="24"/>
          <w:szCs w:val="24"/>
        </w:rPr>
        <w:t xml:space="preserve">. </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
          <w:snapToGrid w:val="0"/>
          <w:sz w:val="24"/>
          <w:szCs w:val="24"/>
        </w:rPr>
        <w:t xml:space="preserve">CUARTO.- </w:t>
      </w:r>
      <w:r w:rsidRPr="00312B2E">
        <w:rPr>
          <w:rFonts w:ascii="Tahoma" w:hAnsi="Tahoma" w:cs="Tahoma"/>
          <w:bCs/>
          <w:snapToGrid w:val="0"/>
          <w:sz w:val="24"/>
          <w:szCs w:val="24"/>
        </w:rPr>
        <w:t xml:space="preserve">El hoy accionante manifiesta en su concepto de </w:t>
      </w:r>
      <w:r w:rsidR="008B3B5B">
        <w:rPr>
          <w:rFonts w:ascii="Tahoma" w:hAnsi="Tahoma" w:cs="Tahoma"/>
          <w:bCs/>
          <w:snapToGrid w:val="0"/>
          <w:sz w:val="24"/>
          <w:szCs w:val="24"/>
        </w:rPr>
        <w:t xml:space="preserve">impugnación PRIMERO, que </w:t>
      </w:r>
      <w:r w:rsidRPr="00312B2E">
        <w:rPr>
          <w:rFonts w:ascii="Tahoma" w:hAnsi="Tahoma" w:cs="Tahoma"/>
          <w:bCs/>
          <w:snapToGrid w:val="0"/>
          <w:sz w:val="24"/>
          <w:szCs w:val="24"/>
        </w:rPr>
        <w:t>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de Oaxaca, que a la letra dice:</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
          <w:i/>
          <w:iCs/>
          <w:snapToGrid w:val="0"/>
          <w:sz w:val="24"/>
          <w:szCs w:val="24"/>
        </w:rPr>
        <w:t>Artículo 31</w:t>
      </w:r>
      <w:r w:rsidRPr="00312B2E">
        <w:rPr>
          <w:rFonts w:ascii="Tahoma" w:hAnsi="Tahoma" w:cs="Tahoma"/>
          <w:bCs/>
          <w:i/>
          <w:iCs/>
          <w:snapToGrid w:val="0"/>
          <w:sz w:val="24"/>
          <w:szCs w:val="24"/>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VIII. Imponer las sanciones que correspondan por violación a las disposiciones fiscales;</w:t>
      </w:r>
    </w:p>
    <w:p w:rsidR="00C04DB1" w:rsidRPr="00312B2E" w:rsidRDefault="00790CFB" w:rsidP="00C04DB1">
      <w:pPr>
        <w:ind w:left="567" w:right="615"/>
        <w:jc w:val="both"/>
        <w:rPr>
          <w:rFonts w:ascii="Tahoma" w:hAnsi="Tahoma" w:cs="Tahoma"/>
          <w:bCs/>
          <w:i/>
          <w:iCs/>
          <w:snapToGrid w:val="0"/>
          <w:sz w:val="24"/>
          <w:szCs w:val="24"/>
        </w:rPr>
      </w:pPr>
      <w:r>
        <w:rPr>
          <w:noProof/>
          <w:lang w:eastAsia="es-MX"/>
        </w:rPr>
        <mc:AlternateContent>
          <mc:Choice Requires="wps">
            <w:drawing>
              <wp:anchor distT="0" distB="0" distL="114300" distR="114300" simplePos="0" relativeHeight="251663360" behindDoc="1" locked="0" layoutInCell="1" allowOverlap="1" wp14:anchorId="4BB8672D" wp14:editId="7C5AFC5D">
                <wp:simplePos x="0" y="0"/>
                <wp:positionH relativeFrom="column">
                  <wp:posOffset>-1009650</wp:posOffset>
                </wp:positionH>
                <wp:positionV relativeFrom="paragraph">
                  <wp:posOffset>137641</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8672D" id="Cuadro de texto 2" o:spid="_x0000_s1028" type="#_x0000_t202" style="position:absolute;left:0;text-align:left;margin-left:-79.5pt;margin-top:10.8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Cs/>
          <w:i/>
          <w:iCs/>
          <w:snapToGrid w:val="0"/>
          <w:sz w:val="24"/>
          <w:szCs w:val="24"/>
        </w:rPr>
        <w:t>[…]</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XLII. Las demás que les confieran las leyes, este Reglamento y demás disposiciones normativas aplicables, así como las que expresamente les sean conferidas por el Subsecretario.</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
          <w:i/>
          <w:iCs/>
          <w:snapToGrid w:val="0"/>
          <w:sz w:val="24"/>
          <w:szCs w:val="24"/>
        </w:rPr>
        <w:t>Artículo 1.</w:t>
      </w:r>
      <w:r w:rsidRPr="00312B2E">
        <w:rPr>
          <w:rFonts w:ascii="Tahoma" w:hAnsi="Tahoma" w:cs="Tahoma"/>
          <w:bCs/>
          <w:i/>
          <w:iCs/>
          <w:snapToGrid w:val="0"/>
          <w:sz w:val="24"/>
          <w:szCs w:val="24"/>
        </w:rPr>
        <w:t xml:space="preserve"> El presente ordenamiento tiene por objeto reglamentar la organización, competencia y facultades de los servidores públicos de la Secretaría de Finanzas del Poder Ejecutivo del Estado.</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C04DB1" w:rsidRPr="00312B2E" w:rsidRDefault="00790CFB" w:rsidP="00C04DB1">
      <w:pPr>
        <w:spacing w:line="360" w:lineRule="auto"/>
        <w:ind w:right="51" w:firstLine="567"/>
        <w:jc w:val="both"/>
        <w:rPr>
          <w:rFonts w:ascii="Tahoma" w:hAnsi="Tahoma" w:cs="Tahoma"/>
          <w:bCs/>
          <w:snapToGrid w:val="0"/>
          <w:sz w:val="24"/>
          <w:szCs w:val="24"/>
        </w:rPr>
      </w:pPr>
      <w:r>
        <w:rPr>
          <w:noProof/>
          <w:lang w:eastAsia="es-MX"/>
        </w:rPr>
        <mc:AlternateContent>
          <mc:Choice Requires="wps">
            <w:drawing>
              <wp:anchor distT="0" distB="0" distL="114300" distR="114300" simplePos="0" relativeHeight="251665408" behindDoc="1" locked="0" layoutInCell="1" allowOverlap="1" wp14:anchorId="46B7E583" wp14:editId="17ECBA85">
                <wp:simplePos x="0" y="0"/>
                <wp:positionH relativeFrom="column">
                  <wp:posOffset>5707118</wp:posOffset>
                </wp:positionH>
                <wp:positionV relativeFrom="paragraph">
                  <wp:posOffset>1237462</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7E583" id="Cuadro de texto 3" o:spid="_x0000_s1029" type="#_x0000_t202" style="position:absolute;left:0;text-align:left;margin-left:449.4pt;margin-top:97.4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Cs/>
          <w:snapToGrid w:val="0"/>
          <w:sz w:val="24"/>
          <w:szCs w:val="24"/>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00C04DB1" w:rsidRPr="00312B2E">
        <w:rPr>
          <w:rFonts w:ascii="Tahoma" w:hAnsi="Tahoma" w:cs="Tahoma"/>
          <w:b/>
          <w:snapToGrid w:val="0"/>
          <w:sz w:val="24"/>
          <w:szCs w:val="24"/>
          <w:u w:val="single"/>
        </w:rPr>
        <w:t>INFUNDADO</w:t>
      </w:r>
      <w:r w:rsidR="00C04DB1" w:rsidRPr="00312B2E">
        <w:rPr>
          <w:rFonts w:ascii="Tahoma" w:hAnsi="Tahoma" w:cs="Tahoma"/>
          <w:bCs/>
          <w:snapToGrid w:val="0"/>
          <w:sz w:val="24"/>
          <w:szCs w:val="24"/>
        </w:rPr>
        <w:t>, en virtud de que la autoridad demandada citó correctamente los preceptos legales mediante los cuales fundamenta y justifica su competencia material y territorial.</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
          <w:snapToGrid w:val="0"/>
          <w:sz w:val="24"/>
          <w:szCs w:val="24"/>
        </w:rPr>
        <w:t>QUINTO.-</w:t>
      </w:r>
      <w:r w:rsidRPr="00312B2E">
        <w:rPr>
          <w:rFonts w:ascii="Tahoma" w:hAnsi="Tahoma" w:cs="Tahoma"/>
          <w:bCs/>
          <w:snapToGrid w:val="0"/>
          <w:sz w:val="24"/>
          <w:szCs w:val="24"/>
        </w:rPr>
        <w:t xml:space="preserve"> La parte actora manifiesta en su concepto de impugnación SEGUNDO,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con número de control 01MI54ER190470 de fecha diecinueve de agosto de dos mil diecinueve, visible en la foja 13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carece de debida fundamentación y motivación por parte de la autoridad emisora toda vez que la misma no señala las causas específicas del por qué considera dicha autoridad que efectivamente el hoy accionante </w:t>
      </w:r>
      <w:r w:rsidR="00092347">
        <w:rPr>
          <w:rFonts w:ascii="Tahoma" w:hAnsi="Tahoma" w:cs="Tahoma"/>
          <w:bCs/>
          <w:snapToGrid w:val="0"/>
          <w:sz w:val="24"/>
          <w:szCs w:val="24"/>
        </w:rPr>
        <w:t>**********</w:t>
      </w:r>
      <w:r w:rsidRPr="006C7EF9">
        <w:rPr>
          <w:rFonts w:ascii="Tahoma" w:hAnsi="Tahoma" w:cs="Tahoma"/>
          <w:bCs/>
          <w:snapToGrid w:val="0"/>
          <w:sz w:val="24"/>
          <w:szCs w:val="24"/>
        </w:rPr>
        <w:t xml:space="preserve"> </w:t>
      </w:r>
      <w:r w:rsidRPr="00312B2E">
        <w:rPr>
          <w:rFonts w:ascii="Tahoma" w:hAnsi="Tahoma" w:cs="Tahoma"/>
          <w:bCs/>
          <w:snapToGrid w:val="0"/>
          <w:sz w:val="24"/>
          <w:szCs w:val="24"/>
        </w:rPr>
        <w:t xml:space="preserve">es sujeto obligado de inscripción al Registro Estatal de Contribuyentes y por ende tener que pagar el Impuesto Sobre Erogaciones por Remuneraciones al Trabajo Personal, además que la ley de la materia señala que se está obligado a inscribirse en dicho Registro dentro del plazo de un mes contado a partir de que se ubica dentro de la hipótesis normativa, tal y como lo establece el artículo 64 del Código Fiscal para el </w:t>
      </w:r>
      <w:r w:rsidR="00790CFB">
        <w:rPr>
          <w:noProof/>
          <w:lang w:eastAsia="es-MX"/>
        </w:rPr>
        <mc:AlternateContent>
          <mc:Choice Requires="wps">
            <w:drawing>
              <wp:anchor distT="0" distB="0" distL="114300" distR="114300" simplePos="0" relativeHeight="251667456" behindDoc="1" locked="0" layoutInCell="1" allowOverlap="1" wp14:anchorId="2B033DE9" wp14:editId="366AD79B">
                <wp:simplePos x="0" y="0"/>
                <wp:positionH relativeFrom="column">
                  <wp:posOffset>-1009650</wp:posOffset>
                </wp:positionH>
                <wp:positionV relativeFrom="paragraph">
                  <wp:posOffset>4893814</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33DE9" id="Cuadro de texto 4" o:spid="_x0000_s1030" type="#_x0000_t202" style="position:absolute;left:0;text-align:left;margin-left:-79.5pt;margin-top:385.3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312B2E">
        <w:rPr>
          <w:rFonts w:ascii="Tahoma" w:hAnsi="Tahoma" w:cs="Tahoma"/>
          <w:bCs/>
          <w:snapToGrid w:val="0"/>
          <w:sz w:val="24"/>
          <w:szCs w:val="24"/>
        </w:rPr>
        <w:t xml:space="preserve">Estado </w:t>
      </w:r>
      <w:r w:rsidR="0066077C" w:rsidRPr="00312B2E">
        <w:rPr>
          <w:rFonts w:ascii="Tahoma" w:hAnsi="Tahoma" w:cs="Tahoma"/>
          <w:bCs/>
          <w:snapToGrid w:val="0"/>
          <w:sz w:val="24"/>
          <w:szCs w:val="24"/>
        </w:rPr>
        <w:t>de Oaxaca, que a la letra dice:</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
          <w:i/>
          <w:iCs/>
          <w:snapToGrid w:val="0"/>
          <w:sz w:val="24"/>
          <w:szCs w:val="24"/>
        </w:rPr>
        <w:t>ARTÍCULO 64.</w:t>
      </w:r>
      <w:r w:rsidRPr="00312B2E">
        <w:rPr>
          <w:rFonts w:ascii="Tahoma" w:hAnsi="Tahoma" w:cs="Tahoma"/>
          <w:bCs/>
          <w:i/>
          <w:iCs/>
          <w:snapToGrid w:val="0"/>
          <w:sz w:val="24"/>
          <w:szCs w:val="24"/>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C04DB1" w:rsidRPr="00312B2E" w:rsidRDefault="00790CFB" w:rsidP="00C04DB1">
      <w:pPr>
        <w:ind w:left="567" w:right="615"/>
        <w:jc w:val="both"/>
        <w:rPr>
          <w:rFonts w:ascii="Tahoma" w:hAnsi="Tahoma" w:cs="Tahoma"/>
          <w:bCs/>
          <w:i/>
          <w:iCs/>
          <w:snapToGrid w:val="0"/>
          <w:sz w:val="24"/>
          <w:szCs w:val="24"/>
        </w:rPr>
      </w:pPr>
      <w:r>
        <w:rPr>
          <w:noProof/>
          <w:lang w:eastAsia="es-MX"/>
        </w:rPr>
        <mc:AlternateContent>
          <mc:Choice Requires="wps">
            <w:drawing>
              <wp:anchor distT="0" distB="0" distL="114300" distR="114300" simplePos="0" relativeHeight="251669504" behindDoc="1" locked="0" layoutInCell="1" allowOverlap="1" wp14:anchorId="2E0D8A4F" wp14:editId="587FB444">
                <wp:simplePos x="0" y="0"/>
                <wp:positionH relativeFrom="column">
                  <wp:posOffset>5549462</wp:posOffset>
                </wp:positionH>
                <wp:positionV relativeFrom="paragraph">
                  <wp:posOffset>845820</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D8A4F" id="Cuadro de texto 6" o:spid="_x0000_s1031" type="#_x0000_t202" style="position:absolute;left:0;text-align:left;margin-left:436.95pt;margin-top:66.6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Cs/>
          <w:i/>
          <w:iCs/>
          <w:snapToGrid w:val="0"/>
          <w:sz w:val="24"/>
          <w:szCs w:val="24"/>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Derivado de lo anterior, efectivamente, una vez actualizado el supuesto jurídico o de hecho, el contribuyente tiene la obligación de solicitar dentro del plazo de un mes su inscripción al Registro Estatal de Contribuyentes, no obstante dicha situación se desconoce, ya que ni la hoy accionante ni la demandada señalan cuando se actualizó dicha hipótesis y con ello la fecha exacta en que comenzó a correr el término de un mes para solicitar la inscripción antes mencionada, ni mucho menos las razones inmediatas por las cuales consideró que a partir de esa fecha se consideró actualizada la obligación en comento por lo que la accionante al negar lisa y llanamente el acto u obligación a la que se está supuestamente sujeto, corresponde entonces a la autoridad demandada probar dicha situación, máxime que dentro del texto de la aludida multa, hace mención que dicha situación la conoció a través del intercambio de información con otra dependencias estatales o municipales, usando como fundamento los artículos 97 primer párrafo y 98 del Código Fiscal para el Estado d</w:t>
      </w:r>
      <w:r w:rsidR="0066077C" w:rsidRPr="00312B2E">
        <w:rPr>
          <w:rFonts w:ascii="Tahoma" w:hAnsi="Tahoma" w:cs="Tahoma"/>
          <w:bCs/>
          <w:snapToGrid w:val="0"/>
          <w:sz w:val="24"/>
          <w:szCs w:val="24"/>
        </w:rPr>
        <w:t>e Oaxaca, que a la letra dicen:</w:t>
      </w:r>
      <w:r w:rsidRPr="00312B2E">
        <w:rPr>
          <w:rFonts w:ascii="Tahoma" w:hAnsi="Tahoma" w:cs="Tahoma"/>
          <w:bCs/>
          <w:snapToGrid w:val="0"/>
          <w:sz w:val="24"/>
          <w:szCs w:val="24"/>
        </w:rPr>
        <w:t xml:space="preserve"> </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
          <w:i/>
          <w:iCs/>
          <w:snapToGrid w:val="0"/>
          <w:sz w:val="24"/>
          <w:szCs w:val="24"/>
        </w:rPr>
        <w:t>ARTÍCULO 97.</w:t>
      </w:r>
      <w:r w:rsidRPr="00312B2E">
        <w:rPr>
          <w:rFonts w:ascii="Tahoma" w:hAnsi="Tahoma" w:cs="Tahoma"/>
          <w:bCs/>
          <w:i/>
          <w:iCs/>
          <w:snapToGrid w:val="0"/>
          <w:sz w:val="24"/>
          <w:szCs w:val="24"/>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
          <w:i/>
          <w:iCs/>
          <w:snapToGrid w:val="0"/>
          <w:sz w:val="24"/>
          <w:szCs w:val="24"/>
        </w:rPr>
        <w:t>ARTÍCULO 98.</w:t>
      </w:r>
      <w:r w:rsidRPr="00312B2E">
        <w:rPr>
          <w:rFonts w:ascii="Tahoma" w:hAnsi="Tahoma" w:cs="Tahoma"/>
          <w:bCs/>
          <w:i/>
          <w:iCs/>
          <w:snapToGrid w:val="0"/>
          <w:sz w:val="24"/>
          <w:szCs w:val="24"/>
        </w:rPr>
        <w:t xml:space="preserve"> Para determinar contribuciones omitidas, la Secretaría tendrá como ciertos los hechos u omisiones que hubieran sido conocidos por otras autoridades fiscales y le hayan sido dados a conocer en términos del artículo anterior al contribuyente afectado.</w:t>
      </w:r>
    </w:p>
    <w:p w:rsidR="00C04DB1" w:rsidRPr="00312B2E" w:rsidRDefault="00790CFB" w:rsidP="00C04DB1">
      <w:pPr>
        <w:spacing w:line="360" w:lineRule="auto"/>
        <w:ind w:right="51"/>
        <w:jc w:val="both"/>
        <w:rPr>
          <w:rFonts w:ascii="Tahoma" w:hAnsi="Tahoma" w:cs="Tahoma"/>
          <w:bCs/>
          <w:snapToGrid w:val="0"/>
          <w:sz w:val="24"/>
          <w:szCs w:val="24"/>
        </w:rPr>
      </w:pPr>
      <w:r>
        <w:rPr>
          <w:noProof/>
          <w:lang w:eastAsia="es-MX"/>
        </w:rPr>
        <mc:AlternateContent>
          <mc:Choice Requires="wps">
            <w:drawing>
              <wp:anchor distT="0" distB="0" distL="114300" distR="114300" simplePos="0" relativeHeight="251671552" behindDoc="1" locked="0" layoutInCell="1" allowOverlap="1" wp14:anchorId="5CA999B5" wp14:editId="717AA30C">
                <wp:simplePos x="0" y="0"/>
                <wp:positionH relativeFrom="column">
                  <wp:posOffset>-1198180</wp:posOffset>
                </wp:positionH>
                <wp:positionV relativeFrom="paragraph">
                  <wp:posOffset>1765782</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999B5" id="Cuadro de texto 7" o:spid="_x0000_s1032" type="#_x0000_t202" style="position:absolute;left:0;text-align:left;margin-left:-94.35pt;margin-top:139.0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Cs/>
          <w:snapToGrid w:val="0"/>
          <w:sz w:val="24"/>
          <w:szCs w:val="24"/>
        </w:rPr>
        <w:tab/>
        <w:t xml:space="preserve">De la lectura hecho a los artículos transcritos anteriormente, ciertamente la autoridad fiscal se encuentra legalmente facultada para hacer solicitudes de intercambio de información dentro del ejercicio de sus competencias para garantizar un adecuado ejercicio de sus funciones, no obstante, también es cierto que para garantizar la seguridad jurídica, así como el derecho audiencia contenidas en los artículos 14 y 16 Constitucionales que tienen todos los gobernados, esa autoridad posteriormente a la obtención de información derivado de sus facultades de intercambio de información, debió poner a disposición del afectado la información que obtuvo y que utilizó para colocar al hoy accionante en el supuesto jurídico que tiene como consecuencia la Inscripción al Registro Estatal de Contribuyentes, para que este manifestara lo que a su derecho convenga, y así conociera de forma amplia los documentos en los que se sustenta la determinación invocada. </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 xml:space="preserve"> 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convenga, mismo que a la letra dice: </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
          <w:i/>
          <w:iCs/>
          <w:snapToGrid w:val="0"/>
          <w:sz w:val="24"/>
          <w:szCs w:val="24"/>
        </w:rPr>
        <w:t>ARTÍCULO 113</w:t>
      </w:r>
      <w:r w:rsidRPr="00312B2E">
        <w:rPr>
          <w:rFonts w:ascii="Tahoma" w:hAnsi="Tahoma" w:cs="Tahoma"/>
          <w:bCs/>
          <w:i/>
          <w:iCs/>
          <w:snapToGrid w:val="0"/>
          <w:sz w:val="24"/>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C04DB1" w:rsidRPr="00312B2E" w:rsidRDefault="00C04DB1" w:rsidP="00C04DB1">
      <w:pPr>
        <w:ind w:left="567" w:right="615"/>
        <w:jc w:val="both"/>
        <w:rPr>
          <w:rFonts w:ascii="Tahoma" w:hAnsi="Tahoma" w:cs="Tahoma"/>
          <w:bCs/>
          <w:i/>
          <w:iCs/>
          <w:snapToGrid w:val="0"/>
          <w:sz w:val="24"/>
          <w:szCs w:val="24"/>
        </w:rPr>
      </w:pPr>
      <w:r w:rsidRPr="00312B2E">
        <w:rPr>
          <w:rFonts w:ascii="Tahoma" w:hAnsi="Tahoma" w:cs="Tahoma"/>
          <w:bCs/>
          <w:i/>
          <w:iCs/>
          <w:snapToGrid w:val="0"/>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 </w:t>
      </w:r>
    </w:p>
    <w:p w:rsidR="00C04DB1" w:rsidRPr="00312B2E" w:rsidRDefault="00790CFB" w:rsidP="00C04DB1">
      <w:pPr>
        <w:spacing w:line="360" w:lineRule="auto"/>
        <w:ind w:right="51" w:firstLine="567"/>
        <w:jc w:val="both"/>
        <w:rPr>
          <w:rFonts w:ascii="Tahoma" w:hAnsi="Tahoma" w:cs="Tahoma"/>
          <w:bCs/>
          <w:snapToGrid w:val="0"/>
          <w:sz w:val="24"/>
          <w:szCs w:val="24"/>
        </w:rPr>
      </w:pPr>
      <w:r>
        <w:rPr>
          <w:noProof/>
          <w:lang w:eastAsia="es-MX"/>
        </w:rPr>
        <mc:AlternateContent>
          <mc:Choice Requires="wps">
            <w:drawing>
              <wp:anchor distT="0" distB="0" distL="114300" distR="114300" simplePos="0" relativeHeight="251673600" behindDoc="1" locked="0" layoutInCell="1" allowOverlap="1" wp14:anchorId="204947EA" wp14:editId="3658A60A">
                <wp:simplePos x="0" y="0"/>
                <wp:positionH relativeFrom="column">
                  <wp:posOffset>5675586</wp:posOffset>
                </wp:positionH>
                <wp:positionV relativeFrom="paragraph">
                  <wp:posOffset>2175729</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947EA" id="Cuadro de texto 8" o:spid="_x0000_s1033" type="#_x0000_t202" style="position:absolute;left:0;text-align:left;margin-left:446.9pt;margin-top:171.3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l3aQIAAOcEAAAOAAAAZHJzL2Uyb0RvYy54bWysVF1P2zAUfZ+0/2D5faTtoEB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Cs/>
          <w:snapToGrid w:val="0"/>
          <w:sz w:val="24"/>
          <w:szCs w:val="24"/>
        </w:rPr>
        <w:t>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la obligación de inscribirse en el registro de referencia y con ello,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w:t>
      </w:r>
      <w:r w:rsidR="0066077C" w:rsidRPr="00312B2E">
        <w:rPr>
          <w:rFonts w:ascii="Tahoma" w:hAnsi="Tahoma" w:cs="Tahoma"/>
          <w:bCs/>
          <w:snapToGrid w:val="0"/>
          <w:sz w:val="24"/>
          <w:szCs w:val="24"/>
        </w:rPr>
        <w:t>ajo el rubro y texto siguiente:</w:t>
      </w:r>
      <w:r w:rsidR="00C04DB1" w:rsidRPr="00312B2E">
        <w:rPr>
          <w:rFonts w:ascii="Tahoma" w:hAnsi="Tahoma" w:cs="Tahoma"/>
          <w:bCs/>
          <w:snapToGrid w:val="0"/>
          <w:sz w:val="24"/>
          <w:szCs w:val="24"/>
        </w:rPr>
        <w:t xml:space="preserve"> </w:t>
      </w:r>
    </w:p>
    <w:p w:rsidR="00C04DB1" w:rsidRPr="00312B2E" w:rsidRDefault="00C04DB1" w:rsidP="00C04DB1">
      <w:pPr>
        <w:ind w:left="567" w:right="615"/>
        <w:jc w:val="both"/>
        <w:rPr>
          <w:rFonts w:ascii="Tahoma" w:hAnsi="Tahoma" w:cs="Tahoma"/>
          <w:bCs/>
          <w:snapToGrid w:val="0"/>
          <w:sz w:val="24"/>
          <w:szCs w:val="24"/>
        </w:rPr>
      </w:pPr>
      <w:r w:rsidRPr="00312B2E">
        <w:rPr>
          <w:rFonts w:ascii="Tahoma" w:hAnsi="Tahoma" w:cs="Tahoma"/>
          <w:b/>
          <w:snapToGrid w:val="0"/>
          <w:sz w:val="24"/>
          <w:szCs w:val="24"/>
        </w:rPr>
        <w:t>ACTOS VICIADOS, FRUTOS DE.</w:t>
      </w:r>
      <w:r w:rsidRPr="00312B2E">
        <w:rPr>
          <w:rFonts w:ascii="Tahoma" w:hAnsi="Tahoma" w:cs="Tahoma"/>
          <w:bCs/>
          <w:snapToGrid w:val="0"/>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 xml:space="preserve">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con el siguiente rubro y texto: </w:t>
      </w:r>
    </w:p>
    <w:p w:rsidR="00C04DB1" w:rsidRPr="00312B2E" w:rsidRDefault="00790CFB" w:rsidP="00C04DB1">
      <w:pPr>
        <w:ind w:left="567" w:right="615"/>
        <w:jc w:val="both"/>
        <w:rPr>
          <w:rFonts w:ascii="Tahoma" w:hAnsi="Tahoma" w:cs="Tahoma"/>
          <w:bCs/>
          <w:snapToGrid w:val="0"/>
          <w:sz w:val="24"/>
          <w:szCs w:val="24"/>
        </w:rPr>
      </w:pPr>
      <w:r>
        <w:rPr>
          <w:noProof/>
          <w:lang w:eastAsia="es-MX"/>
        </w:rPr>
        <mc:AlternateContent>
          <mc:Choice Requires="wps">
            <w:drawing>
              <wp:anchor distT="0" distB="0" distL="114300" distR="114300" simplePos="0" relativeHeight="251675648" behindDoc="1" locked="0" layoutInCell="1" allowOverlap="1" wp14:anchorId="2528D684" wp14:editId="2ABA5AC6">
                <wp:simplePos x="0" y="0"/>
                <wp:positionH relativeFrom="column">
                  <wp:posOffset>-1009650</wp:posOffset>
                </wp:positionH>
                <wp:positionV relativeFrom="paragraph">
                  <wp:posOffset>4293432</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8D684" id="Cuadro de texto 9" o:spid="_x0000_s1034" type="#_x0000_t202" style="position:absolute;left:0;text-align:left;margin-left:-79.5pt;margin-top:338.0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b/>
          <w:snapToGrid w:val="0"/>
          <w:sz w:val="24"/>
          <w:szCs w:val="24"/>
        </w:rPr>
        <w:t>FUNDAMENTACIÓN Y MOTIVACIÓN, FALTA O INDEBIDA. EN CUANTO SON DISTINTAS, UNAS GENERAN NULIDAD LISA Y LLANA Y OTRAS PARA EFECTOS.</w:t>
      </w:r>
      <w:r w:rsidR="00C04DB1" w:rsidRPr="00312B2E">
        <w:rPr>
          <w:rFonts w:ascii="Tahoma" w:hAnsi="Tahoma" w:cs="Tahoma"/>
          <w:bCs/>
          <w:snapToGrid w:val="0"/>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 xml:space="preserve">En consecuencia, al no haber seguido el procedimiento estipulado en el artículo 113 del Código Fiscal para el Estado de Oaxaca, ni tampoco contener en la citada multa los anexos que robustecen su motivación, el concepto de impugnación SEGUNDO hecho valer por la parte actora, resulta </w:t>
      </w:r>
      <w:r w:rsidRPr="00312B2E">
        <w:rPr>
          <w:rFonts w:ascii="Tahoma" w:hAnsi="Tahoma" w:cs="Tahoma"/>
          <w:b/>
          <w:snapToGrid w:val="0"/>
          <w:sz w:val="24"/>
          <w:szCs w:val="24"/>
          <w:u w:val="single"/>
        </w:rPr>
        <w:t>FUNDADO</w:t>
      </w:r>
      <w:r w:rsidRPr="00312B2E">
        <w:rPr>
          <w:rFonts w:ascii="Tahoma" w:hAnsi="Tahoma" w:cs="Tahoma"/>
          <w:bCs/>
          <w:snapToGrid w:val="0"/>
          <w:sz w:val="24"/>
          <w:szCs w:val="24"/>
        </w:rPr>
        <w:t xml:space="preserve">, por ello, esta Sala estima pertinente declarar la </w:t>
      </w:r>
      <w:r w:rsidRPr="00312B2E">
        <w:rPr>
          <w:rFonts w:ascii="Tahoma" w:hAnsi="Tahoma" w:cs="Tahoma"/>
          <w:b/>
          <w:snapToGrid w:val="0"/>
          <w:sz w:val="24"/>
          <w:szCs w:val="24"/>
        </w:rPr>
        <w:t>NULIDAD LISA Y LLANA</w:t>
      </w:r>
      <w:r w:rsidRPr="00312B2E">
        <w:rPr>
          <w:rFonts w:ascii="Tahoma" w:hAnsi="Tahoma" w:cs="Tahoma"/>
          <w:bCs/>
          <w:snapToGrid w:val="0"/>
          <w:sz w:val="24"/>
          <w:szCs w:val="24"/>
        </w:rPr>
        <w:t xml:space="preserve">, de la multa por infracción con número de control 01MI54ER190470 de fecha diecinueve de agosto de dos mil diecinueve, emitida por la maestra </w:t>
      </w:r>
      <w:r w:rsidRPr="006C7EF9">
        <w:rPr>
          <w:rFonts w:ascii="Tahoma" w:hAnsi="Tahoma" w:cs="Tahoma"/>
          <w:bCs/>
          <w:snapToGrid w:val="0"/>
          <w:sz w:val="24"/>
          <w:szCs w:val="24"/>
        </w:rPr>
        <w:t>ELIZABETH MARTÍNEZ ARZOLA</w:t>
      </w:r>
      <w:r w:rsidRPr="00312B2E">
        <w:rPr>
          <w:rFonts w:ascii="Tahoma" w:hAnsi="Tahoma" w:cs="Tahoma"/>
          <w:bCs/>
          <w:snapToGrid w:val="0"/>
          <w:sz w:val="24"/>
          <w:szCs w:val="24"/>
        </w:rPr>
        <w:t xml:space="preserve">, Directora de Ingresos y Recaudación de la Subsecretaría de Ingresos de la Secretaría de Finanzas del Gobierno del Estado de Oaxaca, mediante la cual se impone una sanción económica en cantidad de 50 UMA $4,224.00 (cuatro mil doscientos veinticuatro pesos 00/100 moneda nacional), en consecuencia, </w:t>
      </w:r>
      <w:r w:rsidRPr="00312B2E">
        <w:rPr>
          <w:rFonts w:ascii="Tahoma" w:hAnsi="Tahoma" w:cs="Tahoma"/>
          <w:bCs/>
          <w:snapToGrid w:val="0"/>
          <w:sz w:val="24"/>
          <w:szCs w:val="24"/>
          <w:u w:val="single"/>
        </w:rPr>
        <w:t>se ordena a esa autoridad fiscal para que por sí misma o a través de quien sea competente realice la baja de la citada multa del sistema electrónico y/o documental que para tal efecto lleve esa autoridad</w:t>
      </w:r>
      <w:r w:rsidRPr="00312B2E">
        <w:rPr>
          <w:rFonts w:ascii="Tahoma" w:hAnsi="Tahoma" w:cs="Tahoma"/>
          <w:bCs/>
          <w:snapToGrid w:val="0"/>
          <w:sz w:val="24"/>
          <w:szCs w:val="24"/>
        </w:rPr>
        <w:t xml:space="preserve">. </w:t>
      </w:r>
    </w:p>
    <w:p w:rsidR="00C04DB1" w:rsidRPr="00312B2E" w:rsidRDefault="00C04DB1" w:rsidP="00C04DB1">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Por lo anteriormente expuesto, fundado y motivado, en términos de los artículos 207, 208 fracciones II y VI, y 209 de la Ley de Procedimiento y Justicia Administrativ</w:t>
      </w:r>
      <w:r w:rsidR="0066077C" w:rsidRPr="00312B2E">
        <w:rPr>
          <w:rFonts w:ascii="Tahoma" w:hAnsi="Tahoma" w:cs="Tahoma"/>
          <w:bCs/>
          <w:snapToGrid w:val="0"/>
          <w:sz w:val="24"/>
          <w:szCs w:val="24"/>
        </w:rPr>
        <w:t>a para el Estado de Oaxaca, se;</w:t>
      </w:r>
    </w:p>
    <w:p w:rsidR="00C04DB1" w:rsidRPr="00312B2E" w:rsidRDefault="00C04DB1" w:rsidP="00C04DB1">
      <w:pPr>
        <w:spacing w:line="360" w:lineRule="auto"/>
        <w:ind w:right="51" w:firstLine="567"/>
        <w:jc w:val="center"/>
        <w:rPr>
          <w:rFonts w:ascii="Tahoma" w:hAnsi="Tahoma" w:cs="Tahoma"/>
          <w:b/>
          <w:sz w:val="24"/>
          <w:szCs w:val="24"/>
        </w:rPr>
      </w:pPr>
      <w:r w:rsidRPr="00312B2E">
        <w:rPr>
          <w:rFonts w:ascii="Tahoma" w:hAnsi="Tahoma" w:cs="Tahoma"/>
          <w:b/>
          <w:sz w:val="24"/>
          <w:szCs w:val="24"/>
        </w:rPr>
        <w:t>R E S U E L V E:</w:t>
      </w:r>
    </w:p>
    <w:p w:rsidR="00C04DB1" w:rsidRPr="00312B2E" w:rsidRDefault="00C04DB1" w:rsidP="00C04DB1">
      <w:pPr>
        <w:widowControl w:val="0"/>
        <w:spacing w:after="120" w:line="360" w:lineRule="auto"/>
        <w:ind w:right="51" w:firstLine="708"/>
        <w:jc w:val="both"/>
        <w:rPr>
          <w:rFonts w:ascii="Tahoma" w:eastAsia="Times New Roman" w:hAnsi="Tahoma" w:cs="Tahoma"/>
          <w:sz w:val="24"/>
          <w:szCs w:val="24"/>
          <w:lang w:val="es-ES" w:eastAsia="es-ES"/>
        </w:rPr>
      </w:pPr>
      <w:r w:rsidRPr="00312B2E">
        <w:rPr>
          <w:rFonts w:ascii="Tahoma" w:hAnsi="Tahoma" w:cs="Tahoma"/>
          <w:b/>
          <w:sz w:val="24"/>
          <w:szCs w:val="24"/>
        </w:rPr>
        <w:t>PRIMERO</w:t>
      </w:r>
      <w:r w:rsidRPr="00312B2E">
        <w:rPr>
          <w:rFonts w:ascii="Tahoma" w:hAnsi="Tahoma" w:cs="Tahoma"/>
          <w:i/>
          <w:sz w:val="24"/>
          <w:szCs w:val="24"/>
        </w:rPr>
        <w:t>.</w:t>
      </w:r>
      <w:r w:rsidRPr="00312B2E">
        <w:rPr>
          <w:rFonts w:ascii="Tahoma" w:hAnsi="Tahoma" w:cs="Tahoma"/>
          <w:sz w:val="24"/>
          <w:szCs w:val="24"/>
        </w:rPr>
        <w:t xml:space="preserve"> </w:t>
      </w:r>
      <w:r w:rsidRPr="00312B2E">
        <w:rPr>
          <w:rFonts w:ascii="Tahoma" w:eastAsia="Times New Roman" w:hAnsi="Tahoma" w:cs="Tahoma"/>
          <w:sz w:val="24"/>
          <w:szCs w:val="24"/>
          <w:lang w:val="es-ES" w:eastAsia="es-ES"/>
        </w:rPr>
        <w:t>Esta Sexta</w:t>
      </w:r>
      <w:r w:rsidRPr="00312B2E">
        <w:rPr>
          <w:rFonts w:ascii="Tahoma" w:eastAsia="Times New Roman" w:hAnsi="Tahoma" w:cs="Tahoma"/>
          <w:sz w:val="24"/>
          <w:szCs w:val="24"/>
          <w:lang w:eastAsia="es-ES"/>
        </w:rPr>
        <w:t xml:space="preserve"> </w:t>
      </w:r>
      <w:r w:rsidRPr="00312B2E">
        <w:rPr>
          <w:rFonts w:ascii="Tahoma" w:eastAsia="Times New Roman" w:hAnsi="Tahoma" w:cs="Tahoma"/>
          <w:sz w:val="24"/>
          <w:szCs w:val="24"/>
          <w:lang w:val="es-ES" w:eastAsia="es-ES"/>
        </w:rPr>
        <w:t>Sala</w:t>
      </w:r>
      <w:r w:rsidRPr="00312B2E">
        <w:rPr>
          <w:rFonts w:ascii="Tahoma" w:eastAsia="Times New Roman" w:hAnsi="Tahoma" w:cs="Tahoma"/>
          <w:sz w:val="24"/>
          <w:szCs w:val="24"/>
          <w:lang w:eastAsia="es-ES"/>
        </w:rPr>
        <w:t xml:space="preserve"> Unitaria </w:t>
      </w:r>
      <w:r w:rsidRPr="00312B2E">
        <w:rPr>
          <w:rFonts w:ascii="Tahoma" w:eastAsia="Times New Roman" w:hAnsi="Tahoma" w:cs="Tahoma"/>
          <w:sz w:val="24"/>
          <w:szCs w:val="24"/>
          <w:lang w:val="es-ES" w:eastAsia="es-ES"/>
        </w:rPr>
        <w:t>del Tribunal de Justicia Administrativa del Estado de Oaxaca, es competente para conocer y resolver el presente juicio.</w:t>
      </w:r>
      <w:r w:rsidRPr="00312B2E">
        <w:rPr>
          <w:rFonts w:ascii="Tahoma" w:hAnsi="Tahoma" w:cs="Tahoma"/>
          <w:bCs/>
          <w:snapToGrid w:val="0"/>
          <w:sz w:val="24"/>
          <w:szCs w:val="24"/>
        </w:rPr>
        <w:t xml:space="preserve">  </w:t>
      </w:r>
    </w:p>
    <w:p w:rsidR="0066077C" w:rsidRPr="00312B2E" w:rsidRDefault="00C04DB1" w:rsidP="00C04DB1">
      <w:pPr>
        <w:pStyle w:val="Sangra2detindependiente1"/>
        <w:spacing w:after="240" w:line="360" w:lineRule="auto"/>
        <w:ind w:right="51" w:firstLine="567"/>
        <w:rPr>
          <w:rFonts w:ascii="Tahoma" w:hAnsi="Tahoma" w:cs="Tahoma"/>
          <w:b w:val="0"/>
          <w:bCs/>
          <w:i w:val="0"/>
          <w:szCs w:val="24"/>
        </w:rPr>
      </w:pPr>
      <w:r w:rsidRPr="00312B2E">
        <w:rPr>
          <w:rFonts w:ascii="Tahoma" w:hAnsi="Tahoma" w:cs="Tahoma"/>
          <w:i w:val="0"/>
          <w:szCs w:val="24"/>
        </w:rPr>
        <w:t xml:space="preserve">SEGUNDO. </w:t>
      </w:r>
      <w:r w:rsidRPr="00312B2E">
        <w:rPr>
          <w:rFonts w:ascii="Tahoma" w:hAnsi="Tahoma" w:cs="Tahoma"/>
          <w:b w:val="0"/>
          <w:bCs/>
          <w:i w:val="0"/>
          <w:szCs w:val="24"/>
        </w:rPr>
        <w:t>La personalidad de las partes quedó asentada en autos, dentro del considerando SEGUNDO de la presente resolución.</w:t>
      </w:r>
    </w:p>
    <w:p w:rsidR="0066077C" w:rsidRPr="00312B2E" w:rsidRDefault="00790CFB" w:rsidP="00C04DB1">
      <w:pPr>
        <w:pStyle w:val="Sangra2detindependiente1"/>
        <w:spacing w:after="240" w:line="360" w:lineRule="auto"/>
        <w:ind w:right="51" w:firstLine="567"/>
        <w:rPr>
          <w:rFonts w:ascii="Tahoma" w:hAnsi="Tahoma" w:cs="Tahoma"/>
          <w:szCs w:val="24"/>
        </w:rPr>
      </w:pPr>
      <w:r>
        <w:rPr>
          <w:noProof/>
        </w:rPr>
        <mc:AlternateContent>
          <mc:Choice Requires="wps">
            <w:drawing>
              <wp:anchor distT="0" distB="0" distL="114300" distR="114300" simplePos="0" relativeHeight="251677696" behindDoc="1" locked="0" layoutInCell="1" allowOverlap="1" wp14:anchorId="5319EA80" wp14:editId="244615BB">
                <wp:simplePos x="0" y="0"/>
                <wp:positionH relativeFrom="column">
                  <wp:posOffset>5644055</wp:posOffset>
                </wp:positionH>
                <wp:positionV relativeFrom="paragraph">
                  <wp:posOffset>275590</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9EA80" id="Cuadro de texto 10" o:spid="_x0000_s1035" type="#_x0000_t202" style="position:absolute;left:0;text-align:left;margin-left:444.4pt;margin-top:21.7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o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" fillcolor="window" strokeweight=".5pt">
                <v:path arrowok="t"/>
                <v:textbox>
                  <w:txbxContent>
                    <w:p w:rsidR="00790CFB" w:rsidRPr="00035E13" w:rsidRDefault="00790CFB" w:rsidP="00790CF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04DB1" w:rsidRPr="00312B2E">
        <w:rPr>
          <w:rFonts w:ascii="Tahoma" w:hAnsi="Tahoma" w:cs="Tahoma"/>
          <w:i w:val="0"/>
          <w:szCs w:val="24"/>
        </w:rPr>
        <w:t>TERCERO.</w:t>
      </w:r>
      <w:r w:rsidR="00C04DB1" w:rsidRPr="00312B2E">
        <w:rPr>
          <w:rFonts w:ascii="Tahoma" w:hAnsi="Tahoma" w:cs="Tahoma"/>
          <w:b w:val="0"/>
          <w:bCs/>
          <w:i w:val="0"/>
          <w:szCs w:val="24"/>
        </w:rPr>
        <w:t xml:space="preserve"> Esta Sala advierte que, en el presente juicio no se configura alguna causal de improcedencia o sobreseimiento, por lo tanto, </w:t>
      </w:r>
      <w:r w:rsidR="00C04DB1" w:rsidRPr="00312B2E">
        <w:rPr>
          <w:rFonts w:ascii="Tahoma" w:hAnsi="Tahoma" w:cs="Tahoma"/>
          <w:i w:val="0"/>
          <w:szCs w:val="24"/>
        </w:rPr>
        <w:t>NO SE SOBRESEE.</w:t>
      </w:r>
      <w:r w:rsidR="00C04DB1" w:rsidRPr="00312B2E">
        <w:rPr>
          <w:rFonts w:ascii="Tahoma" w:hAnsi="Tahoma" w:cs="Tahoma"/>
          <w:szCs w:val="24"/>
        </w:rPr>
        <w:t xml:space="preserve"> </w:t>
      </w:r>
    </w:p>
    <w:p w:rsidR="00C04DB1" w:rsidRPr="00312B2E" w:rsidRDefault="00C04DB1" w:rsidP="00C04DB1">
      <w:pPr>
        <w:pStyle w:val="Sangra2detindependiente1"/>
        <w:spacing w:after="240" w:line="360" w:lineRule="auto"/>
        <w:ind w:right="51" w:firstLine="567"/>
        <w:rPr>
          <w:rFonts w:ascii="Tahoma" w:hAnsi="Tahoma" w:cs="Tahoma"/>
          <w:i w:val="0"/>
          <w:szCs w:val="24"/>
        </w:rPr>
      </w:pPr>
      <w:r w:rsidRPr="00312B2E">
        <w:rPr>
          <w:rFonts w:ascii="Tahoma" w:hAnsi="Tahoma" w:cs="Tahoma"/>
          <w:i w:val="0"/>
          <w:szCs w:val="24"/>
        </w:rPr>
        <w:t>CUARTO.</w:t>
      </w:r>
      <w:r w:rsidRPr="00312B2E">
        <w:rPr>
          <w:rFonts w:ascii="Tahoma" w:hAnsi="Tahoma" w:cs="Tahoma"/>
          <w:b w:val="0"/>
          <w:bCs/>
          <w:i w:val="0"/>
          <w:szCs w:val="24"/>
        </w:rPr>
        <w:t xml:space="preserve"> Se declara la </w:t>
      </w:r>
      <w:r w:rsidRPr="00312B2E">
        <w:rPr>
          <w:rFonts w:ascii="Tahoma" w:hAnsi="Tahoma" w:cs="Tahoma"/>
          <w:i w:val="0"/>
          <w:szCs w:val="24"/>
        </w:rPr>
        <w:t xml:space="preserve">NULIDAD LISA Y LLANA, </w:t>
      </w:r>
      <w:r w:rsidRPr="00312B2E">
        <w:rPr>
          <w:rFonts w:ascii="Tahoma" w:hAnsi="Tahoma" w:cs="Tahoma"/>
          <w:b w:val="0"/>
          <w:bCs/>
          <w:i w:val="0"/>
          <w:szCs w:val="24"/>
        </w:rPr>
        <w:t xml:space="preserve">de la multa por infracción con número de control 01MI54ER190470 de fecha diecinueve de agosto de dos mil diecinueve, emitida por la maestra </w:t>
      </w:r>
      <w:r w:rsidRPr="006C7EF9">
        <w:rPr>
          <w:rFonts w:ascii="Tahoma" w:hAnsi="Tahoma" w:cs="Tahoma"/>
          <w:b w:val="0"/>
          <w:bCs/>
          <w:i w:val="0"/>
          <w:szCs w:val="24"/>
        </w:rPr>
        <w:t>ELIZABETH MARTÍNEZ ARZOLA</w:t>
      </w:r>
      <w:r w:rsidRPr="00312B2E">
        <w:rPr>
          <w:rFonts w:ascii="Tahoma" w:hAnsi="Tahoma" w:cs="Tahoma"/>
          <w:b w:val="0"/>
          <w:bCs/>
          <w:i w:val="0"/>
          <w:szCs w:val="24"/>
        </w:rPr>
        <w:t xml:space="preserve">, Directora de Ingresos y Recaudación de la Subsecretaría de Ingresos de la Secretaría de Finanzas del Gobierno del Estado de Oaxaca, mediante la cual se impone una sanción económica en cantidad de 50 UMA $4,224.00 (cuatro mil doscientos veinticuatro pesos 00/100 moneda nacional), en consecuencia, </w:t>
      </w:r>
      <w:r w:rsidRPr="00312B2E">
        <w:rPr>
          <w:rFonts w:ascii="Tahoma" w:hAnsi="Tahoma" w:cs="Tahoma"/>
          <w:b w:val="0"/>
          <w:bCs/>
          <w:i w:val="0"/>
          <w:szCs w:val="24"/>
          <w:u w:val="single"/>
        </w:rPr>
        <w:t>se ordena a esa autoridad fiscal para que por sí misma o a través de quien sea competente realice la baja de la citada multa del sistema electrónico y/o documental que para tal efecto lleve esa autoridad</w:t>
      </w:r>
      <w:r w:rsidRPr="00312B2E">
        <w:rPr>
          <w:rFonts w:ascii="Tahoma" w:hAnsi="Tahoma" w:cs="Tahoma"/>
          <w:b w:val="0"/>
          <w:bCs/>
          <w:i w:val="0"/>
          <w:szCs w:val="24"/>
        </w:rPr>
        <w:t xml:space="preserve">, por las razones ya expuestas en el considerando QUINTO de esta sentencia. </w:t>
      </w:r>
    </w:p>
    <w:p w:rsidR="00C04DB1" w:rsidRPr="00312B2E" w:rsidRDefault="00C04DB1" w:rsidP="00C04DB1">
      <w:pPr>
        <w:pStyle w:val="Sangra2detindependiente1"/>
        <w:spacing w:after="240" w:line="360" w:lineRule="auto"/>
        <w:ind w:right="51" w:firstLine="567"/>
        <w:rPr>
          <w:rFonts w:ascii="Tahoma" w:hAnsi="Tahoma" w:cs="Tahoma"/>
          <w:b w:val="0"/>
          <w:i w:val="0"/>
          <w:szCs w:val="24"/>
          <w:lang w:val="es-MX"/>
        </w:rPr>
      </w:pPr>
      <w:r w:rsidRPr="00312B2E">
        <w:rPr>
          <w:rFonts w:ascii="Tahoma" w:hAnsi="Tahoma" w:cs="Tahoma"/>
          <w:bCs/>
          <w:i w:val="0"/>
          <w:szCs w:val="24"/>
          <w:lang w:val="es-MX"/>
        </w:rPr>
        <w:t>QUINTO.</w:t>
      </w:r>
      <w:r w:rsidRPr="00312B2E">
        <w:rPr>
          <w:rFonts w:ascii="Tahoma" w:hAnsi="Tahoma" w:cs="Tahoma"/>
          <w:b w:val="0"/>
          <w:i w:val="0"/>
          <w:szCs w:val="24"/>
          <w:lang w:val="es-MX"/>
        </w:rPr>
        <w:t xml:space="preserve"> Conforme a lo dispuesto en los artículos 142 fracción I y 143 fracciones I y II de la Ley de Justicia Administrativa para el Estado de Oaxaca, </w:t>
      </w:r>
      <w:r w:rsidRPr="00312B2E">
        <w:rPr>
          <w:rFonts w:ascii="Tahoma" w:hAnsi="Tahoma" w:cs="Tahoma"/>
          <w:bCs/>
          <w:i w:val="0"/>
          <w:szCs w:val="24"/>
          <w:lang w:val="es-MX"/>
        </w:rPr>
        <w:t>NOTIFÍQUESE y CÚMPLASE</w:t>
      </w:r>
      <w:r w:rsidRPr="00312B2E">
        <w:rPr>
          <w:rFonts w:ascii="Tahoma" w:hAnsi="Tahoma" w:cs="Tahoma"/>
          <w:b w:val="0"/>
          <w:i w:val="0"/>
          <w:szCs w:val="24"/>
          <w:lang w:val="es-MX"/>
        </w:rPr>
        <w:t xml:space="preserve">. </w:t>
      </w:r>
    </w:p>
    <w:p w:rsidR="00312B2E" w:rsidRPr="00312B2E" w:rsidRDefault="00312B2E" w:rsidP="00312B2E">
      <w:pPr>
        <w:tabs>
          <w:tab w:val="left" w:pos="1134"/>
        </w:tabs>
        <w:spacing w:line="360" w:lineRule="auto"/>
        <w:jc w:val="both"/>
        <w:rPr>
          <w:rFonts w:ascii="Tahoma" w:hAnsi="Tahoma" w:cs="Tahoma"/>
          <w:sz w:val="24"/>
          <w:szCs w:val="24"/>
        </w:rPr>
      </w:pPr>
      <w:r w:rsidRPr="00312B2E">
        <w:rPr>
          <w:rFonts w:ascii="Tahoma" w:hAnsi="Tahoma" w:cs="Tahoma"/>
          <w:sz w:val="24"/>
          <w:szCs w:val="24"/>
        </w:rPr>
        <w:t xml:space="preserve">        Así lo acuerda y firma el Licenciado </w:t>
      </w:r>
      <w:r w:rsidRPr="00312B2E">
        <w:rPr>
          <w:rFonts w:ascii="Tahoma" w:hAnsi="Tahoma" w:cs="Tahoma"/>
          <w:b/>
          <w:sz w:val="24"/>
          <w:szCs w:val="24"/>
        </w:rPr>
        <w:t xml:space="preserve">RENATO GABRIEL IBÁÑEZ CASTELLANOS, </w:t>
      </w:r>
      <w:r w:rsidRPr="00312B2E">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w:t>
      </w:r>
      <w:r w:rsidR="00790CFB">
        <w:rPr>
          <w:noProof/>
          <w:lang w:eastAsia="es-MX"/>
        </w:rPr>
        <mc:AlternateContent>
          <mc:Choice Requires="wps">
            <w:drawing>
              <wp:anchor distT="0" distB="0" distL="114300" distR="114300" simplePos="0" relativeHeight="251679744" behindDoc="1" locked="0" layoutInCell="1" allowOverlap="1" wp14:anchorId="4DE98CD3" wp14:editId="13CC5D69">
                <wp:simplePos x="0" y="0"/>
                <wp:positionH relativeFrom="column">
                  <wp:posOffset>-1116790</wp:posOffset>
                </wp:positionH>
                <wp:positionV relativeFrom="paragraph">
                  <wp:posOffset>86404</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90CFB" w:rsidRPr="00035E13" w:rsidRDefault="00790CFB" w:rsidP="00790CFB">
                            <w:pPr>
                              <w:tabs>
                                <w:tab w:val="left" w:pos="1134"/>
                              </w:tabs>
                              <w:jc w:val="both"/>
                              <w:rPr>
                                <w:rFonts w:cstheme="minorHAnsi"/>
                                <w:sz w:val="17"/>
                                <w:szCs w:val="17"/>
                              </w:rPr>
                            </w:pPr>
                            <w:bookmarkStart w:id="1" w:name="_GoBack"/>
                            <w:r w:rsidRPr="00035E13">
                              <w:rPr>
                                <w:rFonts w:cstheme="minorHAnsi"/>
                                <w:sz w:val="17"/>
                                <w:szCs w:val="17"/>
                              </w:rPr>
                              <w:t>Datos personales protegidos por el Art. 116 de la LGTAIP y el artículo 56 de la LTAIPEO.</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98CD3" id="Cuadro de texto 11" o:spid="_x0000_s1036" type="#_x0000_t202" style="position:absolute;left:0;text-align:left;margin-left:-87.95pt;margin-top:6.8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4iZg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" fillcolor="window" strokeweight=".5pt">
                <v:path arrowok="t"/>
                <v:textbox>
                  <w:txbxContent>
                    <w:p w:rsidR="00790CFB" w:rsidRPr="00035E13" w:rsidRDefault="00790CFB" w:rsidP="00790CFB">
                      <w:pPr>
                        <w:tabs>
                          <w:tab w:val="left" w:pos="1134"/>
                        </w:tabs>
                        <w:jc w:val="both"/>
                        <w:rPr>
                          <w:rFonts w:cstheme="minorHAnsi"/>
                          <w:sz w:val="17"/>
                          <w:szCs w:val="17"/>
                        </w:rPr>
                      </w:pPr>
                      <w:bookmarkStart w:id="2" w:name="_GoBack"/>
                      <w:r w:rsidRPr="00035E13">
                        <w:rPr>
                          <w:rFonts w:cstheme="minorHAnsi"/>
                          <w:sz w:val="17"/>
                          <w:szCs w:val="17"/>
                        </w:rPr>
                        <w:t>Datos personales protegidos por el Art. 116 de la LGTAIP y el artículo 56 de la LTAIPEO.</w:t>
                      </w:r>
                      <w:bookmarkEnd w:id="2"/>
                    </w:p>
                  </w:txbxContent>
                </v:textbox>
              </v:shape>
            </w:pict>
          </mc:Fallback>
        </mc:AlternateContent>
      </w:r>
      <w:r w:rsidRPr="00312B2E">
        <w:rPr>
          <w:rFonts w:ascii="Tahoma" w:hAnsi="Tahoma" w:cs="Tahoma"/>
          <w:sz w:val="24"/>
          <w:szCs w:val="24"/>
        </w:rPr>
        <w:t xml:space="preserve">Justicia Administrativa del Estado de Oaxaca, en relación con el numeral 13, fracción XIV de su reglamento, hasta se adscriba titular de la Sala, quien actúa con la licenciada </w:t>
      </w:r>
      <w:r w:rsidRPr="00312B2E">
        <w:rPr>
          <w:rFonts w:ascii="Tahoma" w:hAnsi="Tahoma" w:cs="Tahoma"/>
          <w:b/>
          <w:sz w:val="24"/>
          <w:szCs w:val="24"/>
        </w:rPr>
        <w:t>DULCE ELOÍSA HUERTA CONTRERAS</w:t>
      </w:r>
      <w:r w:rsidRPr="00312B2E">
        <w:rPr>
          <w:rFonts w:ascii="Tahoma" w:hAnsi="Tahoma" w:cs="Tahoma"/>
          <w:sz w:val="24"/>
          <w:szCs w:val="24"/>
        </w:rPr>
        <w:t>, Actuaria que autoriza y da fe.</w:t>
      </w:r>
    </w:p>
    <w:p w:rsidR="00346DC8" w:rsidRPr="00312B2E" w:rsidRDefault="00346DC8">
      <w:pPr>
        <w:rPr>
          <w:rFonts w:ascii="Tahoma" w:hAnsi="Tahoma" w:cs="Tahoma"/>
          <w:sz w:val="24"/>
          <w:szCs w:val="24"/>
        </w:rPr>
      </w:pPr>
    </w:p>
    <w:sectPr w:rsidR="00346DC8" w:rsidRPr="00312B2E" w:rsidSect="004E379D">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7E8" w:rsidRDefault="002B47E8">
      <w:pPr>
        <w:spacing w:after="0" w:line="240" w:lineRule="auto"/>
      </w:pPr>
      <w:r>
        <w:separator/>
      </w:r>
    </w:p>
  </w:endnote>
  <w:endnote w:type="continuationSeparator" w:id="0">
    <w:p w:rsidR="002B47E8" w:rsidRDefault="002B4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C04DB1">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90CFB" w:rsidRPr="00790CFB">
          <w:rPr>
            <w:rFonts w:ascii="Arial" w:hAnsi="Arial" w:cs="Arial"/>
            <w:noProof/>
            <w:sz w:val="24"/>
            <w:szCs w:val="24"/>
            <w:lang w:val="es-ES"/>
          </w:rPr>
          <w:t>11</w:t>
        </w:r>
        <w:r w:rsidRPr="00604752">
          <w:rPr>
            <w:rFonts w:ascii="Arial" w:hAnsi="Arial" w:cs="Arial"/>
            <w:sz w:val="24"/>
            <w:szCs w:val="24"/>
          </w:rPr>
          <w:fldChar w:fldCharType="end"/>
        </w:r>
      </w:p>
    </w:sdtContent>
  </w:sdt>
  <w:p w:rsidR="0076338B" w:rsidRDefault="002B47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7E8" w:rsidRDefault="002B47E8">
      <w:pPr>
        <w:spacing w:after="0" w:line="240" w:lineRule="auto"/>
      </w:pPr>
      <w:r>
        <w:separator/>
      </w:r>
    </w:p>
  </w:footnote>
  <w:footnote w:type="continuationSeparator" w:id="0">
    <w:p w:rsidR="002B47E8" w:rsidRDefault="002B47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DB1"/>
    <w:rsid w:val="00092347"/>
    <w:rsid w:val="00092ACA"/>
    <w:rsid w:val="00210B6C"/>
    <w:rsid w:val="002B47E8"/>
    <w:rsid w:val="002C1213"/>
    <w:rsid w:val="002F308D"/>
    <w:rsid w:val="00312B2E"/>
    <w:rsid w:val="00346DC8"/>
    <w:rsid w:val="00351E17"/>
    <w:rsid w:val="003A7FDD"/>
    <w:rsid w:val="004C0E0F"/>
    <w:rsid w:val="004E379D"/>
    <w:rsid w:val="005649EC"/>
    <w:rsid w:val="005A16F5"/>
    <w:rsid w:val="00605068"/>
    <w:rsid w:val="0066077C"/>
    <w:rsid w:val="006C7EF9"/>
    <w:rsid w:val="00790CFB"/>
    <w:rsid w:val="008B3B5B"/>
    <w:rsid w:val="00A60CA8"/>
    <w:rsid w:val="00A97EF3"/>
    <w:rsid w:val="00B91E2C"/>
    <w:rsid w:val="00C04DB1"/>
    <w:rsid w:val="00DD21D9"/>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7D5160-CAF3-49E0-AF70-C1667A0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DB1"/>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04DB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4DB1"/>
  </w:style>
  <w:style w:type="paragraph" w:styleId="Piedepgina">
    <w:name w:val="footer"/>
    <w:basedOn w:val="Normal"/>
    <w:link w:val="PiedepginaCar"/>
    <w:uiPriority w:val="99"/>
    <w:unhideWhenUsed/>
    <w:rsid w:val="00C04DB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4DB1"/>
  </w:style>
  <w:style w:type="paragraph" w:customStyle="1" w:styleId="Sangra2detindependiente1">
    <w:name w:val="Sangría 2 de t. independiente1"/>
    <w:basedOn w:val="Normal"/>
    <w:rsid w:val="00C04DB1"/>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4297</Words>
  <Characters>23634</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2021-09-13T20:45:00Z</dcterms:created>
  <dcterms:modified xsi:type="dcterms:W3CDTF">2021-09-13T20:45:00Z</dcterms:modified>
</cp:coreProperties>
</file>