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ACC" w:rsidRPr="007B0581" w:rsidRDefault="00DF7ACC" w:rsidP="00DF7ACC">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DF7ACC" w:rsidRPr="007B0581" w:rsidRDefault="00DF7ACC" w:rsidP="00DF7ACC">
      <w:pPr>
        <w:pStyle w:val="corte4fondo"/>
        <w:spacing w:line="276" w:lineRule="auto"/>
        <w:ind w:left="3544" w:right="-521" w:firstLine="0"/>
        <w:rPr>
          <w:rFonts w:cs="Arial"/>
          <w:b/>
          <w:sz w:val="24"/>
          <w:szCs w:val="24"/>
        </w:rPr>
      </w:pPr>
    </w:p>
    <w:p w:rsidR="00DF7ACC" w:rsidRPr="007B0581" w:rsidRDefault="00DF7ACC" w:rsidP="00DF7ACC">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013</w:t>
      </w:r>
      <w:r w:rsidRPr="007B0581">
        <w:rPr>
          <w:rFonts w:cs="Arial"/>
          <w:b/>
          <w:bCs/>
          <w:sz w:val="24"/>
          <w:szCs w:val="24"/>
        </w:rPr>
        <w:t>/20</w:t>
      </w:r>
      <w:r>
        <w:rPr>
          <w:rFonts w:cs="Arial"/>
          <w:b/>
          <w:bCs/>
          <w:sz w:val="24"/>
          <w:szCs w:val="24"/>
        </w:rPr>
        <w:t>19</w:t>
      </w:r>
      <w:r w:rsidRPr="007B0581">
        <w:rPr>
          <w:rFonts w:cs="Arial"/>
          <w:sz w:val="24"/>
          <w:szCs w:val="24"/>
        </w:rPr>
        <w:t xml:space="preserve">. </w:t>
      </w:r>
    </w:p>
    <w:p w:rsidR="00DF7ACC" w:rsidRPr="007B0581" w:rsidRDefault="00DF7ACC" w:rsidP="00DF7ACC">
      <w:pPr>
        <w:pStyle w:val="corte4fondo"/>
        <w:spacing w:line="276" w:lineRule="auto"/>
        <w:ind w:left="3544" w:right="-521" w:firstLine="0"/>
        <w:rPr>
          <w:rFonts w:cs="Arial"/>
          <w:sz w:val="24"/>
          <w:szCs w:val="24"/>
        </w:rPr>
      </w:pPr>
    </w:p>
    <w:p w:rsidR="00DF7ACC" w:rsidRPr="007B0581" w:rsidRDefault="00DF7ACC" w:rsidP="00DF7ACC">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DF7ACC" w:rsidRPr="007B0581" w:rsidRDefault="00DF7ACC" w:rsidP="00DF7ACC">
      <w:pPr>
        <w:pStyle w:val="corte4fondo"/>
        <w:spacing w:line="276" w:lineRule="auto"/>
        <w:ind w:left="3544" w:right="-521" w:firstLine="0"/>
        <w:rPr>
          <w:rFonts w:cs="Arial"/>
          <w:b/>
          <w:i/>
          <w:sz w:val="24"/>
          <w:szCs w:val="24"/>
        </w:rPr>
      </w:pPr>
      <w:r w:rsidRPr="007B0581">
        <w:rPr>
          <w:rFonts w:cs="Arial"/>
          <w:b/>
          <w:i/>
          <w:sz w:val="24"/>
          <w:szCs w:val="24"/>
        </w:rPr>
        <w:t xml:space="preserve"> </w:t>
      </w:r>
    </w:p>
    <w:p w:rsidR="00DF7ACC" w:rsidRPr="007B0581" w:rsidRDefault="00DF7ACC" w:rsidP="00DF7ACC">
      <w:pPr>
        <w:pStyle w:val="corte4fondo"/>
        <w:spacing w:line="276" w:lineRule="auto"/>
        <w:ind w:left="3544" w:right="51" w:firstLine="0"/>
        <w:rPr>
          <w:rFonts w:cs="Arial"/>
          <w:bCs/>
          <w:sz w:val="24"/>
          <w:szCs w:val="24"/>
        </w:rPr>
      </w:pPr>
      <w:r w:rsidRPr="007B0581">
        <w:rPr>
          <w:rFonts w:cs="Arial"/>
          <w:b/>
          <w:sz w:val="24"/>
          <w:szCs w:val="24"/>
        </w:rPr>
        <w:t>AUTORIDAD DEMANDADA</w:t>
      </w:r>
      <w:r w:rsidRPr="00464FA8">
        <w:rPr>
          <w:rFonts w:cs="Arial"/>
          <w:bCs/>
          <w:sz w:val="24"/>
          <w:szCs w:val="24"/>
        </w:rPr>
        <w:t>:</w:t>
      </w:r>
      <w:r>
        <w:rPr>
          <w:rFonts w:cs="Arial"/>
          <w:b/>
          <w:sz w:val="24"/>
          <w:szCs w:val="24"/>
        </w:rPr>
        <w:t xml:space="preserve"> FISCAL GENERAL DEL ESTADO DE OAXACA.</w:t>
      </w:r>
    </w:p>
    <w:p w:rsidR="00DF7ACC" w:rsidRPr="007B0581" w:rsidRDefault="00DF7ACC" w:rsidP="00DF7ACC">
      <w:pPr>
        <w:pStyle w:val="corte4fondo"/>
        <w:spacing w:line="276" w:lineRule="auto"/>
        <w:ind w:left="3544" w:right="51" w:firstLine="0"/>
        <w:rPr>
          <w:rFonts w:cs="Arial"/>
          <w:bCs/>
          <w:sz w:val="24"/>
          <w:szCs w:val="24"/>
        </w:rPr>
      </w:pPr>
    </w:p>
    <w:p w:rsidR="00DF7ACC" w:rsidRPr="007B0581" w:rsidRDefault="00DF7ACC" w:rsidP="00DF7ACC">
      <w:pPr>
        <w:pStyle w:val="corte4fondo"/>
        <w:spacing w:line="276" w:lineRule="auto"/>
        <w:ind w:left="3544" w:right="51" w:firstLine="0"/>
        <w:rPr>
          <w:rFonts w:cs="Arial"/>
          <w:bCs/>
          <w:sz w:val="24"/>
          <w:szCs w:val="24"/>
        </w:rPr>
      </w:pPr>
    </w:p>
    <w:p w:rsidR="00DF7ACC" w:rsidRDefault="00DF7ACC" w:rsidP="00DF7ACC">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VEINTE DE JUNIO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DF7ACC" w:rsidRDefault="00DF7ACC" w:rsidP="00DF7ACC">
      <w:pPr>
        <w:spacing w:line="360" w:lineRule="auto"/>
        <w:jc w:val="both"/>
        <w:rPr>
          <w:rFonts w:ascii="Arial" w:hAnsi="Arial" w:cs="Arial"/>
          <w:b/>
          <w:sz w:val="24"/>
          <w:szCs w:val="24"/>
        </w:rPr>
      </w:pPr>
      <w:r w:rsidRPr="007B0581">
        <w:rPr>
          <w:rFonts w:ascii="Arial" w:hAnsi="Arial" w:cs="Arial"/>
          <w:b/>
          <w:sz w:val="24"/>
          <w:szCs w:val="24"/>
        </w:rPr>
        <w:t xml:space="preserve"> </w:t>
      </w:r>
    </w:p>
    <w:p w:rsidR="00DF7ACC" w:rsidRPr="007B0581" w:rsidRDefault="00DF7ACC" w:rsidP="00DF7ACC">
      <w:pPr>
        <w:contextualSpacing/>
        <w:jc w:val="both"/>
        <w:rPr>
          <w:rFonts w:ascii="Arial" w:hAnsi="Arial" w:cs="Arial"/>
          <w:b/>
          <w:sz w:val="24"/>
          <w:szCs w:val="24"/>
        </w:rPr>
      </w:pPr>
    </w:p>
    <w:p w:rsidR="00DF7ACC" w:rsidRDefault="00DF7ACC" w:rsidP="00DF7ACC">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0013</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l despido del que fue objeto por parte del Fiscal General del Estado de Oaxaca, contenido en la resolución dictada dentro del expediente administrativo número </w:t>
      </w:r>
      <w:bookmarkStart w:id="0" w:name="_Hlk84505151"/>
      <w:r>
        <w:rPr>
          <w:rFonts w:cs="Arial"/>
          <w:b/>
          <w:sz w:val="24"/>
          <w:szCs w:val="24"/>
        </w:rPr>
        <w:t>**********</w:t>
      </w:r>
      <w:r>
        <w:rPr>
          <w:rFonts w:cs="Arial"/>
          <w:b/>
          <w:sz w:val="24"/>
          <w:szCs w:val="24"/>
        </w:rPr>
        <w:t xml:space="preserve"> </w:t>
      </w:r>
      <w:r w:rsidRPr="007B0581">
        <w:rPr>
          <w:rFonts w:ascii="Arial" w:hAnsi="Arial" w:cs="Arial"/>
          <w:sz w:val="24"/>
          <w:szCs w:val="24"/>
        </w:rPr>
        <w:t>, y;</w:t>
      </w:r>
      <w:r>
        <w:rPr>
          <w:rFonts w:ascii="Arial" w:hAnsi="Arial" w:cs="Arial"/>
          <w:b/>
          <w:bCs/>
          <w:sz w:val="24"/>
          <w:szCs w:val="24"/>
        </w:rPr>
        <w:t xml:space="preserve"> </w:t>
      </w:r>
    </w:p>
    <w:p w:rsidR="00DF7ACC" w:rsidRPr="007B0581" w:rsidRDefault="00DF7ACC" w:rsidP="00DF7ACC">
      <w:pPr>
        <w:spacing w:line="360" w:lineRule="auto"/>
        <w:jc w:val="both"/>
        <w:rPr>
          <w:rFonts w:ascii="Arial" w:hAnsi="Arial" w:cs="Arial"/>
          <w:b/>
          <w:bCs/>
          <w:sz w:val="24"/>
          <w:szCs w:val="24"/>
        </w:rPr>
      </w:pPr>
    </w:p>
    <w:bookmarkEnd w:id="0"/>
    <w:p w:rsidR="00DF7ACC" w:rsidRPr="007B0581" w:rsidRDefault="00DF7ACC" w:rsidP="00DF7ACC">
      <w:pPr>
        <w:contextualSpacing/>
        <w:jc w:val="both"/>
        <w:rPr>
          <w:rFonts w:ascii="Arial" w:hAnsi="Arial" w:cs="Arial"/>
          <w:sz w:val="24"/>
          <w:szCs w:val="24"/>
        </w:rPr>
      </w:pPr>
    </w:p>
    <w:p w:rsidR="00DF7ACC" w:rsidRPr="007B0581" w:rsidRDefault="00DF7ACC" w:rsidP="00DF7ACC">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DF7ACC" w:rsidRDefault="00DF7ACC" w:rsidP="00DF7ACC">
      <w:pPr>
        <w:contextualSpacing/>
        <w:jc w:val="both"/>
        <w:rPr>
          <w:rFonts w:ascii="Arial" w:hAnsi="Arial" w:cs="Arial"/>
          <w:b/>
          <w:spacing w:val="-3"/>
          <w:sz w:val="24"/>
          <w:szCs w:val="24"/>
          <w:lang w:val="es-ES_tradnl"/>
        </w:rPr>
      </w:pPr>
    </w:p>
    <w:p w:rsidR="00DF7ACC" w:rsidRPr="007B0581" w:rsidRDefault="00DF7ACC" w:rsidP="00DF7ACC">
      <w:pPr>
        <w:contextualSpacing/>
        <w:jc w:val="both"/>
        <w:rPr>
          <w:rFonts w:ascii="Arial" w:hAnsi="Arial" w:cs="Arial"/>
          <w:b/>
          <w:spacing w:val="-3"/>
          <w:sz w:val="24"/>
          <w:szCs w:val="24"/>
          <w:lang w:val="es-ES_tradnl"/>
        </w:rPr>
      </w:pPr>
    </w:p>
    <w:p w:rsidR="00DF7ACC" w:rsidRPr="007B0581" w:rsidRDefault="00DF7ACC" w:rsidP="00DF7ACC">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diecinueve de febrero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w:t>
      </w:r>
      <w:bookmarkStart w:id="1" w:name="_Hlk83725409"/>
      <w:r w:rsidRPr="007B0581">
        <w:rPr>
          <w:rFonts w:ascii="Arial" w:hAnsi="Arial" w:cs="Arial"/>
          <w:sz w:val="24"/>
          <w:szCs w:val="24"/>
        </w:rPr>
        <w:t>contra de</w:t>
      </w:r>
      <w:r>
        <w:rPr>
          <w:rFonts w:ascii="Arial" w:hAnsi="Arial" w:cs="Arial"/>
          <w:sz w:val="24"/>
          <w:szCs w:val="24"/>
        </w:rPr>
        <w:t xml:space="preserve">l despido del que fue objeto por parte del Fiscal General del Estado de Oaxaca, </w:t>
      </w:r>
      <w:r w:rsidRPr="00CF6BC3">
        <w:rPr>
          <w:rFonts w:ascii="Arial" w:hAnsi="Arial" w:cs="Arial"/>
          <w:sz w:val="24"/>
          <w:szCs w:val="24"/>
        </w:rPr>
        <w:t xml:space="preserve">contenido en la resolución dictada dentro del expediente administrativo número </w:t>
      </w:r>
      <w:r>
        <w:rPr>
          <w:rFonts w:cs="Arial"/>
          <w:b/>
          <w:sz w:val="24"/>
          <w:szCs w:val="24"/>
        </w:rPr>
        <w:t>**********</w:t>
      </w:r>
      <w:r w:rsidRPr="00CF6BC3">
        <w:rPr>
          <w:rFonts w:ascii="Arial" w:hAnsi="Arial" w:cs="Arial"/>
          <w:sz w:val="24"/>
          <w:szCs w:val="24"/>
        </w:rPr>
        <w:t>.</w:t>
      </w:r>
      <w:r w:rsidRPr="007B0581">
        <w:rPr>
          <w:rFonts w:ascii="Arial" w:hAnsi="Arial" w:cs="Arial"/>
          <w:sz w:val="24"/>
          <w:szCs w:val="24"/>
        </w:rPr>
        <w:t xml:space="preserve"> </w:t>
      </w:r>
    </w:p>
    <w:bookmarkEnd w:id="1"/>
    <w:p w:rsidR="00DF7ACC" w:rsidRPr="007B0581" w:rsidRDefault="00DF7ACC" w:rsidP="00DF7ACC">
      <w:pPr>
        <w:contextualSpacing/>
        <w:jc w:val="both"/>
        <w:rPr>
          <w:rFonts w:ascii="Arial" w:hAnsi="Arial" w:cs="Arial"/>
          <w:sz w:val="24"/>
          <w:szCs w:val="24"/>
        </w:rPr>
      </w:pPr>
    </w:p>
    <w:p w:rsidR="00DF7ACC" w:rsidRPr="007B0581" w:rsidRDefault="00DF7ACC" w:rsidP="00DF7ACC">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veintiuno de febrero de dos mil diecinueve</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DF7ACC" w:rsidRPr="007B0581" w:rsidRDefault="00DF7ACC" w:rsidP="00DF7ACC">
      <w:pPr>
        <w:pStyle w:val="corte4fondo"/>
        <w:spacing w:line="240" w:lineRule="auto"/>
        <w:ind w:right="51" w:firstLine="567"/>
        <w:contextualSpacing/>
        <w:rPr>
          <w:rFonts w:cs="Arial"/>
          <w:bCs/>
          <w:sz w:val="24"/>
          <w:szCs w:val="24"/>
        </w:rPr>
      </w:pPr>
      <w:r w:rsidRPr="007B0581">
        <w:rPr>
          <w:rFonts w:cs="Arial"/>
          <w:bCs/>
          <w:sz w:val="24"/>
          <w:szCs w:val="24"/>
        </w:rPr>
        <w:tab/>
      </w:r>
    </w:p>
    <w:p w:rsidR="00DF7ACC" w:rsidRPr="007B0581" w:rsidRDefault="00DF7ACC" w:rsidP="00DF7ACC">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veintiséis de marzo de dos mil diecinueve</w:t>
      </w:r>
      <w:r w:rsidRPr="007B0581">
        <w:rPr>
          <w:rFonts w:cs="Arial"/>
          <w:bCs/>
          <w:sz w:val="24"/>
          <w:szCs w:val="24"/>
        </w:rPr>
        <w:t>, se tuvo</w:t>
      </w:r>
      <w:r>
        <w:rPr>
          <w:rFonts w:cs="Arial"/>
          <w:bCs/>
          <w:sz w:val="24"/>
          <w:szCs w:val="24"/>
        </w:rPr>
        <w:t xml:space="preserve"> al Director de Asuntos Jurídicos de la Fiscalía General del Estado de Oaxaca, en representación legal del Fiscal General del Estado de Oaxaca,</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w:t>
      </w:r>
      <w:r w:rsidRPr="007B0581">
        <w:rPr>
          <w:rFonts w:cs="Arial"/>
          <w:sz w:val="24"/>
          <w:szCs w:val="24"/>
        </w:rPr>
        <w:t xml:space="preserve"> </w:t>
      </w:r>
    </w:p>
    <w:p w:rsidR="00DF7ACC" w:rsidRPr="007B0581" w:rsidRDefault="00DF7ACC" w:rsidP="00DF7ACC">
      <w:pPr>
        <w:pStyle w:val="corte4fondo"/>
        <w:spacing w:line="240" w:lineRule="auto"/>
        <w:ind w:right="51" w:firstLine="567"/>
        <w:contextualSpacing/>
        <w:rPr>
          <w:rFonts w:cs="Arial"/>
          <w:b/>
          <w:bCs/>
          <w:sz w:val="24"/>
          <w:szCs w:val="24"/>
        </w:rPr>
      </w:pPr>
    </w:p>
    <w:p w:rsidR="00DF7ACC" w:rsidRDefault="00DF7ACC" w:rsidP="00DF7ACC">
      <w:pPr>
        <w:pStyle w:val="corte4fondo"/>
        <w:ind w:right="51" w:firstLine="567"/>
        <w:rPr>
          <w:rFonts w:cs="Arial"/>
          <w:sz w:val="24"/>
          <w:szCs w:val="24"/>
        </w:rPr>
      </w:pPr>
      <w:r w:rsidRPr="007B33B4">
        <w:rPr>
          <w:rFonts w:cs="Arial"/>
          <w:b/>
          <w:bCs/>
          <w:sz w:val="24"/>
          <w:szCs w:val="24"/>
        </w:rPr>
        <w:lastRenderedPageBreak/>
        <w:t xml:space="preserve">CUARTO. </w:t>
      </w:r>
      <w:r>
        <w:rPr>
          <w:rFonts w:cs="Arial"/>
          <w:sz w:val="24"/>
          <w:szCs w:val="24"/>
        </w:rPr>
        <w:t xml:space="preserve">- </w:t>
      </w:r>
      <w:r w:rsidRPr="00C3273C">
        <w:rPr>
          <w:rFonts w:cs="Arial"/>
          <w:sz w:val="24"/>
          <w:szCs w:val="24"/>
        </w:rPr>
        <w:t>Por</w:t>
      </w:r>
      <w:r>
        <w:rPr>
          <w:rFonts w:cs="Arial"/>
          <w:sz w:val="24"/>
          <w:szCs w:val="24"/>
        </w:rPr>
        <w:t xml:space="preserve"> acuerdo de veintitrés de mayo de dos mil diecinueve, se tuvo por desechada la promoción intentada por los autorizados para oír y recibir notificaciones de la actora, en virtud que no ostentan la calidad de apoderados o autorizados legales, para promover a nombre de ésta. Asimismo, se señalaron las DOCE HORAS del día DIEZ DE JULIO DE DOS MIL DIECINUEVE, para la celebración de la Audiencia Final.</w:t>
      </w:r>
    </w:p>
    <w:p w:rsidR="00DF7ACC" w:rsidRDefault="00DF7ACC" w:rsidP="00DF7ACC">
      <w:pPr>
        <w:pStyle w:val="corte4fondo"/>
        <w:ind w:right="51" w:firstLine="567"/>
        <w:rPr>
          <w:rFonts w:cs="Arial"/>
          <w:sz w:val="24"/>
          <w:szCs w:val="24"/>
        </w:rPr>
      </w:pPr>
    </w:p>
    <w:p w:rsidR="00DF7ACC" w:rsidRDefault="00DF7ACC" w:rsidP="00DF7ACC">
      <w:pPr>
        <w:pStyle w:val="corte4fondo"/>
        <w:ind w:right="51" w:firstLine="567"/>
        <w:rPr>
          <w:rFonts w:cs="Arial"/>
          <w:b/>
          <w:bCs/>
          <w:sz w:val="24"/>
          <w:szCs w:val="24"/>
        </w:rPr>
      </w:pPr>
      <w:r w:rsidRPr="00353EF3">
        <w:rPr>
          <w:rFonts w:cs="Arial"/>
          <w:b/>
          <w:bCs/>
          <w:sz w:val="24"/>
          <w:szCs w:val="24"/>
        </w:rPr>
        <w:t>QUINTO.</w:t>
      </w:r>
      <w:r>
        <w:rPr>
          <w:rFonts w:cs="Arial"/>
          <w:sz w:val="24"/>
          <w:szCs w:val="24"/>
        </w:rPr>
        <w:t xml:space="preserve"> - Por acuerdo de diez de julio de dos mil diecinueve, se tuvo a la actora interponiendo recurso de revisión en contra del acuerdo de veintitrés de mayo de dos mil diecinueve, por lo que se ordenó suspender la celebración de la audiencia final señalada para el diez de julio de esa anualidad.</w:t>
      </w:r>
    </w:p>
    <w:p w:rsidR="00DF7ACC" w:rsidRDefault="00DF7ACC" w:rsidP="00DF7ACC">
      <w:pPr>
        <w:pStyle w:val="corte4fondo"/>
        <w:ind w:right="51" w:firstLine="567"/>
        <w:rPr>
          <w:rFonts w:cs="Arial"/>
          <w:b/>
          <w:bCs/>
          <w:sz w:val="24"/>
          <w:szCs w:val="24"/>
        </w:rPr>
      </w:pPr>
    </w:p>
    <w:p w:rsidR="00DF7ACC" w:rsidRDefault="00DF7ACC" w:rsidP="00DF7ACC">
      <w:pPr>
        <w:pStyle w:val="corte4fondo"/>
        <w:ind w:right="51" w:firstLine="567"/>
        <w:rPr>
          <w:rFonts w:cs="Arial"/>
          <w:sz w:val="24"/>
          <w:szCs w:val="24"/>
          <w:lang w:val="es-ES"/>
        </w:rPr>
      </w:pPr>
      <w:r w:rsidRPr="00CC51BD">
        <w:rPr>
          <w:rFonts w:cs="Arial"/>
          <w:b/>
          <w:bCs/>
          <w:sz w:val="24"/>
          <w:szCs w:val="24"/>
          <w:lang w:val="es-ES"/>
        </w:rPr>
        <w:t>SEXTO.</w:t>
      </w:r>
      <w:r>
        <w:rPr>
          <w:rFonts w:cs="Arial"/>
          <w:sz w:val="24"/>
          <w:szCs w:val="24"/>
          <w:lang w:val="es-ES"/>
        </w:rPr>
        <w:t xml:space="preserve"> - Por acuerdo de catorce de octubre de dos mil veinte, se declaró que causó ejecutoria la resolución de trece de marzo de dos mil veinte, dictada en el recurso de revisión 202/2019, por los Magistrados Integrantes de la Sala Superior de este órgano jurisdiccional, por el que resolvieron confirmar el acuerdo recurrido de veintitrés de mayo de dos mil diecinueve, </w:t>
      </w:r>
      <w:r w:rsidRPr="005D7909">
        <w:rPr>
          <w:rFonts w:cs="Arial"/>
          <w:sz w:val="24"/>
          <w:szCs w:val="24"/>
        </w:rPr>
        <w:t>mediante escrito presentado en la Oficialía de Partes Común de este órgano jurisdiccional el siete de junio de dos mil diecinueve</w:t>
      </w:r>
      <w:r>
        <w:rPr>
          <w:rFonts w:cs="Arial"/>
          <w:sz w:val="24"/>
          <w:szCs w:val="24"/>
          <w:lang w:val="es-ES"/>
        </w:rPr>
        <w:t>. Asimismo, se señalaron las DIEZ HORAS del día DIEZ DE DICIEMBRE DE DOS MIL VEINTE, para la celebración de la audiencia final.</w:t>
      </w:r>
    </w:p>
    <w:p w:rsidR="00DF7ACC" w:rsidRDefault="00DF7ACC" w:rsidP="00DF7ACC">
      <w:pPr>
        <w:pStyle w:val="corte4fondo"/>
        <w:ind w:right="51" w:firstLine="567"/>
        <w:rPr>
          <w:rFonts w:cs="Arial"/>
          <w:sz w:val="24"/>
          <w:szCs w:val="24"/>
          <w:lang w:val="es-ES"/>
        </w:rPr>
      </w:pPr>
    </w:p>
    <w:p w:rsidR="00DF7ACC" w:rsidRPr="007B0581" w:rsidRDefault="00DF7ACC" w:rsidP="00DF7ACC">
      <w:pPr>
        <w:pStyle w:val="corte4fondo"/>
        <w:ind w:right="51" w:firstLine="567"/>
        <w:rPr>
          <w:rFonts w:cs="Arial"/>
          <w:b/>
          <w:bCs/>
          <w:sz w:val="24"/>
          <w:szCs w:val="24"/>
        </w:rPr>
      </w:pPr>
      <w:r w:rsidRPr="00611A9D">
        <w:rPr>
          <w:rFonts w:cs="Arial"/>
          <w:b/>
          <w:bCs/>
          <w:sz w:val="24"/>
          <w:szCs w:val="24"/>
          <w:lang w:val="es-ES"/>
        </w:rPr>
        <w:t>SÉPTIMO. -</w:t>
      </w:r>
      <w:r>
        <w:rPr>
          <w:rFonts w:cs="Arial"/>
          <w:sz w:val="24"/>
          <w:szCs w:val="24"/>
          <w:lang w:val="es-ES"/>
        </w:rPr>
        <w:t xml:space="preserve"> </w:t>
      </w:r>
      <w:r w:rsidRPr="007B33B4">
        <w:rPr>
          <w:rFonts w:cs="Arial"/>
          <w:sz w:val="24"/>
          <w:szCs w:val="24"/>
          <w:lang w:val="es-ES"/>
        </w:rPr>
        <w:t xml:space="preserve">El </w:t>
      </w:r>
      <w:r>
        <w:rPr>
          <w:rFonts w:cs="Arial"/>
          <w:sz w:val="24"/>
          <w:szCs w:val="24"/>
          <w:lang w:val="es-ES"/>
        </w:rPr>
        <w:t>diez de diciembre de dos mil veinte</w:t>
      </w:r>
      <w:r w:rsidRPr="007B33B4">
        <w:rPr>
          <w:rFonts w:cs="Arial"/>
          <w:bCs/>
          <w:sz w:val="24"/>
          <w:szCs w:val="24"/>
          <w:lang w:val="es-ES"/>
        </w:rPr>
        <w:t xml:space="preserve">, se llevó a cabo la audiencia final, </w:t>
      </w:r>
      <w:r w:rsidRPr="007B33B4">
        <w:rPr>
          <w:rFonts w:cs="Arial"/>
          <w:sz w:val="24"/>
          <w:szCs w:val="24"/>
          <w:lang w:val="es-ES"/>
        </w:rPr>
        <w:t>sin la asistencia de las partes, ni persona alguna que legalmente las representara</w:t>
      </w:r>
      <w:r w:rsidRPr="007B33B4">
        <w:rPr>
          <w:rFonts w:cs="Arial"/>
          <w:bCs/>
          <w:sz w:val="24"/>
          <w:szCs w:val="24"/>
          <w:lang w:val="es-ES"/>
        </w:rPr>
        <w:t xml:space="preserve">, </w:t>
      </w:r>
      <w:r w:rsidRPr="007B33B4">
        <w:rPr>
          <w:rFonts w:cs="Arial"/>
          <w:sz w:val="24"/>
          <w:szCs w:val="24"/>
        </w:rPr>
        <w:t xml:space="preserve">asentando la Secretaria de Acuerdos de esta Sala, que </w:t>
      </w:r>
      <w:r>
        <w:rPr>
          <w:rFonts w:cs="Arial"/>
          <w:sz w:val="24"/>
          <w:szCs w:val="24"/>
        </w:rPr>
        <w:t>las partes no formularon</w:t>
      </w:r>
      <w:r w:rsidRPr="007B33B4">
        <w:rPr>
          <w:rFonts w:cs="Arial"/>
          <w:sz w:val="24"/>
          <w:szCs w:val="24"/>
        </w:rPr>
        <w:t xml:space="preserve"> alegatos, por lo que se ordenó citar a las partes a oír sentencia dentro del término de ley</w:t>
      </w:r>
      <w:r>
        <w:rPr>
          <w:rFonts w:cs="Arial"/>
          <w:sz w:val="24"/>
          <w:szCs w:val="24"/>
        </w:rPr>
        <w:t>.</w:t>
      </w:r>
    </w:p>
    <w:p w:rsidR="00DF7ACC" w:rsidRDefault="00DF7ACC" w:rsidP="00DF7ACC">
      <w:pPr>
        <w:pStyle w:val="corte4fondo"/>
        <w:ind w:right="51" w:firstLine="567"/>
        <w:rPr>
          <w:rFonts w:cs="Arial"/>
          <w:b/>
          <w:spacing w:val="-3"/>
          <w:sz w:val="24"/>
          <w:szCs w:val="24"/>
        </w:rPr>
      </w:pPr>
    </w:p>
    <w:p w:rsidR="00DF7ACC" w:rsidRDefault="00DF7ACC" w:rsidP="00DF7ACC">
      <w:pPr>
        <w:pStyle w:val="corte4fondo"/>
        <w:ind w:right="51" w:firstLine="567"/>
        <w:rPr>
          <w:rFonts w:cs="Arial"/>
          <w:bCs/>
          <w:spacing w:val="-3"/>
          <w:sz w:val="24"/>
          <w:szCs w:val="24"/>
        </w:rPr>
      </w:pPr>
      <w:r>
        <w:rPr>
          <w:rFonts w:cs="Arial"/>
          <w:b/>
          <w:spacing w:val="-3"/>
          <w:sz w:val="24"/>
          <w:szCs w:val="24"/>
        </w:rPr>
        <w:t xml:space="preserve">OCTAVO. - </w:t>
      </w:r>
      <w:r w:rsidRPr="008E250A">
        <w:rPr>
          <w:rFonts w:cs="Arial"/>
          <w:bCs/>
          <w:spacing w:val="-3"/>
          <w:sz w:val="24"/>
          <w:szCs w:val="24"/>
        </w:rPr>
        <w:t>P</w:t>
      </w:r>
      <w:r>
        <w:rPr>
          <w:rFonts w:cs="Arial"/>
          <w:bCs/>
          <w:spacing w:val="-3"/>
          <w:sz w:val="24"/>
          <w:szCs w:val="24"/>
        </w:rPr>
        <w:t xml:space="preserve">or acuerdo de veinticinco de octubre de dos mil veintiuno, se hizo del conocimiento de las partes la incorporación y adscripción de la Magistrada VIRGINIA HERNÁNDEZ HERNÁNDEZ, como titular de esta Quinta Sala Unitaria de Primera Instancia de este órgano jurisdiccional. </w:t>
      </w:r>
    </w:p>
    <w:p w:rsidR="00DF7ACC" w:rsidRDefault="00DF7ACC" w:rsidP="00DF7ACC">
      <w:pPr>
        <w:pStyle w:val="corte4fondo"/>
        <w:ind w:right="51" w:firstLine="567"/>
        <w:rPr>
          <w:rFonts w:cs="Arial"/>
          <w:bCs/>
          <w:spacing w:val="-3"/>
          <w:sz w:val="24"/>
          <w:szCs w:val="24"/>
        </w:rPr>
      </w:pPr>
    </w:p>
    <w:p w:rsidR="00DF7ACC" w:rsidRDefault="00DF7ACC" w:rsidP="00DF7ACC">
      <w:pPr>
        <w:pStyle w:val="corte4fondo"/>
        <w:ind w:right="51" w:firstLine="567"/>
        <w:rPr>
          <w:rFonts w:cs="Arial"/>
          <w:bCs/>
          <w:spacing w:val="-3"/>
          <w:sz w:val="24"/>
          <w:szCs w:val="24"/>
        </w:rPr>
      </w:pPr>
    </w:p>
    <w:p w:rsidR="00DF7ACC" w:rsidRDefault="00DF7ACC" w:rsidP="00DF7ACC">
      <w:pPr>
        <w:pStyle w:val="corte4fondo"/>
        <w:ind w:right="51" w:firstLine="567"/>
        <w:rPr>
          <w:rFonts w:cs="Arial"/>
          <w:b/>
          <w:spacing w:val="-3"/>
          <w:sz w:val="24"/>
          <w:szCs w:val="24"/>
        </w:rPr>
      </w:pPr>
    </w:p>
    <w:p w:rsidR="00DF7ACC" w:rsidRPr="007B0581" w:rsidRDefault="00DF7ACC" w:rsidP="00DF7ACC">
      <w:pPr>
        <w:pStyle w:val="corte4fondo"/>
        <w:ind w:right="51" w:firstLine="567"/>
        <w:rPr>
          <w:rFonts w:cs="Arial"/>
          <w:b/>
          <w:spacing w:val="-3"/>
          <w:sz w:val="24"/>
          <w:szCs w:val="24"/>
        </w:rPr>
      </w:pPr>
    </w:p>
    <w:p w:rsidR="00DF7ACC" w:rsidRDefault="00DF7ACC" w:rsidP="00DF7ACC">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DF7ACC" w:rsidRPr="007B0581" w:rsidRDefault="00DF7ACC" w:rsidP="00DF7ACC">
      <w:pPr>
        <w:pStyle w:val="corte4fondo"/>
        <w:ind w:right="51" w:firstLine="567"/>
        <w:jc w:val="center"/>
        <w:rPr>
          <w:rFonts w:cs="Arial"/>
          <w:b/>
          <w:spacing w:val="-3"/>
          <w:sz w:val="24"/>
          <w:szCs w:val="24"/>
        </w:rPr>
      </w:pPr>
    </w:p>
    <w:p w:rsidR="00DF7ACC" w:rsidRPr="007B0581" w:rsidRDefault="00DF7ACC" w:rsidP="00DF7ACC">
      <w:pPr>
        <w:pStyle w:val="corte4fondo"/>
        <w:spacing w:line="240" w:lineRule="auto"/>
        <w:ind w:right="51" w:firstLine="567"/>
        <w:contextualSpacing/>
        <w:rPr>
          <w:rFonts w:cs="Arial"/>
          <w:bCs/>
          <w:sz w:val="24"/>
          <w:szCs w:val="24"/>
        </w:rPr>
      </w:pPr>
    </w:p>
    <w:p w:rsidR="00DF7ACC" w:rsidRPr="007B0581" w:rsidRDefault="00DF7ACC" w:rsidP="00DF7ACC">
      <w:pPr>
        <w:spacing w:line="360" w:lineRule="auto"/>
        <w:ind w:hanging="426"/>
        <w:jc w:val="both"/>
        <w:rPr>
          <w:rFonts w:ascii="Arial" w:hAnsi="Arial" w:cs="Arial"/>
          <w:sz w:val="24"/>
          <w:szCs w:val="24"/>
        </w:rPr>
      </w:pPr>
      <w:r w:rsidRPr="007B0581">
        <w:rPr>
          <w:rFonts w:ascii="Arial" w:hAnsi="Arial" w:cs="Arial"/>
          <w:b/>
          <w:sz w:val="24"/>
          <w:szCs w:val="24"/>
        </w:rPr>
        <w:lastRenderedPageBreak/>
        <w:t xml:space="preserve">      </w:t>
      </w:r>
      <w:r w:rsidRPr="007B0581">
        <w:rPr>
          <w:rFonts w:ascii="Arial" w:hAnsi="Arial" w:cs="Arial"/>
          <w:b/>
          <w:sz w:val="24"/>
          <w:szCs w:val="24"/>
        </w:rPr>
        <w:tab/>
      </w:r>
      <w:r w:rsidRPr="007B0581">
        <w:rPr>
          <w:rFonts w:ascii="Arial" w:hAnsi="Arial" w:cs="Arial"/>
          <w:b/>
          <w:sz w:val="24"/>
          <w:szCs w:val="24"/>
        </w:rPr>
        <w:tab/>
      </w:r>
      <w:r w:rsidRPr="00A05018">
        <w:rPr>
          <w:rFonts w:ascii="Arial" w:hAnsi="Arial" w:cs="Arial"/>
          <w:b/>
          <w:sz w:val="24"/>
          <w:szCs w:val="24"/>
        </w:rPr>
        <w:t>P</w:t>
      </w:r>
      <w:r w:rsidRPr="007B0581">
        <w:rPr>
          <w:rFonts w:ascii="Arial" w:hAnsi="Arial" w:cs="Arial"/>
          <w:b/>
          <w:sz w:val="24"/>
          <w:szCs w:val="24"/>
        </w:rPr>
        <w:t xml:space="preserve">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l Fiscal General del Estado</w:t>
      </w:r>
      <w:r w:rsidRPr="007B0581">
        <w:rPr>
          <w:rFonts w:ascii="Arial" w:hAnsi="Arial" w:cs="Arial"/>
          <w:sz w:val="24"/>
          <w:szCs w:val="24"/>
        </w:rPr>
        <w:t>, con fundamento en el artículo</w:t>
      </w:r>
      <w:r>
        <w:rPr>
          <w:rFonts w:ascii="Arial" w:hAnsi="Arial" w:cs="Arial"/>
          <w:sz w:val="24"/>
          <w:szCs w:val="24"/>
        </w:rPr>
        <w:t xml:space="preserve"> </w:t>
      </w:r>
      <w:r w:rsidRPr="007B0581">
        <w:rPr>
          <w:rFonts w:ascii="Arial" w:hAnsi="Arial" w:cs="Arial"/>
          <w:sz w:val="24"/>
          <w:szCs w:val="24"/>
        </w:rPr>
        <w:t>114 QUA</w:t>
      </w:r>
      <w:r>
        <w:rPr>
          <w:rFonts w:ascii="Arial" w:hAnsi="Arial" w:cs="Arial"/>
          <w:sz w:val="24"/>
          <w:szCs w:val="24"/>
        </w:rPr>
        <w:t>TER</w:t>
      </w:r>
      <w:r w:rsidRPr="007B0581">
        <w:rPr>
          <w:rFonts w:ascii="Arial" w:hAnsi="Arial" w:cs="Arial"/>
          <w:sz w:val="24"/>
          <w:szCs w:val="24"/>
        </w:rPr>
        <w:t xml:space="preserve"> de la Constitución Política del Estado Libre y Soberano de Oaxaca;</w:t>
      </w:r>
      <w:r>
        <w:rPr>
          <w:rFonts w:ascii="Arial" w:hAnsi="Arial" w:cs="Arial"/>
          <w:sz w:val="24"/>
          <w:szCs w:val="24"/>
        </w:rPr>
        <w:t xml:space="preserve"> 119,</w:t>
      </w:r>
      <w:r w:rsidRPr="007B0581">
        <w:rPr>
          <w:rFonts w:ascii="Arial" w:hAnsi="Arial" w:cs="Arial"/>
          <w:sz w:val="24"/>
          <w:szCs w:val="24"/>
        </w:rPr>
        <w:t xml:space="preserve"> 120, fracción I</w:t>
      </w:r>
      <w:r>
        <w:rPr>
          <w:rFonts w:ascii="Arial" w:hAnsi="Arial" w:cs="Arial"/>
          <w:sz w:val="24"/>
          <w:szCs w:val="24"/>
        </w:rPr>
        <w:t>, 123, 124</w:t>
      </w:r>
      <w:r w:rsidRPr="007B0581">
        <w:rPr>
          <w:rFonts w:ascii="Arial" w:hAnsi="Arial" w:cs="Arial"/>
          <w:sz w:val="24"/>
          <w:szCs w:val="24"/>
        </w:rPr>
        <w:t xml:space="preserve">, </w:t>
      </w:r>
      <w:r w:rsidRPr="00771CDD">
        <w:rPr>
          <w:rFonts w:ascii="Arial" w:hAnsi="Arial" w:cs="Arial"/>
          <w:sz w:val="24"/>
          <w:szCs w:val="24"/>
        </w:rPr>
        <w:t>132 fracciones</w:t>
      </w:r>
      <w:r w:rsidRPr="007B0581">
        <w:rPr>
          <w:rFonts w:ascii="Arial" w:hAnsi="Arial" w:cs="Arial"/>
          <w:sz w:val="24"/>
          <w:szCs w:val="24"/>
        </w:rPr>
        <w:t xml:space="preserve"> I y II, 133 </w:t>
      </w:r>
      <w:r w:rsidRPr="00CF6BC3">
        <w:rPr>
          <w:rFonts w:ascii="Arial" w:hAnsi="Arial" w:cs="Arial"/>
          <w:sz w:val="24"/>
          <w:szCs w:val="24"/>
        </w:rPr>
        <w:t>fracción III,</w:t>
      </w:r>
      <w:r w:rsidRPr="007B0581">
        <w:rPr>
          <w:rFonts w:ascii="Arial" w:hAnsi="Arial" w:cs="Arial"/>
          <w:sz w:val="24"/>
          <w:szCs w:val="24"/>
        </w:rPr>
        <w:t xml:space="preserve"> 146 y 147 de la Ley de Procedimiento y Justicia Administrativa para el Estado de Oaxaca. </w:t>
      </w:r>
    </w:p>
    <w:p w:rsidR="00DF7ACC" w:rsidRPr="007B0581" w:rsidRDefault="00DF7ACC" w:rsidP="00DF7ACC">
      <w:pPr>
        <w:spacing w:line="360" w:lineRule="auto"/>
        <w:jc w:val="both"/>
        <w:rPr>
          <w:rFonts w:ascii="Arial" w:hAnsi="Arial" w:cs="Arial"/>
          <w:sz w:val="24"/>
          <w:szCs w:val="24"/>
        </w:rPr>
      </w:pPr>
      <w:r w:rsidRPr="007B0581">
        <w:rPr>
          <w:rFonts w:ascii="Arial" w:hAnsi="Arial" w:cs="Arial"/>
          <w:sz w:val="24"/>
          <w:szCs w:val="24"/>
        </w:rPr>
        <w:t xml:space="preserve"> </w:t>
      </w:r>
    </w:p>
    <w:p w:rsidR="00DF7ACC" w:rsidRDefault="00DF7ACC" w:rsidP="00DF7ACC">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 </w:t>
      </w:r>
      <w:r>
        <w:rPr>
          <w:rFonts w:ascii="Arial" w:hAnsi="Arial" w:cs="Arial"/>
          <w:sz w:val="24"/>
          <w:szCs w:val="24"/>
        </w:rPr>
        <w:t>la de la autoridad demandada,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w:t>
      </w:r>
      <w:r w:rsidRPr="007B0581">
        <w:rPr>
          <w:rFonts w:ascii="Arial" w:hAnsi="Arial" w:cs="Arial"/>
          <w:sz w:val="24"/>
          <w:szCs w:val="24"/>
        </w:rPr>
        <w:t xml:space="preserve">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r w:rsidRPr="007B0581">
        <w:rPr>
          <w:rFonts w:ascii="Arial" w:hAnsi="Arial" w:cs="Arial"/>
          <w:sz w:val="24"/>
          <w:szCs w:val="24"/>
        </w:rPr>
        <w:t xml:space="preserve"> </w:t>
      </w:r>
    </w:p>
    <w:p w:rsidR="00DF7ACC" w:rsidRPr="007B0581" w:rsidRDefault="00DF7ACC" w:rsidP="00DF7ACC">
      <w:pPr>
        <w:spacing w:line="360" w:lineRule="auto"/>
        <w:ind w:right="51" w:firstLine="709"/>
        <w:jc w:val="both"/>
        <w:rPr>
          <w:rFonts w:ascii="Arial" w:hAnsi="Arial" w:cs="Arial"/>
          <w:sz w:val="24"/>
          <w:szCs w:val="24"/>
        </w:rPr>
      </w:pPr>
    </w:p>
    <w:p w:rsidR="00DF7ACC" w:rsidRPr="00B573F7" w:rsidRDefault="00DF7ACC" w:rsidP="00DF7ACC">
      <w:pPr>
        <w:autoSpaceDE w:val="0"/>
        <w:autoSpaceDN w:val="0"/>
        <w:adjustRightInd w:val="0"/>
        <w:spacing w:line="360" w:lineRule="auto"/>
        <w:jc w:val="both"/>
        <w:rPr>
          <w:rFonts w:ascii="Arial" w:hAnsi="Arial" w:cs="Arial"/>
          <w:bCs/>
          <w:sz w:val="24"/>
          <w:szCs w:val="24"/>
        </w:rPr>
      </w:pPr>
      <w:r w:rsidRPr="007B0581">
        <w:rPr>
          <w:rFonts w:cs="Arial"/>
          <w:sz w:val="24"/>
          <w:szCs w:val="24"/>
        </w:rPr>
        <w:tab/>
      </w:r>
      <w:r w:rsidRPr="00D10895">
        <w:rPr>
          <w:rFonts w:ascii="Arial" w:hAnsi="Arial" w:cs="Arial"/>
          <w:b/>
          <w:sz w:val="24"/>
          <w:szCs w:val="24"/>
        </w:rPr>
        <w:t>TERCE</w:t>
      </w:r>
      <w:r w:rsidRPr="002E79F8">
        <w:rPr>
          <w:rFonts w:ascii="Arial" w:hAnsi="Arial" w:cs="Arial"/>
          <w:b/>
          <w:sz w:val="24"/>
          <w:szCs w:val="24"/>
        </w:rPr>
        <w:t>RO.-</w:t>
      </w:r>
      <w:r w:rsidRPr="002E79F8">
        <w:rPr>
          <w:rFonts w:ascii="Arial" w:hAnsi="Arial" w:cs="Arial"/>
          <w:sz w:val="24"/>
          <w:szCs w:val="24"/>
        </w:rPr>
        <w:t xml:space="preserve"> </w:t>
      </w:r>
      <w:r w:rsidRPr="00B573F7">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B573F7">
        <w:rPr>
          <w:rFonts w:ascii="Arial" w:hAnsi="Arial" w:cs="Arial"/>
          <w:b/>
          <w:bCs/>
          <w:sz w:val="24"/>
          <w:szCs w:val="24"/>
        </w:rPr>
        <w:t xml:space="preserve">NO SE SOBRESEE </w:t>
      </w:r>
      <w:r w:rsidRPr="00B573F7">
        <w:rPr>
          <w:rFonts w:ascii="Arial" w:hAnsi="Arial" w:cs="Arial"/>
          <w:sz w:val="24"/>
          <w:szCs w:val="24"/>
        </w:rPr>
        <w:t>el presente juicio.</w:t>
      </w:r>
    </w:p>
    <w:p w:rsidR="00DF7ACC" w:rsidRPr="007B0581" w:rsidRDefault="00DF7ACC" w:rsidP="00DF7ACC">
      <w:pPr>
        <w:pStyle w:val="corte4fondo"/>
        <w:ind w:right="51" w:firstLine="567"/>
        <w:rPr>
          <w:rFonts w:cs="Arial"/>
          <w:sz w:val="24"/>
          <w:szCs w:val="24"/>
        </w:rPr>
      </w:pPr>
    </w:p>
    <w:p w:rsidR="00DF7ACC" w:rsidRDefault="00DF7ACC" w:rsidP="00DF7ACC">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DF7ACC" w:rsidRPr="007B0581" w:rsidRDefault="00DF7ACC" w:rsidP="00DF7ACC">
      <w:pPr>
        <w:spacing w:line="360" w:lineRule="auto"/>
        <w:jc w:val="both"/>
        <w:rPr>
          <w:rFonts w:ascii="Arial" w:hAnsi="Arial" w:cs="Arial"/>
          <w:sz w:val="24"/>
          <w:szCs w:val="24"/>
        </w:rPr>
      </w:pPr>
    </w:p>
    <w:p w:rsidR="00DF7ACC" w:rsidRDefault="00DF7ACC" w:rsidP="00DF7ACC">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DF7ACC" w:rsidRPr="007B0581" w:rsidRDefault="00DF7ACC" w:rsidP="00DF7ACC">
      <w:pPr>
        <w:pStyle w:val="Textonotapie"/>
        <w:widowControl w:val="0"/>
        <w:spacing w:line="360" w:lineRule="auto"/>
        <w:ind w:firstLine="708"/>
        <w:jc w:val="both"/>
        <w:rPr>
          <w:rFonts w:ascii="Arial" w:hAnsi="Arial" w:cs="Arial"/>
          <w:sz w:val="24"/>
          <w:szCs w:val="24"/>
          <w:lang w:eastAsia="es-MX"/>
        </w:rPr>
      </w:pPr>
    </w:p>
    <w:p w:rsidR="00DF7ACC" w:rsidRDefault="00DF7ACC" w:rsidP="00DF7ACC">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w:t>
      </w:r>
      <w:r w:rsidRPr="007B0581">
        <w:rPr>
          <w:rFonts w:ascii="Arial" w:hAnsi="Arial" w:cs="Arial"/>
          <w:b/>
          <w:sz w:val="24"/>
          <w:szCs w:val="24"/>
          <w:lang w:eastAsia="es-MX"/>
        </w:rPr>
        <w:lastRenderedPageBreak/>
        <w:t>SENTENCIAS DE AMPARO ES INNECESARIA SU TRANSCRIPCIÓN.”</w:t>
      </w:r>
    </w:p>
    <w:p w:rsidR="00DF7ACC" w:rsidRDefault="00DF7ACC" w:rsidP="00DF7ACC">
      <w:pPr>
        <w:pStyle w:val="Textonotapie"/>
        <w:widowControl w:val="0"/>
        <w:spacing w:line="360" w:lineRule="auto"/>
        <w:ind w:left="1701" w:right="1469"/>
        <w:jc w:val="both"/>
        <w:rPr>
          <w:rFonts w:ascii="Arial" w:hAnsi="Arial" w:cs="Arial"/>
          <w:b/>
          <w:sz w:val="24"/>
          <w:szCs w:val="24"/>
          <w:lang w:eastAsia="es-MX"/>
        </w:rPr>
      </w:pPr>
    </w:p>
    <w:p w:rsidR="00DF7ACC" w:rsidRDefault="00DF7ACC" w:rsidP="00DF7ACC">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 </w:t>
      </w:r>
      <w:r w:rsidRPr="00A85393">
        <w:rPr>
          <w:rFonts w:ascii="Arial" w:hAnsi="Arial" w:cs="Arial"/>
          <w:sz w:val="24"/>
          <w:szCs w:val="24"/>
        </w:rPr>
        <w:t xml:space="preserve">demandó la nulidad contra la resolución dictada dentro del expediente administrativo número </w:t>
      </w:r>
      <w:r>
        <w:rPr>
          <w:rFonts w:cs="Arial"/>
          <w:b/>
          <w:sz w:val="24"/>
          <w:szCs w:val="24"/>
        </w:rPr>
        <w:t>**********</w:t>
      </w:r>
      <w:r>
        <w:rPr>
          <w:rFonts w:ascii="Arial" w:hAnsi="Arial" w:cs="Arial"/>
          <w:sz w:val="24"/>
          <w:szCs w:val="24"/>
        </w:rPr>
        <w:t>, emitida por el Fiscal General del Estado de Oaxaca.</w:t>
      </w:r>
    </w:p>
    <w:p w:rsidR="00DF7ACC" w:rsidRDefault="00DF7ACC" w:rsidP="00DF7ACC">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DF7ACC" w:rsidRDefault="00DF7ACC" w:rsidP="00DF7ACC">
      <w:pPr>
        <w:spacing w:line="360" w:lineRule="auto"/>
        <w:ind w:firstLine="708"/>
        <w:jc w:val="both"/>
        <w:rPr>
          <w:rFonts w:ascii="Arial" w:hAnsi="Arial" w:cs="Arial"/>
          <w:sz w:val="24"/>
          <w:szCs w:val="24"/>
        </w:rPr>
      </w:pPr>
      <w:r w:rsidRPr="00A85393">
        <w:rPr>
          <w:rFonts w:ascii="Arial" w:hAnsi="Arial" w:cs="Arial"/>
          <w:sz w:val="24"/>
          <w:szCs w:val="24"/>
        </w:rPr>
        <w:t>Por su parte, la autoridad demandada, indica</w:t>
      </w:r>
      <w:r>
        <w:rPr>
          <w:rFonts w:ascii="Arial" w:hAnsi="Arial" w:cs="Arial"/>
          <w:sz w:val="24"/>
          <w:szCs w:val="24"/>
        </w:rPr>
        <w:t xml:space="preserve"> que la parte actora no hizo valer conceptos de impugnación en contra de la resolución impugnada.</w:t>
      </w:r>
    </w:p>
    <w:p w:rsidR="00DF7ACC" w:rsidRDefault="00DF7ACC" w:rsidP="00DF7ACC">
      <w:pPr>
        <w:spacing w:line="360" w:lineRule="auto"/>
        <w:ind w:firstLine="708"/>
        <w:jc w:val="both"/>
        <w:rPr>
          <w:rFonts w:ascii="Arial" w:hAnsi="Arial" w:cs="Arial"/>
          <w:sz w:val="24"/>
          <w:szCs w:val="24"/>
        </w:rPr>
      </w:pP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r>
        <w:rPr>
          <w:rFonts w:ascii="Arial" w:hAnsi="Arial" w:cs="Arial"/>
          <w:bCs/>
          <w:sz w:val="24"/>
          <w:szCs w:val="24"/>
        </w:rPr>
        <w:t xml:space="preserve">           </w:t>
      </w: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w:t>
      </w:r>
      <w:r>
        <w:rPr>
          <w:rFonts w:ascii="Arial" w:hAnsi="Arial" w:cs="Arial"/>
          <w:sz w:val="24"/>
          <w:szCs w:val="24"/>
        </w:rPr>
        <w:t xml:space="preserve">del estudio de </w:t>
      </w:r>
      <w:r w:rsidRPr="0017483C">
        <w:rPr>
          <w:rFonts w:ascii="Arial" w:hAnsi="Arial" w:cs="Arial"/>
          <w:sz w:val="24"/>
          <w:szCs w:val="24"/>
        </w:rPr>
        <w:t>la resolución</w:t>
      </w:r>
      <w:r>
        <w:rPr>
          <w:rFonts w:ascii="Arial" w:hAnsi="Arial" w:cs="Arial"/>
          <w:sz w:val="24"/>
          <w:szCs w:val="24"/>
        </w:rPr>
        <w:t xml:space="preserve"> de tres de octubre de dos mil dieciocho, dictada dentro del expediente administrativo número </w:t>
      </w:r>
      <w:r>
        <w:rPr>
          <w:rFonts w:cs="Arial"/>
          <w:b/>
          <w:sz w:val="24"/>
          <w:szCs w:val="24"/>
        </w:rPr>
        <w:t>**********</w:t>
      </w:r>
      <w:r>
        <w:rPr>
          <w:rFonts w:cs="Arial"/>
          <w:b/>
          <w:sz w:val="24"/>
          <w:szCs w:val="24"/>
        </w:rPr>
        <w:t xml:space="preserve"> </w:t>
      </w:r>
      <w:r>
        <w:rPr>
          <w:rFonts w:ascii="Arial" w:hAnsi="Arial" w:cs="Arial"/>
          <w:sz w:val="24"/>
          <w:szCs w:val="24"/>
        </w:rPr>
        <w:t xml:space="preserve">, mediante la cual, se ordenó de manera inmediata y definitiva la remoción del cargo de </w:t>
      </w:r>
      <w:r>
        <w:rPr>
          <w:rFonts w:cs="Arial"/>
          <w:b/>
          <w:sz w:val="24"/>
          <w:szCs w:val="24"/>
        </w:rPr>
        <w:t>**********</w:t>
      </w:r>
      <w:r>
        <w:rPr>
          <w:rFonts w:cs="Arial"/>
          <w:b/>
          <w:sz w:val="24"/>
          <w:szCs w:val="24"/>
        </w:rPr>
        <w:t xml:space="preserve"> </w:t>
      </w:r>
      <w:r>
        <w:rPr>
          <w:rFonts w:ascii="Arial" w:hAnsi="Arial" w:cs="Arial"/>
          <w:sz w:val="24"/>
          <w:szCs w:val="24"/>
        </w:rPr>
        <w:t xml:space="preserve">como Perito fotógrafa de la Fiscalía General del Estado de Oaxaca, consecuentemente la conclusión del servicio civil de carrera; y toda vez que la actora en su escrito inicial de demanda en el apartado de conceptos de impugnación no señaló concepto alguno, esta juzgadora </w:t>
      </w:r>
      <w:r w:rsidRPr="00A85393">
        <w:rPr>
          <w:rFonts w:ascii="Arial" w:hAnsi="Arial" w:cs="Arial"/>
          <w:sz w:val="24"/>
          <w:szCs w:val="24"/>
        </w:rPr>
        <w:t>de oficio</w:t>
      </w:r>
      <w:r>
        <w:rPr>
          <w:rFonts w:ascii="Arial" w:hAnsi="Arial" w:cs="Arial"/>
          <w:sz w:val="24"/>
          <w:szCs w:val="24"/>
        </w:rPr>
        <w:t xml:space="preserve"> procede a entrar al estudio del asunto; en ese sentido se </w:t>
      </w:r>
      <w:r w:rsidRPr="00A85393">
        <w:rPr>
          <w:rFonts w:ascii="Arial" w:hAnsi="Arial" w:cs="Arial"/>
          <w:sz w:val="24"/>
          <w:szCs w:val="24"/>
        </w:rPr>
        <w:t>advierte</w:t>
      </w:r>
      <w:r>
        <w:rPr>
          <w:rFonts w:ascii="Arial" w:hAnsi="Arial" w:cs="Arial"/>
          <w:sz w:val="24"/>
          <w:szCs w:val="24"/>
        </w:rPr>
        <w:t xml:space="preserve"> que primeramente quien inició la investigación, fue el Visitador General de la Fiscalía General del Estado, misma que fue realizada el trece de noviembre de dos mil diecisiete, mediante oficio </w:t>
      </w:r>
      <w:r>
        <w:rPr>
          <w:rFonts w:cs="Arial"/>
          <w:b/>
          <w:sz w:val="24"/>
          <w:szCs w:val="24"/>
        </w:rPr>
        <w:t>**********</w:t>
      </w:r>
      <w:r>
        <w:rPr>
          <w:rFonts w:cs="Arial"/>
          <w:b/>
          <w:sz w:val="24"/>
          <w:szCs w:val="24"/>
        </w:rPr>
        <w:t xml:space="preserve"> </w:t>
      </w:r>
      <w:r>
        <w:rPr>
          <w:rFonts w:ascii="Arial" w:hAnsi="Arial" w:cs="Arial"/>
          <w:sz w:val="24"/>
          <w:szCs w:val="24"/>
        </w:rPr>
        <w:t xml:space="preserve">visible a foja 32, mediante el cual informó a la Agente del Ministerio Público de la Mesa Uno Adscrita a la Visitaduría General 1) que inicio el procedimiento administrativo con el número </w:t>
      </w:r>
      <w:r>
        <w:rPr>
          <w:rFonts w:cs="Arial"/>
          <w:b/>
          <w:sz w:val="24"/>
          <w:szCs w:val="24"/>
        </w:rPr>
        <w:t>**********</w:t>
      </w:r>
      <w:r>
        <w:rPr>
          <w:rFonts w:ascii="Arial" w:hAnsi="Arial" w:cs="Arial"/>
          <w:sz w:val="24"/>
          <w:szCs w:val="24"/>
        </w:rPr>
        <w:t xml:space="preserve"> en contra de </w:t>
      </w:r>
      <w:r>
        <w:rPr>
          <w:rFonts w:cs="Arial"/>
          <w:b/>
          <w:sz w:val="24"/>
          <w:szCs w:val="24"/>
        </w:rPr>
        <w:t>**********</w:t>
      </w:r>
      <w:r>
        <w:rPr>
          <w:rFonts w:ascii="Arial" w:hAnsi="Arial" w:cs="Arial"/>
          <w:sz w:val="24"/>
          <w:szCs w:val="24"/>
        </w:rPr>
        <w:t>, por los hechos probablemente constitutivos de infracciones del régimen disciplinario, 2) se practicaran todas las diligencias pertinentes para acreditar los hechos probablemente constitutivos de infracciones del régimen disciplinario y en su oportunidad se resolviera lo que en derecho procediera, en atención a ello, se recabaron diversas documentales para obtener información y con ello tener la certeza respecto a la causal de infracciones del régimen disciplinario, finalmente como se observa a fojas 103 a 111 la Agente del Ministerio Público Titular de la Mesa Uno Adscrita a la Visitaduría General, presento formalmente la queja en cumplimiento a lo estipulado en el artículo 84, de la Ley Orgánica de la Fiscalía General del Estado.</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p>
    <w:p w:rsidR="00DF7ACC" w:rsidRDefault="00DF7ACC" w:rsidP="00DF7ACC">
      <w:pPr>
        <w:pStyle w:val="Sangradetextonormal2"/>
        <w:tabs>
          <w:tab w:val="left" w:pos="567"/>
        </w:tabs>
        <w:spacing w:line="360" w:lineRule="auto"/>
        <w:ind w:right="51" w:firstLine="0"/>
        <w:jc w:val="both"/>
        <w:rPr>
          <w:rFonts w:ascii="Arial" w:hAnsi="Arial" w:cs="Arial"/>
          <w:sz w:val="24"/>
          <w:szCs w:val="24"/>
        </w:rPr>
      </w:pPr>
      <w:r>
        <w:rPr>
          <w:rFonts w:ascii="Arial" w:hAnsi="Arial" w:cs="Arial"/>
          <w:sz w:val="24"/>
          <w:szCs w:val="24"/>
        </w:rPr>
        <w:tab/>
        <w:t xml:space="preserve">Ahora bien, el siguiente paso, determina que dicha queja debe recepcionarse por el Consejo Local, entendiéndose como Consejo Local al Consejo Local de Profesionalización al que hace referencia el artículo 192 del Reglamento del </w:t>
      </w:r>
      <w:r>
        <w:rPr>
          <w:rFonts w:ascii="Arial" w:hAnsi="Arial" w:cs="Arial"/>
          <w:sz w:val="24"/>
          <w:szCs w:val="24"/>
        </w:rPr>
        <w:lastRenderedPageBreak/>
        <w:t>Servicio Civil de Carrera de la Fiscalía General del Estado, en el que dicho Consejo creará la Comisión Disciplinaria y de Permanencia, siendo dicha comisión la que recepcionará la queja y notificará al servidor público  la audiencia respectiva en la que la presunta infractora podrá ofrecer pruebas y manifestar lo que a su derecho convenga y, en el presente caso, fue la Agente del Ministerio Público Titular de la Mesa uno Adscrita a la Visitaduría General quien en acuerdo de veintiséis de enero de dos mil dieciocho, visible a fojas 103 a 111, en conjunto con la secretaria, firmaron dicha actuación, y posteriormente por proveído de diecisiete de febrero de dos mil dieciocho se señalaron las doce horas del día veintisiete siguiente para la celebración de la audiencia de ley, conforme lo indica la ley aplicable, sin embargo, si bien no fue la Comisión a que hemos aludido, esto no genera incompetencia dado que la autoridad demandada en su contestación de demanda visible a fojas 146 a 161, refiere que, efectivamente, el procedimiento que se instaure a los miembros del servicio para efectos de la sanción correspondiente así como lo estipulado en el artículo 85 de la Ley Orgánica de la Fiscalía General del Estado, donde estatuye que la autoridad competente para substanciar dicho procedimiento es el Consejo Local, a través de la Comisión respectiva, lo que se verifica con lo estipulado en el artículo 220 del Reglamento del Servicio Civil de Carrera de la Fiscalía General del Estado, donde establece que le corresponde a la Comisión resolver en definitiva los procedimientos instaurados en contra de los miembros del servicio, acorde a los artículos PRIMERO Y SÉPTIMO Transitorios del Reglamento citado establecen lo siguiente:</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p>
    <w:p w:rsidR="00DF7ACC" w:rsidRPr="001A3E64" w:rsidRDefault="00DF7ACC" w:rsidP="00DF7ACC">
      <w:pPr>
        <w:pStyle w:val="Sangradetextonormal2"/>
        <w:tabs>
          <w:tab w:val="left" w:pos="567"/>
        </w:tabs>
        <w:spacing w:line="360" w:lineRule="auto"/>
        <w:ind w:right="51" w:firstLine="0"/>
        <w:jc w:val="both"/>
        <w:rPr>
          <w:rFonts w:ascii="Arial" w:hAnsi="Arial" w:cs="Arial"/>
          <w:i/>
          <w:iCs/>
          <w:sz w:val="24"/>
          <w:szCs w:val="24"/>
        </w:rPr>
      </w:pPr>
      <w:r>
        <w:rPr>
          <w:rFonts w:ascii="Arial" w:hAnsi="Arial" w:cs="Arial"/>
          <w:i/>
          <w:iCs/>
          <w:sz w:val="24"/>
          <w:szCs w:val="24"/>
        </w:rPr>
        <w:tab/>
      </w:r>
      <w:r w:rsidRPr="001A3E64">
        <w:rPr>
          <w:rFonts w:ascii="Arial" w:hAnsi="Arial" w:cs="Arial"/>
          <w:i/>
          <w:iCs/>
          <w:sz w:val="24"/>
          <w:szCs w:val="24"/>
        </w:rPr>
        <w:t>“PRIMERO. El presente Reglamento entrará en vigor al día siguiente de su publicación en el Periódico Oficial del Gobierno del Estado de Oaxaca, salvo lo previsto en los artículos transitorios siguientes.</w:t>
      </w:r>
    </w:p>
    <w:p w:rsidR="00DF7ACC" w:rsidRPr="001A3E64" w:rsidRDefault="00DF7ACC" w:rsidP="00DF7ACC">
      <w:pPr>
        <w:pStyle w:val="Sangradetextonormal2"/>
        <w:tabs>
          <w:tab w:val="left" w:pos="2041"/>
        </w:tabs>
        <w:spacing w:line="360" w:lineRule="auto"/>
        <w:ind w:right="51" w:firstLine="0"/>
        <w:jc w:val="both"/>
        <w:rPr>
          <w:rFonts w:ascii="Arial" w:hAnsi="Arial" w:cs="Arial"/>
          <w:i/>
          <w:iCs/>
          <w:sz w:val="24"/>
          <w:szCs w:val="24"/>
        </w:rPr>
      </w:pPr>
    </w:p>
    <w:p w:rsidR="00DF7ACC" w:rsidRPr="001A3E64" w:rsidRDefault="00DF7ACC" w:rsidP="00DF7ACC">
      <w:pPr>
        <w:pStyle w:val="Sangradetextonormal2"/>
        <w:tabs>
          <w:tab w:val="left" w:pos="567"/>
        </w:tabs>
        <w:spacing w:line="360" w:lineRule="auto"/>
        <w:ind w:right="51" w:firstLine="0"/>
        <w:jc w:val="both"/>
        <w:rPr>
          <w:rFonts w:ascii="Arial" w:hAnsi="Arial" w:cs="Arial"/>
          <w:i/>
          <w:iCs/>
          <w:sz w:val="24"/>
          <w:szCs w:val="24"/>
        </w:rPr>
      </w:pPr>
      <w:r>
        <w:rPr>
          <w:rFonts w:ascii="Arial" w:hAnsi="Arial" w:cs="Arial"/>
          <w:i/>
          <w:iCs/>
          <w:sz w:val="24"/>
          <w:szCs w:val="24"/>
        </w:rPr>
        <w:tab/>
      </w:r>
      <w:r w:rsidRPr="001A3E64">
        <w:rPr>
          <w:rFonts w:ascii="Arial" w:hAnsi="Arial" w:cs="Arial"/>
          <w:i/>
          <w:iCs/>
          <w:sz w:val="24"/>
          <w:szCs w:val="24"/>
        </w:rPr>
        <w:t>SÉPTIMO. Instaurado formalmente el Consejo, deberá proceder inmediatamente a emitir mediante acuerdo el plan de implementación gradual de todos los aspectos previstos en el presente Reglamento hasta su realización total.”</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p>
    <w:p w:rsidR="00DF7ACC" w:rsidRDefault="00DF7ACC" w:rsidP="00DF7ACC">
      <w:pPr>
        <w:pStyle w:val="Sangradetextonormal2"/>
        <w:tabs>
          <w:tab w:val="left" w:pos="567"/>
        </w:tabs>
        <w:spacing w:line="360" w:lineRule="auto"/>
        <w:ind w:right="51" w:firstLine="0"/>
        <w:jc w:val="both"/>
        <w:rPr>
          <w:rFonts w:ascii="Arial" w:hAnsi="Arial" w:cs="Arial"/>
          <w:sz w:val="24"/>
          <w:szCs w:val="24"/>
        </w:rPr>
      </w:pPr>
      <w:r>
        <w:rPr>
          <w:rFonts w:ascii="Arial" w:hAnsi="Arial" w:cs="Arial"/>
          <w:sz w:val="24"/>
          <w:szCs w:val="24"/>
        </w:rPr>
        <w:tab/>
        <w:t>Respecto al procedimiento ante la Comisión a que se refiere el Titulo Cuarto, Capitulo III del presente Reglamento, su realización se regulará de igual forma mediante el plan de implementación gradual que emita el Consejo. En tanto los procedimientos que se encuentren en trámite ante la Visitaduría, continuarán su sustanciación de conformidad con la legislación aplicable en el momento del inicio de los mismos.</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p>
    <w:p w:rsidR="00DF7ACC" w:rsidRDefault="00DF7ACC" w:rsidP="00DF7ACC">
      <w:pPr>
        <w:pStyle w:val="Sangradetextonormal2"/>
        <w:tabs>
          <w:tab w:val="left" w:pos="567"/>
        </w:tabs>
        <w:spacing w:line="360" w:lineRule="auto"/>
        <w:ind w:right="51" w:firstLine="0"/>
        <w:jc w:val="both"/>
        <w:rPr>
          <w:rFonts w:ascii="Arial" w:hAnsi="Arial" w:cs="Arial"/>
          <w:sz w:val="24"/>
          <w:szCs w:val="24"/>
        </w:rPr>
      </w:pPr>
      <w:r>
        <w:rPr>
          <w:rFonts w:ascii="Arial" w:hAnsi="Arial" w:cs="Arial"/>
          <w:sz w:val="24"/>
          <w:szCs w:val="24"/>
        </w:rPr>
        <w:tab/>
        <w:t xml:space="preserve">Continúa argumentando la demandada y haciendo referencia en la resolución </w:t>
      </w:r>
      <w:r>
        <w:rPr>
          <w:rFonts w:ascii="Arial" w:hAnsi="Arial" w:cs="Arial"/>
          <w:sz w:val="24"/>
          <w:szCs w:val="24"/>
        </w:rPr>
        <w:lastRenderedPageBreak/>
        <w:t>de tres de octubre de dos mil dieciocho, que con fecha veintiuno de noviembre de dos mil quince, se publicó en el Periódico Oficial del Estado el Reglamento del Servicio Civil de Carrera de la Fiscalía General del Estado, por lo que el veintidós de noviembre de dos mil quince entró en vigencia dicho ordenamiento, dado que los transitorios antes invocados establecen que una vez instalado el Consejo, deberá emitir el plan de implementación gradual, en el que también se regulará el procedimiento a seguir ante dicha comisión, por ello el treinta de enero de dos mil dieciséis, publicó en el Periódico Oficial del Estado, el Acta de Inicio y Clausura de la Sesión Solemne de Instalación del Consejo Local de Profesionalización de la Fiscalía General del Estado e Inicio de Funciones y Toma de Protesta a los Integrantes del Consejo, misma que se realizó el diecisiete de diciembre de dos mil quince, en la que se realizó la Declaración Formal de la Instalación y Clausura de dicho Consejo, la Comisión de Permanencia y Disciplina, sin embargo hasta la fecha de emisión de la resolución correspondiente, no se ha emitido el plan de implementación gradual, por lo que resulta correcto que se siga el procedimiento ante la Visitaduría como lo indica el tercer párrafo del artículo SÉPTIMO transitorio del Multicitado Reglamento, no obstante, esta sala considera correcto realizar un análisis de la fundamentación de la competencia con la cual se resolvió el procedimiento de responsabilidad antes citado, esto es así, por tratarse de cuestiones de orden público por así establecerlo el último párrafo del artículo 208 de la Ley de Procedimiento y Justicia Administrativa para el Estado de Oaxaca.</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p>
    <w:p w:rsidR="00DF7ACC" w:rsidRDefault="00DF7ACC" w:rsidP="00DF7ACC">
      <w:pPr>
        <w:pStyle w:val="Sangradetextonormal2"/>
        <w:tabs>
          <w:tab w:val="left" w:pos="567"/>
        </w:tabs>
        <w:spacing w:line="360" w:lineRule="auto"/>
        <w:ind w:right="51" w:firstLine="0"/>
        <w:jc w:val="both"/>
        <w:rPr>
          <w:rFonts w:ascii="Arial" w:hAnsi="Arial" w:cs="Arial"/>
          <w:sz w:val="24"/>
          <w:szCs w:val="24"/>
          <w:highlight w:val="yellow"/>
        </w:rPr>
      </w:pPr>
      <w:r>
        <w:rPr>
          <w:rFonts w:ascii="Arial" w:hAnsi="Arial" w:cs="Arial"/>
          <w:sz w:val="24"/>
          <w:szCs w:val="24"/>
        </w:rPr>
        <w:tab/>
        <w:t xml:space="preserve">En atención a lo anterior, la autoridad demandada fundamenta su competencia en los artículos 21 y 123 apartado B, fracción XIII, segundo párrafo de la </w:t>
      </w:r>
      <w:r w:rsidRPr="003E76CE">
        <w:rPr>
          <w:rFonts w:ascii="Arial" w:hAnsi="Arial" w:cs="Arial"/>
          <w:sz w:val="24"/>
          <w:szCs w:val="24"/>
        </w:rPr>
        <w:t>Constitución Política de los Estados Unidos Mexicanos, 3, 6 y 20, párrafo primero y sexto transitorio segundo párrafo de la Ley Orgánica de la Fiscalía General del Estado.</w:t>
      </w:r>
    </w:p>
    <w:p w:rsidR="00DF7ACC" w:rsidRDefault="00DF7ACC" w:rsidP="00DF7ACC">
      <w:pPr>
        <w:pStyle w:val="Sangradetextonormal2"/>
        <w:tabs>
          <w:tab w:val="left" w:pos="2041"/>
        </w:tabs>
        <w:spacing w:line="360" w:lineRule="auto"/>
        <w:ind w:right="51" w:firstLine="0"/>
        <w:jc w:val="both"/>
        <w:rPr>
          <w:rFonts w:ascii="Arial" w:hAnsi="Arial" w:cs="Arial"/>
          <w:sz w:val="24"/>
          <w:szCs w:val="24"/>
          <w:highlight w:val="yellow"/>
        </w:rPr>
      </w:pPr>
    </w:p>
    <w:p w:rsidR="00DF7ACC" w:rsidRDefault="00DF7ACC" w:rsidP="00DF7ACC">
      <w:pPr>
        <w:pStyle w:val="Sangradetextonormal2"/>
        <w:tabs>
          <w:tab w:val="left" w:pos="567"/>
        </w:tabs>
        <w:spacing w:line="360" w:lineRule="auto"/>
        <w:ind w:right="51" w:firstLine="0"/>
        <w:jc w:val="both"/>
        <w:rPr>
          <w:rFonts w:ascii="Arial" w:hAnsi="Arial" w:cs="Arial"/>
          <w:i/>
          <w:sz w:val="24"/>
          <w:szCs w:val="24"/>
        </w:rPr>
      </w:pPr>
      <w:r>
        <w:rPr>
          <w:rFonts w:ascii="Arial" w:hAnsi="Arial" w:cs="Arial"/>
          <w:i/>
          <w:sz w:val="24"/>
          <w:szCs w:val="24"/>
        </w:rPr>
        <w:tab/>
      </w:r>
      <w:r w:rsidRPr="00FE781A">
        <w:rPr>
          <w:rFonts w:ascii="Arial" w:hAnsi="Arial" w:cs="Arial"/>
          <w:i/>
          <w:sz w:val="24"/>
          <w:szCs w:val="24"/>
        </w:rPr>
        <w:t xml:space="preserve">“Artículo 3. 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 </w:t>
      </w:r>
    </w:p>
    <w:p w:rsidR="00DF7ACC" w:rsidRPr="00FE781A" w:rsidRDefault="00DF7ACC" w:rsidP="00DF7ACC">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 xml:space="preserve">El Ministerio Público es el órgano público autónomo, único e indivisible, con independencia técnica, que ejerce sus atribuciones, facultades y funciones con pleno respeto a los derechos humanos y se rige por los principios de buena fe, autonomía, certeza, legalidad, objetividad, pluriculturalidad, imparcialidad, eficacia, honradez y profesionalismo; ejerce la dirección de la investigación y persecución de los delitos del orden común ante los tribunales y, para el efecto, solicitará </w:t>
      </w:r>
      <w:r w:rsidRPr="00FE781A">
        <w:rPr>
          <w:rFonts w:ascii="Arial" w:hAnsi="Arial" w:cs="Arial"/>
          <w:i/>
          <w:sz w:val="24"/>
          <w:szCs w:val="24"/>
        </w:rPr>
        <w:lastRenderedPageBreak/>
        <w:t>medidas cautelares; buscará y presentará datos y elementos de prueba que acrediten la participación de los imputados en los hechos que las leyes señalen como delito; dirigirá las actuaciones de las policías; procurará que los juicios en materia penal se sigan con regularidad para que la impartición de justicia sea pronta y expedita; pedirá la imposición de las penas; e intervendrá en todos los asuntos que la ley determine. El Ministerio Público tiene a su cargo ejercer la representación y defensa de los intereses de la sociedad en general y, de conformidad con las disposiciones aplicables, de la víctima u ofendido del delito.</w:t>
      </w:r>
    </w:p>
    <w:p w:rsidR="00DF7ACC" w:rsidRPr="00FE781A" w:rsidRDefault="00DF7ACC" w:rsidP="00DF7ACC">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Para la investigación de los delitos, competencia del Ministerio Público, las policías actuarán en los términos señalados en el artículo 21 de la Constitución Política de los Estados Unidos Mexicanos, bajo su conducción y mando.</w:t>
      </w:r>
    </w:p>
    <w:p w:rsidR="00DF7ACC" w:rsidRPr="00FE781A" w:rsidRDefault="00DF7ACC" w:rsidP="00DF7ACC">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Artículo 6. La titularidad de la Fiscalía General del Estado corresponde al Fiscal General, quien preside la Institución del Ministerio Público y le compete el ejercicio originario de las facultades, atribuciones y funciones que le otorgan a la Fiscalía General y al Ministerio Público, la Constitución Federal, la Constitución Estatal, esta Ley Orgánica y las demás disposiciones aplicables.</w:t>
      </w:r>
    </w:p>
    <w:p w:rsidR="00DF7ACC" w:rsidRPr="00FE781A" w:rsidRDefault="00DF7ACC" w:rsidP="00DF7ACC">
      <w:pPr>
        <w:pStyle w:val="Sangradetextonormal2"/>
        <w:tabs>
          <w:tab w:val="left" w:pos="2041"/>
        </w:tabs>
        <w:spacing w:line="360" w:lineRule="auto"/>
        <w:ind w:right="51"/>
        <w:jc w:val="both"/>
        <w:rPr>
          <w:rFonts w:ascii="Arial" w:hAnsi="Arial" w:cs="Arial"/>
          <w:i/>
          <w:sz w:val="24"/>
          <w:szCs w:val="24"/>
        </w:rPr>
      </w:pPr>
    </w:p>
    <w:p w:rsidR="00DF7ACC" w:rsidRPr="00FE781A" w:rsidRDefault="00DF7ACC" w:rsidP="00DF7ACC">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SEXTO TRANSITORIO…Los asuntos, procedimientos penales y de responsabilidad administrativa, que se encuentren en trámite ante la Procuraduría General de Justicia del Estado de Oaxaca, se substanciarán y resolverán ante la Fiscalía General del Estado de Oaxaca, de conformidad con las disposiciones vigentes al momento de su inicio.</w:t>
      </w:r>
    </w:p>
    <w:p w:rsidR="00DF7ACC" w:rsidRPr="00FE781A" w:rsidRDefault="00DF7ACC" w:rsidP="00DF7ACC">
      <w:pPr>
        <w:pStyle w:val="Sangradetextonormal2"/>
        <w:tabs>
          <w:tab w:val="left" w:pos="2041"/>
        </w:tabs>
        <w:spacing w:line="360" w:lineRule="auto"/>
        <w:ind w:right="51"/>
        <w:jc w:val="both"/>
        <w:rPr>
          <w:rFonts w:ascii="Arial" w:hAnsi="Arial" w:cs="Arial"/>
          <w:i/>
          <w:sz w:val="24"/>
          <w:szCs w:val="24"/>
        </w:rPr>
      </w:pPr>
    </w:p>
    <w:p w:rsidR="00DF7ACC" w:rsidRPr="00FE781A" w:rsidRDefault="00DF7ACC" w:rsidP="00DF7ACC">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ARTÍCULO 3. El Fiscal General es el Titular de la Fiscalía General y estará a cargo de la Institución del Ministerio Público, en términos del artículo 6 de la Ley Orgánica y las demás disposiciones aplicables.</w:t>
      </w:r>
    </w:p>
    <w:p w:rsidR="00DF7ACC" w:rsidRDefault="00DF7ACC" w:rsidP="00DF7ACC">
      <w:pPr>
        <w:pStyle w:val="Sangradetextonormal2"/>
        <w:tabs>
          <w:tab w:val="left" w:pos="2041"/>
        </w:tabs>
        <w:spacing w:line="360" w:lineRule="auto"/>
        <w:ind w:right="51"/>
        <w:jc w:val="both"/>
        <w:rPr>
          <w:rFonts w:ascii="Arial" w:hAnsi="Arial" w:cs="Arial"/>
          <w:sz w:val="24"/>
          <w:szCs w:val="24"/>
        </w:rPr>
      </w:pPr>
      <w:r w:rsidRPr="00FE781A">
        <w:rPr>
          <w:rFonts w:ascii="Arial" w:hAnsi="Arial" w:cs="Arial"/>
          <w:i/>
          <w:sz w:val="24"/>
          <w:szCs w:val="24"/>
        </w:rPr>
        <w:t>La representación, trámite y resolución de los asuntos competencia de la Fiscalía General corresponden originalmente al Fiscal General…”</w:t>
      </w:r>
      <w:r>
        <w:rPr>
          <w:rFonts w:ascii="Arial" w:hAnsi="Arial" w:cs="Arial"/>
          <w:sz w:val="24"/>
          <w:szCs w:val="24"/>
        </w:rPr>
        <w:t xml:space="preserve"> </w:t>
      </w:r>
    </w:p>
    <w:p w:rsidR="00DF7ACC" w:rsidRDefault="00DF7ACC" w:rsidP="00DF7ACC">
      <w:pPr>
        <w:pStyle w:val="Sangradetextonormal2"/>
        <w:tabs>
          <w:tab w:val="left" w:pos="2041"/>
        </w:tabs>
        <w:spacing w:line="360" w:lineRule="auto"/>
        <w:ind w:right="51"/>
        <w:jc w:val="both"/>
        <w:rPr>
          <w:rFonts w:ascii="Arial" w:hAnsi="Arial" w:cs="Arial"/>
          <w:sz w:val="24"/>
          <w:szCs w:val="24"/>
        </w:rPr>
      </w:pPr>
    </w:p>
    <w:p w:rsidR="00DF7ACC" w:rsidRDefault="00DF7ACC" w:rsidP="00DF7ACC">
      <w:pPr>
        <w:pStyle w:val="Sangradetextonormal2"/>
        <w:tabs>
          <w:tab w:val="left" w:pos="567"/>
        </w:tabs>
        <w:spacing w:line="360" w:lineRule="auto"/>
        <w:ind w:right="51" w:firstLine="0"/>
        <w:jc w:val="both"/>
        <w:rPr>
          <w:rFonts w:ascii="Arial" w:hAnsi="Arial" w:cs="Arial"/>
          <w:sz w:val="24"/>
          <w:szCs w:val="24"/>
        </w:rPr>
      </w:pPr>
      <w:r>
        <w:rPr>
          <w:rFonts w:ascii="Arial" w:hAnsi="Arial" w:cs="Arial"/>
          <w:sz w:val="24"/>
          <w:szCs w:val="24"/>
        </w:rPr>
        <w:tab/>
        <w:t>De la lectura a los artículos transcritos anteriormente, se advierte que efectivamente el Titular de la Fiscalía General del Estado de Oaxaca, es primigeniamente el competente para conocer, substanciar y resolver los asuntos competencia de ese órgano, entre ellos el procedimiento de responsabilidad citado, en virtud de que como correctamente se citaron los preceptos anteriores, mientras no se haya expedido el plan de implementación gradual, conocerá la Visitaduría el desahogo y sustanciación del multicitado procedimiento, para finalmente resolver el titular de la Fiscalía General del Estado como aconteció en el presente caso.</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r>
        <w:rPr>
          <w:rFonts w:ascii="Arial" w:hAnsi="Arial" w:cs="Arial"/>
          <w:sz w:val="24"/>
          <w:szCs w:val="24"/>
        </w:rPr>
        <w:t xml:space="preserve">   </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r>
        <w:rPr>
          <w:rFonts w:ascii="Arial" w:hAnsi="Arial" w:cs="Arial"/>
          <w:sz w:val="24"/>
          <w:szCs w:val="24"/>
        </w:rPr>
        <w:t xml:space="preserve">Sirve de sustento a lo anterior, la jurisprudencia con número de registro 205463, del </w:t>
      </w:r>
      <w:r>
        <w:rPr>
          <w:rFonts w:ascii="Arial" w:hAnsi="Arial" w:cs="Arial"/>
          <w:sz w:val="24"/>
          <w:szCs w:val="24"/>
        </w:rPr>
        <w:lastRenderedPageBreak/>
        <w:t>Semanario Judicial de la Federación y su Gaceta, número 77, Mayo de 1994, visible en la página 12, Octava Época, de rubro y texto siguiente:</w:t>
      </w:r>
    </w:p>
    <w:p w:rsidR="00DF7ACC" w:rsidRDefault="00DF7ACC" w:rsidP="00DF7ACC">
      <w:pPr>
        <w:pStyle w:val="Sangradetextonormal2"/>
        <w:tabs>
          <w:tab w:val="left" w:pos="2041"/>
        </w:tabs>
        <w:spacing w:line="360" w:lineRule="auto"/>
        <w:ind w:right="51" w:firstLine="0"/>
        <w:jc w:val="both"/>
        <w:rPr>
          <w:rFonts w:ascii="Arial" w:hAnsi="Arial" w:cs="Arial"/>
          <w:sz w:val="24"/>
          <w:szCs w:val="24"/>
        </w:rPr>
      </w:pPr>
    </w:p>
    <w:p w:rsidR="00DF7ACC" w:rsidRDefault="00DF7ACC" w:rsidP="00DF7ACC">
      <w:pPr>
        <w:pStyle w:val="Sangradetextonormal2"/>
        <w:spacing w:line="360" w:lineRule="auto"/>
        <w:ind w:left="1418" w:right="51" w:hanging="1418"/>
        <w:jc w:val="both"/>
        <w:rPr>
          <w:rFonts w:ascii="Arial" w:hAnsi="Arial" w:cs="Arial"/>
          <w:i/>
          <w:iCs/>
          <w:color w:val="212529"/>
          <w:sz w:val="24"/>
          <w:szCs w:val="24"/>
        </w:rPr>
      </w:pPr>
      <w:r>
        <w:rPr>
          <w:rFonts w:ascii="Arial" w:hAnsi="Arial" w:cs="Arial"/>
          <w:b/>
          <w:sz w:val="24"/>
          <w:szCs w:val="24"/>
        </w:rPr>
        <w:t xml:space="preserve">                     </w:t>
      </w:r>
      <w:r w:rsidRPr="00233CBC">
        <w:rPr>
          <w:rFonts w:ascii="Arial" w:hAnsi="Arial" w:cs="Arial"/>
          <w:b/>
          <w:sz w:val="24"/>
          <w:szCs w:val="24"/>
        </w:rPr>
        <w:t>COMPETENCIA. SU FUNDAMENTACION ES REQUISITO ESENCIAL DEL ACTO DE AUTORIDAD.</w:t>
      </w:r>
      <w:r>
        <w:rPr>
          <w:rFonts w:ascii="Arial" w:hAnsi="Arial" w:cs="Arial"/>
          <w:b/>
          <w:sz w:val="24"/>
          <w:szCs w:val="24"/>
        </w:rPr>
        <w:t xml:space="preserve"> </w:t>
      </w:r>
      <w:r w:rsidRPr="00CF6BC3">
        <w:rPr>
          <w:rFonts w:ascii="Arial" w:hAnsi="Arial" w:cs="Arial"/>
          <w:i/>
          <w:iCs/>
          <w:color w:val="212529"/>
          <w:sz w:val="24"/>
          <w:szCs w:val="24"/>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DF7ACC" w:rsidRDefault="00DF7ACC" w:rsidP="00DF7ACC">
      <w:pPr>
        <w:pStyle w:val="Sangradetextonormal2"/>
        <w:spacing w:line="360" w:lineRule="auto"/>
        <w:ind w:left="1418" w:right="51" w:hanging="1418"/>
        <w:jc w:val="both"/>
        <w:rPr>
          <w:rFonts w:ascii="Arial" w:hAnsi="Arial" w:cs="Arial"/>
          <w:color w:val="212529"/>
          <w:sz w:val="24"/>
          <w:szCs w:val="24"/>
        </w:rPr>
      </w:pPr>
    </w:p>
    <w:p w:rsidR="00DF7ACC" w:rsidRDefault="00DF7ACC" w:rsidP="00DF7ACC">
      <w:pPr>
        <w:pStyle w:val="Sangradetextonormal2"/>
        <w:spacing w:line="360" w:lineRule="auto"/>
        <w:ind w:right="51" w:firstLine="567"/>
        <w:jc w:val="both"/>
        <w:rPr>
          <w:rFonts w:ascii="Arial" w:hAnsi="Arial" w:cs="Arial"/>
          <w:color w:val="212529"/>
          <w:sz w:val="24"/>
          <w:szCs w:val="24"/>
        </w:rPr>
      </w:pPr>
      <w:r>
        <w:rPr>
          <w:rFonts w:ascii="Arial" w:hAnsi="Arial" w:cs="Arial"/>
          <w:color w:val="212529"/>
          <w:sz w:val="24"/>
          <w:szCs w:val="24"/>
        </w:rPr>
        <w:t>Ahora bien, por cuanto hace a la fundamentación y motivación para imponer la sanción a la administrada, la autoridad demandada lo hace de conformidad con los artículos 77, fracción I, 80, fracción IV, y 81, fracción I, de la Ley Orgánica de la Fiscalía General del Estado de Oaxaca, que establecen:</w:t>
      </w:r>
    </w:p>
    <w:p w:rsidR="00DF7ACC" w:rsidRDefault="00DF7ACC" w:rsidP="00DF7ACC">
      <w:pPr>
        <w:pStyle w:val="Sangradetextonormal2"/>
        <w:spacing w:line="360" w:lineRule="auto"/>
        <w:ind w:right="51" w:firstLine="567"/>
        <w:jc w:val="both"/>
        <w:rPr>
          <w:rFonts w:ascii="Arial" w:hAnsi="Arial" w:cs="Arial"/>
          <w:color w:val="212529"/>
          <w:sz w:val="24"/>
          <w:szCs w:val="24"/>
        </w:rPr>
      </w:pPr>
    </w:p>
    <w:p w:rsidR="00DF7ACC" w:rsidRPr="00D57AA9" w:rsidRDefault="00DF7ACC" w:rsidP="00DF7ACC">
      <w:pPr>
        <w:pStyle w:val="Sangradetextonormal2"/>
        <w:spacing w:line="360" w:lineRule="auto"/>
        <w:ind w:right="51" w:firstLine="0"/>
        <w:jc w:val="both"/>
        <w:rPr>
          <w:rFonts w:ascii="Arial" w:hAnsi="Arial" w:cs="Arial"/>
          <w:i/>
          <w:iCs/>
          <w:color w:val="212529"/>
          <w:sz w:val="24"/>
          <w:szCs w:val="24"/>
        </w:rPr>
      </w:pPr>
      <w:r w:rsidRPr="00D57AA9">
        <w:rPr>
          <w:rFonts w:ascii="Arial" w:hAnsi="Arial" w:cs="Arial"/>
          <w:i/>
          <w:iCs/>
          <w:color w:val="212529"/>
          <w:sz w:val="24"/>
          <w:szCs w:val="24"/>
        </w:rPr>
        <w:t>“Artículo 77. Son causas de responsabilidad de los miembros del Servicio:</w:t>
      </w:r>
    </w:p>
    <w:p w:rsidR="00DF7ACC" w:rsidRDefault="00DF7ACC" w:rsidP="00DF7ACC">
      <w:pPr>
        <w:pStyle w:val="Sangradetextonormal2"/>
        <w:numPr>
          <w:ilvl w:val="0"/>
          <w:numId w:val="1"/>
        </w:numPr>
        <w:spacing w:line="360" w:lineRule="auto"/>
        <w:ind w:right="51"/>
        <w:jc w:val="both"/>
        <w:rPr>
          <w:rFonts w:ascii="Arial" w:hAnsi="Arial" w:cs="Arial"/>
          <w:i/>
          <w:iCs/>
          <w:color w:val="212529"/>
          <w:sz w:val="24"/>
          <w:szCs w:val="24"/>
        </w:rPr>
      </w:pPr>
      <w:r w:rsidRPr="00D57AA9">
        <w:rPr>
          <w:rFonts w:ascii="Arial" w:hAnsi="Arial" w:cs="Arial"/>
          <w:i/>
          <w:iCs/>
          <w:color w:val="212529"/>
          <w:sz w:val="24"/>
          <w:szCs w:val="24"/>
        </w:rPr>
        <w:t>No cumplir, retrasar o perjudicar por negligencia la debida actuación del Ministerio Público;</w:t>
      </w:r>
    </w:p>
    <w:p w:rsidR="00DF7ACC" w:rsidRPr="00D57AA9" w:rsidRDefault="00DF7ACC" w:rsidP="00DF7ACC">
      <w:pPr>
        <w:pStyle w:val="Sangradetextonormal2"/>
        <w:spacing w:line="360" w:lineRule="auto"/>
        <w:ind w:left="780" w:right="51" w:firstLine="0"/>
        <w:jc w:val="both"/>
        <w:rPr>
          <w:rFonts w:ascii="Arial" w:hAnsi="Arial" w:cs="Arial"/>
          <w:i/>
          <w:iCs/>
          <w:color w:val="212529"/>
          <w:sz w:val="24"/>
          <w:szCs w:val="24"/>
        </w:rPr>
      </w:pPr>
    </w:p>
    <w:p w:rsidR="00DF7ACC" w:rsidRPr="00D57AA9" w:rsidRDefault="00DF7ACC" w:rsidP="00DF7ACC">
      <w:pPr>
        <w:pStyle w:val="Sangradetextonormal2"/>
        <w:spacing w:line="360" w:lineRule="auto"/>
        <w:ind w:left="60" w:right="51" w:firstLine="0"/>
        <w:jc w:val="both"/>
        <w:rPr>
          <w:rFonts w:ascii="Arial" w:hAnsi="Arial" w:cs="Arial"/>
          <w:i/>
          <w:iCs/>
          <w:color w:val="212529"/>
          <w:sz w:val="24"/>
          <w:szCs w:val="24"/>
        </w:rPr>
      </w:pPr>
      <w:r w:rsidRPr="00D57AA9">
        <w:rPr>
          <w:rFonts w:ascii="Arial" w:hAnsi="Arial" w:cs="Arial"/>
          <w:i/>
          <w:iCs/>
          <w:color w:val="212529"/>
          <w:sz w:val="24"/>
          <w:szCs w:val="24"/>
        </w:rPr>
        <w:t>Artículo 80. Las sanciones que se pueden imponer cuando algún miembro del Servicio incurra en alguna causal de responsabilidad serán:</w:t>
      </w:r>
    </w:p>
    <w:p w:rsidR="00DF7ACC" w:rsidRPr="00D57AA9" w:rsidRDefault="00DF7ACC" w:rsidP="00DF7ACC">
      <w:pPr>
        <w:pStyle w:val="Sangradetextonormal2"/>
        <w:spacing w:line="360" w:lineRule="auto"/>
        <w:ind w:left="60" w:right="51" w:firstLine="0"/>
        <w:jc w:val="both"/>
        <w:rPr>
          <w:rFonts w:ascii="Arial" w:hAnsi="Arial" w:cs="Arial"/>
          <w:i/>
          <w:iCs/>
          <w:color w:val="212529"/>
          <w:sz w:val="24"/>
          <w:szCs w:val="24"/>
        </w:rPr>
      </w:pPr>
      <w:r w:rsidRPr="00D57AA9">
        <w:rPr>
          <w:rFonts w:ascii="Arial" w:hAnsi="Arial" w:cs="Arial"/>
          <w:i/>
          <w:iCs/>
          <w:color w:val="212529"/>
          <w:sz w:val="24"/>
          <w:szCs w:val="24"/>
        </w:rPr>
        <w:t>IV. Remoción del cargo.</w:t>
      </w:r>
    </w:p>
    <w:p w:rsidR="00DF7ACC" w:rsidRPr="00D57AA9" w:rsidRDefault="00DF7ACC" w:rsidP="00DF7ACC">
      <w:pPr>
        <w:pStyle w:val="Sangradetextonormal2"/>
        <w:spacing w:line="360" w:lineRule="auto"/>
        <w:ind w:left="60" w:right="51" w:firstLine="0"/>
        <w:jc w:val="both"/>
        <w:rPr>
          <w:rFonts w:ascii="Arial" w:hAnsi="Arial" w:cs="Arial"/>
          <w:i/>
          <w:iCs/>
          <w:color w:val="212529"/>
          <w:sz w:val="24"/>
          <w:szCs w:val="24"/>
        </w:rPr>
      </w:pPr>
    </w:p>
    <w:p w:rsidR="00DF7ACC" w:rsidRPr="00D57AA9" w:rsidRDefault="00DF7ACC" w:rsidP="00DF7ACC">
      <w:pPr>
        <w:pStyle w:val="Sangradetextonormal2"/>
        <w:spacing w:line="360" w:lineRule="auto"/>
        <w:ind w:left="60" w:right="51" w:firstLine="0"/>
        <w:jc w:val="both"/>
        <w:rPr>
          <w:rFonts w:ascii="Arial" w:hAnsi="Arial" w:cs="Arial"/>
          <w:i/>
          <w:iCs/>
          <w:color w:val="212529"/>
          <w:sz w:val="24"/>
          <w:szCs w:val="24"/>
        </w:rPr>
      </w:pPr>
      <w:r w:rsidRPr="00D57AA9">
        <w:rPr>
          <w:rFonts w:ascii="Arial" w:hAnsi="Arial" w:cs="Arial"/>
          <w:i/>
          <w:iCs/>
          <w:color w:val="212529"/>
          <w:sz w:val="24"/>
          <w:szCs w:val="24"/>
        </w:rPr>
        <w:t xml:space="preserve">Artículo 81. Las sanciones serán impuestas por el Consejo Local a través de la </w:t>
      </w:r>
      <w:r w:rsidRPr="00D57AA9">
        <w:rPr>
          <w:rFonts w:ascii="Arial" w:hAnsi="Arial" w:cs="Arial"/>
          <w:i/>
          <w:iCs/>
          <w:color w:val="212529"/>
          <w:sz w:val="24"/>
          <w:szCs w:val="24"/>
        </w:rPr>
        <w:lastRenderedPageBreak/>
        <w:t xml:space="preserve">comisión respectiva que determine el Reglamento del Servicio. Dicha imposición se realizará considerando los factores siguientes: </w:t>
      </w:r>
    </w:p>
    <w:p w:rsidR="00DF7ACC" w:rsidRDefault="00DF7ACC" w:rsidP="00DF7ACC">
      <w:pPr>
        <w:pStyle w:val="Sangradetextonormal2"/>
        <w:spacing w:line="360" w:lineRule="auto"/>
        <w:ind w:left="60" w:right="51" w:firstLine="0"/>
        <w:jc w:val="both"/>
        <w:rPr>
          <w:rFonts w:ascii="Arial" w:hAnsi="Arial" w:cs="Arial"/>
          <w:color w:val="212529"/>
          <w:sz w:val="24"/>
          <w:szCs w:val="24"/>
        </w:rPr>
      </w:pPr>
      <w:r w:rsidRPr="00D57AA9">
        <w:rPr>
          <w:rFonts w:ascii="Arial" w:hAnsi="Arial" w:cs="Arial"/>
          <w:i/>
          <w:iCs/>
          <w:color w:val="212529"/>
          <w:sz w:val="24"/>
          <w:szCs w:val="24"/>
        </w:rPr>
        <w:t>I. Gravedad de la infracción;”</w:t>
      </w:r>
    </w:p>
    <w:p w:rsidR="00DF7ACC" w:rsidRDefault="00DF7ACC" w:rsidP="00DF7ACC">
      <w:pPr>
        <w:pStyle w:val="Sangradetextonormal2"/>
        <w:spacing w:line="360" w:lineRule="auto"/>
        <w:ind w:left="60" w:right="51" w:firstLine="0"/>
        <w:jc w:val="both"/>
        <w:rPr>
          <w:rFonts w:ascii="Arial" w:hAnsi="Arial" w:cs="Arial"/>
          <w:color w:val="212529"/>
          <w:sz w:val="24"/>
          <w:szCs w:val="24"/>
        </w:rPr>
      </w:pPr>
    </w:p>
    <w:p w:rsidR="00DF7ACC" w:rsidRDefault="00DF7ACC" w:rsidP="00DF7ACC">
      <w:pPr>
        <w:pStyle w:val="Sangradetextonormal2"/>
        <w:spacing w:line="360" w:lineRule="auto"/>
        <w:ind w:right="51" w:firstLine="567"/>
        <w:jc w:val="both"/>
        <w:rPr>
          <w:rFonts w:ascii="Arial" w:hAnsi="Arial" w:cs="Arial"/>
          <w:color w:val="212529"/>
          <w:sz w:val="24"/>
          <w:szCs w:val="24"/>
        </w:rPr>
      </w:pPr>
      <w:r>
        <w:rPr>
          <w:rFonts w:ascii="Arial" w:hAnsi="Arial" w:cs="Arial"/>
          <w:color w:val="212529"/>
          <w:sz w:val="24"/>
          <w:szCs w:val="24"/>
        </w:rPr>
        <w:t xml:space="preserve">Aunado a lo anterior la demandada hizo consistir su motivación en que la actora no previó las medidas suficientes y necesarias para salvaguardar la información oficial consistente en el set fotográfico de la diligencia de exhumación de cadáver de veintisiete de octubre de dos mil diecisiete, perjudicando la debida actuación del Ministerio Público dentro de la carpeta de investigación  </w:t>
      </w:r>
      <w:r>
        <w:rPr>
          <w:rFonts w:cs="Arial"/>
          <w:b/>
          <w:sz w:val="24"/>
          <w:szCs w:val="24"/>
        </w:rPr>
        <w:t>**********</w:t>
      </w:r>
      <w:r>
        <w:rPr>
          <w:rFonts w:ascii="Arial" w:hAnsi="Arial" w:cs="Arial"/>
          <w:color w:val="212529"/>
          <w:sz w:val="24"/>
          <w:szCs w:val="24"/>
        </w:rPr>
        <w:t xml:space="preserve">, esto es, no resguardó la información en el equipo oficial que tenía asignado para el cumplimiento de sus labores, pues si bien manifiesta la </w:t>
      </w:r>
      <w:r w:rsidRPr="00D57AA9">
        <w:rPr>
          <w:rFonts w:ascii="Arial" w:hAnsi="Arial" w:cs="Arial"/>
          <w:color w:val="212529"/>
          <w:sz w:val="24"/>
          <w:szCs w:val="24"/>
        </w:rPr>
        <w:t>actora</w:t>
      </w:r>
      <w:r>
        <w:rPr>
          <w:rFonts w:ascii="Arial" w:hAnsi="Arial" w:cs="Arial"/>
          <w:color w:val="212529"/>
          <w:sz w:val="24"/>
          <w:szCs w:val="24"/>
        </w:rPr>
        <w:t xml:space="preserve"> 1) que le robaron la mochila en la cual entre otras cosas llevaba la tarjeta SD que contenía el set fotográfico de la diligencia de exhumación, ordenada dentro de la carpeta de investigación </w:t>
      </w:r>
      <w:r>
        <w:rPr>
          <w:rFonts w:cs="Arial"/>
          <w:b/>
          <w:sz w:val="24"/>
          <w:szCs w:val="24"/>
        </w:rPr>
        <w:t>**********</w:t>
      </w:r>
      <w:r>
        <w:rPr>
          <w:rFonts w:cs="Arial"/>
          <w:b/>
          <w:sz w:val="24"/>
          <w:szCs w:val="24"/>
        </w:rPr>
        <w:t xml:space="preserve"> </w:t>
      </w:r>
      <w:r>
        <w:rPr>
          <w:rFonts w:ascii="Arial" w:hAnsi="Arial" w:cs="Arial"/>
          <w:color w:val="212529"/>
          <w:sz w:val="24"/>
          <w:szCs w:val="24"/>
        </w:rPr>
        <w:t xml:space="preserve"> y 2) haber guardado su dictamen en la computadora que le fue asignada por la Fiscalía y no encontrarlo al momento de querer imprimirlo, sin embargo la Institución cuenta con un área de informática y estadísticas que a su vez cuenta con un departamento de soporte, en donde existe personal que pudo haber revisado el equipo de cómputo en el que resguardó el dictamen producto de su intervención en la diligencia de exhumación de veintisiete de octubre de dos mil diecisiete, concluyendo que no previó medidas de seguridad suficientes y necesarias para salvaguardar la información oficial producto de su intervención como perito fotógrafa, en virtud que la diligencia de exhumación se realizó el veintisiete de octubre de dos mil diecisiete y el robo de sus pertenencias fue hasta el seis de noviembre de esa anualidad. Por lo anteriormente vertido y toda vez que el artículo 81 de la Ley Orgánica de la Fiscalía General del Estado, no establece cuales son las faltas leves o graves, sin embargo dada la trascendencia del asunto se trata de una responsabilidad grave, dado que repercute en el retraso a la investigación del Agente del Ministerio Público y también en perjuicio de las victimas indirectas. </w:t>
      </w:r>
      <w:r w:rsidRPr="00096C17">
        <w:rPr>
          <w:rFonts w:ascii="Arial" w:hAnsi="Arial" w:cs="Arial"/>
          <w:color w:val="212529"/>
          <w:sz w:val="24"/>
          <w:szCs w:val="24"/>
        </w:rPr>
        <w:t>De</w:t>
      </w:r>
      <w:r>
        <w:rPr>
          <w:rFonts w:ascii="Arial" w:hAnsi="Arial" w:cs="Arial"/>
          <w:color w:val="212529"/>
          <w:sz w:val="24"/>
          <w:szCs w:val="24"/>
        </w:rPr>
        <w:t xml:space="preserve"> lo antes vertido se concluye que la autoridad demandada si motiva adecuadamente su determinación en razón que realizó la descripción clara y completa de la conducta que le atribuye a la actora, esta es, retrasar y/o perjudicar por negligencia la debida actuación del Ministerio Público, negligencia que se hizo extensiva al no hacer inmediatamente la denuncia correspondiente del robo de sus pertenencias entre las cuales se encontraba la tarjeta SD que contenía el set fotográfico de la diligencia de exhumación, pues como obra en autos la citada diligencia se realizó el veintisiete de octubre de dos mil diecisiete, el robo de sus pertenencias fue el seis de noviembre de esa anualidad y la denuncia ante el Ministerio Público la realizó hasta el ocho de noviembre siguiente, derivando en un perjuicio en la investigación de los hechos que originaron la carpeta de </w:t>
      </w:r>
      <w:r>
        <w:rPr>
          <w:rFonts w:ascii="Arial" w:hAnsi="Arial" w:cs="Arial"/>
          <w:color w:val="212529"/>
          <w:sz w:val="24"/>
          <w:szCs w:val="24"/>
        </w:rPr>
        <w:lastRenderedPageBreak/>
        <w:t>investigación en la cual tuvo intervención, pues las fotografías que iban a ser utilizadas para emitir el dictamen ya no existen.</w:t>
      </w:r>
    </w:p>
    <w:p w:rsidR="00DF7ACC" w:rsidRDefault="00DF7ACC" w:rsidP="00DF7ACC">
      <w:pPr>
        <w:pStyle w:val="Sangradetextonormal2"/>
        <w:spacing w:line="360" w:lineRule="auto"/>
        <w:ind w:right="51" w:firstLine="567"/>
        <w:jc w:val="both"/>
        <w:rPr>
          <w:rFonts w:ascii="Arial" w:hAnsi="Arial" w:cs="Arial"/>
          <w:color w:val="212529"/>
          <w:sz w:val="24"/>
          <w:szCs w:val="24"/>
        </w:rPr>
      </w:pPr>
    </w:p>
    <w:p w:rsidR="00DF7ACC" w:rsidRDefault="00DF7ACC" w:rsidP="00DF7ACC">
      <w:pPr>
        <w:pStyle w:val="Sangradetextonormal2"/>
        <w:tabs>
          <w:tab w:val="left" w:pos="567"/>
        </w:tabs>
        <w:spacing w:line="360" w:lineRule="auto"/>
        <w:ind w:right="51" w:firstLine="0"/>
        <w:jc w:val="both"/>
        <w:rPr>
          <w:rFonts w:ascii="Arial" w:hAnsi="Arial" w:cs="Arial"/>
          <w:sz w:val="24"/>
          <w:szCs w:val="24"/>
        </w:rPr>
      </w:pPr>
      <w:r>
        <w:rPr>
          <w:rFonts w:ascii="Arial" w:hAnsi="Arial" w:cs="Arial"/>
          <w:sz w:val="24"/>
          <w:szCs w:val="24"/>
        </w:rPr>
        <w:tab/>
        <w:t xml:space="preserve">En consecuencia, toda vez que del análisis efectuado con anterioridad y acorde a los requisitos que debe tener de conformidad con el artículo </w:t>
      </w:r>
      <w:bookmarkStart w:id="2" w:name="_GoBack"/>
      <w:r>
        <w:rPr>
          <w:rFonts w:ascii="Arial" w:hAnsi="Arial" w:cs="Arial"/>
          <w:sz w:val="24"/>
          <w:szCs w:val="24"/>
        </w:rPr>
        <w:t>17</w:t>
      </w:r>
      <w:bookmarkEnd w:id="2"/>
      <w:r>
        <w:rPr>
          <w:rFonts w:ascii="Arial" w:hAnsi="Arial" w:cs="Arial"/>
          <w:sz w:val="24"/>
          <w:szCs w:val="24"/>
        </w:rPr>
        <w:t xml:space="preserve">, de la Ley de Procedimiento y Justicia Administrativa para el Estado de Oaxaca, esta sala estima pertinente </w:t>
      </w:r>
      <w:r w:rsidRPr="00233CBC">
        <w:rPr>
          <w:rFonts w:ascii="Arial" w:hAnsi="Arial" w:cs="Arial"/>
          <w:b/>
          <w:sz w:val="24"/>
          <w:szCs w:val="24"/>
        </w:rPr>
        <w:t>RECONOCER LA VALIDEZ</w:t>
      </w:r>
      <w:r>
        <w:rPr>
          <w:rFonts w:ascii="Arial" w:hAnsi="Arial" w:cs="Arial"/>
          <w:sz w:val="24"/>
          <w:szCs w:val="24"/>
        </w:rPr>
        <w:t xml:space="preserve">, de la resolución de tres de octubre de dos mil dieciocho dentro del expediente administrativo </w:t>
      </w:r>
      <w:r w:rsidR="00F6346E">
        <w:rPr>
          <w:rFonts w:cs="Arial"/>
          <w:b/>
          <w:sz w:val="24"/>
          <w:szCs w:val="24"/>
        </w:rPr>
        <w:t>**********</w:t>
      </w:r>
      <w:r w:rsidR="00F6346E">
        <w:rPr>
          <w:rFonts w:cs="Arial"/>
          <w:b/>
          <w:sz w:val="24"/>
          <w:szCs w:val="24"/>
        </w:rPr>
        <w:t xml:space="preserve"> </w:t>
      </w:r>
      <w:r>
        <w:rPr>
          <w:rFonts w:ascii="Arial" w:hAnsi="Arial" w:cs="Arial"/>
          <w:sz w:val="24"/>
          <w:szCs w:val="24"/>
        </w:rPr>
        <w:t xml:space="preserve">, por el Fiscal General del Estado de Oaxaca, por las razones y consideraciones ya expuestas en la presente resolución. </w:t>
      </w:r>
    </w:p>
    <w:p w:rsidR="00DF7ACC" w:rsidRDefault="00DF7ACC" w:rsidP="00DF7ACC">
      <w:pPr>
        <w:pStyle w:val="Sangradetextonormal2"/>
        <w:tabs>
          <w:tab w:val="left" w:pos="567"/>
        </w:tabs>
        <w:spacing w:line="360" w:lineRule="auto"/>
        <w:ind w:right="51" w:firstLine="0"/>
        <w:jc w:val="both"/>
        <w:rPr>
          <w:rFonts w:ascii="Arial" w:hAnsi="Arial" w:cs="Arial"/>
          <w:sz w:val="24"/>
          <w:szCs w:val="24"/>
        </w:rPr>
      </w:pPr>
    </w:p>
    <w:p w:rsidR="00DF7ACC" w:rsidRPr="007B0581" w:rsidRDefault="00DF7ACC" w:rsidP="00DF7ACC">
      <w:pPr>
        <w:spacing w:line="360" w:lineRule="auto"/>
        <w:ind w:right="-93" w:firstLine="567"/>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Pr="00BB5812">
        <w:rPr>
          <w:rFonts w:ascii="Arial" w:hAnsi="Arial" w:cs="Arial"/>
          <w:sz w:val="24"/>
          <w:szCs w:val="24"/>
        </w:rPr>
        <w:t>Como la parte actora en el presente juicio,</w:t>
      </w:r>
      <w:r>
        <w:rPr>
          <w:rFonts w:ascii="Arial" w:hAnsi="Arial" w:cs="Arial"/>
          <w:b/>
          <w:sz w:val="24"/>
          <w:szCs w:val="24"/>
        </w:rPr>
        <w:t xml:space="preserve"> se</w:t>
      </w:r>
      <w:r w:rsidRPr="00BB5812">
        <w:rPr>
          <w:rFonts w:ascii="Arial" w:hAnsi="Arial" w:cs="Arial"/>
          <w:b/>
          <w:sz w:val="24"/>
          <w:szCs w:val="24"/>
        </w:rPr>
        <w:t xml:space="preserve"> opuso a la publicación de sus datos personales</w:t>
      </w:r>
      <w:r w:rsidRPr="00BB5812">
        <w:rPr>
          <w:rFonts w:ascii="Arial" w:hAnsi="Arial" w:cs="Arial"/>
          <w:sz w:val="24"/>
          <w:szCs w:val="24"/>
        </w:rPr>
        <w:t xml:space="preserve"> y al encontrarse obligad</w:t>
      </w:r>
      <w:r>
        <w:rPr>
          <w:rFonts w:ascii="Arial" w:hAnsi="Arial" w:cs="Arial"/>
          <w:sz w:val="24"/>
          <w:szCs w:val="24"/>
        </w:rPr>
        <w:t>a</w:t>
      </w:r>
      <w:r w:rsidRPr="00BB5812">
        <w:rPr>
          <w:rFonts w:ascii="Arial" w:hAnsi="Arial" w:cs="Arial"/>
          <w:sz w:val="24"/>
          <w:szCs w:val="24"/>
        </w:rPr>
        <w:t xml:space="preserve"> est</w:t>
      </w:r>
      <w:r>
        <w:rPr>
          <w:rFonts w:ascii="Arial" w:hAnsi="Arial" w:cs="Arial"/>
          <w:sz w:val="24"/>
          <w:szCs w:val="24"/>
        </w:rPr>
        <w:t>a</w:t>
      </w:r>
      <w:r w:rsidRPr="00BB5812">
        <w:rPr>
          <w:rFonts w:ascii="Arial" w:hAnsi="Arial" w:cs="Arial"/>
          <w:sz w:val="24"/>
          <w:szCs w:val="24"/>
        </w:rPr>
        <w:t xml:space="preserve"> juzgador</w:t>
      </w:r>
      <w:r>
        <w:rPr>
          <w:rFonts w:ascii="Arial" w:hAnsi="Arial" w:cs="Arial"/>
          <w:sz w:val="24"/>
          <w:szCs w:val="24"/>
        </w:rPr>
        <w:t xml:space="preserve">a </w:t>
      </w:r>
      <w:r w:rsidRPr="00BB5812">
        <w:rPr>
          <w:rFonts w:ascii="Arial" w:hAnsi="Arial" w:cs="Arial"/>
          <w:sz w:val="24"/>
          <w:szCs w:val="24"/>
        </w:rPr>
        <w:t>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con la supresión de datos personales identificables, procurándose que no se impida conocer el criterio sostenido por este órgano jurisdiccional.</w:t>
      </w:r>
    </w:p>
    <w:p w:rsidR="00DF7ACC" w:rsidRPr="007B0581" w:rsidRDefault="00DF7ACC" w:rsidP="00DF7ACC">
      <w:pPr>
        <w:spacing w:line="360" w:lineRule="auto"/>
        <w:ind w:right="-93" w:firstLine="708"/>
        <w:jc w:val="both"/>
        <w:rPr>
          <w:rFonts w:ascii="Arial" w:eastAsia="Calibri" w:hAnsi="Arial" w:cs="Arial"/>
          <w:color w:val="000000"/>
          <w:sz w:val="24"/>
          <w:szCs w:val="24"/>
          <w:lang w:val="es-MX" w:eastAsia="en-US"/>
        </w:rPr>
      </w:pPr>
    </w:p>
    <w:p w:rsidR="00DF7ACC" w:rsidRPr="007B0581" w:rsidRDefault="00DF7ACC" w:rsidP="00DF7ACC">
      <w:pPr>
        <w:spacing w:line="360" w:lineRule="auto"/>
        <w:ind w:firstLine="567"/>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y 209, de la Ley de Procedimiento y Justicia Administrativa para el Estado de Oaxaca, se; </w:t>
      </w:r>
    </w:p>
    <w:p w:rsidR="00DF7ACC" w:rsidRPr="007B0581" w:rsidRDefault="00DF7ACC" w:rsidP="00DF7ACC">
      <w:pPr>
        <w:spacing w:line="360" w:lineRule="auto"/>
        <w:ind w:firstLine="708"/>
        <w:jc w:val="both"/>
        <w:rPr>
          <w:rFonts w:ascii="Arial" w:eastAsia="Calibri" w:hAnsi="Arial" w:cs="Arial"/>
          <w:color w:val="000000"/>
          <w:sz w:val="24"/>
          <w:szCs w:val="24"/>
          <w:lang w:val="es-MX" w:eastAsia="en-US"/>
        </w:rPr>
      </w:pPr>
    </w:p>
    <w:p w:rsidR="00DF7ACC" w:rsidRDefault="00DF7ACC" w:rsidP="00DF7ACC">
      <w:pPr>
        <w:tabs>
          <w:tab w:val="left" w:pos="3786"/>
        </w:tabs>
        <w:spacing w:line="360" w:lineRule="auto"/>
        <w:ind w:firstLine="708"/>
        <w:jc w:val="both"/>
        <w:rPr>
          <w:rFonts w:ascii="Arial" w:eastAsia="Calibri" w:hAnsi="Arial" w:cs="Arial"/>
          <w:color w:val="000000"/>
          <w:sz w:val="24"/>
          <w:szCs w:val="24"/>
          <w:lang w:val="es-MX" w:eastAsia="en-US"/>
        </w:rPr>
      </w:pPr>
    </w:p>
    <w:p w:rsidR="00DF7ACC" w:rsidRDefault="00DF7ACC" w:rsidP="00DF7ACC">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DF7ACC" w:rsidRDefault="00DF7ACC" w:rsidP="00DF7ACC">
      <w:pPr>
        <w:tabs>
          <w:tab w:val="left" w:pos="3786"/>
        </w:tabs>
        <w:spacing w:line="360" w:lineRule="auto"/>
        <w:ind w:firstLine="708"/>
        <w:jc w:val="both"/>
        <w:rPr>
          <w:rFonts w:ascii="Arial" w:hAnsi="Arial" w:cs="Arial"/>
          <w:b/>
          <w:sz w:val="24"/>
          <w:szCs w:val="24"/>
        </w:rPr>
      </w:pPr>
    </w:p>
    <w:p w:rsidR="00DF7ACC" w:rsidRDefault="00DF7ACC" w:rsidP="00DF7ACC">
      <w:pPr>
        <w:tabs>
          <w:tab w:val="left" w:pos="3786"/>
        </w:tabs>
        <w:spacing w:line="360" w:lineRule="auto"/>
        <w:ind w:firstLine="708"/>
        <w:jc w:val="both"/>
        <w:rPr>
          <w:rFonts w:ascii="Arial" w:hAnsi="Arial" w:cs="Arial"/>
          <w:b/>
          <w:sz w:val="24"/>
          <w:szCs w:val="24"/>
        </w:rPr>
      </w:pPr>
    </w:p>
    <w:p w:rsidR="00DF7ACC" w:rsidRPr="007B0581" w:rsidRDefault="00DF7ACC" w:rsidP="00DF7ACC">
      <w:pPr>
        <w:tabs>
          <w:tab w:val="left" w:pos="3932"/>
        </w:tabs>
        <w:jc w:val="both"/>
        <w:rPr>
          <w:rFonts w:ascii="Arial" w:hAnsi="Arial" w:cs="Arial"/>
          <w:b/>
          <w:sz w:val="24"/>
          <w:szCs w:val="24"/>
        </w:rPr>
      </w:pPr>
      <w:r w:rsidRPr="007B0581">
        <w:rPr>
          <w:rFonts w:ascii="Arial" w:hAnsi="Arial" w:cs="Arial"/>
          <w:b/>
          <w:sz w:val="24"/>
          <w:szCs w:val="24"/>
        </w:rPr>
        <w:tab/>
      </w:r>
    </w:p>
    <w:p w:rsidR="00DF7ACC" w:rsidRPr="007B0581" w:rsidRDefault="00DF7ACC" w:rsidP="00DF7ACC">
      <w:pPr>
        <w:spacing w:line="360" w:lineRule="auto"/>
        <w:ind w:firstLine="567"/>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DF7ACC" w:rsidRPr="007B0581" w:rsidRDefault="00DF7ACC" w:rsidP="00DF7ACC">
      <w:pPr>
        <w:pStyle w:val="Textoindependiente"/>
        <w:ind w:firstLine="709"/>
        <w:contextualSpacing/>
        <w:jc w:val="both"/>
        <w:rPr>
          <w:rFonts w:ascii="Arial" w:hAnsi="Arial" w:cs="Arial"/>
          <w:b/>
          <w:sz w:val="24"/>
          <w:szCs w:val="24"/>
        </w:rPr>
      </w:pPr>
    </w:p>
    <w:p w:rsidR="00DF7ACC" w:rsidRDefault="00DF7ACC" w:rsidP="00DF7ACC">
      <w:pPr>
        <w:pStyle w:val="Textoindependiente"/>
        <w:spacing w:line="360" w:lineRule="auto"/>
        <w:ind w:firstLine="567"/>
        <w:jc w:val="both"/>
        <w:rPr>
          <w:rFonts w:ascii="Arial" w:eastAsia="Arial Unicode MS" w:hAnsi="Arial" w:cs="Arial"/>
          <w:kern w:val="1"/>
          <w:sz w:val="24"/>
          <w:szCs w:val="24"/>
          <w:lang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p>
    <w:p w:rsidR="00DF7ACC" w:rsidRPr="007B0581" w:rsidRDefault="00DF7ACC" w:rsidP="00DF7ACC">
      <w:pPr>
        <w:pStyle w:val="Textoindependiente"/>
        <w:spacing w:line="360" w:lineRule="auto"/>
        <w:ind w:firstLine="567"/>
        <w:jc w:val="both"/>
        <w:rPr>
          <w:rFonts w:ascii="Arial" w:eastAsia="Arial Unicode MS" w:hAnsi="Arial" w:cs="Arial"/>
          <w:kern w:val="1"/>
          <w:sz w:val="24"/>
          <w:szCs w:val="24"/>
          <w:lang w:val="es-MX" w:eastAsia="ar-SA"/>
        </w:rPr>
      </w:pPr>
      <w:r w:rsidRPr="007B0581">
        <w:rPr>
          <w:rFonts w:ascii="Arial" w:eastAsia="Arial Unicode MS" w:hAnsi="Arial" w:cs="Arial"/>
          <w:kern w:val="1"/>
          <w:sz w:val="24"/>
          <w:szCs w:val="24"/>
          <w:lang w:val="es-MX" w:eastAsia="ar-SA"/>
        </w:rPr>
        <w:t xml:space="preserve"> </w:t>
      </w:r>
    </w:p>
    <w:p w:rsidR="00DF7ACC" w:rsidRDefault="00DF7ACC" w:rsidP="00DF7ACC">
      <w:pPr>
        <w:spacing w:line="360" w:lineRule="auto"/>
        <w:ind w:right="51" w:firstLine="567"/>
        <w:contextualSpacing/>
        <w:jc w:val="both"/>
        <w:rPr>
          <w:rFonts w:ascii="Arial" w:hAnsi="Arial" w:cs="Arial"/>
          <w:sz w:val="24"/>
          <w:szCs w:val="24"/>
        </w:rPr>
      </w:pPr>
      <w:r w:rsidRPr="001A3E64">
        <w:rPr>
          <w:rFonts w:ascii="Arial" w:hAnsi="Arial" w:cs="Arial"/>
          <w:b/>
          <w:sz w:val="24"/>
          <w:szCs w:val="24"/>
        </w:rPr>
        <w:t>TERCERO. -</w:t>
      </w:r>
      <w:r w:rsidRPr="001A3E64">
        <w:rPr>
          <w:rFonts w:ascii="Arial" w:hAnsi="Arial" w:cs="Arial"/>
          <w:b/>
          <w:sz w:val="24"/>
          <w:szCs w:val="24"/>
          <w:lang w:val="es-MX"/>
        </w:rPr>
        <w:t xml:space="preserve"> </w:t>
      </w:r>
      <w:r>
        <w:rPr>
          <w:rFonts w:ascii="Arial" w:hAnsi="Arial" w:cs="Arial"/>
          <w:sz w:val="24"/>
          <w:szCs w:val="24"/>
        </w:rPr>
        <w:t>No se configuró</w:t>
      </w:r>
      <w:r w:rsidRPr="00BC357D">
        <w:rPr>
          <w:rFonts w:ascii="Arial" w:hAnsi="Arial" w:cs="Arial"/>
          <w:sz w:val="24"/>
          <w:szCs w:val="24"/>
        </w:rPr>
        <w:t xml:space="preserve"> causal alguna de improcedencia.  En consecuencia, </w:t>
      </w:r>
      <w:r w:rsidRPr="00BC357D">
        <w:rPr>
          <w:rFonts w:ascii="Arial" w:hAnsi="Arial" w:cs="Arial"/>
          <w:b/>
          <w:bCs/>
          <w:sz w:val="24"/>
          <w:szCs w:val="24"/>
        </w:rPr>
        <w:t xml:space="preserve">NO SE SOBRESEE </w:t>
      </w:r>
      <w:r w:rsidRPr="00BC357D">
        <w:rPr>
          <w:rFonts w:ascii="Arial" w:hAnsi="Arial" w:cs="Arial"/>
          <w:sz w:val="24"/>
          <w:szCs w:val="24"/>
        </w:rPr>
        <w:t>el presente juicio.</w:t>
      </w:r>
    </w:p>
    <w:p w:rsidR="00DF7ACC" w:rsidRDefault="00DF7ACC" w:rsidP="00DF7ACC">
      <w:pPr>
        <w:spacing w:line="360" w:lineRule="auto"/>
        <w:ind w:right="51" w:firstLine="567"/>
        <w:contextualSpacing/>
        <w:jc w:val="both"/>
        <w:rPr>
          <w:rFonts w:ascii="Arial" w:hAnsi="Arial" w:cs="Arial"/>
          <w:sz w:val="24"/>
          <w:szCs w:val="24"/>
        </w:rPr>
      </w:pPr>
    </w:p>
    <w:p w:rsidR="00DF7ACC" w:rsidRPr="00BC357D" w:rsidRDefault="00DF7ACC" w:rsidP="00DF7ACC">
      <w:pPr>
        <w:spacing w:line="360" w:lineRule="auto"/>
        <w:ind w:right="51" w:firstLine="567"/>
        <w:contextualSpacing/>
        <w:jc w:val="both"/>
        <w:rPr>
          <w:rFonts w:ascii="Arial" w:hAnsi="Arial" w:cs="Arial"/>
          <w:sz w:val="24"/>
          <w:szCs w:val="24"/>
        </w:rPr>
      </w:pPr>
    </w:p>
    <w:p w:rsidR="00DF7ACC" w:rsidRDefault="00DF7ACC" w:rsidP="00DF7ACC">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 xml:space="preserve">CUARTO. </w:t>
      </w:r>
      <w:r>
        <w:rPr>
          <w:rFonts w:ascii="Arial" w:hAnsi="Arial" w:cs="Arial"/>
          <w:b/>
          <w:sz w:val="24"/>
          <w:szCs w:val="24"/>
          <w:lang w:val="es-MX"/>
        </w:rPr>
        <w:t>-</w:t>
      </w:r>
      <w:r w:rsidRPr="007B0581">
        <w:rPr>
          <w:rFonts w:ascii="Arial" w:hAnsi="Arial" w:cs="Arial"/>
          <w:sz w:val="24"/>
          <w:szCs w:val="24"/>
          <w:lang w:val="es-MX"/>
        </w:rPr>
        <w:t xml:space="preserve"> </w:t>
      </w:r>
      <w:r w:rsidRPr="00BB5812">
        <w:rPr>
          <w:rFonts w:ascii="Arial" w:hAnsi="Arial" w:cs="Arial"/>
          <w:b/>
          <w:bCs/>
          <w:sz w:val="24"/>
          <w:szCs w:val="24"/>
        </w:rPr>
        <w:t>SE</w:t>
      </w:r>
      <w:r>
        <w:rPr>
          <w:rFonts w:ascii="Arial" w:hAnsi="Arial" w:cs="Arial"/>
          <w:b/>
          <w:bCs/>
          <w:sz w:val="24"/>
          <w:szCs w:val="24"/>
        </w:rPr>
        <w:t xml:space="preserve"> RECONOCE LA</w:t>
      </w:r>
      <w:r w:rsidRPr="00BB5812">
        <w:rPr>
          <w:rFonts w:ascii="Arial" w:hAnsi="Arial" w:cs="Arial"/>
          <w:b/>
          <w:sz w:val="24"/>
          <w:szCs w:val="24"/>
        </w:rPr>
        <w:t xml:space="preserve"> </w:t>
      </w:r>
      <w:r>
        <w:rPr>
          <w:rFonts w:ascii="Arial" w:hAnsi="Arial" w:cs="Arial"/>
          <w:b/>
          <w:sz w:val="24"/>
          <w:szCs w:val="24"/>
        </w:rPr>
        <w:t>VALIDEZ</w:t>
      </w:r>
      <w:r w:rsidRPr="00BB5812">
        <w:rPr>
          <w:rFonts w:ascii="Arial" w:hAnsi="Arial" w:cs="Arial"/>
          <w:b/>
          <w:sz w:val="24"/>
          <w:szCs w:val="24"/>
        </w:rPr>
        <w:t xml:space="preserve"> </w:t>
      </w:r>
      <w:r w:rsidRPr="001A3E64">
        <w:rPr>
          <w:rFonts w:ascii="Arial" w:hAnsi="Arial" w:cs="Arial"/>
          <w:bCs/>
          <w:sz w:val="24"/>
          <w:szCs w:val="24"/>
        </w:rPr>
        <w:t>de</w:t>
      </w:r>
      <w:r w:rsidRPr="001A3E64">
        <w:rPr>
          <w:rFonts w:ascii="Arial" w:hAnsi="Arial" w:cs="Arial"/>
          <w:b/>
          <w:sz w:val="24"/>
          <w:szCs w:val="24"/>
        </w:rPr>
        <w:t xml:space="preserve"> </w:t>
      </w:r>
      <w:r w:rsidRPr="001A3E64">
        <w:rPr>
          <w:rFonts w:ascii="Arial" w:hAnsi="Arial" w:cs="Arial"/>
          <w:bCs/>
          <w:sz w:val="24"/>
          <w:szCs w:val="24"/>
        </w:rPr>
        <w:t>la resolución</w:t>
      </w:r>
      <w:r w:rsidRPr="001A3E64">
        <w:rPr>
          <w:rFonts w:ascii="Arial" w:hAnsi="Arial" w:cs="Arial"/>
          <w:b/>
          <w:sz w:val="24"/>
          <w:szCs w:val="24"/>
        </w:rPr>
        <w:t xml:space="preserve"> </w:t>
      </w:r>
      <w:r w:rsidRPr="00DF1FBD">
        <w:rPr>
          <w:rFonts w:ascii="Arial" w:hAnsi="Arial" w:cs="Arial"/>
          <w:bCs/>
          <w:sz w:val="24"/>
          <w:szCs w:val="24"/>
        </w:rPr>
        <w:t xml:space="preserve">de tres de octubre de dos mil dieciocho, dictada en el expediente administrativo número </w:t>
      </w:r>
      <w:r w:rsidR="00F6346E">
        <w:rPr>
          <w:rFonts w:cs="Arial"/>
          <w:b/>
          <w:sz w:val="24"/>
          <w:szCs w:val="24"/>
        </w:rPr>
        <w:t>**********</w:t>
      </w:r>
      <w:r w:rsidR="00F6346E">
        <w:rPr>
          <w:rFonts w:cs="Arial"/>
          <w:b/>
          <w:sz w:val="24"/>
          <w:szCs w:val="24"/>
        </w:rPr>
        <w:t xml:space="preserve"> </w:t>
      </w:r>
      <w:r>
        <w:rPr>
          <w:rFonts w:ascii="Arial" w:hAnsi="Arial" w:cs="Arial"/>
          <w:bCs/>
          <w:sz w:val="24"/>
          <w:szCs w:val="24"/>
        </w:rPr>
        <w:t>, por</w:t>
      </w:r>
      <w:r w:rsidRPr="00DF1FBD">
        <w:rPr>
          <w:rFonts w:ascii="Arial" w:hAnsi="Arial" w:cs="Arial"/>
          <w:bCs/>
          <w:sz w:val="24"/>
          <w:szCs w:val="24"/>
        </w:rPr>
        <w:t xml:space="preserve"> el Fiscal General del Estado de Oaxaca,</w:t>
      </w:r>
      <w:r>
        <w:rPr>
          <w:rFonts w:ascii="Arial" w:hAnsi="Arial" w:cs="Arial"/>
          <w:bCs/>
          <w:sz w:val="24"/>
          <w:szCs w:val="24"/>
        </w:rPr>
        <w:t xml:space="preserve"> por las razones y consideraciones expuestas</w:t>
      </w:r>
      <w:r w:rsidRPr="00DF1FBD">
        <w:rPr>
          <w:rFonts w:ascii="Arial" w:hAnsi="Arial" w:cs="Arial"/>
          <w:bCs/>
          <w:sz w:val="24"/>
          <w:szCs w:val="24"/>
        </w:rPr>
        <w:t xml:space="preserve"> </w:t>
      </w:r>
      <w:r>
        <w:rPr>
          <w:rFonts w:ascii="Arial" w:hAnsi="Arial" w:cs="Arial"/>
          <w:sz w:val="24"/>
          <w:szCs w:val="24"/>
        </w:rPr>
        <w:t xml:space="preserve">en el considerando </w:t>
      </w:r>
      <w:r w:rsidRPr="00BC357D">
        <w:rPr>
          <w:rFonts w:ascii="Arial" w:hAnsi="Arial" w:cs="Arial"/>
          <w:bCs/>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DF7ACC" w:rsidRPr="007B0581" w:rsidRDefault="00DF7ACC" w:rsidP="00DF7ACC">
      <w:pPr>
        <w:spacing w:line="360" w:lineRule="auto"/>
        <w:ind w:right="51" w:firstLine="567"/>
        <w:jc w:val="both"/>
        <w:rPr>
          <w:rFonts w:ascii="Arial" w:hAnsi="Arial" w:cs="Arial"/>
          <w:sz w:val="24"/>
          <w:szCs w:val="24"/>
        </w:rPr>
      </w:pPr>
    </w:p>
    <w:p w:rsidR="00DF7ACC" w:rsidRDefault="00DF7ACC" w:rsidP="00DF7ACC">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DF7ACC" w:rsidRPr="007B0581" w:rsidRDefault="00DF7ACC" w:rsidP="00DF7ACC">
      <w:pPr>
        <w:spacing w:line="360" w:lineRule="auto"/>
        <w:ind w:right="51" w:firstLine="567"/>
        <w:jc w:val="both"/>
        <w:rPr>
          <w:rFonts w:ascii="Arial" w:eastAsia="Calibri" w:hAnsi="Arial" w:cs="Arial"/>
          <w:b/>
          <w:color w:val="000000"/>
          <w:sz w:val="24"/>
          <w:szCs w:val="24"/>
          <w:lang w:val="es-MX" w:eastAsia="en-US"/>
        </w:rPr>
      </w:pPr>
    </w:p>
    <w:p w:rsidR="00DF7ACC" w:rsidRDefault="00DF7ACC" w:rsidP="00DF7ACC">
      <w:pPr>
        <w:widowControl w:val="0"/>
        <w:spacing w:line="360" w:lineRule="auto"/>
        <w:ind w:firstLine="567"/>
        <w:jc w:val="both"/>
        <w:rPr>
          <w:rFonts w:ascii="Arial" w:hAnsi="Arial" w:cs="Arial"/>
          <w:sz w:val="24"/>
          <w:szCs w:val="24"/>
          <w:lang w:eastAsia="es-ES"/>
        </w:rPr>
      </w:pP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F6346E" w:rsidRDefault="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Pr="00F6346E" w:rsidRDefault="00F6346E" w:rsidP="00F6346E"/>
    <w:p w:rsidR="00F6346E" w:rsidRDefault="00F6346E" w:rsidP="00F6346E"/>
    <w:p w:rsidR="00F6346E" w:rsidRDefault="00F6346E" w:rsidP="00F6346E"/>
    <w:p w:rsidR="00294EC6" w:rsidRPr="00F6346E" w:rsidRDefault="00F6346E" w:rsidP="00F6346E">
      <w:pPr>
        <w:tabs>
          <w:tab w:val="left" w:pos="6679"/>
        </w:tabs>
      </w:pPr>
      <w:r>
        <w:tab/>
      </w:r>
    </w:p>
    <w:sectPr w:rsidR="00294EC6" w:rsidRPr="00F6346E" w:rsidSect="005D7B9C">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ACC" w:rsidRDefault="00DF7ACC" w:rsidP="00DF7ACC">
      <w:r>
        <w:separator/>
      </w:r>
    </w:p>
  </w:endnote>
  <w:endnote w:type="continuationSeparator" w:id="0">
    <w:p w:rsidR="00DF7ACC" w:rsidRDefault="00DF7ACC" w:rsidP="00DF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F6346E">
        <w:pPr>
          <w:pStyle w:val="Piedepgina"/>
          <w:jc w:val="center"/>
        </w:pPr>
        <w:r>
          <w:fldChar w:fldCharType="begin"/>
        </w:r>
        <w:r>
          <w:instrText>PAGE   \* MERGEFORMAT</w:instrText>
        </w:r>
        <w:r>
          <w:fldChar w:fldCharType="separate"/>
        </w:r>
        <w:r>
          <w:rPr>
            <w:noProof/>
          </w:rPr>
          <w:t>10</w:t>
        </w:r>
        <w:r>
          <w:fldChar w:fldCharType="end"/>
        </w:r>
      </w:p>
    </w:sdtContent>
  </w:sdt>
  <w:p w:rsidR="009525A3" w:rsidRDefault="00F6346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ACC" w:rsidRDefault="00DF7ACC" w:rsidP="00DF7ACC">
      <w:r>
        <w:separator/>
      </w:r>
    </w:p>
  </w:footnote>
  <w:footnote w:type="continuationSeparator" w:id="0">
    <w:p w:rsidR="00DF7ACC" w:rsidRDefault="00DF7ACC" w:rsidP="00DF7A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DF7ACC" w:rsidP="00A73AD7">
    <w:pPr>
      <w:pStyle w:val="Encabezado"/>
      <w:jc w:val="right"/>
      <w:rPr>
        <w:rFonts w:ascii="Arial" w:hAnsi="Arial" w:cs="Arial"/>
      </w:rPr>
    </w:pPr>
    <w:r w:rsidRPr="00DF7ACC">
      <w:rPr>
        <w:rFonts w:eastAsia="Calibri"/>
        <w:noProof/>
        <w:lang w:val="es-MX"/>
      </w:rPr>
      <mc:AlternateContent>
        <mc:Choice Requires="wps">
          <w:drawing>
            <wp:anchor distT="45720" distB="45720" distL="114300" distR="114300" simplePos="0" relativeHeight="251665408" behindDoc="1" locked="0" layoutInCell="1" allowOverlap="1" wp14:anchorId="0A6599C0" wp14:editId="76C815CA">
              <wp:simplePos x="0" y="0"/>
              <wp:positionH relativeFrom="leftMargin">
                <wp:posOffset>350682</wp:posOffset>
              </wp:positionH>
              <wp:positionV relativeFrom="paragraph">
                <wp:posOffset>3897238</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F7ACC" w:rsidRDefault="00DF7ACC" w:rsidP="00DF7ACC">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6599C0" id="_x0000_t202" coordsize="21600,21600" o:spt="202" path="m,l,21600r21600,l21600,xe">
              <v:stroke joinstyle="miter"/>
              <v:path gradientshapeok="t" o:connecttype="rect"/>
            </v:shapetype>
            <v:shape id="Cuadro de texto 1" o:spid="_x0000_s1026" type="#_x0000_t202" style="position:absolute;left:0;text-align:left;margin-left:27.6pt;margin-top:306.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B5Xb5/fAAAACgEAAA8AAABk&#10;cnMvZG93bnJldi54bWxMj8FOwzAQRO9I/IO1SFwQdZqSpIQ4FUICwQ0Kgqsbb5OIeB1sNw1/z3KC&#10;42pGb95Wm9kOYkIfekcKlosEBFLjTE+tgrfX+8s1iBA1GT04QgXfGGBTn55UujTuSC84bWMrGEKh&#10;1Aq6GMdSytB0aHVYuBGJs73zVkc+fSuN10eG20GmSZJLq3vihU6PeNdh87k9WAXrq8fpIzytnt+b&#10;fD9cx4tievjySp2fzbc3ICLO8a8Mv/qsDjU77dyBTBCDgixLuakgX64KEFxIeQ/EjulZUoCsK/n/&#10;hfoHAAD//wMAUEsBAi0AFAAGAAgAAAAhALaDOJL+AAAA4QEAABMAAAAAAAAAAAAAAAAAAAAAAFtD&#10;b250ZW50X1R5cGVzXS54bWxQSwECLQAUAAYACAAAACEAOP0h/9YAAACUAQAACwAAAAAAAAAAAAAA&#10;AAAvAQAAX3JlbHMvLnJlbHNQSwECLQAUAAYACAAAACEA9wJweDQCAABfBAAADgAAAAAAAAAAAAAA&#10;AAAuAgAAZHJzL2Uyb0RvYy54bWxQSwECLQAUAAYACAAAACEAHldvn98AAAAKAQAADwAAAAAAAAAA&#10;AAAAAACOBAAAZHJzL2Rvd25yZXYueG1sUEsFBgAAAAAEAAQA8wAAAJoFAAAAAA==&#10;">
              <v:textbox>
                <w:txbxContent>
                  <w:p w:rsidR="00DF7ACC" w:rsidRDefault="00DF7ACC" w:rsidP="00DF7ACC">
                    <w:pPr>
                      <w:jc w:val="center"/>
                    </w:pPr>
                    <w:r>
                      <w:t>DATOS PERSONALES PROTEGIDOS POR EL ART.- 116 DE LA LGTAIP Y EL ART.- 61 DE LA LTAIPEO</w:t>
                    </w:r>
                  </w:p>
                </w:txbxContent>
              </v:textbox>
              <w10:wrap anchorx="margin"/>
            </v:shape>
          </w:pict>
        </mc:Fallback>
      </mc:AlternateContent>
    </w:r>
    <w:r w:rsidR="00F6346E" w:rsidRPr="00A73AD7">
      <w:rPr>
        <w:rFonts w:ascii="Arial" w:hAnsi="Arial" w:cs="Arial"/>
        <w:noProof/>
        <w:sz w:val="18"/>
        <w:szCs w:val="18"/>
        <w:lang w:val="es-MX"/>
      </w:rPr>
      <w:drawing>
        <wp:anchor distT="0" distB="0" distL="114300" distR="114300" simplePos="0" relativeHeight="251659264" behindDoc="1" locked="0" layoutInCell="1" allowOverlap="1" wp14:anchorId="543B42C6" wp14:editId="007D7A27">
          <wp:simplePos x="0" y="0"/>
          <wp:positionH relativeFrom="page">
            <wp:posOffset>2457450</wp:posOffset>
          </wp:positionH>
          <wp:positionV relativeFrom="paragraph">
            <wp:posOffset>4350385</wp:posOffset>
          </wp:positionV>
          <wp:extent cx="2428875" cy="2428875"/>
          <wp:effectExtent l="0" t="0" r="9525" b="952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346E">
      <w:rPr>
        <w:rFonts w:ascii="Arial" w:hAnsi="Arial" w:cs="Arial"/>
      </w:rPr>
      <w:t>0</w:t>
    </w:r>
    <w:r w:rsidR="00F6346E">
      <w:rPr>
        <w:rFonts w:ascii="Arial" w:hAnsi="Arial" w:cs="Arial"/>
      </w:rPr>
      <w:t>0</w:t>
    </w:r>
    <w:r w:rsidR="00F6346E">
      <w:rPr>
        <w:rFonts w:ascii="Arial" w:hAnsi="Arial" w:cs="Arial"/>
      </w:rPr>
      <w:t>1</w:t>
    </w:r>
    <w:r w:rsidR="00F6346E">
      <w:rPr>
        <w:rFonts w:ascii="Arial" w:hAnsi="Arial" w:cs="Arial"/>
      </w:rPr>
      <w:t>3</w:t>
    </w:r>
    <w:r w:rsidR="00F6346E" w:rsidRPr="00A73AD7">
      <w:rPr>
        <w:rFonts w:ascii="Arial" w:hAnsi="Arial" w:cs="Arial"/>
      </w:rPr>
      <w:t>/20</w:t>
    </w:r>
    <w:r w:rsidR="00F6346E">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DF7ACC">
    <w:pPr>
      <w:pStyle w:val="Encabezado"/>
    </w:pPr>
    <w:r w:rsidRPr="00DF7ACC">
      <w:rPr>
        <w:rFonts w:eastAsia="Calibri"/>
        <w:noProof/>
        <w:lang w:val="es-MX"/>
      </w:rPr>
      <mc:AlternateContent>
        <mc:Choice Requires="wps">
          <w:drawing>
            <wp:anchor distT="45720" distB="45720" distL="114300" distR="114300" simplePos="0" relativeHeight="251663360" behindDoc="1" locked="0" layoutInCell="1" allowOverlap="1" wp14:anchorId="3DC695E3" wp14:editId="0670EE13">
              <wp:simplePos x="0" y="0"/>
              <wp:positionH relativeFrom="leftMargin">
                <wp:posOffset>204767</wp:posOffset>
              </wp:positionH>
              <wp:positionV relativeFrom="paragraph">
                <wp:posOffset>4996463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F7ACC" w:rsidRDefault="00DF7ACC" w:rsidP="00DF7ACC">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C695E3" id="_x0000_t202" coordsize="21600,21600" o:spt="202" path="m,l,21600r21600,l21600,xe">
              <v:stroke joinstyle="miter"/>
              <v:path gradientshapeok="t" o:connecttype="rect"/>
            </v:shapetype>
            <v:shape id="Cuadro de texto 4" o:spid="_x0000_s1027" type="#_x0000_t202" style="position:absolute;margin-left:16.1pt;margin-top:393.4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KGMyf4AAAAAsBAAAPAAAAZHJzL2Rv&#10;d25yZXYueG1sTI/BTsMwDIbvSLxDZCQuiKW0qO1K0wkhgeA2xjSuWZO1FYlTkqwrb493gpstf/r9&#10;/fVqtoZN2ofBoYC7RQJMY+vUgJ2A7cfzbQksRIlKGodawI8OsGouL2pZKXfCdz1tYscoBEMlBfQx&#10;jhXnoe21lWHhRo10OzhvZaTVd1x5eaJwa3iaJDm3ckD60MtRP/W6/docrYDy/nX6DG/ZetfmB7OM&#10;N8X08u2FuL6aHx+ART3HPxjO+qQODTnt3RFVYEZAlqZECijKnCqcgWVB5fY0JGlWAm9q/r9D8wsA&#10;AP//AwBQSwECLQAUAAYACAAAACEAtoM4kv4AAADhAQAAEwAAAAAAAAAAAAAAAAAAAAAAW0NvbnRl&#10;bnRfVHlwZXNdLnhtbFBLAQItABQABgAIAAAAIQA4/SH/1gAAAJQBAAALAAAAAAAAAAAAAAAAAC8B&#10;AABfcmVscy8ucmVsc1BLAQItABQABgAIAAAAIQBDC2fILwIAAFgEAAAOAAAAAAAAAAAAAAAAAC4C&#10;AABkcnMvZTJvRG9jLnhtbFBLAQItABQABgAIAAAAIQBKGMyf4AAAAAsBAAAPAAAAAAAAAAAAAAAA&#10;AIkEAABkcnMvZG93bnJldi54bWxQSwUGAAAAAAQABADzAAAAlgUAAAAA&#10;">
              <v:textbox>
                <w:txbxContent>
                  <w:p w:rsidR="00DF7ACC" w:rsidRDefault="00DF7ACC" w:rsidP="00DF7ACC">
                    <w:pPr>
                      <w:jc w:val="center"/>
                    </w:pPr>
                    <w:r>
                      <w:t>DATOS PERSONALES PROTEGIDOS POR EL ART.- 116 DE LA LGTAIP Y EL ART.- 61 DE LA LTAIPEO</w:t>
                    </w:r>
                  </w:p>
                </w:txbxContent>
              </v:textbox>
              <w10:wrap anchorx="margin"/>
            </v:shape>
          </w:pict>
        </mc:Fallback>
      </mc:AlternateContent>
    </w:r>
    <w:r w:rsidR="00F6346E">
      <w:rPr>
        <w:noProof/>
        <w:lang w:val="es-MX"/>
      </w:rPr>
      <w:drawing>
        <wp:anchor distT="0" distB="0" distL="114300" distR="114300" simplePos="0" relativeHeight="251661312" behindDoc="1" locked="0" layoutInCell="1" allowOverlap="1" wp14:anchorId="158D7A28" wp14:editId="6F9404D4">
          <wp:simplePos x="0" y="0"/>
          <wp:positionH relativeFrom="margin">
            <wp:align>left</wp:align>
          </wp:positionH>
          <wp:positionV relativeFrom="paragraph">
            <wp:posOffset>626110</wp:posOffset>
          </wp:positionV>
          <wp:extent cx="838200" cy="83820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346E">
      <w:rPr>
        <w:noProof/>
        <w:lang w:val="es-MX"/>
      </w:rPr>
      <w:drawing>
        <wp:anchor distT="0" distB="0" distL="114300" distR="114300" simplePos="0" relativeHeight="251660288" behindDoc="1" locked="0" layoutInCell="1" allowOverlap="1" wp14:anchorId="1C8A30FA" wp14:editId="7C85B950">
          <wp:simplePos x="0" y="0"/>
          <wp:positionH relativeFrom="page">
            <wp:posOffset>3219450</wp:posOffset>
          </wp:positionH>
          <wp:positionV relativeFrom="paragraph">
            <wp:posOffset>4836160</wp:posOffset>
          </wp:positionV>
          <wp:extent cx="1781175" cy="1781175"/>
          <wp:effectExtent l="0" t="0" r="9525"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8366CD"/>
    <w:multiLevelType w:val="hybridMultilevel"/>
    <w:tmpl w:val="0BD67E9A"/>
    <w:lvl w:ilvl="0" w:tplc="C2000CB0">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ACC"/>
    <w:rsid w:val="00294EC6"/>
    <w:rsid w:val="004B1DB0"/>
    <w:rsid w:val="005223BF"/>
    <w:rsid w:val="00685BC3"/>
    <w:rsid w:val="00AC77AC"/>
    <w:rsid w:val="00DF7ACC"/>
    <w:rsid w:val="00F634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56C9719-F71C-4195-BFB0-AF08AEA8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ACC"/>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DF7ACC"/>
    <w:pPr>
      <w:spacing w:after="120"/>
    </w:pPr>
    <w:rPr>
      <w:lang w:val="x-none"/>
    </w:rPr>
  </w:style>
  <w:style w:type="character" w:customStyle="1" w:styleId="TextoindependienteCar">
    <w:name w:val="Texto independiente Car"/>
    <w:basedOn w:val="Fuentedeprrafopredeter"/>
    <w:link w:val="Textoindependiente"/>
    <w:uiPriority w:val="99"/>
    <w:rsid w:val="00DF7ACC"/>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DF7ACC"/>
    <w:pPr>
      <w:autoSpaceDE w:val="0"/>
      <w:autoSpaceDN w:val="0"/>
    </w:pPr>
    <w:rPr>
      <w:lang w:eastAsia="es-ES"/>
    </w:rPr>
  </w:style>
  <w:style w:type="character" w:customStyle="1" w:styleId="TextonotapieCar">
    <w:name w:val="Texto nota pie Car"/>
    <w:basedOn w:val="Fuentedeprrafopredeter"/>
    <w:link w:val="Textonotapie"/>
    <w:uiPriority w:val="99"/>
    <w:rsid w:val="00DF7ACC"/>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F7ACC"/>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F7ACC"/>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DF7ACC"/>
    <w:pPr>
      <w:tabs>
        <w:tab w:val="center" w:pos="4419"/>
        <w:tab w:val="right" w:pos="8838"/>
      </w:tabs>
    </w:pPr>
  </w:style>
  <w:style w:type="character" w:customStyle="1" w:styleId="EncabezadoCar">
    <w:name w:val="Encabezado Car"/>
    <w:basedOn w:val="Fuentedeprrafopredeter"/>
    <w:link w:val="Encabezado"/>
    <w:uiPriority w:val="99"/>
    <w:rsid w:val="00DF7ACC"/>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DF7ACC"/>
    <w:pPr>
      <w:tabs>
        <w:tab w:val="center" w:pos="4419"/>
        <w:tab w:val="right" w:pos="8838"/>
      </w:tabs>
    </w:pPr>
  </w:style>
  <w:style w:type="character" w:customStyle="1" w:styleId="PiedepginaCar">
    <w:name w:val="Pie de página Car"/>
    <w:basedOn w:val="Fuentedeprrafopredeter"/>
    <w:link w:val="Piedepgina"/>
    <w:uiPriority w:val="99"/>
    <w:rsid w:val="00DF7ACC"/>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DF7ACC"/>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BD7"/>
    <w:rsid w:val="00645B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CDBC812E5554A0EBBD486B33476CE67">
    <w:name w:val="DCDBC812E5554A0EBBD486B33476CE67"/>
    <w:rsid w:val="00645B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3783</Words>
  <Characters>20807</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2023-04-12T21:14:00Z</dcterms:created>
  <dcterms:modified xsi:type="dcterms:W3CDTF">2023-04-12T21:27:00Z</dcterms:modified>
</cp:coreProperties>
</file>