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3F14EA0E"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4259B2" w:rsidRPr="007B0581">
        <w:rPr>
          <w:rFonts w:cs="Arial"/>
          <w:b/>
          <w:bCs/>
          <w:sz w:val="24"/>
          <w:szCs w:val="24"/>
        </w:rPr>
        <w:t>0</w:t>
      </w:r>
      <w:r w:rsidR="00165D83" w:rsidRPr="007B0581">
        <w:rPr>
          <w:rFonts w:cs="Arial"/>
          <w:b/>
          <w:bCs/>
          <w:sz w:val="24"/>
          <w:szCs w:val="24"/>
        </w:rPr>
        <w:t>1</w:t>
      </w:r>
      <w:r w:rsidR="0003697E" w:rsidRPr="007B0581">
        <w:rPr>
          <w:rFonts w:cs="Arial"/>
          <w:b/>
          <w:bCs/>
          <w:sz w:val="24"/>
          <w:szCs w:val="24"/>
        </w:rPr>
        <w:t>3</w:t>
      </w:r>
      <w:r w:rsidRPr="007B0581">
        <w:rPr>
          <w:rFonts w:cs="Arial"/>
          <w:b/>
          <w:bCs/>
          <w:sz w:val="24"/>
          <w:szCs w:val="24"/>
        </w:rPr>
        <w:t>/20</w:t>
      </w:r>
      <w:r w:rsidR="00165D83" w:rsidRPr="007B0581">
        <w:rPr>
          <w:rFonts w:cs="Arial"/>
          <w:b/>
          <w:bCs/>
          <w:sz w:val="24"/>
          <w:szCs w:val="24"/>
        </w:rPr>
        <w:t>2</w:t>
      </w:r>
      <w:r w:rsidR="004259B2" w:rsidRPr="007B0581">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27994A48"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F71BE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770F5297"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3F17A8BB" w14:textId="34EF548D" w:rsidR="006E2C00" w:rsidRPr="007B0581"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OAXACA DE JUAREZ, OAXACA </w:t>
      </w:r>
      <w:r w:rsidR="00562F3E" w:rsidRPr="007B0581">
        <w:rPr>
          <w:rFonts w:ascii="Arial" w:hAnsi="Arial" w:cs="Arial"/>
          <w:b/>
          <w:sz w:val="24"/>
          <w:szCs w:val="24"/>
        </w:rPr>
        <w:t xml:space="preserve">A </w:t>
      </w:r>
      <w:r w:rsidR="0003697E" w:rsidRPr="007B0581">
        <w:rPr>
          <w:rFonts w:ascii="Arial" w:hAnsi="Arial" w:cs="Arial"/>
          <w:b/>
          <w:sz w:val="24"/>
          <w:szCs w:val="24"/>
        </w:rPr>
        <w:t>TREINTA</w:t>
      </w:r>
      <w:r w:rsidR="00543886" w:rsidRPr="007B0581">
        <w:rPr>
          <w:rFonts w:ascii="Arial" w:hAnsi="Arial" w:cs="Arial"/>
          <w:b/>
          <w:sz w:val="24"/>
          <w:szCs w:val="24"/>
        </w:rPr>
        <w:t xml:space="preserve"> DE </w:t>
      </w:r>
      <w:r w:rsidR="004259B2" w:rsidRPr="007B0581">
        <w:rPr>
          <w:rFonts w:ascii="Arial" w:hAnsi="Arial" w:cs="Arial"/>
          <w:b/>
          <w:sz w:val="24"/>
          <w:szCs w:val="24"/>
        </w:rPr>
        <w:t xml:space="preserve">SEPTIEMBRE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00065664" w:rsidRPr="007B0581">
        <w:rPr>
          <w:rFonts w:ascii="Arial" w:hAnsi="Arial" w:cs="Arial"/>
          <w:b/>
          <w:sz w:val="24"/>
          <w:szCs w:val="24"/>
        </w:rPr>
        <w:t xml:space="preserve"> (30-09-2021)</w:t>
      </w:r>
      <w:r w:rsidR="004259B2" w:rsidRPr="007B0581">
        <w:rPr>
          <w:rFonts w:ascii="Arial" w:hAnsi="Arial" w:cs="Arial"/>
          <w:b/>
          <w:sz w:val="24"/>
          <w:szCs w:val="24"/>
        </w:rPr>
        <w:t>.</w:t>
      </w:r>
      <w:r w:rsidRPr="007B0581">
        <w:rPr>
          <w:rFonts w:ascii="Arial" w:hAnsi="Arial" w:cs="Arial"/>
          <w:b/>
          <w:sz w:val="24"/>
          <w:szCs w:val="24"/>
        </w:rPr>
        <w:t xml:space="preserve"> - - - - - - - - - - - - - - - - - - - - - - - - - - - - - </w:t>
      </w:r>
      <w:r w:rsidR="00562F3E" w:rsidRPr="007B0581">
        <w:rPr>
          <w:rFonts w:ascii="Arial" w:hAnsi="Arial" w:cs="Arial"/>
          <w:b/>
          <w:sz w:val="24"/>
          <w:szCs w:val="24"/>
        </w:rPr>
        <w:t xml:space="preserve">- - - </w:t>
      </w:r>
      <w:r w:rsidR="009B52E2" w:rsidRPr="007B0581">
        <w:rPr>
          <w:rFonts w:ascii="Arial" w:hAnsi="Arial" w:cs="Arial"/>
          <w:b/>
          <w:sz w:val="24"/>
          <w:szCs w:val="24"/>
        </w:rPr>
        <w:t xml:space="preserve">- - - - </w:t>
      </w:r>
      <w:r w:rsidR="00165D83" w:rsidRPr="007B0581">
        <w:rPr>
          <w:rFonts w:ascii="Arial" w:hAnsi="Arial" w:cs="Arial"/>
          <w:b/>
          <w:sz w:val="24"/>
          <w:szCs w:val="24"/>
        </w:rPr>
        <w:t xml:space="preserve">- - - </w:t>
      </w:r>
      <w:r w:rsidR="00B7239E" w:rsidRPr="007B0581">
        <w:rPr>
          <w:rFonts w:ascii="Arial" w:hAnsi="Arial" w:cs="Arial"/>
          <w:b/>
          <w:sz w:val="24"/>
          <w:szCs w:val="24"/>
        </w:rPr>
        <w:t xml:space="preserve">- - </w:t>
      </w:r>
    </w:p>
    <w:p w14:paraId="09B0ED05" w14:textId="77777777" w:rsidR="006E2C00" w:rsidRPr="007B0581" w:rsidRDefault="006E2C00" w:rsidP="00AB36AE">
      <w:pPr>
        <w:contextualSpacing/>
        <w:jc w:val="both"/>
        <w:rPr>
          <w:rFonts w:ascii="Arial" w:hAnsi="Arial" w:cs="Arial"/>
          <w:b/>
          <w:sz w:val="24"/>
          <w:szCs w:val="24"/>
        </w:rPr>
      </w:pPr>
    </w:p>
    <w:p w14:paraId="37DCC537" w14:textId="63B1286C"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V I</w:t>
      </w:r>
      <w:r w:rsidR="006E2C00" w:rsidRPr="007B0581">
        <w:rPr>
          <w:rFonts w:ascii="Arial" w:hAnsi="Arial" w:cs="Arial"/>
          <w:b/>
          <w:sz w:val="24"/>
          <w:szCs w:val="24"/>
        </w:rPr>
        <w:t xml:space="preserve">  S  T  O  S</w:t>
      </w:r>
      <w:r w:rsidR="006E2C00" w:rsidRPr="007B0581">
        <w:rPr>
          <w:rFonts w:ascii="Arial" w:hAnsi="Arial" w:cs="Arial"/>
          <w:sz w:val="24"/>
          <w:szCs w:val="24"/>
        </w:rPr>
        <w:t xml:space="preserve">  para resolver los autos del juicio de nulidad de número </w:t>
      </w:r>
      <w:r w:rsidR="00802DB3" w:rsidRPr="007B0581">
        <w:rPr>
          <w:rFonts w:ascii="Arial" w:hAnsi="Arial" w:cs="Arial"/>
          <w:sz w:val="24"/>
          <w:szCs w:val="24"/>
        </w:rPr>
        <w:t>0</w:t>
      </w:r>
      <w:r w:rsidR="0083112B" w:rsidRPr="007B0581">
        <w:rPr>
          <w:rFonts w:ascii="Arial" w:hAnsi="Arial" w:cs="Arial"/>
          <w:sz w:val="24"/>
          <w:szCs w:val="24"/>
        </w:rPr>
        <w:t>0</w:t>
      </w:r>
      <w:r w:rsidR="00802DB3" w:rsidRPr="007B0581">
        <w:rPr>
          <w:rFonts w:ascii="Arial" w:hAnsi="Arial" w:cs="Arial"/>
          <w:sz w:val="24"/>
          <w:szCs w:val="24"/>
        </w:rPr>
        <w:t>1</w:t>
      </w:r>
      <w:r w:rsidR="00163861" w:rsidRPr="007B0581">
        <w:rPr>
          <w:rFonts w:ascii="Arial" w:hAnsi="Arial" w:cs="Arial"/>
          <w:sz w:val="24"/>
          <w:szCs w:val="24"/>
        </w:rPr>
        <w:t>3</w:t>
      </w:r>
      <w:r w:rsidR="006E2C00" w:rsidRPr="007B0581">
        <w:rPr>
          <w:rFonts w:ascii="Arial" w:hAnsi="Arial" w:cs="Arial"/>
          <w:sz w:val="24"/>
          <w:szCs w:val="24"/>
        </w:rPr>
        <w:t>/20</w:t>
      </w:r>
      <w:r w:rsidR="00802DB3" w:rsidRPr="007B0581">
        <w:rPr>
          <w:rFonts w:ascii="Arial" w:hAnsi="Arial" w:cs="Arial"/>
          <w:sz w:val="24"/>
          <w:szCs w:val="24"/>
        </w:rPr>
        <w:t>2</w:t>
      </w:r>
      <w:r w:rsidR="0083112B" w:rsidRPr="007B0581">
        <w:rPr>
          <w:rFonts w:ascii="Arial" w:hAnsi="Arial" w:cs="Arial"/>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F71BE4">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número </w:t>
      </w:r>
      <w:bookmarkStart w:id="0" w:name="_Hlk83640314"/>
      <w:r w:rsidR="00F71BE4">
        <w:rPr>
          <w:rFonts w:cs="Arial"/>
          <w:b/>
          <w:sz w:val="24"/>
          <w:szCs w:val="24"/>
        </w:rPr>
        <w:t>**********</w:t>
      </w:r>
      <w:r w:rsidR="00F71BE4">
        <w:rPr>
          <w:rFonts w:cs="Arial"/>
          <w:b/>
          <w:sz w:val="24"/>
          <w:szCs w:val="24"/>
        </w:rPr>
        <w:t xml:space="preserve"> </w:t>
      </w:r>
      <w:r w:rsidR="00AF2E69" w:rsidRPr="007B0581">
        <w:rPr>
          <w:rFonts w:ascii="Arial" w:hAnsi="Arial" w:cs="Arial"/>
          <w:sz w:val="24"/>
          <w:szCs w:val="24"/>
        </w:rPr>
        <w:t xml:space="preserve">de </w:t>
      </w:r>
      <w:r w:rsidR="0083112B" w:rsidRPr="007B0581">
        <w:rPr>
          <w:rFonts w:ascii="Arial" w:hAnsi="Arial" w:cs="Arial"/>
          <w:sz w:val="24"/>
          <w:szCs w:val="24"/>
        </w:rPr>
        <w:t>diez</w:t>
      </w:r>
      <w:r w:rsidR="00163861" w:rsidRPr="007B0581">
        <w:rPr>
          <w:rFonts w:ascii="Arial" w:hAnsi="Arial" w:cs="Arial"/>
          <w:sz w:val="24"/>
          <w:szCs w:val="24"/>
        </w:rPr>
        <w:t xml:space="preserve"> </w:t>
      </w:r>
      <w:r w:rsidR="000C6227" w:rsidRPr="007B0581">
        <w:rPr>
          <w:rFonts w:ascii="Arial" w:hAnsi="Arial" w:cs="Arial"/>
          <w:sz w:val="24"/>
          <w:szCs w:val="24"/>
        </w:rPr>
        <w:t xml:space="preserve">de </w:t>
      </w:r>
      <w:r w:rsidR="0083112B" w:rsidRPr="007B0581">
        <w:rPr>
          <w:rFonts w:ascii="Arial" w:hAnsi="Arial" w:cs="Arial"/>
          <w:sz w:val="24"/>
          <w:szCs w:val="24"/>
        </w:rPr>
        <w:t>julio</w:t>
      </w:r>
      <w:r w:rsidR="000C6227" w:rsidRPr="007B0581">
        <w:rPr>
          <w:rFonts w:ascii="Arial" w:hAnsi="Arial" w:cs="Arial"/>
          <w:sz w:val="24"/>
          <w:szCs w:val="24"/>
        </w:rPr>
        <w:t xml:space="preserve"> </w:t>
      </w:r>
      <w:r w:rsidR="00AF2E69" w:rsidRPr="007B0581">
        <w:rPr>
          <w:rFonts w:ascii="Arial" w:hAnsi="Arial" w:cs="Arial"/>
          <w:sz w:val="24"/>
          <w:szCs w:val="24"/>
        </w:rPr>
        <w:t xml:space="preserve">de dos mil </w:t>
      </w:r>
      <w:r w:rsidR="0083112B" w:rsidRPr="007B0581">
        <w:rPr>
          <w:rFonts w:ascii="Arial" w:hAnsi="Arial" w:cs="Arial"/>
          <w:sz w:val="24"/>
          <w:szCs w:val="24"/>
        </w:rPr>
        <w:t>diecinueve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signado por el Director General de la Oficina de Pensiones,</w:t>
      </w:r>
      <w:r w:rsidR="000C6227" w:rsidRPr="007B0581">
        <w:rPr>
          <w:rFonts w:ascii="Arial" w:hAnsi="Arial" w:cs="Arial"/>
          <w:sz w:val="24"/>
          <w:szCs w:val="24"/>
        </w:rPr>
        <w:t xml:space="preserve"> </w:t>
      </w:r>
      <w:r w:rsidR="00150F4B" w:rsidRPr="007B0581">
        <w:rPr>
          <w:rFonts w:ascii="Arial" w:hAnsi="Arial" w:cs="Arial"/>
          <w:sz w:val="24"/>
          <w:szCs w:val="24"/>
        </w:rPr>
        <w:t>que contiene el Dictamen de pensión por jubilación aprobado por el</w:t>
      </w:r>
      <w:r w:rsidR="00150F4B" w:rsidRPr="007B0581">
        <w:rPr>
          <w:rFonts w:ascii="Arial" w:hAnsi="Arial" w:cs="Arial"/>
          <w:b/>
          <w:bCs/>
          <w:sz w:val="24"/>
          <w:szCs w:val="24"/>
        </w:rPr>
        <w:t xml:space="preserve"> CONSEJO DIRECTIVO DE PENSIONES DEL ESTADO DE OAXACA</w:t>
      </w:r>
      <w:bookmarkEnd w:id="0"/>
      <w:r w:rsidR="00150F4B" w:rsidRPr="007B0581">
        <w:rPr>
          <w:rFonts w:ascii="Arial" w:hAnsi="Arial" w:cs="Arial"/>
          <w:sz w:val="24"/>
          <w:szCs w:val="24"/>
        </w:rPr>
        <w:t>, y;</w:t>
      </w:r>
      <w:r w:rsidR="00E95FD9" w:rsidRPr="007B0581">
        <w:rPr>
          <w:rFonts w:ascii="Arial" w:hAnsi="Arial" w:cs="Arial"/>
          <w:b/>
          <w:bCs/>
          <w:sz w:val="24"/>
          <w:szCs w:val="24"/>
        </w:rPr>
        <w:t xml:space="preserve"> </w:t>
      </w:r>
      <w:bookmarkStart w:id="2" w:name="_GoBack"/>
      <w:bookmarkEnd w:id="2"/>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676C80FC"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A15B34" w:rsidRPr="007B0581">
        <w:rPr>
          <w:rFonts w:ascii="Arial" w:hAnsi="Arial" w:cs="Arial"/>
          <w:sz w:val="24"/>
          <w:szCs w:val="24"/>
        </w:rPr>
        <w:t>tres de marzo</w:t>
      </w:r>
      <w:r w:rsidR="00C254ED" w:rsidRPr="007B0581">
        <w:rPr>
          <w:rFonts w:ascii="Arial" w:hAnsi="Arial" w:cs="Arial"/>
          <w:sz w:val="24"/>
          <w:szCs w:val="24"/>
        </w:rPr>
        <w:t xml:space="preserve"> de </w:t>
      </w:r>
      <w:r w:rsidR="00CA5BAC" w:rsidRPr="007B0581">
        <w:rPr>
          <w:rFonts w:ascii="Arial" w:hAnsi="Arial" w:cs="Arial"/>
          <w:sz w:val="24"/>
          <w:szCs w:val="24"/>
        </w:rPr>
        <w:t>dos mil veintiuno</w:t>
      </w:r>
      <w:r w:rsidR="00473175" w:rsidRPr="007B0581">
        <w:rPr>
          <w:rFonts w:ascii="Arial" w:hAnsi="Arial" w:cs="Arial"/>
          <w:sz w:val="24"/>
          <w:szCs w:val="24"/>
        </w:rPr>
        <w:t xml:space="preserve">, </w:t>
      </w:r>
      <w:r w:rsidR="00F71BE4">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contenida en </w:t>
      </w:r>
      <w:r w:rsidR="00163861" w:rsidRPr="007B0581">
        <w:rPr>
          <w:rFonts w:ascii="Arial" w:hAnsi="Arial" w:cs="Arial"/>
          <w:sz w:val="24"/>
          <w:szCs w:val="24"/>
        </w:rPr>
        <w:t xml:space="preserve">el </w:t>
      </w:r>
      <w:bookmarkStart w:id="3" w:name="_Hlk83725409"/>
      <w:r w:rsidR="00163861" w:rsidRPr="007B0581">
        <w:rPr>
          <w:rFonts w:ascii="Arial" w:hAnsi="Arial" w:cs="Arial"/>
          <w:sz w:val="24"/>
          <w:szCs w:val="24"/>
        </w:rPr>
        <w:t xml:space="preserve">oficio número </w:t>
      </w:r>
      <w:r w:rsidR="00F71BE4">
        <w:rPr>
          <w:rFonts w:cs="Arial"/>
          <w:b/>
          <w:sz w:val="24"/>
          <w:szCs w:val="24"/>
        </w:rPr>
        <w:t>**********</w:t>
      </w:r>
      <w:r w:rsidR="00F71BE4">
        <w:rPr>
          <w:rFonts w:cs="Arial"/>
          <w:b/>
          <w:sz w:val="24"/>
          <w:szCs w:val="24"/>
        </w:rPr>
        <w:t xml:space="preserve"> </w:t>
      </w:r>
      <w:r w:rsidR="00A15B34" w:rsidRPr="007B0581">
        <w:rPr>
          <w:rFonts w:ascii="Arial" w:hAnsi="Arial" w:cs="Arial"/>
          <w:sz w:val="24"/>
          <w:szCs w:val="24"/>
        </w:rPr>
        <w:t xml:space="preserve">de diez de julio de dos mil diecinueve, signado por </w:t>
      </w:r>
      <w:r w:rsidR="00917EDB" w:rsidRPr="007B0581">
        <w:rPr>
          <w:rFonts w:ascii="Arial" w:hAnsi="Arial" w:cs="Arial"/>
          <w:sz w:val="24"/>
          <w:szCs w:val="24"/>
        </w:rPr>
        <w:t>el</w:t>
      </w:r>
      <w:r w:rsidR="009D19E2" w:rsidRPr="007B0581">
        <w:rPr>
          <w:rFonts w:ascii="Arial" w:hAnsi="Arial" w:cs="Arial"/>
          <w:sz w:val="24"/>
          <w:szCs w:val="24"/>
        </w:rPr>
        <w:t xml:space="preserve"> </w:t>
      </w:r>
      <w:r w:rsidR="006A0E35" w:rsidRPr="007B0581">
        <w:rPr>
          <w:rFonts w:ascii="Arial" w:hAnsi="Arial" w:cs="Arial"/>
          <w:sz w:val="24"/>
          <w:szCs w:val="24"/>
        </w:rPr>
        <w:t>Director General de la Oficina de Pensiones del Estado de Oaxaca</w:t>
      </w:r>
      <w:r w:rsidR="00E95FD9" w:rsidRPr="007B0581">
        <w:rPr>
          <w:rFonts w:ascii="Arial" w:hAnsi="Arial" w:cs="Arial"/>
          <w:sz w:val="24"/>
          <w:szCs w:val="24"/>
        </w:rPr>
        <w:t xml:space="preserve">, </w:t>
      </w:r>
      <w:r w:rsidR="00150F4B" w:rsidRPr="007B0581">
        <w:rPr>
          <w:rFonts w:ascii="Arial" w:hAnsi="Arial" w:cs="Arial"/>
          <w:sz w:val="24"/>
          <w:szCs w:val="24"/>
        </w:rPr>
        <w:t>el cual</w:t>
      </w:r>
      <w:r w:rsidR="00E95FD9" w:rsidRPr="007B0581">
        <w:rPr>
          <w:rFonts w:ascii="Arial" w:hAnsi="Arial" w:cs="Arial"/>
          <w:sz w:val="24"/>
          <w:szCs w:val="24"/>
        </w:rPr>
        <w:t xml:space="preserve"> contiene el Dictamen de pensión por jubilación aprobado por el</w:t>
      </w:r>
      <w:r w:rsidR="00E95FD9" w:rsidRPr="007B0581">
        <w:rPr>
          <w:rFonts w:ascii="Arial" w:hAnsi="Arial" w:cs="Arial"/>
          <w:b/>
          <w:bCs/>
          <w:sz w:val="24"/>
          <w:szCs w:val="24"/>
        </w:rPr>
        <w:t xml:space="preserve"> </w:t>
      </w:r>
      <w:bookmarkStart w:id="4" w:name="_Hlk83818750"/>
      <w:r w:rsidR="00E95FD9" w:rsidRPr="007B0581">
        <w:rPr>
          <w:rFonts w:ascii="Arial" w:hAnsi="Arial" w:cs="Arial"/>
          <w:sz w:val="24"/>
          <w:szCs w:val="24"/>
        </w:rPr>
        <w:t>Consejo Directivo de Pensiones del Estado de Oaxaca</w:t>
      </w:r>
      <w:bookmarkEnd w:id="4"/>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0F69E75C"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E25C17" w:rsidRPr="007B0581">
        <w:rPr>
          <w:rFonts w:ascii="Arial" w:hAnsi="Arial" w:cs="Arial"/>
          <w:sz w:val="24"/>
          <w:szCs w:val="24"/>
        </w:rPr>
        <w:t>cinco</w:t>
      </w:r>
      <w:r w:rsidR="009E0919" w:rsidRPr="007B0581">
        <w:rPr>
          <w:rFonts w:ascii="Arial" w:hAnsi="Arial" w:cs="Arial"/>
          <w:sz w:val="24"/>
          <w:szCs w:val="24"/>
        </w:rPr>
        <w:t xml:space="preserve"> de </w:t>
      </w:r>
      <w:r w:rsidR="00E25C17" w:rsidRPr="007B0581">
        <w:rPr>
          <w:rFonts w:ascii="Arial" w:hAnsi="Arial" w:cs="Arial"/>
          <w:sz w:val="24"/>
          <w:szCs w:val="24"/>
        </w:rPr>
        <w:t xml:space="preserve">marzo </w:t>
      </w:r>
      <w:r w:rsidR="00802DB3" w:rsidRPr="007B0581">
        <w:rPr>
          <w:rFonts w:ascii="Arial" w:hAnsi="Arial" w:cs="Arial"/>
          <w:sz w:val="24"/>
          <w:szCs w:val="24"/>
        </w:rPr>
        <w:t xml:space="preserve">del año en </w:t>
      </w:r>
      <w:r w:rsidR="00E25C17" w:rsidRPr="007B0581">
        <w:rPr>
          <w:rFonts w:ascii="Arial" w:hAnsi="Arial" w:cs="Arial"/>
          <w:sz w:val="24"/>
          <w:szCs w:val="24"/>
        </w:rPr>
        <w:t>curso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11B73BAB"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F616B6" w:rsidRPr="007B0581">
        <w:rPr>
          <w:rFonts w:cs="Arial"/>
          <w:bCs/>
          <w:sz w:val="24"/>
          <w:szCs w:val="24"/>
        </w:rPr>
        <w:t xml:space="preserve">tres de mayo </w:t>
      </w:r>
      <w:r w:rsidR="005D64AF" w:rsidRPr="007B0581">
        <w:rPr>
          <w:rFonts w:cs="Arial"/>
          <w:bCs/>
          <w:sz w:val="24"/>
          <w:szCs w:val="24"/>
        </w:rPr>
        <w:t xml:space="preserve">de dos mil </w:t>
      </w:r>
      <w:r w:rsidR="007E3CFF" w:rsidRPr="007B0581">
        <w:rPr>
          <w:rFonts w:cs="Arial"/>
          <w:bCs/>
          <w:sz w:val="24"/>
          <w:szCs w:val="24"/>
        </w:rPr>
        <w:t>veint</w:t>
      </w:r>
      <w:r w:rsidR="00F616B6" w:rsidRPr="007B0581">
        <w:rPr>
          <w:rFonts w:cs="Arial"/>
          <w:bCs/>
          <w:sz w:val="24"/>
          <w:szCs w:val="24"/>
        </w:rPr>
        <w:t>iuno</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 xml:space="preserve">l </w:t>
      </w:r>
      <w:r w:rsidR="00166D0B" w:rsidRPr="007B0581">
        <w:rPr>
          <w:rFonts w:cs="Arial"/>
          <w:sz w:val="24"/>
          <w:szCs w:val="24"/>
        </w:rPr>
        <w:t>a</w:t>
      </w:r>
      <w:r w:rsidR="00F616B6" w:rsidRPr="007B0581">
        <w:rPr>
          <w:rFonts w:cs="Arial"/>
          <w:sz w:val="24"/>
          <w:szCs w:val="24"/>
        </w:rPr>
        <w:t>poderado Legal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comparece</w:t>
      </w:r>
      <w:r w:rsidRPr="007B0581">
        <w:rPr>
          <w:rFonts w:cs="Arial"/>
          <w:sz w:val="24"/>
          <w:szCs w:val="24"/>
        </w:rPr>
        <w:t>, haciendo</w:t>
      </w:r>
      <w:r w:rsidR="006E2C00" w:rsidRPr="007B0581">
        <w:rPr>
          <w:rFonts w:cs="Arial"/>
          <w:sz w:val="24"/>
          <w:szCs w:val="24"/>
        </w:rPr>
        <w:t xml:space="preserve"> valer sus excepciones y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 xml:space="preserve">para los efectos correspondientes.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04271CE5" w:rsidR="00772264" w:rsidRPr="007B0581" w:rsidRDefault="00232678" w:rsidP="009B52E2">
      <w:pPr>
        <w:pStyle w:val="corte4fondo"/>
        <w:ind w:right="51" w:firstLine="567"/>
        <w:rPr>
          <w:rFonts w:cs="Arial"/>
          <w:b/>
          <w:bCs/>
          <w:sz w:val="24"/>
          <w:szCs w:val="24"/>
        </w:rPr>
      </w:pPr>
      <w:r w:rsidRPr="007B0581">
        <w:rPr>
          <w:rFonts w:cs="Arial"/>
          <w:b/>
          <w:bCs/>
          <w:sz w:val="24"/>
          <w:szCs w:val="24"/>
        </w:rPr>
        <w:lastRenderedPageBreak/>
        <w:t>CUARTO. -</w:t>
      </w:r>
      <w:r w:rsidR="00201D27" w:rsidRPr="007B0581">
        <w:rPr>
          <w:rFonts w:cs="Arial"/>
          <w:b/>
          <w:bCs/>
          <w:sz w:val="24"/>
          <w:szCs w:val="24"/>
        </w:rPr>
        <w:t xml:space="preserve">  </w:t>
      </w:r>
      <w:r w:rsidR="00772264" w:rsidRPr="007B0581">
        <w:rPr>
          <w:rFonts w:cs="Arial"/>
          <w:sz w:val="24"/>
          <w:szCs w:val="24"/>
          <w:lang w:val="es-ES"/>
        </w:rPr>
        <w:t xml:space="preserve">El seis de julio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772264" w:rsidRPr="007B0581">
        <w:rPr>
          <w:rFonts w:cs="Arial"/>
          <w:bCs/>
          <w:sz w:val="24"/>
          <w:szCs w:val="24"/>
        </w:rPr>
        <w:t xml:space="preserve">asentándose que el actor formuló alegatos de manera escrita, los cuales </w:t>
      </w:r>
      <w:r w:rsidR="00772264" w:rsidRPr="007B0581">
        <w:rPr>
          <w:rFonts w:cs="Arial"/>
          <w:sz w:val="24"/>
          <w:szCs w:val="24"/>
        </w:rPr>
        <w:t>se toman en consideración para el dictado de la presente sentencia, 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6B8C37DC"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7D47D560"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 y la autoridad demandada</w:t>
      </w:r>
      <w:r w:rsidR="0001538D" w:rsidRPr="007B0581">
        <w:rPr>
          <w:rFonts w:ascii="Arial" w:hAnsi="Arial" w:cs="Arial"/>
          <w:sz w:val="24"/>
          <w:szCs w:val="24"/>
        </w:rPr>
        <w:t>, mediante copia certificada del Instrumento Notarial número 2437, Volumen 58, de seis de marzo de dos mil diecisiete,  pasado por ante la Fe del Notario Público número Noventa del Estado de Oaxaca, Licenciado Octavio Eduardo Manzano Trovamala, de conformidad con lo establecido en l</w:t>
      </w:r>
      <w:r w:rsidR="00765194" w:rsidRPr="007B0581">
        <w:rPr>
          <w:rFonts w:ascii="Arial" w:hAnsi="Arial" w:cs="Arial"/>
          <w:sz w:val="24"/>
          <w:szCs w:val="24"/>
        </w:rPr>
        <w:t xml:space="preserve">os artículos 148, párrafo cuarto </w:t>
      </w:r>
      <w:r w:rsidR="00765194" w:rsidRPr="007B0581">
        <w:rPr>
          <w:rFonts w:ascii="Arial" w:hAnsi="Arial" w:cs="Arial"/>
          <w:snapToGrid w:val="0"/>
          <w:sz w:val="24"/>
          <w:szCs w:val="24"/>
        </w:rPr>
        <w:t>de la Ley de Procedimiento y Justicia Administrativa para el Estado de Oaxaca.</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47D1B7CA"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este juzgador,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empero, </w:t>
      </w:r>
      <w:r w:rsidR="008B62E6" w:rsidRPr="007B0581">
        <w:rPr>
          <w:rFonts w:cs="Arial"/>
          <w:sz w:val="24"/>
          <w:szCs w:val="24"/>
        </w:rPr>
        <w:t>del</w:t>
      </w:r>
      <w:r w:rsidR="009E65F7" w:rsidRPr="007B0581">
        <w:rPr>
          <w:rFonts w:cs="Arial"/>
          <w:sz w:val="24"/>
          <w:szCs w:val="24"/>
        </w:rPr>
        <w:t xml:space="preserve"> estudio integral de la demanda y a lo argüido por las autoridades demandadas,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1628B0BD"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B0581">
        <w:rPr>
          <w:rFonts w:ascii="Arial" w:hAnsi="Arial" w:cs="Arial"/>
          <w:b/>
          <w:bCs/>
          <w:sz w:val="24"/>
          <w:szCs w:val="24"/>
        </w:rPr>
        <w:t>Estudio de los Conceptos de Impugnación y pruebas ofrecidas por l</w:t>
      </w:r>
      <w:r w:rsidR="00E93DF8" w:rsidRPr="007B0581">
        <w:rPr>
          <w:rFonts w:ascii="Arial" w:hAnsi="Arial" w:cs="Arial"/>
          <w:b/>
          <w:bCs/>
          <w:sz w:val="24"/>
          <w:szCs w:val="24"/>
        </w:rPr>
        <w:t>a parte</w:t>
      </w:r>
      <w:r w:rsidRPr="007B0581">
        <w:rPr>
          <w:rFonts w:ascii="Arial" w:hAnsi="Arial" w:cs="Arial"/>
          <w:b/>
          <w:bCs/>
          <w:sz w:val="24"/>
          <w:szCs w:val="24"/>
        </w:rPr>
        <w:t xml:space="preserve"> actor</w:t>
      </w:r>
      <w:r w:rsidR="00E93DF8" w:rsidRPr="007B0581">
        <w:rPr>
          <w:rFonts w:ascii="Arial" w:hAnsi="Arial" w:cs="Arial"/>
          <w:b/>
          <w:bCs/>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la actora se encuentran expuestos en su escrito inicial de demanda, por lo que no existe necesidad de transcribirlos, al no transgredírsele derecho alguno, como </w:t>
      </w:r>
      <w:r w:rsidRPr="007B0581">
        <w:rPr>
          <w:rFonts w:ascii="Arial" w:hAnsi="Arial" w:cs="Arial"/>
          <w:bCs/>
          <w:sz w:val="24"/>
          <w:szCs w:val="24"/>
        </w:rPr>
        <w:lastRenderedPageBreak/>
        <w:t>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16EF95E8" w14:textId="6EBE19E8" w:rsidR="004E0294" w:rsidRPr="007B0581" w:rsidRDefault="001E1A6A" w:rsidP="00FA2A46">
      <w:pPr>
        <w:spacing w:line="360" w:lineRule="auto"/>
        <w:jc w:val="both"/>
        <w:rPr>
          <w:rFonts w:ascii="Arial" w:hAnsi="Arial" w:cs="Arial"/>
          <w:color w:val="FF0000"/>
          <w:sz w:val="24"/>
          <w:szCs w:val="24"/>
        </w:rPr>
      </w:pPr>
      <w:r w:rsidRPr="007B0581">
        <w:rPr>
          <w:rFonts w:ascii="Arial" w:hAnsi="Arial" w:cs="Arial"/>
          <w:sz w:val="24"/>
          <w:szCs w:val="24"/>
        </w:rPr>
        <w:t>El</w:t>
      </w:r>
      <w:r w:rsidR="0069601F" w:rsidRPr="007B0581">
        <w:rPr>
          <w:rFonts w:ascii="Arial" w:hAnsi="Arial" w:cs="Arial"/>
          <w:sz w:val="24"/>
          <w:szCs w:val="24"/>
        </w:rPr>
        <w:t xml:space="preserve"> actor</w:t>
      </w:r>
      <w:r w:rsidRPr="007B0581">
        <w:rPr>
          <w:rFonts w:ascii="Arial" w:hAnsi="Arial" w:cs="Arial"/>
          <w:sz w:val="24"/>
          <w:szCs w:val="24"/>
        </w:rPr>
        <w:t xml:space="preserve"> </w:t>
      </w:r>
      <w:r w:rsidR="00F71BE4">
        <w:rPr>
          <w:rFonts w:cs="Arial"/>
          <w:b/>
          <w:sz w:val="24"/>
          <w:szCs w:val="24"/>
        </w:rPr>
        <w:t>**********</w:t>
      </w:r>
      <w:r w:rsidR="00F71BE4">
        <w:rPr>
          <w:rFonts w:cs="Arial"/>
          <w:b/>
          <w:sz w:val="24"/>
          <w:szCs w:val="24"/>
        </w:rPr>
        <w:t xml:space="preserve"> </w:t>
      </w:r>
      <w:r w:rsidR="00836E04" w:rsidRPr="007B0581">
        <w:rPr>
          <w:rFonts w:ascii="Arial" w:hAnsi="Arial" w:cs="Arial"/>
          <w:sz w:val="24"/>
          <w:szCs w:val="24"/>
        </w:rPr>
        <w:t xml:space="preserve">, demandó la nulidad del </w:t>
      </w:r>
      <w:r w:rsidR="000D6698" w:rsidRPr="007B0581">
        <w:rPr>
          <w:rFonts w:ascii="Arial" w:hAnsi="Arial" w:cs="Arial"/>
          <w:sz w:val="24"/>
          <w:szCs w:val="24"/>
        </w:rPr>
        <w:t xml:space="preserve">oficio número </w:t>
      </w:r>
      <w:r w:rsidR="00F71BE4">
        <w:rPr>
          <w:rFonts w:cs="Arial"/>
          <w:b/>
          <w:sz w:val="24"/>
          <w:szCs w:val="24"/>
        </w:rPr>
        <w:t>**********</w:t>
      </w:r>
      <w:r w:rsidR="00F71BE4">
        <w:rPr>
          <w:rFonts w:cs="Arial"/>
          <w:b/>
          <w:sz w:val="24"/>
          <w:szCs w:val="24"/>
        </w:rPr>
        <w:t xml:space="preserve"> </w:t>
      </w:r>
      <w:r w:rsidR="00322EDF" w:rsidRPr="007B0581">
        <w:rPr>
          <w:rFonts w:ascii="Arial" w:hAnsi="Arial" w:cs="Arial"/>
          <w:sz w:val="24"/>
          <w:szCs w:val="24"/>
        </w:rPr>
        <w:t>de diez de julio de dos mil diecinueve</w:t>
      </w:r>
      <w:r w:rsidR="000D6698" w:rsidRPr="007B0581">
        <w:rPr>
          <w:rFonts w:ascii="Arial" w:hAnsi="Arial" w:cs="Arial"/>
          <w:sz w:val="24"/>
          <w:szCs w:val="24"/>
        </w:rPr>
        <w:t>,</w:t>
      </w:r>
      <w:r w:rsidR="006A0E35" w:rsidRPr="007B0581">
        <w:rPr>
          <w:rFonts w:ascii="Arial" w:hAnsi="Arial" w:cs="Arial"/>
          <w:sz w:val="24"/>
          <w:szCs w:val="24"/>
        </w:rPr>
        <w:t xml:space="preserve"> signado por el Director General de la Oficina de Pensiones del Estado de Oaxaca, </w:t>
      </w:r>
      <w:r w:rsidR="008317C8" w:rsidRPr="007B0581">
        <w:rPr>
          <w:rFonts w:ascii="Arial" w:hAnsi="Arial" w:cs="Arial"/>
          <w:sz w:val="24"/>
          <w:szCs w:val="24"/>
        </w:rPr>
        <w:t>mismo</w:t>
      </w:r>
      <w:r w:rsidR="006A0E35" w:rsidRPr="007B0581">
        <w:rPr>
          <w:rFonts w:ascii="Arial" w:hAnsi="Arial" w:cs="Arial"/>
          <w:sz w:val="24"/>
          <w:szCs w:val="24"/>
        </w:rPr>
        <w:t xml:space="preserve"> que contiene el Dictamen de pensión por jubilación aprobado por el</w:t>
      </w:r>
      <w:r w:rsidR="006A0E35" w:rsidRPr="007B0581">
        <w:rPr>
          <w:rFonts w:ascii="Arial" w:hAnsi="Arial" w:cs="Arial"/>
          <w:b/>
          <w:bCs/>
          <w:sz w:val="24"/>
          <w:szCs w:val="24"/>
        </w:rPr>
        <w:t xml:space="preserve"> </w:t>
      </w:r>
      <w:r w:rsidR="006A0E35" w:rsidRPr="007B0581">
        <w:rPr>
          <w:rFonts w:ascii="Arial" w:hAnsi="Arial" w:cs="Arial"/>
          <w:sz w:val="24"/>
          <w:szCs w:val="24"/>
        </w:rPr>
        <w:t>Consejo Directivo de Pensiones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852131" w:rsidRPr="007B0581">
        <w:rPr>
          <w:rFonts w:ascii="Arial" w:hAnsi="Arial" w:cs="Arial"/>
          <w:sz w:val="24"/>
          <w:szCs w:val="24"/>
        </w:rPr>
        <w:t xml:space="preserve"> </w:t>
      </w:r>
      <w:r w:rsidR="006A0E35" w:rsidRPr="007B0581">
        <w:rPr>
          <w:rFonts w:ascii="Arial" w:hAnsi="Arial" w:cs="Arial"/>
          <w:sz w:val="24"/>
          <w:szCs w:val="24"/>
        </w:rPr>
        <w:t xml:space="preserve">una indebida </w:t>
      </w:r>
      <w:r w:rsidR="00852131" w:rsidRPr="007B0581">
        <w:rPr>
          <w:rFonts w:ascii="Arial" w:hAnsi="Arial" w:cs="Arial"/>
          <w:sz w:val="24"/>
          <w:szCs w:val="24"/>
        </w:rPr>
        <w:t xml:space="preserve">fundamentación y </w:t>
      </w:r>
      <w:r w:rsidR="00521874" w:rsidRPr="007B0581">
        <w:rPr>
          <w:rFonts w:ascii="Arial" w:hAnsi="Arial" w:cs="Arial"/>
          <w:sz w:val="24"/>
          <w:szCs w:val="24"/>
        </w:rPr>
        <w:t>motivación, así como un trato discriminatorio</w:t>
      </w:r>
      <w:r w:rsidR="008317C8" w:rsidRPr="007B0581">
        <w:rPr>
          <w:rFonts w:ascii="Arial" w:hAnsi="Arial" w:cs="Arial"/>
          <w:sz w:val="24"/>
          <w:szCs w:val="24"/>
        </w:rPr>
        <w:t xml:space="preserve">, pues debieron haberse incluido </w:t>
      </w:r>
      <w:r w:rsidR="000F2109" w:rsidRPr="007B0581">
        <w:rPr>
          <w:rFonts w:ascii="Arial" w:hAnsi="Arial" w:cs="Arial"/>
          <w:sz w:val="24"/>
          <w:szCs w:val="24"/>
        </w:rPr>
        <w:t xml:space="preserve">el pago de </w:t>
      </w:r>
      <w:r w:rsidR="006A0E35" w:rsidRPr="007B0581">
        <w:rPr>
          <w:rFonts w:ascii="Arial" w:hAnsi="Arial" w:cs="Arial"/>
          <w:sz w:val="24"/>
          <w:szCs w:val="24"/>
        </w:rPr>
        <w:t>las demás prestaciones</w:t>
      </w:r>
      <w:r w:rsidR="000F2109" w:rsidRPr="007B0581">
        <w:rPr>
          <w:rFonts w:ascii="Arial" w:hAnsi="Arial" w:cs="Arial"/>
          <w:sz w:val="24"/>
          <w:szCs w:val="24"/>
        </w:rPr>
        <w:t xml:space="preserve"> a las que t</w:t>
      </w:r>
      <w:r w:rsidR="0047510F" w:rsidRPr="007B0581">
        <w:rPr>
          <w:rFonts w:ascii="Arial" w:hAnsi="Arial" w:cs="Arial"/>
          <w:sz w:val="24"/>
          <w:szCs w:val="24"/>
        </w:rPr>
        <w:t>iene</w:t>
      </w:r>
      <w:r w:rsidR="000F2109" w:rsidRPr="007B0581">
        <w:rPr>
          <w:rFonts w:ascii="Arial" w:hAnsi="Arial" w:cs="Arial"/>
          <w:sz w:val="24"/>
          <w:szCs w:val="24"/>
        </w:rPr>
        <w:t xml:space="preserve"> derecho como trabajador, </w:t>
      </w:r>
      <w:r w:rsidR="004E0294" w:rsidRPr="007B0581">
        <w:rPr>
          <w:rFonts w:ascii="Arial" w:hAnsi="Arial" w:cs="Arial"/>
          <w:sz w:val="24"/>
          <w:szCs w:val="24"/>
        </w:rPr>
        <w:t xml:space="preserve">como son de </w:t>
      </w:r>
      <w:r w:rsidR="0082213D" w:rsidRPr="007B0581">
        <w:rPr>
          <w:rFonts w:ascii="Arial" w:hAnsi="Arial" w:cs="Arial"/>
          <w:sz w:val="24"/>
          <w:szCs w:val="24"/>
        </w:rPr>
        <w:t xml:space="preserve"> </w:t>
      </w:r>
      <w:bookmarkStart w:id="5" w:name="_Hlk84253218"/>
      <w:r w:rsidR="0082213D" w:rsidRPr="007B0581">
        <w:rPr>
          <w:rFonts w:ascii="Arial" w:hAnsi="Arial" w:cs="Arial"/>
          <w:sz w:val="24"/>
          <w:szCs w:val="24"/>
        </w:rPr>
        <w:t xml:space="preserve">previsión social </w:t>
      </w:r>
      <w:r w:rsidR="00777CF5" w:rsidRPr="007B0581">
        <w:rPr>
          <w:rFonts w:ascii="Arial" w:hAnsi="Arial" w:cs="Arial"/>
          <w:sz w:val="24"/>
          <w:szCs w:val="24"/>
        </w:rPr>
        <w:t>múltiple</w:t>
      </w:r>
      <w:r w:rsidR="0082213D" w:rsidRPr="007B0581">
        <w:rPr>
          <w:rFonts w:ascii="Arial" w:hAnsi="Arial" w:cs="Arial"/>
          <w:sz w:val="24"/>
          <w:szCs w:val="24"/>
        </w:rPr>
        <w:t>, despensa, vida cara, quinquenios, aguinaldo, est</w:t>
      </w:r>
      <w:r w:rsidR="008317C8" w:rsidRPr="007B0581">
        <w:rPr>
          <w:rFonts w:ascii="Arial" w:hAnsi="Arial" w:cs="Arial"/>
          <w:sz w:val="24"/>
          <w:szCs w:val="24"/>
        </w:rPr>
        <w:t>í</w:t>
      </w:r>
      <w:r w:rsidR="0082213D" w:rsidRPr="007B0581">
        <w:rPr>
          <w:rFonts w:ascii="Arial" w:hAnsi="Arial" w:cs="Arial"/>
          <w:sz w:val="24"/>
          <w:szCs w:val="24"/>
        </w:rPr>
        <w:t>mulo del día del jubilado</w:t>
      </w:r>
      <w:r w:rsidR="008317C8" w:rsidRPr="007B0581">
        <w:rPr>
          <w:rFonts w:ascii="Arial" w:hAnsi="Arial" w:cs="Arial"/>
          <w:sz w:val="24"/>
          <w:szCs w:val="24"/>
        </w:rPr>
        <w:t>, día de las madres</w:t>
      </w:r>
      <w:r w:rsidR="0082213D" w:rsidRPr="007B0581">
        <w:rPr>
          <w:rFonts w:ascii="Arial" w:hAnsi="Arial" w:cs="Arial"/>
          <w:sz w:val="24"/>
          <w:szCs w:val="24"/>
        </w:rPr>
        <w:t xml:space="preserve"> y canasta navideña</w:t>
      </w:r>
      <w:bookmarkEnd w:id="5"/>
      <w:r w:rsidR="00777CF5" w:rsidRPr="007B0581">
        <w:rPr>
          <w:rFonts w:ascii="Arial" w:hAnsi="Arial" w:cs="Arial"/>
          <w:sz w:val="24"/>
          <w:szCs w:val="24"/>
        </w:rPr>
        <w:t>,</w:t>
      </w:r>
      <w:r w:rsidR="008317C8" w:rsidRPr="007B0581">
        <w:rPr>
          <w:rFonts w:ascii="Arial" w:hAnsi="Arial" w:cs="Arial"/>
          <w:sz w:val="24"/>
          <w:szCs w:val="24"/>
        </w:rPr>
        <w:t xml:space="preserve"> transgrediendo con ello </w:t>
      </w:r>
      <w:r w:rsidR="002943AA" w:rsidRPr="007B0581">
        <w:rPr>
          <w:rFonts w:ascii="Arial" w:hAnsi="Arial" w:cs="Arial"/>
          <w:sz w:val="24"/>
          <w:szCs w:val="24"/>
        </w:rPr>
        <w:t>el</w:t>
      </w:r>
      <w:r w:rsidR="0013609B" w:rsidRPr="007B0581">
        <w:rPr>
          <w:rFonts w:ascii="Arial" w:hAnsi="Arial" w:cs="Arial"/>
          <w:sz w:val="24"/>
          <w:szCs w:val="24"/>
        </w:rPr>
        <w:t xml:space="preserve"> derecho humano contenido en el artículo 1 de la Constitución Política de los Estados Unidos Mexicanos y diversos instrumentos internacionales</w:t>
      </w:r>
      <w:r w:rsidR="00EE3FA4" w:rsidRPr="007B0581">
        <w:rPr>
          <w:rFonts w:ascii="Arial" w:hAnsi="Arial" w:cs="Arial"/>
          <w:sz w:val="24"/>
          <w:szCs w:val="24"/>
        </w:rPr>
        <w:t xml:space="preserve">. Así mismo, argumentó que la autoridad demandada, aplicó de manera retroactiva la ley en su perjuicio, al ordenar retenérsele el 9% por concepto de cuota al Fondo de Pensiones, </w:t>
      </w:r>
      <w:r w:rsidR="002943AA" w:rsidRPr="007B0581">
        <w:rPr>
          <w:rFonts w:ascii="Arial" w:hAnsi="Arial" w:cs="Arial"/>
          <w:sz w:val="24"/>
          <w:szCs w:val="24"/>
        </w:rPr>
        <w:t>sin considerar</w:t>
      </w:r>
      <w:r w:rsidR="00CF4E5C" w:rsidRPr="007B0581">
        <w:rPr>
          <w:rFonts w:ascii="Arial" w:hAnsi="Arial" w:cs="Arial"/>
          <w:sz w:val="24"/>
          <w:szCs w:val="24"/>
        </w:rPr>
        <w:t xml:space="preserve"> que la retroactividad constituye una excepción a la regla general</w:t>
      </w:r>
      <w:r w:rsidR="00EE3FA4" w:rsidRPr="007B0581">
        <w:rPr>
          <w:rFonts w:ascii="Arial" w:hAnsi="Arial" w:cs="Arial"/>
          <w:sz w:val="24"/>
          <w:szCs w:val="24"/>
        </w:rPr>
        <w:t>,</w:t>
      </w:r>
      <w:r w:rsidR="00CF4E5C" w:rsidRPr="007B0581">
        <w:rPr>
          <w:rFonts w:ascii="Arial" w:hAnsi="Arial" w:cs="Arial"/>
          <w:sz w:val="24"/>
          <w:szCs w:val="24"/>
        </w:rPr>
        <w:t xml:space="preserve"> ya que la finalidad de la norma es evitar un daño o menoscabo en los derechos de los particulares, </w:t>
      </w:r>
      <w:r w:rsidR="00EE3FA4" w:rsidRPr="007B0581">
        <w:rPr>
          <w:rFonts w:ascii="Arial" w:hAnsi="Arial" w:cs="Arial"/>
          <w:sz w:val="24"/>
          <w:szCs w:val="24"/>
        </w:rPr>
        <w:t xml:space="preserve">debiendo la autoridad demandada </w:t>
      </w:r>
      <w:r w:rsidR="00CF4E5C" w:rsidRPr="007B0581">
        <w:rPr>
          <w:rFonts w:ascii="Arial" w:hAnsi="Arial" w:cs="Arial"/>
          <w:sz w:val="24"/>
          <w:szCs w:val="24"/>
        </w:rPr>
        <w:t>tutelar sus derechos fundamentales y aplicar la interpretación conforme el principio pro homine, en su beneficio.</w:t>
      </w:r>
    </w:p>
    <w:p w14:paraId="37760D29" w14:textId="77777777" w:rsidR="004E0294" w:rsidRPr="007B0581" w:rsidRDefault="004E0294" w:rsidP="009B52E2">
      <w:pPr>
        <w:spacing w:line="360" w:lineRule="auto"/>
        <w:ind w:firstLine="708"/>
        <w:jc w:val="both"/>
        <w:rPr>
          <w:rFonts w:ascii="Arial" w:hAnsi="Arial" w:cs="Arial"/>
          <w:color w:val="FF0000"/>
          <w:sz w:val="24"/>
          <w:szCs w:val="24"/>
        </w:rPr>
      </w:pPr>
    </w:p>
    <w:p w14:paraId="446C33FB" w14:textId="77777777" w:rsidR="00AC3D37" w:rsidRPr="00743240" w:rsidRDefault="00DF3097" w:rsidP="00AC3D37">
      <w:pPr>
        <w:spacing w:line="360" w:lineRule="auto"/>
        <w:ind w:firstLine="708"/>
        <w:jc w:val="both"/>
        <w:rPr>
          <w:rFonts w:ascii="Arial" w:hAnsi="Arial" w:cs="Arial"/>
          <w:color w:val="FF0000"/>
          <w:sz w:val="24"/>
          <w:szCs w:val="24"/>
        </w:rPr>
      </w:pPr>
      <w:r w:rsidRPr="007B0581">
        <w:rPr>
          <w:rFonts w:ascii="Arial" w:hAnsi="Arial" w:cs="Arial"/>
          <w:sz w:val="24"/>
          <w:szCs w:val="24"/>
        </w:rPr>
        <w:t>Por su parte, la autoridad demandada</w:t>
      </w:r>
      <w:r w:rsidR="0043120A" w:rsidRPr="007B0581">
        <w:rPr>
          <w:rFonts w:ascii="Arial" w:hAnsi="Arial" w:cs="Arial"/>
          <w:sz w:val="24"/>
          <w:szCs w:val="24"/>
        </w:rPr>
        <w:t xml:space="preserve"> </w:t>
      </w:r>
      <w:r w:rsidR="00CF4E5C" w:rsidRPr="007B0581">
        <w:rPr>
          <w:rFonts w:ascii="Arial" w:hAnsi="Arial" w:cs="Arial"/>
          <w:sz w:val="24"/>
          <w:szCs w:val="24"/>
        </w:rPr>
        <w:t>Consejo Directivo de Pensiones del Estado de Oaxaca, por conducto de su Apoderado Legal</w:t>
      </w:r>
      <w:r w:rsidR="00E85373" w:rsidRPr="007B0581">
        <w:rPr>
          <w:rFonts w:ascii="Arial" w:hAnsi="Arial" w:cs="Arial"/>
          <w:sz w:val="24"/>
          <w:szCs w:val="24"/>
        </w:rPr>
        <w:t>, afirm</w:t>
      </w:r>
      <w:r w:rsidR="0043120A" w:rsidRPr="007B0581">
        <w:rPr>
          <w:rFonts w:ascii="Arial" w:hAnsi="Arial" w:cs="Arial"/>
          <w:sz w:val="24"/>
          <w:szCs w:val="24"/>
        </w:rPr>
        <w:t xml:space="preserve">ó </w:t>
      </w:r>
      <w:r w:rsidR="00E85373" w:rsidRPr="007B0581">
        <w:rPr>
          <w:rFonts w:ascii="Arial" w:hAnsi="Arial" w:cs="Arial"/>
          <w:sz w:val="24"/>
          <w:szCs w:val="24"/>
        </w:rPr>
        <w:t xml:space="preserve">que </w:t>
      </w:r>
      <w:r w:rsidR="0043120A" w:rsidRPr="007B0581">
        <w:rPr>
          <w:rFonts w:ascii="Arial" w:hAnsi="Arial" w:cs="Arial"/>
          <w:sz w:val="24"/>
          <w:szCs w:val="24"/>
        </w:rPr>
        <w:t>e</w:t>
      </w:r>
      <w:r w:rsidR="00E85373" w:rsidRPr="007B0581">
        <w:rPr>
          <w:rFonts w:ascii="Arial" w:hAnsi="Arial" w:cs="Arial"/>
          <w:sz w:val="24"/>
          <w:szCs w:val="24"/>
        </w:rPr>
        <w:t xml:space="preserve">l acto </w:t>
      </w:r>
      <w:r w:rsidR="0043120A" w:rsidRPr="007B0581">
        <w:rPr>
          <w:rFonts w:ascii="Arial" w:hAnsi="Arial" w:cs="Arial"/>
          <w:sz w:val="24"/>
          <w:szCs w:val="24"/>
        </w:rPr>
        <w:t xml:space="preserve">impugnado </w:t>
      </w:r>
      <w:r w:rsidR="00172955" w:rsidRPr="007B0581">
        <w:rPr>
          <w:rFonts w:ascii="Arial" w:hAnsi="Arial" w:cs="Arial"/>
          <w:sz w:val="24"/>
          <w:szCs w:val="24"/>
        </w:rPr>
        <w:t xml:space="preserve">cumple cabalmente con los elementos y requisitos que la ley prevé, de conformidad con lo dispuesto en </w:t>
      </w:r>
      <w:r w:rsidR="00641D8B" w:rsidRPr="007B0581">
        <w:rPr>
          <w:rFonts w:ascii="Arial" w:hAnsi="Arial" w:cs="Arial"/>
          <w:sz w:val="24"/>
          <w:szCs w:val="24"/>
        </w:rPr>
        <w:t xml:space="preserve">el artículo </w:t>
      </w:r>
      <w:r w:rsidR="00E85373" w:rsidRPr="007B0581">
        <w:rPr>
          <w:rFonts w:ascii="Arial" w:hAnsi="Arial" w:cs="Arial"/>
          <w:sz w:val="24"/>
          <w:szCs w:val="24"/>
        </w:rPr>
        <w:t>17 de la Ley de Procedimiento y Justicia Administrativa para el Estado de Oaxaca, pues se</w:t>
      </w:r>
      <w:r w:rsidR="00172955" w:rsidRPr="007B0581">
        <w:rPr>
          <w:rFonts w:ascii="Arial" w:hAnsi="Arial" w:cs="Arial"/>
          <w:sz w:val="24"/>
          <w:szCs w:val="24"/>
        </w:rPr>
        <w:t xml:space="preserve"> citaron con precisión los artículos de los cuales deriva</w:t>
      </w:r>
      <w:r w:rsidR="0023606C" w:rsidRPr="007B0581">
        <w:rPr>
          <w:rFonts w:ascii="Arial" w:hAnsi="Arial" w:cs="Arial"/>
          <w:sz w:val="24"/>
          <w:szCs w:val="24"/>
        </w:rPr>
        <w:t>, los motivos y consideraciones de hecho y derecho que lo justifican,</w:t>
      </w:r>
      <w:r w:rsidR="00EE3FA4" w:rsidRPr="007B0581">
        <w:rPr>
          <w:rFonts w:ascii="Arial" w:hAnsi="Arial" w:cs="Arial"/>
          <w:sz w:val="24"/>
          <w:szCs w:val="24"/>
        </w:rPr>
        <w:t xml:space="preserve"> no siendo viable el conceder las prestaciones que ahora reclama el actor, </w:t>
      </w:r>
      <w:r w:rsidR="00EE3FA4" w:rsidRPr="007B0581">
        <w:rPr>
          <w:rFonts w:ascii="Arial" w:hAnsi="Arial" w:cs="Arial"/>
          <w:sz w:val="24"/>
          <w:szCs w:val="24"/>
        </w:rPr>
        <w:lastRenderedPageBreak/>
        <w:t xml:space="preserve">pues éstas sólo le corresponden a personal en activo, aunado a que dichas prestaciones no forman </w:t>
      </w:r>
      <w:r w:rsidR="00A13471" w:rsidRPr="007B0581">
        <w:rPr>
          <w:rFonts w:ascii="Arial" w:hAnsi="Arial" w:cs="Arial"/>
          <w:sz w:val="24"/>
          <w:szCs w:val="24"/>
        </w:rPr>
        <w:t>parte del sueldo presupuestal</w:t>
      </w:r>
      <w:r w:rsidR="001D09AA" w:rsidRPr="007B0581">
        <w:rPr>
          <w:rFonts w:ascii="Arial" w:hAnsi="Arial" w:cs="Arial"/>
          <w:sz w:val="24"/>
          <w:szCs w:val="24"/>
        </w:rPr>
        <w:t xml:space="preserve">, </w:t>
      </w:r>
      <w:r w:rsidR="0024583D" w:rsidRPr="007B0581">
        <w:rPr>
          <w:rFonts w:ascii="Arial" w:hAnsi="Arial" w:cs="Arial"/>
          <w:sz w:val="24"/>
          <w:szCs w:val="24"/>
        </w:rPr>
        <w:t>y sólo se conceden al personal de base, no así al de confianza, r</w:t>
      </w:r>
      <w:r w:rsidR="00A419EA" w:rsidRPr="007B0581">
        <w:rPr>
          <w:rFonts w:ascii="Arial" w:hAnsi="Arial" w:cs="Arial"/>
          <w:sz w:val="24"/>
          <w:szCs w:val="24"/>
        </w:rPr>
        <w:t>esulta</w:t>
      </w:r>
      <w:r w:rsidR="0024583D" w:rsidRPr="007B0581">
        <w:rPr>
          <w:rFonts w:ascii="Arial" w:hAnsi="Arial" w:cs="Arial"/>
          <w:sz w:val="24"/>
          <w:szCs w:val="24"/>
        </w:rPr>
        <w:t>ndo</w:t>
      </w:r>
      <w:r w:rsidR="00A419EA" w:rsidRPr="007B0581">
        <w:rPr>
          <w:rFonts w:ascii="Arial" w:hAnsi="Arial" w:cs="Arial"/>
          <w:sz w:val="24"/>
          <w:szCs w:val="24"/>
        </w:rPr>
        <w:t xml:space="preserve"> improcedente que el actor reclame la inaplicación de los artículos 6 fracción III, 18 párrafo segundo y octavo transitorio de la Ley de Pensiones para los Trabajadores del Gobierno del Estado</w:t>
      </w:r>
      <w:r w:rsidR="0024583D" w:rsidRPr="007B0581">
        <w:rPr>
          <w:rFonts w:ascii="Arial" w:hAnsi="Arial" w:cs="Arial"/>
          <w:sz w:val="24"/>
          <w:szCs w:val="24"/>
        </w:rPr>
        <w:t>. Por cuanto hace a la devolución de los descuentos hechos a favor del Fondo de Pensiones, ésta resulta improcedente</w:t>
      </w:r>
      <w:r w:rsidR="001033A1" w:rsidRPr="007B0581">
        <w:rPr>
          <w:rFonts w:ascii="Arial" w:hAnsi="Arial" w:cs="Arial"/>
          <w:sz w:val="24"/>
          <w:szCs w:val="24"/>
        </w:rPr>
        <w:t xml:space="preserve"> </w:t>
      </w:r>
      <w:r w:rsidR="0023606C" w:rsidRPr="007B0581">
        <w:rPr>
          <w:rFonts w:ascii="Arial" w:hAnsi="Arial" w:cs="Arial"/>
          <w:sz w:val="24"/>
          <w:szCs w:val="24"/>
        </w:rPr>
        <w:t>al no existir en la Ley de Pensiones para los Trabajadores del Gobierno del Estado de Oaxaca en vigor, el precepto legal o figura jurídica</w:t>
      </w:r>
      <w:r w:rsidR="00772750" w:rsidRPr="007B0581">
        <w:rPr>
          <w:rFonts w:ascii="Arial" w:hAnsi="Arial" w:cs="Arial"/>
          <w:sz w:val="24"/>
          <w:szCs w:val="24"/>
        </w:rPr>
        <w:t xml:space="preserve"> que establezca expresamente</w:t>
      </w:r>
      <w:r w:rsidR="0089778E" w:rsidRPr="007B0581">
        <w:rPr>
          <w:rFonts w:ascii="Arial" w:hAnsi="Arial" w:cs="Arial"/>
          <w:sz w:val="24"/>
          <w:szCs w:val="24"/>
        </w:rPr>
        <w:t xml:space="preserve"> la devolución de los </w:t>
      </w:r>
      <w:r w:rsidR="001033A1" w:rsidRPr="007B0581">
        <w:rPr>
          <w:rFonts w:ascii="Arial" w:hAnsi="Arial" w:cs="Arial"/>
          <w:sz w:val="24"/>
          <w:szCs w:val="24"/>
        </w:rPr>
        <w:t>mismos.</w:t>
      </w:r>
      <w:r w:rsidR="0089778E" w:rsidRPr="007B0581">
        <w:rPr>
          <w:rFonts w:ascii="Arial" w:hAnsi="Arial" w:cs="Arial"/>
          <w:sz w:val="24"/>
          <w:szCs w:val="24"/>
        </w:rPr>
        <w:t xml:space="preserve"> </w:t>
      </w:r>
      <w:r w:rsidR="00AC3D37">
        <w:rPr>
          <w:rFonts w:ascii="Arial" w:hAnsi="Arial" w:cs="Arial"/>
          <w:sz w:val="24"/>
          <w:szCs w:val="24"/>
        </w:rPr>
        <w:t>Por cuanto hace al descuento del monto de pensión por jubilación, éste se fijó acorde a la normativa prevista en el artículo 6, fracción III, 18 párrafo segundo y Octavo Transitorio de la Ley de Pensiones para los Trabajadores del Gobierno del Estado de Oaxaca.</w:t>
      </w:r>
    </w:p>
    <w:p w14:paraId="1DAAF0F7" w14:textId="0612F0EA" w:rsidR="0089778E" w:rsidRPr="007B0581" w:rsidRDefault="0089778E" w:rsidP="001033A1">
      <w:pPr>
        <w:spacing w:line="360" w:lineRule="auto"/>
        <w:ind w:firstLine="708"/>
        <w:jc w:val="both"/>
        <w:rPr>
          <w:rFonts w:ascii="Arial" w:hAnsi="Arial" w:cs="Arial"/>
          <w:color w:val="FF0000"/>
          <w:sz w:val="24"/>
          <w:szCs w:val="24"/>
        </w:rPr>
      </w:pPr>
    </w:p>
    <w:p w14:paraId="71CD8FFB" w14:textId="145A38D9" w:rsidR="00933BF1" w:rsidRPr="007B0581" w:rsidRDefault="00140569" w:rsidP="00E9182C">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número </w:t>
      </w:r>
      <w:r w:rsidR="00F71BE4">
        <w:rPr>
          <w:rFonts w:cs="Arial"/>
          <w:b/>
          <w:sz w:val="24"/>
          <w:szCs w:val="24"/>
        </w:rPr>
        <w:t>**********</w:t>
      </w:r>
      <w:r w:rsidR="00F71BE4">
        <w:rPr>
          <w:rFonts w:cs="Arial"/>
          <w:b/>
          <w:sz w:val="24"/>
          <w:szCs w:val="24"/>
        </w:rPr>
        <w:t xml:space="preserve"> </w:t>
      </w:r>
      <w:r w:rsidR="00DB0149" w:rsidRPr="007B0581">
        <w:rPr>
          <w:rFonts w:ascii="Arial" w:hAnsi="Arial" w:cs="Arial"/>
          <w:sz w:val="24"/>
          <w:szCs w:val="24"/>
        </w:rPr>
        <w:t xml:space="preserve">de diez de julio de dos mil diecinueve, signado por el Director General de la Oficina de Pensiones del Estado de Oaxaca,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Dictamen de </w:t>
      </w:r>
      <w:r w:rsidR="00D05077" w:rsidRPr="007B0581">
        <w:rPr>
          <w:rFonts w:ascii="Arial" w:hAnsi="Arial" w:cs="Arial"/>
          <w:sz w:val="24"/>
          <w:szCs w:val="24"/>
        </w:rPr>
        <w:t>P</w:t>
      </w:r>
      <w:r w:rsidR="00DB0149" w:rsidRPr="007B0581">
        <w:rPr>
          <w:rFonts w:ascii="Arial" w:hAnsi="Arial" w:cs="Arial"/>
          <w:sz w:val="24"/>
          <w:szCs w:val="24"/>
        </w:rPr>
        <w:t>ensión por jubilación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120C20" w:rsidRPr="007B0581">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vertidos por </w:t>
      </w:r>
      <w:r w:rsidR="00DB0149" w:rsidRPr="007B0581">
        <w:rPr>
          <w:rFonts w:ascii="Arial" w:hAnsi="Arial" w:cs="Arial"/>
          <w:sz w:val="24"/>
          <w:szCs w:val="24"/>
        </w:rPr>
        <w:t xml:space="preserve">el </w:t>
      </w:r>
      <w:r w:rsidR="00D72485" w:rsidRPr="007B0581">
        <w:rPr>
          <w:rFonts w:ascii="Arial" w:hAnsi="Arial" w:cs="Arial"/>
          <w:sz w:val="24"/>
          <w:szCs w:val="24"/>
        </w:rPr>
        <w:t>actor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carece de una adecuada fundamentación y motivación </w:t>
      </w:r>
      <w:r w:rsidR="00BC2EBC" w:rsidRPr="007B0581">
        <w:rPr>
          <w:rFonts w:ascii="Arial" w:hAnsi="Arial" w:cs="Arial"/>
          <w:sz w:val="24"/>
          <w:szCs w:val="24"/>
        </w:rPr>
        <w:t>al haberle negado y exclui</w:t>
      </w:r>
      <w:r w:rsidR="003F738C">
        <w:rPr>
          <w:rFonts w:ascii="Arial" w:hAnsi="Arial" w:cs="Arial"/>
          <w:sz w:val="24"/>
          <w:szCs w:val="24"/>
        </w:rPr>
        <w:t>do</w:t>
      </w:r>
      <w:r w:rsidR="00BC2EBC" w:rsidRPr="007B0581">
        <w:rPr>
          <w:rFonts w:ascii="Arial" w:hAnsi="Arial" w:cs="Arial"/>
          <w:sz w:val="24"/>
          <w:szCs w:val="24"/>
        </w:rPr>
        <w:t xml:space="preserve"> en la aplicación de</w:t>
      </w:r>
      <w:r w:rsidR="001E16C9" w:rsidRPr="007B0581">
        <w:rPr>
          <w:rFonts w:ascii="Arial" w:hAnsi="Arial" w:cs="Arial"/>
          <w:sz w:val="24"/>
          <w:szCs w:val="24"/>
        </w:rPr>
        <w:t xml:space="preserve"> lo determinado en la fracción I del artículo </w:t>
      </w:r>
      <w:r w:rsidR="008C7879" w:rsidRPr="007B0581">
        <w:rPr>
          <w:rFonts w:ascii="Arial" w:hAnsi="Arial" w:cs="Arial"/>
          <w:sz w:val="24"/>
          <w:szCs w:val="24"/>
        </w:rPr>
        <w:t>5</w:t>
      </w:r>
      <w:r w:rsidR="001E16C9" w:rsidRPr="007B0581">
        <w:rPr>
          <w:rFonts w:ascii="Arial" w:hAnsi="Arial" w:cs="Arial"/>
          <w:sz w:val="24"/>
          <w:szCs w:val="24"/>
        </w:rPr>
        <w:t xml:space="preserve">4 de la </w:t>
      </w:r>
      <w:r w:rsidR="007C0CFD" w:rsidRPr="007B0581">
        <w:rPr>
          <w:rFonts w:ascii="Arial" w:hAnsi="Arial" w:cs="Arial"/>
          <w:sz w:val="24"/>
          <w:szCs w:val="24"/>
        </w:rPr>
        <w:t>L</w:t>
      </w:r>
      <w:r w:rsidR="001E16C9" w:rsidRPr="007B0581">
        <w:rPr>
          <w:rFonts w:ascii="Arial" w:hAnsi="Arial" w:cs="Arial"/>
          <w:sz w:val="24"/>
          <w:szCs w:val="24"/>
        </w:rPr>
        <w:t xml:space="preserve">ey </w:t>
      </w:r>
      <w:r w:rsidR="006E291F" w:rsidRPr="007B0581">
        <w:rPr>
          <w:rFonts w:ascii="Arial" w:hAnsi="Arial" w:cs="Arial"/>
          <w:sz w:val="24"/>
          <w:szCs w:val="24"/>
        </w:rPr>
        <w:t>de Pensiones para los Trabajadores del Gobierno del Estado de Oaxaca</w:t>
      </w:r>
      <w:r w:rsidR="001E16C9" w:rsidRPr="007B0581">
        <w:rPr>
          <w:rFonts w:ascii="Arial" w:hAnsi="Arial" w:cs="Arial"/>
          <w:sz w:val="24"/>
          <w:szCs w:val="24"/>
        </w:rPr>
        <w:t xml:space="preserve">, </w:t>
      </w:r>
      <w:r w:rsidR="006E291F" w:rsidRPr="007B0581">
        <w:rPr>
          <w:rFonts w:ascii="Arial" w:hAnsi="Arial" w:cs="Arial"/>
          <w:sz w:val="24"/>
          <w:szCs w:val="24"/>
        </w:rPr>
        <w:t xml:space="preserve">advirtiéndose </w:t>
      </w:r>
      <w:r w:rsidR="001E16C9" w:rsidRPr="007B0581">
        <w:rPr>
          <w:rFonts w:ascii="Arial" w:hAnsi="Arial" w:cs="Arial"/>
          <w:sz w:val="24"/>
          <w:szCs w:val="24"/>
        </w:rPr>
        <w:t>un trato discriminatorio por parte de</w:t>
      </w:r>
      <w:r w:rsidR="00F8105D" w:rsidRPr="007B0581">
        <w:rPr>
          <w:rFonts w:ascii="Arial" w:hAnsi="Arial" w:cs="Arial"/>
          <w:sz w:val="24"/>
          <w:szCs w:val="24"/>
        </w:rPr>
        <w:t xml:space="preserve"> </w:t>
      </w:r>
      <w:r w:rsidR="001E16C9" w:rsidRPr="007B0581">
        <w:rPr>
          <w:rFonts w:ascii="Arial" w:hAnsi="Arial" w:cs="Arial"/>
          <w:sz w:val="24"/>
          <w:szCs w:val="24"/>
        </w:rPr>
        <w:t>l</w:t>
      </w:r>
      <w:r w:rsidR="00F8105D" w:rsidRPr="007B0581">
        <w:rPr>
          <w:rFonts w:ascii="Arial" w:hAnsi="Arial" w:cs="Arial"/>
          <w:sz w:val="24"/>
          <w:szCs w:val="24"/>
        </w:rPr>
        <w:t>a autoridad demandada</w:t>
      </w:r>
      <w:r w:rsidR="00933BF1" w:rsidRPr="007B0581">
        <w:rPr>
          <w:rFonts w:ascii="Arial" w:hAnsi="Arial" w:cs="Arial"/>
          <w:sz w:val="24"/>
          <w:szCs w:val="24"/>
        </w:rPr>
        <w:t xml:space="preserve">, </w:t>
      </w:r>
      <w:r w:rsidR="00F05D33" w:rsidRPr="007B0581">
        <w:rPr>
          <w:rFonts w:ascii="Arial" w:hAnsi="Arial" w:cs="Arial"/>
          <w:sz w:val="24"/>
          <w:szCs w:val="24"/>
        </w:rPr>
        <w:t xml:space="preserve">al no </w:t>
      </w:r>
      <w:r w:rsidR="00933BF1" w:rsidRPr="007B0581">
        <w:rPr>
          <w:rFonts w:ascii="Arial" w:hAnsi="Arial" w:cs="Arial"/>
          <w:sz w:val="24"/>
          <w:szCs w:val="24"/>
        </w:rPr>
        <w:t xml:space="preserve">haber realizado una interpretación más favorable para </w:t>
      </w:r>
      <w:r w:rsidR="008C7879" w:rsidRPr="007B0581">
        <w:rPr>
          <w:rFonts w:ascii="Arial" w:hAnsi="Arial" w:cs="Arial"/>
          <w:sz w:val="24"/>
          <w:szCs w:val="24"/>
        </w:rPr>
        <w:t>el</w:t>
      </w:r>
      <w:r w:rsidR="00933BF1" w:rsidRPr="007B0581">
        <w:rPr>
          <w:rFonts w:ascii="Arial" w:hAnsi="Arial" w:cs="Arial"/>
          <w:sz w:val="24"/>
          <w:szCs w:val="24"/>
        </w:rPr>
        <w:t xml:space="preserve"> </w:t>
      </w:r>
      <w:r w:rsidR="001968FD" w:rsidRPr="007B0581">
        <w:rPr>
          <w:rFonts w:ascii="Arial" w:hAnsi="Arial" w:cs="Arial"/>
          <w:sz w:val="24"/>
          <w:szCs w:val="24"/>
        </w:rPr>
        <w:t>administrad</w:t>
      </w:r>
      <w:r w:rsidR="008C7879" w:rsidRPr="007B0581">
        <w:rPr>
          <w:rFonts w:ascii="Arial" w:hAnsi="Arial" w:cs="Arial"/>
          <w:sz w:val="24"/>
          <w:szCs w:val="24"/>
        </w:rPr>
        <w:t>o</w:t>
      </w:r>
      <w:r w:rsidR="00933BF1" w:rsidRPr="007B0581">
        <w:rPr>
          <w:rFonts w:ascii="Arial" w:hAnsi="Arial" w:cs="Arial"/>
          <w:sz w:val="24"/>
          <w:szCs w:val="24"/>
        </w:rPr>
        <w:t>, reconociendo el menoscabo de los derechos protegidos y actuar a favor de ést</w:t>
      </w:r>
      <w:r w:rsidR="008C7879" w:rsidRPr="007B0581">
        <w:rPr>
          <w:rFonts w:ascii="Arial" w:hAnsi="Arial" w:cs="Arial"/>
          <w:sz w:val="24"/>
          <w:szCs w:val="24"/>
        </w:rPr>
        <w:t>e</w:t>
      </w:r>
      <w:r w:rsidR="00933BF1" w:rsidRPr="007B0581">
        <w:rPr>
          <w:rFonts w:ascii="Arial" w:hAnsi="Arial" w:cs="Arial"/>
          <w:sz w:val="24"/>
          <w:szCs w:val="24"/>
        </w:rPr>
        <w:t>; por lo que</w:t>
      </w:r>
      <w:r w:rsidR="00933BF1" w:rsidRPr="007B0581">
        <w:rPr>
          <w:rFonts w:ascii="Arial" w:hAnsi="Arial" w:cs="Arial"/>
          <w:color w:val="FF0000"/>
          <w:sz w:val="24"/>
          <w:szCs w:val="24"/>
        </w:rPr>
        <w:t xml:space="preserve">, </w:t>
      </w:r>
      <w:r w:rsidR="00F8105D" w:rsidRPr="007B0581">
        <w:rPr>
          <w:rFonts w:ascii="Arial" w:hAnsi="Arial" w:cs="Arial"/>
          <w:sz w:val="24"/>
          <w:szCs w:val="24"/>
        </w:rPr>
        <w:t xml:space="preserve">al concedérsele la jubilación únicamente por el sueldo base sin incluir el pago de las demás prestaciones a las que tenía derecho como trabajador, como son de  previsión social múltiple, despensa, vida cara, quinquenios, aguinaldo, estimulo del día del jubilado y canasta navideña, aun cuando no encuadre en el supuesto de trabajador de base, </w:t>
      </w:r>
      <w:r w:rsidR="00F05D33" w:rsidRPr="007B0581">
        <w:rPr>
          <w:rFonts w:ascii="Arial" w:hAnsi="Arial" w:cs="Arial"/>
          <w:sz w:val="24"/>
          <w:szCs w:val="24"/>
        </w:rPr>
        <w:t>resulta ser discriminatorio</w:t>
      </w:r>
      <w:r w:rsidR="00A92A66" w:rsidRPr="007B0581">
        <w:rPr>
          <w:rFonts w:ascii="Arial" w:hAnsi="Arial" w:cs="Arial"/>
          <w:sz w:val="24"/>
          <w:szCs w:val="24"/>
        </w:rPr>
        <w:t>.</w:t>
      </w:r>
      <w:r w:rsidR="00F05D33" w:rsidRPr="007B0581">
        <w:rPr>
          <w:rFonts w:ascii="Arial" w:hAnsi="Arial" w:cs="Arial"/>
          <w:sz w:val="24"/>
          <w:szCs w:val="24"/>
        </w:rPr>
        <w:t xml:space="preserve"> </w:t>
      </w:r>
    </w:p>
    <w:p w14:paraId="4CB6C3DE" w14:textId="77777777" w:rsidR="00933BF1" w:rsidRPr="007B0581" w:rsidRDefault="00933BF1" w:rsidP="0069672E">
      <w:pPr>
        <w:ind w:firstLine="709"/>
        <w:contextualSpacing/>
        <w:jc w:val="both"/>
        <w:rPr>
          <w:rFonts w:ascii="Arial" w:hAnsi="Arial" w:cs="Arial"/>
          <w:sz w:val="24"/>
          <w:szCs w:val="24"/>
        </w:rPr>
      </w:pPr>
    </w:p>
    <w:p w14:paraId="717B47AC" w14:textId="71788F72" w:rsidR="009F28D2" w:rsidRPr="007B0581" w:rsidRDefault="009F28D2" w:rsidP="009F28D2">
      <w:pPr>
        <w:spacing w:line="360" w:lineRule="auto"/>
        <w:ind w:right="-93" w:firstLine="708"/>
        <w:jc w:val="both"/>
        <w:rPr>
          <w:rFonts w:ascii="Arial" w:hAnsi="Arial" w:cs="Arial"/>
          <w:i/>
          <w:sz w:val="24"/>
          <w:szCs w:val="24"/>
        </w:rPr>
      </w:pPr>
      <w:bookmarkStart w:id="6" w:name="_Hlk84507605"/>
      <w:r w:rsidRPr="007B0581">
        <w:rPr>
          <w:rFonts w:ascii="Arial" w:hAnsi="Arial" w:cs="Arial"/>
          <w:sz w:val="24"/>
          <w:szCs w:val="24"/>
        </w:rPr>
        <w:t xml:space="preserve">Se dice lo anterior en razón que la citada disposición, al efectuar tal distinción entre personal de base y de confianza,  contraviene el principio de igualdad que tiene un carácter fundamentalmente adjetivo y por tanto debe ser observado acorde a lo establecido con el artículo 1 de la Constitución Federal, pues dicha disposición no contiene ningún motivo o razón que la sustente, ya que el actor cumplió con todos los requisitos establecidos en ley (edad, años de servicio y aportaciones correspondientes) para obtener los mismos beneficios que un trabajador de base, ya que considerar lo contrario, genera un trato discriminatorio a la relación laboral; </w:t>
      </w:r>
      <w:r w:rsidRPr="007B0581">
        <w:rPr>
          <w:rFonts w:ascii="Arial" w:hAnsi="Arial" w:cs="Arial"/>
          <w:sz w:val="24"/>
          <w:szCs w:val="24"/>
        </w:rPr>
        <w:lastRenderedPageBreak/>
        <w:t xml:space="preserve">debiendo el Consejo Directivo de la Oficina de Pensiones del Estado de Oaxaca, realizar una interpretación más favorable para el actor, reconociendo el menoscabo de los derechos protegidos y actuar a favor de éste, </w:t>
      </w:r>
      <w:r w:rsidR="00DB0CAF">
        <w:rPr>
          <w:rFonts w:ascii="Arial" w:hAnsi="Arial" w:cs="Arial"/>
          <w:sz w:val="24"/>
          <w:szCs w:val="24"/>
        </w:rPr>
        <w:t xml:space="preserve">y </w:t>
      </w:r>
      <w:r w:rsidRPr="007B0581">
        <w:rPr>
          <w:rFonts w:ascii="Arial" w:hAnsi="Arial" w:cs="Arial"/>
          <w:sz w:val="24"/>
          <w:szCs w:val="24"/>
        </w:rPr>
        <w:t xml:space="preserve">otorgarle </w:t>
      </w:r>
      <w:r w:rsidR="00DB0CAF">
        <w:rPr>
          <w:rFonts w:ascii="Arial" w:hAnsi="Arial" w:cs="Arial"/>
          <w:sz w:val="24"/>
          <w:szCs w:val="24"/>
        </w:rPr>
        <w:t>una</w:t>
      </w:r>
      <w:r w:rsidRPr="007B0581">
        <w:rPr>
          <w:rFonts w:ascii="Arial" w:hAnsi="Arial" w:cs="Arial"/>
          <w:sz w:val="24"/>
          <w:szCs w:val="24"/>
        </w:rPr>
        <w:t xml:space="preserve"> pensión,</w:t>
      </w:r>
      <w:r w:rsidR="00DB0CAF">
        <w:rPr>
          <w:rFonts w:ascii="Arial" w:hAnsi="Arial" w:cs="Arial"/>
          <w:sz w:val="24"/>
          <w:szCs w:val="24"/>
        </w:rPr>
        <w:t xml:space="preserve"> con</w:t>
      </w:r>
      <w:r w:rsidRPr="007B0581">
        <w:rPr>
          <w:rFonts w:ascii="Arial" w:hAnsi="Arial" w:cs="Arial"/>
          <w:sz w:val="24"/>
          <w:szCs w:val="24"/>
        </w:rPr>
        <w:t xml:space="preserve"> las prestaciones que establece la fracción I del artículo 54 de la Ley de Pensiones en cita, tales como previsión social múltiple, despensa, vida cara, quinquenios, aguinaldo, estímulo del día del jubilado y canasta navideña</w:t>
      </w:r>
      <w:r w:rsidR="00DB0CAF">
        <w:rPr>
          <w:rFonts w:ascii="Arial" w:hAnsi="Arial" w:cs="Arial"/>
          <w:sz w:val="24"/>
          <w:szCs w:val="24"/>
        </w:rPr>
        <w:t>, sin que proceda la prestación día de las madres, atendiendo al género del actor</w:t>
      </w:r>
      <w:r w:rsidRPr="007B0581">
        <w:rPr>
          <w:rFonts w:ascii="Arial" w:hAnsi="Arial" w:cs="Arial"/>
          <w:sz w:val="24"/>
          <w:szCs w:val="24"/>
        </w:rPr>
        <w:t xml:space="preserve">. Sirva de apoyo a lo antes vertido la Jurisprudencia en materia Constitucional y Laboral, Novena Época, registro electrónico 170892 de rubro: </w:t>
      </w:r>
      <w:r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14:paraId="015F7D0F" w14:textId="77777777" w:rsidR="007C0CFD" w:rsidRPr="007B0581" w:rsidRDefault="007C0CFD" w:rsidP="004D530A">
      <w:pPr>
        <w:ind w:right="-91" w:firstLine="709"/>
        <w:contextualSpacing/>
        <w:jc w:val="both"/>
        <w:rPr>
          <w:rFonts w:ascii="Arial" w:hAnsi="Arial" w:cs="Arial"/>
          <w:sz w:val="24"/>
          <w:szCs w:val="24"/>
        </w:rPr>
      </w:pPr>
    </w:p>
    <w:p w14:paraId="1A111194" w14:textId="77777777" w:rsidR="009F28D2" w:rsidRPr="007B0581" w:rsidRDefault="009F28D2" w:rsidP="009F28D2">
      <w:pPr>
        <w:spacing w:line="360" w:lineRule="auto"/>
        <w:ind w:firstLine="708"/>
        <w:jc w:val="both"/>
        <w:rPr>
          <w:rFonts w:ascii="Arial" w:hAnsi="Arial" w:cs="Arial"/>
          <w:sz w:val="24"/>
          <w:szCs w:val="24"/>
        </w:rPr>
      </w:pPr>
      <w:r w:rsidRPr="007B0581">
        <w:rPr>
          <w:rFonts w:ascii="Arial" w:hAnsi="Arial" w:cs="Arial"/>
          <w:sz w:val="24"/>
          <w:szCs w:val="24"/>
        </w:rPr>
        <w:t>El derecho a la No Discriminación reconocido en el artículo 1 de la Constitución Política de los Estados Unidos Mexicanos, proscribe la distinción  motivada contra la dignidad humana, cuando tenga por objeto anular o menoscabar los derechos y libertades de las personas, en este caso en particular la igualdad real de oportunidades, pues si bien es cierto, existen distinciones legales entre los trabajadores de base y los de confianza, también lo es que los requisitos para que se les otorgue la pensión y determinar su cálculo no deben ser distintas, porque aun cuando el artículo 123 Constitucional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caso, pues se redujeron los beneficios a que tiene derecho el hoy actor; resultando evidente la inconvencionalidad de la no aplicación de lo establecido en el artículo 54, fracción I de la Ley de Pensiones para los Trabajadores del Gobierno del Estado de Oaxaca, al violentar el Principio de Igualdad jurídica contenido en el artículo 1 de nuestra Carga Magna, pues establece un trato desigual al otorgar la pensión a un trabajador de base y uno de confianza, desconociendo la igualdad de todas las personas.</w:t>
      </w:r>
    </w:p>
    <w:p w14:paraId="1BDC1596" w14:textId="77777777" w:rsidR="009F28D2" w:rsidRPr="007B0581" w:rsidRDefault="009F28D2" w:rsidP="009F28D2">
      <w:pPr>
        <w:ind w:firstLine="709"/>
        <w:contextualSpacing/>
        <w:jc w:val="both"/>
        <w:rPr>
          <w:rFonts w:ascii="Arial" w:hAnsi="Arial" w:cs="Arial"/>
          <w:sz w:val="24"/>
          <w:szCs w:val="24"/>
        </w:rPr>
      </w:pPr>
    </w:p>
    <w:p w14:paraId="1C0A5B71" w14:textId="77777777" w:rsidR="009F28D2" w:rsidRPr="007B0581" w:rsidRDefault="009F28D2" w:rsidP="009F28D2">
      <w:pPr>
        <w:spacing w:line="360" w:lineRule="auto"/>
        <w:ind w:firstLine="708"/>
        <w:jc w:val="both"/>
        <w:rPr>
          <w:rFonts w:ascii="Arial" w:hAnsi="Arial" w:cs="Arial"/>
          <w:sz w:val="24"/>
          <w:szCs w:val="24"/>
        </w:rPr>
      </w:pPr>
      <w:bookmarkStart w:id="7" w:name="_Hlk84507799"/>
      <w:bookmarkEnd w:id="6"/>
      <w:r w:rsidRPr="007B0581">
        <w:rPr>
          <w:rFonts w:ascii="Arial" w:hAnsi="Arial" w:cs="Arial"/>
          <w:sz w:val="24"/>
          <w:szCs w:val="24"/>
        </w:rPr>
        <w:t xml:space="preserve">Por lo que se refiere al segundo concepto de impugnación hecho valer por el actor, consistente en la reducción del 9% de su pensión, como aportación al Fondo de Pensiones, resulta </w:t>
      </w:r>
      <w:r w:rsidRPr="007B0581">
        <w:rPr>
          <w:rFonts w:ascii="Arial" w:hAnsi="Arial" w:cs="Arial"/>
          <w:b/>
          <w:bCs/>
          <w:sz w:val="24"/>
          <w:szCs w:val="24"/>
        </w:rPr>
        <w:t>fundado</w:t>
      </w:r>
      <w:r w:rsidRPr="007B0581">
        <w:rPr>
          <w:rFonts w:ascii="Arial" w:hAnsi="Arial" w:cs="Arial"/>
          <w:sz w:val="24"/>
          <w:szCs w:val="24"/>
        </w:rPr>
        <w:t xml:space="preserve"> el mismo en cuanto a su inconstitucionalidad, en razón que el aludido descuento fue sustentado en los artículos 6, fracción III, 18, párrafo segundo y Octavo Transitorio de la Ley de Pensiones para los Trabajadores del Gobierno del Estado de Oaxaca, artículos que fueron considerados violatorios </w:t>
      </w:r>
      <w:r w:rsidRPr="007B0581">
        <w:rPr>
          <w:rFonts w:ascii="Arial" w:hAnsi="Arial" w:cs="Arial"/>
          <w:sz w:val="24"/>
          <w:szCs w:val="24"/>
        </w:rPr>
        <w:lastRenderedPageBreak/>
        <w:t>del derecho humano a la seguridad social por el más alto Tribunal de este país, quien consideró que la aportación regulada por el legislador local (9%), no encuadra en ninguna de las hipótesis permitidas, ya que se traduce en un descuento indebido del monto de la pensión jubilatoria, encaminado a constituir el fondo monetario con el que se cubriría la misma.</w:t>
      </w:r>
    </w:p>
    <w:p w14:paraId="5462ACF4" w14:textId="77777777" w:rsidR="009F28D2" w:rsidRPr="007B0581" w:rsidRDefault="009F28D2" w:rsidP="009F28D2">
      <w:pPr>
        <w:ind w:firstLine="709"/>
        <w:contextualSpacing/>
        <w:jc w:val="both"/>
        <w:rPr>
          <w:rFonts w:ascii="Arial" w:hAnsi="Arial" w:cs="Arial"/>
          <w:sz w:val="24"/>
          <w:szCs w:val="24"/>
        </w:rPr>
      </w:pPr>
    </w:p>
    <w:p w14:paraId="6892019A" w14:textId="39240672" w:rsidR="009F28D2" w:rsidRPr="007B0581" w:rsidRDefault="009F28D2" w:rsidP="009F28D2">
      <w:pPr>
        <w:spacing w:line="360" w:lineRule="auto"/>
        <w:ind w:firstLine="708"/>
        <w:jc w:val="both"/>
        <w:rPr>
          <w:rFonts w:ascii="Arial" w:hAnsi="Arial" w:cs="Arial"/>
          <w:b/>
          <w:bCs/>
          <w:i/>
          <w:iCs/>
          <w:sz w:val="24"/>
          <w:szCs w:val="24"/>
        </w:rPr>
      </w:pPr>
      <w:r w:rsidRPr="007B0581">
        <w:rPr>
          <w:rFonts w:ascii="Arial" w:hAnsi="Arial" w:cs="Arial"/>
          <w:sz w:val="24"/>
          <w:szCs w:val="24"/>
        </w:rPr>
        <w:t xml:space="preserve">Así mismo, los artículos señalados en el párrafo próximo anterior violan el Principio de Igualdad al ubicar a los trabajadores jubilados y pensionados en hipótesis diferentes, y aún así les impone el pago de la cuota del 9% de su sueldo base, no obstante las diferencias esenciales existentes entre trabajadores activos, jubilados y pensionados; por lo que,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se supone que ya realizó la aportación correspondiente durante su vida laboral en activo, resultando el actuar del Consejo Directivo de la Oficina de Pensiones violatorio del artículo 1 Constitucional, en perjuicio del actor, que contempla el Derecho a la Igualdad y a la No Discriminación, y por ende la ilegalidad del descuento del 9% que impuso a la pensión obsequiada. Sirva de apoyo a lo antes vertido las Jurisprudencias en Materia Constitucional, Décima Época, registros electrónicos 2019325 y 2007629 de rubros siguientes: </w:t>
      </w:r>
      <w:r w:rsidRPr="007B0581">
        <w:rPr>
          <w:rFonts w:ascii="Arial" w:hAnsi="Arial" w:cs="Arial"/>
          <w:i/>
          <w:iCs/>
          <w:sz w:val="24"/>
          <w:szCs w:val="24"/>
        </w:rPr>
        <w:t>“</w:t>
      </w:r>
      <w:r w:rsidRPr="007B0581">
        <w:rPr>
          <w:rFonts w:ascii="Arial" w:hAnsi="Arial" w:cs="Arial"/>
          <w:b/>
          <w:bCs/>
          <w:i/>
          <w:iCs/>
          <w:sz w:val="24"/>
          <w:szCs w:val="24"/>
        </w:rPr>
        <w:t xml:space="preserve">PRINCIPIO DE PROGRESIVIDAD DE LOS DERECHOS HUMANOS. SU NATURAELZA Y FUNCIÓN DEL ESTADO MEXICANO” </w:t>
      </w:r>
      <w:r w:rsidRPr="007B0581">
        <w:rPr>
          <w:rFonts w:ascii="Arial" w:hAnsi="Arial" w:cs="Arial"/>
          <w:i/>
          <w:iCs/>
          <w:sz w:val="24"/>
          <w:szCs w:val="24"/>
        </w:rPr>
        <w:t xml:space="preserve">y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bookmarkEnd w:id="7"/>
    <w:p w14:paraId="277D81D8" w14:textId="77777777" w:rsidR="009F28D2" w:rsidRPr="007B0581" w:rsidRDefault="009F28D2" w:rsidP="00C6391B">
      <w:pPr>
        <w:spacing w:line="360" w:lineRule="auto"/>
        <w:ind w:right="-93" w:firstLine="708"/>
        <w:jc w:val="both"/>
        <w:rPr>
          <w:rFonts w:ascii="Arial" w:hAnsi="Arial" w:cs="Arial"/>
          <w:sz w:val="24"/>
          <w:szCs w:val="24"/>
        </w:rPr>
      </w:pPr>
    </w:p>
    <w:p w14:paraId="3A6B85A4" w14:textId="31B3954B" w:rsidR="00A5533C" w:rsidRPr="007B0581" w:rsidRDefault="002226BC" w:rsidP="007B0581">
      <w:pPr>
        <w:spacing w:line="360" w:lineRule="auto"/>
        <w:ind w:firstLine="708"/>
        <w:jc w:val="both"/>
        <w:rPr>
          <w:rFonts w:ascii="Arial" w:hAnsi="Arial" w:cs="Arial"/>
          <w:color w:val="FF0000"/>
          <w:sz w:val="24"/>
          <w:szCs w:val="24"/>
        </w:rPr>
      </w:pPr>
      <w:r w:rsidRPr="007B0581">
        <w:rPr>
          <w:rFonts w:ascii="Arial" w:hAnsi="Arial" w:cs="Arial"/>
          <w:sz w:val="24"/>
          <w:szCs w:val="24"/>
        </w:rPr>
        <w:t xml:space="preserve">De lo antes expuesto, al </w:t>
      </w:r>
      <w:r w:rsidR="00707B95" w:rsidRPr="007B0581">
        <w:rPr>
          <w:rFonts w:ascii="Arial" w:hAnsi="Arial" w:cs="Arial"/>
          <w:sz w:val="24"/>
          <w:szCs w:val="24"/>
        </w:rPr>
        <w:t xml:space="preserve">aplicar la autoridad demandada un criterio discriminatorio entre los trabajadores de base y los de confianza, llegando al absurdo que sólo el primero de ellos, tiene derecho a que </w:t>
      </w:r>
      <w:r w:rsidR="00A5533C" w:rsidRPr="007B0581">
        <w:rPr>
          <w:rFonts w:ascii="Arial" w:hAnsi="Arial" w:cs="Arial"/>
          <w:sz w:val="24"/>
          <w:szCs w:val="24"/>
        </w:rPr>
        <w:t>se le tomen en cuenta para el otorgamiento de su pensión la previsión social múltiple, despensa, vida cara, quinquenios, aguinaldo, estimulo del día del jubilado y canasta navideña</w:t>
      </w:r>
      <w:r w:rsidR="00707B95" w:rsidRPr="007B0581">
        <w:rPr>
          <w:rFonts w:ascii="Arial" w:hAnsi="Arial" w:cs="Arial"/>
          <w:sz w:val="24"/>
          <w:szCs w:val="24"/>
        </w:rPr>
        <w:t xml:space="preserve">, </w:t>
      </w:r>
      <w:r w:rsidR="00707B95" w:rsidRPr="007B0581">
        <w:rPr>
          <w:rFonts w:ascii="Arial" w:hAnsi="Arial" w:cs="Arial"/>
          <w:sz w:val="24"/>
          <w:szCs w:val="24"/>
        </w:rPr>
        <w:lastRenderedPageBreak/>
        <w:t xml:space="preserve">vulnerando con ello el derecho de igualdad del actor, lo conducente es declarar la </w:t>
      </w:r>
      <w:r w:rsidR="00707B95" w:rsidRPr="007B0581">
        <w:rPr>
          <w:rFonts w:ascii="Arial" w:hAnsi="Arial" w:cs="Arial"/>
          <w:b/>
          <w:bCs/>
          <w:sz w:val="24"/>
          <w:szCs w:val="24"/>
        </w:rPr>
        <w:t xml:space="preserve">NULIDAD </w:t>
      </w:r>
      <w:r w:rsidR="00707B95" w:rsidRPr="007B0581">
        <w:rPr>
          <w:rFonts w:ascii="Arial" w:hAnsi="Arial" w:cs="Arial"/>
          <w:sz w:val="24"/>
          <w:szCs w:val="24"/>
        </w:rPr>
        <w:t xml:space="preserve">del oficio número </w:t>
      </w:r>
      <w:r w:rsidR="00AC33AD">
        <w:rPr>
          <w:rFonts w:cs="Arial"/>
          <w:b/>
          <w:sz w:val="24"/>
          <w:szCs w:val="24"/>
        </w:rPr>
        <w:t>**********</w:t>
      </w:r>
      <w:r w:rsidR="00AC33AD">
        <w:rPr>
          <w:rFonts w:cs="Arial"/>
          <w:b/>
          <w:sz w:val="24"/>
          <w:szCs w:val="24"/>
        </w:rPr>
        <w:t xml:space="preserve"> </w:t>
      </w:r>
      <w:r w:rsidR="00A5533C" w:rsidRPr="007B0581">
        <w:rPr>
          <w:rFonts w:ascii="Arial" w:hAnsi="Arial" w:cs="Arial"/>
          <w:sz w:val="24"/>
          <w:szCs w:val="24"/>
        </w:rPr>
        <w:t>de diez de julio de dos mil diecinueve, signado por el Director General de la Oficina de Pensiones del Estado de Oaxaca, que contiene el Dictamen de pensión por jubilación aprobado por el</w:t>
      </w:r>
      <w:r w:rsidR="00A5533C" w:rsidRPr="007B0581">
        <w:rPr>
          <w:rFonts w:ascii="Arial" w:hAnsi="Arial" w:cs="Arial"/>
          <w:b/>
          <w:bCs/>
          <w:sz w:val="24"/>
          <w:szCs w:val="24"/>
        </w:rPr>
        <w:t xml:space="preserve"> </w:t>
      </w:r>
      <w:r w:rsidR="00A5533C" w:rsidRPr="007B0581">
        <w:rPr>
          <w:rFonts w:ascii="Arial" w:hAnsi="Arial" w:cs="Arial"/>
          <w:sz w:val="24"/>
          <w:szCs w:val="24"/>
        </w:rPr>
        <w:t>Consejo Directivo de Pensiones del Estado de Oaxaca</w:t>
      </w:r>
      <w:r w:rsidR="00B04D8F" w:rsidRPr="007B0581">
        <w:rPr>
          <w:rFonts w:ascii="Arial" w:hAnsi="Arial" w:cs="Arial"/>
          <w:sz w:val="24"/>
          <w:szCs w:val="24"/>
        </w:rPr>
        <w:t xml:space="preserve">, </w:t>
      </w:r>
      <w:r w:rsidR="00B04D8F" w:rsidRPr="007B0581">
        <w:rPr>
          <w:rFonts w:ascii="Arial" w:hAnsi="Arial" w:cs="Arial"/>
          <w:b/>
          <w:bCs/>
          <w:sz w:val="24"/>
          <w:szCs w:val="24"/>
        </w:rPr>
        <w:t xml:space="preserve">PARA EL EFECTO </w:t>
      </w:r>
      <w:bookmarkStart w:id="8" w:name="_Hlk84507859"/>
      <w:r w:rsidR="008F1594">
        <w:rPr>
          <w:rFonts w:ascii="Arial" w:hAnsi="Arial" w:cs="Arial"/>
          <w:sz w:val="24"/>
          <w:szCs w:val="24"/>
        </w:rPr>
        <w:t xml:space="preserve">de </w:t>
      </w:r>
      <w:r w:rsidR="009F28D2" w:rsidRPr="007B0581">
        <w:rPr>
          <w:rFonts w:ascii="Arial" w:hAnsi="Arial" w:cs="Arial"/>
          <w:sz w:val="24"/>
          <w:szCs w:val="24"/>
        </w:rPr>
        <w:t xml:space="preserve">que una vez que cause estado la presente resolución, el CONSEJO  DIRECTIVO dicte otra en la que aunado a la pensión por jubilación concedida al actor, incorpore a la misma las prestaciones establecidas en la fracción I del artículo 54 de la Ley de Pensiones, tales como Previsión Social Múltiple, despensa, vida cara, quinquenios, aguinaldo, estímulo del día del jubilado y canasta navideña a que tiene derecho el actor; pensión que deberá ser otorgada de manera retroactiva, esto es, a partir del mes de </w:t>
      </w:r>
      <w:r w:rsidR="007B0581" w:rsidRPr="007B0581">
        <w:rPr>
          <w:rFonts w:ascii="Arial" w:hAnsi="Arial" w:cs="Arial"/>
          <w:sz w:val="24"/>
          <w:szCs w:val="24"/>
        </w:rPr>
        <w:t>enero</w:t>
      </w:r>
      <w:r w:rsidR="009F28D2" w:rsidRPr="007B0581">
        <w:rPr>
          <w:rFonts w:ascii="Arial" w:hAnsi="Arial" w:cs="Arial"/>
          <w:sz w:val="24"/>
          <w:szCs w:val="24"/>
        </w:rPr>
        <w:t xml:space="preserve"> de dos mil veint</w:t>
      </w:r>
      <w:r w:rsidR="007B0581" w:rsidRPr="007B0581">
        <w:rPr>
          <w:rFonts w:ascii="Arial" w:hAnsi="Arial" w:cs="Arial"/>
          <w:sz w:val="24"/>
          <w:szCs w:val="24"/>
        </w:rPr>
        <w:t>iuno</w:t>
      </w:r>
      <w:r w:rsidR="009F28D2" w:rsidRPr="007B0581">
        <w:rPr>
          <w:rFonts w:ascii="Arial" w:hAnsi="Arial" w:cs="Arial"/>
          <w:sz w:val="24"/>
          <w:szCs w:val="24"/>
        </w:rPr>
        <w:t xml:space="preserve"> en adelante, y elimine el descuento del 9% sobre el monto de su pensión, en el entendido que, para tener por cumplida la sentencia emitida en el presente juicio, deberá reintegrar los descuentos del 9% ya realizados a la fecha de cumplimiento, así como el pago de las prestaciones que se declararon procedentes en el presente fallo. </w:t>
      </w:r>
    </w:p>
    <w:bookmarkEnd w:id="8"/>
    <w:p w14:paraId="4353F2F5" w14:textId="77777777" w:rsidR="00CC26EF" w:rsidRPr="007B0581"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5369B7D7" w:rsidR="00E61158" w:rsidRPr="007B0581" w:rsidRDefault="00997234" w:rsidP="00CC26EF">
      <w:pPr>
        <w:spacing w:line="360" w:lineRule="auto"/>
        <w:ind w:right="-93" w:firstLine="708"/>
        <w:jc w:val="both"/>
        <w:rPr>
          <w:rFonts w:ascii="Arial" w:hAnsi="Arial" w:cs="Arial"/>
          <w:sz w:val="24"/>
          <w:szCs w:val="24"/>
        </w:rPr>
      </w:pPr>
      <w:r w:rsidRPr="007B0581">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obligado este juzgador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3F57246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 -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0D1C11BC"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r w:rsidR="00CC26EF" w:rsidRPr="007B0581">
        <w:rPr>
          <w:rFonts w:ascii="Arial" w:eastAsia="Arial Unicode MS" w:hAnsi="Arial" w:cs="Arial"/>
          <w:kern w:val="1"/>
          <w:sz w:val="24"/>
          <w:szCs w:val="24"/>
          <w:lang w:val="es-MX" w:eastAsia="ar-SA"/>
        </w:rPr>
        <w:t xml:space="preserve">- - - -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8E10103" w:rsidR="00585FAB" w:rsidRPr="007B0581" w:rsidRDefault="00585FAB"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No se actualizó ninguna causal de improcedencia del juicio, en consecuencia, NO SE SOBRESEE</w:t>
      </w:r>
      <w:r w:rsidR="00DB3D87" w:rsidRPr="007B0581">
        <w:rPr>
          <w:rFonts w:ascii="Arial" w:eastAsia="Calibri" w:hAnsi="Arial" w:cs="Arial"/>
          <w:color w:val="000000"/>
          <w:sz w:val="24"/>
          <w:szCs w:val="24"/>
          <w:lang w:val="es-MX" w:eastAsia="en-US"/>
        </w:rPr>
        <w:t xml:space="preserve"> el presente juicio. </w:t>
      </w:r>
      <w:r w:rsidR="00CC26EF" w:rsidRPr="007B0581">
        <w:rPr>
          <w:rFonts w:ascii="Arial" w:eastAsia="Calibri" w:hAnsi="Arial" w:cs="Arial"/>
          <w:color w:val="000000"/>
          <w:sz w:val="24"/>
          <w:szCs w:val="24"/>
          <w:lang w:val="es-MX" w:eastAsia="en-US"/>
        </w:rPr>
        <w:t xml:space="preserve">- - - - - - - -- -- - - - - - - - - - - - </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036CF13B" w:rsidR="001139C7" w:rsidRPr="007B0581" w:rsidRDefault="00585FAB"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972D02" w:rsidRPr="007B0581">
        <w:rPr>
          <w:rFonts w:ascii="Arial" w:hAnsi="Arial" w:cs="Arial"/>
          <w:sz w:val="24"/>
          <w:szCs w:val="24"/>
        </w:rPr>
        <w:t>oficio número</w:t>
      </w:r>
      <w:r w:rsidR="00CC26EF" w:rsidRPr="007B0581">
        <w:rPr>
          <w:rFonts w:ascii="Arial" w:hAnsi="Arial" w:cs="Arial"/>
          <w:b/>
          <w:bCs/>
          <w:sz w:val="24"/>
          <w:szCs w:val="24"/>
        </w:rPr>
        <w:t xml:space="preserve"> </w:t>
      </w:r>
      <w:r w:rsidR="00AC33AD">
        <w:rPr>
          <w:rFonts w:cs="Arial"/>
          <w:b/>
          <w:sz w:val="24"/>
          <w:szCs w:val="24"/>
        </w:rPr>
        <w:t>*********</w:t>
      </w:r>
      <w:r w:rsidR="00506B11">
        <w:rPr>
          <w:rFonts w:cs="Arial"/>
          <w:b/>
          <w:sz w:val="24"/>
          <w:szCs w:val="24"/>
        </w:rPr>
        <w:t xml:space="preserve">* </w:t>
      </w:r>
      <w:r w:rsidR="00506B11" w:rsidRPr="007B0581">
        <w:rPr>
          <w:rFonts w:ascii="Arial" w:hAnsi="Arial" w:cs="Arial"/>
          <w:sz w:val="24"/>
          <w:szCs w:val="24"/>
        </w:rPr>
        <w:t>de</w:t>
      </w:r>
      <w:r w:rsidR="00CC26EF" w:rsidRPr="007B0581">
        <w:rPr>
          <w:rFonts w:ascii="Arial" w:hAnsi="Arial" w:cs="Arial"/>
          <w:sz w:val="24"/>
          <w:szCs w:val="24"/>
        </w:rPr>
        <w:t xml:space="preserve"> diez de julio de dos mil diecinueve, signado por el Director General de la Oficina de Pensiones del Estado de Oaxaca, que contiene el Dictamen de </w:t>
      </w:r>
      <w:r w:rsidR="00DB0CAF">
        <w:rPr>
          <w:rFonts w:ascii="Arial" w:hAnsi="Arial" w:cs="Arial"/>
          <w:sz w:val="24"/>
          <w:szCs w:val="24"/>
        </w:rPr>
        <w:t>P</w:t>
      </w:r>
      <w:r w:rsidR="00CC26EF" w:rsidRPr="007B0581">
        <w:rPr>
          <w:rFonts w:ascii="Arial" w:hAnsi="Arial" w:cs="Arial"/>
          <w:sz w:val="24"/>
          <w:szCs w:val="24"/>
        </w:rPr>
        <w:t xml:space="preserve">ensión por </w:t>
      </w:r>
      <w:r w:rsidR="00DB0CAF">
        <w:rPr>
          <w:rFonts w:ascii="Arial" w:hAnsi="Arial" w:cs="Arial"/>
          <w:sz w:val="24"/>
          <w:szCs w:val="24"/>
        </w:rPr>
        <w:t>J</w:t>
      </w:r>
      <w:r w:rsidR="00CC26EF" w:rsidRPr="007B0581">
        <w:rPr>
          <w:rFonts w:ascii="Arial" w:hAnsi="Arial" w:cs="Arial"/>
          <w:sz w:val="24"/>
          <w:szCs w:val="24"/>
        </w:rPr>
        <w:t>ubilación aprobado por el</w:t>
      </w:r>
      <w:r w:rsidR="00CC26EF" w:rsidRPr="007B0581">
        <w:rPr>
          <w:rFonts w:ascii="Arial" w:hAnsi="Arial" w:cs="Arial"/>
          <w:b/>
          <w:bCs/>
          <w:sz w:val="24"/>
          <w:szCs w:val="24"/>
        </w:rPr>
        <w:t xml:space="preserve"> </w:t>
      </w:r>
      <w:r w:rsidR="00CC26EF" w:rsidRPr="007B0581">
        <w:rPr>
          <w:rFonts w:ascii="Arial" w:hAnsi="Arial" w:cs="Arial"/>
          <w:sz w:val="24"/>
          <w:szCs w:val="24"/>
        </w:rPr>
        <w:t xml:space="preserve">Consejo Directivo de Pensiones del Estado de Oaxaca,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00506B11"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 - - - - - - - - - - - - - - - - - - - - - - -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77777777" w:rsidR="00585FAB" w:rsidRPr="007B0581" w:rsidRDefault="00DA36F1"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w:t>
      </w:r>
      <w:r w:rsidR="00585FAB" w:rsidRPr="007B0581">
        <w:rPr>
          <w:rFonts w:ascii="Arial" w:eastAsia="Calibri" w:hAnsi="Arial" w:cs="Arial"/>
          <w:color w:val="000000"/>
          <w:sz w:val="24"/>
          <w:szCs w:val="24"/>
          <w:lang w:val="es-MX" w:eastAsia="en-US"/>
        </w:rPr>
        <w:t>Con</w:t>
      </w:r>
      <w:r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Pr="007B0581">
        <w:rPr>
          <w:rFonts w:ascii="Arial" w:eastAsia="Calibri" w:hAnsi="Arial" w:cs="Arial"/>
          <w:color w:val="000000"/>
          <w:sz w:val="24"/>
          <w:szCs w:val="24"/>
          <w:lang w:val="es-MX" w:eastAsia="en-US"/>
        </w:rPr>
        <w:t xml:space="preserve">s autoridades </w:t>
      </w:r>
      <w:r w:rsidR="00585FAB" w:rsidRPr="007B0581">
        <w:rPr>
          <w:rFonts w:ascii="Arial" w:eastAsia="Calibri" w:hAnsi="Arial" w:cs="Arial"/>
          <w:color w:val="000000"/>
          <w:sz w:val="24"/>
          <w:szCs w:val="24"/>
          <w:lang w:val="es-MX" w:eastAsia="en-US"/>
        </w:rPr>
        <w:t>demandada</w:t>
      </w:r>
      <w:r w:rsidRPr="007B0581">
        <w:rPr>
          <w:rFonts w:ascii="Arial" w:eastAsia="Calibri" w:hAnsi="Arial" w:cs="Arial"/>
          <w:color w:val="000000"/>
          <w:sz w:val="24"/>
          <w:szCs w:val="24"/>
          <w:lang w:val="es-MX" w:eastAsia="en-US"/>
        </w:rPr>
        <w:t xml:space="preserve">s.-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22DA793B"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 - - - - - - - - - - - - - - - - - - - </w:t>
      </w:r>
    </w:p>
    <w:p w14:paraId="71BD483B" w14:textId="77777777" w:rsidR="00867DE5" w:rsidRPr="007B0581" w:rsidRDefault="00867DE5" w:rsidP="00867DE5">
      <w:pPr>
        <w:spacing w:line="360" w:lineRule="auto"/>
        <w:ind w:right="18" w:firstLine="567"/>
        <w:jc w:val="both"/>
        <w:rPr>
          <w:rFonts w:ascii="Arial" w:hAnsi="Arial" w:cs="Arial"/>
          <w:sz w:val="24"/>
          <w:szCs w:val="24"/>
          <w:lang w:eastAsia="es-ES"/>
        </w:rPr>
      </w:pPr>
    </w:p>
    <w:p w14:paraId="1AF51E25" w14:textId="05890688" w:rsidR="00867DE5" w:rsidRPr="007B0581" w:rsidRDefault="00867DE5" w:rsidP="004A35A5">
      <w:pPr>
        <w:spacing w:line="360" w:lineRule="auto"/>
        <w:ind w:right="-91"/>
        <w:contextualSpacing/>
        <w:jc w:val="both"/>
        <w:rPr>
          <w:rFonts w:ascii="Arial" w:hAnsi="Arial" w:cs="Arial"/>
          <w:sz w:val="24"/>
          <w:szCs w:val="24"/>
          <w:lang w:val="es-MX"/>
        </w:rPr>
      </w:pPr>
    </w:p>
    <w:p w14:paraId="28B367A6" w14:textId="77777777" w:rsidR="00867DE5" w:rsidRPr="007B0581" w:rsidRDefault="00867DE5" w:rsidP="004A35A5">
      <w:pPr>
        <w:spacing w:line="360" w:lineRule="auto"/>
        <w:ind w:right="-91"/>
        <w:contextualSpacing/>
        <w:jc w:val="both"/>
        <w:rPr>
          <w:rFonts w:ascii="Arial" w:hAnsi="Arial" w:cs="Arial"/>
          <w:sz w:val="24"/>
          <w:szCs w:val="24"/>
          <w:lang w:val="es-MX"/>
        </w:rPr>
      </w:pPr>
    </w:p>
    <w:sectPr w:rsidR="00867DE5" w:rsidRPr="007B0581" w:rsidSect="00506B11">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7E3CB9" w14:textId="77777777" w:rsidR="00F124B8" w:rsidRDefault="00F124B8" w:rsidP="00C22D0D">
      <w:r>
        <w:separator/>
      </w:r>
    </w:p>
  </w:endnote>
  <w:endnote w:type="continuationSeparator" w:id="0">
    <w:p w14:paraId="64606888" w14:textId="77777777" w:rsidR="00F124B8" w:rsidRDefault="00F124B8"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1A2B131D" w:rsidR="00A73AD7" w:rsidRDefault="00A73AD7">
        <w:pPr>
          <w:pStyle w:val="Piedepgina"/>
          <w:jc w:val="center"/>
        </w:pPr>
        <w:r>
          <w:fldChar w:fldCharType="begin"/>
        </w:r>
        <w:r>
          <w:instrText>PAGE   \* MERGEFORMAT</w:instrText>
        </w:r>
        <w:r>
          <w:fldChar w:fldCharType="separate"/>
        </w:r>
        <w:r w:rsidR="007F7EBB">
          <w:rPr>
            <w:noProof/>
          </w:rPr>
          <w:t>6</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28C7C9" w14:textId="77777777" w:rsidR="00F124B8" w:rsidRDefault="00F124B8" w:rsidP="00C22D0D">
      <w:r>
        <w:separator/>
      </w:r>
    </w:p>
  </w:footnote>
  <w:footnote w:type="continuationSeparator" w:id="0">
    <w:p w14:paraId="5E12C35D" w14:textId="77777777" w:rsidR="00F124B8" w:rsidRDefault="00F124B8"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0189097E" w:rsidR="00C22D0D" w:rsidRPr="00A73AD7" w:rsidRDefault="00506B11" w:rsidP="00A73AD7">
    <w:pPr>
      <w:pStyle w:val="Encabezado"/>
      <w:jc w:val="right"/>
      <w:rPr>
        <w:rFonts w:ascii="Arial" w:hAnsi="Arial" w:cs="Arial"/>
      </w:rPr>
    </w:pPr>
    <w:r w:rsidRPr="00C81C70">
      <w:rPr>
        <w:rFonts w:eastAsia="Calibri"/>
        <w:noProof/>
      </w:rPr>
      <mc:AlternateContent>
        <mc:Choice Requires="wps">
          <w:drawing>
            <wp:anchor distT="45720" distB="45720" distL="114300" distR="114300" simplePos="0" relativeHeight="251667456" behindDoc="1" locked="0" layoutInCell="1" allowOverlap="1" wp14:anchorId="22F5FE0C" wp14:editId="1EFDEE9D">
              <wp:simplePos x="0" y="0"/>
              <wp:positionH relativeFrom="leftMargin">
                <wp:posOffset>300002</wp:posOffset>
              </wp:positionH>
              <wp:positionV relativeFrom="paragraph">
                <wp:posOffset>4120374</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BABB4D8" w14:textId="77777777" w:rsidR="00506B11" w:rsidRDefault="00506B11" w:rsidP="00506B1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F5FE0C" id="_x0000_t202" coordsize="21600,21600" o:spt="202" path="m,l,21600r21600,l21600,xe">
              <v:stroke joinstyle="miter"/>
              <v:path gradientshapeok="t" o:connecttype="rect"/>
            </v:shapetype>
            <v:shape id="Cuadro de texto 5" o:spid="_x0000_s1026" type="#_x0000_t202" style="position:absolute;left:0;text-align:left;margin-left:23.6pt;margin-top:324.4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">
              <v:textbox>
                <w:txbxContent>
                  <w:p w14:paraId="3BABB4D8" w14:textId="77777777" w:rsidR="00506B11" w:rsidRDefault="00506B11" w:rsidP="00506B11">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96D64D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DC1">
      <w:rPr>
        <w:rFonts w:ascii="Arial" w:hAnsi="Arial" w:cs="Arial"/>
      </w:rPr>
      <w:t>01</w:t>
    </w:r>
    <w:r w:rsidR="00772264">
      <w:rPr>
        <w:rFonts w:ascii="Arial" w:hAnsi="Arial" w:cs="Arial"/>
      </w:rPr>
      <w:t>3</w:t>
    </w:r>
    <w:r w:rsidR="00A73AD7" w:rsidRPr="00A73AD7">
      <w:rPr>
        <w:rFonts w:ascii="Arial" w:hAnsi="Arial" w:cs="Arial"/>
      </w:rPr>
      <w:t>/20</w:t>
    </w:r>
    <w:r w:rsidR="00360DC1">
      <w:rPr>
        <w:rFonts w:ascii="Arial" w:hAnsi="Arial" w:cs="Arial"/>
      </w:rPr>
      <w:t>2</w:t>
    </w:r>
    <w:r w:rsidR="00772264">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631B788B" w:rsidR="00065664" w:rsidRDefault="00F71BE4">
    <w:pPr>
      <w:pStyle w:val="Encabezado"/>
    </w:pPr>
    <w:r w:rsidRPr="00C81C70">
      <w:rPr>
        <w:rFonts w:eastAsia="Calibri"/>
        <w:noProof/>
      </w:rPr>
      <mc:AlternateContent>
        <mc:Choice Requires="wps">
          <w:drawing>
            <wp:anchor distT="45720" distB="45720" distL="114300" distR="114300" simplePos="0" relativeHeight="251665408" behindDoc="1" locked="0" layoutInCell="1" allowOverlap="1" wp14:anchorId="2FEC6821" wp14:editId="523AC7E4">
              <wp:simplePos x="0" y="0"/>
              <wp:positionH relativeFrom="leftMargin">
                <wp:posOffset>242751</wp:posOffset>
              </wp:positionH>
              <wp:positionV relativeFrom="paragraph">
                <wp:posOffset>5308221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FCDE5B6" w14:textId="77777777" w:rsidR="00F71BE4" w:rsidRDefault="00F71BE4" w:rsidP="00F71BE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EC6821" id="_x0000_t202" coordsize="21600,21600" o:spt="202" path="m,l,21600r21600,l21600,xe">
              <v:stroke joinstyle="miter"/>
              <v:path gradientshapeok="t" o:connecttype="rect"/>
            </v:shapetype>
            <v:shape id="Cuadro de texto 4" o:spid="_x0000_s1027" type="#_x0000_t202" style="position:absolute;margin-left:19.1pt;margin-top:417.9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">
              <v:textbox>
                <w:txbxContent>
                  <w:p w14:paraId="3FCDE5B6" w14:textId="77777777" w:rsidR="00F71BE4" w:rsidRDefault="00F71BE4" w:rsidP="00F71BE4">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093E2FA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E15"/>
    <w:rsid w:val="00026CF5"/>
    <w:rsid w:val="00027543"/>
    <w:rsid w:val="00030AD1"/>
    <w:rsid w:val="000334C2"/>
    <w:rsid w:val="00035972"/>
    <w:rsid w:val="0003697E"/>
    <w:rsid w:val="000558E9"/>
    <w:rsid w:val="00056002"/>
    <w:rsid w:val="000635B0"/>
    <w:rsid w:val="00065664"/>
    <w:rsid w:val="00066864"/>
    <w:rsid w:val="000668F8"/>
    <w:rsid w:val="000674E2"/>
    <w:rsid w:val="00073204"/>
    <w:rsid w:val="00076E94"/>
    <w:rsid w:val="000851D6"/>
    <w:rsid w:val="000953BE"/>
    <w:rsid w:val="000956C2"/>
    <w:rsid w:val="000A3BB8"/>
    <w:rsid w:val="000A7A44"/>
    <w:rsid w:val="000B0104"/>
    <w:rsid w:val="000B49F5"/>
    <w:rsid w:val="000C1565"/>
    <w:rsid w:val="000C2C1E"/>
    <w:rsid w:val="000C4E31"/>
    <w:rsid w:val="000C6227"/>
    <w:rsid w:val="000C70E9"/>
    <w:rsid w:val="000D6698"/>
    <w:rsid w:val="000E6AD5"/>
    <w:rsid w:val="000E6E1A"/>
    <w:rsid w:val="000F0020"/>
    <w:rsid w:val="000F2109"/>
    <w:rsid w:val="000F4F36"/>
    <w:rsid w:val="000F783C"/>
    <w:rsid w:val="000F7B39"/>
    <w:rsid w:val="00102FFD"/>
    <w:rsid w:val="001033A1"/>
    <w:rsid w:val="001056AB"/>
    <w:rsid w:val="00106927"/>
    <w:rsid w:val="001139C7"/>
    <w:rsid w:val="00120C20"/>
    <w:rsid w:val="0012261E"/>
    <w:rsid w:val="00132CE4"/>
    <w:rsid w:val="001341D3"/>
    <w:rsid w:val="00135D86"/>
    <w:rsid w:val="0013609B"/>
    <w:rsid w:val="001368CA"/>
    <w:rsid w:val="00140569"/>
    <w:rsid w:val="0014397E"/>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9376B"/>
    <w:rsid w:val="00194DD8"/>
    <w:rsid w:val="001968FD"/>
    <w:rsid w:val="00196F6D"/>
    <w:rsid w:val="001A2A83"/>
    <w:rsid w:val="001A4D53"/>
    <w:rsid w:val="001B0398"/>
    <w:rsid w:val="001B0B86"/>
    <w:rsid w:val="001B1AB4"/>
    <w:rsid w:val="001B3349"/>
    <w:rsid w:val="001B3B32"/>
    <w:rsid w:val="001B64DB"/>
    <w:rsid w:val="001C2DF2"/>
    <w:rsid w:val="001D09AA"/>
    <w:rsid w:val="001D150B"/>
    <w:rsid w:val="001D7D2E"/>
    <w:rsid w:val="001E16C9"/>
    <w:rsid w:val="001E1A6A"/>
    <w:rsid w:val="001E5467"/>
    <w:rsid w:val="001F74CA"/>
    <w:rsid w:val="00201191"/>
    <w:rsid w:val="00201D27"/>
    <w:rsid w:val="00206E78"/>
    <w:rsid w:val="0021005D"/>
    <w:rsid w:val="00210866"/>
    <w:rsid w:val="0021675C"/>
    <w:rsid w:val="00221647"/>
    <w:rsid w:val="002226BC"/>
    <w:rsid w:val="00223BE0"/>
    <w:rsid w:val="00232678"/>
    <w:rsid w:val="0023606C"/>
    <w:rsid w:val="0024583D"/>
    <w:rsid w:val="00246A0A"/>
    <w:rsid w:val="00252336"/>
    <w:rsid w:val="00255783"/>
    <w:rsid w:val="00286489"/>
    <w:rsid w:val="00286593"/>
    <w:rsid w:val="002943AA"/>
    <w:rsid w:val="00294A96"/>
    <w:rsid w:val="00295DBB"/>
    <w:rsid w:val="00296F18"/>
    <w:rsid w:val="00296F93"/>
    <w:rsid w:val="002970D0"/>
    <w:rsid w:val="002A0A1A"/>
    <w:rsid w:val="002A3E0F"/>
    <w:rsid w:val="002A6617"/>
    <w:rsid w:val="002A7A14"/>
    <w:rsid w:val="002B20A0"/>
    <w:rsid w:val="002B36E5"/>
    <w:rsid w:val="002C25CA"/>
    <w:rsid w:val="002C692C"/>
    <w:rsid w:val="002E3177"/>
    <w:rsid w:val="002E6B26"/>
    <w:rsid w:val="002F397A"/>
    <w:rsid w:val="002F5F0B"/>
    <w:rsid w:val="002F6F1F"/>
    <w:rsid w:val="00307BA1"/>
    <w:rsid w:val="0031136B"/>
    <w:rsid w:val="003117AB"/>
    <w:rsid w:val="00316A30"/>
    <w:rsid w:val="00322EDF"/>
    <w:rsid w:val="003230BE"/>
    <w:rsid w:val="00324E9C"/>
    <w:rsid w:val="00326E0E"/>
    <w:rsid w:val="00333C75"/>
    <w:rsid w:val="003378EF"/>
    <w:rsid w:val="00343435"/>
    <w:rsid w:val="003453BE"/>
    <w:rsid w:val="00345D40"/>
    <w:rsid w:val="0035069C"/>
    <w:rsid w:val="00357684"/>
    <w:rsid w:val="00357A28"/>
    <w:rsid w:val="00360DC1"/>
    <w:rsid w:val="003636E1"/>
    <w:rsid w:val="00363F3A"/>
    <w:rsid w:val="00364B36"/>
    <w:rsid w:val="003654F6"/>
    <w:rsid w:val="00367EA3"/>
    <w:rsid w:val="00370340"/>
    <w:rsid w:val="0037279C"/>
    <w:rsid w:val="003745F5"/>
    <w:rsid w:val="00375E60"/>
    <w:rsid w:val="0039061D"/>
    <w:rsid w:val="00390807"/>
    <w:rsid w:val="003949C6"/>
    <w:rsid w:val="00395E43"/>
    <w:rsid w:val="00397620"/>
    <w:rsid w:val="00397EDB"/>
    <w:rsid w:val="003A2CC7"/>
    <w:rsid w:val="003B06F3"/>
    <w:rsid w:val="003B07FD"/>
    <w:rsid w:val="003B517B"/>
    <w:rsid w:val="003B6272"/>
    <w:rsid w:val="003B6A4B"/>
    <w:rsid w:val="003C12CB"/>
    <w:rsid w:val="003C2799"/>
    <w:rsid w:val="003D07D3"/>
    <w:rsid w:val="003D1C33"/>
    <w:rsid w:val="003E51C7"/>
    <w:rsid w:val="003E568B"/>
    <w:rsid w:val="003E7F8F"/>
    <w:rsid w:val="003F1FFF"/>
    <w:rsid w:val="003F254F"/>
    <w:rsid w:val="003F5445"/>
    <w:rsid w:val="003F738C"/>
    <w:rsid w:val="00400744"/>
    <w:rsid w:val="004027A4"/>
    <w:rsid w:val="00406044"/>
    <w:rsid w:val="0041211F"/>
    <w:rsid w:val="004259B2"/>
    <w:rsid w:val="0043120A"/>
    <w:rsid w:val="00431B90"/>
    <w:rsid w:val="00435513"/>
    <w:rsid w:val="004402CE"/>
    <w:rsid w:val="00450F12"/>
    <w:rsid w:val="004558A9"/>
    <w:rsid w:val="0045685C"/>
    <w:rsid w:val="0046046B"/>
    <w:rsid w:val="00466AD6"/>
    <w:rsid w:val="00467C41"/>
    <w:rsid w:val="00470B16"/>
    <w:rsid w:val="00471C70"/>
    <w:rsid w:val="004726AC"/>
    <w:rsid w:val="0047304E"/>
    <w:rsid w:val="00473175"/>
    <w:rsid w:val="00473225"/>
    <w:rsid w:val="0047510F"/>
    <w:rsid w:val="00476EE3"/>
    <w:rsid w:val="00481687"/>
    <w:rsid w:val="00483AFA"/>
    <w:rsid w:val="0049063F"/>
    <w:rsid w:val="004A35A5"/>
    <w:rsid w:val="004B3214"/>
    <w:rsid w:val="004D530A"/>
    <w:rsid w:val="004D69CC"/>
    <w:rsid w:val="004E0294"/>
    <w:rsid w:val="004E167A"/>
    <w:rsid w:val="004F0EAF"/>
    <w:rsid w:val="004F16BA"/>
    <w:rsid w:val="004F3DEB"/>
    <w:rsid w:val="004F4B01"/>
    <w:rsid w:val="00502E44"/>
    <w:rsid w:val="00506B11"/>
    <w:rsid w:val="00510C5E"/>
    <w:rsid w:val="00521874"/>
    <w:rsid w:val="00523DE6"/>
    <w:rsid w:val="00533A7B"/>
    <w:rsid w:val="00543886"/>
    <w:rsid w:val="00547243"/>
    <w:rsid w:val="0055625B"/>
    <w:rsid w:val="00556A8F"/>
    <w:rsid w:val="00562F3E"/>
    <w:rsid w:val="00572C01"/>
    <w:rsid w:val="005851DE"/>
    <w:rsid w:val="00585FAB"/>
    <w:rsid w:val="0058668B"/>
    <w:rsid w:val="005950E6"/>
    <w:rsid w:val="005A7F05"/>
    <w:rsid w:val="005C4932"/>
    <w:rsid w:val="005C791C"/>
    <w:rsid w:val="005D3DE8"/>
    <w:rsid w:val="005D64AF"/>
    <w:rsid w:val="005E1CD9"/>
    <w:rsid w:val="005E2BD1"/>
    <w:rsid w:val="005F15EE"/>
    <w:rsid w:val="00606520"/>
    <w:rsid w:val="006245BA"/>
    <w:rsid w:val="006307CC"/>
    <w:rsid w:val="00634B92"/>
    <w:rsid w:val="006408C9"/>
    <w:rsid w:val="00641D8B"/>
    <w:rsid w:val="00646ED9"/>
    <w:rsid w:val="006546DE"/>
    <w:rsid w:val="00654BBE"/>
    <w:rsid w:val="00663C0B"/>
    <w:rsid w:val="006668D9"/>
    <w:rsid w:val="00666B0E"/>
    <w:rsid w:val="00672CBA"/>
    <w:rsid w:val="00676136"/>
    <w:rsid w:val="00677978"/>
    <w:rsid w:val="00680D49"/>
    <w:rsid w:val="006827F8"/>
    <w:rsid w:val="00683B03"/>
    <w:rsid w:val="00685D6F"/>
    <w:rsid w:val="00686266"/>
    <w:rsid w:val="00693C6B"/>
    <w:rsid w:val="006955C6"/>
    <w:rsid w:val="0069601F"/>
    <w:rsid w:val="0069672E"/>
    <w:rsid w:val="00697265"/>
    <w:rsid w:val="006A0E35"/>
    <w:rsid w:val="006A29B4"/>
    <w:rsid w:val="006A2C75"/>
    <w:rsid w:val="006A445C"/>
    <w:rsid w:val="006A478D"/>
    <w:rsid w:val="006A4E4E"/>
    <w:rsid w:val="006A6970"/>
    <w:rsid w:val="006B617F"/>
    <w:rsid w:val="006C0CA3"/>
    <w:rsid w:val="006C31C0"/>
    <w:rsid w:val="006C3A19"/>
    <w:rsid w:val="006C540A"/>
    <w:rsid w:val="006C6B91"/>
    <w:rsid w:val="006D147C"/>
    <w:rsid w:val="006D1B65"/>
    <w:rsid w:val="006D3714"/>
    <w:rsid w:val="006D5A41"/>
    <w:rsid w:val="006D7462"/>
    <w:rsid w:val="006E0CC7"/>
    <w:rsid w:val="006E291F"/>
    <w:rsid w:val="006E2C00"/>
    <w:rsid w:val="006E7E0A"/>
    <w:rsid w:val="006F2C29"/>
    <w:rsid w:val="00700E21"/>
    <w:rsid w:val="00707B95"/>
    <w:rsid w:val="007116B4"/>
    <w:rsid w:val="007142CD"/>
    <w:rsid w:val="00715B93"/>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E0C"/>
    <w:rsid w:val="00765194"/>
    <w:rsid w:val="00766415"/>
    <w:rsid w:val="00772264"/>
    <w:rsid w:val="00772750"/>
    <w:rsid w:val="00777CF5"/>
    <w:rsid w:val="00780427"/>
    <w:rsid w:val="00783D7B"/>
    <w:rsid w:val="00783EDE"/>
    <w:rsid w:val="0079658F"/>
    <w:rsid w:val="007A1E52"/>
    <w:rsid w:val="007A2570"/>
    <w:rsid w:val="007A5988"/>
    <w:rsid w:val="007B0581"/>
    <w:rsid w:val="007B2BAB"/>
    <w:rsid w:val="007C0CFD"/>
    <w:rsid w:val="007E0C70"/>
    <w:rsid w:val="007E3CFF"/>
    <w:rsid w:val="007E6219"/>
    <w:rsid w:val="007F16A4"/>
    <w:rsid w:val="007F1E01"/>
    <w:rsid w:val="007F5A4E"/>
    <w:rsid w:val="007F5FED"/>
    <w:rsid w:val="007F7EBB"/>
    <w:rsid w:val="00802DB3"/>
    <w:rsid w:val="00802EE4"/>
    <w:rsid w:val="008043E1"/>
    <w:rsid w:val="00804947"/>
    <w:rsid w:val="008075F1"/>
    <w:rsid w:val="00807AA4"/>
    <w:rsid w:val="00811AC0"/>
    <w:rsid w:val="00813257"/>
    <w:rsid w:val="0081409D"/>
    <w:rsid w:val="00814192"/>
    <w:rsid w:val="0082213D"/>
    <w:rsid w:val="00824E92"/>
    <w:rsid w:val="00825E6B"/>
    <w:rsid w:val="0083112B"/>
    <w:rsid w:val="008317C8"/>
    <w:rsid w:val="00836E04"/>
    <w:rsid w:val="00852131"/>
    <w:rsid w:val="008574E0"/>
    <w:rsid w:val="00864B46"/>
    <w:rsid w:val="00867DE5"/>
    <w:rsid w:val="00870DB0"/>
    <w:rsid w:val="00872609"/>
    <w:rsid w:val="00874121"/>
    <w:rsid w:val="00876A9D"/>
    <w:rsid w:val="00876CB5"/>
    <w:rsid w:val="0089778E"/>
    <w:rsid w:val="008A6ACD"/>
    <w:rsid w:val="008B62E6"/>
    <w:rsid w:val="008B6B0C"/>
    <w:rsid w:val="008C07DF"/>
    <w:rsid w:val="008C7879"/>
    <w:rsid w:val="008D343F"/>
    <w:rsid w:val="008D50B0"/>
    <w:rsid w:val="008D615A"/>
    <w:rsid w:val="008D758E"/>
    <w:rsid w:val="008E2B12"/>
    <w:rsid w:val="008E3073"/>
    <w:rsid w:val="008E42B1"/>
    <w:rsid w:val="008F1594"/>
    <w:rsid w:val="008F4ABF"/>
    <w:rsid w:val="00906C4C"/>
    <w:rsid w:val="00910EFC"/>
    <w:rsid w:val="00917498"/>
    <w:rsid w:val="00917EDB"/>
    <w:rsid w:val="00920526"/>
    <w:rsid w:val="00922080"/>
    <w:rsid w:val="00924687"/>
    <w:rsid w:val="00924C3A"/>
    <w:rsid w:val="00933BF1"/>
    <w:rsid w:val="0093469B"/>
    <w:rsid w:val="0093506B"/>
    <w:rsid w:val="00943D26"/>
    <w:rsid w:val="00944924"/>
    <w:rsid w:val="009525A3"/>
    <w:rsid w:val="0095484F"/>
    <w:rsid w:val="0095726D"/>
    <w:rsid w:val="00957EC6"/>
    <w:rsid w:val="00964538"/>
    <w:rsid w:val="00966BE0"/>
    <w:rsid w:val="00972D02"/>
    <w:rsid w:val="009749F2"/>
    <w:rsid w:val="00997234"/>
    <w:rsid w:val="009B3100"/>
    <w:rsid w:val="009B3687"/>
    <w:rsid w:val="009B4B80"/>
    <w:rsid w:val="009B52E2"/>
    <w:rsid w:val="009C2486"/>
    <w:rsid w:val="009C2A9F"/>
    <w:rsid w:val="009C2EA9"/>
    <w:rsid w:val="009C37DB"/>
    <w:rsid w:val="009C4886"/>
    <w:rsid w:val="009D19E2"/>
    <w:rsid w:val="009D7B1B"/>
    <w:rsid w:val="009E0919"/>
    <w:rsid w:val="009E33DA"/>
    <w:rsid w:val="009E65F7"/>
    <w:rsid w:val="009F28D2"/>
    <w:rsid w:val="00A10AAF"/>
    <w:rsid w:val="00A11487"/>
    <w:rsid w:val="00A13471"/>
    <w:rsid w:val="00A1391C"/>
    <w:rsid w:val="00A15B34"/>
    <w:rsid w:val="00A20099"/>
    <w:rsid w:val="00A2194B"/>
    <w:rsid w:val="00A31A82"/>
    <w:rsid w:val="00A35378"/>
    <w:rsid w:val="00A36520"/>
    <w:rsid w:val="00A419EA"/>
    <w:rsid w:val="00A470EF"/>
    <w:rsid w:val="00A5533C"/>
    <w:rsid w:val="00A55D14"/>
    <w:rsid w:val="00A611ED"/>
    <w:rsid w:val="00A62428"/>
    <w:rsid w:val="00A647A3"/>
    <w:rsid w:val="00A72E4B"/>
    <w:rsid w:val="00A73AD7"/>
    <w:rsid w:val="00A7531C"/>
    <w:rsid w:val="00A76BA8"/>
    <w:rsid w:val="00A775FB"/>
    <w:rsid w:val="00A80F3D"/>
    <w:rsid w:val="00A823DA"/>
    <w:rsid w:val="00A82615"/>
    <w:rsid w:val="00A92A66"/>
    <w:rsid w:val="00AB0D65"/>
    <w:rsid w:val="00AB1533"/>
    <w:rsid w:val="00AB2FF0"/>
    <w:rsid w:val="00AB36AE"/>
    <w:rsid w:val="00AB3F67"/>
    <w:rsid w:val="00AB4089"/>
    <w:rsid w:val="00AB4A09"/>
    <w:rsid w:val="00AB4C90"/>
    <w:rsid w:val="00AB712E"/>
    <w:rsid w:val="00AC033D"/>
    <w:rsid w:val="00AC33AD"/>
    <w:rsid w:val="00AC3D37"/>
    <w:rsid w:val="00AC47B9"/>
    <w:rsid w:val="00AD1222"/>
    <w:rsid w:val="00AD3FDF"/>
    <w:rsid w:val="00AE1985"/>
    <w:rsid w:val="00AE2CEF"/>
    <w:rsid w:val="00AE5951"/>
    <w:rsid w:val="00AE670D"/>
    <w:rsid w:val="00AF2E69"/>
    <w:rsid w:val="00AF6BF9"/>
    <w:rsid w:val="00B04D8F"/>
    <w:rsid w:val="00B10165"/>
    <w:rsid w:val="00B10462"/>
    <w:rsid w:val="00B12321"/>
    <w:rsid w:val="00B1422E"/>
    <w:rsid w:val="00B149CA"/>
    <w:rsid w:val="00B23A8B"/>
    <w:rsid w:val="00B25F23"/>
    <w:rsid w:val="00B2600F"/>
    <w:rsid w:val="00B27A3A"/>
    <w:rsid w:val="00B300CC"/>
    <w:rsid w:val="00B321CB"/>
    <w:rsid w:val="00B37102"/>
    <w:rsid w:val="00B401C0"/>
    <w:rsid w:val="00B50F19"/>
    <w:rsid w:val="00B57C74"/>
    <w:rsid w:val="00B62D72"/>
    <w:rsid w:val="00B7239E"/>
    <w:rsid w:val="00B76F68"/>
    <w:rsid w:val="00B813BD"/>
    <w:rsid w:val="00B814E4"/>
    <w:rsid w:val="00B8199E"/>
    <w:rsid w:val="00B84C7D"/>
    <w:rsid w:val="00B93B2F"/>
    <w:rsid w:val="00B95AC5"/>
    <w:rsid w:val="00B95E64"/>
    <w:rsid w:val="00BB2EC0"/>
    <w:rsid w:val="00BC2EBC"/>
    <w:rsid w:val="00BC4105"/>
    <w:rsid w:val="00BD1E0E"/>
    <w:rsid w:val="00BE5BAF"/>
    <w:rsid w:val="00BE6C2B"/>
    <w:rsid w:val="00BF25F9"/>
    <w:rsid w:val="00BF484A"/>
    <w:rsid w:val="00C10FCF"/>
    <w:rsid w:val="00C21430"/>
    <w:rsid w:val="00C22D0D"/>
    <w:rsid w:val="00C254ED"/>
    <w:rsid w:val="00C33DD1"/>
    <w:rsid w:val="00C42A60"/>
    <w:rsid w:val="00C42B27"/>
    <w:rsid w:val="00C47F9D"/>
    <w:rsid w:val="00C544A0"/>
    <w:rsid w:val="00C60B8D"/>
    <w:rsid w:val="00C60E00"/>
    <w:rsid w:val="00C6391B"/>
    <w:rsid w:val="00C64FD4"/>
    <w:rsid w:val="00C707C2"/>
    <w:rsid w:val="00C72565"/>
    <w:rsid w:val="00C7326C"/>
    <w:rsid w:val="00C75628"/>
    <w:rsid w:val="00C77E51"/>
    <w:rsid w:val="00C80831"/>
    <w:rsid w:val="00C80C36"/>
    <w:rsid w:val="00C84DF3"/>
    <w:rsid w:val="00C864BA"/>
    <w:rsid w:val="00C87683"/>
    <w:rsid w:val="00C90395"/>
    <w:rsid w:val="00C92C19"/>
    <w:rsid w:val="00C93942"/>
    <w:rsid w:val="00CA494A"/>
    <w:rsid w:val="00CA5BAC"/>
    <w:rsid w:val="00CB3964"/>
    <w:rsid w:val="00CB4190"/>
    <w:rsid w:val="00CB5FB1"/>
    <w:rsid w:val="00CC26EF"/>
    <w:rsid w:val="00CD1DDA"/>
    <w:rsid w:val="00CD35E0"/>
    <w:rsid w:val="00CD4529"/>
    <w:rsid w:val="00CD5E22"/>
    <w:rsid w:val="00CD6D1C"/>
    <w:rsid w:val="00CE54F5"/>
    <w:rsid w:val="00CF2D22"/>
    <w:rsid w:val="00CF4E5C"/>
    <w:rsid w:val="00CF60CA"/>
    <w:rsid w:val="00D020CC"/>
    <w:rsid w:val="00D05077"/>
    <w:rsid w:val="00D058DA"/>
    <w:rsid w:val="00D07A2B"/>
    <w:rsid w:val="00D07D24"/>
    <w:rsid w:val="00D12806"/>
    <w:rsid w:val="00D149EE"/>
    <w:rsid w:val="00D2439D"/>
    <w:rsid w:val="00D2553B"/>
    <w:rsid w:val="00D27A49"/>
    <w:rsid w:val="00D31ED3"/>
    <w:rsid w:val="00D4417A"/>
    <w:rsid w:val="00D46053"/>
    <w:rsid w:val="00D467E1"/>
    <w:rsid w:val="00D61CE9"/>
    <w:rsid w:val="00D7020F"/>
    <w:rsid w:val="00D70F4B"/>
    <w:rsid w:val="00D7203F"/>
    <w:rsid w:val="00D72485"/>
    <w:rsid w:val="00D7413D"/>
    <w:rsid w:val="00D76522"/>
    <w:rsid w:val="00D77CCF"/>
    <w:rsid w:val="00D8599C"/>
    <w:rsid w:val="00D86689"/>
    <w:rsid w:val="00D90031"/>
    <w:rsid w:val="00D9278E"/>
    <w:rsid w:val="00D9348F"/>
    <w:rsid w:val="00D939A2"/>
    <w:rsid w:val="00D93FAE"/>
    <w:rsid w:val="00DA36F1"/>
    <w:rsid w:val="00DA6621"/>
    <w:rsid w:val="00DB0149"/>
    <w:rsid w:val="00DB0CAF"/>
    <w:rsid w:val="00DB3D87"/>
    <w:rsid w:val="00DB568D"/>
    <w:rsid w:val="00DC0E30"/>
    <w:rsid w:val="00DC1B90"/>
    <w:rsid w:val="00DC6A93"/>
    <w:rsid w:val="00DD52D8"/>
    <w:rsid w:val="00DD69B3"/>
    <w:rsid w:val="00DD7728"/>
    <w:rsid w:val="00DE22C2"/>
    <w:rsid w:val="00DE56EC"/>
    <w:rsid w:val="00DE5CEF"/>
    <w:rsid w:val="00DE6686"/>
    <w:rsid w:val="00DE6D44"/>
    <w:rsid w:val="00DE7D18"/>
    <w:rsid w:val="00DF3097"/>
    <w:rsid w:val="00DF467C"/>
    <w:rsid w:val="00E04057"/>
    <w:rsid w:val="00E0550C"/>
    <w:rsid w:val="00E05B31"/>
    <w:rsid w:val="00E2534F"/>
    <w:rsid w:val="00E25C17"/>
    <w:rsid w:val="00E306D2"/>
    <w:rsid w:val="00E30CD2"/>
    <w:rsid w:val="00E41559"/>
    <w:rsid w:val="00E43C2E"/>
    <w:rsid w:val="00E54272"/>
    <w:rsid w:val="00E55595"/>
    <w:rsid w:val="00E61158"/>
    <w:rsid w:val="00E66E59"/>
    <w:rsid w:val="00E66EE7"/>
    <w:rsid w:val="00E67550"/>
    <w:rsid w:val="00E71D16"/>
    <w:rsid w:val="00E74218"/>
    <w:rsid w:val="00E85373"/>
    <w:rsid w:val="00E86AC9"/>
    <w:rsid w:val="00E9182C"/>
    <w:rsid w:val="00E93DF8"/>
    <w:rsid w:val="00E954B1"/>
    <w:rsid w:val="00E95FD9"/>
    <w:rsid w:val="00E975E9"/>
    <w:rsid w:val="00E9769F"/>
    <w:rsid w:val="00EA120D"/>
    <w:rsid w:val="00EA2E4A"/>
    <w:rsid w:val="00EA47A2"/>
    <w:rsid w:val="00EA6A84"/>
    <w:rsid w:val="00EB1FF8"/>
    <w:rsid w:val="00EB4115"/>
    <w:rsid w:val="00EC72F7"/>
    <w:rsid w:val="00ED091C"/>
    <w:rsid w:val="00EE2766"/>
    <w:rsid w:val="00EE3FA4"/>
    <w:rsid w:val="00EE4F61"/>
    <w:rsid w:val="00EE6999"/>
    <w:rsid w:val="00EF1E7F"/>
    <w:rsid w:val="00EF43D8"/>
    <w:rsid w:val="00EF4CC5"/>
    <w:rsid w:val="00EF64CE"/>
    <w:rsid w:val="00F005A1"/>
    <w:rsid w:val="00F01098"/>
    <w:rsid w:val="00F026C1"/>
    <w:rsid w:val="00F02812"/>
    <w:rsid w:val="00F05D33"/>
    <w:rsid w:val="00F115C9"/>
    <w:rsid w:val="00F124B8"/>
    <w:rsid w:val="00F2650A"/>
    <w:rsid w:val="00F36864"/>
    <w:rsid w:val="00F36FCB"/>
    <w:rsid w:val="00F53625"/>
    <w:rsid w:val="00F57098"/>
    <w:rsid w:val="00F60672"/>
    <w:rsid w:val="00F616B6"/>
    <w:rsid w:val="00F665E7"/>
    <w:rsid w:val="00F70904"/>
    <w:rsid w:val="00F7156D"/>
    <w:rsid w:val="00F71BE4"/>
    <w:rsid w:val="00F7401E"/>
    <w:rsid w:val="00F77BBF"/>
    <w:rsid w:val="00F80AE6"/>
    <w:rsid w:val="00F8105D"/>
    <w:rsid w:val="00F83E66"/>
    <w:rsid w:val="00F87AD7"/>
    <w:rsid w:val="00F96406"/>
    <w:rsid w:val="00FA2A46"/>
    <w:rsid w:val="00FA5F43"/>
    <w:rsid w:val="00FB0555"/>
    <w:rsid w:val="00FB5D26"/>
    <w:rsid w:val="00FC1955"/>
    <w:rsid w:val="00FC1FCF"/>
    <w:rsid w:val="00FC2258"/>
    <w:rsid w:val="00FC39C7"/>
    <w:rsid w:val="00FD2282"/>
    <w:rsid w:val="00FD5B2F"/>
    <w:rsid w:val="00FD70F8"/>
    <w:rsid w:val="00FE2F4B"/>
    <w:rsid w:val="00FE42F0"/>
    <w:rsid w:val="00FE6B17"/>
    <w:rsid w:val="00FF023A"/>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2920</Words>
  <Characters>16065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2021-10-07T18:53:00Z</cp:lastPrinted>
  <dcterms:created xsi:type="dcterms:W3CDTF">2022-02-22T16:21:00Z</dcterms:created>
  <dcterms:modified xsi:type="dcterms:W3CDTF">2022-02-22T16:21:00Z</dcterms:modified>
</cp:coreProperties>
</file>