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1589" w:type="dxa"/>
        <w:tblLayout w:type="fixed"/>
        <w:tblCellMar>
          <w:left w:w="70" w:type="dxa"/>
          <w:right w:w="70" w:type="dxa"/>
        </w:tblCellMar>
        <w:tblLook w:val="0000" w:firstRow="0" w:lastRow="0" w:firstColumn="0" w:lastColumn="0" w:noHBand="0" w:noVBand="0"/>
      </w:tblPr>
      <w:tblGrid>
        <w:gridCol w:w="2356"/>
        <w:gridCol w:w="7426"/>
      </w:tblGrid>
      <w:tr w:rsidR="00BF1C95" w:rsidRPr="00186DAA" w:rsidTr="00BF1C95">
        <w:tc>
          <w:tcPr>
            <w:tcW w:w="2356" w:type="dxa"/>
          </w:tcPr>
          <w:p w:rsidR="00BF1C95" w:rsidRPr="00186DAA" w:rsidRDefault="00BF1C95" w:rsidP="00AC3882">
            <w:pPr>
              <w:rPr>
                <w:rFonts w:ascii="Arial" w:hAnsi="Arial" w:cs="Arial"/>
                <w:b/>
                <w:sz w:val="26"/>
                <w:szCs w:val="26"/>
              </w:rPr>
            </w:pPr>
            <w:r w:rsidRPr="00186DAA">
              <w:rPr>
                <w:rFonts w:ascii="Arial" w:hAnsi="Arial" w:cs="Arial"/>
                <w:b/>
                <w:sz w:val="26"/>
                <w:szCs w:val="26"/>
              </w:rPr>
              <w:t xml:space="preserve">     </w:t>
            </w:r>
          </w:p>
        </w:tc>
        <w:tc>
          <w:tcPr>
            <w:tcW w:w="7426" w:type="dxa"/>
          </w:tcPr>
          <w:p w:rsidR="00BF1C95" w:rsidRPr="00186DAA" w:rsidRDefault="00BF1C95" w:rsidP="00AC3882">
            <w:pPr>
              <w:tabs>
                <w:tab w:val="left" w:pos="3103"/>
              </w:tabs>
              <w:ind w:left="2394"/>
              <w:jc w:val="both"/>
              <w:rPr>
                <w:rFonts w:ascii="Arial" w:hAnsi="Arial" w:cs="Arial"/>
                <w:b/>
                <w:i/>
                <w:iCs/>
                <w:caps/>
                <w:sz w:val="26"/>
                <w:szCs w:val="26"/>
              </w:rPr>
            </w:pPr>
            <w:r w:rsidRPr="00186DAA">
              <w:rPr>
                <w:rFonts w:ascii="Arial" w:hAnsi="Arial" w:cs="Arial"/>
                <w:b/>
                <w:i/>
                <w:iCs/>
                <w:caps/>
                <w:sz w:val="26"/>
                <w:szCs w:val="26"/>
              </w:rPr>
              <w:t xml:space="preserve">                       </w:t>
            </w:r>
          </w:p>
          <w:p w:rsidR="00BF1C95" w:rsidRPr="00186DAA" w:rsidRDefault="00BF1C95" w:rsidP="00AC3882">
            <w:pPr>
              <w:tabs>
                <w:tab w:val="left" w:pos="3103"/>
              </w:tabs>
              <w:ind w:left="2394"/>
              <w:jc w:val="both"/>
              <w:rPr>
                <w:rFonts w:ascii="Arial" w:hAnsi="Arial" w:cs="Arial"/>
                <w:b/>
                <w:iCs/>
                <w:caps/>
                <w:sz w:val="26"/>
                <w:szCs w:val="26"/>
              </w:rPr>
            </w:pPr>
            <w:r w:rsidRPr="00186DAA">
              <w:rPr>
                <w:rFonts w:ascii="Arial" w:hAnsi="Arial" w:cs="Arial"/>
                <w:b/>
                <w:iCs/>
                <w:caps/>
                <w:sz w:val="26"/>
                <w:szCs w:val="26"/>
              </w:rPr>
              <w:t>SALA SUPERIOR DEL TRIBUNAL DE JUSTICIA ADMINISTRATIVA DEL ESTADO DE OAXACA.</w:t>
            </w: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r w:rsidRPr="00186DAA">
              <w:rPr>
                <w:rFonts w:ascii="Arial" w:hAnsi="Arial" w:cs="Arial"/>
                <w:b/>
                <w:iCs/>
                <w:caps/>
                <w:sz w:val="26"/>
                <w:szCs w:val="26"/>
                <w:lang w:val="es-PE"/>
              </w:rPr>
              <w:t xml:space="preserve">               </w:t>
            </w: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r w:rsidRPr="00186DAA">
              <w:rPr>
                <w:rFonts w:ascii="Arial" w:hAnsi="Arial" w:cs="Arial"/>
                <w:b/>
                <w:iCs/>
                <w:caps/>
                <w:sz w:val="26"/>
                <w:szCs w:val="26"/>
                <w:lang w:val="es-PE"/>
              </w:rPr>
              <w:t xml:space="preserve">RECURSO DE REVISIÓN:   0131/2019 </w:t>
            </w: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r w:rsidRPr="00186DAA">
              <w:rPr>
                <w:rFonts w:ascii="Arial" w:hAnsi="Arial" w:cs="Arial"/>
                <w:b/>
                <w:iCs/>
                <w:caps/>
                <w:sz w:val="26"/>
                <w:szCs w:val="26"/>
                <w:lang w:val="es-PE"/>
              </w:rPr>
              <w:t xml:space="preserve">EXPEDIENTE: 0094/2018 DE LA PRIIMERA SALA UNITARIA DE PRIMERA INSTANCIA </w:t>
            </w: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r w:rsidRPr="00186DAA">
              <w:rPr>
                <w:rFonts w:ascii="Arial" w:hAnsi="Arial" w:cs="Arial"/>
                <w:b/>
                <w:iCs/>
                <w:caps/>
                <w:sz w:val="26"/>
                <w:szCs w:val="26"/>
                <w:lang w:val="es-PE"/>
              </w:rPr>
              <w:t xml:space="preserve">       </w:t>
            </w:r>
          </w:p>
          <w:p w:rsidR="00BF1C95" w:rsidRPr="00186DAA" w:rsidRDefault="00BF1C95" w:rsidP="00AC3882">
            <w:pPr>
              <w:pStyle w:val="Encabezado"/>
              <w:tabs>
                <w:tab w:val="clear" w:pos="4252"/>
              </w:tabs>
              <w:ind w:left="2394" w:right="51"/>
              <w:jc w:val="both"/>
              <w:rPr>
                <w:rFonts w:ascii="Arial" w:hAnsi="Arial" w:cs="Arial"/>
                <w:b/>
                <w:iCs/>
                <w:caps/>
                <w:sz w:val="26"/>
                <w:szCs w:val="26"/>
                <w:lang w:val="es-PE"/>
              </w:rPr>
            </w:pPr>
            <w:r w:rsidRPr="00186DAA">
              <w:rPr>
                <w:rFonts w:ascii="Arial" w:hAnsi="Arial" w:cs="Arial"/>
                <w:b/>
                <w:iCs/>
                <w:caps/>
                <w:sz w:val="26"/>
                <w:szCs w:val="26"/>
                <w:lang w:val="es-PE"/>
              </w:rPr>
              <w:t>magistrado ponente: MANUEL VELASCO ALCÁNTARA</w:t>
            </w:r>
          </w:p>
        </w:tc>
      </w:tr>
      <w:tr w:rsidR="00BF1C95" w:rsidRPr="00186DAA" w:rsidTr="00BF1C95">
        <w:tc>
          <w:tcPr>
            <w:tcW w:w="2356" w:type="dxa"/>
          </w:tcPr>
          <w:p w:rsidR="00BF1C95" w:rsidRPr="00186DAA" w:rsidRDefault="00BF1C95" w:rsidP="00AC3882">
            <w:pPr>
              <w:rPr>
                <w:rFonts w:ascii="Arial" w:hAnsi="Arial" w:cs="Arial"/>
                <w:b/>
                <w:sz w:val="26"/>
                <w:szCs w:val="26"/>
              </w:rPr>
            </w:pPr>
          </w:p>
        </w:tc>
        <w:tc>
          <w:tcPr>
            <w:tcW w:w="7426" w:type="dxa"/>
          </w:tcPr>
          <w:p w:rsidR="00BF1C95" w:rsidRPr="00186DAA" w:rsidRDefault="00BF1C95" w:rsidP="00AC3882">
            <w:pPr>
              <w:tabs>
                <w:tab w:val="left" w:pos="3103"/>
              </w:tabs>
              <w:ind w:left="2678" w:hanging="2961"/>
              <w:jc w:val="both"/>
              <w:rPr>
                <w:rFonts w:ascii="Arial" w:hAnsi="Arial" w:cs="Arial"/>
                <w:b/>
                <w:iCs/>
                <w:caps/>
                <w:sz w:val="26"/>
                <w:szCs w:val="26"/>
              </w:rPr>
            </w:pPr>
            <w:r w:rsidRPr="00186DAA">
              <w:rPr>
                <w:rFonts w:ascii="Arial" w:hAnsi="Arial" w:cs="Arial"/>
                <w:b/>
                <w:i/>
                <w:iCs/>
                <w:caps/>
                <w:sz w:val="26"/>
                <w:szCs w:val="26"/>
              </w:rPr>
              <w:t xml:space="preserve">                                          </w:t>
            </w:r>
          </w:p>
        </w:tc>
      </w:tr>
      <w:tr w:rsidR="00BF1C95" w:rsidRPr="00186DAA" w:rsidTr="00BF1C95">
        <w:tc>
          <w:tcPr>
            <w:tcW w:w="2356" w:type="dxa"/>
          </w:tcPr>
          <w:p w:rsidR="00BF1C95" w:rsidRPr="00186DAA" w:rsidRDefault="00BF1C95" w:rsidP="00AC3882">
            <w:pPr>
              <w:rPr>
                <w:rFonts w:ascii="Arial" w:hAnsi="Arial" w:cs="Arial"/>
                <w:b/>
                <w:sz w:val="26"/>
                <w:szCs w:val="26"/>
              </w:rPr>
            </w:pPr>
          </w:p>
        </w:tc>
        <w:tc>
          <w:tcPr>
            <w:tcW w:w="7426" w:type="dxa"/>
          </w:tcPr>
          <w:p w:rsidR="00BF1C95" w:rsidRPr="00186DAA" w:rsidRDefault="00BF1C95" w:rsidP="00AC3882">
            <w:pPr>
              <w:tabs>
                <w:tab w:val="left" w:pos="3103"/>
              </w:tabs>
              <w:ind w:left="2961" w:hanging="2961"/>
              <w:jc w:val="both"/>
              <w:rPr>
                <w:rFonts w:ascii="Arial" w:hAnsi="Arial" w:cs="Arial"/>
                <w:b/>
                <w:i/>
                <w:iCs/>
                <w:caps/>
                <w:sz w:val="26"/>
                <w:szCs w:val="26"/>
              </w:rPr>
            </w:pPr>
          </w:p>
        </w:tc>
      </w:tr>
    </w:tbl>
    <w:p w:rsidR="00BF1C95" w:rsidRPr="00186DAA" w:rsidRDefault="00BF1C95" w:rsidP="00BF1C95">
      <w:pPr>
        <w:spacing w:line="360" w:lineRule="auto"/>
        <w:ind w:firstLine="1"/>
        <w:jc w:val="both"/>
        <w:rPr>
          <w:rFonts w:ascii="Arial" w:hAnsi="Arial" w:cs="Arial"/>
          <w:b/>
          <w:sz w:val="26"/>
          <w:szCs w:val="26"/>
        </w:rPr>
      </w:pPr>
      <w:r w:rsidRPr="00186DAA">
        <w:rPr>
          <w:rFonts w:ascii="Arial" w:hAnsi="Arial" w:cs="Arial"/>
          <w:b/>
          <w:sz w:val="26"/>
          <w:szCs w:val="26"/>
        </w:rPr>
        <w:t>OAXACA DE JUÁREZ, OAXACA, VEINTINUEVE AGOSTO DE DOS MIL DIECINUEVE.</w:t>
      </w:r>
    </w:p>
    <w:p w:rsidR="00BF1C95" w:rsidRPr="00186DAA" w:rsidRDefault="00BF1C95" w:rsidP="00186DAA">
      <w:pPr>
        <w:spacing w:line="360" w:lineRule="auto"/>
        <w:ind w:firstLine="708"/>
        <w:jc w:val="both"/>
        <w:rPr>
          <w:rFonts w:ascii="Arial" w:hAnsi="Arial" w:cs="Arial"/>
          <w:b/>
          <w:sz w:val="26"/>
          <w:szCs w:val="26"/>
        </w:rPr>
      </w:pPr>
      <w:r w:rsidRPr="00186DAA">
        <w:rPr>
          <w:rFonts w:ascii="Arial" w:hAnsi="Arial" w:cs="Arial"/>
          <w:sz w:val="26"/>
          <w:szCs w:val="26"/>
        </w:rPr>
        <w:t xml:space="preserve">Por recibido el Cuaderno de Revisión </w:t>
      </w:r>
      <w:r w:rsidRPr="00186DAA">
        <w:rPr>
          <w:rFonts w:ascii="Arial" w:hAnsi="Arial" w:cs="Arial"/>
          <w:b/>
          <w:sz w:val="26"/>
          <w:szCs w:val="26"/>
        </w:rPr>
        <w:t>0131/2019</w:t>
      </w:r>
      <w:r w:rsidRPr="00186DAA">
        <w:rPr>
          <w:rFonts w:ascii="Arial" w:hAnsi="Arial" w:cs="Arial"/>
          <w:sz w:val="26"/>
          <w:szCs w:val="26"/>
        </w:rPr>
        <w:t>, que remite la Secretaría General de Acuerdos, con motivo del recurso de revisión interpuesto por</w:t>
      </w:r>
      <w:r w:rsidRPr="00186DAA">
        <w:rPr>
          <w:rFonts w:ascii="Arial" w:hAnsi="Arial" w:cs="Arial"/>
          <w:b/>
          <w:sz w:val="26"/>
          <w:szCs w:val="26"/>
        </w:rPr>
        <w:t xml:space="preserve"> </w:t>
      </w:r>
      <w:r w:rsidR="00EF2B78">
        <w:rPr>
          <w:rFonts w:ascii="Arial" w:hAnsi="Arial" w:cs="Arial"/>
          <w:b/>
          <w:sz w:val="26"/>
          <w:szCs w:val="26"/>
        </w:rPr>
        <w:t>**********</w:t>
      </w:r>
      <w:r w:rsidRPr="00186DAA">
        <w:rPr>
          <w:rFonts w:ascii="Arial" w:hAnsi="Arial" w:cs="Arial"/>
          <w:b/>
          <w:sz w:val="26"/>
          <w:szCs w:val="26"/>
        </w:rPr>
        <w:t>, representante legal de “PERSESA” S.A. DE C.V.</w:t>
      </w:r>
      <w:r w:rsidRPr="00186DAA">
        <w:rPr>
          <w:rFonts w:ascii="Arial" w:hAnsi="Arial" w:cs="Arial"/>
          <w:sz w:val="26"/>
          <w:szCs w:val="26"/>
        </w:rPr>
        <w:t xml:space="preserve">; recurso promovido en contra del acuerdo de cinco de marzo de dos mil diecinueve, dictado por la Primera Sala Unitaria de Primera Instancia del Tribunal de Justicia Administrativa del Estado, dentro del expediente </w:t>
      </w:r>
      <w:r w:rsidRPr="00186DAA">
        <w:rPr>
          <w:rFonts w:ascii="Arial" w:hAnsi="Arial" w:cs="Arial"/>
          <w:b/>
          <w:sz w:val="26"/>
          <w:szCs w:val="26"/>
        </w:rPr>
        <w:t xml:space="preserve">0094/2018 </w:t>
      </w:r>
      <w:r w:rsidRPr="00186DAA">
        <w:rPr>
          <w:rFonts w:ascii="Arial" w:hAnsi="Arial" w:cs="Arial"/>
          <w:sz w:val="26"/>
          <w:szCs w:val="26"/>
        </w:rPr>
        <w:t>de su índice, relativo al juicio de nulidad promovido por</w:t>
      </w:r>
      <w:r w:rsidRPr="00186DAA">
        <w:rPr>
          <w:rFonts w:ascii="Arial" w:hAnsi="Arial" w:cs="Arial"/>
          <w:b/>
          <w:sz w:val="26"/>
          <w:szCs w:val="26"/>
        </w:rPr>
        <w:t xml:space="preserve"> </w:t>
      </w:r>
      <w:r w:rsidR="00EF2B78">
        <w:rPr>
          <w:rFonts w:ascii="Arial" w:hAnsi="Arial" w:cs="Arial"/>
          <w:b/>
          <w:sz w:val="26"/>
          <w:szCs w:val="26"/>
        </w:rPr>
        <w:t>**********</w:t>
      </w:r>
      <w:r w:rsidRPr="00186DAA">
        <w:rPr>
          <w:rFonts w:ascii="Arial" w:hAnsi="Arial" w:cs="Arial"/>
          <w:b/>
          <w:sz w:val="26"/>
          <w:szCs w:val="26"/>
        </w:rPr>
        <w:t xml:space="preserve">, representante legal de “PERSESA” S.A. DE C.V. </w:t>
      </w:r>
      <w:r w:rsidRPr="00186DAA">
        <w:rPr>
          <w:rFonts w:ascii="Arial" w:hAnsi="Arial" w:cs="Arial"/>
          <w:sz w:val="26"/>
          <w:szCs w:val="26"/>
        </w:rPr>
        <w:t xml:space="preserve">en contra del </w:t>
      </w:r>
      <w:r w:rsidRPr="00186DAA">
        <w:rPr>
          <w:rFonts w:ascii="Arial" w:hAnsi="Arial" w:cs="Arial"/>
          <w:b/>
          <w:sz w:val="26"/>
          <w:szCs w:val="26"/>
        </w:rPr>
        <w:t xml:space="preserve">AYUNTAMIENTO CONSTITUCIONAL DEL MUNICIPIO DE OAXACA DE JUÁREZ, OAXACA; </w:t>
      </w:r>
      <w:r w:rsidRPr="00186DAA">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resolución en los siguientes términos:</w:t>
      </w:r>
    </w:p>
    <w:p w:rsidR="00BF1C95" w:rsidRPr="00186DAA" w:rsidRDefault="00BF1C95" w:rsidP="00186DAA">
      <w:pPr>
        <w:spacing w:line="360" w:lineRule="auto"/>
        <w:jc w:val="center"/>
        <w:rPr>
          <w:rFonts w:ascii="Arial" w:hAnsi="Arial" w:cs="Arial"/>
          <w:b/>
          <w:bCs/>
          <w:sz w:val="26"/>
          <w:szCs w:val="26"/>
        </w:rPr>
      </w:pPr>
      <w:r w:rsidRPr="00186DAA">
        <w:rPr>
          <w:rFonts w:ascii="Arial" w:hAnsi="Arial" w:cs="Arial"/>
          <w:b/>
          <w:bCs/>
          <w:sz w:val="26"/>
          <w:szCs w:val="26"/>
        </w:rPr>
        <w:t>R E S U L T A N D O</w:t>
      </w:r>
    </w:p>
    <w:p w:rsidR="00BF1C95" w:rsidRPr="00186DAA" w:rsidRDefault="00BF1C95" w:rsidP="00BF1C95">
      <w:pPr>
        <w:spacing w:line="360" w:lineRule="auto"/>
        <w:ind w:firstLine="709"/>
        <w:jc w:val="both"/>
        <w:rPr>
          <w:rFonts w:ascii="Arial" w:hAnsi="Arial" w:cs="Arial"/>
          <w:sz w:val="26"/>
          <w:szCs w:val="26"/>
        </w:rPr>
      </w:pPr>
      <w:r w:rsidRPr="00186DAA">
        <w:rPr>
          <w:rFonts w:ascii="Arial" w:hAnsi="Arial" w:cs="Arial"/>
          <w:b/>
          <w:bCs/>
          <w:sz w:val="26"/>
          <w:szCs w:val="26"/>
        </w:rPr>
        <w:t xml:space="preserve">PRIMERO. </w:t>
      </w:r>
      <w:r w:rsidRPr="00186DAA">
        <w:rPr>
          <w:rFonts w:ascii="Arial" w:hAnsi="Arial" w:cs="Arial"/>
          <w:sz w:val="26"/>
          <w:szCs w:val="26"/>
        </w:rPr>
        <w:t xml:space="preserve">Inconforme con el acuerdo de  </w:t>
      </w:r>
      <w:r w:rsidRPr="00186DAA">
        <w:rPr>
          <w:rFonts w:ascii="Arial" w:hAnsi="Arial" w:cs="Arial"/>
          <w:b/>
          <w:sz w:val="26"/>
          <w:szCs w:val="26"/>
        </w:rPr>
        <w:t>CINCO DE MARZO DE DOS MIL DIECINUEVE</w:t>
      </w:r>
      <w:r w:rsidRPr="00186DAA">
        <w:rPr>
          <w:rFonts w:ascii="Arial" w:hAnsi="Arial" w:cs="Arial"/>
          <w:sz w:val="26"/>
          <w:szCs w:val="26"/>
        </w:rPr>
        <w:t xml:space="preserve"> dictada por la Primera Sala Unitaria de Primera Instancia de este Tribunal, </w:t>
      </w:r>
      <w:r w:rsidR="00EF2B78">
        <w:rPr>
          <w:rFonts w:ascii="Arial" w:hAnsi="Arial" w:cs="Arial"/>
          <w:b/>
          <w:sz w:val="26"/>
          <w:szCs w:val="26"/>
        </w:rPr>
        <w:t>**********</w:t>
      </w:r>
      <w:r w:rsidRPr="00186DAA">
        <w:rPr>
          <w:rFonts w:ascii="Arial" w:hAnsi="Arial" w:cs="Arial"/>
          <w:b/>
          <w:sz w:val="26"/>
          <w:szCs w:val="26"/>
        </w:rPr>
        <w:t>, representante legal de “PERSESA” S.A. DE C.V.</w:t>
      </w:r>
      <w:r w:rsidRPr="00186DAA">
        <w:rPr>
          <w:rFonts w:ascii="Arial" w:hAnsi="Arial" w:cs="Arial"/>
          <w:sz w:val="26"/>
          <w:szCs w:val="26"/>
        </w:rPr>
        <w:t xml:space="preserve">, interpuso en su contra recurso de revisión. </w:t>
      </w:r>
    </w:p>
    <w:p w:rsidR="00BF1C95" w:rsidRPr="00186DAA" w:rsidRDefault="00BF1C95" w:rsidP="00BF1C95">
      <w:pPr>
        <w:spacing w:line="360" w:lineRule="auto"/>
        <w:ind w:firstLine="709"/>
        <w:jc w:val="both"/>
        <w:rPr>
          <w:rFonts w:ascii="Arial" w:hAnsi="Arial" w:cs="Arial"/>
          <w:sz w:val="26"/>
          <w:szCs w:val="26"/>
        </w:rPr>
      </w:pPr>
    </w:p>
    <w:p w:rsidR="00BF1C95" w:rsidRPr="00186DAA" w:rsidRDefault="00BF1C95" w:rsidP="00BF1C95">
      <w:pPr>
        <w:spacing w:line="360" w:lineRule="auto"/>
        <w:jc w:val="both"/>
        <w:rPr>
          <w:rFonts w:ascii="Arial" w:hAnsi="Arial" w:cs="Arial"/>
          <w:sz w:val="26"/>
          <w:szCs w:val="26"/>
        </w:rPr>
      </w:pPr>
      <w:r w:rsidRPr="00186DAA">
        <w:rPr>
          <w:rFonts w:ascii="Arial" w:hAnsi="Arial" w:cs="Arial"/>
          <w:b/>
          <w:bCs/>
          <w:sz w:val="26"/>
          <w:szCs w:val="26"/>
        </w:rPr>
        <w:tab/>
        <w:t xml:space="preserve">SEGUNDO.- </w:t>
      </w:r>
      <w:r w:rsidRPr="00186DAA">
        <w:rPr>
          <w:rFonts w:ascii="Arial" w:hAnsi="Arial" w:cs="Arial"/>
          <w:sz w:val="26"/>
          <w:szCs w:val="26"/>
        </w:rPr>
        <w:t xml:space="preserve">La parte relativa del acuerdo recurrido es la siguiente:               </w:t>
      </w:r>
    </w:p>
    <w:p w:rsidR="00BF1C95" w:rsidRPr="0072015D" w:rsidRDefault="00BF1C95" w:rsidP="00BF1C95">
      <w:pPr>
        <w:ind w:left="709" w:right="709" w:firstLine="708"/>
        <w:jc w:val="both"/>
        <w:rPr>
          <w:rFonts w:ascii="Arial" w:hAnsi="Arial" w:cs="Arial"/>
          <w:bCs/>
          <w:i/>
          <w:iCs/>
        </w:rPr>
      </w:pPr>
      <w:r w:rsidRPr="00195BF9">
        <w:rPr>
          <w:rFonts w:ascii="Arial" w:hAnsi="Arial" w:cs="Arial"/>
          <w:b/>
          <w:bCs/>
          <w:i/>
          <w:iCs/>
        </w:rPr>
        <w:lastRenderedPageBreak/>
        <w:t>“</w:t>
      </w:r>
      <w:r w:rsidRPr="00F263E8">
        <w:rPr>
          <w:rFonts w:ascii="Arial" w:hAnsi="Arial" w:cs="Arial"/>
          <w:bCs/>
          <w:i/>
          <w:iCs/>
        </w:rPr>
        <w:t>S</w:t>
      </w:r>
      <w:r>
        <w:rPr>
          <w:rFonts w:ascii="Arial" w:hAnsi="Arial" w:cs="Arial"/>
          <w:bCs/>
          <w:i/>
          <w:iCs/>
        </w:rPr>
        <w:t xml:space="preserve">e tiene por recibido en la oficialía de partes Común el día cuatro de marzo del año en curso, el escrito de la Ingeniera Indira Zurita Lara, Síndico Primero del Municipio de Oaxaca de Juárez, personalidad que acredita con la copia certificada del acta de sesión solemne de cabildo de fecha uno de enero de dos mil diecinueve. Visto su contenido y en atención a la certificación secretarial que inmediatamente antecede, con fundamento en lo dispuesto por los artículos 150, 151, 184, 188 y 189 de la Ley de procedimiento y Justicia Administrativa para el Estado de Oaxaca, </w:t>
      </w:r>
      <w:r>
        <w:rPr>
          <w:rFonts w:ascii="Arial" w:hAnsi="Arial" w:cs="Arial"/>
          <w:b/>
          <w:bCs/>
          <w:i/>
          <w:iCs/>
        </w:rPr>
        <w:t xml:space="preserve">TÉNGASELE DANDO CONTESTACIÓN EN TIEMPO Y FORMA A LA DEMANDA, </w:t>
      </w:r>
      <w:r>
        <w:rPr>
          <w:rFonts w:ascii="Arial" w:hAnsi="Arial" w:cs="Arial"/>
          <w:bCs/>
          <w:i/>
          <w:iCs/>
        </w:rPr>
        <w:t>en representación del Ayuntamiento Constitucional del Municipio de Oaxaca de Juárez, en los términos en que lo hace</w:t>
      </w:r>
      <w:proofErr w:type="gramStart"/>
      <w:r>
        <w:rPr>
          <w:rFonts w:ascii="Arial" w:hAnsi="Arial" w:cs="Arial"/>
          <w:bCs/>
          <w:i/>
          <w:iCs/>
        </w:rPr>
        <w:t>; …</w:t>
      </w:r>
      <w:proofErr w:type="gramEnd"/>
      <w:r>
        <w:rPr>
          <w:rFonts w:ascii="Arial" w:hAnsi="Arial" w:cs="Arial"/>
          <w:bCs/>
          <w:i/>
          <w:iCs/>
        </w:rPr>
        <w:t xml:space="preserve"> </w:t>
      </w:r>
      <w:r w:rsidRPr="00195BF9">
        <w:rPr>
          <w:rFonts w:ascii="Arial" w:hAnsi="Arial" w:cs="Arial"/>
          <w:bCs/>
          <w:i/>
          <w:iCs/>
        </w:rPr>
        <w:t>”</w:t>
      </w:r>
      <w:r>
        <w:rPr>
          <w:rFonts w:ascii="Arial" w:hAnsi="Arial" w:cs="Arial"/>
          <w:bCs/>
          <w:i/>
          <w:iCs/>
        </w:rPr>
        <w:t>.</w:t>
      </w:r>
    </w:p>
    <w:p w:rsidR="00BF1C95" w:rsidRPr="00186DAA" w:rsidRDefault="00BF1C95" w:rsidP="00BF1C95">
      <w:pPr>
        <w:spacing w:before="240" w:line="360" w:lineRule="auto"/>
        <w:jc w:val="center"/>
        <w:rPr>
          <w:rFonts w:ascii="Arial" w:hAnsi="Arial" w:cs="Arial"/>
          <w:b/>
          <w:bCs/>
          <w:sz w:val="26"/>
          <w:szCs w:val="26"/>
        </w:rPr>
      </w:pPr>
      <w:r w:rsidRPr="00186DAA">
        <w:rPr>
          <w:rFonts w:ascii="Arial" w:hAnsi="Arial" w:cs="Arial"/>
          <w:b/>
          <w:bCs/>
          <w:sz w:val="26"/>
          <w:szCs w:val="26"/>
        </w:rPr>
        <w:t>C O N S I D E R A N D O</w:t>
      </w:r>
    </w:p>
    <w:p w:rsidR="00BF1C95" w:rsidRPr="00186DAA" w:rsidRDefault="00BF1C95" w:rsidP="00BF1C95">
      <w:pPr>
        <w:widowControl w:val="0"/>
        <w:tabs>
          <w:tab w:val="left" w:pos="7938"/>
        </w:tabs>
        <w:spacing w:before="240" w:line="360" w:lineRule="auto"/>
        <w:ind w:right="18" w:firstLine="709"/>
        <w:jc w:val="both"/>
        <w:rPr>
          <w:rFonts w:ascii="Arial" w:hAnsi="Arial" w:cs="Arial"/>
          <w:sz w:val="26"/>
          <w:szCs w:val="26"/>
          <w:lang w:eastAsia="es-ES"/>
        </w:rPr>
      </w:pPr>
      <w:r w:rsidRPr="00186DAA">
        <w:rPr>
          <w:rFonts w:ascii="Arial" w:hAnsi="Arial" w:cs="Arial"/>
          <w:b/>
          <w:bCs/>
          <w:iCs/>
          <w:sz w:val="26"/>
          <w:szCs w:val="26"/>
        </w:rPr>
        <w:t xml:space="preserve">PRIMERO. </w:t>
      </w:r>
      <w:r w:rsidRPr="00186DAA">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120,125, 127, 129, 130 fracción I, 131, 231, 236 y 238 de la Ley de Procedimiento y Justicia Administrativa para el Estado de Oaxaca, dado que se trata de un Recurso de Revisión interpuesto en contra del acuerdo de cinco de marzo </w:t>
      </w:r>
      <w:r w:rsidRPr="00186DAA">
        <w:rPr>
          <w:rFonts w:ascii="Arial" w:hAnsi="Arial" w:cs="Arial"/>
          <w:sz w:val="26"/>
          <w:szCs w:val="26"/>
        </w:rPr>
        <w:t>de dos mil diecinueve, dictado por la Primera Sala Unitaria de Primera Instancia del Tribunal</w:t>
      </w:r>
      <w:r w:rsidRPr="00186DAA">
        <w:rPr>
          <w:rFonts w:ascii="Arial" w:hAnsi="Arial" w:cs="Arial"/>
          <w:bCs/>
          <w:iCs/>
          <w:sz w:val="26"/>
          <w:szCs w:val="26"/>
        </w:rPr>
        <w:t xml:space="preserve"> de Justicia Administrativa del Estado de Oaxaca, </w:t>
      </w:r>
      <w:r w:rsidRPr="00186DAA">
        <w:rPr>
          <w:rFonts w:ascii="Arial" w:hAnsi="Arial" w:cs="Arial"/>
          <w:bCs/>
          <w:iCs/>
          <w:sz w:val="26"/>
          <w:szCs w:val="26"/>
          <w:lang w:eastAsia="es-ES"/>
        </w:rPr>
        <w:t xml:space="preserve">en el expediente </w:t>
      </w:r>
      <w:r w:rsidRPr="00186DAA">
        <w:rPr>
          <w:rFonts w:ascii="Arial" w:hAnsi="Arial" w:cs="Arial"/>
          <w:b/>
          <w:bCs/>
          <w:iCs/>
          <w:sz w:val="26"/>
          <w:szCs w:val="26"/>
          <w:lang w:eastAsia="es-ES"/>
        </w:rPr>
        <w:t>0094/2018.</w:t>
      </w:r>
    </w:p>
    <w:p w:rsidR="00BF1C95" w:rsidRPr="00186DAA" w:rsidRDefault="00BF1C95" w:rsidP="00BF1C95">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186DAA">
        <w:rPr>
          <w:rFonts w:ascii="Arial" w:hAnsi="Arial" w:cs="Arial"/>
          <w:b/>
          <w:bCs/>
          <w:sz w:val="26"/>
          <w:szCs w:val="26"/>
        </w:rPr>
        <w:t>SEGUNDO.-</w:t>
      </w:r>
      <w:r w:rsidRPr="00186DAA">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186DAA">
        <w:rPr>
          <w:rFonts w:ascii="Arial" w:hAnsi="Arial" w:cs="Arial"/>
          <w:sz w:val="26"/>
          <w:szCs w:val="26"/>
        </w:rPr>
        <w:t>.</w:t>
      </w:r>
      <w:r w:rsidRPr="00186DAA">
        <w:rPr>
          <w:rFonts w:ascii="Arial" w:hAnsi="Arial" w:cs="Arial"/>
          <w:bCs/>
          <w:color w:val="000000"/>
          <w:sz w:val="26"/>
          <w:szCs w:val="26"/>
        </w:rPr>
        <w:t xml:space="preserve">  </w:t>
      </w:r>
    </w:p>
    <w:p w:rsidR="00BF1C95" w:rsidRPr="00186DAA" w:rsidRDefault="00BF1C95" w:rsidP="00BF1C95">
      <w:pPr>
        <w:spacing w:before="240" w:line="360" w:lineRule="auto"/>
        <w:ind w:right="51" w:firstLine="567"/>
        <w:jc w:val="both"/>
        <w:rPr>
          <w:rFonts w:ascii="Arial" w:hAnsi="Arial" w:cs="Arial"/>
          <w:bCs/>
          <w:color w:val="000000"/>
          <w:sz w:val="26"/>
          <w:szCs w:val="26"/>
        </w:rPr>
      </w:pPr>
      <w:r w:rsidRPr="00186DAA">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BF1C95" w:rsidRPr="00FB403B" w:rsidRDefault="00BF1C95" w:rsidP="00BF1C95">
      <w:pPr>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Pr>
          <w:rFonts w:cs="Calibri"/>
          <w:bCs/>
          <w:i/>
          <w:color w:val="000000"/>
        </w:rPr>
        <w:t xml:space="preserve">cuando no transcritos.(sic)”. </w:t>
      </w:r>
    </w:p>
    <w:p w:rsidR="00BF1C95" w:rsidRPr="00186DAA" w:rsidRDefault="00BF1C95" w:rsidP="00BF1C95">
      <w:pPr>
        <w:spacing w:before="240" w:line="360" w:lineRule="auto"/>
        <w:ind w:firstLine="708"/>
        <w:jc w:val="both"/>
        <w:rPr>
          <w:rFonts w:ascii="Arial" w:hAnsi="Arial" w:cs="Arial"/>
          <w:color w:val="000000"/>
          <w:sz w:val="26"/>
          <w:szCs w:val="26"/>
        </w:rPr>
      </w:pPr>
      <w:r w:rsidRPr="00186DAA">
        <w:rPr>
          <w:rFonts w:ascii="Arial" w:hAnsi="Arial" w:cs="Arial"/>
          <w:b/>
          <w:bCs/>
          <w:sz w:val="26"/>
          <w:szCs w:val="26"/>
        </w:rPr>
        <w:lastRenderedPageBreak/>
        <w:t xml:space="preserve">TERCERO.- </w:t>
      </w:r>
      <w:r w:rsidRPr="00186DAA">
        <w:rPr>
          <w:rFonts w:ascii="Arial" w:hAnsi="Arial" w:cs="Arial"/>
          <w:color w:val="000000"/>
          <w:sz w:val="26"/>
          <w:szCs w:val="26"/>
        </w:rPr>
        <w:t>El recurrente se inconforma de la parte relativa del acuerdo de cinco de marzo de 2019 dos mil diecinueve, en el que la Primera Instancia tuvo a la Síndico Primero del Municipio de Oaxaca de Juárez, acreditando su personalidad con la copia certificada del acta de sesión solemne de cabildo de uno de enero de dos mil diecinueve y por contestada la demanda formulada en contra del Ayuntamiento del Municipio de Oaxaca de Juárez.</w:t>
      </w:r>
    </w:p>
    <w:p w:rsidR="00BF1C95" w:rsidRPr="00186DAA" w:rsidRDefault="00BF1C95" w:rsidP="00BF1C95">
      <w:pPr>
        <w:spacing w:before="240" w:line="360" w:lineRule="auto"/>
        <w:ind w:firstLine="708"/>
        <w:jc w:val="both"/>
        <w:rPr>
          <w:rFonts w:ascii="Arial" w:hAnsi="Arial" w:cs="Arial"/>
          <w:color w:val="000000"/>
          <w:sz w:val="26"/>
          <w:szCs w:val="26"/>
        </w:rPr>
      </w:pPr>
      <w:r w:rsidRPr="00186DAA">
        <w:rPr>
          <w:rFonts w:ascii="Arial" w:hAnsi="Arial" w:cs="Arial"/>
          <w:color w:val="000000"/>
          <w:sz w:val="26"/>
          <w:szCs w:val="26"/>
        </w:rPr>
        <w:t>Ahora, el artículo 236 de la Ley de Procedimiento y Justicia Administrativa para el Estado de Oaxaca establece lo siguiente:</w:t>
      </w:r>
    </w:p>
    <w:p w:rsidR="00BF1C95" w:rsidRPr="00BF29C4" w:rsidRDefault="00BF1C95" w:rsidP="00186DAA">
      <w:pPr>
        <w:spacing w:before="240" w:line="240" w:lineRule="auto"/>
        <w:ind w:left="851" w:right="778"/>
        <w:jc w:val="both"/>
        <w:rPr>
          <w:rFonts w:cs="Calibri"/>
          <w:i/>
          <w:sz w:val="24"/>
          <w:szCs w:val="24"/>
        </w:rPr>
      </w:pPr>
      <w:r w:rsidRPr="00643A6E">
        <w:rPr>
          <w:rFonts w:ascii="Arial" w:hAnsi="Arial" w:cs="Arial"/>
          <w:sz w:val="24"/>
          <w:szCs w:val="24"/>
        </w:rPr>
        <w:t xml:space="preserve"> </w:t>
      </w:r>
      <w:r w:rsidRPr="00BF29C4">
        <w:rPr>
          <w:rFonts w:cs="Calibri"/>
          <w:i/>
          <w:sz w:val="24"/>
          <w:szCs w:val="24"/>
        </w:rPr>
        <w:t>“</w:t>
      </w:r>
      <w:r w:rsidRPr="00BF29C4">
        <w:rPr>
          <w:rFonts w:cs="Calibri"/>
          <w:b/>
          <w:i/>
          <w:sz w:val="24"/>
          <w:szCs w:val="24"/>
        </w:rPr>
        <w:t>Artículo 236</w:t>
      </w:r>
      <w:r w:rsidRPr="00BF29C4">
        <w:rPr>
          <w:rFonts w:cs="Calibri"/>
          <w:i/>
          <w:sz w:val="24"/>
          <w:szCs w:val="24"/>
        </w:rPr>
        <w:t xml:space="preserve">.- Contra los acuerdos y resoluciones dictados por las salas unitarias de Primera Instancia, procede el recurso de revisión, cuyo conocimiento y resolución corresponde a la Sala Superior. </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Podrán ser impugnados por las partes, mediante recurso de revisión:</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I. Los acuerdos que admitan o desechen la demanda, su contestación o ampliación;</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II. El acuerdo que deseche pruebas;</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III. El acuerdo que rechace la intervención del tercero;</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IV. Los acuerdos que decreten, nieguen o revoquen la suspensión;</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V. Las resoluciones que decidan los incidentes a que se refiere el artículo 224 de esta Ley;</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VI. Las resoluciones que decreten o nieguen el sobreseimiento;</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VII. Las sentencias que decidan la cuestión planteada.</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VIII. Por violaciones cometidas durante el procedimiento del juicio, cuando hayan dejado sin defensa al recurrente y trasciendan al sentido de la sentencia; y</w:t>
      </w:r>
    </w:p>
    <w:p w:rsidR="00BF1C95" w:rsidRPr="00BF29C4" w:rsidRDefault="00BF1C95" w:rsidP="00186DAA">
      <w:pPr>
        <w:spacing w:line="240" w:lineRule="auto"/>
        <w:ind w:left="851" w:right="778"/>
        <w:jc w:val="both"/>
        <w:rPr>
          <w:rFonts w:cs="Calibri"/>
          <w:i/>
          <w:sz w:val="24"/>
          <w:szCs w:val="24"/>
        </w:rPr>
      </w:pPr>
      <w:r w:rsidRPr="00BF29C4">
        <w:rPr>
          <w:rFonts w:cs="Calibri"/>
          <w:i/>
          <w:sz w:val="24"/>
          <w:szCs w:val="24"/>
        </w:rPr>
        <w:t>IX. Las resoluciones que pongan fin al procedimiento de ejecución de la sentencia.”</w:t>
      </w:r>
    </w:p>
    <w:p w:rsidR="00BF1C95" w:rsidRPr="00186DAA" w:rsidRDefault="00BF1C95" w:rsidP="00BF1C95">
      <w:pPr>
        <w:spacing w:before="240" w:line="360" w:lineRule="auto"/>
        <w:ind w:firstLine="709"/>
        <w:jc w:val="both"/>
        <w:rPr>
          <w:rFonts w:ascii="Arial" w:hAnsi="Arial" w:cs="Arial"/>
          <w:bCs/>
          <w:sz w:val="26"/>
          <w:szCs w:val="26"/>
        </w:rPr>
      </w:pPr>
      <w:r w:rsidRPr="00186DAA">
        <w:rPr>
          <w:rFonts w:ascii="Arial" w:hAnsi="Arial" w:cs="Arial"/>
          <w:color w:val="000000"/>
          <w:sz w:val="26"/>
          <w:szCs w:val="26"/>
        </w:rPr>
        <w:t>Siendo importante precisar, que</w:t>
      </w:r>
      <w:r w:rsidRPr="00186DAA">
        <w:rPr>
          <w:rFonts w:ascii="Arial" w:hAnsi="Arial" w:cs="Arial"/>
          <w:bCs/>
          <w:sz w:val="26"/>
          <w:szCs w:val="26"/>
        </w:rPr>
        <w:t xml:space="preserve"> si bien es cierto que el acuerdo que se recurre es relativo a la admisión de la contestación de demanda, también es cierto, que el recurso de revisión va encaminado a controvertir la personalidad de quien comparece a juicio a dar contestación a la demanda; sin embargo, la Ley de Procedimiento y Justicia Administrativa para el Estado, establece en su artículo 151</w:t>
      </w:r>
      <w:r w:rsidRPr="00186DAA">
        <w:rPr>
          <w:rStyle w:val="Refdenotaalpie"/>
          <w:rFonts w:ascii="Arial" w:hAnsi="Arial" w:cs="Arial"/>
          <w:bCs/>
          <w:sz w:val="26"/>
          <w:szCs w:val="26"/>
        </w:rPr>
        <w:footnoteReference w:id="1"/>
      </w:r>
      <w:r w:rsidRPr="00186DAA">
        <w:rPr>
          <w:rFonts w:ascii="Arial" w:hAnsi="Arial" w:cs="Arial"/>
          <w:bCs/>
          <w:sz w:val="26"/>
          <w:szCs w:val="26"/>
        </w:rPr>
        <w:t xml:space="preserve">, que en caso de que la personalidad de la autoridad sea impugnada, ésta deberá exhibir copia debidamente certificada del documento </w:t>
      </w:r>
      <w:r w:rsidRPr="00186DAA">
        <w:rPr>
          <w:rFonts w:ascii="Arial" w:hAnsi="Arial" w:cs="Arial"/>
          <w:bCs/>
          <w:sz w:val="26"/>
          <w:szCs w:val="26"/>
        </w:rPr>
        <w:lastRenderedPageBreak/>
        <w:t>relativo a su nombramiento y de aquel en el que conste rindió la protesta de ley.</w:t>
      </w:r>
    </w:p>
    <w:p w:rsidR="00BF1C95" w:rsidRPr="00186DAA" w:rsidRDefault="00BF1C95" w:rsidP="00BF1C95">
      <w:pPr>
        <w:spacing w:before="240" w:line="360" w:lineRule="auto"/>
        <w:ind w:firstLine="709"/>
        <w:jc w:val="both"/>
        <w:rPr>
          <w:rFonts w:ascii="Arial" w:hAnsi="Arial" w:cs="Arial"/>
          <w:bCs/>
          <w:sz w:val="26"/>
          <w:szCs w:val="26"/>
        </w:rPr>
      </w:pPr>
      <w:r w:rsidRPr="00186DAA">
        <w:rPr>
          <w:rFonts w:ascii="Arial" w:hAnsi="Arial" w:cs="Arial"/>
          <w:bCs/>
          <w:sz w:val="26"/>
          <w:szCs w:val="26"/>
        </w:rPr>
        <w:t>De donde resulta que no es a través del recurso de revisión como se impugna la personalidad de la autoridad, pues como se advierte del artículo en cita, cuando se exprese inconformidad respecto de la personalidad de quien se ostenta como autoridad, la Primera Instancia le requerirá la exhibición de las copias certificadas aludidas; analizándose ésta acorde a lo dispuesto por el artículo 150</w:t>
      </w:r>
      <w:r w:rsidRPr="00186DAA">
        <w:rPr>
          <w:rStyle w:val="Refdenotaalpie"/>
          <w:rFonts w:ascii="Arial" w:hAnsi="Arial" w:cs="Arial"/>
          <w:bCs/>
          <w:sz w:val="26"/>
          <w:szCs w:val="26"/>
        </w:rPr>
        <w:footnoteReference w:id="2"/>
      </w:r>
      <w:r w:rsidRPr="00186DAA">
        <w:rPr>
          <w:rFonts w:ascii="Arial" w:hAnsi="Arial" w:cs="Arial"/>
          <w:bCs/>
          <w:sz w:val="26"/>
          <w:szCs w:val="26"/>
        </w:rPr>
        <w:t xml:space="preserve"> de la Ley de Procedimiento y Justicia Administrativa para el Estado de Oaxaca. </w:t>
      </w:r>
    </w:p>
    <w:p w:rsidR="00BF1C95" w:rsidRPr="00186DAA" w:rsidRDefault="00BF1C95" w:rsidP="00BF1C95">
      <w:pPr>
        <w:spacing w:before="240" w:line="360" w:lineRule="auto"/>
        <w:ind w:firstLine="709"/>
        <w:jc w:val="both"/>
        <w:rPr>
          <w:rFonts w:ascii="Arial" w:hAnsi="Arial" w:cs="Arial"/>
          <w:color w:val="000000"/>
          <w:sz w:val="26"/>
          <w:szCs w:val="26"/>
        </w:rPr>
      </w:pPr>
      <w:r w:rsidRPr="00186DAA">
        <w:rPr>
          <w:rFonts w:ascii="Arial" w:hAnsi="Arial" w:cs="Arial"/>
          <w:bCs/>
          <w:sz w:val="26"/>
          <w:szCs w:val="26"/>
        </w:rPr>
        <w:t xml:space="preserve"> Consecuentemente, el presente medio de impugnación resulta </w:t>
      </w:r>
      <w:r w:rsidRPr="00186DAA">
        <w:rPr>
          <w:rFonts w:ascii="Arial" w:hAnsi="Arial" w:cs="Arial"/>
          <w:b/>
          <w:bCs/>
          <w:sz w:val="26"/>
          <w:szCs w:val="26"/>
        </w:rPr>
        <w:t>improcedente</w:t>
      </w:r>
      <w:r w:rsidRPr="00186DAA">
        <w:rPr>
          <w:rFonts w:ascii="Arial" w:hAnsi="Arial" w:cs="Arial"/>
          <w:bCs/>
          <w:sz w:val="26"/>
          <w:szCs w:val="26"/>
        </w:rPr>
        <w:t>, pues la determinación de la que se inconforma el recurrente, consiste en controvertir la personalidad de quien comparece a juicio a dar contestación a la demanda, lo que no encuadra en ninguna de las hipótesis previstas en el artículo 236 de la Ley en cita, para su revisión en esta instancia.</w:t>
      </w:r>
    </w:p>
    <w:p w:rsidR="00BF1C95" w:rsidRPr="00186DAA" w:rsidRDefault="00BF1C95" w:rsidP="00BF1C95">
      <w:pPr>
        <w:spacing w:before="240" w:line="360" w:lineRule="auto"/>
        <w:ind w:firstLine="709"/>
        <w:jc w:val="both"/>
        <w:rPr>
          <w:rFonts w:ascii="Arial" w:hAnsi="Arial" w:cs="Arial"/>
          <w:sz w:val="26"/>
          <w:szCs w:val="26"/>
        </w:rPr>
      </w:pPr>
      <w:r w:rsidRPr="00186DAA">
        <w:rPr>
          <w:rFonts w:ascii="Arial" w:hAnsi="Arial" w:cs="Arial"/>
          <w:color w:val="000000"/>
          <w:sz w:val="26"/>
          <w:szCs w:val="26"/>
        </w:rPr>
        <w:t xml:space="preserve">Por </w:t>
      </w:r>
      <w:r w:rsidRPr="00186DAA">
        <w:rPr>
          <w:rFonts w:ascii="Arial" w:hAnsi="Arial" w:cs="Arial"/>
          <w:bCs/>
          <w:sz w:val="26"/>
          <w:szCs w:val="26"/>
        </w:rPr>
        <w:t xml:space="preserve">lo que, en atención a lo expuesto, </w:t>
      </w:r>
      <w:r w:rsidRPr="00186DAA">
        <w:rPr>
          <w:rFonts w:ascii="Arial" w:hAnsi="Arial" w:cs="Arial"/>
          <w:sz w:val="26"/>
          <w:szCs w:val="26"/>
        </w:rPr>
        <w:t xml:space="preserve">se </w:t>
      </w:r>
      <w:r w:rsidRPr="00186DAA">
        <w:rPr>
          <w:rFonts w:ascii="Arial" w:hAnsi="Arial" w:cs="Arial"/>
          <w:b/>
          <w:sz w:val="26"/>
          <w:szCs w:val="26"/>
        </w:rPr>
        <w:t xml:space="preserve">DESECHA </w:t>
      </w:r>
      <w:r w:rsidRPr="00186DAA">
        <w:rPr>
          <w:rFonts w:ascii="Arial" w:hAnsi="Arial" w:cs="Arial"/>
          <w:sz w:val="26"/>
          <w:szCs w:val="26"/>
        </w:rPr>
        <w:t xml:space="preserve">por </w:t>
      </w:r>
      <w:r w:rsidRPr="00186DAA">
        <w:rPr>
          <w:rFonts w:ascii="Arial" w:hAnsi="Arial" w:cs="Arial"/>
          <w:b/>
          <w:sz w:val="26"/>
          <w:szCs w:val="26"/>
        </w:rPr>
        <w:t xml:space="preserve">IMPROCEDENTE </w:t>
      </w:r>
      <w:r w:rsidRPr="00186DAA">
        <w:rPr>
          <w:rFonts w:ascii="Arial" w:hAnsi="Arial" w:cs="Arial"/>
          <w:sz w:val="26"/>
          <w:szCs w:val="26"/>
        </w:rPr>
        <w:t xml:space="preserve">el recurso de revisión interpuesto por </w:t>
      </w:r>
      <w:r w:rsidR="00EF2B78">
        <w:rPr>
          <w:rFonts w:ascii="Arial" w:hAnsi="Arial" w:cs="Arial"/>
          <w:b/>
          <w:sz w:val="26"/>
          <w:szCs w:val="26"/>
        </w:rPr>
        <w:t>**********</w:t>
      </w:r>
      <w:bookmarkStart w:id="0" w:name="_GoBack"/>
      <w:bookmarkEnd w:id="0"/>
      <w:r w:rsidRPr="00186DAA">
        <w:rPr>
          <w:rFonts w:ascii="Arial" w:hAnsi="Arial" w:cs="Arial"/>
          <w:b/>
          <w:sz w:val="26"/>
          <w:szCs w:val="26"/>
        </w:rPr>
        <w:t>, representante legal de “PERSESA” S.A. DE C.V.</w:t>
      </w:r>
      <w:r w:rsidRPr="00186DAA">
        <w:rPr>
          <w:rFonts w:ascii="Arial" w:hAnsi="Arial" w:cs="Arial"/>
          <w:sz w:val="26"/>
          <w:szCs w:val="26"/>
        </w:rPr>
        <w:t>, en contra de la parte relativa del acuerdo de cinco de marzo de 2019 dos mil diecinueve.</w:t>
      </w:r>
    </w:p>
    <w:p w:rsidR="00186DAA" w:rsidRPr="00186DAA" w:rsidRDefault="00BF1C95" w:rsidP="00186DAA">
      <w:pPr>
        <w:spacing w:before="240" w:line="360" w:lineRule="auto"/>
        <w:ind w:firstLine="708"/>
        <w:jc w:val="both"/>
        <w:rPr>
          <w:rFonts w:ascii="Arial" w:hAnsi="Arial" w:cs="Arial"/>
          <w:sz w:val="26"/>
          <w:szCs w:val="26"/>
        </w:rPr>
      </w:pPr>
      <w:r w:rsidRPr="00186DAA">
        <w:rPr>
          <w:rFonts w:ascii="Arial" w:hAnsi="Arial" w:cs="Arial"/>
          <w:sz w:val="26"/>
          <w:szCs w:val="26"/>
        </w:rPr>
        <w:t>En mérito de lo anterior, con fundamento en los artículos 237 y  238 de la Ley de Procedimiento y Justicia Administrativa para el Estado, se:</w:t>
      </w:r>
    </w:p>
    <w:p w:rsidR="00BF1C95" w:rsidRDefault="00BF1C95" w:rsidP="00186DAA">
      <w:pPr>
        <w:tabs>
          <w:tab w:val="left" w:pos="1134"/>
        </w:tabs>
        <w:spacing w:after="0" w:line="360" w:lineRule="auto"/>
        <w:jc w:val="center"/>
        <w:rPr>
          <w:rFonts w:ascii="Arial" w:hAnsi="Arial" w:cs="Arial"/>
          <w:b/>
          <w:sz w:val="26"/>
          <w:szCs w:val="26"/>
        </w:rPr>
      </w:pPr>
      <w:r w:rsidRPr="00186DAA">
        <w:rPr>
          <w:rFonts w:ascii="Arial" w:hAnsi="Arial" w:cs="Arial"/>
          <w:b/>
          <w:sz w:val="26"/>
          <w:szCs w:val="26"/>
        </w:rPr>
        <w:t>R E S U E L V E</w:t>
      </w:r>
    </w:p>
    <w:p w:rsidR="00186DAA" w:rsidRPr="00186DAA" w:rsidRDefault="00186DAA" w:rsidP="00186DAA">
      <w:pPr>
        <w:tabs>
          <w:tab w:val="left" w:pos="1134"/>
        </w:tabs>
        <w:spacing w:after="0" w:line="360" w:lineRule="auto"/>
        <w:jc w:val="center"/>
        <w:rPr>
          <w:rFonts w:ascii="Arial" w:hAnsi="Arial" w:cs="Arial"/>
          <w:b/>
          <w:sz w:val="26"/>
          <w:szCs w:val="26"/>
        </w:rPr>
      </w:pPr>
    </w:p>
    <w:p w:rsidR="00186DAA" w:rsidRPr="00186DAA" w:rsidRDefault="00BF1C95" w:rsidP="00186DAA">
      <w:pPr>
        <w:spacing w:after="0" w:line="360" w:lineRule="auto"/>
        <w:ind w:firstLine="708"/>
        <w:jc w:val="both"/>
        <w:rPr>
          <w:rFonts w:ascii="Arial" w:hAnsi="Arial" w:cs="Arial"/>
          <w:sz w:val="26"/>
          <w:szCs w:val="26"/>
        </w:rPr>
      </w:pPr>
      <w:r w:rsidRPr="00186DAA">
        <w:rPr>
          <w:rFonts w:ascii="Arial" w:hAnsi="Arial" w:cs="Arial"/>
          <w:b/>
          <w:sz w:val="26"/>
          <w:szCs w:val="26"/>
        </w:rPr>
        <w:t>PRIMERO</w:t>
      </w:r>
      <w:r w:rsidRPr="00186DAA">
        <w:rPr>
          <w:rFonts w:ascii="Arial" w:hAnsi="Arial" w:cs="Arial"/>
          <w:sz w:val="26"/>
          <w:szCs w:val="26"/>
        </w:rPr>
        <w:t xml:space="preserve">. Se </w:t>
      </w:r>
      <w:r w:rsidRPr="00186DAA">
        <w:rPr>
          <w:rFonts w:ascii="Arial" w:hAnsi="Arial" w:cs="Arial"/>
          <w:b/>
          <w:sz w:val="26"/>
          <w:szCs w:val="26"/>
        </w:rPr>
        <w:t>DESECHA POR IMPROCEDENTE</w:t>
      </w:r>
      <w:r w:rsidRPr="00186DAA">
        <w:rPr>
          <w:rFonts w:ascii="Arial" w:hAnsi="Arial" w:cs="Arial"/>
          <w:sz w:val="26"/>
          <w:szCs w:val="26"/>
        </w:rPr>
        <w:t xml:space="preserve"> el recurso de revisión interpuesto, </w:t>
      </w:r>
      <w:r w:rsidRPr="00186DAA">
        <w:rPr>
          <w:rFonts w:ascii="Arial" w:hAnsi="Arial" w:cs="Arial"/>
          <w:sz w:val="26"/>
          <w:szCs w:val="26"/>
          <w:lang w:eastAsia="es-ES"/>
        </w:rPr>
        <w:t>por las razones señaladas en el considerando que antecede</w:t>
      </w:r>
      <w:r w:rsidR="00186DAA" w:rsidRPr="00186DAA">
        <w:rPr>
          <w:rFonts w:ascii="Arial" w:hAnsi="Arial" w:cs="Arial"/>
          <w:sz w:val="26"/>
          <w:szCs w:val="26"/>
        </w:rPr>
        <w:t xml:space="preserve">. </w:t>
      </w:r>
    </w:p>
    <w:p w:rsidR="00186DAA" w:rsidRPr="00186DAA" w:rsidRDefault="00BF1C95" w:rsidP="00161D2B">
      <w:pPr>
        <w:spacing w:after="0" w:line="360" w:lineRule="auto"/>
        <w:ind w:firstLine="708"/>
        <w:jc w:val="both"/>
        <w:rPr>
          <w:rFonts w:ascii="Arial" w:hAnsi="Arial" w:cs="Arial"/>
          <w:sz w:val="26"/>
          <w:szCs w:val="26"/>
        </w:rPr>
      </w:pPr>
      <w:r w:rsidRPr="00186DAA">
        <w:rPr>
          <w:rFonts w:ascii="Arial" w:hAnsi="Arial" w:cs="Arial"/>
          <w:sz w:val="26"/>
          <w:szCs w:val="26"/>
        </w:rPr>
        <w:t xml:space="preserve"> </w:t>
      </w:r>
      <w:r w:rsidRPr="00186DAA">
        <w:rPr>
          <w:rFonts w:ascii="Arial" w:hAnsi="Arial" w:cs="Arial"/>
          <w:b/>
          <w:sz w:val="26"/>
          <w:szCs w:val="26"/>
        </w:rPr>
        <w:t>SEGUNDO. NOTIFÍQUESE Y CÚMPLASE,</w:t>
      </w:r>
      <w:r w:rsidRPr="00186DAA">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161D2B" w:rsidRDefault="00161D2B" w:rsidP="00161D2B">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del Tribunal de Justicia </w:t>
      </w:r>
      <w:r>
        <w:rPr>
          <w:rFonts w:ascii="Arial" w:hAnsi="Arial" w:cs="Arial"/>
          <w:sz w:val="26"/>
          <w:szCs w:val="26"/>
        </w:rPr>
        <w:lastRenderedPageBreak/>
        <w:t>Administrativa; quienes actúan con el Licenciado José Eduardo López García, designado por la Presidencia para suplir a la Secretaria General de Acuerdos de este Tribunal, que autoriza y da fe.</w:t>
      </w:r>
    </w:p>
    <w:p w:rsidR="009803CF" w:rsidRDefault="009803CF" w:rsidP="00186DAA">
      <w:pPr>
        <w:spacing w:after="0"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Default="009803CF" w:rsidP="009803CF">
      <w:pPr>
        <w:spacing w:after="0" w:line="360" w:lineRule="auto"/>
        <w:jc w:val="center"/>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161D2B" w:rsidRDefault="00161D2B" w:rsidP="00161D2B">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161D2B" w:rsidRDefault="00161D2B" w:rsidP="00161D2B">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161D2B" w:rsidRDefault="00161D2B" w:rsidP="00161D2B">
      <w:pPr>
        <w:spacing w:line="360" w:lineRule="auto"/>
        <w:jc w:val="both"/>
        <w:rPr>
          <w:sz w:val="26"/>
          <w:szCs w:val="26"/>
        </w:rPr>
      </w:pPr>
    </w:p>
    <w:p w:rsidR="00E22D11" w:rsidRDefault="00E22D11" w:rsidP="00161D2B">
      <w:pPr>
        <w:pStyle w:val="Sinespaciado"/>
        <w:jc w:val="center"/>
        <w:rPr>
          <w:sz w:val="26"/>
          <w:szCs w:val="26"/>
        </w:rPr>
      </w:pPr>
    </w:p>
    <w:sectPr w:rsidR="00E22D11" w:rsidSect="009803CF">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124" w:rsidRDefault="00053124">
      <w:pPr>
        <w:spacing w:after="0" w:line="240" w:lineRule="auto"/>
      </w:pPr>
      <w:r>
        <w:separator/>
      </w:r>
    </w:p>
  </w:endnote>
  <w:endnote w:type="continuationSeparator" w:id="0">
    <w:p w:rsidR="00053124" w:rsidRDefault="00053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124" w:rsidRDefault="00053124">
      <w:pPr>
        <w:spacing w:after="0" w:line="240" w:lineRule="auto"/>
      </w:pPr>
      <w:r>
        <w:separator/>
      </w:r>
    </w:p>
  </w:footnote>
  <w:footnote w:type="continuationSeparator" w:id="0">
    <w:p w:rsidR="00053124" w:rsidRDefault="00053124">
      <w:pPr>
        <w:spacing w:after="0" w:line="240" w:lineRule="auto"/>
      </w:pPr>
      <w:r>
        <w:continuationSeparator/>
      </w:r>
    </w:p>
  </w:footnote>
  <w:footnote w:id="1">
    <w:p w:rsidR="00BF1C95" w:rsidRPr="00BF29C4" w:rsidRDefault="00BF1C95" w:rsidP="00BF1C95">
      <w:pPr>
        <w:autoSpaceDE w:val="0"/>
        <w:autoSpaceDN w:val="0"/>
        <w:adjustRightInd w:val="0"/>
        <w:jc w:val="both"/>
        <w:rPr>
          <w:rFonts w:cs="Calibri"/>
          <w:i/>
          <w:sz w:val="16"/>
          <w:szCs w:val="16"/>
          <w:lang w:eastAsia="es-MX"/>
        </w:rPr>
      </w:pPr>
      <w:r>
        <w:rPr>
          <w:rStyle w:val="Refdenotaalpie"/>
        </w:rPr>
        <w:footnoteRef/>
      </w:r>
      <w:r>
        <w:t xml:space="preserve"> </w:t>
      </w:r>
      <w:r w:rsidRPr="00BF29C4">
        <w:rPr>
          <w:rFonts w:cs="Calibri"/>
          <w:b/>
          <w:bCs/>
          <w:i/>
          <w:sz w:val="16"/>
          <w:szCs w:val="16"/>
          <w:lang w:eastAsia="es-MX"/>
        </w:rPr>
        <w:t xml:space="preserve">ARTÍCULO 151.- </w:t>
      </w:r>
      <w:r w:rsidRPr="00BF29C4">
        <w:rPr>
          <w:rFonts w:cs="Calibri"/>
          <w:i/>
          <w:sz w:val="16"/>
          <w:szCs w:val="16"/>
          <w:lang w:eastAsia="es-MX"/>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BF1C95" w:rsidRPr="00C050B3" w:rsidRDefault="00BF1C95" w:rsidP="00BF1C95">
      <w:pPr>
        <w:autoSpaceDE w:val="0"/>
        <w:autoSpaceDN w:val="0"/>
        <w:adjustRightInd w:val="0"/>
      </w:pPr>
      <w:r>
        <w:rPr>
          <w:rStyle w:val="Refdenotaalpie"/>
        </w:rPr>
        <w:footnoteRef/>
      </w:r>
      <w:r w:rsidRPr="00BF29C4">
        <w:rPr>
          <w:rFonts w:cs="Calibri"/>
          <w:i/>
          <w:sz w:val="16"/>
          <w:szCs w:val="16"/>
        </w:rPr>
        <w:t xml:space="preserve"> </w:t>
      </w:r>
      <w:r w:rsidRPr="00BF29C4">
        <w:rPr>
          <w:rFonts w:cs="Calibri"/>
          <w:b/>
          <w:bCs/>
          <w:i/>
          <w:sz w:val="16"/>
          <w:szCs w:val="16"/>
          <w:lang w:eastAsia="es-MX"/>
        </w:rPr>
        <w:t xml:space="preserve">ARTÍCULO 150.- </w:t>
      </w:r>
      <w:r w:rsidRPr="00BF29C4">
        <w:rPr>
          <w:rFonts w:cs="Calibri"/>
          <w:i/>
          <w:sz w:val="16"/>
          <w:szCs w:val="16"/>
          <w:lang w:eastAsia="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25046B">
          <w:rPr>
            <w:noProof/>
          </w:rPr>
          <w:t>2</w:t>
        </w:r>
        <w:r>
          <w:fldChar w:fldCharType="end"/>
        </w:r>
      </w:p>
    </w:sdtContent>
  </w:sdt>
  <w:p w:rsidR="00D2291D" w:rsidRDefault="00EF2B78">
    <w:pPr>
      <w:pStyle w:val="Encabezado"/>
    </w:pPr>
    <w:r>
      <w:rPr>
        <w:noProof/>
        <w:lang w:val="es-MX" w:eastAsia="es-MX"/>
      </w:rPr>
      <w:drawing>
        <wp:anchor distT="0" distB="0" distL="114300" distR="114300" simplePos="0" relativeHeight="251670016" behindDoc="0" locked="0" layoutInCell="1" allowOverlap="1" wp14:anchorId="42228FA5" wp14:editId="42ED7BEA">
          <wp:simplePos x="0" y="0"/>
          <wp:positionH relativeFrom="column">
            <wp:posOffset>5956740</wp:posOffset>
          </wp:positionH>
          <wp:positionV relativeFrom="paragraph">
            <wp:posOffset>5329359</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25046B">
          <w:rPr>
            <w:noProof/>
          </w:rPr>
          <w:t>1</w:t>
        </w:r>
        <w:r>
          <w:rPr>
            <w:noProof/>
          </w:rPr>
          <w:fldChar w:fldCharType="end"/>
        </w:r>
      </w:p>
      <w:p w:rsidR="00D2291D" w:rsidRDefault="0025046B" w:rsidP="00D2291D">
        <w:pPr>
          <w:pStyle w:val="Encabezado"/>
          <w:jc w:val="center"/>
        </w:pPr>
      </w:p>
    </w:sdtContent>
  </w:sdt>
  <w:p w:rsidR="00D2291D" w:rsidRDefault="00EF2B78" w:rsidP="00D2291D">
    <w:pPr>
      <w:pStyle w:val="Encabezado"/>
      <w:tabs>
        <w:tab w:val="left" w:pos="142"/>
      </w:tabs>
      <w:ind w:left="284"/>
    </w:pPr>
    <w:r>
      <w:rPr>
        <w:noProof/>
        <w:lang w:val="es-MX" w:eastAsia="es-MX"/>
      </w:rPr>
      <w:drawing>
        <wp:anchor distT="0" distB="0" distL="114300" distR="114300" simplePos="0" relativeHeight="251664896" behindDoc="0" locked="0" layoutInCell="1" allowOverlap="1" wp14:anchorId="6D88CC10" wp14:editId="340981CB">
          <wp:simplePos x="0" y="0"/>
          <wp:positionH relativeFrom="column">
            <wp:posOffset>-1354015</wp:posOffset>
          </wp:positionH>
          <wp:positionV relativeFrom="paragraph">
            <wp:posOffset>3042725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6BC50583" wp14:editId="00715859">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752" behindDoc="1" locked="0" layoutInCell="1" allowOverlap="1" wp14:anchorId="1756F539" wp14:editId="7E0A499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3124"/>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32E1D"/>
    <w:rsid w:val="001555E0"/>
    <w:rsid w:val="0015681D"/>
    <w:rsid w:val="0015791C"/>
    <w:rsid w:val="00161D2B"/>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5046B"/>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1C95"/>
    <w:rsid w:val="00BF5B8E"/>
    <w:rsid w:val="00C12F29"/>
    <w:rsid w:val="00C345BF"/>
    <w:rsid w:val="00C40BC8"/>
    <w:rsid w:val="00C41C1B"/>
    <w:rsid w:val="00C43333"/>
    <w:rsid w:val="00C544D3"/>
    <w:rsid w:val="00C64FB6"/>
    <w:rsid w:val="00C65E13"/>
    <w:rsid w:val="00C74C8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3385"/>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A49B6"/>
    <w:rsid w:val="00EA5E95"/>
    <w:rsid w:val="00EB6D01"/>
    <w:rsid w:val="00EB769D"/>
    <w:rsid w:val="00EC4D62"/>
    <w:rsid w:val="00EC574B"/>
    <w:rsid w:val="00EE7940"/>
    <w:rsid w:val="00EF2B78"/>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6C7E4D-123C-445D-B7B9-3C68BAF9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1309</Words>
  <Characters>7202</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14</cp:revision>
  <cp:lastPrinted>2019-06-17T19:09:00Z</cp:lastPrinted>
  <dcterms:created xsi:type="dcterms:W3CDTF">2019-06-28T17:43:00Z</dcterms:created>
  <dcterms:modified xsi:type="dcterms:W3CDTF">2019-09-20T17:22:00Z</dcterms:modified>
</cp:coreProperties>
</file>