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B7293" w14:textId="339048BC"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3166ED">
        <w:rPr>
          <w:rFonts w:ascii="Arial" w:hAnsi="Arial" w:cs="Arial"/>
          <w:b/>
          <w:sz w:val="24"/>
          <w:szCs w:val="24"/>
        </w:rPr>
        <w:t>VEINTITRÉS DE MARZO DE DOS MIL VEINT</w:t>
      </w:r>
      <w:r w:rsidR="000D5BBC">
        <w:rPr>
          <w:rFonts w:ascii="Arial" w:hAnsi="Arial" w:cs="Arial"/>
          <w:b/>
          <w:sz w:val="24"/>
          <w:szCs w:val="24"/>
        </w:rPr>
        <w:t>IUNO</w:t>
      </w:r>
      <w:r w:rsidR="003166ED" w:rsidRPr="00E66467">
        <w:rPr>
          <w:rFonts w:ascii="Arial" w:hAnsi="Arial" w:cs="Arial"/>
          <w:sz w:val="24"/>
          <w:szCs w:val="24"/>
        </w:rPr>
        <w:t xml:space="preserve">. - - - - - - - - - - - - - - - - - - - - - - - - - - - - - - - - - - - - - - - - - - - - - - - - - - - - </w:t>
      </w:r>
    </w:p>
    <w:p w14:paraId="6A6736EF" w14:textId="17366561"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967B8C">
        <w:rPr>
          <w:rFonts w:ascii="Arial" w:hAnsi="Arial" w:cs="Arial"/>
          <w:b/>
          <w:sz w:val="24"/>
          <w:szCs w:val="24"/>
          <w:lang w:eastAsia="es-ES"/>
        </w:rPr>
        <w:t>132</w:t>
      </w:r>
      <w:r w:rsidR="001E294D">
        <w:rPr>
          <w:rFonts w:ascii="Arial" w:hAnsi="Arial" w:cs="Arial"/>
          <w:b/>
          <w:sz w:val="24"/>
          <w:szCs w:val="24"/>
          <w:lang w:eastAsia="es-ES"/>
        </w:rPr>
        <w:t>/20</w:t>
      </w:r>
      <w:r w:rsidR="00967B8C">
        <w:rPr>
          <w:rFonts w:ascii="Arial" w:hAnsi="Arial" w:cs="Arial"/>
          <w:b/>
          <w:sz w:val="24"/>
          <w:szCs w:val="24"/>
          <w:lang w:eastAsia="es-ES"/>
        </w:rPr>
        <w:t>20</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3B218B">
        <w:rPr>
          <w:rFonts w:ascii="Arial" w:eastAsia="Times New Roman" w:hAnsi="Arial" w:cs="Arial"/>
          <w:bCs/>
          <w:iCs/>
          <w:caps/>
          <w:kern w:val="2"/>
          <w:sz w:val="24"/>
          <w:szCs w:val="24"/>
          <w:lang w:val="es-ES_tradnl" w:eastAsia="es-ES"/>
        </w:rPr>
        <w:t>**********</w:t>
      </w:r>
      <w:r w:rsidR="00967B8C" w:rsidRPr="00967B8C">
        <w:rPr>
          <w:rFonts w:ascii="Arial" w:hAnsi="Arial" w:cs="Arial"/>
          <w:b/>
          <w:sz w:val="24"/>
          <w:szCs w:val="24"/>
          <w:lang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3B218B">
        <w:rPr>
          <w:rFonts w:ascii="Arial" w:eastAsia="Times New Roman" w:hAnsi="Arial" w:cs="Arial"/>
          <w:bCs/>
          <w:iCs/>
          <w:caps/>
          <w:kern w:val="2"/>
          <w:sz w:val="24"/>
          <w:szCs w:val="24"/>
          <w:lang w:val="es-ES_tradnl" w:eastAsia="es-ES"/>
        </w:rPr>
        <w:t xml:space="preserve">********** </w:t>
      </w:r>
      <w:r w:rsidR="00C55168">
        <w:rPr>
          <w:rFonts w:ascii="Arial" w:hAnsi="Arial" w:cs="Arial"/>
          <w:sz w:val="24"/>
          <w:szCs w:val="24"/>
        </w:rPr>
        <w:t>de veintisiete de marzo de dos mil veinte</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 xml:space="preserve">POLICÍA VIAL CON NÚMERO ESTADÍSTICO PV-163, DE MUNICIPIO DE OAXACA DE JUÁREZ, OAXACA, </w:t>
      </w:r>
      <w:r w:rsidR="00C55168">
        <w:rPr>
          <w:rFonts w:ascii="Arial" w:hAnsi="Arial" w:cs="Arial"/>
          <w:sz w:val="24"/>
          <w:szCs w:val="24"/>
        </w:rPr>
        <w:t xml:space="preserve">y;  - - - - - - - - - - - - - - - - - - - - - - </w:t>
      </w:r>
      <w:r w:rsidR="003B218B">
        <w:rPr>
          <w:rFonts w:ascii="Arial" w:hAnsi="Arial" w:cs="Arial"/>
          <w:sz w:val="24"/>
          <w:szCs w:val="24"/>
        </w:rPr>
        <w:t xml:space="preserve">- - - - - - - - - - - - - - - - </w:t>
      </w:r>
    </w:p>
    <w:p w14:paraId="14B35E3F"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40334E2F" w14:textId="77777777"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7529A5">
        <w:rPr>
          <w:rFonts w:ascii="Arial" w:eastAsia="Times New Roman" w:hAnsi="Arial" w:cs="Arial"/>
          <w:sz w:val="24"/>
          <w:szCs w:val="24"/>
          <w:lang w:val="es-ES" w:eastAsia="es-ES"/>
        </w:rPr>
        <w:t xml:space="preserve">diecinueve de agosto </w:t>
      </w:r>
      <w:r w:rsidR="00900625">
        <w:rPr>
          <w:rFonts w:ascii="Arial" w:eastAsia="Times New Roman" w:hAnsi="Arial" w:cs="Arial"/>
          <w:sz w:val="24"/>
          <w:szCs w:val="24"/>
          <w:lang w:val="es-ES" w:eastAsia="es-ES"/>
        </w:rPr>
        <w:t xml:space="preserve">de dos mil </w:t>
      </w:r>
      <w:r w:rsidR="007529A5">
        <w:rPr>
          <w:rFonts w:ascii="Arial" w:eastAsia="Times New Roman" w:hAnsi="Arial" w:cs="Arial"/>
          <w:sz w:val="24"/>
          <w:szCs w:val="24"/>
          <w:lang w:val="es-ES" w:eastAsia="es-ES"/>
        </w:rPr>
        <w:t>veinte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8D005F">
        <w:rPr>
          <w:rFonts w:ascii="Arial" w:eastAsia="Times New Roman" w:hAnsi="Arial" w:cs="Arial"/>
          <w:sz w:val="24"/>
          <w:szCs w:val="24"/>
          <w:lang w:val="es-ES_tradnl" w:eastAsia="es-ES"/>
        </w:rPr>
        <w:t>5 y 6</w:t>
      </w:r>
      <w:r w:rsidR="00552029">
        <w:rPr>
          <w:rFonts w:ascii="Arial" w:eastAsia="Times New Roman" w:hAnsi="Arial" w:cs="Arial"/>
          <w:sz w:val="24"/>
          <w:szCs w:val="24"/>
          <w:lang w:val="es-ES_tradnl" w:eastAsia="es-ES"/>
        </w:rPr>
        <w:t>).</w:t>
      </w:r>
    </w:p>
    <w:p w14:paraId="0B4B3CDD" w14:textId="77777777"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4F4791">
        <w:rPr>
          <w:rFonts w:ascii="Arial" w:eastAsia="Times New Roman" w:hAnsi="Arial" w:cs="Arial"/>
          <w:sz w:val="24"/>
          <w:szCs w:val="24"/>
          <w:lang w:val="es-ES" w:eastAsia="es-ES"/>
        </w:rPr>
        <w:t xml:space="preserve">El </w:t>
      </w:r>
      <w:r w:rsidR="00954574">
        <w:rPr>
          <w:rFonts w:ascii="Arial" w:eastAsia="Times New Roman" w:hAnsi="Arial" w:cs="Arial"/>
          <w:sz w:val="24"/>
          <w:szCs w:val="24"/>
          <w:lang w:val="es-ES" w:eastAsia="es-ES"/>
        </w:rPr>
        <w:t>dieciséis de febrero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 xml:space="preserve">y por ofrecidas y admitidas sus pruebas, y se fijó fecha para que tuviera verificativo la audiencia de Ley (foja </w:t>
      </w:r>
      <w:r w:rsidR="00CF5069">
        <w:rPr>
          <w:rFonts w:ascii="Arial" w:eastAsia="Times New Roman" w:hAnsi="Arial" w:cs="Arial"/>
          <w:sz w:val="24"/>
          <w:szCs w:val="24"/>
          <w:lang w:val="es-ES_tradnl" w:eastAsia="es-ES"/>
        </w:rPr>
        <w:t>17 y 18</w:t>
      </w:r>
      <w:r w:rsidR="00876B4A">
        <w:rPr>
          <w:rFonts w:ascii="Arial" w:eastAsia="Times New Roman" w:hAnsi="Arial" w:cs="Arial"/>
          <w:sz w:val="24"/>
          <w:szCs w:val="24"/>
          <w:lang w:val="es-ES_tradnl" w:eastAsia="es-ES"/>
        </w:rPr>
        <w:t>).</w:t>
      </w:r>
    </w:p>
    <w:p w14:paraId="606AB151" w14:textId="77777777" w:rsidR="00FA5F9A" w:rsidRPr="003B218B" w:rsidRDefault="009F533D" w:rsidP="00E3495D">
      <w:pPr>
        <w:spacing w:line="360" w:lineRule="auto"/>
        <w:ind w:right="51" w:firstLine="567"/>
        <w:jc w:val="both"/>
        <w:rPr>
          <w:rFonts w:ascii="Arial" w:hAnsi="Arial" w:cs="Arial"/>
          <w:sz w:val="24"/>
          <w:szCs w:val="24"/>
        </w:rPr>
      </w:pPr>
      <w:r>
        <w:rPr>
          <w:rFonts w:ascii="Arial" w:eastAsia="Times New Roman" w:hAnsi="Arial" w:cs="Arial"/>
          <w:b/>
          <w:sz w:val="24"/>
          <w:szCs w:val="24"/>
          <w:lang w:val="es-ES" w:eastAsia="es-ES"/>
        </w:rPr>
        <w:t>TERCERO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sidR="000A0137">
        <w:rPr>
          <w:rFonts w:ascii="Arial" w:eastAsia="Times New Roman" w:hAnsi="Arial" w:cs="Arial"/>
          <w:sz w:val="24"/>
          <w:szCs w:val="24"/>
          <w:lang w:val="es-ES" w:eastAsia="es-ES"/>
        </w:rPr>
        <w:t>dieciséis de marzo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B37299" w:rsidRPr="003B218B">
        <w:rPr>
          <w:rFonts w:ascii="Arial" w:eastAsia="Times New Roman" w:hAnsi="Arial" w:cs="Arial"/>
          <w:sz w:val="24"/>
          <w:szCs w:val="24"/>
          <w:lang w:eastAsia="es-ES"/>
        </w:rPr>
        <w:t xml:space="preserve">no se formularon alegatos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se citó 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xml:space="preserve">, misma que ahora se dicta dentro del término que establece el artículo 205, de la Ley </w:t>
      </w:r>
      <w:r w:rsidR="00E3495D" w:rsidRPr="003B218B">
        <w:rPr>
          <w:rFonts w:ascii="Arial" w:eastAsia="Times New Roman" w:hAnsi="Arial" w:cs="Arial"/>
          <w:sz w:val="24"/>
          <w:szCs w:val="24"/>
          <w:lang w:val="es-ES_tradnl" w:eastAsia="es-ES"/>
        </w:rPr>
        <w:t>de Procedimiento y Justicia Administrativa para el Estado</w:t>
      </w:r>
      <w:r w:rsidR="000A0137" w:rsidRPr="003B218B">
        <w:rPr>
          <w:rFonts w:ascii="Arial" w:hAnsi="Arial" w:cs="Arial"/>
          <w:sz w:val="24"/>
          <w:szCs w:val="24"/>
        </w:rPr>
        <w:t xml:space="preserve"> </w:t>
      </w:r>
      <w:r w:rsidR="004922E9" w:rsidRPr="003B218B">
        <w:rPr>
          <w:rFonts w:ascii="Arial" w:hAnsi="Arial" w:cs="Arial"/>
          <w:sz w:val="24"/>
          <w:szCs w:val="24"/>
        </w:rPr>
        <w:t>(foja</w:t>
      </w:r>
      <w:r w:rsidR="00E720B2" w:rsidRPr="003B218B">
        <w:rPr>
          <w:rFonts w:ascii="Arial" w:hAnsi="Arial" w:cs="Arial"/>
          <w:sz w:val="24"/>
          <w:szCs w:val="24"/>
        </w:rPr>
        <w:t xml:space="preserve"> 22</w:t>
      </w:r>
      <w:r w:rsidR="004922E9" w:rsidRPr="003B218B">
        <w:rPr>
          <w:rFonts w:ascii="Arial" w:hAnsi="Arial" w:cs="Arial"/>
          <w:sz w:val="24"/>
          <w:szCs w:val="24"/>
        </w:rPr>
        <w:t xml:space="preserve">), </w:t>
      </w:r>
      <w:r w:rsidR="001E57CA" w:rsidRPr="003B218B">
        <w:rPr>
          <w:rFonts w:ascii="Arial" w:hAnsi="Arial" w:cs="Arial"/>
          <w:sz w:val="24"/>
          <w:szCs w:val="24"/>
        </w:rPr>
        <w:t xml:space="preserve">y; - - - - - - </w:t>
      </w:r>
      <w:r w:rsidR="00CC7332" w:rsidRPr="003B218B">
        <w:rPr>
          <w:rFonts w:ascii="Arial" w:hAnsi="Arial" w:cs="Arial"/>
          <w:sz w:val="24"/>
          <w:szCs w:val="24"/>
        </w:rPr>
        <w:t xml:space="preserve">- - - </w:t>
      </w:r>
    </w:p>
    <w:p w14:paraId="782151C1"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314A5772"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w:t>
      </w:r>
      <w:r w:rsidR="00F71DEC">
        <w:rPr>
          <w:rFonts w:ascii="Arial" w:eastAsia="Times New Roman" w:hAnsi="Arial" w:cs="Arial"/>
          <w:bCs/>
          <w:sz w:val="24"/>
          <w:szCs w:val="24"/>
          <w:lang w:val="es-ES" w:eastAsia="es-ES"/>
        </w:rPr>
        <w:lastRenderedPageBreak/>
        <w:t xml:space="preserve">por el artículo 114 QUÁTER, de </w:t>
      </w:r>
      <w:r w:rsidR="00F71DEC">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0C096D7C"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3B218B">
        <w:rPr>
          <w:rFonts w:ascii="Arial" w:eastAsia="Times New Roman" w:hAnsi="Arial" w:cs="Arial"/>
          <w:sz w:val="24"/>
          <w:szCs w:val="24"/>
          <w:lang w:val="es-ES_tradnl" w:eastAsia="es-ES"/>
        </w:rPr>
        <w:t>151 d</w:t>
      </w:r>
      <w:r w:rsidR="00B94A85">
        <w:rPr>
          <w:rFonts w:ascii="Arial" w:eastAsia="Times New Roman" w:hAnsi="Arial" w:cs="Arial"/>
          <w:sz w:val="24"/>
          <w:szCs w:val="24"/>
          <w:lang w:val="es-ES_tradnl" w:eastAsia="es-ES"/>
        </w:rPr>
        <w:t>e la Ley citada.</w:t>
      </w:r>
    </w:p>
    <w:p w14:paraId="60B9E2F2" w14:textId="4B8B4C8F"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r w:rsidR="003B218B">
        <w:rPr>
          <w:rFonts w:ascii="Arial" w:eastAsia="Times New Roman" w:hAnsi="Arial" w:cs="Arial"/>
          <w:bCs/>
          <w:sz w:val="24"/>
          <w:szCs w:val="24"/>
          <w:lang w:eastAsia="es-ES"/>
        </w:rPr>
        <w:t xml:space="preserve"> </w:t>
      </w:r>
    </w:p>
    <w:p w14:paraId="564440E5" w14:textId="3A04D82D"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La </w:t>
      </w:r>
      <w:r>
        <w:rPr>
          <w:rFonts w:ascii="Arial" w:eastAsia="Times New Roman" w:hAnsi="Arial" w:cs="Arial"/>
          <w:bCs/>
          <w:sz w:val="24"/>
          <w:szCs w:val="24"/>
          <w:lang w:val="es-ES_tradnl" w:eastAsia="es-ES"/>
        </w:rPr>
        <w:t>Policía Vial con número estadístico PV-43, adscrita a la Subdirección de Tránsito y Movilidad del Municipio de Oaxaca de Juárez, Oaxaca</w:t>
      </w:r>
      <w:r>
        <w:rPr>
          <w:rFonts w:ascii="Arial" w:hAnsi="Arial" w:cs="Arial"/>
          <w:bCs/>
          <w:sz w:val="24"/>
          <w:szCs w:val="24"/>
        </w:rPr>
        <w:t>,</w:t>
      </w:r>
      <w:r>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r w:rsidR="003B218B">
        <w:rPr>
          <w:rFonts w:ascii="Arial" w:hAnsi="Arial" w:cs="Arial"/>
          <w:sz w:val="24"/>
          <w:szCs w:val="24"/>
        </w:rPr>
        <w:t xml:space="preserve"> </w:t>
      </w:r>
    </w:p>
    <w:p w14:paraId="137A6903"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5A1B4712"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6382531B"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14:paraId="19BB1D49"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3A5F3144"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70F1DCEF" w14:textId="77777777"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09B5B7DC" w14:textId="77777777" w:rsidR="002C5092" w:rsidRDefault="002C5092" w:rsidP="002C5092">
      <w:pPr>
        <w:spacing w:before="240" w:after="0" w:line="240" w:lineRule="auto"/>
        <w:ind w:left="567" w:right="283"/>
        <w:jc w:val="both"/>
        <w:rPr>
          <w:rFonts w:ascii="Arial" w:hAnsi="Arial" w:cs="Arial"/>
          <w:sz w:val="21"/>
          <w:szCs w:val="21"/>
        </w:rPr>
      </w:pPr>
    </w:p>
    <w:p w14:paraId="1B5B304A" w14:textId="20EB6B6D"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el actor impugna la nulidad del acta de infracción con número de folio </w:t>
      </w:r>
      <w:r w:rsidR="003B218B">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t xml:space="preserve">de </w:t>
      </w:r>
      <w:r w:rsidR="00674B21">
        <w:rPr>
          <w:rFonts w:ascii="Arial" w:hAnsi="Arial" w:cs="Arial"/>
          <w:sz w:val="24"/>
          <w:szCs w:val="24"/>
        </w:rPr>
        <w:t xml:space="preserve">veintisiete </w:t>
      </w:r>
      <w:r>
        <w:rPr>
          <w:rFonts w:ascii="Arial" w:hAnsi="Arial" w:cs="Arial"/>
          <w:sz w:val="24"/>
          <w:szCs w:val="24"/>
        </w:rPr>
        <w:t xml:space="preserve">de </w:t>
      </w:r>
      <w:r w:rsidR="00674B21">
        <w:rPr>
          <w:rFonts w:ascii="Arial" w:hAnsi="Arial" w:cs="Arial"/>
          <w:sz w:val="24"/>
          <w:szCs w:val="24"/>
        </w:rPr>
        <w:t xml:space="preserve">marzo </w:t>
      </w:r>
      <w:r>
        <w:rPr>
          <w:rFonts w:ascii="Arial" w:hAnsi="Arial" w:cs="Arial"/>
          <w:sz w:val="24"/>
          <w:szCs w:val="24"/>
        </w:rPr>
        <w:t>de dos mil veinte,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145857A9"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556011">
        <w:rPr>
          <w:rFonts w:ascii="Arial" w:hAnsi="Arial" w:cs="Arial"/>
          <w:sz w:val="24"/>
          <w:szCs w:val="24"/>
        </w:rPr>
        <w:t>veintisiete de marzo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556011">
        <w:rPr>
          <w:rFonts w:ascii="Arial" w:hAnsi="Arial" w:cs="Arial"/>
          <w:b/>
          <w:sz w:val="24"/>
          <w:szCs w:val="24"/>
        </w:rPr>
        <w:t xml:space="preserve">dieciocho de agosto </w:t>
      </w:r>
      <w:r>
        <w:rPr>
          <w:rFonts w:ascii="Arial" w:hAnsi="Arial" w:cs="Arial"/>
          <w:b/>
          <w:sz w:val="24"/>
          <w:szCs w:val="24"/>
        </w:rPr>
        <w:t>de dos mil veinte</w:t>
      </w:r>
      <w:r>
        <w:rPr>
          <w:rFonts w:ascii="Arial" w:hAnsi="Arial" w:cs="Arial"/>
          <w:sz w:val="24"/>
          <w:szCs w:val="24"/>
        </w:rPr>
        <w:t>, en la Oficialía de Partes Común de Primera Instancia de este Tribunal.</w:t>
      </w:r>
    </w:p>
    <w:p w14:paraId="1C279A88"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3660065C"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1CE0BEAE"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74FFE915" w14:textId="6E96F844"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3B218B">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3B218B">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C24CA7">
        <w:rPr>
          <w:rFonts w:ascii="Arial" w:hAnsi="Arial" w:cs="Arial"/>
          <w:bCs/>
          <w:sz w:val="24"/>
          <w:szCs w:val="24"/>
        </w:rPr>
        <w:t xml:space="preserve">veintisiete de marzo de dos mil veinte, </w:t>
      </w:r>
      <w:r>
        <w:rPr>
          <w:rFonts w:ascii="Arial" w:hAnsi="Arial" w:cs="Arial"/>
          <w:bCs/>
          <w:sz w:val="24"/>
          <w:szCs w:val="24"/>
          <w:lang w:eastAsia="es-ES"/>
        </w:rPr>
        <w:t>emitida</w:t>
      </w:r>
      <w:r>
        <w:rPr>
          <w:rFonts w:ascii="Arial" w:hAnsi="Arial" w:cs="Arial"/>
          <w:sz w:val="24"/>
          <w:szCs w:val="24"/>
        </w:rPr>
        <w:t xml:space="preserve"> por </w:t>
      </w:r>
      <w:r w:rsidR="00C95CF2">
        <w:rPr>
          <w:rFonts w:ascii="Arial" w:eastAsia="Times New Roman" w:hAnsi="Arial" w:cs="Arial"/>
          <w:bCs/>
          <w:iCs/>
          <w:kern w:val="2"/>
          <w:sz w:val="24"/>
          <w:szCs w:val="24"/>
          <w:lang w:val="es-ES_tradnl" w:eastAsia="es-ES"/>
        </w:rPr>
        <w:t xml:space="preserve">del </w:t>
      </w:r>
      <w:r w:rsidR="00C95CF2">
        <w:rPr>
          <w:rFonts w:ascii="Arial" w:eastAsia="Times New Roman" w:hAnsi="Arial" w:cs="Arial"/>
          <w:b/>
          <w:bCs/>
          <w:iCs/>
          <w:kern w:val="2"/>
          <w:sz w:val="24"/>
          <w:szCs w:val="24"/>
          <w:lang w:val="es-ES_tradnl" w:eastAsia="es-ES"/>
        </w:rPr>
        <w:t>Policía Vial con número estadístico PV-163, de 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r w:rsidR="003B218B">
        <w:rPr>
          <w:rFonts w:ascii="Arial" w:hAnsi="Arial" w:cs="Arial"/>
          <w:sz w:val="24"/>
          <w:szCs w:val="24"/>
        </w:rPr>
        <w:t xml:space="preserve"> </w:t>
      </w:r>
    </w:p>
    <w:p w14:paraId="189DBC99" w14:textId="77777777" w:rsidR="002C5092" w:rsidRDefault="003202F3" w:rsidP="002C5092">
      <w:pPr>
        <w:spacing w:line="360" w:lineRule="auto"/>
        <w:ind w:right="18" w:firstLine="567"/>
        <w:jc w:val="both"/>
        <w:rPr>
          <w:rFonts w:ascii="Arial" w:hAnsi="Arial" w:cs="Arial"/>
          <w:i/>
        </w:rPr>
      </w:pPr>
      <w:r w:rsidRPr="003202F3">
        <w:rPr>
          <w:rFonts w:ascii="Arial" w:eastAsia="Times New Roman" w:hAnsi="Arial" w:cs="Arial"/>
          <w:bCs/>
          <w:iCs/>
          <w:kern w:val="2"/>
          <w:sz w:val="24"/>
          <w:szCs w:val="24"/>
          <w:lang w:val="es-ES_tradnl" w:eastAsia="es-ES"/>
        </w:rPr>
        <w:t>El Policía Vial con número estadístico PV-163, de Municipio de Oaxaca de Juárez, Oaxaca</w:t>
      </w:r>
      <w:r w:rsidR="002C5092" w:rsidRPr="003202F3">
        <w:rPr>
          <w:rFonts w:ascii="Arial" w:eastAsia="Times New Roman" w:hAnsi="Arial" w:cs="Arial"/>
          <w:bCs/>
          <w:sz w:val="24"/>
          <w:szCs w:val="24"/>
          <w:lang w:val="es-ES_tradnl" w:eastAsia="es-ES"/>
        </w:rPr>
        <w:t>,</w:t>
      </w:r>
      <w:r w:rsidR="002C5092">
        <w:rPr>
          <w:rFonts w:ascii="Arial" w:hAnsi="Arial" w:cs="Arial"/>
          <w:bCs/>
          <w:sz w:val="24"/>
          <w:szCs w:val="24"/>
          <w:lang w:val="es-ES_tradnl"/>
        </w:rPr>
        <w:t xml:space="preserve"> </w:t>
      </w:r>
      <w:r w:rsidR="002C5092">
        <w:rPr>
          <w:rFonts w:ascii="Arial" w:hAnsi="Arial" w:cs="Arial"/>
          <w:sz w:val="24"/>
          <w:szCs w:val="24"/>
        </w:rPr>
        <w:t xml:space="preserve">al dar contestación a la demanda, manifestó: </w:t>
      </w:r>
      <w:r w:rsidR="002C5092">
        <w:rPr>
          <w:rFonts w:ascii="Arial" w:hAnsi="Arial" w:cs="Arial"/>
          <w:i/>
        </w:rPr>
        <w:t>“…</w:t>
      </w:r>
      <w:r w:rsidR="00845625">
        <w:rPr>
          <w:rFonts w:ascii="Arial" w:hAnsi="Arial" w:cs="Arial"/>
          <w:i/>
        </w:rPr>
        <w:t>Por otro lado, lejos de la narrativa efectuada por el actor, el acta de infracción no es un formato sino básicamente el acta a través del cual se hace constar la infracción cometida por el gobernado, elaborado en termino de lo dispuesto por los artículos 128 y 129 del Reglamento de Vialidad para el Municipio de Oaxaca de Juárez. Nótese que el Reglamento de Vialidad para el Municipio de Oaxaca de Juárez en ningún apartado alude o se refiere a formato alguno en el cual se haga constar la infracción cometida sino que siempre que alude al acta de infracción lo hace bajo las siguientes palabras “levantara”, “formular”, “formulará”, “formulado”. En este sentido a no existir formato en el periódico oficial del Estado, para que produzca sus efectos jurídicos, máxime que el segundo párrafo del artículo 4 de la Ley de Procedimiento y Justicia Administrativa para el Estado de Oaxaca no sujeta la publicación de los formatos para que produzcan sus efectos jurídicos y por ende su nulidad en caso de no hacerlo”</w:t>
      </w:r>
    </w:p>
    <w:p w14:paraId="7658F7B2" w14:textId="31A548C3" w:rsidR="002C5092" w:rsidRDefault="002C5092" w:rsidP="002C5092">
      <w:pPr>
        <w:spacing w:line="360" w:lineRule="auto"/>
        <w:ind w:right="18" w:firstLine="567"/>
        <w:jc w:val="both"/>
        <w:rPr>
          <w:rFonts w:ascii="Arial" w:hAnsi="Arial" w:cs="Arial"/>
          <w:sz w:val="24"/>
          <w:szCs w:val="24"/>
        </w:rPr>
      </w:pPr>
      <w:r>
        <w:rPr>
          <w:rFonts w:ascii="Arial" w:hAnsi="Arial" w:cs="Arial"/>
          <w:sz w:val="24"/>
          <w:szCs w:val="24"/>
        </w:rPr>
        <w:lastRenderedPageBreak/>
        <w:t xml:space="preserve">Ahora, este juzgador procede al análisis del acta de infracción impugnada con número de folio </w:t>
      </w:r>
      <w:r w:rsidR="003B218B">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0B7918">
        <w:rPr>
          <w:rFonts w:ascii="Arial" w:hAnsi="Arial" w:cs="Arial"/>
          <w:sz w:val="24"/>
          <w:szCs w:val="24"/>
        </w:rPr>
        <w:t xml:space="preserve">veintisiete </w:t>
      </w:r>
      <w:r>
        <w:rPr>
          <w:rFonts w:ascii="Arial" w:hAnsi="Arial" w:cs="Arial"/>
          <w:sz w:val="24"/>
          <w:szCs w:val="24"/>
        </w:rPr>
        <w:t xml:space="preserve">de </w:t>
      </w:r>
      <w:r w:rsidR="000B7918">
        <w:rPr>
          <w:rFonts w:ascii="Arial" w:hAnsi="Arial" w:cs="Arial"/>
          <w:sz w:val="24"/>
          <w:szCs w:val="24"/>
        </w:rPr>
        <w:t xml:space="preserve">marzo </w:t>
      </w:r>
      <w:r>
        <w:rPr>
          <w:rFonts w:ascii="Arial" w:hAnsi="Arial" w:cs="Arial"/>
          <w:sz w:val="24"/>
          <w:szCs w:val="24"/>
        </w:rPr>
        <w:t xml:space="preserve">de dos mil veinte, emitida por </w:t>
      </w:r>
      <w:r w:rsidR="00E16427">
        <w:rPr>
          <w:rFonts w:ascii="Arial" w:hAnsi="Arial" w:cs="Arial"/>
          <w:sz w:val="24"/>
          <w:szCs w:val="24"/>
        </w:rPr>
        <w:t xml:space="preserve">el </w:t>
      </w:r>
      <w:r w:rsidR="00E16427" w:rsidRPr="003202F3">
        <w:rPr>
          <w:rFonts w:ascii="Arial" w:eastAsia="Times New Roman" w:hAnsi="Arial" w:cs="Arial"/>
          <w:bCs/>
          <w:iCs/>
          <w:kern w:val="2"/>
          <w:sz w:val="24"/>
          <w:szCs w:val="24"/>
          <w:lang w:val="es-ES_tradnl" w:eastAsia="es-ES"/>
        </w:rPr>
        <w:t>Policía Vial con número estadístico PV-163, de Municipio de Oaxaca de Juárez, Oaxaca</w:t>
      </w:r>
      <w:r w:rsidR="00E16427">
        <w:rPr>
          <w:rFonts w:ascii="Arial" w:eastAsia="Times New Roman" w:hAnsi="Arial" w:cs="Arial"/>
          <w:bCs/>
          <w:iCs/>
          <w:kern w:val="2"/>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4E2357C2" w14:textId="77777777" w:rsidR="002C5092" w:rsidRDefault="002C5092" w:rsidP="002C5092">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la Policía Vial que lo emitió, en el rubro de </w:t>
      </w:r>
      <w:r>
        <w:rPr>
          <w:rFonts w:ascii="Arial" w:hAnsi="Arial" w:cs="Arial"/>
          <w:b/>
          <w:sz w:val="24"/>
          <w:szCs w:val="24"/>
        </w:rPr>
        <w:t>motivación</w:t>
      </w:r>
      <w:r>
        <w:rPr>
          <w:rFonts w:ascii="Arial" w:hAnsi="Arial" w:cs="Arial"/>
          <w:sz w:val="24"/>
          <w:szCs w:val="24"/>
        </w:rPr>
        <w:t xml:space="preserve"> señaló “</w:t>
      </w:r>
      <w:r w:rsidR="009E5A07">
        <w:rPr>
          <w:rFonts w:ascii="Arial" w:hAnsi="Arial" w:cs="Arial"/>
          <w:sz w:val="24"/>
          <w:szCs w:val="24"/>
        </w:rPr>
        <w:t>por pasarse la luz roja de semáforo”</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009E1DCB">
        <w:rPr>
          <w:rFonts w:ascii="Arial" w:hAnsi="Arial" w:cs="Arial"/>
          <w:sz w:val="24"/>
          <w:szCs w:val="24"/>
        </w:rPr>
        <w:t>artículo 59 fracción I incisos c) y d)</w:t>
      </w:r>
      <w:r>
        <w:rPr>
          <w:rFonts w:ascii="Arial" w:hAnsi="Arial" w:cs="Arial"/>
          <w:sz w:val="24"/>
          <w:szCs w:val="24"/>
        </w:rPr>
        <w:t xml:space="preserve">” del Reglamento de Vialidad para el Municipio de Oaxaca de Juárez en relación al artículo 189, de la Ley de Ingresos de Oaxaca de Juárez para el ejercicio Fiscal dos mil diecinueve, artículo 130 fracciones V y VII del Reglamento de Vialidad para el Municipio de Oaxaca de Juárez”;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3CEA7D20" w14:textId="77777777" w:rsidR="002C5092" w:rsidRDefault="002C5092" w:rsidP="002C5092">
      <w:pPr>
        <w:spacing w:line="360" w:lineRule="auto"/>
        <w:ind w:right="18" w:firstLine="567"/>
        <w:jc w:val="both"/>
        <w:rPr>
          <w:rFonts w:ascii="Arial" w:hAnsi="Arial" w:cs="Arial"/>
          <w:sz w:val="24"/>
          <w:szCs w:val="24"/>
        </w:rPr>
      </w:pPr>
      <w:r>
        <w:rPr>
          <w:rFonts w:ascii="Arial" w:hAnsi="Arial" w:cs="Arial"/>
          <w:sz w:val="24"/>
          <w:szCs w:val="24"/>
        </w:rPr>
        <w:t xml:space="preserve">El artículo </w:t>
      </w:r>
      <w:r w:rsidR="008C65DF">
        <w:rPr>
          <w:rFonts w:ascii="Arial" w:hAnsi="Arial" w:cs="Arial"/>
          <w:sz w:val="24"/>
          <w:szCs w:val="24"/>
        </w:rPr>
        <w:t>59</w:t>
      </w:r>
      <w:r>
        <w:rPr>
          <w:rFonts w:ascii="Arial" w:hAnsi="Arial" w:cs="Arial"/>
          <w:sz w:val="24"/>
          <w:szCs w:val="24"/>
        </w:rPr>
        <w:t xml:space="preserve"> fracción </w:t>
      </w:r>
      <w:r w:rsidR="008C65DF">
        <w:rPr>
          <w:rFonts w:ascii="Arial" w:hAnsi="Arial" w:cs="Arial"/>
          <w:sz w:val="24"/>
          <w:szCs w:val="24"/>
        </w:rPr>
        <w:t>I, incisos c) y d)</w:t>
      </w:r>
      <w:r>
        <w:rPr>
          <w:rFonts w:ascii="Arial" w:hAnsi="Arial" w:cs="Arial"/>
          <w:sz w:val="24"/>
          <w:szCs w:val="24"/>
        </w:rPr>
        <w:t>, del Reglamento de Vialidad para el Municipio de Oaxaca de Juárez Oaxaca, establece:</w:t>
      </w:r>
    </w:p>
    <w:p w14:paraId="0ACF11B1" w14:textId="77777777" w:rsidR="002C5092" w:rsidRPr="008C65DF" w:rsidRDefault="002C5092" w:rsidP="002C5092">
      <w:pPr>
        <w:tabs>
          <w:tab w:val="left" w:pos="8364"/>
        </w:tabs>
        <w:autoSpaceDE w:val="0"/>
        <w:autoSpaceDN w:val="0"/>
        <w:adjustRightInd w:val="0"/>
        <w:spacing w:after="0" w:line="240" w:lineRule="auto"/>
        <w:ind w:right="283" w:firstLine="567"/>
        <w:jc w:val="both"/>
        <w:rPr>
          <w:rFonts w:ascii="Arial" w:hAnsi="Arial" w:cs="Arial"/>
          <w:bCs/>
          <w:i/>
          <w:iCs/>
          <w:color w:val="000000"/>
        </w:rPr>
      </w:pPr>
      <w:r>
        <w:rPr>
          <w:rFonts w:ascii="Arial" w:hAnsi="Arial" w:cs="Arial"/>
          <w:b/>
          <w:bCs/>
          <w:i/>
          <w:iCs/>
          <w:color w:val="000000"/>
        </w:rPr>
        <w:t xml:space="preserve">ARTÍCULO </w:t>
      </w:r>
      <w:r w:rsidR="008C65DF">
        <w:rPr>
          <w:rFonts w:ascii="Arial" w:hAnsi="Arial" w:cs="Arial"/>
          <w:b/>
          <w:bCs/>
          <w:i/>
          <w:iCs/>
          <w:color w:val="000000"/>
        </w:rPr>
        <w:t xml:space="preserve">59. </w:t>
      </w:r>
      <w:r w:rsidR="008C65DF" w:rsidRPr="008C65DF">
        <w:rPr>
          <w:rFonts w:ascii="Arial" w:hAnsi="Arial" w:cs="Arial"/>
          <w:i/>
        </w:rPr>
        <w:t>Son obligaciones de los conductores de vehículos automotores para que puedan circular libremente en la jurisdicción del Municipio de Oaxaca de Juárez:</w:t>
      </w:r>
    </w:p>
    <w:p w14:paraId="44E65757" w14:textId="77777777" w:rsidR="008C65DF" w:rsidRPr="008C65DF" w:rsidRDefault="002C5092" w:rsidP="008C65DF">
      <w:pPr>
        <w:tabs>
          <w:tab w:val="left" w:pos="8364"/>
        </w:tabs>
        <w:autoSpaceDE w:val="0"/>
        <w:autoSpaceDN w:val="0"/>
        <w:adjustRightInd w:val="0"/>
        <w:spacing w:after="0" w:line="240" w:lineRule="auto"/>
        <w:ind w:right="283" w:firstLine="567"/>
        <w:jc w:val="both"/>
        <w:rPr>
          <w:rFonts w:ascii="Arial" w:hAnsi="Arial" w:cs="Arial"/>
          <w:bCs/>
          <w:i/>
          <w:iCs/>
          <w:color w:val="000000"/>
        </w:rPr>
      </w:pPr>
      <w:r w:rsidRPr="008C65DF">
        <w:rPr>
          <w:rFonts w:ascii="Arial" w:hAnsi="Arial" w:cs="Arial"/>
          <w:bCs/>
          <w:i/>
          <w:iCs/>
          <w:color w:val="000000"/>
        </w:rPr>
        <w:t>(…)</w:t>
      </w:r>
    </w:p>
    <w:p w14:paraId="53B18C9B" w14:textId="77777777" w:rsidR="008C65DF" w:rsidRPr="008C65DF" w:rsidRDefault="008C65DF" w:rsidP="008C65DF">
      <w:pPr>
        <w:tabs>
          <w:tab w:val="left" w:pos="8364"/>
        </w:tabs>
        <w:autoSpaceDE w:val="0"/>
        <w:autoSpaceDN w:val="0"/>
        <w:adjustRightInd w:val="0"/>
        <w:spacing w:after="0" w:line="240" w:lineRule="auto"/>
        <w:ind w:right="283" w:firstLine="567"/>
        <w:jc w:val="both"/>
        <w:rPr>
          <w:rFonts w:ascii="Arial" w:hAnsi="Arial" w:cs="Arial"/>
          <w:bCs/>
          <w:i/>
          <w:iCs/>
          <w:color w:val="000000"/>
        </w:rPr>
      </w:pPr>
    </w:p>
    <w:p w14:paraId="5D6BF4A4" w14:textId="77777777" w:rsidR="00B55A86" w:rsidRPr="00151E8B" w:rsidRDefault="00B55A86" w:rsidP="00B55A86">
      <w:pPr>
        <w:pStyle w:val="Prrafodelista"/>
        <w:numPr>
          <w:ilvl w:val="0"/>
          <w:numId w:val="1"/>
        </w:numPr>
        <w:tabs>
          <w:tab w:val="left" w:pos="8364"/>
        </w:tabs>
        <w:autoSpaceDE w:val="0"/>
        <w:autoSpaceDN w:val="0"/>
        <w:adjustRightInd w:val="0"/>
        <w:spacing w:after="0" w:line="240" w:lineRule="auto"/>
        <w:ind w:right="283"/>
        <w:jc w:val="both"/>
        <w:rPr>
          <w:rFonts w:ascii="Arial" w:hAnsi="Arial" w:cs="Arial"/>
          <w:bCs/>
          <w:i/>
          <w:iCs/>
          <w:color w:val="000000"/>
        </w:rPr>
      </w:pPr>
      <w:r w:rsidRPr="00151E8B">
        <w:rPr>
          <w:rFonts w:ascii="Arial" w:hAnsi="Arial" w:cs="Arial"/>
          <w:bCs/>
          <w:i/>
          <w:iCs/>
          <w:color w:val="000000"/>
        </w:rPr>
        <w:t>Obedecer las indicaciones de los semáforos para vehículos, de la siguiente manera:</w:t>
      </w:r>
    </w:p>
    <w:p w14:paraId="11952BB8" w14:textId="77777777" w:rsidR="00B55A86" w:rsidRPr="00151E8B" w:rsidRDefault="00B55A86" w:rsidP="00B55A86">
      <w:pPr>
        <w:pStyle w:val="Prrafodelista"/>
        <w:tabs>
          <w:tab w:val="left" w:pos="8364"/>
        </w:tabs>
        <w:autoSpaceDE w:val="0"/>
        <w:autoSpaceDN w:val="0"/>
        <w:adjustRightInd w:val="0"/>
        <w:spacing w:after="0" w:line="240" w:lineRule="auto"/>
        <w:ind w:left="1287" w:right="283"/>
        <w:jc w:val="both"/>
        <w:rPr>
          <w:rFonts w:ascii="Arial" w:hAnsi="Arial" w:cs="Arial"/>
          <w:bCs/>
          <w:i/>
          <w:iCs/>
          <w:color w:val="000000"/>
        </w:rPr>
      </w:pPr>
      <w:r w:rsidRPr="00151E8B">
        <w:rPr>
          <w:rFonts w:ascii="Arial" w:hAnsi="Arial" w:cs="Arial"/>
          <w:bCs/>
          <w:i/>
          <w:iCs/>
          <w:color w:val="000000"/>
        </w:rPr>
        <w:t>(…)</w:t>
      </w:r>
    </w:p>
    <w:p w14:paraId="22BAFA27" w14:textId="77777777" w:rsidR="00151E8B" w:rsidRPr="00151E8B" w:rsidRDefault="00B55A86" w:rsidP="00B55A86">
      <w:pPr>
        <w:pStyle w:val="Prrafodelista"/>
        <w:tabs>
          <w:tab w:val="left" w:pos="8364"/>
        </w:tabs>
        <w:autoSpaceDE w:val="0"/>
        <w:autoSpaceDN w:val="0"/>
        <w:adjustRightInd w:val="0"/>
        <w:spacing w:after="0" w:line="240" w:lineRule="auto"/>
        <w:ind w:left="1287" w:right="283"/>
        <w:jc w:val="both"/>
        <w:rPr>
          <w:rFonts w:ascii="Arial" w:hAnsi="Arial" w:cs="Arial"/>
          <w:bCs/>
          <w:i/>
          <w:iCs/>
          <w:color w:val="000000"/>
        </w:rPr>
      </w:pPr>
      <w:r w:rsidRPr="00151E8B">
        <w:rPr>
          <w:rFonts w:ascii="Arial" w:hAnsi="Arial" w:cs="Arial"/>
          <w:b/>
          <w:bCs/>
          <w:i/>
          <w:iCs/>
          <w:color w:val="000000"/>
        </w:rPr>
        <w:t>c)</w:t>
      </w:r>
      <w:r w:rsidR="000B09F3" w:rsidRPr="00151E8B">
        <w:rPr>
          <w:rFonts w:ascii="Arial" w:hAnsi="Arial" w:cs="Arial"/>
          <w:bCs/>
          <w:i/>
          <w:iCs/>
          <w:color w:val="000000"/>
        </w:rPr>
        <w:t xml:space="preserve"> </w:t>
      </w:r>
      <w:r w:rsidR="00151E8B" w:rsidRPr="00151E8B">
        <w:rPr>
          <w:rFonts w:ascii="Arial" w:hAnsi="Arial" w:cs="Arial"/>
          <w:i/>
        </w:rPr>
        <w:t>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r w:rsidR="00151E8B" w:rsidRPr="00151E8B">
        <w:rPr>
          <w:rFonts w:ascii="Arial" w:hAnsi="Arial" w:cs="Arial"/>
          <w:bCs/>
          <w:i/>
          <w:iCs/>
          <w:color w:val="000000"/>
        </w:rPr>
        <w:t xml:space="preserve"> </w:t>
      </w:r>
    </w:p>
    <w:p w14:paraId="7A1B6881" w14:textId="77777777" w:rsidR="00151E8B" w:rsidRPr="00151E8B" w:rsidRDefault="00151E8B" w:rsidP="00B55A86">
      <w:pPr>
        <w:pStyle w:val="Prrafodelista"/>
        <w:tabs>
          <w:tab w:val="left" w:pos="8364"/>
        </w:tabs>
        <w:autoSpaceDE w:val="0"/>
        <w:autoSpaceDN w:val="0"/>
        <w:adjustRightInd w:val="0"/>
        <w:spacing w:after="0" w:line="240" w:lineRule="auto"/>
        <w:ind w:left="1287" w:right="283"/>
        <w:jc w:val="both"/>
        <w:rPr>
          <w:rFonts w:ascii="Arial" w:hAnsi="Arial" w:cs="Arial"/>
          <w:bCs/>
          <w:i/>
          <w:iCs/>
          <w:color w:val="000000"/>
        </w:rPr>
      </w:pPr>
    </w:p>
    <w:p w14:paraId="088521DD" w14:textId="77777777" w:rsidR="00151E8B" w:rsidRPr="00151E8B" w:rsidRDefault="00151E8B" w:rsidP="00B55A86">
      <w:pPr>
        <w:pStyle w:val="Prrafodelista"/>
        <w:tabs>
          <w:tab w:val="left" w:pos="8364"/>
        </w:tabs>
        <w:autoSpaceDE w:val="0"/>
        <w:autoSpaceDN w:val="0"/>
        <w:adjustRightInd w:val="0"/>
        <w:spacing w:after="0" w:line="240" w:lineRule="auto"/>
        <w:ind w:left="1287" w:right="283"/>
        <w:jc w:val="both"/>
        <w:rPr>
          <w:rFonts w:ascii="Arial" w:hAnsi="Arial" w:cs="Arial"/>
          <w:bCs/>
          <w:i/>
          <w:iCs/>
          <w:color w:val="000000"/>
        </w:rPr>
      </w:pPr>
      <w:r w:rsidRPr="00151E8B">
        <w:rPr>
          <w:rFonts w:ascii="Arial" w:hAnsi="Arial" w:cs="Arial"/>
          <w:b/>
          <w:bCs/>
          <w:i/>
          <w:iCs/>
          <w:color w:val="000000"/>
        </w:rPr>
        <w:t xml:space="preserve">d) </w:t>
      </w:r>
      <w:r w:rsidRPr="00151E8B">
        <w:rPr>
          <w:rFonts w:ascii="Arial" w:hAnsi="Arial" w:cs="Arial"/>
          <w:i/>
        </w:rPr>
        <w:t xml:space="preserve">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 </w:t>
      </w:r>
    </w:p>
    <w:p w14:paraId="7670DEA5" w14:textId="77777777" w:rsidR="002C5092" w:rsidRPr="00151E8B" w:rsidRDefault="002C5092" w:rsidP="002C5092">
      <w:pPr>
        <w:autoSpaceDE w:val="0"/>
        <w:autoSpaceDN w:val="0"/>
        <w:adjustRightInd w:val="0"/>
        <w:spacing w:after="0" w:line="240" w:lineRule="auto"/>
        <w:ind w:left="567" w:right="283" w:firstLine="567"/>
        <w:jc w:val="both"/>
        <w:rPr>
          <w:rFonts w:ascii="Arial" w:hAnsi="Arial" w:cs="Arial"/>
          <w:i/>
        </w:rPr>
      </w:pPr>
    </w:p>
    <w:p w14:paraId="631A4518" w14:textId="77777777"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el </w:t>
      </w:r>
      <w:r w:rsidR="00151E8B">
        <w:rPr>
          <w:rFonts w:ascii="Arial" w:hAnsi="Arial" w:cs="Arial"/>
          <w:sz w:val="24"/>
          <w:szCs w:val="24"/>
        </w:rPr>
        <w:t>artículo 59</w:t>
      </w:r>
      <w:r>
        <w:rPr>
          <w:rFonts w:ascii="Arial" w:hAnsi="Arial" w:cs="Arial"/>
          <w:sz w:val="24"/>
          <w:szCs w:val="24"/>
        </w:rPr>
        <w:t xml:space="preserve"> fracción </w:t>
      </w:r>
      <w:r w:rsidR="00151E8B">
        <w:rPr>
          <w:rFonts w:ascii="Arial" w:hAnsi="Arial" w:cs="Arial"/>
          <w:sz w:val="24"/>
          <w:szCs w:val="24"/>
        </w:rPr>
        <w:t>I</w:t>
      </w:r>
      <w:r w:rsidR="00E73EB2">
        <w:rPr>
          <w:rFonts w:ascii="Arial" w:hAnsi="Arial" w:cs="Arial"/>
          <w:sz w:val="24"/>
          <w:szCs w:val="24"/>
        </w:rPr>
        <w:t xml:space="preserve"> incisos c) y d)</w:t>
      </w:r>
      <w:r>
        <w:rPr>
          <w:rFonts w:ascii="Arial" w:hAnsi="Arial" w:cs="Arial"/>
          <w:sz w:val="24"/>
          <w:szCs w:val="24"/>
        </w:rPr>
        <w:t xml:space="preserve">, del Reglamento de Vialidad para el Municipio de Oaxaca de Juárez Oaxaca, sin que hiciera referencia de los hechos ocurridos ni </w:t>
      </w:r>
      <w:r>
        <w:rPr>
          <w:rFonts w:ascii="Arial" w:hAnsi="Arial" w:cs="Arial"/>
          <w:sz w:val="24"/>
          <w:szCs w:val="24"/>
        </w:rPr>
        <w:lastRenderedPageBreak/>
        <w:t>especificara las razones particulares o causas inmediatas, que lo llevaron a concluir el sustento para la emisión del acto.</w:t>
      </w:r>
    </w:p>
    <w:p w14:paraId="01D98BF4"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6C24F2">
        <w:rPr>
          <w:rFonts w:ascii="Arial" w:hAnsi="Arial" w:cs="Arial"/>
          <w:sz w:val="24"/>
          <w:szCs w:val="24"/>
        </w:rPr>
        <w:t xml:space="preserve">el </w:t>
      </w:r>
      <w:r w:rsidR="006C24F2" w:rsidRPr="003202F3">
        <w:rPr>
          <w:rFonts w:ascii="Arial" w:eastAsia="Times New Roman" w:hAnsi="Arial" w:cs="Arial"/>
          <w:bCs/>
          <w:iCs/>
          <w:kern w:val="2"/>
          <w:sz w:val="24"/>
          <w:szCs w:val="24"/>
          <w:lang w:val="es-ES_tradnl" w:eastAsia="es-ES"/>
        </w:rPr>
        <w:t>Policía Vial con número estadístico PV-163, de Municipio de Oaxaca de Juárez</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11DAC824"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13CBEE9" w14:textId="77777777"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6274B31B" w14:textId="77777777" w:rsidR="002C5092" w:rsidRDefault="002C5092" w:rsidP="002C5092">
      <w:pPr>
        <w:spacing w:after="0"/>
        <w:ind w:right="566"/>
        <w:jc w:val="both"/>
        <w:rPr>
          <w:rFonts w:ascii="Arial" w:hAnsi="Arial" w:cs="Arial"/>
        </w:rPr>
      </w:pPr>
    </w:p>
    <w:p w14:paraId="3207F112" w14:textId="6E6B3503"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3B218B">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BD5990">
        <w:rPr>
          <w:rFonts w:ascii="Arial" w:hAnsi="Arial" w:cs="Arial"/>
          <w:sz w:val="24"/>
          <w:szCs w:val="24"/>
        </w:rPr>
        <w:t xml:space="preserve">veintisiete </w:t>
      </w:r>
      <w:r>
        <w:rPr>
          <w:rFonts w:ascii="Arial" w:hAnsi="Arial" w:cs="Arial"/>
          <w:sz w:val="24"/>
          <w:szCs w:val="24"/>
        </w:rPr>
        <w:t xml:space="preserve">de </w:t>
      </w:r>
      <w:r w:rsidR="000B4F01">
        <w:rPr>
          <w:rFonts w:ascii="Arial" w:hAnsi="Arial" w:cs="Arial"/>
          <w:sz w:val="24"/>
          <w:szCs w:val="24"/>
        </w:rPr>
        <w:t xml:space="preserve">marzo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0B4F01">
        <w:rPr>
          <w:rFonts w:ascii="Arial" w:hAnsi="Arial" w:cs="Arial"/>
          <w:sz w:val="24"/>
          <w:szCs w:val="24"/>
        </w:rPr>
        <w:t xml:space="preserve">el </w:t>
      </w:r>
      <w:r w:rsidR="000B4F01" w:rsidRPr="003202F3">
        <w:rPr>
          <w:rFonts w:ascii="Arial" w:eastAsia="Times New Roman" w:hAnsi="Arial" w:cs="Arial"/>
          <w:bCs/>
          <w:iCs/>
          <w:kern w:val="2"/>
          <w:sz w:val="24"/>
          <w:szCs w:val="24"/>
          <w:lang w:val="es-ES_tradnl" w:eastAsia="es-ES"/>
        </w:rPr>
        <w:t>Policía Vial con número estadístico PV-163, de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75B80658"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2FD850C3" w14:textId="77777777" w:rsidR="002C5092" w:rsidRDefault="002C5092" w:rsidP="002C5092">
      <w:pPr>
        <w:spacing w:after="0" w:line="360" w:lineRule="auto"/>
        <w:ind w:right="51" w:firstLine="567"/>
        <w:jc w:val="both"/>
        <w:rPr>
          <w:rFonts w:ascii="Arial" w:hAnsi="Arial" w:cs="Arial"/>
          <w:sz w:val="24"/>
          <w:szCs w:val="24"/>
        </w:rPr>
      </w:pPr>
    </w:p>
    <w:p w14:paraId="189F06C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27D4EEFE"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2EE15E2A"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16E64D93"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1C3AAB7D" w14:textId="517451C1"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3B218B">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B6E8B">
        <w:rPr>
          <w:rFonts w:ascii="Arial" w:hAnsi="Arial" w:cs="Arial"/>
          <w:sz w:val="24"/>
          <w:szCs w:val="24"/>
        </w:rPr>
        <w:t xml:space="preserve">veintisiete de marzo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8B6E8B">
        <w:rPr>
          <w:rFonts w:ascii="Arial" w:hAnsi="Arial" w:cs="Arial"/>
          <w:sz w:val="24"/>
          <w:szCs w:val="24"/>
        </w:rPr>
        <w:t xml:space="preserve">el </w:t>
      </w:r>
      <w:r w:rsidR="008B6E8B" w:rsidRPr="003202F3">
        <w:rPr>
          <w:rFonts w:ascii="Arial" w:eastAsia="Times New Roman" w:hAnsi="Arial" w:cs="Arial"/>
          <w:bCs/>
          <w:iCs/>
          <w:kern w:val="2"/>
          <w:sz w:val="24"/>
          <w:szCs w:val="24"/>
          <w:lang w:val="es-ES_tradnl" w:eastAsia="es-ES"/>
        </w:rPr>
        <w:t>Policía Vial con número estadístico PV-163, de 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p>
    <w:p w14:paraId="11D19EE6" w14:textId="77777777"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SEPTIMO. 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p>
    <w:p w14:paraId="31C991C8" w14:textId="77777777" w:rsidR="002C5092" w:rsidRPr="00FF38C0" w:rsidRDefault="002C5092" w:rsidP="00FF38C0">
      <w:pPr>
        <w:spacing w:line="360" w:lineRule="auto"/>
        <w:ind w:firstLine="567"/>
        <w:jc w:val="both"/>
        <w:rPr>
          <w:rFonts w:ascii="Arial" w:eastAsia="Arial Unicode MS" w:hAnsi="Arial" w:cs="Arial"/>
          <w:kern w:val="2"/>
          <w:sz w:val="24"/>
          <w:szCs w:val="24"/>
          <w:lang w:eastAsia="ar-SA"/>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9C25F3">
        <w:rPr>
          <w:rFonts w:ascii="Arial" w:hAnsi="Arial" w:cs="Arial"/>
          <w:sz w:val="24"/>
          <w:szCs w:val="24"/>
        </w:rPr>
        <w:t xml:space="preserve"> - -</w:t>
      </w:r>
    </w:p>
    <w:sectPr w:rsidR="002C5092" w:rsidRPr="00FF38C0" w:rsidSect="005F65DB">
      <w:headerReference w:type="even" r:id="rId8"/>
      <w:headerReference w:type="default" r:id="rId9"/>
      <w:footerReference w:type="even" r:id="rId10"/>
      <w:footerReference w:type="default" r:id="rId11"/>
      <w:headerReference w:type="first" r:id="rId12"/>
      <w:footerReference w:type="first" r:id="rId13"/>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41AF1" w14:textId="77777777" w:rsidR="003C74F1" w:rsidRDefault="003C74F1" w:rsidP="000802F9">
      <w:pPr>
        <w:spacing w:after="0" w:line="240" w:lineRule="auto"/>
      </w:pPr>
      <w:r>
        <w:separator/>
      </w:r>
    </w:p>
  </w:endnote>
  <w:endnote w:type="continuationSeparator" w:id="0">
    <w:p w14:paraId="52B8BE2D" w14:textId="77777777" w:rsidR="003C74F1" w:rsidRDefault="003C74F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1B899" w14:textId="77777777" w:rsidR="00555C2A" w:rsidRDefault="00555C2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F3B01" w14:textId="77777777" w:rsidR="00555C2A" w:rsidRDefault="00555C2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24254" w14:textId="77777777" w:rsidR="00555C2A" w:rsidRDefault="00555C2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30D2DA" w14:textId="77777777" w:rsidR="003C74F1" w:rsidRDefault="003C74F1" w:rsidP="000802F9">
      <w:pPr>
        <w:spacing w:after="0" w:line="240" w:lineRule="auto"/>
      </w:pPr>
      <w:r>
        <w:separator/>
      </w:r>
    </w:p>
  </w:footnote>
  <w:footnote w:type="continuationSeparator" w:id="0">
    <w:p w14:paraId="70D47F0C" w14:textId="77777777" w:rsidR="003C74F1" w:rsidRDefault="003C74F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F7647" w14:textId="77777777" w:rsidR="00555C2A" w:rsidRDefault="00555C2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3D28660D" w14:textId="45C77232" w:rsidR="009C2D10" w:rsidRDefault="009C2D10">
        <w:pPr>
          <w:pStyle w:val="Encabezado"/>
          <w:jc w:val="center"/>
        </w:pPr>
        <w:r>
          <w:fldChar w:fldCharType="begin"/>
        </w:r>
        <w:r>
          <w:instrText>PAGE   \* MERGEFORMAT</w:instrText>
        </w:r>
        <w:r>
          <w:fldChar w:fldCharType="separate"/>
        </w:r>
        <w:r w:rsidR="00555C2A" w:rsidRPr="00555C2A">
          <w:rPr>
            <w:noProof/>
            <w:lang w:val="es-ES"/>
          </w:rPr>
          <w:t>2</w:t>
        </w:r>
        <w:r>
          <w:fldChar w:fldCharType="end"/>
        </w:r>
        <w:r w:rsidR="00555C2A">
          <w:t xml:space="preserve"> </w:t>
        </w:r>
      </w:p>
    </w:sdtContent>
  </w:sdt>
  <w:p w14:paraId="51DFC548" w14:textId="0F74B558" w:rsidR="009C2D10" w:rsidRDefault="00555C2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428938B4" wp14:editId="6C000E02">
              <wp:simplePos x="0" y="0"/>
              <wp:positionH relativeFrom="column">
                <wp:posOffset>-961697</wp:posOffset>
              </wp:positionH>
              <wp:positionV relativeFrom="paragraph">
                <wp:posOffset>4730049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55ADB45" w14:textId="77777777" w:rsidR="00555C2A" w:rsidRDefault="00555C2A" w:rsidP="00555C2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8938B4" id="_x0000_t202" coordsize="21600,21600" o:spt="202" path="m,l,21600r21600,l21600,xe">
              <v:stroke joinstyle="miter"/>
              <v:path gradientshapeok="t" o:connecttype="rect"/>
            </v:shapetype>
            <v:shape id="Cuadro de texto 1" o:spid="_x0000_s1026" type="#_x0000_t202" style="position:absolute;margin-left:-75.7pt;margin-top:372.45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Wj8SnjAAAADQEAAA8AAABkcnMvZG93bnJl&#10;di54bWxMj8tOwzAQRfdI/IM1SGxQaqdJXyFOhZBAdAcFwdaNp0mEHyF20/D3DCtYju7RvWfK7WQN&#10;G3EInXcS0pkAhq72unONhLfXh2QNLETltDLeoYRvDLCtLi9KVWh/di847mPDqMSFQkloY+wLzkPd&#10;olVh5nt0lB39YFWkc2i4HtSZyq3hcyGW3KrO0UKrerxvsf7cn6yEdf40foRd9vxeL49mE29W4+PX&#10;IOX11XR3CyziFP9g+NUndajI6eBPTgdmJCTpIs2JlbDK8w0wQpJ5ugB2IFaILANelfz/F9UPAAAA&#10;//8DAFBLAQItABQABgAIAAAAIQC2gziS/gAAAOEBAAATAAAAAAAAAAAAAAAAAAAAAABbQ29udGVu&#10;dF9UeXBlc10ueG1sUEsBAi0AFAAGAAgAAAAhADj9If/WAAAAlAEAAAsAAAAAAAAAAAAAAAAALwEA&#10;AF9yZWxzLy5yZWxzUEsBAi0AFAAGAAgAAAAhABHjqDYrAgAASwQAAA4AAAAAAAAAAAAAAAAALgIA&#10;AGRycy9lMm9Eb2MueG1sUEsBAi0AFAAGAAgAAAAhAIWj8SnjAAAADQEAAA8AAAAAAAAAAAAAAAAA&#10;hQQAAGRycy9kb3ducmV2LnhtbFBLBQYAAAAABAAEAPMAAACVBQAAAAA=&#10;">
              <v:textbox>
                <w:txbxContent>
                  <w:p w14:paraId="555ADB45" w14:textId="77777777" w:rsidR="00555C2A" w:rsidRDefault="00555C2A" w:rsidP="00555C2A">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819" w:type="dxa"/>
      <w:tblInd w:w="1787" w:type="dxa"/>
      <w:tblLayout w:type="fixed"/>
      <w:tblLook w:val="04A0" w:firstRow="1" w:lastRow="0" w:firstColumn="1" w:lastColumn="0" w:noHBand="0" w:noVBand="1"/>
    </w:tblPr>
    <w:tblGrid>
      <w:gridCol w:w="2432"/>
      <w:gridCol w:w="3827"/>
      <w:gridCol w:w="1134"/>
      <w:gridCol w:w="426"/>
    </w:tblGrid>
    <w:tr w:rsidR="00C51C01" w:rsidRPr="00481955" w14:paraId="313DCA68" w14:textId="77777777" w:rsidTr="00DC38B8">
      <w:trPr>
        <w:gridAfter w:val="2"/>
        <w:wAfter w:w="1560" w:type="dxa"/>
        <w:trHeight w:val="714"/>
      </w:trPr>
      <w:tc>
        <w:tcPr>
          <w:tcW w:w="6259" w:type="dxa"/>
          <w:gridSpan w:val="2"/>
        </w:tcPr>
        <w:p w14:paraId="4E0F3471" w14:textId="651EBDF5"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385BB50F" w14:textId="4BFCC0E2"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17B4F0E3" w14:textId="77777777" w:rsidTr="00DC38B8">
      <w:trPr>
        <w:gridAfter w:val="1"/>
        <w:wAfter w:w="426" w:type="dxa"/>
        <w:trHeight w:val="426"/>
      </w:trPr>
      <w:tc>
        <w:tcPr>
          <w:tcW w:w="2432" w:type="dxa"/>
          <w:hideMark/>
        </w:tcPr>
        <w:p w14:paraId="2A8AB5F9" w14:textId="5C787A24"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4961" w:type="dxa"/>
          <w:gridSpan w:val="2"/>
          <w:hideMark/>
        </w:tcPr>
        <w:p w14:paraId="2673E228" w14:textId="77777777" w:rsidR="00C51C01" w:rsidRPr="00C97157" w:rsidRDefault="00956CE7" w:rsidP="00DC38B8">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451DD">
            <w:rPr>
              <w:rFonts w:ascii="Arial" w:eastAsia="Times New Roman" w:hAnsi="Arial" w:cs="Arial"/>
              <w:bCs/>
              <w:iCs/>
              <w:caps/>
              <w:kern w:val="2"/>
              <w:sz w:val="24"/>
              <w:szCs w:val="24"/>
              <w:lang w:val="es-ES_tradnl" w:eastAsia="es-ES"/>
            </w:rPr>
            <w:t>132</w:t>
          </w:r>
          <w:r w:rsidR="001E294D">
            <w:rPr>
              <w:rFonts w:ascii="Arial" w:eastAsia="Times New Roman" w:hAnsi="Arial" w:cs="Arial"/>
              <w:bCs/>
              <w:iCs/>
              <w:caps/>
              <w:kern w:val="2"/>
              <w:sz w:val="24"/>
              <w:szCs w:val="24"/>
              <w:lang w:val="es-ES_tradnl" w:eastAsia="es-ES"/>
            </w:rPr>
            <w:t>/20</w:t>
          </w:r>
          <w:r w:rsidR="000451DD">
            <w:rPr>
              <w:rFonts w:ascii="Arial" w:eastAsia="Times New Roman" w:hAnsi="Arial" w:cs="Arial"/>
              <w:bCs/>
              <w:iCs/>
              <w:caps/>
              <w:kern w:val="2"/>
              <w:sz w:val="24"/>
              <w:szCs w:val="24"/>
              <w:lang w:val="es-ES_tradnl" w:eastAsia="es-ES"/>
            </w:rPr>
            <w:t>20</w:t>
          </w:r>
        </w:p>
        <w:p w14:paraId="46B7E40F"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064B7C7" w14:textId="77777777" w:rsidTr="00DC38B8">
      <w:trPr>
        <w:trHeight w:val="74"/>
      </w:trPr>
      <w:tc>
        <w:tcPr>
          <w:tcW w:w="2432" w:type="dxa"/>
          <w:hideMark/>
        </w:tcPr>
        <w:p w14:paraId="1389FB5A"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387" w:type="dxa"/>
          <w:gridSpan w:val="3"/>
        </w:tcPr>
        <w:p w14:paraId="2F7C58BB" w14:textId="37B8884E" w:rsidR="00C51C01" w:rsidRPr="00481955" w:rsidRDefault="003B218B"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7F8FE9ED" w14:textId="77777777" w:rsidTr="00DC38B8">
      <w:trPr>
        <w:trHeight w:val="939"/>
      </w:trPr>
      <w:tc>
        <w:tcPr>
          <w:tcW w:w="2432" w:type="dxa"/>
        </w:tcPr>
        <w:p w14:paraId="42EB2FD3"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396860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50A05BE3"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2F1E6C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052F8643"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14:paraId="0B3E78A2"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6A68C7B"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6E683C46"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387" w:type="dxa"/>
          <w:gridSpan w:val="3"/>
        </w:tcPr>
        <w:p w14:paraId="2FDD315B"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53BB4780" w14:textId="77777777" w:rsidR="00873728" w:rsidRDefault="00C60E6E"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VIAL CON NÚMERO ESTADÍSTICO PV-163, DEL MUNICIPIO DE OAXACA DE JUÁREZ</w:t>
          </w:r>
        </w:p>
        <w:p w14:paraId="52B2D25D" w14:textId="77777777" w:rsidR="008A1649" w:rsidRPr="00481955" w:rsidRDefault="008A1649"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13D23F6"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14:paraId="1199569B"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429C41AA"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14:paraId="4F0E1AC3" w14:textId="14F29F4E" w:rsidR="00C51C01" w:rsidRDefault="00555C2A"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569E5AE1" wp14:editId="4897F7DF">
              <wp:simplePos x="0" y="0"/>
              <wp:positionH relativeFrom="column">
                <wp:posOffset>-1125242</wp:posOffset>
              </wp:positionH>
              <wp:positionV relativeFrom="paragraph">
                <wp:posOffset>4037790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8CD4829" w14:textId="77777777" w:rsidR="00555C2A" w:rsidRDefault="00555C2A" w:rsidP="00555C2A">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9E5AE1" id="_x0000_t202" coordsize="21600,21600" o:spt="202" path="m,l,21600r21600,l21600,xe">
              <v:stroke joinstyle="miter"/>
              <v:path gradientshapeok="t" o:connecttype="rect"/>
            </v:shapetype>
            <v:shape id="Cuadro de texto 4" o:spid="_x0000_s1027" type="#_x0000_t202" style="position:absolute;margin-left:-88.6pt;margin-top:317.9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bWKqceIAAAAMAQAADwAAAGRycy9kb3ducmV2&#10;LnhtbEyPwU7DMAxA70j8Q2QkLqhLt5Z2LU0nhASCG4xpXLPGaysapyRZV/6ecIKj5afn52oz64FN&#10;aF1vSMByEQNDaozqqRWwe3+M1sCcl6TkYAgFfKODTX15UclSmTO94bT1LQsScqUU0Hk/lpy7pkMt&#10;3cKMSGF3NFZLH0bbcmXlOcj1wFdxnHEtewoXOjniQ4fN5/akBazT5+nDvSSv+yY7DoW/yaenLyvE&#10;9dV8fwfM4+z/YPjND+lQh6aDOZFybBAQLfN8FVgBWXJbAAtIlOYJsEPwF2kCvK74/yfqHwAAAP//&#10;AwBQSwECLQAUAAYACAAAACEAtoM4kv4AAADhAQAAEwAAAAAAAAAAAAAAAAAAAAAAW0NvbnRlbnRf&#10;VHlwZXNdLnhtbFBLAQItABQABgAIAAAAIQA4/SH/1gAAAJQBAAALAAAAAAAAAAAAAAAAAC8BAABf&#10;cmVscy8ucmVsc1BLAQItABQABgAIAAAAIQAzzK7WKgIAAFIEAAAOAAAAAAAAAAAAAAAAAC4CAABk&#10;cnMvZTJvRG9jLnhtbFBLAQItABQABgAIAAAAIQBtYqpx4gAAAAwBAAAPAAAAAAAAAAAAAAAAAIQE&#10;AABkcnMvZG93bnJldi54bWxQSwUGAAAAAAQABADzAAAAkwUAAAAA&#10;">
              <v:textbox>
                <w:txbxContent>
                  <w:p w14:paraId="48CD4829" w14:textId="77777777" w:rsidR="00555C2A" w:rsidRDefault="00555C2A" w:rsidP="00555C2A">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7F8D"/>
    <w:rsid w:val="000213B5"/>
    <w:rsid w:val="00022A3D"/>
    <w:rsid w:val="00025839"/>
    <w:rsid w:val="000429DB"/>
    <w:rsid w:val="000451DD"/>
    <w:rsid w:val="00046574"/>
    <w:rsid w:val="000501BE"/>
    <w:rsid w:val="000510BD"/>
    <w:rsid w:val="00051F13"/>
    <w:rsid w:val="000607F6"/>
    <w:rsid w:val="00077067"/>
    <w:rsid w:val="000802F9"/>
    <w:rsid w:val="000A0137"/>
    <w:rsid w:val="000A2695"/>
    <w:rsid w:val="000A30AF"/>
    <w:rsid w:val="000A75CF"/>
    <w:rsid w:val="000B09F3"/>
    <w:rsid w:val="000B4F01"/>
    <w:rsid w:val="000B7918"/>
    <w:rsid w:val="000D5BBC"/>
    <w:rsid w:val="000E689C"/>
    <w:rsid w:val="000F774F"/>
    <w:rsid w:val="001217D0"/>
    <w:rsid w:val="00124111"/>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D6088"/>
    <w:rsid w:val="001E294D"/>
    <w:rsid w:val="001E382B"/>
    <w:rsid w:val="001E57CA"/>
    <w:rsid w:val="001E5AF1"/>
    <w:rsid w:val="001F321F"/>
    <w:rsid w:val="002031AF"/>
    <w:rsid w:val="002076A8"/>
    <w:rsid w:val="002146CF"/>
    <w:rsid w:val="00217C56"/>
    <w:rsid w:val="00221F75"/>
    <w:rsid w:val="00254463"/>
    <w:rsid w:val="0025463B"/>
    <w:rsid w:val="002743B5"/>
    <w:rsid w:val="0028014E"/>
    <w:rsid w:val="0028019C"/>
    <w:rsid w:val="00282970"/>
    <w:rsid w:val="00286CA4"/>
    <w:rsid w:val="002901A1"/>
    <w:rsid w:val="0029490C"/>
    <w:rsid w:val="002B3AB9"/>
    <w:rsid w:val="002C2317"/>
    <w:rsid w:val="002C5092"/>
    <w:rsid w:val="00302FD0"/>
    <w:rsid w:val="00304279"/>
    <w:rsid w:val="003166ED"/>
    <w:rsid w:val="003202F3"/>
    <w:rsid w:val="00331BD9"/>
    <w:rsid w:val="00352A14"/>
    <w:rsid w:val="00356466"/>
    <w:rsid w:val="003858AA"/>
    <w:rsid w:val="003858E2"/>
    <w:rsid w:val="00394B9F"/>
    <w:rsid w:val="0039522E"/>
    <w:rsid w:val="003A0F00"/>
    <w:rsid w:val="003A1408"/>
    <w:rsid w:val="003A7580"/>
    <w:rsid w:val="003B218B"/>
    <w:rsid w:val="003B6D0C"/>
    <w:rsid w:val="003B71DF"/>
    <w:rsid w:val="003C3330"/>
    <w:rsid w:val="003C74F1"/>
    <w:rsid w:val="003D0754"/>
    <w:rsid w:val="003D4270"/>
    <w:rsid w:val="003E08C9"/>
    <w:rsid w:val="003E196E"/>
    <w:rsid w:val="003E2089"/>
    <w:rsid w:val="003E3732"/>
    <w:rsid w:val="004015FF"/>
    <w:rsid w:val="0041288B"/>
    <w:rsid w:val="004140E0"/>
    <w:rsid w:val="0041661F"/>
    <w:rsid w:val="0044143A"/>
    <w:rsid w:val="00450F4F"/>
    <w:rsid w:val="00452662"/>
    <w:rsid w:val="004543E0"/>
    <w:rsid w:val="00471A59"/>
    <w:rsid w:val="004922E9"/>
    <w:rsid w:val="0049671F"/>
    <w:rsid w:val="004A2E31"/>
    <w:rsid w:val="004B14AA"/>
    <w:rsid w:val="004C4514"/>
    <w:rsid w:val="004C70FA"/>
    <w:rsid w:val="004D6471"/>
    <w:rsid w:val="004E6F16"/>
    <w:rsid w:val="004F08B7"/>
    <w:rsid w:val="004F4791"/>
    <w:rsid w:val="004F638E"/>
    <w:rsid w:val="00511112"/>
    <w:rsid w:val="00516272"/>
    <w:rsid w:val="0051797B"/>
    <w:rsid w:val="00520EB3"/>
    <w:rsid w:val="00535D60"/>
    <w:rsid w:val="00552029"/>
    <w:rsid w:val="00555C2A"/>
    <w:rsid w:val="00555E26"/>
    <w:rsid w:val="00556011"/>
    <w:rsid w:val="005666BA"/>
    <w:rsid w:val="00570D25"/>
    <w:rsid w:val="0057251E"/>
    <w:rsid w:val="0058238C"/>
    <w:rsid w:val="005901D1"/>
    <w:rsid w:val="0059292E"/>
    <w:rsid w:val="00592E7A"/>
    <w:rsid w:val="005A1DA5"/>
    <w:rsid w:val="005A5EE2"/>
    <w:rsid w:val="005B19D7"/>
    <w:rsid w:val="005C37EE"/>
    <w:rsid w:val="005C6E5A"/>
    <w:rsid w:val="005D55DB"/>
    <w:rsid w:val="005E230C"/>
    <w:rsid w:val="005F65DB"/>
    <w:rsid w:val="005F6B3F"/>
    <w:rsid w:val="006042A6"/>
    <w:rsid w:val="00612DF2"/>
    <w:rsid w:val="00612E24"/>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700293"/>
    <w:rsid w:val="00710383"/>
    <w:rsid w:val="007220A8"/>
    <w:rsid w:val="00734CC5"/>
    <w:rsid w:val="00744C47"/>
    <w:rsid w:val="00746A4B"/>
    <w:rsid w:val="007529A5"/>
    <w:rsid w:val="00755D73"/>
    <w:rsid w:val="007664FA"/>
    <w:rsid w:val="007803ED"/>
    <w:rsid w:val="00781F5F"/>
    <w:rsid w:val="00786C82"/>
    <w:rsid w:val="0079562B"/>
    <w:rsid w:val="007A4BC5"/>
    <w:rsid w:val="007A749A"/>
    <w:rsid w:val="007B0078"/>
    <w:rsid w:val="007C2537"/>
    <w:rsid w:val="007C25A4"/>
    <w:rsid w:val="007D2C57"/>
    <w:rsid w:val="007E73B7"/>
    <w:rsid w:val="007F393B"/>
    <w:rsid w:val="00823D7B"/>
    <w:rsid w:val="008442E1"/>
    <w:rsid w:val="00845625"/>
    <w:rsid w:val="00847815"/>
    <w:rsid w:val="00852518"/>
    <w:rsid w:val="00855E38"/>
    <w:rsid w:val="0086057A"/>
    <w:rsid w:val="00873728"/>
    <w:rsid w:val="00876B4A"/>
    <w:rsid w:val="0089415A"/>
    <w:rsid w:val="008A1649"/>
    <w:rsid w:val="008A4E45"/>
    <w:rsid w:val="008B37A9"/>
    <w:rsid w:val="008B423A"/>
    <w:rsid w:val="008B6E8B"/>
    <w:rsid w:val="008C65DF"/>
    <w:rsid w:val="008D005F"/>
    <w:rsid w:val="008F03AE"/>
    <w:rsid w:val="00900625"/>
    <w:rsid w:val="00906E1E"/>
    <w:rsid w:val="00907B40"/>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A24E4"/>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204DD"/>
    <w:rsid w:val="00B36B7F"/>
    <w:rsid w:val="00B37299"/>
    <w:rsid w:val="00B42A87"/>
    <w:rsid w:val="00B45A99"/>
    <w:rsid w:val="00B55A86"/>
    <w:rsid w:val="00B64F2B"/>
    <w:rsid w:val="00B70FC2"/>
    <w:rsid w:val="00B774E6"/>
    <w:rsid w:val="00B84530"/>
    <w:rsid w:val="00B94A85"/>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5510"/>
    <w:rsid w:val="00C6654D"/>
    <w:rsid w:val="00C66C18"/>
    <w:rsid w:val="00C67FC7"/>
    <w:rsid w:val="00C715E1"/>
    <w:rsid w:val="00C72246"/>
    <w:rsid w:val="00C80EAA"/>
    <w:rsid w:val="00C95CF2"/>
    <w:rsid w:val="00C97157"/>
    <w:rsid w:val="00C971B7"/>
    <w:rsid w:val="00CA5528"/>
    <w:rsid w:val="00CB17A6"/>
    <w:rsid w:val="00CC7332"/>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B2C1E"/>
    <w:rsid w:val="00DC1873"/>
    <w:rsid w:val="00DC38B8"/>
    <w:rsid w:val="00DC6B8F"/>
    <w:rsid w:val="00DD2C32"/>
    <w:rsid w:val="00DE1928"/>
    <w:rsid w:val="00DE5543"/>
    <w:rsid w:val="00E076BB"/>
    <w:rsid w:val="00E16427"/>
    <w:rsid w:val="00E3495D"/>
    <w:rsid w:val="00E4007C"/>
    <w:rsid w:val="00E4496F"/>
    <w:rsid w:val="00E5391E"/>
    <w:rsid w:val="00E54166"/>
    <w:rsid w:val="00E66467"/>
    <w:rsid w:val="00E720B2"/>
    <w:rsid w:val="00E73EB2"/>
    <w:rsid w:val="00E87191"/>
    <w:rsid w:val="00EA7FB3"/>
    <w:rsid w:val="00EB234F"/>
    <w:rsid w:val="00EB48B4"/>
    <w:rsid w:val="00EE0507"/>
    <w:rsid w:val="00EE220A"/>
    <w:rsid w:val="00EE5DF0"/>
    <w:rsid w:val="00EF0A3A"/>
    <w:rsid w:val="00EF1670"/>
    <w:rsid w:val="00EF4FF0"/>
    <w:rsid w:val="00F14965"/>
    <w:rsid w:val="00F1640B"/>
    <w:rsid w:val="00F16BBC"/>
    <w:rsid w:val="00F16DA3"/>
    <w:rsid w:val="00F46AB8"/>
    <w:rsid w:val="00F500C3"/>
    <w:rsid w:val="00F517A5"/>
    <w:rsid w:val="00F54DF3"/>
    <w:rsid w:val="00F56D77"/>
    <w:rsid w:val="00F61833"/>
    <w:rsid w:val="00F71DEC"/>
    <w:rsid w:val="00F82CC5"/>
    <w:rsid w:val="00FA583E"/>
    <w:rsid w:val="00FA5F9A"/>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145B5"/>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2DC94-8C09-4ADF-8D99-737201C2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1348</TotalTime>
  <Pages>6</Pages>
  <Words>2482</Words>
  <Characters>13651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295</cp:revision>
  <cp:lastPrinted>2022-10-06T20:53:00Z</cp:lastPrinted>
  <dcterms:created xsi:type="dcterms:W3CDTF">2018-05-14T18:33:00Z</dcterms:created>
  <dcterms:modified xsi:type="dcterms:W3CDTF">2022-10-06T20:53:00Z</dcterms:modified>
</cp:coreProperties>
</file>