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653" w:rsidRPr="007B0581" w:rsidRDefault="003B5653" w:rsidP="003B5653">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3B5653" w:rsidRPr="007B0581" w:rsidRDefault="003B5653" w:rsidP="003B5653">
      <w:pPr>
        <w:pStyle w:val="corte4fondo"/>
        <w:spacing w:line="276" w:lineRule="auto"/>
        <w:ind w:left="3544" w:right="-521" w:firstLine="0"/>
        <w:rPr>
          <w:rFonts w:cs="Arial"/>
          <w:b/>
          <w:sz w:val="24"/>
          <w:szCs w:val="24"/>
        </w:rPr>
      </w:pPr>
    </w:p>
    <w:p w:rsidR="003B5653" w:rsidRPr="007B0581" w:rsidRDefault="003B5653" w:rsidP="003B5653">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135</w:t>
      </w:r>
      <w:r w:rsidRPr="007B0581">
        <w:rPr>
          <w:rFonts w:cs="Arial"/>
          <w:b/>
          <w:bCs/>
          <w:sz w:val="24"/>
          <w:szCs w:val="24"/>
        </w:rPr>
        <w:t>/20</w:t>
      </w:r>
      <w:r>
        <w:rPr>
          <w:rFonts w:cs="Arial"/>
          <w:b/>
          <w:bCs/>
          <w:sz w:val="24"/>
          <w:szCs w:val="24"/>
        </w:rPr>
        <w:t>19</w:t>
      </w:r>
      <w:r w:rsidRPr="007B0581">
        <w:rPr>
          <w:rFonts w:cs="Arial"/>
          <w:sz w:val="24"/>
          <w:szCs w:val="24"/>
        </w:rPr>
        <w:t xml:space="preserve">. </w:t>
      </w:r>
    </w:p>
    <w:p w:rsidR="003B5653" w:rsidRPr="007B0581" w:rsidRDefault="003B5653" w:rsidP="003B5653">
      <w:pPr>
        <w:pStyle w:val="corte4fondo"/>
        <w:spacing w:line="276" w:lineRule="auto"/>
        <w:ind w:left="3544" w:right="-521" w:firstLine="0"/>
        <w:rPr>
          <w:rFonts w:cs="Arial"/>
          <w:sz w:val="24"/>
          <w:szCs w:val="24"/>
        </w:rPr>
      </w:pPr>
    </w:p>
    <w:p w:rsidR="003B5653" w:rsidRPr="007B0581" w:rsidRDefault="003B5653" w:rsidP="003B5653">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3B5653" w:rsidRPr="007B0581" w:rsidRDefault="003B5653" w:rsidP="003B5653">
      <w:pPr>
        <w:pStyle w:val="corte4fondo"/>
        <w:spacing w:line="276" w:lineRule="auto"/>
        <w:ind w:left="3544" w:right="-521" w:firstLine="0"/>
        <w:rPr>
          <w:rFonts w:cs="Arial"/>
          <w:b/>
          <w:i/>
          <w:sz w:val="24"/>
          <w:szCs w:val="24"/>
        </w:rPr>
      </w:pPr>
      <w:r w:rsidRPr="007B0581">
        <w:rPr>
          <w:rFonts w:cs="Arial"/>
          <w:b/>
          <w:i/>
          <w:sz w:val="24"/>
          <w:szCs w:val="24"/>
        </w:rPr>
        <w:t xml:space="preserve"> </w:t>
      </w:r>
    </w:p>
    <w:p w:rsidR="003B5653" w:rsidRPr="007B0581" w:rsidRDefault="003B5653" w:rsidP="003B5653">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SECRETARÍA DE MOVILIDAD, SECRETARIO DE SEGURIDAD PÚBLICA, DIRECTOR GENERAL DE LA POLICÍA VIAL DEL ESTADO DE OAXACA, COMISIONADO DE LA POLICÍA ESTATAL Y DELEGADO DE LA POLICÍA VIAL ESTATAL DE ACATLÁN DE PÉREZ FIGUEROA DE SAN JUAN BAUTISTA TUXTEPEC</w:t>
      </w:r>
      <w:r w:rsidRPr="007B0581">
        <w:rPr>
          <w:rFonts w:cs="Arial"/>
          <w:bCs/>
          <w:sz w:val="24"/>
          <w:szCs w:val="24"/>
        </w:rPr>
        <w:t>.</w:t>
      </w:r>
    </w:p>
    <w:p w:rsidR="003B5653" w:rsidRPr="007B0581" w:rsidRDefault="003B5653" w:rsidP="003B5653">
      <w:pPr>
        <w:pStyle w:val="corte4fondo"/>
        <w:spacing w:line="276" w:lineRule="auto"/>
        <w:ind w:left="3544" w:right="51" w:firstLine="0"/>
        <w:rPr>
          <w:rFonts w:cs="Arial"/>
          <w:bCs/>
          <w:sz w:val="24"/>
          <w:szCs w:val="24"/>
        </w:rPr>
      </w:pPr>
    </w:p>
    <w:p w:rsidR="003B5653" w:rsidRPr="007B0581" w:rsidRDefault="003B5653" w:rsidP="003B5653">
      <w:pPr>
        <w:pStyle w:val="corte4fondo"/>
        <w:spacing w:line="276" w:lineRule="auto"/>
        <w:ind w:left="3544" w:right="51" w:firstLine="0"/>
        <w:rPr>
          <w:rFonts w:cs="Arial"/>
          <w:bCs/>
          <w:sz w:val="24"/>
          <w:szCs w:val="24"/>
        </w:rPr>
      </w:pPr>
    </w:p>
    <w:p w:rsidR="003B5653" w:rsidRDefault="003B5653" w:rsidP="003B5653">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DIECISIETE DE AGOSTO</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3B5653" w:rsidRDefault="003B5653" w:rsidP="003B5653">
      <w:pPr>
        <w:spacing w:line="360" w:lineRule="auto"/>
        <w:jc w:val="both"/>
        <w:rPr>
          <w:rFonts w:ascii="Arial" w:hAnsi="Arial" w:cs="Arial"/>
          <w:b/>
          <w:sz w:val="24"/>
          <w:szCs w:val="24"/>
        </w:rPr>
      </w:pPr>
      <w:r w:rsidRPr="007B0581">
        <w:rPr>
          <w:rFonts w:ascii="Arial" w:hAnsi="Arial" w:cs="Arial"/>
          <w:b/>
          <w:sz w:val="24"/>
          <w:szCs w:val="24"/>
        </w:rPr>
        <w:t xml:space="preserve"> </w:t>
      </w:r>
    </w:p>
    <w:p w:rsidR="003B5653" w:rsidRPr="007B0581" w:rsidRDefault="003B5653" w:rsidP="003B5653">
      <w:pPr>
        <w:contextualSpacing/>
        <w:jc w:val="both"/>
        <w:rPr>
          <w:rFonts w:ascii="Arial" w:hAnsi="Arial" w:cs="Arial"/>
          <w:b/>
          <w:sz w:val="24"/>
          <w:szCs w:val="24"/>
        </w:rPr>
      </w:pPr>
    </w:p>
    <w:p w:rsidR="003B5653" w:rsidRDefault="003B5653" w:rsidP="003B5653">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0135</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w:t>
      </w:r>
      <w:r>
        <w:rPr>
          <w:rFonts w:ascii="Arial" w:hAnsi="Arial" w:cs="Arial"/>
          <w:sz w:val="24"/>
          <w:szCs w:val="24"/>
        </w:rPr>
        <w:t xml:space="preserve"> de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ocho de octubre de dos mil diecinueve emitido por el </w:t>
      </w:r>
      <w:r w:rsidRPr="00BA3D0F">
        <w:rPr>
          <w:rFonts w:ascii="Arial" w:hAnsi="Arial" w:cs="Arial"/>
          <w:b/>
          <w:bCs/>
          <w:sz w:val="24"/>
          <w:szCs w:val="24"/>
        </w:rPr>
        <w:t>Director de Concesiones de la Secretaría de Movilidad del Estado de Oaxaca</w:t>
      </w:r>
      <w:r>
        <w:rPr>
          <w:rFonts w:ascii="Arial" w:hAnsi="Arial" w:cs="Arial"/>
          <w:sz w:val="24"/>
          <w:szCs w:val="24"/>
        </w:rPr>
        <w:t xml:space="preserve">, así como en contra de la </w:t>
      </w:r>
      <w:r w:rsidRPr="005F0047">
        <w:rPr>
          <w:rFonts w:ascii="Arial" w:hAnsi="Arial" w:cs="Arial"/>
          <w:b/>
          <w:bCs/>
          <w:sz w:val="24"/>
          <w:szCs w:val="24"/>
        </w:rPr>
        <w:t>Secretaría de Movilidad</w:t>
      </w:r>
      <w:r>
        <w:rPr>
          <w:rFonts w:ascii="Arial" w:hAnsi="Arial" w:cs="Arial"/>
          <w:b/>
          <w:bCs/>
          <w:sz w:val="24"/>
          <w:szCs w:val="24"/>
        </w:rPr>
        <w:t xml:space="preserve"> en el Estado de Oaxaca</w:t>
      </w:r>
      <w:r w:rsidRPr="005F0047">
        <w:rPr>
          <w:rFonts w:ascii="Arial" w:hAnsi="Arial" w:cs="Arial"/>
          <w:b/>
          <w:bCs/>
          <w:sz w:val="24"/>
          <w:szCs w:val="24"/>
        </w:rPr>
        <w:t xml:space="preserve">, Secretario de Seguridad Pública, Director </w:t>
      </w:r>
      <w:r>
        <w:rPr>
          <w:rFonts w:ascii="Arial" w:hAnsi="Arial" w:cs="Arial"/>
          <w:b/>
          <w:bCs/>
          <w:sz w:val="24"/>
          <w:szCs w:val="24"/>
        </w:rPr>
        <w:t xml:space="preserve">General </w:t>
      </w:r>
      <w:r w:rsidRPr="005F0047">
        <w:rPr>
          <w:rFonts w:ascii="Arial" w:hAnsi="Arial" w:cs="Arial"/>
          <w:b/>
          <w:bCs/>
          <w:sz w:val="24"/>
          <w:szCs w:val="24"/>
        </w:rPr>
        <w:t>de la Policía Vial del Estado de Oaxaca, Comisionado de la Policía Estatal y Delegado de la Policía Vial Estatal de Acatlán de Pérez Figueroa de San Juan Bautista Tuxtepec</w:t>
      </w:r>
      <w:bookmarkStart w:id="0" w:name="_Hlk84505151"/>
      <w:r>
        <w:rPr>
          <w:rFonts w:ascii="Arial" w:hAnsi="Arial" w:cs="Arial"/>
          <w:b/>
          <w:bCs/>
          <w:sz w:val="24"/>
          <w:szCs w:val="24"/>
        </w:rPr>
        <w:t>, Oaxaca</w:t>
      </w:r>
      <w:r w:rsidRPr="007B0581">
        <w:rPr>
          <w:rFonts w:ascii="Arial" w:hAnsi="Arial" w:cs="Arial"/>
          <w:sz w:val="24"/>
          <w:szCs w:val="24"/>
        </w:rPr>
        <w:t>, y;</w:t>
      </w:r>
      <w:r w:rsidRPr="007B0581">
        <w:rPr>
          <w:rFonts w:ascii="Arial" w:hAnsi="Arial" w:cs="Arial"/>
          <w:b/>
          <w:bCs/>
          <w:sz w:val="24"/>
          <w:szCs w:val="24"/>
        </w:rPr>
        <w:t xml:space="preserve"> </w:t>
      </w:r>
    </w:p>
    <w:p w:rsidR="003B5653" w:rsidRDefault="003B5653" w:rsidP="003B5653">
      <w:pPr>
        <w:spacing w:line="360" w:lineRule="auto"/>
        <w:jc w:val="both"/>
        <w:rPr>
          <w:rFonts w:ascii="Arial" w:hAnsi="Arial" w:cs="Arial"/>
          <w:b/>
          <w:bCs/>
          <w:sz w:val="24"/>
          <w:szCs w:val="24"/>
        </w:rPr>
      </w:pPr>
    </w:p>
    <w:p w:rsidR="003B5653" w:rsidRPr="007B0581" w:rsidRDefault="003B5653" w:rsidP="003B5653">
      <w:pPr>
        <w:spacing w:line="360" w:lineRule="auto"/>
        <w:jc w:val="both"/>
        <w:rPr>
          <w:rFonts w:ascii="Arial" w:hAnsi="Arial" w:cs="Arial"/>
          <w:b/>
          <w:bCs/>
          <w:sz w:val="24"/>
          <w:szCs w:val="24"/>
        </w:rPr>
      </w:pPr>
    </w:p>
    <w:bookmarkEnd w:id="0"/>
    <w:p w:rsidR="003B5653" w:rsidRPr="007B0581" w:rsidRDefault="003B5653" w:rsidP="003B5653">
      <w:pPr>
        <w:contextualSpacing/>
        <w:jc w:val="both"/>
        <w:rPr>
          <w:rFonts w:ascii="Arial" w:hAnsi="Arial" w:cs="Arial"/>
          <w:sz w:val="24"/>
          <w:szCs w:val="24"/>
        </w:rPr>
      </w:pPr>
    </w:p>
    <w:p w:rsidR="003B5653" w:rsidRDefault="003B5653" w:rsidP="003B5653">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3B5653" w:rsidRPr="007B0581" w:rsidRDefault="003B5653" w:rsidP="003B5653">
      <w:pPr>
        <w:spacing w:line="360" w:lineRule="auto"/>
        <w:ind w:firstLine="708"/>
        <w:jc w:val="center"/>
        <w:rPr>
          <w:rFonts w:ascii="Arial" w:hAnsi="Arial" w:cs="Arial"/>
          <w:b/>
          <w:spacing w:val="-3"/>
          <w:sz w:val="24"/>
          <w:szCs w:val="24"/>
          <w:lang w:val="es-ES_tradnl"/>
        </w:rPr>
      </w:pPr>
    </w:p>
    <w:p w:rsidR="003B5653" w:rsidRPr="007B0581" w:rsidRDefault="003B5653" w:rsidP="003B5653">
      <w:pPr>
        <w:contextualSpacing/>
        <w:jc w:val="both"/>
        <w:rPr>
          <w:rFonts w:ascii="Arial" w:hAnsi="Arial" w:cs="Arial"/>
          <w:b/>
          <w:spacing w:val="-3"/>
          <w:sz w:val="24"/>
          <w:szCs w:val="24"/>
          <w:lang w:val="es-ES_tradnl"/>
        </w:rPr>
      </w:pPr>
    </w:p>
    <w:p w:rsidR="003B5653" w:rsidRDefault="003B5653" w:rsidP="003B5653">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catorce de noviembre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w:t>
      </w:r>
      <w:bookmarkStart w:id="1" w:name="_Hlk83725409"/>
      <w:r>
        <w:rPr>
          <w:rFonts w:ascii="Arial" w:hAnsi="Arial" w:cs="Arial"/>
          <w:sz w:val="24"/>
          <w:szCs w:val="24"/>
        </w:rPr>
        <w:t xml:space="preserve">de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ocho de octubre de dos mil diecinueve emitido por el </w:t>
      </w:r>
      <w:r w:rsidRPr="0034223A">
        <w:rPr>
          <w:rFonts w:ascii="Arial" w:hAnsi="Arial" w:cs="Arial"/>
          <w:sz w:val="24"/>
          <w:szCs w:val="24"/>
        </w:rPr>
        <w:t>Director de Concesiones de la Secretaría de Movilidad del Estado de Oaxaca</w:t>
      </w:r>
      <w:r>
        <w:rPr>
          <w:rFonts w:ascii="Arial" w:hAnsi="Arial" w:cs="Arial"/>
          <w:sz w:val="24"/>
          <w:szCs w:val="24"/>
        </w:rPr>
        <w:t xml:space="preserve">, así como en contra de la </w:t>
      </w:r>
      <w:r w:rsidRPr="0034223A">
        <w:rPr>
          <w:rFonts w:ascii="Arial" w:hAnsi="Arial" w:cs="Arial"/>
          <w:sz w:val="24"/>
          <w:szCs w:val="24"/>
        </w:rPr>
        <w:t>Secretaría de Movilidad en el Estado de Oaxaca,</w:t>
      </w:r>
      <w:r w:rsidRPr="005F0047">
        <w:rPr>
          <w:rFonts w:ascii="Arial" w:hAnsi="Arial" w:cs="Arial"/>
          <w:b/>
          <w:bCs/>
          <w:sz w:val="24"/>
          <w:szCs w:val="24"/>
        </w:rPr>
        <w:t xml:space="preserve"> </w:t>
      </w:r>
      <w:r w:rsidRPr="0034223A">
        <w:rPr>
          <w:rFonts w:ascii="Arial" w:hAnsi="Arial" w:cs="Arial"/>
          <w:sz w:val="24"/>
          <w:szCs w:val="24"/>
        </w:rPr>
        <w:t xml:space="preserve">Secretario de Seguridad Pública, Director General de la Policía Vial del Estado de </w:t>
      </w:r>
      <w:r w:rsidRPr="0034223A">
        <w:rPr>
          <w:rFonts w:ascii="Arial" w:hAnsi="Arial" w:cs="Arial"/>
          <w:sz w:val="24"/>
          <w:szCs w:val="24"/>
        </w:rPr>
        <w:lastRenderedPageBreak/>
        <w:t>Oaxaca,</w:t>
      </w:r>
      <w:r w:rsidRPr="005F0047">
        <w:rPr>
          <w:rFonts w:ascii="Arial" w:hAnsi="Arial" w:cs="Arial"/>
          <w:b/>
          <w:bCs/>
          <w:sz w:val="24"/>
          <w:szCs w:val="24"/>
        </w:rPr>
        <w:t xml:space="preserve"> </w:t>
      </w:r>
      <w:r w:rsidRPr="0034223A">
        <w:rPr>
          <w:rFonts w:ascii="Arial" w:hAnsi="Arial" w:cs="Arial"/>
          <w:sz w:val="24"/>
          <w:szCs w:val="24"/>
        </w:rPr>
        <w:t>Comisionado de la Policía Estatal y Delegado de la Policía Vial Estatal de Acatlán de Pérez Figueroa de San Juan Bautista Tuxtepec, Oaxaca.</w:t>
      </w:r>
      <w:r w:rsidRPr="007B0581">
        <w:rPr>
          <w:rFonts w:ascii="Arial" w:hAnsi="Arial" w:cs="Arial"/>
          <w:sz w:val="24"/>
          <w:szCs w:val="24"/>
        </w:rPr>
        <w:t xml:space="preserve"> </w:t>
      </w:r>
    </w:p>
    <w:p w:rsidR="003B5653" w:rsidRPr="007B0581" w:rsidRDefault="003B5653" w:rsidP="003B5653">
      <w:pPr>
        <w:spacing w:line="360" w:lineRule="auto"/>
        <w:jc w:val="both"/>
        <w:rPr>
          <w:rFonts w:ascii="Arial" w:hAnsi="Arial" w:cs="Arial"/>
          <w:sz w:val="24"/>
          <w:szCs w:val="24"/>
        </w:rPr>
      </w:pPr>
    </w:p>
    <w:bookmarkEnd w:id="1"/>
    <w:p w:rsidR="003B5653" w:rsidRDefault="003B5653" w:rsidP="003B5653">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Por</w:t>
      </w:r>
      <w:r>
        <w:rPr>
          <w:rFonts w:ascii="Arial" w:hAnsi="Arial" w:cs="Arial"/>
          <w:sz w:val="24"/>
          <w:szCs w:val="24"/>
        </w:rPr>
        <w:t xml:space="preserve"> acuerdo de veinticinco de noviembre de dos mil diecinueve, se requirió al actor para que en el plazo de tres días hábiles señalara los actos atribuidos a la autoridad demandada Secretaría de Movilidad en el Estado de Oaxaca, en su caso los exhibiera y formulara conceptos de impugnación.</w:t>
      </w:r>
    </w:p>
    <w:p w:rsidR="003B5653" w:rsidRDefault="003B5653" w:rsidP="003B5653">
      <w:pPr>
        <w:spacing w:line="360" w:lineRule="auto"/>
        <w:ind w:firstLine="567"/>
        <w:jc w:val="both"/>
        <w:rPr>
          <w:rFonts w:ascii="Arial" w:hAnsi="Arial" w:cs="Arial"/>
          <w:sz w:val="24"/>
          <w:szCs w:val="24"/>
        </w:rPr>
      </w:pPr>
    </w:p>
    <w:p w:rsidR="003B5653" w:rsidRPr="007B0581" w:rsidRDefault="003B5653" w:rsidP="003B5653">
      <w:pPr>
        <w:spacing w:line="360" w:lineRule="auto"/>
        <w:ind w:firstLine="567"/>
        <w:jc w:val="both"/>
        <w:rPr>
          <w:rFonts w:ascii="Arial" w:hAnsi="Arial" w:cs="Arial"/>
          <w:sz w:val="24"/>
          <w:szCs w:val="24"/>
        </w:rPr>
      </w:pPr>
      <w:r w:rsidRPr="00B079B0">
        <w:rPr>
          <w:rFonts w:ascii="Arial" w:hAnsi="Arial" w:cs="Arial"/>
          <w:b/>
          <w:bCs/>
          <w:sz w:val="24"/>
          <w:szCs w:val="24"/>
        </w:rPr>
        <w:t xml:space="preserve">TERCERO. </w:t>
      </w:r>
      <w:r>
        <w:rPr>
          <w:rFonts w:ascii="Arial" w:hAnsi="Arial" w:cs="Arial"/>
          <w:b/>
          <w:bCs/>
          <w:sz w:val="24"/>
          <w:szCs w:val="24"/>
        </w:rPr>
        <w:t>-</w:t>
      </w:r>
      <w:r>
        <w:rPr>
          <w:rFonts w:ascii="Arial" w:hAnsi="Arial" w:cs="Arial"/>
          <w:sz w:val="24"/>
          <w:szCs w:val="24"/>
        </w:rPr>
        <w:t xml:space="preserve"> Por acuerdo de diecisiete de enero de dos mil veinte, se tuvo al actor dando cumplimiento al requerimiento efectuado mediante proveído de veinticinco de noviembre de dos mil diecinueve; asimismo, </w:t>
      </w:r>
      <w:r w:rsidRPr="007B0581">
        <w:rPr>
          <w:rFonts w:ascii="Arial" w:hAnsi="Arial" w:cs="Arial"/>
          <w:sz w:val="24"/>
          <w:szCs w:val="24"/>
        </w:rPr>
        <w:t>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w:t>
      </w:r>
      <w:r>
        <w:rPr>
          <w:rFonts w:ascii="Arial" w:hAnsi="Arial" w:cs="Arial"/>
          <w:sz w:val="24"/>
          <w:szCs w:val="24"/>
        </w:rPr>
        <w:t>; así también se formó por cuerda separada cuaderno de suspensión</w:t>
      </w:r>
      <w:r w:rsidRPr="007B0581">
        <w:rPr>
          <w:rFonts w:ascii="Arial" w:hAnsi="Arial" w:cs="Arial"/>
          <w:sz w:val="24"/>
          <w:szCs w:val="24"/>
        </w:rPr>
        <w:t xml:space="preserve">. </w:t>
      </w:r>
    </w:p>
    <w:p w:rsidR="003B5653" w:rsidRPr="007B0581" w:rsidRDefault="003B5653" w:rsidP="003B5653">
      <w:pPr>
        <w:pStyle w:val="corte4fondo"/>
        <w:spacing w:line="240" w:lineRule="auto"/>
        <w:ind w:right="51" w:firstLine="567"/>
        <w:contextualSpacing/>
        <w:rPr>
          <w:rFonts w:cs="Arial"/>
          <w:bCs/>
          <w:sz w:val="24"/>
          <w:szCs w:val="24"/>
        </w:rPr>
      </w:pPr>
      <w:r w:rsidRPr="007B0581">
        <w:rPr>
          <w:rFonts w:cs="Arial"/>
          <w:bCs/>
          <w:sz w:val="24"/>
          <w:szCs w:val="24"/>
        </w:rPr>
        <w:tab/>
      </w:r>
    </w:p>
    <w:p w:rsidR="003B5653" w:rsidRDefault="003B5653" w:rsidP="003B5653">
      <w:pPr>
        <w:pStyle w:val="corte4fondo"/>
        <w:ind w:right="51" w:firstLine="567"/>
        <w:rPr>
          <w:rFonts w:cs="Arial"/>
          <w:sz w:val="24"/>
          <w:szCs w:val="24"/>
        </w:rPr>
      </w:pPr>
      <w:r>
        <w:rPr>
          <w:rFonts w:cs="Arial"/>
          <w:b/>
          <w:bCs/>
          <w:sz w:val="24"/>
          <w:szCs w:val="24"/>
        </w:rPr>
        <w:t>CUARTO</w:t>
      </w:r>
      <w:r w:rsidRPr="007B0581">
        <w:rPr>
          <w:rFonts w:cs="Arial"/>
          <w:bCs/>
          <w:sz w:val="24"/>
          <w:szCs w:val="24"/>
        </w:rPr>
        <w:t xml:space="preserve">. - Por acuerdo de </w:t>
      </w:r>
      <w:r>
        <w:rPr>
          <w:rFonts w:cs="Arial"/>
          <w:bCs/>
          <w:sz w:val="24"/>
          <w:szCs w:val="24"/>
        </w:rPr>
        <w:t>trece de marzo de dos mil veinte</w:t>
      </w:r>
      <w:r w:rsidRPr="007B0581">
        <w:rPr>
          <w:rFonts w:cs="Arial"/>
          <w:bCs/>
          <w:sz w:val="24"/>
          <w:szCs w:val="24"/>
        </w:rPr>
        <w:t>, se tuvo</w:t>
      </w:r>
      <w:r>
        <w:rPr>
          <w:rFonts w:cs="Arial"/>
          <w:bCs/>
          <w:sz w:val="24"/>
          <w:szCs w:val="24"/>
        </w:rPr>
        <w:t xml:space="preserve"> a las autoridades demandadas dando contestación a la demanda,</w:t>
      </w:r>
      <w:r w:rsidRPr="007B0581">
        <w:rPr>
          <w:rFonts w:cs="Arial"/>
          <w:sz w:val="24"/>
          <w:szCs w:val="24"/>
        </w:rPr>
        <w:t xml:space="preserve"> </w:t>
      </w:r>
      <w:r>
        <w:rPr>
          <w:rFonts w:cs="Arial"/>
          <w:sz w:val="24"/>
          <w:szCs w:val="24"/>
        </w:rPr>
        <w:t xml:space="preserve">con excepción del Comisionado de la Policía Estatal, </w:t>
      </w:r>
      <w:r w:rsidRPr="007B0581">
        <w:rPr>
          <w:rFonts w:cs="Arial"/>
          <w:sz w:val="24"/>
          <w:szCs w:val="24"/>
        </w:rPr>
        <w:t>por acreditada la personalidad con la que comparec</w:t>
      </w:r>
      <w:r>
        <w:rPr>
          <w:rFonts w:cs="Arial"/>
          <w:sz w:val="24"/>
          <w:szCs w:val="24"/>
        </w:rPr>
        <w:t>ieron</w:t>
      </w:r>
      <w:r w:rsidRPr="007B0581">
        <w:rPr>
          <w:rFonts w:cs="Arial"/>
          <w:sz w:val="24"/>
          <w:szCs w:val="24"/>
        </w:rPr>
        <w:t xml:space="preserve">, haciendo valer sus </w:t>
      </w:r>
      <w:r>
        <w:rPr>
          <w:rFonts w:cs="Arial"/>
          <w:sz w:val="24"/>
          <w:szCs w:val="24"/>
        </w:rPr>
        <w:t>argumentos y</w:t>
      </w:r>
      <w:r w:rsidRPr="007B0581">
        <w:rPr>
          <w:rFonts w:cs="Arial"/>
          <w:sz w:val="24"/>
          <w:szCs w:val="24"/>
        </w:rPr>
        <w:t xml:space="preserve"> defensas y por </w:t>
      </w:r>
      <w:r>
        <w:rPr>
          <w:rFonts w:cs="Arial"/>
          <w:sz w:val="24"/>
          <w:szCs w:val="24"/>
        </w:rPr>
        <w:t>ofrecidas</w:t>
      </w:r>
      <w:r w:rsidRPr="007B0581">
        <w:rPr>
          <w:rFonts w:cs="Arial"/>
          <w:sz w:val="24"/>
          <w:szCs w:val="24"/>
        </w:rPr>
        <w:t xml:space="preserve"> las pruebas,</w:t>
      </w:r>
      <w:r>
        <w:rPr>
          <w:rFonts w:cs="Arial"/>
          <w:sz w:val="24"/>
          <w:szCs w:val="24"/>
        </w:rPr>
        <w:t xml:space="preserve"> </w:t>
      </w:r>
      <w:r w:rsidRPr="007B0581">
        <w:rPr>
          <w:rFonts w:cs="Arial"/>
          <w:sz w:val="24"/>
          <w:szCs w:val="24"/>
        </w:rPr>
        <w:t>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w:t>
      </w:r>
    </w:p>
    <w:p w:rsidR="003B5653" w:rsidRDefault="003B5653" w:rsidP="003B5653">
      <w:pPr>
        <w:pStyle w:val="corte4fondo"/>
        <w:ind w:right="51" w:firstLine="567"/>
        <w:rPr>
          <w:rFonts w:cs="Arial"/>
          <w:sz w:val="24"/>
          <w:szCs w:val="24"/>
        </w:rPr>
      </w:pPr>
    </w:p>
    <w:p w:rsidR="003B5653" w:rsidRDefault="003B5653" w:rsidP="003B5653">
      <w:pPr>
        <w:pStyle w:val="corte4fondo"/>
        <w:ind w:right="51" w:firstLine="567"/>
        <w:rPr>
          <w:rFonts w:cs="Arial"/>
          <w:sz w:val="24"/>
          <w:szCs w:val="24"/>
        </w:rPr>
      </w:pPr>
      <w:r>
        <w:rPr>
          <w:rFonts w:cs="Arial"/>
          <w:b/>
          <w:bCs/>
          <w:sz w:val="24"/>
          <w:szCs w:val="24"/>
        </w:rPr>
        <w:t>QUINTO</w:t>
      </w:r>
      <w:r w:rsidRPr="007B0581">
        <w:rPr>
          <w:rFonts w:cs="Arial"/>
          <w:b/>
          <w:bCs/>
          <w:sz w:val="24"/>
          <w:szCs w:val="24"/>
        </w:rPr>
        <w:t xml:space="preserve">. </w:t>
      </w:r>
      <w:r>
        <w:rPr>
          <w:rFonts w:cs="Arial"/>
          <w:b/>
          <w:bCs/>
          <w:sz w:val="24"/>
          <w:szCs w:val="24"/>
        </w:rPr>
        <w:t xml:space="preserve">- </w:t>
      </w:r>
      <w:r w:rsidRPr="00F85D07">
        <w:rPr>
          <w:rFonts w:cs="Arial"/>
          <w:sz w:val="24"/>
          <w:szCs w:val="24"/>
        </w:rPr>
        <w:t>P</w:t>
      </w:r>
      <w:r>
        <w:rPr>
          <w:rFonts w:cs="Arial"/>
          <w:sz w:val="24"/>
          <w:szCs w:val="24"/>
        </w:rPr>
        <w:t xml:space="preserve">or acuerdo de dieciocho de septiembre de dos mil veinte, se tuvo al Director General de la Policía Vial Estatal de Oaxaca,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xml:space="preserve">, haciendo valer sus </w:t>
      </w:r>
      <w:r>
        <w:rPr>
          <w:rFonts w:cs="Arial"/>
          <w:sz w:val="24"/>
          <w:szCs w:val="24"/>
        </w:rPr>
        <w:t>argumentos y</w:t>
      </w:r>
      <w:r w:rsidRPr="007B0581">
        <w:rPr>
          <w:rFonts w:cs="Arial"/>
          <w:sz w:val="24"/>
          <w:szCs w:val="24"/>
        </w:rPr>
        <w:t xml:space="preserve"> defensas y por admitidas las pruebas ofrecidas,</w:t>
      </w:r>
      <w:r>
        <w:rPr>
          <w:rFonts w:cs="Arial"/>
          <w:sz w:val="24"/>
          <w:szCs w:val="24"/>
        </w:rPr>
        <w:t xml:space="preserve"> </w:t>
      </w:r>
      <w:r w:rsidRPr="007B0581">
        <w:rPr>
          <w:rFonts w:cs="Arial"/>
          <w:sz w:val="24"/>
          <w:szCs w:val="24"/>
        </w:rPr>
        <w:t>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Asimismo, se le tuvo objetando las pruebas de manera extemporánea.</w:t>
      </w:r>
    </w:p>
    <w:p w:rsidR="003B5653" w:rsidRDefault="003B5653" w:rsidP="003B5653">
      <w:pPr>
        <w:pStyle w:val="corte4fondo"/>
        <w:ind w:right="51" w:firstLine="567"/>
        <w:rPr>
          <w:rFonts w:cs="Arial"/>
          <w:sz w:val="24"/>
          <w:szCs w:val="24"/>
        </w:rPr>
      </w:pPr>
    </w:p>
    <w:p w:rsidR="003B5653" w:rsidRDefault="003B5653" w:rsidP="003B5653">
      <w:pPr>
        <w:pStyle w:val="corte4fondo"/>
        <w:ind w:right="51" w:firstLine="567"/>
        <w:rPr>
          <w:rFonts w:cs="Arial"/>
          <w:sz w:val="24"/>
          <w:szCs w:val="24"/>
        </w:rPr>
      </w:pPr>
      <w:r w:rsidRPr="00B84313">
        <w:rPr>
          <w:rFonts w:cs="Arial"/>
          <w:b/>
          <w:bCs/>
          <w:sz w:val="24"/>
          <w:szCs w:val="24"/>
        </w:rPr>
        <w:t>SEXTO. -</w:t>
      </w:r>
      <w:r>
        <w:rPr>
          <w:rFonts w:cs="Arial"/>
          <w:sz w:val="24"/>
          <w:szCs w:val="24"/>
        </w:rPr>
        <w:t xml:space="preserve"> Por acuerdo de treinta y uno de mayo de dos mil veintiuno, se señalaron las ONCE HORAS del día TREINTA DE AGOSTO DE DOS MIL VEINTIUNO, para la celebración de la audiencia final. Asimismo, se hizo del conocimiento de las partes la incorporación y adscripción como titular de esta Quinta Sala de Primera Instancia de este órgano jurisdiccional de la Magistrada VIRGINIA HERNÁNDEZ </w:t>
      </w:r>
      <w:proofErr w:type="spellStart"/>
      <w:r>
        <w:rPr>
          <w:rFonts w:cs="Arial"/>
          <w:sz w:val="24"/>
          <w:szCs w:val="24"/>
        </w:rPr>
        <w:t>HERNÁNDEZ</w:t>
      </w:r>
      <w:proofErr w:type="spellEnd"/>
      <w:r>
        <w:rPr>
          <w:rFonts w:cs="Arial"/>
          <w:sz w:val="24"/>
          <w:szCs w:val="24"/>
        </w:rPr>
        <w:t>.</w:t>
      </w:r>
    </w:p>
    <w:p w:rsidR="003B5653" w:rsidRDefault="003B5653" w:rsidP="003B5653">
      <w:pPr>
        <w:pStyle w:val="corte4fondo"/>
        <w:ind w:right="51" w:firstLine="567"/>
        <w:rPr>
          <w:rFonts w:cs="Arial"/>
          <w:sz w:val="24"/>
          <w:szCs w:val="24"/>
        </w:rPr>
      </w:pPr>
    </w:p>
    <w:p w:rsidR="003B5653" w:rsidRDefault="003B5653" w:rsidP="003B5653">
      <w:pPr>
        <w:pStyle w:val="corte4fondo"/>
        <w:ind w:right="51" w:firstLine="567"/>
        <w:rPr>
          <w:rFonts w:cs="Arial"/>
          <w:sz w:val="24"/>
          <w:szCs w:val="24"/>
        </w:rPr>
      </w:pPr>
      <w:r w:rsidRPr="00B84313">
        <w:rPr>
          <w:rFonts w:cs="Arial"/>
          <w:b/>
          <w:bCs/>
          <w:sz w:val="24"/>
          <w:szCs w:val="24"/>
        </w:rPr>
        <w:t>SÉPTIMO. -</w:t>
      </w:r>
      <w:r>
        <w:rPr>
          <w:rFonts w:cs="Arial"/>
          <w:sz w:val="24"/>
          <w:szCs w:val="24"/>
        </w:rPr>
        <w:t xml:space="preserve"> Por acuerdo de veintisiete de septiembre de dos mil veintiuno, se hizo del conocimiento de las partes que no fue posible llevar a cabo la audiencia </w:t>
      </w:r>
      <w:r>
        <w:rPr>
          <w:rFonts w:cs="Arial"/>
          <w:sz w:val="24"/>
          <w:szCs w:val="24"/>
        </w:rPr>
        <w:lastRenderedPageBreak/>
        <w:t>final señalada para el treinta de agosto de dos mil veintiuno, dado que fueron suspendidas las actividades de este órgano jurisdiccional, como medida sanitaria necesaria para limitar la propagación y contagio del virus SARS-COV2 (COVID19).</w:t>
      </w:r>
    </w:p>
    <w:p w:rsidR="003B5653" w:rsidRDefault="003B5653" w:rsidP="003B5653">
      <w:pPr>
        <w:pStyle w:val="corte4fondo"/>
        <w:ind w:right="51" w:firstLine="567"/>
        <w:rPr>
          <w:rFonts w:cs="Arial"/>
          <w:sz w:val="24"/>
          <w:szCs w:val="24"/>
        </w:rPr>
      </w:pPr>
    </w:p>
    <w:p w:rsidR="003B5653" w:rsidRDefault="003B5653" w:rsidP="003B5653">
      <w:pPr>
        <w:pStyle w:val="corte4fondo"/>
        <w:ind w:right="51" w:firstLine="567"/>
        <w:rPr>
          <w:rFonts w:cs="Arial"/>
          <w:sz w:val="24"/>
          <w:szCs w:val="24"/>
        </w:rPr>
      </w:pPr>
      <w:r w:rsidRPr="00B84313">
        <w:rPr>
          <w:rFonts w:cs="Arial"/>
          <w:b/>
          <w:bCs/>
          <w:sz w:val="24"/>
          <w:szCs w:val="24"/>
        </w:rPr>
        <w:t>OCTAVO. -</w:t>
      </w:r>
      <w:r>
        <w:rPr>
          <w:rFonts w:cs="Arial"/>
          <w:sz w:val="24"/>
          <w:szCs w:val="24"/>
        </w:rPr>
        <w:t xml:space="preserve"> Por acuerdo de tres de noviembre de dos mil veintiuno, se señalaron las ONCE HORAS del día TRES DE DICIEMBRE DE DOS MIL VEINTIUNO, para la celebración de la audiencia final.</w:t>
      </w:r>
    </w:p>
    <w:p w:rsidR="003B5653" w:rsidRDefault="003B5653" w:rsidP="003B5653">
      <w:pPr>
        <w:pStyle w:val="corte4fondo"/>
        <w:ind w:right="51" w:firstLine="567"/>
        <w:rPr>
          <w:rFonts w:cs="Arial"/>
          <w:sz w:val="24"/>
          <w:szCs w:val="24"/>
        </w:rPr>
      </w:pPr>
    </w:p>
    <w:p w:rsidR="003B5653" w:rsidRDefault="003B5653" w:rsidP="003B5653">
      <w:pPr>
        <w:pStyle w:val="corte4fondo"/>
        <w:ind w:right="51" w:firstLine="567"/>
        <w:rPr>
          <w:rFonts w:cs="Arial"/>
          <w:sz w:val="24"/>
          <w:szCs w:val="24"/>
        </w:rPr>
      </w:pPr>
      <w:r w:rsidRPr="00B84313">
        <w:rPr>
          <w:rFonts w:cs="Arial"/>
          <w:b/>
          <w:bCs/>
          <w:sz w:val="24"/>
          <w:szCs w:val="24"/>
        </w:rPr>
        <w:t>NOVENO. -</w:t>
      </w:r>
      <w:r>
        <w:rPr>
          <w:rFonts w:cs="Arial"/>
          <w:sz w:val="24"/>
          <w:szCs w:val="24"/>
        </w:rPr>
        <w:t xml:space="preserve"> Por acuerdo de dos de diciembre de dos mil veintiuno, se suspendió la audiencia final señalada para las once horas del tres de diciembre de dos mil veintiuno.</w:t>
      </w:r>
    </w:p>
    <w:p w:rsidR="003B5653" w:rsidRDefault="003B5653" w:rsidP="003B5653">
      <w:pPr>
        <w:pStyle w:val="corte4fondo"/>
        <w:ind w:right="51" w:firstLine="567"/>
        <w:rPr>
          <w:rFonts w:cs="Arial"/>
          <w:sz w:val="24"/>
          <w:szCs w:val="24"/>
        </w:rPr>
      </w:pPr>
    </w:p>
    <w:p w:rsidR="003B5653" w:rsidRDefault="003B5653" w:rsidP="003B5653">
      <w:pPr>
        <w:pStyle w:val="corte4fondo"/>
        <w:ind w:right="51" w:firstLine="567"/>
        <w:rPr>
          <w:rFonts w:cs="Arial"/>
          <w:sz w:val="24"/>
          <w:szCs w:val="24"/>
        </w:rPr>
      </w:pPr>
      <w:r w:rsidRPr="00B84313">
        <w:rPr>
          <w:rFonts w:cs="Arial"/>
          <w:b/>
          <w:bCs/>
          <w:sz w:val="24"/>
          <w:szCs w:val="24"/>
        </w:rPr>
        <w:t>DÉCIMO. -</w:t>
      </w:r>
      <w:r>
        <w:rPr>
          <w:rFonts w:cs="Arial"/>
          <w:sz w:val="24"/>
          <w:szCs w:val="24"/>
        </w:rPr>
        <w:t xml:space="preserve"> Por acuerdo de treinta y uno de marzo de dos mil veintidós, se señalaron las ONCE HORAS del día DOS DE JUNIO DE DOS MIL VEINTIDÓS, para la celebración de la audiencia final.</w:t>
      </w:r>
    </w:p>
    <w:p w:rsidR="003B5653" w:rsidRDefault="003B5653" w:rsidP="003B5653">
      <w:pPr>
        <w:pStyle w:val="corte4fondo"/>
        <w:ind w:right="51" w:firstLine="567"/>
        <w:rPr>
          <w:rFonts w:cs="Arial"/>
          <w:sz w:val="24"/>
          <w:szCs w:val="24"/>
        </w:rPr>
      </w:pPr>
    </w:p>
    <w:p w:rsidR="003B5653" w:rsidRPr="007B0581" w:rsidRDefault="003B5653" w:rsidP="003B5653">
      <w:pPr>
        <w:pStyle w:val="corte4fondo"/>
        <w:ind w:right="51" w:firstLine="567"/>
        <w:rPr>
          <w:rFonts w:cs="Arial"/>
          <w:b/>
          <w:bCs/>
          <w:sz w:val="24"/>
          <w:szCs w:val="24"/>
        </w:rPr>
      </w:pPr>
      <w:r w:rsidRPr="00EA7763">
        <w:rPr>
          <w:rFonts w:cs="Arial"/>
          <w:b/>
          <w:bCs/>
          <w:sz w:val="24"/>
          <w:szCs w:val="24"/>
        </w:rPr>
        <w:t>UNDÉCIM</w:t>
      </w:r>
      <w:r w:rsidRPr="00B84313">
        <w:rPr>
          <w:rFonts w:cs="Arial"/>
          <w:b/>
          <w:bCs/>
          <w:sz w:val="24"/>
          <w:szCs w:val="24"/>
        </w:rPr>
        <w:t>O. -</w:t>
      </w:r>
      <w:r>
        <w:rPr>
          <w:rFonts w:cs="Arial"/>
          <w:sz w:val="24"/>
          <w:szCs w:val="24"/>
        </w:rPr>
        <w:t xml:space="preserve"> E</w:t>
      </w:r>
      <w:r w:rsidRPr="007B0581">
        <w:rPr>
          <w:rFonts w:cs="Arial"/>
          <w:sz w:val="24"/>
          <w:szCs w:val="24"/>
          <w:lang w:val="es-ES"/>
        </w:rPr>
        <w:t xml:space="preserve">l </w:t>
      </w:r>
      <w:r>
        <w:rPr>
          <w:rFonts w:cs="Arial"/>
          <w:sz w:val="24"/>
          <w:szCs w:val="24"/>
          <w:lang w:val="es-ES"/>
        </w:rPr>
        <w:t>dos de junio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el actor formuló alegatos por escrito, </w:t>
      </w:r>
      <w:r w:rsidRPr="001D3C84">
        <w:rPr>
          <w:rFonts w:cs="Arial"/>
          <w:sz w:val="24"/>
          <w:szCs w:val="24"/>
        </w:rPr>
        <w:t>por conducto de su autorizada</w:t>
      </w:r>
      <w:r>
        <w:rPr>
          <w:rFonts w:cs="Arial"/>
          <w:sz w:val="24"/>
          <w:szCs w:val="24"/>
        </w:rPr>
        <w:t xml:space="preserve"> legal</w:t>
      </w:r>
      <w:r w:rsidRPr="00402863">
        <w:rPr>
          <w:rFonts w:cs="Arial"/>
          <w:sz w:val="24"/>
          <w:szCs w:val="24"/>
        </w:rPr>
        <w:t>,</w:t>
      </w:r>
      <w:r>
        <w:rPr>
          <w:rFonts w:cs="Arial"/>
          <w:sz w:val="24"/>
          <w:szCs w:val="24"/>
        </w:rPr>
        <w:t xml:space="preserve"> asimismo,</w:t>
      </w:r>
      <w:r w:rsidRPr="00402863">
        <w:rPr>
          <w:rFonts w:cs="Arial"/>
          <w:sz w:val="24"/>
          <w:szCs w:val="24"/>
        </w:rPr>
        <w:t xml:space="preserve"> </w:t>
      </w:r>
      <w:r>
        <w:rPr>
          <w:rFonts w:cs="Arial"/>
          <w:sz w:val="24"/>
          <w:szCs w:val="24"/>
        </w:rPr>
        <w:t xml:space="preserve">el Director Jurídico de la Secretaría de Movilidad y el Director General de Asuntos Jurídicos de la Secretaría de Seguridad Pública del Estado de Oaxaca, </w:t>
      </w:r>
      <w:r w:rsidRPr="00402863">
        <w:rPr>
          <w:rFonts w:cs="Arial"/>
          <w:sz w:val="24"/>
          <w:szCs w:val="24"/>
        </w:rPr>
        <w:t>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3B5653" w:rsidRDefault="003B5653" w:rsidP="003B5653">
      <w:pPr>
        <w:pStyle w:val="corte4fondo"/>
        <w:ind w:right="51" w:firstLine="567"/>
        <w:rPr>
          <w:rFonts w:cs="Arial"/>
          <w:b/>
          <w:spacing w:val="-3"/>
          <w:sz w:val="24"/>
          <w:szCs w:val="24"/>
        </w:rPr>
      </w:pPr>
    </w:p>
    <w:p w:rsidR="003B5653" w:rsidRPr="007B0581" w:rsidRDefault="003B5653" w:rsidP="003B5653">
      <w:pPr>
        <w:pStyle w:val="corte4fondo"/>
        <w:ind w:right="51" w:firstLine="567"/>
        <w:rPr>
          <w:rFonts w:cs="Arial"/>
          <w:b/>
          <w:spacing w:val="-3"/>
          <w:sz w:val="24"/>
          <w:szCs w:val="24"/>
        </w:rPr>
      </w:pPr>
    </w:p>
    <w:p w:rsidR="003B5653" w:rsidRDefault="003B5653" w:rsidP="003B5653">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3B5653" w:rsidRDefault="003B5653" w:rsidP="003B5653">
      <w:pPr>
        <w:pStyle w:val="corte4fondo"/>
        <w:ind w:right="51" w:firstLine="567"/>
        <w:jc w:val="center"/>
        <w:rPr>
          <w:rFonts w:cs="Arial"/>
          <w:b/>
          <w:spacing w:val="-3"/>
          <w:sz w:val="24"/>
          <w:szCs w:val="24"/>
        </w:rPr>
      </w:pPr>
    </w:p>
    <w:p w:rsidR="003B5653" w:rsidRPr="007B0581" w:rsidRDefault="003B5653" w:rsidP="003B5653">
      <w:pPr>
        <w:pStyle w:val="corte4fondo"/>
        <w:spacing w:line="240" w:lineRule="auto"/>
        <w:ind w:right="51" w:firstLine="567"/>
        <w:contextualSpacing/>
        <w:rPr>
          <w:rFonts w:cs="Arial"/>
          <w:bCs/>
          <w:sz w:val="24"/>
          <w:szCs w:val="24"/>
        </w:rPr>
      </w:pPr>
    </w:p>
    <w:p w:rsidR="003B5653" w:rsidRPr="007B0581" w:rsidRDefault="003B5653" w:rsidP="003B5653">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 las autoridades Estatales</w:t>
      </w:r>
      <w:r w:rsidRPr="007B0581">
        <w:rPr>
          <w:rFonts w:ascii="Arial" w:hAnsi="Arial" w:cs="Arial"/>
          <w:sz w:val="24"/>
          <w:szCs w:val="24"/>
        </w:rPr>
        <w:t xml:space="preserve">, con fundamento en el artículo 114 QUATER, párrafo primero, </w:t>
      </w:r>
      <w:r w:rsidRPr="00634222">
        <w:rPr>
          <w:rFonts w:ascii="Arial" w:hAnsi="Arial" w:cs="Arial"/>
          <w:sz w:val="24"/>
          <w:szCs w:val="24"/>
        </w:rPr>
        <w:t>inciso B, fracción VI</w:t>
      </w:r>
      <w:r w:rsidRPr="009730A5">
        <w:rPr>
          <w:rFonts w:ascii="Arial" w:hAnsi="Arial" w:cs="Arial"/>
          <w:sz w:val="24"/>
          <w:szCs w:val="24"/>
        </w:rPr>
        <w:t xml:space="preserve"> d</w:t>
      </w:r>
      <w:r w:rsidRPr="007B0581">
        <w:rPr>
          <w:rFonts w:ascii="Arial" w:hAnsi="Arial" w:cs="Arial"/>
          <w:sz w:val="24"/>
          <w:szCs w:val="24"/>
        </w:rPr>
        <w:t xml:space="preserve">e la Constitución Política del Estado Libre y Soberano de Oaxaca; 120, fracción I, </w:t>
      </w:r>
      <w:r w:rsidRPr="00985AEC">
        <w:rPr>
          <w:rFonts w:ascii="Arial" w:hAnsi="Arial" w:cs="Arial"/>
          <w:sz w:val="24"/>
          <w:szCs w:val="24"/>
        </w:rPr>
        <w:t>132 fracciones I y II, 133 fracción</w:t>
      </w:r>
      <w:r w:rsidRPr="007B0581">
        <w:rPr>
          <w:rFonts w:ascii="Arial" w:hAnsi="Arial" w:cs="Arial"/>
          <w:sz w:val="24"/>
          <w:szCs w:val="24"/>
        </w:rPr>
        <w:t xml:space="preserve"> I, 146 y 147 de la Ley de Procedimiento y Justicia Administrativa para el Estado de Oaxaca. </w:t>
      </w:r>
    </w:p>
    <w:p w:rsidR="003B5653" w:rsidRPr="007B0581" w:rsidRDefault="003B5653" w:rsidP="003B5653">
      <w:pPr>
        <w:spacing w:line="360" w:lineRule="auto"/>
        <w:jc w:val="both"/>
        <w:rPr>
          <w:rFonts w:ascii="Arial" w:hAnsi="Arial" w:cs="Arial"/>
          <w:sz w:val="24"/>
          <w:szCs w:val="24"/>
        </w:rPr>
      </w:pPr>
      <w:r w:rsidRPr="007B0581">
        <w:rPr>
          <w:rFonts w:ascii="Arial" w:hAnsi="Arial" w:cs="Arial"/>
          <w:sz w:val="24"/>
          <w:szCs w:val="24"/>
        </w:rPr>
        <w:t xml:space="preserve"> </w:t>
      </w:r>
    </w:p>
    <w:p w:rsidR="003B5653" w:rsidRDefault="003B5653" w:rsidP="003B5653">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w:t>
      </w:r>
      <w:r w:rsidRPr="007B0581">
        <w:rPr>
          <w:rFonts w:ascii="Arial" w:hAnsi="Arial" w:cs="Arial"/>
          <w:sz w:val="24"/>
          <w:szCs w:val="24"/>
        </w:rPr>
        <w:t>l actor promueve por su propio derecho y</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sz w:val="24"/>
          <w:szCs w:val="24"/>
        </w:rPr>
        <w:t xml:space="preserve">de las autoridades </w:t>
      </w:r>
      <w:r>
        <w:rPr>
          <w:rFonts w:ascii="Arial" w:hAnsi="Arial" w:cs="Arial"/>
          <w:sz w:val="24"/>
          <w:szCs w:val="24"/>
        </w:rPr>
        <w:lastRenderedPageBreak/>
        <w:t>demandadas en términos de</w:t>
      </w:r>
      <w:r w:rsidRPr="007B0581">
        <w:rPr>
          <w:rFonts w:ascii="Arial" w:hAnsi="Arial" w:cs="Arial"/>
          <w:sz w:val="24"/>
          <w:szCs w:val="24"/>
        </w:rPr>
        <w:t xml:space="preserve"> lo establecido en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 148 y,</w:t>
      </w:r>
      <w:r w:rsidRPr="007B0581">
        <w:rPr>
          <w:rFonts w:ascii="Arial" w:hAnsi="Arial" w:cs="Arial"/>
          <w:sz w:val="24"/>
          <w:szCs w:val="24"/>
        </w:rPr>
        <w:t xml:space="preserve"> </w:t>
      </w:r>
      <w:r>
        <w:rPr>
          <w:rFonts w:ascii="Arial" w:hAnsi="Arial" w:cs="Arial"/>
          <w:sz w:val="24"/>
          <w:szCs w:val="24"/>
        </w:rPr>
        <w:t xml:space="preserve">151 </w:t>
      </w:r>
      <w:r w:rsidRPr="007B0581">
        <w:rPr>
          <w:rFonts w:ascii="Arial" w:hAnsi="Arial" w:cs="Arial"/>
          <w:snapToGrid w:val="0"/>
          <w:sz w:val="24"/>
          <w:szCs w:val="24"/>
        </w:rPr>
        <w:t>de la Ley de Procedimiento y Justicia Administrativa para el Estado de Oaxaca</w:t>
      </w:r>
      <w:r>
        <w:rPr>
          <w:rFonts w:ascii="Arial" w:hAnsi="Arial" w:cs="Arial"/>
          <w:snapToGrid w:val="0"/>
          <w:sz w:val="24"/>
          <w:szCs w:val="24"/>
        </w:rPr>
        <w:t>.</w:t>
      </w:r>
      <w:r w:rsidRPr="007B0581">
        <w:rPr>
          <w:rFonts w:ascii="Arial" w:hAnsi="Arial" w:cs="Arial"/>
          <w:snapToGrid w:val="0"/>
          <w:sz w:val="24"/>
          <w:szCs w:val="24"/>
        </w:rPr>
        <w:t xml:space="preserve">  </w:t>
      </w:r>
    </w:p>
    <w:p w:rsidR="003B5653" w:rsidRPr="007B0581" w:rsidRDefault="003B5653" w:rsidP="003B5653">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3B5653" w:rsidRDefault="003B5653" w:rsidP="003B5653">
      <w:pPr>
        <w:autoSpaceDE w:val="0"/>
        <w:autoSpaceDN w:val="0"/>
        <w:adjustRightInd w:val="0"/>
        <w:spacing w:line="360" w:lineRule="auto"/>
        <w:jc w:val="both"/>
        <w:rPr>
          <w:rFonts w:ascii="Arial" w:hAnsi="Arial" w:cs="Arial"/>
          <w:bCs/>
          <w:sz w:val="24"/>
          <w:szCs w:val="24"/>
        </w:rPr>
      </w:pPr>
      <w:r w:rsidRPr="007B0581">
        <w:rPr>
          <w:rFonts w:cs="Arial"/>
          <w:sz w:val="24"/>
          <w:szCs w:val="24"/>
        </w:rPr>
        <w:tab/>
      </w:r>
      <w:r w:rsidRPr="00C3702B">
        <w:rPr>
          <w:rFonts w:ascii="Arial" w:hAnsi="Arial" w:cs="Arial"/>
          <w:b/>
          <w:sz w:val="24"/>
          <w:szCs w:val="24"/>
        </w:rPr>
        <w:t>TERCERO.-</w:t>
      </w:r>
      <w:r w:rsidRPr="007B0581">
        <w:rPr>
          <w:rFonts w:cs="Arial"/>
          <w:sz w:val="24"/>
          <w:szCs w:val="24"/>
        </w:rPr>
        <w:t xml:space="preserve"> </w:t>
      </w:r>
      <w:r w:rsidRPr="00D4142D">
        <w:rPr>
          <w:rFonts w:ascii="Arial" w:hAnsi="Arial" w:cs="Arial"/>
          <w:sz w:val="24"/>
          <w:szCs w:val="24"/>
          <w:lang w:val="es-ES_tradnl"/>
        </w:rPr>
        <w:t xml:space="preserve">Esta Sala </w:t>
      </w:r>
      <w:r w:rsidRPr="00D4142D">
        <w:rPr>
          <w:rFonts w:ascii="Arial" w:hAnsi="Arial" w:cs="Arial"/>
          <w:bCs/>
          <w:sz w:val="24"/>
          <w:szCs w:val="24"/>
        </w:rPr>
        <w:t>previo al estudio de fondo del asunto procede analizar, sí en la especie se actualiza alguna causal de improcedencia del juicio de nulidad, ya sea invocada por las partes o bien, alguna que se advierta oficiosamente,</w:t>
      </w:r>
      <w:r>
        <w:rPr>
          <w:rFonts w:ascii="Arial" w:hAnsi="Arial" w:cs="Arial"/>
          <w:bCs/>
          <w:sz w:val="24"/>
          <w:szCs w:val="24"/>
        </w:rPr>
        <w:t xml:space="preserve"> en ese sentido </w:t>
      </w:r>
      <w:r w:rsidRPr="00D62161">
        <w:rPr>
          <w:rFonts w:ascii="Arial" w:hAnsi="Arial" w:cs="Arial"/>
          <w:b/>
          <w:sz w:val="24"/>
          <w:szCs w:val="24"/>
        </w:rPr>
        <w:t>SE SOBRESEE</w:t>
      </w:r>
      <w:r>
        <w:rPr>
          <w:rFonts w:ascii="Arial" w:hAnsi="Arial" w:cs="Arial"/>
          <w:b/>
          <w:sz w:val="24"/>
          <w:szCs w:val="24"/>
        </w:rPr>
        <w:t xml:space="preserve"> EN</w:t>
      </w:r>
      <w:r w:rsidRPr="00D62161">
        <w:rPr>
          <w:rFonts w:ascii="Arial" w:hAnsi="Arial" w:cs="Arial"/>
          <w:b/>
          <w:sz w:val="24"/>
          <w:szCs w:val="24"/>
        </w:rPr>
        <w:t xml:space="preserve"> EL JUICIO</w:t>
      </w:r>
      <w:r>
        <w:rPr>
          <w:rFonts w:ascii="Arial" w:hAnsi="Arial" w:cs="Arial"/>
          <w:bCs/>
          <w:sz w:val="24"/>
          <w:szCs w:val="24"/>
        </w:rPr>
        <w:t xml:space="preserve"> por lo que hace únicamente a las autoridades demandadas, </w:t>
      </w:r>
      <w:r w:rsidRPr="00EA7763">
        <w:rPr>
          <w:rFonts w:ascii="Arial" w:hAnsi="Arial" w:cs="Arial"/>
          <w:bCs/>
          <w:sz w:val="24"/>
          <w:szCs w:val="24"/>
        </w:rPr>
        <w:t>Secretaría de Movilidad en el Estado de Oaxaca</w:t>
      </w:r>
      <w:r>
        <w:rPr>
          <w:rFonts w:ascii="Arial" w:hAnsi="Arial" w:cs="Arial"/>
          <w:bCs/>
          <w:sz w:val="24"/>
          <w:szCs w:val="24"/>
        </w:rPr>
        <w:t xml:space="preserve">, </w:t>
      </w:r>
      <w:r>
        <w:rPr>
          <w:rFonts w:ascii="Arial" w:hAnsi="Arial" w:cs="Arial"/>
          <w:sz w:val="24"/>
          <w:szCs w:val="24"/>
        </w:rPr>
        <w:t xml:space="preserve">Secretario de Seguridad Pública, Director General de la Policía Vial del Estado de Oaxaca, Comisionado de la Policía Estatal y Delegado de la Policía Vial Estatal de Acatlán de Pérez Figueroa de San Juan Bautista Tuxtepec, Oaxaca, en virtud a que no son parte en el presente asunto, dado que no </w:t>
      </w:r>
      <w:r w:rsidRPr="000508C0">
        <w:rPr>
          <w:rFonts w:ascii="Arial" w:eastAsiaTheme="minorHAnsi" w:hAnsi="Arial" w:cs="Arial"/>
          <w:sz w:val="24"/>
          <w:szCs w:val="24"/>
          <w:lang w:val="es-MX" w:eastAsia="en-US"/>
        </w:rPr>
        <w:t>dict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orden</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ejecut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xml:space="preserve"> o trat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xml:space="preserve"> de ejecutar el acto impugnado</w:t>
      </w:r>
      <w:r>
        <w:rPr>
          <w:rFonts w:ascii="Arial" w:eastAsiaTheme="minorHAnsi" w:hAnsi="Arial" w:cs="Arial"/>
          <w:sz w:val="24"/>
          <w:szCs w:val="24"/>
          <w:lang w:val="es-MX" w:eastAsia="en-US"/>
        </w:rPr>
        <w:t>, de conformidad con los artículos 163, fracción II, 161, fracción IX y, 162, fracción V,</w:t>
      </w:r>
      <w:r>
        <w:rPr>
          <w:rFonts w:ascii="Arial" w:hAnsi="Arial" w:cs="Arial"/>
          <w:bCs/>
          <w:sz w:val="24"/>
          <w:szCs w:val="24"/>
        </w:rPr>
        <w:t xml:space="preserve"> de la </w:t>
      </w:r>
      <w:r w:rsidRPr="00D4142D">
        <w:rPr>
          <w:rFonts w:ascii="Arial" w:hAnsi="Arial" w:cs="Arial"/>
          <w:bCs/>
          <w:sz w:val="24"/>
          <w:szCs w:val="24"/>
        </w:rPr>
        <w:t>Ley de Procedimiento y Justicia Administrativa para el Estado de Oaxaca</w:t>
      </w:r>
      <w:r>
        <w:rPr>
          <w:rFonts w:ascii="Arial" w:hAnsi="Arial" w:cs="Arial"/>
          <w:bCs/>
          <w:sz w:val="24"/>
          <w:szCs w:val="24"/>
        </w:rPr>
        <w:t xml:space="preserve">. </w:t>
      </w:r>
    </w:p>
    <w:p w:rsidR="003B5653" w:rsidRPr="007B0581" w:rsidRDefault="003B5653" w:rsidP="003B5653">
      <w:pPr>
        <w:pStyle w:val="corte4fondo"/>
        <w:ind w:right="51" w:firstLine="567"/>
        <w:rPr>
          <w:rFonts w:cs="Arial"/>
          <w:sz w:val="24"/>
          <w:szCs w:val="24"/>
        </w:rPr>
      </w:pPr>
    </w:p>
    <w:p w:rsidR="003B5653" w:rsidRDefault="003B5653" w:rsidP="003B5653">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w:t>
      </w:r>
      <w:r w:rsidRPr="007B0581">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3B5653" w:rsidRPr="007B0581" w:rsidRDefault="003B5653" w:rsidP="003B5653">
      <w:pPr>
        <w:spacing w:line="360" w:lineRule="auto"/>
        <w:jc w:val="both"/>
        <w:rPr>
          <w:rFonts w:ascii="Arial" w:hAnsi="Arial" w:cs="Arial"/>
          <w:sz w:val="24"/>
          <w:szCs w:val="24"/>
        </w:rPr>
      </w:pPr>
    </w:p>
    <w:p w:rsidR="003B5653" w:rsidRDefault="003B5653" w:rsidP="003B5653">
      <w:pPr>
        <w:pStyle w:val="Textonotapie"/>
        <w:widowControl w:val="0"/>
        <w:spacing w:line="360" w:lineRule="auto"/>
        <w:ind w:firstLine="567"/>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3B5653" w:rsidRPr="007B0581" w:rsidRDefault="003B5653" w:rsidP="003B5653">
      <w:pPr>
        <w:pStyle w:val="Textonotapie"/>
        <w:widowControl w:val="0"/>
        <w:spacing w:line="360" w:lineRule="auto"/>
        <w:ind w:firstLine="708"/>
        <w:jc w:val="both"/>
        <w:rPr>
          <w:rFonts w:ascii="Arial" w:hAnsi="Arial" w:cs="Arial"/>
          <w:sz w:val="24"/>
          <w:szCs w:val="24"/>
          <w:lang w:eastAsia="es-MX"/>
        </w:rPr>
      </w:pPr>
    </w:p>
    <w:p w:rsidR="003B5653" w:rsidRDefault="003B5653" w:rsidP="003B5653">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3B5653" w:rsidRPr="007B0581" w:rsidRDefault="003B5653" w:rsidP="003B5653">
      <w:pPr>
        <w:pStyle w:val="Textonotapie"/>
        <w:widowControl w:val="0"/>
        <w:spacing w:line="360" w:lineRule="auto"/>
        <w:ind w:left="1701" w:right="1469"/>
        <w:jc w:val="both"/>
        <w:rPr>
          <w:rFonts w:ascii="Arial" w:hAnsi="Arial" w:cs="Arial"/>
          <w:b/>
          <w:sz w:val="24"/>
          <w:szCs w:val="24"/>
          <w:lang w:eastAsia="es-MX"/>
        </w:rPr>
      </w:pPr>
    </w:p>
    <w:p w:rsidR="003B5653" w:rsidRDefault="003B5653" w:rsidP="003B5653">
      <w:pPr>
        <w:pStyle w:val="Textonotapie"/>
        <w:widowControl w:val="0"/>
        <w:spacing w:line="360" w:lineRule="auto"/>
        <w:ind w:right="49" w:firstLine="567"/>
        <w:jc w:val="both"/>
        <w:rPr>
          <w:rFonts w:ascii="Arial" w:hAnsi="Arial" w:cs="Arial"/>
          <w:sz w:val="24"/>
          <w:szCs w:val="24"/>
        </w:rPr>
      </w:pPr>
      <w:r>
        <w:rPr>
          <w:rFonts w:ascii="Arial" w:hAnsi="Arial" w:cs="Arial"/>
          <w:sz w:val="24"/>
          <w:szCs w:val="24"/>
        </w:rPr>
        <w:t>El actor</w:t>
      </w:r>
      <w:r w:rsidRPr="007B0581">
        <w:rPr>
          <w:rFonts w:ascii="Arial" w:hAnsi="Arial" w:cs="Arial"/>
          <w:sz w:val="24"/>
          <w:szCs w:val="24"/>
        </w:rPr>
        <w:t xml:space="preserve"> </w:t>
      </w:r>
      <w:r>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w:t>
      </w:r>
      <w:r>
        <w:rPr>
          <w:rFonts w:ascii="Arial" w:hAnsi="Arial" w:cs="Arial"/>
          <w:sz w:val="24"/>
          <w:szCs w:val="24"/>
        </w:rPr>
        <w:t xml:space="preserve">de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ocho de octubre de dos mil diecinueve emitido por el </w:t>
      </w:r>
      <w:r w:rsidRPr="00312AF1">
        <w:rPr>
          <w:rFonts w:ascii="Arial" w:hAnsi="Arial" w:cs="Arial"/>
          <w:sz w:val="24"/>
          <w:szCs w:val="24"/>
        </w:rPr>
        <w:t>Director de Concesiones de la Secretaría de Movilidad del Estado de Oaxaca</w:t>
      </w:r>
      <w:r>
        <w:rPr>
          <w:rFonts w:ascii="Arial" w:hAnsi="Arial" w:cs="Arial"/>
          <w:sz w:val="24"/>
          <w:szCs w:val="24"/>
        </w:rPr>
        <w:t xml:space="preserve">, por considerar que se encuentra indebidamente fundada y motivada pues para negarle la renovación de su concesión, boleta de certeza jurídica, alta en papel seguridad, </w:t>
      </w:r>
      <w:r>
        <w:rPr>
          <w:rFonts w:ascii="Arial" w:hAnsi="Arial" w:cs="Arial"/>
          <w:sz w:val="24"/>
          <w:szCs w:val="24"/>
        </w:rPr>
        <w:lastRenderedPageBreak/>
        <w:t xml:space="preserve">oficio de </w:t>
      </w:r>
      <w:proofErr w:type="spellStart"/>
      <w:r>
        <w:rPr>
          <w:rFonts w:ascii="Arial" w:hAnsi="Arial" w:cs="Arial"/>
          <w:sz w:val="24"/>
          <w:szCs w:val="24"/>
        </w:rPr>
        <w:t>emplacamiento</w:t>
      </w:r>
      <w:proofErr w:type="spellEnd"/>
      <w:r>
        <w:rPr>
          <w:rFonts w:ascii="Arial" w:hAnsi="Arial" w:cs="Arial"/>
          <w:sz w:val="24"/>
          <w:szCs w:val="24"/>
        </w:rPr>
        <w:t>, oficio de publicación en el Periódico Oficial del Gobierno del Estado, así como el reconocimiento de los derechos adquiridos en su favor lo hace de conformidad con los artículos 20 y 40 de la Ley Orgánica del Poder Ejecutivo del Estado de Oaxaca y 14 de la Ley de Movilidad para el Estado de Oaxaca, violando lo dispuesto por los artículos 5, 14 y 16 de la Constitución Política de los Estados Unidos Mexicanos, pues violenta su derecho a trabajar en una actividad lícita.</w:t>
      </w:r>
    </w:p>
    <w:p w:rsidR="003B5653" w:rsidRDefault="003B5653" w:rsidP="003B5653">
      <w:pPr>
        <w:pStyle w:val="Textonotapie"/>
        <w:widowControl w:val="0"/>
        <w:spacing w:line="360" w:lineRule="auto"/>
        <w:ind w:right="49" w:firstLine="708"/>
        <w:jc w:val="both"/>
        <w:rPr>
          <w:rFonts w:ascii="Arial" w:hAnsi="Arial" w:cs="Arial"/>
          <w:sz w:val="24"/>
          <w:szCs w:val="24"/>
        </w:rPr>
      </w:pPr>
    </w:p>
    <w:p w:rsidR="003B5653" w:rsidRDefault="003B5653" w:rsidP="003B5653">
      <w:pPr>
        <w:spacing w:line="360" w:lineRule="auto"/>
        <w:ind w:firstLine="567"/>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Pr>
          <w:rFonts w:ascii="Arial" w:hAnsi="Arial" w:cs="Arial"/>
          <w:sz w:val="24"/>
          <w:szCs w:val="24"/>
        </w:rPr>
        <w:t xml:space="preserve"> </w:t>
      </w:r>
      <w:r w:rsidRPr="00312AF1">
        <w:rPr>
          <w:rFonts w:ascii="Arial" w:hAnsi="Arial" w:cs="Arial"/>
          <w:sz w:val="24"/>
          <w:szCs w:val="24"/>
        </w:rPr>
        <w:t>Director de Concesiones de la Secretaría de Movilidad del Estado de Oaxaca</w:t>
      </w:r>
      <w:r w:rsidRPr="007B0581">
        <w:rPr>
          <w:rFonts w:ascii="Arial" w:hAnsi="Arial" w:cs="Arial"/>
          <w:sz w:val="24"/>
          <w:szCs w:val="24"/>
        </w:rPr>
        <w:t>,</w:t>
      </w:r>
      <w:r>
        <w:rPr>
          <w:rFonts w:ascii="Arial" w:hAnsi="Arial" w:cs="Arial"/>
          <w:sz w:val="24"/>
          <w:szCs w:val="24"/>
        </w:rPr>
        <w:t xml:space="preserve"> indica que el actor no exhibió documentos con los que acreditara haber cumplido con lo establecido por los acuerdos 18 y 24 del Poder Ejecutivo del Estado, pues estos tenían como objeto principal la revisión de los títulos de concesión, especialmente para cotejar las firmas contenidas en los mismos, y ante la omisión del actor de manifestarse respecto a su presentación a la revisión y cotejo del título de concesión, incumplió con lo dispuesto por el artículo 2, del acuerdo 18 dado que el cotejo solo se puede realizar con el original, pues el objeto del mismo era verificar la autenticidad de las firmas contenidas en el mismo, aunado a que de la revisión efectuada en la base de datos del Sistema de Control y Administración de concesiones (SICAC), no existe registro de concesión a nombre del actor, pero si existe registro de concesión con número de acuerdo </w:t>
      </w:r>
      <w:r w:rsidR="005D5D2E">
        <w:rPr>
          <w:rFonts w:cs="Arial"/>
          <w:b/>
          <w:sz w:val="24"/>
          <w:szCs w:val="24"/>
        </w:rPr>
        <w:t>**********</w:t>
      </w:r>
      <w:r>
        <w:rPr>
          <w:rFonts w:ascii="Arial" w:hAnsi="Arial" w:cs="Arial"/>
          <w:sz w:val="24"/>
          <w:szCs w:val="24"/>
        </w:rPr>
        <w:t xml:space="preserve">, expedido el 30 de noviembre de 2004, a nombre de diversa persona, asimismo no existe registro en la citada base de datos del vehículo marca </w:t>
      </w:r>
      <w:r w:rsidR="005D5D2E">
        <w:rPr>
          <w:rFonts w:cs="Arial"/>
          <w:b/>
          <w:sz w:val="24"/>
          <w:szCs w:val="24"/>
        </w:rPr>
        <w:t>**********</w:t>
      </w:r>
      <w:r>
        <w:rPr>
          <w:rFonts w:ascii="Arial" w:hAnsi="Arial" w:cs="Arial"/>
          <w:sz w:val="24"/>
          <w:szCs w:val="24"/>
        </w:rPr>
        <w:t xml:space="preserve">, modelo </w:t>
      </w:r>
      <w:r w:rsidR="005D5D2E">
        <w:rPr>
          <w:rFonts w:cs="Arial"/>
          <w:b/>
          <w:sz w:val="24"/>
          <w:szCs w:val="24"/>
        </w:rPr>
        <w:t>**********</w:t>
      </w:r>
      <w:r>
        <w:rPr>
          <w:rFonts w:ascii="Arial" w:hAnsi="Arial" w:cs="Arial"/>
          <w:sz w:val="24"/>
          <w:szCs w:val="24"/>
        </w:rPr>
        <w:t xml:space="preserve">, con número de serie </w:t>
      </w:r>
      <w:r w:rsidR="005D5D2E">
        <w:rPr>
          <w:rFonts w:cs="Arial"/>
          <w:b/>
          <w:sz w:val="24"/>
          <w:szCs w:val="24"/>
        </w:rPr>
        <w:t>**********</w:t>
      </w:r>
      <w:r>
        <w:rPr>
          <w:rFonts w:ascii="Arial" w:hAnsi="Arial" w:cs="Arial"/>
          <w:sz w:val="24"/>
          <w:szCs w:val="24"/>
        </w:rPr>
        <w:t xml:space="preserve">. </w:t>
      </w:r>
    </w:p>
    <w:p w:rsidR="003B5653" w:rsidRDefault="003B5653" w:rsidP="003B5653">
      <w:pPr>
        <w:spacing w:line="360" w:lineRule="auto"/>
        <w:ind w:firstLine="708"/>
        <w:jc w:val="both"/>
        <w:rPr>
          <w:rFonts w:ascii="Arial" w:hAnsi="Arial" w:cs="Arial"/>
          <w:color w:val="FF0000"/>
          <w:sz w:val="24"/>
          <w:szCs w:val="24"/>
        </w:rPr>
      </w:pPr>
      <w:r>
        <w:rPr>
          <w:rFonts w:ascii="Arial" w:hAnsi="Arial" w:cs="Arial"/>
          <w:sz w:val="24"/>
          <w:szCs w:val="24"/>
        </w:rPr>
        <w:t xml:space="preserve"> </w:t>
      </w:r>
    </w:p>
    <w:p w:rsidR="003B5653" w:rsidRDefault="003B5653" w:rsidP="003B5653">
      <w:pPr>
        <w:spacing w:line="360" w:lineRule="auto"/>
        <w:ind w:firstLine="567"/>
        <w:jc w:val="both"/>
        <w:rPr>
          <w:rFonts w:ascii="Arial" w:hAnsi="Arial" w:cs="Arial"/>
          <w:i/>
          <w:iCs/>
          <w:sz w:val="24"/>
          <w:szCs w:val="24"/>
        </w:rPr>
      </w:pPr>
      <w:r w:rsidRPr="007B0581">
        <w:rPr>
          <w:rFonts w:ascii="Arial" w:hAnsi="Arial" w:cs="Arial"/>
          <w:color w:val="FF0000"/>
          <w:sz w:val="24"/>
          <w:szCs w:val="24"/>
        </w:rPr>
        <w:t xml:space="preserve"> </w:t>
      </w:r>
      <w:r w:rsidRPr="008D7BB9">
        <w:rPr>
          <w:rFonts w:ascii="Arial" w:hAnsi="Arial" w:cs="Arial"/>
          <w:sz w:val="24"/>
          <w:szCs w:val="24"/>
        </w:rPr>
        <w:t>Ahora bien</w:t>
      </w:r>
      <w:r w:rsidRPr="007B0581">
        <w:rPr>
          <w:rFonts w:ascii="Arial" w:hAnsi="Arial" w:cs="Arial"/>
          <w:sz w:val="24"/>
          <w:szCs w:val="24"/>
        </w:rPr>
        <w:t xml:space="preserve">, esta juzgadora </w:t>
      </w:r>
      <w:r>
        <w:rPr>
          <w:rFonts w:ascii="Arial" w:hAnsi="Arial" w:cs="Arial"/>
          <w:sz w:val="24"/>
          <w:szCs w:val="24"/>
        </w:rPr>
        <w:t>después de haber realizado el</w:t>
      </w:r>
      <w:r w:rsidRPr="007B0581">
        <w:rPr>
          <w:rFonts w:ascii="Arial" w:hAnsi="Arial" w:cs="Arial"/>
          <w:sz w:val="24"/>
          <w:szCs w:val="24"/>
        </w:rPr>
        <w:t xml:space="preserve"> estudio a</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Pr>
          <w:rFonts w:ascii="Arial" w:hAnsi="Arial" w:cs="Arial"/>
          <w:sz w:val="24"/>
          <w:szCs w:val="24"/>
        </w:rPr>
        <w:t xml:space="preserve">resolución contenida en el oficio </w:t>
      </w:r>
      <w:r w:rsidR="005D5D2E">
        <w:rPr>
          <w:rFonts w:cs="Arial"/>
          <w:b/>
          <w:sz w:val="24"/>
          <w:szCs w:val="24"/>
        </w:rPr>
        <w:t>**********</w:t>
      </w:r>
      <w:r w:rsidR="005D5D2E">
        <w:rPr>
          <w:rFonts w:cs="Arial"/>
          <w:b/>
          <w:sz w:val="24"/>
          <w:szCs w:val="24"/>
        </w:rPr>
        <w:t xml:space="preserve"> </w:t>
      </w:r>
      <w:r>
        <w:rPr>
          <w:rFonts w:ascii="Arial" w:hAnsi="Arial" w:cs="Arial"/>
          <w:sz w:val="24"/>
          <w:szCs w:val="24"/>
        </w:rPr>
        <w:t xml:space="preserve">de ocho de octubre de dos mil diecinueve, emitido por el </w:t>
      </w:r>
      <w:r w:rsidRPr="00DF38D5">
        <w:rPr>
          <w:rFonts w:ascii="Arial" w:hAnsi="Arial" w:cs="Arial"/>
          <w:sz w:val="24"/>
          <w:szCs w:val="24"/>
        </w:rPr>
        <w:t xml:space="preserve">Director de Concesiones de la Secretaría de Movilidad </w:t>
      </w:r>
      <w:r>
        <w:rPr>
          <w:rFonts w:ascii="Arial" w:hAnsi="Arial" w:cs="Arial"/>
          <w:sz w:val="24"/>
          <w:szCs w:val="24"/>
        </w:rPr>
        <w:t xml:space="preserve">en </w:t>
      </w:r>
      <w:r w:rsidRPr="00DF38D5">
        <w:rPr>
          <w:rFonts w:ascii="Arial" w:hAnsi="Arial" w:cs="Arial"/>
          <w:sz w:val="24"/>
          <w:szCs w:val="24"/>
        </w:rPr>
        <w:t>el Estado de Oaxaca</w:t>
      </w:r>
      <w:r>
        <w:rPr>
          <w:rFonts w:ascii="Arial" w:hAnsi="Arial" w:cs="Arial"/>
          <w:sz w:val="24"/>
          <w:szCs w:val="24"/>
        </w:rPr>
        <w:t>,</w:t>
      </w:r>
      <w:r>
        <w:rPr>
          <w:rFonts w:ascii="Arial" w:hAnsi="Arial" w:cs="Arial"/>
          <w:b/>
          <w:bCs/>
          <w:sz w:val="24"/>
          <w:szCs w:val="24"/>
        </w:rPr>
        <w:t xml:space="preserve"> </w:t>
      </w:r>
      <w:r>
        <w:rPr>
          <w:rFonts w:ascii="Arial" w:hAnsi="Arial" w:cs="Arial"/>
          <w:sz w:val="24"/>
          <w:szCs w:val="24"/>
        </w:rPr>
        <w:t xml:space="preserve">advierte que la autoridad demandada refiere lo siguiente: </w:t>
      </w:r>
      <w:r w:rsidRPr="009804B5">
        <w:rPr>
          <w:rFonts w:ascii="Arial" w:hAnsi="Arial" w:cs="Arial"/>
          <w:i/>
          <w:iCs/>
          <w:sz w:val="24"/>
          <w:szCs w:val="24"/>
        </w:rPr>
        <w:t xml:space="preserve">“En atención a su escrito con número de </w:t>
      </w:r>
      <w:bookmarkStart w:id="2" w:name="_GoBack"/>
      <w:r w:rsidRPr="009804B5">
        <w:rPr>
          <w:rFonts w:ascii="Arial" w:hAnsi="Arial" w:cs="Arial"/>
          <w:i/>
          <w:iCs/>
          <w:sz w:val="24"/>
          <w:szCs w:val="24"/>
        </w:rPr>
        <w:t>folio</w:t>
      </w:r>
      <w:bookmarkEnd w:id="2"/>
      <w:r w:rsidRPr="009804B5">
        <w:rPr>
          <w:rFonts w:ascii="Arial" w:hAnsi="Arial" w:cs="Arial"/>
          <w:i/>
          <w:iCs/>
          <w:sz w:val="24"/>
          <w:szCs w:val="24"/>
        </w:rPr>
        <w:t xml:space="preserve"> </w:t>
      </w:r>
      <w:r w:rsidR="005D5D2E">
        <w:rPr>
          <w:rFonts w:cs="Arial"/>
          <w:b/>
          <w:sz w:val="24"/>
          <w:szCs w:val="24"/>
        </w:rPr>
        <w:t>**********</w:t>
      </w:r>
      <w:r w:rsidRPr="009804B5">
        <w:rPr>
          <w:rFonts w:ascii="Arial" w:hAnsi="Arial" w:cs="Arial"/>
          <w:i/>
          <w:iCs/>
          <w:sz w:val="24"/>
          <w:szCs w:val="24"/>
        </w:rPr>
        <w:t xml:space="preserve"> recibido en cuatro de octubre del presente año por el Departamento de Recepción, Registro y Control de esta Secretaría, en cuanto a su contenido se puede advertir que requiere información en el cuerpo del asunto que nos ocupa, por lo anterior con fundamento en el artículo 8 de la Constitución Política de los Estados Unidos Mexicanos, artículo 13 de la Constitución Política del Estado Libre y Soberano de Oaxaca, artículo 20 y 40 de la Ley Orgánica del Poder Ejecutivo del Estado de Oaxaca; artículo 14 de la Ley de Movilidad para el Estado de Oaxaca, artículo 42 en su fracción II del Reglamento Interno de la Secretaría de Vialidad y Transporte, le expongo lo siguiente:</w:t>
      </w:r>
    </w:p>
    <w:p w:rsidR="003B5653" w:rsidRPr="009804B5" w:rsidRDefault="003B5653" w:rsidP="003B5653">
      <w:pPr>
        <w:spacing w:line="360" w:lineRule="auto"/>
        <w:ind w:firstLine="567"/>
        <w:jc w:val="both"/>
        <w:rPr>
          <w:rFonts w:ascii="Arial" w:hAnsi="Arial" w:cs="Arial"/>
          <w:i/>
          <w:iCs/>
          <w:sz w:val="24"/>
          <w:szCs w:val="24"/>
        </w:rPr>
      </w:pPr>
    </w:p>
    <w:p w:rsidR="003B5653" w:rsidRDefault="003B5653" w:rsidP="003B5653">
      <w:pPr>
        <w:spacing w:line="360" w:lineRule="auto"/>
        <w:ind w:firstLine="567"/>
        <w:jc w:val="both"/>
        <w:rPr>
          <w:rFonts w:ascii="Arial" w:hAnsi="Arial" w:cs="Arial"/>
          <w:i/>
          <w:iCs/>
          <w:sz w:val="24"/>
          <w:szCs w:val="24"/>
        </w:rPr>
      </w:pPr>
      <w:r w:rsidRPr="009804B5">
        <w:rPr>
          <w:rFonts w:ascii="Arial" w:hAnsi="Arial" w:cs="Arial"/>
          <w:i/>
          <w:iCs/>
          <w:sz w:val="24"/>
          <w:szCs w:val="24"/>
        </w:rPr>
        <w:lastRenderedPageBreak/>
        <w:t xml:space="preserve">Después de realizar una búsqueda minuciosa dentro de la base de datos del Sistema de Control y Administración de Concesiones (SICAC) de esta Secretaría, </w:t>
      </w:r>
      <w:r w:rsidRPr="009804B5">
        <w:rPr>
          <w:rFonts w:ascii="Arial" w:hAnsi="Arial" w:cs="Arial"/>
          <w:b/>
          <w:bCs/>
          <w:i/>
          <w:iCs/>
          <w:sz w:val="24"/>
          <w:szCs w:val="24"/>
        </w:rPr>
        <w:t>NO SE ENCONTRÓ</w:t>
      </w:r>
      <w:r w:rsidRPr="009804B5">
        <w:rPr>
          <w:rFonts w:ascii="Arial" w:hAnsi="Arial" w:cs="Arial"/>
          <w:i/>
          <w:iCs/>
          <w:sz w:val="24"/>
          <w:szCs w:val="24"/>
        </w:rPr>
        <w:t xml:space="preserve"> registro a nombre de </w:t>
      </w:r>
      <w:r w:rsidR="005D5D2E">
        <w:rPr>
          <w:rFonts w:cs="Arial"/>
          <w:b/>
          <w:sz w:val="24"/>
          <w:szCs w:val="24"/>
        </w:rPr>
        <w:t>**********</w:t>
      </w:r>
      <w:r w:rsidR="005D5D2E">
        <w:rPr>
          <w:rFonts w:cs="Arial"/>
          <w:b/>
          <w:sz w:val="24"/>
          <w:szCs w:val="24"/>
        </w:rPr>
        <w:t xml:space="preserve"> </w:t>
      </w:r>
      <w:r w:rsidRPr="009804B5">
        <w:rPr>
          <w:rFonts w:ascii="Arial" w:hAnsi="Arial" w:cs="Arial"/>
          <w:i/>
          <w:iCs/>
          <w:sz w:val="24"/>
          <w:szCs w:val="24"/>
        </w:rPr>
        <w:t>por lo anterior me encuentro imposibilitado para dar respuesta favorable a su petición…”</w:t>
      </w:r>
    </w:p>
    <w:p w:rsidR="003B5653" w:rsidRDefault="003B5653" w:rsidP="003B5653">
      <w:pPr>
        <w:spacing w:line="360" w:lineRule="auto"/>
        <w:ind w:firstLine="708"/>
        <w:jc w:val="both"/>
        <w:rPr>
          <w:rFonts w:ascii="Arial" w:hAnsi="Arial" w:cs="Arial"/>
          <w:i/>
          <w:iCs/>
          <w:sz w:val="24"/>
          <w:szCs w:val="24"/>
        </w:rPr>
      </w:pPr>
    </w:p>
    <w:p w:rsidR="003B5653" w:rsidRDefault="003B5653" w:rsidP="003B5653">
      <w:pPr>
        <w:spacing w:line="360" w:lineRule="auto"/>
        <w:ind w:firstLine="567"/>
        <w:jc w:val="both"/>
        <w:rPr>
          <w:rFonts w:ascii="Arial" w:hAnsi="Arial" w:cs="Arial"/>
          <w:sz w:val="24"/>
          <w:szCs w:val="24"/>
        </w:rPr>
      </w:pPr>
      <w:r>
        <w:rPr>
          <w:rFonts w:ascii="Arial" w:hAnsi="Arial" w:cs="Arial"/>
          <w:sz w:val="24"/>
          <w:szCs w:val="24"/>
        </w:rPr>
        <w:t xml:space="preserve">De lo antes transcrito se advierte que es </w:t>
      </w:r>
      <w:r w:rsidRPr="0086732A">
        <w:rPr>
          <w:rFonts w:ascii="Arial" w:hAnsi="Arial" w:cs="Arial"/>
          <w:b/>
          <w:bCs/>
          <w:sz w:val="24"/>
          <w:szCs w:val="24"/>
        </w:rPr>
        <w:t>fundado</w:t>
      </w:r>
      <w:r>
        <w:rPr>
          <w:rFonts w:ascii="Arial" w:hAnsi="Arial" w:cs="Arial"/>
          <w:sz w:val="24"/>
          <w:szCs w:val="24"/>
        </w:rPr>
        <w:t xml:space="preserve"> el concepto de impugnación hecho valer por el actor marcado como único, esto es, el acto impugnado carece de la debida fundamentación y motivación. Se dice lo anterior en razón que, la autoridad demandada únicamente plasma como fundamento legal los artículos </w:t>
      </w:r>
      <w:r w:rsidRPr="004A34AA">
        <w:rPr>
          <w:rFonts w:ascii="Arial" w:hAnsi="Arial" w:cs="Arial"/>
          <w:sz w:val="24"/>
          <w:szCs w:val="24"/>
        </w:rPr>
        <w:t>8 de la Constitución Política de los Estados Unidos Mexicanos, artículo 13 de la Constitución Política del Estado Libre y Soberano de Oaxaca, artículo 20 y 40 de la Ley Orgánica del Poder Ejecutivo del Estado de Oaxaca; artículo 14 de la Ley de Movilidad para el Estado de Oaxaca, artículo 42 en su fracción II del Reglamento Interno de la Secretaría de Vialidad y Transporte</w:t>
      </w:r>
      <w:r>
        <w:rPr>
          <w:rFonts w:ascii="Arial" w:hAnsi="Arial" w:cs="Arial"/>
          <w:sz w:val="24"/>
          <w:szCs w:val="24"/>
        </w:rPr>
        <w:t>, que a la letra dicen:</w:t>
      </w:r>
    </w:p>
    <w:p w:rsidR="003B5653" w:rsidRDefault="003B5653" w:rsidP="003B5653">
      <w:pPr>
        <w:spacing w:line="360" w:lineRule="auto"/>
        <w:ind w:firstLine="567"/>
        <w:jc w:val="both"/>
        <w:rPr>
          <w:rFonts w:ascii="Arial" w:hAnsi="Arial" w:cs="Arial"/>
          <w:sz w:val="24"/>
          <w:szCs w:val="24"/>
        </w:rPr>
      </w:pPr>
    </w:p>
    <w:p w:rsidR="003B5653" w:rsidRPr="00AF4F40" w:rsidRDefault="003B5653" w:rsidP="003B5653">
      <w:pPr>
        <w:spacing w:line="360" w:lineRule="auto"/>
        <w:ind w:firstLine="567"/>
        <w:jc w:val="both"/>
        <w:rPr>
          <w:rFonts w:ascii="Arial" w:hAnsi="Arial" w:cs="Arial"/>
          <w:i/>
          <w:iCs/>
          <w:sz w:val="24"/>
          <w:szCs w:val="24"/>
        </w:rPr>
      </w:pPr>
      <w:r w:rsidRPr="00AF4F40">
        <w:rPr>
          <w:rFonts w:ascii="Arial" w:hAnsi="Arial" w:cs="Arial"/>
          <w:b/>
          <w:bCs/>
          <w:i/>
          <w:iCs/>
          <w:sz w:val="24"/>
          <w:szCs w:val="24"/>
        </w:rPr>
        <w:t>“Artículo 8.</w:t>
      </w:r>
      <w:r w:rsidRPr="00AF4F40">
        <w:rPr>
          <w:rFonts w:ascii="Arial" w:hAnsi="Arial" w:cs="Arial"/>
          <w:i/>
          <w:iCs/>
          <w:sz w:val="24"/>
          <w:szCs w:val="24"/>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  </w:t>
      </w:r>
    </w:p>
    <w:p w:rsidR="003B5653" w:rsidRPr="00AF4F40" w:rsidRDefault="003B5653" w:rsidP="003B5653">
      <w:pPr>
        <w:spacing w:line="360" w:lineRule="auto"/>
        <w:ind w:firstLine="708"/>
        <w:jc w:val="both"/>
        <w:rPr>
          <w:rFonts w:ascii="Arial" w:hAnsi="Arial" w:cs="Arial"/>
          <w:i/>
          <w:iCs/>
          <w:sz w:val="24"/>
          <w:szCs w:val="24"/>
        </w:rPr>
      </w:pPr>
      <w:r w:rsidRPr="00AF4F40">
        <w:rPr>
          <w:rFonts w:ascii="Arial" w:hAnsi="Arial" w:cs="Arial"/>
          <w:i/>
          <w:iCs/>
          <w:sz w:val="24"/>
          <w:szCs w:val="24"/>
        </w:rPr>
        <w:t>A toda petición deberá recaer un acuerdo escrito de la autoridad a quien se haya dirigido, la cual tiene obligación de hacerlo conocer en breve término al peticionario.</w:t>
      </w:r>
    </w:p>
    <w:p w:rsidR="003B5653" w:rsidRPr="00AF4F40" w:rsidRDefault="003B5653" w:rsidP="003B5653">
      <w:pPr>
        <w:spacing w:line="360" w:lineRule="auto"/>
        <w:ind w:firstLine="708"/>
        <w:jc w:val="both"/>
        <w:rPr>
          <w:rFonts w:ascii="Arial" w:hAnsi="Arial" w:cs="Arial"/>
          <w:i/>
          <w:iCs/>
          <w:sz w:val="24"/>
          <w:szCs w:val="24"/>
        </w:rPr>
      </w:pPr>
    </w:p>
    <w:p w:rsidR="003B5653" w:rsidRPr="00AF4F40" w:rsidRDefault="003B5653" w:rsidP="003B5653">
      <w:pPr>
        <w:spacing w:line="360" w:lineRule="auto"/>
        <w:ind w:firstLine="567"/>
        <w:jc w:val="both"/>
        <w:rPr>
          <w:rFonts w:ascii="Arial" w:hAnsi="Arial" w:cs="Arial"/>
          <w:i/>
          <w:iCs/>
          <w:sz w:val="24"/>
          <w:szCs w:val="24"/>
        </w:rPr>
      </w:pPr>
      <w:r w:rsidRPr="00AF4F40">
        <w:rPr>
          <w:rFonts w:ascii="Arial" w:hAnsi="Arial" w:cs="Arial"/>
          <w:b/>
          <w:bCs/>
          <w:i/>
          <w:iCs/>
          <w:sz w:val="24"/>
          <w:szCs w:val="24"/>
        </w:rPr>
        <w:t>Artículo 13.-</w:t>
      </w:r>
      <w:r w:rsidRPr="00AF4F40">
        <w:rPr>
          <w:rFonts w:ascii="Arial" w:hAnsi="Arial" w:cs="Arial"/>
          <w:i/>
          <w:iCs/>
          <w:sz w:val="24"/>
          <w:szCs w:val="24"/>
        </w:rPr>
        <w:t xml:space="preserve"> Ninguna ley ni autoridad podrá limitar el derecho de petición, con tal que ésta se formule por escrito o por medios electrónicos, de manera pacífica y respetuosa. En asuntos políticos, sólo podrán ejercerlo los ciudadanos de la República. La autoridad a quién se dirija la petición tiene la obligación de contestarla por escrito o por medio electrónico solicitado, en el término de diez días, cuando la ley no fije otro, y hacer llegar desde luego su respuesta al peticionario. </w:t>
      </w:r>
    </w:p>
    <w:p w:rsidR="003B5653" w:rsidRPr="00AF4F40" w:rsidRDefault="003B5653" w:rsidP="003B5653">
      <w:pPr>
        <w:spacing w:line="360" w:lineRule="auto"/>
        <w:ind w:firstLine="708"/>
        <w:jc w:val="both"/>
        <w:rPr>
          <w:rFonts w:ascii="Arial" w:hAnsi="Arial" w:cs="Arial"/>
          <w:i/>
          <w:iCs/>
          <w:sz w:val="24"/>
          <w:szCs w:val="24"/>
        </w:rPr>
      </w:pPr>
      <w:r w:rsidRPr="00AF4F40">
        <w:rPr>
          <w:rFonts w:ascii="Arial" w:hAnsi="Arial" w:cs="Arial"/>
          <w:i/>
          <w:iCs/>
          <w:sz w:val="24"/>
          <w:szCs w:val="24"/>
        </w:rPr>
        <w:t xml:space="preserve"> …</w:t>
      </w:r>
    </w:p>
    <w:p w:rsidR="003B5653" w:rsidRPr="00AF4F40" w:rsidRDefault="003B5653" w:rsidP="003B5653">
      <w:pPr>
        <w:spacing w:line="360" w:lineRule="auto"/>
        <w:ind w:firstLine="567"/>
        <w:jc w:val="both"/>
        <w:rPr>
          <w:rFonts w:ascii="Arial" w:hAnsi="Arial" w:cs="Arial"/>
          <w:i/>
          <w:iCs/>
          <w:sz w:val="24"/>
          <w:szCs w:val="24"/>
        </w:rPr>
      </w:pPr>
      <w:r w:rsidRPr="00AF4F40">
        <w:rPr>
          <w:rFonts w:ascii="Arial" w:hAnsi="Arial" w:cs="Arial"/>
          <w:b/>
          <w:bCs/>
          <w:i/>
          <w:iCs/>
          <w:sz w:val="24"/>
          <w:szCs w:val="24"/>
        </w:rPr>
        <w:t>Artículo 20.</w:t>
      </w:r>
      <w:r w:rsidRPr="00AF4F40">
        <w:rPr>
          <w:rFonts w:ascii="Arial" w:hAnsi="Arial" w:cs="Arial"/>
          <w:i/>
          <w:iCs/>
          <w:sz w:val="24"/>
          <w:szCs w:val="24"/>
        </w:rPr>
        <w:t xml:space="preserve"> Cuando alguna Dependencia o Entidad de la Administración Pública Estatal, necesite informes, datos o la cooperación técnica de otra, deberá solicitarlo por escrito; la institución que reciba dicha solicitud deberá proporcionar lo solicitado dentro del ámbito de sus atribuciones, y en los términos previstos por la Constitución y las leyes secundarias.</w:t>
      </w:r>
    </w:p>
    <w:p w:rsidR="003B5653" w:rsidRPr="00AF4F40" w:rsidRDefault="003B5653" w:rsidP="003B5653">
      <w:pPr>
        <w:spacing w:line="360" w:lineRule="auto"/>
        <w:ind w:firstLine="708"/>
        <w:jc w:val="both"/>
        <w:rPr>
          <w:rFonts w:ascii="Arial" w:hAnsi="Arial" w:cs="Arial"/>
          <w:i/>
          <w:iCs/>
          <w:sz w:val="24"/>
          <w:szCs w:val="24"/>
        </w:rPr>
      </w:pPr>
    </w:p>
    <w:p w:rsidR="003B5653" w:rsidRDefault="003B5653" w:rsidP="003B5653">
      <w:pPr>
        <w:spacing w:line="360" w:lineRule="auto"/>
        <w:ind w:firstLine="567"/>
        <w:jc w:val="both"/>
        <w:rPr>
          <w:rFonts w:ascii="Arial" w:hAnsi="Arial" w:cs="Arial"/>
          <w:i/>
          <w:iCs/>
          <w:sz w:val="24"/>
          <w:szCs w:val="24"/>
        </w:rPr>
      </w:pPr>
      <w:r w:rsidRPr="00AF4F40">
        <w:rPr>
          <w:rFonts w:ascii="Arial" w:hAnsi="Arial" w:cs="Arial"/>
          <w:b/>
          <w:bCs/>
          <w:i/>
          <w:iCs/>
          <w:sz w:val="24"/>
          <w:szCs w:val="24"/>
        </w:rPr>
        <w:t>Artículo 40.</w:t>
      </w:r>
      <w:r w:rsidRPr="00AF4F40">
        <w:rPr>
          <w:rFonts w:ascii="Arial" w:hAnsi="Arial" w:cs="Arial"/>
          <w:i/>
          <w:iCs/>
          <w:sz w:val="24"/>
          <w:szCs w:val="24"/>
        </w:rPr>
        <w:t xml:space="preserve"> A la Secretaría de Movilidad le corresponde el despacho, estudio, resolución y planeación de los siguientes asuntos:</w:t>
      </w:r>
    </w:p>
    <w:p w:rsidR="003B5653" w:rsidRPr="00BB0E50" w:rsidRDefault="003B5653" w:rsidP="003B5653">
      <w:pPr>
        <w:spacing w:line="360" w:lineRule="auto"/>
        <w:ind w:firstLine="567"/>
        <w:jc w:val="both"/>
        <w:rPr>
          <w:rFonts w:ascii="Arial" w:hAnsi="Arial" w:cs="Arial"/>
          <w:sz w:val="24"/>
          <w:szCs w:val="24"/>
        </w:rPr>
      </w:pPr>
      <w:r>
        <w:rPr>
          <w:rFonts w:ascii="Arial" w:hAnsi="Arial" w:cs="Arial"/>
          <w:i/>
          <w:iCs/>
          <w:sz w:val="24"/>
          <w:szCs w:val="24"/>
        </w:rPr>
        <w:t>…</w:t>
      </w:r>
    </w:p>
    <w:p w:rsidR="003B5653" w:rsidRPr="00BB0E50" w:rsidRDefault="003B5653" w:rsidP="003B5653">
      <w:pPr>
        <w:spacing w:line="360" w:lineRule="auto"/>
        <w:ind w:firstLine="708"/>
        <w:jc w:val="both"/>
        <w:rPr>
          <w:rFonts w:ascii="Arial" w:hAnsi="Arial" w:cs="Arial"/>
          <w:sz w:val="24"/>
          <w:szCs w:val="24"/>
        </w:rPr>
      </w:pPr>
      <w:r w:rsidRPr="00BB0E50">
        <w:rPr>
          <w:rFonts w:ascii="Arial" w:hAnsi="Arial" w:cs="Arial"/>
          <w:sz w:val="24"/>
          <w:szCs w:val="24"/>
        </w:rPr>
        <w:lastRenderedPageBreak/>
        <w:t xml:space="preserve"> </w:t>
      </w:r>
    </w:p>
    <w:p w:rsidR="003B5653" w:rsidRPr="00262E39" w:rsidRDefault="003B5653" w:rsidP="003B5653">
      <w:pPr>
        <w:pStyle w:val="Prrafodelista"/>
        <w:spacing w:line="360" w:lineRule="auto"/>
        <w:ind w:left="1428"/>
        <w:jc w:val="both"/>
        <w:rPr>
          <w:rFonts w:ascii="Arial" w:hAnsi="Arial" w:cs="Arial"/>
          <w:i/>
          <w:iCs/>
          <w:sz w:val="24"/>
          <w:szCs w:val="24"/>
        </w:rPr>
      </w:pPr>
      <w:r w:rsidRPr="008736C8">
        <w:rPr>
          <w:rFonts w:ascii="Arial" w:hAnsi="Arial" w:cs="Arial"/>
          <w:i/>
          <w:iCs/>
          <w:sz w:val="24"/>
          <w:szCs w:val="24"/>
        </w:rPr>
        <w:t>VIII. Conocer</w:t>
      </w:r>
      <w:r w:rsidRPr="00262E39">
        <w:rPr>
          <w:rFonts w:ascii="Arial" w:hAnsi="Arial" w:cs="Arial"/>
          <w:i/>
          <w:iCs/>
          <w:sz w:val="24"/>
          <w:szCs w:val="24"/>
        </w:rPr>
        <w:t xml:space="preserve">, iniciar e instruir los trámites y procedimientos para otorgar, negar, revocar, cancelar, suspender, modificar, prorrogar, renovar, aprobar y dar por terminadas, según corresponda, las concesiones y permisos, para la explotación del servicio público de transporte en el Estado, que otorgue el Gobernador del Estado, en términos de la Ley de la materia;  </w:t>
      </w:r>
    </w:p>
    <w:p w:rsidR="003B5653" w:rsidRPr="00262E39" w:rsidRDefault="003B5653" w:rsidP="003B5653">
      <w:pPr>
        <w:pStyle w:val="Prrafodelista"/>
        <w:spacing w:line="360" w:lineRule="auto"/>
        <w:ind w:left="1428"/>
        <w:jc w:val="both"/>
        <w:rPr>
          <w:rFonts w:ascii="Arial" w:hAnsi="Arial" w:cs="Arial"/>
          <w:i/>
          <w:iCs/>
          <w:sz w:val="24"/>
          <w:szCs w:val="24"/>
        </w:rPr>
      </w:pPr>
      <w:r w:rsidRPr="008736C8">
        <w:rPr>
          <w:rFonts w:ascii="Arial" w:hAnsi="Arial" w:cs="Arial"/>
          <w:i/>
          <w:iCs/>
          <w:sz w:val="24"/>
          <w:szCs w:val="24"/>
        </w:rPr>
        <w:t>XV. Iniciar</w:t>
      </w:r>
      <w:r w:rsidRPr="00262E39">
        <w:rPr>
          <w:rFonts w:ascii="Arial" w:hAnsi="Arial" w:cs="Arial"/>
          <w:i/>
          <w:iCs/>
          <w:sz w:val="24"/>
          <w:szCs w:val="24"/>
        </w:rPr>
        <w:t xml:space="preserve">, integrar y resolver los procedimientos administrativos establecidos en la Ley de la materia y sus reglamentos; </w:t>
      </w:r>
    </w:p>
    <w:p w:rsidR="003B5653" w:rsidRPr="00262E39" w:rsidRDefault="003B5653" w:rsidP="003B5653">
      <w:pPr>
        <w:pStyle w:val="Prrafodelista"/>
        <w:spacing w:line="360" w:lineRule="auto"/>
        <w:ind w:left="1428"/>
        <w:jc w:val="both"/>
        <w:rPr>
          <w:rFonts w:ascii="Arial" w:hAnsi="Arial" w:cs="Arial"/>
          <w:i/>
          <w:iCs/>
          <w:sz w:val="24"/>
          <w:szCs w:val="24"/>
        </w:rPr>
      </w:pPr>
      <w:r w:rsidRPr="008736C8">
        <w:rPr>
          <w:rFonts w:ascii="Arial" w:hAnsi="Arial" w:cs="Arial"/>
          <w:i/>
          <w:iCs/>
          <w:sz w:val="24"/>
          <w:szCs w:val="24"/>
        </w:rPr>
        <w:t>XVII. Expedir</w:t>
      </w:r>
      <w:r w:rsidRPr="00262E39">
        <w:rPr>
          <w:rFonts w:ascii="Arial" w:hAnsi="Arial" w:cs="Arial"/>
          <w:i/>
          <w:iCs/>
          <w:sz w:val="24"/>
          <w:szCs w:val="24"/>
        </w:rPr>
        <w:t xml:space="preserve"> tarjetas de circulación de transporte público y particular. En los casos de los servicios del transporte público, revisar y, en su caso, autorizar la documentación del solicitante y de ser procedente entregar los documentos previstos en la Ley de la materia, tales como título de concesión, cesión de concesión, tarjetón de concesión, tarjeta de circulación, engomado alfanumérico y placas de circulación, entre otros; así como, autorizar y entregar los permisos, placas y tarjetas de circulación y engomado alfanumérico del transporte público, previstos en la Ley de la materia, en coordinación con las instancias gubernamentales que se requieran;  </w:t>
      </w:r>
    </w:p>
    <w:p w:rsidR="003B5653" w:rsidRPr="00262E39" w:rsidRDefault="003B5653" w:rsidP="003B5653">
      <w:pPr>
        <w:pStyle w:val="Prrafodelista"/>
        <w:spacing w:line="360" w:lineRule="auto"/>
        <w:ind w:left="1428"/>
        <w:jc w:val="both"/>
        <w:rPr>
          <w:rFonts w:ascii="Arial" w:hAnsi="Arial" w:cs="Arial"/>
          <w:i/>
          <w:iCs/>
          <w:sz w:val="24"/>
          <w:szCs w:val="24"/>
        </w:rPr>
      </w:pPr>
      <w:r w:rsidRPr="008736C8">
        <w:rPr>
          <w:rFonts w:ascii="Arial" w:hAnsi="Arial" w:cs="Arial"/>
          <w:i/>
          <w:iCs/>
          <w:sz w:val="24"/>
          <w:szCs w:val="24"/>
        </w:rPr>
        <w:t>XVIII. Expedir</w:t>
      </w:r>
      <w:r w:rsidRPr="00262E39">
        <w:rPr>
          <w:rFonts w:ascii="Arial" w:hAnsi="Arial" w:cs="Arial"/>
          <w:i/>
          <w:iCs/>
          <w:sz w:val="24"/>
          <w:szCs w:val="24"/>
        </w:rPr>
        <w:t xml:space="preserve"> licencias de manejo para conductores particulares y del servicio público estatal y llevar a cabo las acciones de </w:t>
      </w:r>
      <w:proofErr w:type="spellStart"/>
      <w:r w:rsidRPr="00262E39">
        <w:rPr>
          <w:rFonts w:ascii="Arial" w:hAnsi="Arial" w:cs="Arial"/>
          <w:i/>
          <w:iCs/>
          <w:sz w:val="24"/>
          <w:szCs w:val="24"/>
        </w:rPr>
        <w:t>emplacamiento</w:t>
      </w:r>
      <w:proofErr w:type="spellEnd"/>
      <w:r w:rsidRPr="00262E39">
        <w:rPr>
          <w:rFonts w:ascii="Arial" w:hAnsi="Arial" w:cs="Arial"/>
          <w:i/>
          <w:iCs/>
          <w:sz w:val="24"/>
          <w:szCs w:val="24"/>
        </w:rPr>
        <w:t xml:space="preserve"> vehicular y la emisión de permisos y tarjetas de circulación; </w:t>
      </w:r>
    </w:p>
    <w:p w:rsidR="003B5653" w:rsidRPr="00262E39" w:rsidRDefault="003B5653" w:rsidP="003B5653">
      <w:pPr>
        <w:pStyle w:val="Prrafodelista"/>
        <w:spacing w:line="360" w:lineRule="auto"/>
        <w:ind w:left="1428"/>
        <w:jc w:val="both"/>
        <w:rPr>
          <w:rFonts w:ascii="Arial" w:hAnsi="Arial" w:cs="Arial"/>
          <w:i/>
          <w:iCs/>
          <w:sz w:val="24"/>
          <w:szCs w:val="24"/>
        </w:rPr>
      </w:pPr>
      <w:r w:rsidRPr="00262E39">
        <w:rPr>
          <w:rFonts w:ascii="Arial" w:hAnsi="Arial" w:cs="Arial"/>
          <w:i/>
          <w:iCs/>
          <w:sz w:val="24"/>
          <w:szCs w:val="24"/>
        </w:rPr>
        <w:t>…</w:t>
      </w:r>
    </w:p>
    <w:p w:rsidR="003B5653" w:rsidRDefault="003B5653" w:rsidP="003B5653">
      <w:pPr>
        <w:pStyle w:val="Prrafodelista"/>
        <w:spacing w:line="360" w:lineRule="auto"/>
        <w:ind w:left="1428"/>
        <w:jc w:val="both"/>
        <w:rPr>
          <w:rFonts w:ascii="Arial" w:hAnsi="Arial" w:cs="Arial"/>
          <w:sz w:val="24"/>
          <w:szCs w:val="24"/>
        </w:rPr>
      </w:pPr>
    </w:p>
    <w:p w:rsidR="003B5653" w:rsidRPr="00787419" w:rsidRDefault="003B5653" w:rsidP="003B5653">
      <w:pPr>
        <w:pStyle w:val="Prrafodelista"/>
        <w:spacing w:line="360" w:lineRule="auto"/>
        <w:ind w:left="1428"/>
        <w:jc w:val="both"/>
        <w:rPr>
          <w:rFonts w:ascii="Arial" w:hAnsi="Arial" w:cs="Arial"/>
          <w:i/>
          <w:iCs/>
          <w:sz w:val="24"/>
          <w:szCs w:val="24"/>
        </w:rPr>
      </w:pPr>
      <w:r w:rsidRPr="00787419">
        <w:rPr>
          <w:rFonts w:ascii="Arial" w:hAnsi="Arial" w:cs="Arial"/>
          <w:b/>
          <w:bCs/>
          <w:i/>
          <w:iCs/>
          <w:sz w:val="24"/>
          <w:szCs w:val="24"/>
        </w:rPr>
        <w:t>Artículo 14.</w:t>
      </w:r>
      <w:r w:rsidRPr="00787419">
        <w:rPr>
          <w:rFonts w:ascii="Arial" w:hAnsi="Arial" w:cs="Arial"/>
          <w:i/>
          <w:iCs/>
          <w:sz w:val="24"/>
          <w:szCs w:val="24"/>
        </w:rPr>
        <w:t xml:space="preserve"> Las dependencias y entidades de la administración pública estatal deberán brindar apoyo y colaboración institucional que solicite la Secretaría, para el cumplimiento de los objetivos de esta Ley y las atribuciones señaladas en la misma.</w:t>
      </w:r>
    </w:p>
    <w:p w:rsidR="003B5653" w:rsidRPr="00787419" w:rsidRDefault="003B5653" w:rsidP="003B5653">
      <w:pPr>
        <w:pStyle w:val="Prrafodelista"/>
        <w:spacing w:line="360" w:lineRule="auto"/>
        <w:ind w:left="1428"/>
        <w:jc w:val="both"/>
        <w:rPr>
          <w:rFonts w:ascii="Arial" w:hAnsi="Arial" w:cs="Arial"/>
          <w:i/>
          <w:iCs/>
          <w:sz w:val="24"/>
          <w:szCs w:val="24"/>
        </w:rPr>
      </w:pPr>
    </w:p>
    <w:p w:rsidR="003B5653" w:rsidRDefault="003B5653" w:rsidP="003B5653">
      <w:pPr>
        <w:pStyle w:val="Prrafodelista"/>
        <w:spacing w:line="360" w:lineRule="auto"/>
        <w:ind w:left="1428"/>
        <w:jc w:val="both"/>
        <w:rPr>
          <w:rFonts w:ascii="Arial" w:hAnsi="Arial" w:cs="Arial"/>
          <w:i/>
          <w:iCs/>
          <w:sz w:val="24"/>
          <w:szCs w:val="24"/>
        </w:rPr>
      </w:pPr>
      <w:r w:rsidRPr="00787419">
        <w:rPr>
          <w:rFonts w:ascii="Arial" w:hAnsi="Arial" w:cs="Arial"/>
          <w:b/>
          <w:bCs/>
          <w:i/>
          <w:iCs/>
          <w:sz w:val="24"/>
          <w:szCs w:val="24"/>
        </w:rPr>
        <w:t>Artículo 42.</w:t>
      </w:r>
      <w:r w:rsidRPr="00787419">
        <w:rPr>
          <w:rFonts w:ascii="Arial" w:hAnsi="Arial" w:cs="Arial"/>
          <w:i/>
          <w:iCs/>
          <w:sz w:val="24"/>
          <w:szCs w:val="24"/>
        </w:rPr>
        <w:t xml:space="preserve"> Al frente de la Dirección de Concesiones, habrá un Director, que dependerá jerárquicamente del Secretario, y tendrá las siguientes facultades: </w:t>
      </w:r>
    </w:p>
    <w:p w:rsidR="003B5653" w:rsidRPr="00787419" w:rsidRDefault="003B5653" w:rsidP="003B5653">
      <w:pPr>
        <w:pStyle w:val="Prrafodelista"/>
        <w:spacing w:line="360" w:lineRule="auto"/>
        <w:ind w:left="1428"/>
        <w:jc w:val="both"/>
        <w:rPr>
          <w:rFonts w:ascii="Arial" w:hAnsi="Arial" w:cs="Arial"/>
          <w:i/>
          <w:iCs/>
          <w:sz w:val="24"/>
          <w:szCs w:val="24"/>
        </w:rPr>
      </w:pPr>
    </w:p>
    <w:p w:rsidR="003B5653" w:rsidRDefault="003B5653" w:rsidP="003B5653">
      <w:pPr>
        <w:pStyle w:val="Prrafodelista"/>
        <w:spacing w:line="360" w:lineRule="auto"/>
        <w:ind w:left="1428"/>
        <w:jc w:val="both"/>
        <w:rPr>
          <w:rFonts w:ascii="Arial" w:hAnsi="Arial" w:cs="Arial"/>
          <w:sz w:val="24"/>
          <w:szCs w:val="24"/>
        </w:rPr>
      </w:pPr>
      <w:r w:rsidRPr="00787419">
        <w:rPr>
          <w:rFonts w:ascii="Arial" w:hAnsi="Arial" w:cs="Arial"/>
          <w:i/>
          <w:iCs/>
          <w:sz w:val="24"/>
          <w:szCs w:val="24"/>
        </w:rPr>
        <w:t xml:space="preserve">II. Coordinar la expedición de las autorizaciones relativas al otorgamiento, renovación o prórroga de las concesiones, así como, los trámites de alta, cambio y </w:t>
      </w:r>
      <w:proofErr w:type="spellStart"/>
      <w:r w:rsidRPr="00787419">
        <w:rPr>
          <w:rFonts w:ascii="Arial" w:hAnsi="Arial" w:cs="Arial"/>
          <w:i/>
          <w:iCs/>
          <w:sz w:val="24"/>
          <w:szCs w:val="24"/>
        </w:rPr>
        <w:t>reemplacamiento</w:t>
      </w:r>
      <w:proofErr w:type="spellEnd"/>
      <w:r w:rsidRPr="00787419">
        <w:rPr>
          <w:rFonts w:ascii="Arial" w:hAnsi="Arial" w:cs="Arial"/>
          <w:i/>
          <w:iCs/>
          <w:sz w:val="24"/>
          <w:szCs w:val="24"/>
        </w:rPr>
        <w:t xml:space="preserve"> de vehículos;</w:t>
      </w:r>
      <w:r>
        <w:rPr>
          <w:rFonts w:ascii="Arial" w:hAnsi="Arial" w:cs="Arial"/>
          <w:i/>
          <w:iCs/>
          <w:sz w:val="24"/>
          <w:szCs w:val="24"/>
        </w:rPr>
        <w:t>”</w:t>
      </w:r>
    </w:p>
    <w:p w:rsidR="003B5653" w:rsidRDefault="003B5653" w:rsidP="003B5653">
      <w:pPr>
        <w:pStyle w:val="Prrafodelista"/>
        <w:spacing w:line="360" w:lineRule="auto"/>
        <w:ind w:left="1428"/>
        <w:jc w:val="both"/>
        <w:rPr>
          <w:rFonts w:ascii="Arial" w:hAnsi="Arial" w:cs="Arial"/>
          <w:sz w:val="24"/>
          <w:szCs w:val="24"/>
        </w:rPr>
      </w:pPr>
    </w:p>
    <w:p w:rsidR="003B5653" w:rsidRPr="00A33C65" w:rsidRDefault="003B5653" w:rsidP="003B5653">
      <w:pPr>
        <w:pStyle w:val="NormalWeb"/>
        <w:spacing w:before="0" w:beforeAutospacing="0" w:after="0" w:afterAutospacing="0" w:line="360" w:lineRule="auto"/>
        <w:ind w:firstLine="567"/>
        <w:jc w:val="both"/>
        <w:rPr>
          <w:rFonts w:ascii="Arial" w:hAnsi="Arial" w:cs="Arial"/>
          <w:color w:val="212529"/>
        </w:rPr>
      </w:pPr>
      <w:r>
        <w:rPr>
          <w:rFonts w:ascii="Arial" w:hAnsi="Arial" w:cs="Arial"/>
        </w:rPr>
        <w:t xml:space="preserve">De los numerales antes transcritos se advierte que la demandada únicamente plasma como fundamentación los artículos que establecen el medio y la forma en </w:t>
      </w:r>
      <w:r>
        <w:rPr>
          <w:rFonts w:ascii="Arial" w:hAnsi="Arial" w:cs="Arial"/>
        </w:rPr>
        <w:lastRenderedPageBreak/>
        <w:t xml:space="preserve">que los administrados deben hacer valer su derecho de petición, así como aquellos que facultan a la </w:t>
      </w:r>
      <w:r w:rsidRPr="002812AE">
        <w:rPr>
          <w:rFonts w:ascii="Arial" w:hAnsi="Arial" w:cs="Arial"/>
        </w:rPr>
        <w:t>Secretaría de</w:t>
      </w:r>
      <w:r w:rsidRPr="00AF4F40">
        <w:rPr>
          <w:rFonts w:ascii="Arial" w:hAnsi="Arial" w:cs="Arial"/>
          <w:i/>
          <w:iCs/>
        </w:rPr>
        <w:t xml:space="preserve"> </w:t>
      </w:r>
      <w:r w:rsidRPr="002812AE">
        <w:rPr>
          <w:rFonts w:ascii="Arial" w:hAnsi="Arial" w:cs="Arial"/>
        </w:rPr>
        <w:t>Movilidad para</w:t>
      </w:r>
      <w:r>
        <w:rPr>
          <w:rFonts w:ascii="Arial" w:hAnsi="Arial" w:cs="Arial"/>
        </w:rPr>
        <w:t xml:space="preserve"> conocer</w:t>
      </w:r>
      <w:r w:rsidRPr="00BB0E50">
        <w:rPr>
          <w:rFonts w:ascii="Arial" w:hAnsi="Arial" w:cs="Arial"/>
        </w:rPr>
        <w:t xml:space="preserve">, </w:t>
      </w:r>
      <w:r w:rsidRPr="00942861">
        <w:rPr>
          <w:rFonts w:ascii="Arial" w:hAnsi="Arial" w:cs="Arial"/>
        </w:rPr>
        <w:t>iniciar e instruir los trámites y procedimientos para otorgar, negar, revocar, cancelar, suspender, modificar, prorrogar, renovar, aprobar y dar por terminadas, según corresponda, las concesiones y permisos, para la explotación del servicio público de transporte en el Estado, que otorgue el Gobernador del Estado</w:t>
      </w:r>
      <w:r>
        <w:rPr>
          <w:rFonts w:ascii="Arial" w:hAnsi="Arial" w:cs="Arial"/>
        </w:rPr>
        <w:t>, así como para i</w:t>
      </w:r>
      <w:r w:rsidRPr="002812AE">
        <w:rPr>
          <w:rFonts w:ascii="Arial" w:hAnsi="Arial" w:cs="Arial"/>
        </w:rPr>
        <w:t>niciar, integrar y resolver los procedimientos administrativos</w:t>
      </w:r>
      <w:r>
        <w:rPr>
          <w:rFonts w:ascii="Arial" w:hAnsi="Arial" w:cs="Arial"/>
        </w:rPr>
        <w:t>,</w:t>
      </w:r>
      <w:r w:rsidRPr="00262E39">
        <w:rPr>
          <w:rFonts w:ascii="Arial" w:hAnsi="Arial" w:cs="Arial"/>
          <w:i/>
          <w:iCs/>
        </w:rPr>
        <w:t xml:space="preserve"> </w:t>
      </w:r>
      <w:r w:rsidRPr="00C74685">
        <w:rPr>
          <w:rFonts w:ascii="Arial" w:hAnsi="Arial" w:cs="Arial"/>
        </w:rPr>
        <w:t>sin embargo</w:t>
      </w:r>
      <w:r>
        <w:rPr>
          <w:rFonts w:ascii="Arial" w:hAnsi="Arial" w:cs="Arial"/>
        </w:rPr>
        <w:t xml:space="preserve"> el Director de Concesiones no plasma el fundamento legal y la ley aplicable que prescribe sus facultades para otorgar o no la renovación de concesiones, pues el plasmado únicamente le otorga facultades para </w:t>
      </w:r>
      <w:r w:rsidRPr="00CD0161">
        <w:rPr>
          <w:rFonts w:ascii="Arial" w:hAnsi="Arial" w:cs="Arial"/>
          <w:u w:val="single"/>
        </w:rPr>
        <w:t>coordinar</w:t>
      </w:r>
      <w:r w:rsidRPr="00942861">
        <w:rPr>
          <w:rFonts w:ascii="Arial" w:hAnsi="Arial" w:cs="Arial"/>
        </w:rPr>
        <w:t xml:space="preserve"> la expedición de las autorizaciones relativas al otorgamiento, renovación o prórroga de las concesiones,</w:t>
      </w:r>
      <w:r w:rsidRPr="00787419">
        <w:rPr>
          <w:rFonts w:ascii="Arial" w:hAnsi="Arial" w:cs="Arial"/>
          <w:i/>
          <w:iCs/>
        </w:rPr>
        <w:t xml:space="preserve"> </w:t>
      </w:r>
      <w:r w:rsidRPr="00942861">
        <w:rPr>
          <w:rFonts w:ascii="Arial" w:hAnsi="Arial" w:cs="Arial"/>
        </w:rPr>
        <w:t>asimismo,</w:t>
      </w:r>
      <w:r>
        <w:rPr>
          <w:rFonts w:ascii="Arial" w:hAnsi="Arial" w:cs="Arial"/>
        </w:rPr>
        <w:t xml:space="preserve"> no plasma el fundamento legal y la ley aplicable </w:t>
      </w:r>
      <w:r w:rsidRPr="0034223A">
        <w:rPr>
          <w:rFonts w:ascii="Arial" w:hAnsi="Arial" w:cs="Arial"/>
        </w:rPr>
        <w:t>que prescribe</w:t>
      </w:r>
      <w:r>
        <w:rPr>
          <w:rFonts w:ascii="Arial" w:hAnsi="Arial" w:cs="Arial"/>
        </w:rPr>
        <w:t xml:space="preserve"> </w:t>
      </w:r>
      <w:r w:rsidRPr="00C74685">
        <w:rPr>
          <w:rFonts w:ascii="Arial" w:hAnsi="Arial" w:cs="Arial"/>
        </w:rPr>
        <w:t>que p</w:t>
      </w:r>
      <w:r w:rsidRPr="0034223A">
        <w:rPr>
          <w:rFonts w:ascii="Arial" w:hAnsi="Arial" w:cs="Arial"/>
        </w:rPr>
        <w:t>ara la renovación de la concesión debe aparecer en el Sistema de Control</w:t>
      </w:r>
      <w:r>
        <w:rPr>
          <w:rFonts w:ascii="Arial" w:hAnsi="Arial" w:cs="Arial"/>
        </w:rPr>
        <w:t xml:space="preserve">, dado que la demandada plasma como motivación únicamente que de la búsqueda minuciosa realizada en la base de </w:t>
      </w:r>
      <w:r w:rsidRPr="0034223A">
        <w:rPr>
          <w:rFonts w:ascii="Arial" w:hAnsi="Arial" w:cs="Arial"/>
        </w:rPr>
        <w:t>datos del Sistema de Control</w:t>
      </w:r>
      <w:r>
        <w:rPr>
          <w:rFonts w:ascii="Arial" w:hAnsi="Arial" w:cs="Arial"/>
        </w:rPr>
        <w:t xml:space="preserve"> de esa secretaría no se encontró registro a nombre del actor, lo cual no es suficiente para considerar el acto impugnado como debidamente fundado y motivado, en virtud que no se pronunció de las nueve documentales que acompañó el actor a su escrito por el cual solicitó la renovación de su concesión, de tres de octubre de dos mil diecinueve y recibido en esa Secretaría el cuatro siguiente, de donde se colige que el administrado realizó su petición conforme a las bases que rigen la Constitución Política de los Estados Unidos Mexicanos, y la </w:t>
      </w:r>
      <w:r w:rsidRPr="004A34AA">
        <w:rPr>
          <w:rFonts w:ascii="Arial" w:hAnsi="Arial" w:cs="Arial"/>
        </w:rPr>
        <w:t>Constitución Política del Estado Libre y Soberano de Oaxaca</w:t>
      </w:r>
      <w:r>
        <w:rPr>
          <w:rFonts w:ascii="Arial" w:hAnsi="Arial" w:cs="Arial"/>
        </w:rPr>
        <w:t xml:space="preserve">, esto es, </w:t>
      </w:r>
      <w:r w:rsidRPr="00106771">
        <w:rPr>
          <w:rFonts w:ascii="Arial" w:hAnsi="Arial" w:cs="Arial"/>
        </w:rPr>
        <w:t>por escrito</w:t>
      </w:r>
      <w:r>
        <w:rPr>
          <w:rFonts w:ascii="Arial" w:hAnsi="Arial" w:cs="Arial"/>
        </w:rPr>
        <w:t xml:space="preserve">, </w:t>
      </w:r>
      <w:r w:rsidRPr="00106771">
        <w:rPr>
          <w:rFonts w:ascii="Arial" w:hAnsi="Arial" w:cs="Arial"/>
        </w:rPr>
        <w:t>de manera pacífica y respetuosa</w:t>
      </w:r>
      <w:r>
        <w:rPr>
          <w:rFonts w:ascii="Arial" w:hAnsi="Arial" w:cs="Arial"/>
        </w:rPr>
        <w:t xml:space="preserve">, acompañando </w:t>
      </w:r>
      <w:r w:rsidRPr="001D4BA3">
        <w:rPr>
          <w:rFonts w:ascii="Arial" w:hAnsi="Arial" w:cs="Arial"/>
        </w:rPr>
        <w:t>los anexos</w:t>
      </w:r>
      <w:r>
        <w:rPr>
          <w:rFonts w:ascii="Arial" w:hAnsi="Arial" w:cs="Arial"/>
        </w:rPr>
        <w:t xml:space="preserve"> que se colige se trata de los requisitos para dar cumplimiento al trámite de renovación de concesión, esto es así, dado que el procedimiento para la </w:t>
      </w:r>
      <w:r w:rsidRPr="00234D80">
        <w:rPr>
          <w:rFonts w:ascii="Arial" w:hAnsi="Arial" w:cs="Arial"/>
        </w:rPr>
        <w:t>renovación</w:t>
      </w:r>
      <w:r w:rsidRPr="00933533">
        <w:rPr>
          <w:rFonts w:ascii="Arial" w:hAnsi="Arial" w:cs="Arial"/>
        </w:rPr>
        <w:t xml:space="preserve"> de concesiones</w:t>
      </w:r>
      <w:r>
        <w:rPr>
          <w:rFonts w:ascii="Arial" w:hAnsi="Arial" w:cs="Arial"/>
        </w:rPr>
        <w:t xml:space="preserve"> contempla</w:t>
      </w:r>
      <w:r w:rsidRPr="00234D80">
        <w:rPr>
          <w:rFonts w:ascii="Arial" w:hAnsi="Arial" w:cs="Arial"/>
        </w:rPr>
        <w:t xml:space="preserve">, entre otras cosas, que la </w:t>
      </w:r>
      <w:r w:rsidRPr="00933533">
        <w:rPr>
          <w:rFonts w:ascii="Arial" w:hAnsi="Arial" w:cs="Arial"/>
        </w:rPr>
        <w:t xml:space="preserve">solicitud de renovación deberá presentarse por escrito, </w:t>
      </w:r>
      <w:r w:rsidRPr="00234D80">
        <w:rPr>
          <w:rFonts w:ascii="Arial" w:hAnsi="Arial" w:cs="Arial"/>
        </w:rPr>
        <w:t>anexando el título de concesión</w:t>
      </w:r>
      <w:r>
        <w:rPr>
          <w:rFonts w:ascii="Arial" w:hAnsi="Arial" w:cs="Arial"/>
        </w:rPr>
        <w:t xml:space="preserve"> vencida. Sin que le sea legalmente posible a la demandada mejorar la fundamentación y motivación del acto impugnado en su escrito de contestación de demanda pues es obligación de la autoridad </w:t>
      </w:r>
      <w:r w:rsidRPr="00800E7E">
        <w:rPr>
          <w:rFonts w:ascii="Arial" w:hAnsi="Arial" w:cs="Arial"/>
          <w:color w:val="212529"/>
        </w:rPr>
        <w:t>plasma</w:t>
      </w:r>
      <w:r>
        <w:rPr>
          <w:rFonts w:ascii="Arial" w:hAnsi="Arial" w:cs="Arial"/>
          <w:color w:val="212529"/>
        </w:rPr>
        <w:t>r</w:t>
      </w:r>
      <w:r w:rsidRPr="00800E7E">
        <w:rPr>
          <w:rFonts w:ascii="Arial" w:hAnsi="Arial" w:cs="Arial"/>
          <w:color w:val="212529"/>
        </w:rPr>
        <w:t xml:space="preserve"> en el documento que contiene el acto impugnado</w:t>
      </w:r>
      <w:r>
        <w:rPr>
          <w:rFonts w:ascii="Arial" w:hAnsi="Arial" w:cs="Arial"/>
          <w:color w:val="212529"/>
        </w:rPr>
        <w:t xml:space="preserve"> la fundamentación y motivación</w:t>
      </w:r>
      <w:r w:rsidRPr="00800E7E">
        <w:rPr>
          <w:rFonts w:ascii="Arial" w:hAnsi="Arial" w:cs="Arial"/>
          <w:color w:val="212529"/>
        </w:rPr>
        <w:t xml:space="preserve"> y no en</w:t>
      </w:r>
      <w:r>
        <w:rPr>
          <w:rFonts w:ascii="Arial" w:hAnsi="Arial" w:cs="Arial"/>
          <w:color w:val="212529"/>
        </w:rPr>
        <w:t xml:space="preserve"> documento distinto,</w:t>
      </w:r>
      <w:r w:rsidRPr="00800E7E">
        <w:rPr>
          <w:rFonts w:ascii="Arial" w:hAnsi="Arial" w:cs="Arial"/>
        </w:rPr>
        <w:t xml:space="preserve"> </w:t>
      </w:r>
      <w:r>
        <w:rPr>
          <w:rFonts w:ascii="Arial" w:hAnsi="Arial" w:cs="Arial"/>
        </w:rPr>
        <w:t xml:space="preserve">sirva de apoyo la jurisprudencia con número de registro 917740, Séptima Época, de la Segunda Sala de la Suprema Corte de Justicia de la Nación, Tomo VI, página 168, de rubro y texto siguiente: </w:t>
      </w:r>
      <w:r w:rsidRPr="005A23C8">
        <w:rPr>
          <w:rFonts w:ascii="Arial" w:hAnsi="Arial" w:cs="Arial"/>
          <w:i/>
          <w:iCs/>
        </w:rPr>
        <w:t>“FUNDAMENTACIÓN</w:t>
      </w:r>
      <w:r w:rsidRPr="005A23C8">
        <w:rPr>
          <w:rFonts w:ascii="Arial" w:hAnsi="Arial" w:cs="Arial"/>
          <w:i/>
          <w:iCs/>
          <w:color w:val="212529"/>
        </w:rPr>
        <w:t xml:space="preserve"> Y MOTIVACIÓN. DEBEN CONSTAR EN EL CUERPO DE LA RESOLUCIÓN Y NO EN DOCUMENTO DISTINTO. -</w:t>
      </w:r>
      <w:r w:rsidRPr="00A33C65">
        <w:rPr>
          <w:rFonts w:ascii="Arial" w:hAnsi="Arial" w:cs="Arial"/>
          <w:b/>
          <w:bCs/>
          <w:i/>
          <w:iCs/>
          <w:color w:val="212529"/>
        </w:rPr>
        <w:t xml:space="preserve"> </w:t>
      </w:r>
      <w:r w:rsidRPr="00A33C65">
        <w:rPr>
          <w:rFonts w:ascii="Arial" w:hAnsi="Arial" w:cs="Arial"/>
          <w:i/>
          <w:iCs/>
          <w:color w:val="212529"/>
        </w:rPr>
        <w:t>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3B5653" w:rsidRPr="00BB0E50" w:rsidRDefault="003B5653" w:rsidP="003B5653">
      <w:pPr>
        <w:pStyle w:val="Prrafodelista"/>
        <w:spacing w:line="360" w:lineRule="auto"/>
        <w:ind w:left="1428"/>
        <w:jc w:val="both"/>
        <w:rPr>
          <w:rFonts w:ascii="Arial" w:hAnsi="Arial" w:cs="Arial"/>
          <w:sz w:val="24"/>
          <w:szCs w:val="24"/>
        </w:rPr>
      </w:pPr>
    </w:p>
    <w:p w:rsidR="003B5653" w:rsidRDefault="003B5653" w:rsidP="003B5653">
      <w:pPr>
        <w:pStyle w:val="NormalWeb"/>
        <w:spacing w:before="0" w:beforeAutospacing="0" w:after="0" w:afterAutospacing="0" w:line="360" w:lineRule="auto"/>
        <w:jc w:val="both"/>
        <w:rPr>
          <w:rFonts w:ascii="Calibri" w:hAnsi="Calibri" w:cs="Calibri"/>
          <w:color w:val="212529"/>
          <w:sz w:val="26"/>
          <w:szCs w:val="26"/>
        </w:rPr>
      </w:pPr>
      <w:r w:rsidRPr="00BB0E50">
        <w:rPr>
          <w:rFonts w:ascii="Arial" w:hAnsi="Arial" w:cs="Arial"/>
        </w:rPr>
        <w:t xml:space="preserve"> </w:t>
      </w:r>
      <w:r>
        <w:rPr>
          <w:rFonts w:ascii="Arial" w:hAnsi="Arial" w:cs="Arial"/>
        </w:rPr>
        <w:tab/>
        <w:t xml:space="preserve">Así como la tesis con número de registro 163020, Novena Época, publicada en el Semanario Judicial de la Federación y su Gaceta, Tomo XXXIII, Enero 2011, página 3258, de texto y rubro siguiente: </w:t>
      </w:r>
      <w:r w:rsidRPr="005A23C8">
        <w:rPr>
          <w:rFonts w:ascii="Arial" w:hAnsi="Arial" w:cs="Arial"/>
          <w:i/>
          <w:iCs/>
        </w:rPr>
        <w:t>“</w:t>
      </w:r>
      <w:r w:rsidRPr="005A23C8">
        <w:rPr>
          <w:rFonts w:ascii="Arial" w:hAnsi="Arial" w:cs="Arial"/>
          <w:i/>
          <w:iCs/>
          <w:color w:val="212529"/>
        </w:rPr>
        <w:t>RESOLUCIÓN IMPUGNADA EN EL JUICIO CONTENCIOSO ADMINISTRATIVO FEDERAL. AL EMITIR LA DETERMINACIÓN DEL RECURSO DE REVOCACIÓN O AL CONTESTAR LA DEMANDA, LA AUTORIDAD NO PUEDE CAMBIAR LA MOTIVACIÓN DE AQUÉLLA.</w:t>
      </w:r>
      <w:r w:rsidRPr="003643BF">
        <w:rPr>
          <w:rFonts w:ascii="Arial" w:hAnsi="Arial" w:cs="Arial"/>
          <w:b/>
          <w:bCs/>
          <w:i/>
          <w:iCs/>
          <w:color w:val="212529"/>
        </w:rPr>
        <w:t xml:space="preserve"> </w:t>
      </w:r>
      <w:r w:rsidRPr="003643BF">
        <w:rPr>
          <w:rFonts w:ascii="Arial" w:hAnsi="Arial" w:cs="Arial"/>
          <w:i/>
          <w:iCs/>
          <w:color w:val="212529"/>
        </w:rPr>
        <w:t xml:space="preserve">El artículo </w:t>
      </w:r>
      <w:hyperlink r:id="rId6" w:history="1">
        <w:r w:rsidRPr="003643BF">
          <w:rPr>
            <w:rStyle w:val="Hipervnculo"/>
            <w:rFonts w:ascii="Arial" w:hAnsi="Arial" w:cs="Arial"/>
            <w:i/>
            <w:iCs/>
            <w:color w:val="auto"/>
            <w:u w:val="none"/>
          </w:rPr>
          <w:t>22, primer párrafo, de la Ley Federal de Procedimiento Contencioso Administrativo</w:t>
        </w:r>
      </w:hyperlink>
      <w:r w:rsidRPr="003643BF">
        <w:rPr>
          <w:rFonts w:ascii="Arial" w:hAnsi="Arial" w:cs="Arial"/>
          <w:i/>
          <w:iCs/>
          <w:color w:val="212529"/>
        </w:rPr>
        <w:t xml:space="preserve"> establece: "En la contestación de la demanda no podrán cambiarse los fundamentos de derecho de la resolución impugnada.". Ahora bien, no obstante que este precepto sólo alude a "los fundamentos de derecho", ello no debe llevarse al extremo de que no incluya la motivación, dado que ambos requisitos son exigibles para cumplir con los artículos </w:t>
      </w:r>
      <w:hyperlink r:id="rId7" w:history="1">
        <w:r w:rsidRPr="003643BF">
          <w:rPr>
            <w:rStyle w:val="Hipervnculo"/>
            <w:rFonts w:ascii="Arial" w:hAnsi="Arial" w:cs="Arial"/>
            <w:i/>
            <w:iCs/>
            <w:color w:val="auto"/>
            <w:u w:val="none"/>
          </w:rPr>
          <w:t>38, fracción IV, del Código Fiscal de la Federación</w:t>
        </w:r>
      </w:hyperlink>
      <w:r w:rsidRPr="003643BF">
        <w:rPr>
          <w:rFonts w:ascii="Arial" w:hAnsi="Arial" w:cs="Arial"/>
          <w:i/>
          <w:iCs/>
        </w:rPr>
        <w:t xml:space="preserve"> y </w:t>
      </w:r>
      <w:hyperlink r:id="rId8" w:history="1">
        <w:r w:rsidRPr="003643BF">
          <w:rPr>
            <w:rStyle w:val="Hipervnculo"/>
            <w:rFonts w:ascii="Arial" w:hAnsi="Arial" w:cs="Arial"/>
            <w:i/>
            <w:iCs/>
            <w:color w:val="auto"/>
            <w:u w:val="none"/>
          </w:rPr>
          <w:t>16, párrafo primero, de la Constitución Política de los Estados Unidos Mexicanos</w:t>
        </w:r>
      </w:hyperlink>
      <w:r w:rsidRPr="003643BF">
        <w:rPr>
          <w:rFonts w:ascii="Arial" w:hAnsi="Arial" w:cs="Arial"/>
          <w:i/>
          <w:iCs/>
          <w:color w:val="212529"/>
        </w:rPr>
        <w:t>. Asimismo, aun cuando el citado numeral 22 únicamente se refiere a la contestación de la demanda, también es aplicable a la resolución del recurso de revocación, porque no existe disposición que autorice a mejorar la indicada motivación en ese caso, por el contrario, ambos requisitos (fundamentación y motivación), deben plasmarse en el documento que contiene el acto impugnado y no en otros, como lo manda la jurisprudencia 206 de la Segunda Sala del Máximo Tribunal de Justicia del País, visible en la página 168 del Tomo VI, Materia Común, Jurisprudencia, Suprema Corte de Justicia de la Nación, del Apéndice al Semanario Judicial de la Federación 1917-2000, de rubro: "</w:t>
      </w:r>
      <w:hyperlink r:id="rId9" w:tgtFrame="_blank" w:history="1">
        <w:r w:rsidRPr="003643BF">
          <w:rPr>
            <w:rStyle w:val="Hipervnculo"/>
            <w:rFonts w:ascii="Arial" w:hAnsi="Arial" w:cs="Arial"/>
            <w:i/>
            <w:iCs/>
            <w:color w:val="auto"/>
            <w:u w:val="none"/>
          </w:rPr>
          <w:t>FUNDAMENTACIÓN Y MOTIVACIÓN. DEBEN CONSTAR EN EL CUERPO DE LA RESOLUCIÓN Y NO EN DOCUMENTO DISTINTO</w:t>
        </w:r>
      </w:hyperlink>
      <w:r w:rsidRPr="003643BF">
        <w:rPr>
          <w:rFonts w:ascii="Arial" w:hAnsi="Arial" w:cs="Arial"/>
          <w:i/>
          <w:iCs/>
          <w:color w:val="212529"/>
        </w:rPr>
        <w:t>."</w:t>
      </w:r>
    </w:p>
    <w:p w:rsidR="003B5653" w:rsidRPr="00BB0E50" w:rsidRDefault="003B5653" w:rsidP="003B5653">
      <w:pPr>
        <w:pStyle w:val="Prrafodelista"/>
        <w:spacing w:line="360" w:lineRule="auto"/>
        <w:ind w:left="1428"/>
        <w:jc w:val="both"/>
        <w:rPr>
          <w:rFonts w:ascii="Arial" w:hAnsi="Arial" w:cs="Arial"/>
          <w:sz w:val="24"/>
          <w:szCs w:val="24"/>
        </w:rPr>
      </w:pPr>
    </w:p>
    <w:p w:rsidR="003B5653" w:rsidRDefault="003B5653" w:rsidP="003B5653">
      <w:pPr>
        <w:spacing w:line="360" w:lineRule="auto"/>
        <w:ind w:firstLine="567"/>
        <w:jc w:val="both"/>
        <w:rPr>
          <w:rFonts w:ascii="Arial" w:hAnsi="Arial" w:cs="Arial"/>
          <w:sz w:val="24"/>
          <w:szCs w:val="24"/>
        </w:rPr>
      </w:pPr>
      <w:bookmarkStart w:id="3" w:name="_Hlk84507859"/>
      <w:r w:rsidRPr="00C0515C">
        <w:rPr>
          <w:rFonts w:ascii="Arial" w:hAnsi="Arial" w:cs="Arial"/>
          <w:sz w:val="24"/>
          <w:szCs w:val="24"/>
        </w:rPr>
        <w:t>De lo antes</w:t>
      </w:r>
      <w:r w:rsidRPr="007B0581">
        <w:rPr>
          <w:rFonts w:ascii="Arial" w:hAnsi="Arial" w:cs="Arial"/>
          <w:sz w:val="24"/>
          <w:szCs w:val="24"/>
        </w:rPr>
        <w:t xml:space="preserve"> expuesto,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de la resolución</w:t>
      </w:r>
      <w:r>
        <w:rPr>
          <w:rFonts w:ascii="Arial" w:hAnsi="Arial" w:cs="Arial"/>
          <w:sz w:val="24"/>
          <w:szCs w:val="24"/>
        </w:rPr>
        <w:t xml:space="preserve"> contenida en el oficio </w:t>
      </w:r>
      <w:r w:rsidR="005D5D2E">
        <w:rPr>
          <w:rFonts w:cs="Arial"/>
          <w:b/>
          <w:sz w:val="24"/>
          <w:szCs w:val="24"/>
        </w:rPr>
        <w:t>**********</w:t>
      </w:r>
      <w:r w:rsidR="005D5D2E">
        <w:rPr>
          <w:rFonts w:cs="Arial"/>
          <w:b/>
          <w:sz w:val="24"/>
          <w:szCs w:val="24"/>
        </w:rPr>
        <w:t xml:space="preserve"> </w:t>
      </w:r>
      <w:r>
        <w:rPr>
          <w:rFonts w:ascii="Arial" w:hAnsi="Arial" w:cs="Arial"/>
          <w:sz w:val="24"/>
          <w:szCs w:val="24"/>
        </w:rPr>
        <w:t xml:space="preserve">de ocho de octubre de dos mil diecinueve emitida por el </w:t>
      </w:r>
      <w:r w:rsidRPr="006D00CB">
        <w:rPr>
          <w:rFonts w:ascii="Arial" w:hAnsi="Arial" w:cs="Arial"/>
          <w:sz w:val="24"/>
          <w:szCs w:val="24"/>
        </w:rPr>
        <w:t>Director de Concesiones de la Secretaría de Movilidad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r>
        <w:rPr>
          <w:rFonts w:ascii="Arial" w:hAnsi="Arial" w:cs="Arial"/>
          <w:sz w:val="24"/>
          <w:szCs w:val="24"/>
        </w:rPr>
        <w:t xml:space="preserve">de </w:t>
      </w:r>
      <w:r w:rsidRPr="007B0581">
        <w:rPr>
          <w:rFonts w:ascii="Arial" w:hAnsi="Arial" w:cs="Arial"/>
          <w:sz w:val="24"/>
          <w:szCs w:val="24"/>
        </w:rPr>
        <w:t>que una vez que cause estado la presente resolución,</w:t>
      </w:r>
      <w:r>
        <w:rPr>
          <w:rFonts w:ascii="Arial" w:hAnsi="Arial" w:cs="Arial"/>
          <w:sz w:val="24"/>
          <w:szCs w:val="24"/>
        </w:rPr>
        <w:t xml:space="preserve"> de ser competente</w:t>
      </w:r>
      <w:r w:rsidRPr="007B0581">
        <w:rPr>
          <w:rFonts w:ascii="Arial" w:hAnsi="Arial" w:cs="Arial"/>
          <w:sz w:val="24"/>
          <w:szCs w:val="24"/>
        </w:rPr>
        <w:t xml:space="preserve"> </w:t>
      </w:r>
      <w:r>
        <w:rPr>
          <w:rFonts w:ascii="Arial" w:hAnsi="Arial" w:cs="Arial"/>
          <w:sz w:val="24"/>
          <w:szCs w:val="24"/>
        </w:rPr>
        <w:t>dicte otra en la</w:t>
      </w:r>
      <w:r w:rsidRPr="007B0581">
        <w:rPr>
          <w:rFonts w:ascii="Arial" w:hAnsi="Arial" w:cs="Arial"/>
          <w:sz w:val="24"/>
          <w:szCs w:val="24"/>
        </w:rPr>
        <w:t xml:space="preserve"> </w:t>
      </w:r>
      <w:r>
        <w:rPr>
          <w:rFonts w:ascii="Arial" w:hAnsi="Arial" w:cs="Arial"/>
          <w:sz w:val="24"/>
          <w:szCs w:val="24"/>
        </w:rPr>
        <w:t xml:space="preserve">que resuelva la solicitud planteada por el actor, fundando y motivando su determinación en términos del artículo 17, fracción V, </w:t>
      </w:r>
      <w:r>
        <w:rPr>
          <w:rFonts w:ascii="Arial" w:hAnsi="Arial" w:cs="Arial"/>
          <w:bCs/>
          <w:sz w:val="24"/>
          <w:szCs w:val="24"/>
        </w:rPr>
        <w:t xml:space="preserve">de la </w:t>
      </w:r>
      <w:r w:rsidRPr="00A84B6D">
        <w:rPr>
          <w:rFonts w:ascii="Arial" w:hAnsi="Arial" w:cs="Arial"/>
          <w:sz w:val="24"/>
          <w:szCs w:val="24"/>
        </w:rPr>
        <w:t>Ley de Procedimiento y Justicia Administrativa para el Estado de  Oaxaca</w:t>
      </w:r>
      <w:r>
        <w:rPr>
          <w:rFonts w:ascii="Arial" w:hAnsi="Arial" w:cs="Arial"/>
          <w:sz w:val="24"/>
          <w:szCs w:val="24"/>
        </w:rPr>
        <w:t>, o en su caso la remita a la autoridad competente.</w:t>
      </w:r>
    </w:p>
    <w:p w:rsidR="003B5653" w:rsidRDefault="003B5653" w:rsidP="003B5653">
      <w:pPr>
        <w:spacing w:line="360" w:lineRule="auto"/>
        <w:ind w:firstLine="567"/>
        <w:jc w:val="both"/>
        <w:rPr>
          <w:rFonts w:ascii="Arial" w:hAnsi="Arial" w:cs="Arial"/>
          <w:sz w:val="24"/>
          <w:szCs w:val="24"/>
        </w:rPr>
      </w:pPr>
    </w:p>
    <w:p w:rsidR="003B5653" w:rsidRDefault="003B5653" w:rsidP="003B5653">
      <w:pPr>
        <w:spacing w:line="360" w:lineRule="auto"/>
        <w:ind w:firstLine="567"/>
        <w:contextualSpacing/>
        <w:jc w:val="both"/>
        <w:rPr>
          <w:rFonts w:ascii="Arial" w:hAnsi="Arial" w:cs="Arial"/>
          <w:sz w:val="24"/>
          <w:szCs w:val="24"/>
        </w:rPr>
      </w:pPr>
      <w:r>
        <w:rPr>
          <w:rFonts w:ascii="Arial" w:hAnsi="Arial" w:cs="Arial"/>
          <w:sz w:val="24"/>
          <w:szCs w:val="24"/>
        </w:rPr>
        <w:t>En el entendido que esta sentencia se tendrá por cumplida, hasta en tanto la autoridad demandada remita constancia de lo antes vertido.</w:t>
      </w:r>
    </w:p>
    <w:p w:rsidR="003B5653" w:rsidRDefault="003B5653" w:rsidP="003B5653">
      <w:pPr>
        <w:spacing w:line="360" w:lineRule="auto"/>
        <w:ind w:firstLine="709"/>
        <w:contextualSpacing/>
        <w:jc w:val="both"/>
        <w:rPr>
          <w:rFonts w:ascii="Arial" w:hAnsi="Arial" w:cs="Arial"/>
          <w:sz w:val="24"/>
          <w:szCs w:val="24"/>
        </w:rPr>
      </w:pPr>
    </w:p>
    <w:bookmarkEnd w:id="3"/>
    <w:p w:rsidR="003B5653" w:rsidRPr="007B0581" w:rsidRDefault="003B5653" w:rsidP="003B5653">
      <w:pPr>
        <w:spacing w:line="360" w:lineRule="auto"/>
        <w:ind w:right="-93" w:firstLine="567"/>
        <w:jc w:val="both"/>
        <w:rPr>
          <w:rFonts w:ascii="Arial" w:hAnsi="Arial" w:cs="Arial"/>
          <w:sz w:val="24"/>
          <w:szCs w:val="24"/>
        </w:rPr>
      </w:pPr>
      <w:r w:rsidRPr="007B0581">
        <w:rPr>
          <w:rFonts w:ascii="Arial" w:hAnsi="Arial" w:cs="Arial"/>
          <w:color w:val="FF0000"/>
          <w:sz w:val="24"/>
          <w:szCs w:val="24"/>
        </w:rPr>
        <w:lastRenderedPageBreak/>
        <w:t>.</w:t>
      </w: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Pr>
          <w:rFonts w:ascii="Arial" w:hAnsi="Arial" w:cs="Arial"/>
          <w:b/>
          <w:sz w:val="24"/>
          <w:szCs w:val="24"/>
        </w:rPr>
        <w:t>no se</w:t>
      </w:r>
      <w:r w:rsidRPr="007B0581">
        <w:rPr>
          <w:rFonts w:ascii="Arial" w:hAnsi="Arial" w:cs="Arial"/>
          <w:b/>
          <w:sz w:val="24"/>
          <w:szCs w:val="24"/>
        </w:rPr>
        <w:t xml:space="preserv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3B5653" w:rsidRPr="007B0581" w:rsidRDefault="003B5653" w:rsidP="003B5653">
      <w:pPr>
        <w:spacing w:line="360" w:lineRule="auto"/>
        <w:ind w:right="-93" w:firstLine="708"/>
        <w:jc w:val="both"/>
        <w:rPr>
          <w:rFonts w:ascii="Arial" w:eastAsia="Calibri" w:hAnsi="Arial" w:cs="Arial"/>
          <w:color w:val="000000"/>
          <w:sz w:val="24"/>
          <w:szCs w:val="24"/>
          <w:lang w:val="es-MX" w:eastAsia="en-US"/>
        </w:rPr>
      </w:pPr>
    </w:p>
    <w:p w:rsidR="003B5653" w:rsidRDefault="003B5653" w:rsidP="003B5653">
      <w:pPr>
        <w:spacing w:line="360" w:lineRule="auto"/>
        <w:ind w:firstLine="567"/>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3B5653" w:rsidRDefault="003B5653" w:rsidP="003B5653">
      <w:pPr>
        <w:spacing w:line="360" w:lineRule="auto"/>
        <w:ind w:firstLine="567"/>
        <w:jc w:val="both"/>
        <w:rPr>
          <w:rFonts w:ascii="Arial" w:eastAsia="Calibri" w:hAnsi="Arial" w:cs="Arial"/>
          <w:color w:val="000000"/>
          <w:sz w:val="24"/>
          <w:szCs w:val="24"/>
          <w:lang w:val="es-MX" w:eastAsia="en-US"/>
        </w:rPr>
      </w:pPr>
    </w:p>
    <w:p w:rsidR="003B5653" w:rsidRPr="007B0581" w:rsidRDefault="003B5653" w:rsidP="003B5653">
      <w:pPr>
        <w:spacing w:line="360" w:lineRule="auto"/>
        <w:ind w:firstLine="708"/>
        <w:jc w:val="both"/>
        <w:rPr>
          <w:rFonts w:ascii="Arial" w:eastAsia="Calibri" w:hAnsi="Arial" w:cs="Arial"/>
          <w:color w:val="000000"/>
          <w:sz w:val="24"/>
          <w:szCs w:val="24"/>
          <w:lang w:val="es-MX" w:eastAsia="en-US"/>
        </w:rPr>
      </w:pPr>
    </w:p>
    <w:p w:rsidR="003B5653" w:rsidRDefault="003B5653" w:rsidP="003B5653">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3B5653" w:rsidRPr="007B0581" w:rsidRDefault="003B5653" w:rsidP="003B5653">
      <w:pPr>
        <w:tabs>
          <w:tab w:val="left" w:pos="3786"/>
        </w:tabs>
        <w:spacing w:line="360" w:lineRule="auto"/>
        <w:ind w:firstLine="708"/>
        <w:jc w:val="both"/>
        <w:rPr>
          <w:rFonts w:ascii="Arial" w:hAnsi="Arial" w:cs="Arial"/>
          <w:b/>
          <w:sz w:val="24"/>
          <w:szCs w:val="24"/>
        </w:rPr>
      </w:pPr>
    </w:p>
    <w:p w:rsidR="003B5653" w:rsidRPr="007B0581" w:rsidRDefault="003B5653" w:rsidP="003B5653">
      <w:pPr>
        <w:tabs>
          <w:tab w:val="left" w:pos="3932"/>
        </w:tabs>
        <w:jc w:val="both"/>
        <w:rPr>
          <w:rFonts w:ascii="Arial" w:hAnsi="Arial" w:cs="Arial"/>
          <w:b/>
          <w:sz w:val="24"/>
          <w:szCs w:val="24"/>
        </w:rPr>
      </w:pPr>
      <w:r w:rsidRPr="007B0581">
        <w:rPr>
          <w:rFonts w:ascii="Arial" w:hAnsi="Arial" w:cs="Arial"/>
          <w:b/>
          <w:sz w:val="24"/>
          <w:szCs w:val="24"/>
        </w:rPr>
        <w:tab/>
      </w:r>
    </w:p>
    <w:p w:rsidR="003B5653" w:rsidRPr="007B0581" w:rsidRDefault="003B5653" w:rsidP="003B5653">
      <w:pPr>
        <w:spacing w:line="360" w:lineRule="auto"/>
        <w:ind w:firstLine="567"/>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3B5653" w:rsidRDefault="003B5653" w:rsidP="003B5653">
      <w:pPr>
        <w:pStyle w:val="Textoindependiente"/>
        <w:ind w:firstLine="709"/>
        <w:contextualSpacing/>
        <w:jc w:val="both"/>
        <w:rPr>
          <w:rFonts w:ascii="Arial" w:hAnsi="Arial" w:cs="Arial"/>
          <w:b/>
          <w:sz w:val="24"/>
          <w:szCs w:val="24"/>
        </w:rPr>
      </w:pPr>
    </w:p>
    <w:p w:rsidR="003B5653" w:rsidRPr="007B0581" w:rsidRDefault="003B5653" w:rsidP="003B5653">
      <w:pPr>
        <w:pStyle w:val="Textoindependiente"/>
        <w:ind w:firstLine="709"/>
        <w:contextualSpacing/>
        <w:jc w:val="both"/>
        <w:rPr>
          <w:rFonts w:ascii="Arial" w:hAnsi="Arial" w:cs="Arial"/>
          <w:b/>
          <w:sz w:val="24"/>
          <w:szCs w:val="24"/>
        </w:rPr>
      </w:pPr>
    </w:p>
    <w:p w:rsidR="003B5653" w:rsidRDefault="003B5653" w:rsidP="003B5653">
      <w:pPr>
        <w:pStyle w:val="Textoindependiente"/>
        <w:spacing w:line="360" w:lineRule="auto"/>
        <w:ind w:firstLine="567"/>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3B5653" w:rsidRPr="007B0581" w:rsidRDefault="003B5653" w:rsidP="003B5653">
      <w:pPr>
        <w:pStyle w:val="Textoindependiente"/>
        <w:spacing w:line="360" w:lineRule="auto"/>
        <w:ind w:firstLine="567"/>
        <w:jc w:val="both"/>
        <w:rPr>
          <w:rFonts w:ascii="Arial" w:eastAsia="Arial Unicode MS" w:hAnsi="Arial" w:cs="Arial"/>
          <w:kern w:val="1"/>
          <w:sz w:val="24"/>
          <w:szCs w:val="24"/>
          <w:lang w:val="es-MX" w:eastAsia="ar-SA"/>
        </w:rPr>
      </w:pPr>
    </w:p>
    <w:p w:rsidR="003B5653" w:rsidRDefault="003B5653" w:rsidP="003B5653">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w:t>
      </w:r>
      <w:r w:rsidRPr="002953D9">
        <w:rPr>
          <w:rFonts w:ascii="Arial" w:eastAsia="Calibri" w:hAnsi="Arial" w:cs="Arial"/>
          <w:color w:val="000000"/>
          <w:sz w:val="24"/>
          <w:szCs w:val="24"/>
          <w:lang w:val="es-MX" w:eastAsia="en-US"/>
        </w:rPr>
        <w:t>únicamente respecto de</w:t>
      </w:r>
      <w:r>
        <w:rPr>
          <w:rFonts w:ascii="Arial" w:eastAsia="Calibri" w:hAnsi="Arial" w:cs="Arial"/>
          <w:color w:val="000000"/>
          <w:sz w:val="24"/>
          <w:szCs w:val="24"/>
          <w:lang w:val="es-MX" w:eastAsia="en-US"/>
        </w:rPr>
        <w:t xml:space="preserve"> </w:t>
      </w:r>
      <w:r w:rsidRPr="002953D9">
        <w:rPr>
          <w:rFonts w:ascii="Arial" w:eastAsia="Calibri" w:hAnsi="Arial" w:cs="Arial"/>
          <w:color w:val="000000"/>
          <w:sz w:val="24"/>
          <w:szCs w:val="24"/>
          <w:lang w:val="es-MX" w:eastAsia="en-US"/>
        </w:rPr>
        <w:t>l</w:t>
      </w:r>
      <w:r>
        <w:rPr>
          <w:rFonts w:ascii="Arial" w:eastAsia="Calibri" w:hAnsi="Arial" w:cs="Arial"/>
          <w:color w:val="000000"/>
          <w:sz w:val="24"/>
          <w:szCs w:val="24"/>
          <w:lang w:val="es-MX" w:eastAsia="en-US"/>
        </w:rPr>
        <w:t xml:space="preserve">as autoridades demandadas, </w:t>
      </w:r>
      <w:r w:rsidRPr="00593F1F">
        <w:rPr>
          <w:rFonts w:ascii="Arial" w:hAnsi="Arial" w:cs="Arial"/>
          <w:bCs/>
          <w:sz w:val="24"/>
          <w:szCs w:val="24"/>
        </w:rPr>
        <w:t>Secretaría de Movilidad en el Estado de Oaxaca</w:t>
      </w:r>
      <w:r>
        <w:rPr>
          <w:rFonts w:ascii="Arial" w:hAnsi="Arial" w:cs="Arial"/>
          <w:bCs/>
          <w:sz w:val="24"/>
          <w:szCs w:val="24"/>
        </w:rPr>
        <w:t xml:space="preserve">, </w:t>
      </w:r>
      <w:r>
        <w:rPr>
          <w:rFonts w:ascii="Arial" w:hAnsi="Arial" w:cs="Arial"/>
          <w:sz w:val="24"/>
          <w:szCs w:val="24"/>
        </w:rPr>
        <w:t>Secretario de Seguridad Pública, Director General de la Policía Vial del Estado de Oaxaca, Comisionado de la Policía Estatal y Delegado de la Policía Vial Estatal de Acatlán de Pérez Figueroa de San Juan Bautista Tuxtepec, Oaxaca</w:t>
      </w:r>
      <w:r w:rsidRPr="007B0581">
        <w:rPr>
          <w:rFonts w:ascii="Arial" w:eastAsia="Calibri" w:hAnsi="Arial" w:cs="Arial"/>
          <w:color w:val="000000"/>
          <w:sz w:val="24"/>
          <w:szCs w:val="24"/>
          <w:lang w:val="es-MX" w:eastAsia="en-US"/>
        </w:rPr>
        <w:t>.</w:t>
      </w:r>
    </w:p>
    <w:p w:rsidR="003B5653" w:rsidRPr="007B0581" w:rsidRDefault="003B5653" w:rsidP="003B5653">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de la resolución</w:t>
      </w:r>
      <w:r>
        <w:rPr>
          <w:rFonts w:ascii="Arial" w:hAnsi="Arial" w:cs="Arial"/>
          <w:sz w:val="24"/>
          <w:szCs w:val="24"/>
        </w:rPr>
        <w:t xml:space="preserve"> contenida en el oficio </w:t>
      </w:r>
      <w:r w:rsidR="005D5D2E">
        <w:rPr>
          <w:rFonts w:cs="Arial"/>
          <w:b/>
          <w:sz w:val="24"/>
          <w:szCs w:val="24"/>
        </w:rPr>
        <w:t>**********</w:t>
      </w:r>
      <w:r w:rsidR="005D5D2E">
        <w:rPr>
          <w:rFonts w:cs="Arial"/>
          <w:b/>
          <w:sz w:val="24"/>
          <w:szCs w:val="24"/>
        </w:rPr>
        <w:t xml:space="preserve"> </w:t>
      </w:r>
      <w:r>
        <w:rPr>
          <w:rFonts w:ascii="Arial" w:hAnsi="Arial" w:cs="Arial"/>
          <w:sz w:val="24"/>
          <w:szCs w:val="24"/>
        </w:rPr>
        <w:t xml:space="preserve">de ocho de octubre de dos mil diecinueve emitido por el </w:t>
      </w:r>
      <w:r w:rsidRPr="00525595">
        <w:rPr>
          <w:rFonts w:ascii="Arial" w:hAnsi="Arial" w:cs="Arial"/>
          <w:sz w:val="24"/>
          <w:szCs w:val="24"/>
        </w:rPr>
        <w:t>Director de Concesiones de la Secretaría de Movilidad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 xml:space="preserve">de que dicte otro en los términos indicados en la parte final del </w:t>
      </w:r>
      <w:r w:rsidRPr="00C37AA8">
        <w:rPr>
          <w:rFonts w:ascii="Arial" w:hAnsi="Arial" w:cs="Arial"/>
          <w:sz w:val="24"/>
          <w:szCs w:val="24"/>
        </w:rPr>
        <w:t>considerando CUARTO</w:t>
      </w:r>
      <w:r w:rsidRPr="007B0581">
        <w:rPr>
          <w:rFonts w:ascii="Arial" w:hAnsi="Arial" w:cs="Arial"/>
          <w:sz w:val="24"/>
          <w:szCs w:val="24"/>
        </w:rPr>
        <w:t xml:space="preserve"> de la presente sentencia.</w:t>
      </w:r>
    </w:p>
    <w:p w:rsidR="003B5653" w:rsidRDefault="003B5653" w:rsidP="003B5653">
      <w:pPr>
        <w:ind w:right="51" w:firstLine="567"/>
        <w:contextualSpacing/>
        <w:jc w:val="both"/>
        <w:rPr>
          <w:rFonts w:ascii="Arial" w:hAnsi="Arial" w:cs="Arial"/>
          <w:sz w:val="24"/>
          <w:szCs w:val="24"/>
        </w:rPr>
      </w:pPr>
    </w:p>
    <w:p w:rsidR="003B5653" w:rsidRPr="007B0581" w:rsidRDefault="003B5653" w:rsidP="003B5653">
      <w:pPr>
        <w:ind w:right="51" w:firstLine="567"/>
        <w:contextualSpacing/>
        <w:jc w:val="both"/>
        <w:rPr>
          <w:rFonts w:ascii="Arial" w:hAnsi="Arial" w:cs="Arial"/>
          <w:sz w:val="24"/>
          <w:szCs w:val="24"/>
        </w:rPr>
      </w:pPr>
    </w:p>
    <w:p w:rsidR="003B5653" w:rsidRDefault="003B5653" w:rsidP="003B5653">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Pr="007B0581">
        <w:rPr>
          <w:rFonts w:ascii="Arial" w:eastAsia="Calibri" w:hAnsi="Arial" w:cs="Arial"/>
          <w:color w:val="000000"/>
          <w:sz w:val="24"/>
          <w:szCs w:val="24"/>
          <w:lang w:val="es-MX" w:eastAsia="en-US"/>
        </w:rPr>
        <w:t xml:space="preserve"> demandada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p>
    <w:p w:rsidR="003B5653" w:rsidRPr="007B0581" w:rsidRDefault="003B5653" w:rsidP="003B5653">
      <w:pPr>
        <w:spacing w:line="360" w:lineRule="auto"/>
        <w:ind w:right="51" w:firstLine="567"/>
        <w:jc w:val="both"/>
        <w:rPr>
          <w:rFonts w:ascii="Arial" w:eastAsia="Calibri" w:hAnsi="Arial" w:cs="Arial"/>
          <w:b/>
          <w:color w:val="000000"/>
          <w:sz w:val="24"/>
          <w:szCs w:val="24"/>
          <w:lang w:val="es-MX" w:eastAsia="en-US"/>
        </w:rPr>
      </w:pPr>
    </w:p>
    <w:p w:rsidR="003B5653" w:rsidRDefault="003B5653" w:rsidP="003B5653">
      <w:pPr>
        <w:widowControl w:val="0"/>
        <w:spacing w:line="360" w:lineRule="auto"/>
        <w:jc w:val="both"/>
        <w:rPr>
          <w:rFonts w:ascii="Arial" w:hAnsi="Arial" w:cs="Arial"/>
          <w:sz w:val="24"/>
          <w:szCs w:val="24"/>
        </w:rPr>
      </w:pPr>
    </w:p>
    <w:p w:rsidR="003B5653" w:rsidRDefault="003B5653" w:rsidP="003B5653">
      <w:pPr>
        <w:widowControl w:val="0"/>
        <w:spacing w:line="360" w:lineRule="auto"/>
        <w:ind w:firstLine="567"/>
        <w:jc w:val="both"/>
        <w:rPr>
          <w:rFonts w:ascii="Arial" w:hAnsi="Arial" w:cs="Arial"/>
          <w:sz w:val="24"/>
          <w:szCs w:val="24"/>
          <w:lang w:eastAsia="es-ES"/>
        </w:rPr>
      </w:pP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3B5653" w:rsidRDefault="003B5653" w:rsidP="003B5653">
      <w:pPr>
        <w:widowControl w:val="0"/>
        <w:spacing w:line="360" w:lineRule="auto"/>
        <w:jc w:val="both"/>
        <w:rPr>
          <w:rFonts w:ascii="Arial" w:hAnsi="Arial" w:cs="Arial"/>
          <w:sz w:val="24"/>
          <w:szCs w:val="24"/>
          <w:lang w:eastAsia="es-ES"/>
        </w:rPr>
      </w:pPr>
    </w:p>
    <w:p w:rsidR="003B5653" w:rsidRDefault="003B5653" w:rsidP="003B5653">
      <w:pPr>
        <w:widowControl w:val="0"/>
        <w:spacing w:line="360" w:lineRule="auto"/>
        <w:jc w:val="both"/>
        <w:rPr>
          <w:rFonts w:ascii="Arial" w:hAnsi="Arial" w:cs="Arial"/>
          <w:sz w:val="24"/>
          <w:szCs w:val="24"/>
          <w:lang w:eastAsia="es-ES"/>
        </w:rPr>
      </w:pPr>
    </w:p>
    <w:p w:rsidR="003B5653" w:rsidRDefault="003B5653" w:rsidP="003B5653">
      <w:pPr>
        <w:widowControl w:val="0"/>
        <w:spacing w:line="360" w:lineRule="auto"/>
        <w:jc w:val="both"/>
        <w:rPr>
          <w:rFonts w:ascii="Arial" w:hAnsi="Arial" w:cs="Arial"/>
          <w:sz w:val="24"/>
          <w:szCs w:val="24"/>
          <w:lang w:eastAsia="es-ES"/>
        </w:rPr>
      </w:pPr>
    </w:p>
    <w:p w:rsidR="003B5653" w:rsidRDefault="003B5653" w:rsidP="003B5653">
      <w:pPr>
        <w:widowControl w:val="0"/>
        <w:spacing w:line="360" w:lineRule="auto"/>
        <w:jc w:val="both"/>
        <w:rPr>
          <w:rFonts w:ascii="Arial" w:hAnsi="Arial" w:cs="Arial"/>
          <w:sz w:val="24"/>
          <w:szCs w:val="24"/>
          <w:lang w:eastAsia="es-ES"/>
        </w:rPr>
      </w:pPr>
    </w:p>
    <w:p w:rsidR="00294EC6" w:rsidRDefault="00294EC6"/>
    <w:sectPr w:rsidR="00294EC6" w:rsidSect="0003697E">
      <w:headerReference w:type="default" r:id="rId10"/>
      <w:footerReference w:type="default" r:id="rId11"/>
      <w:headerReference w:type="first" r:id="rId12"/>
      <w:footerReference w:type="first" r:id="rId13"/>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94B" w:rsidRDefault="0014194B" w:rsidP="003B5653">
      <w:r>
        <w:separator/>
      </w:r>
    </w:p>
  </w:endnote>
  <w:endnote w:type="continuationSeparator" w:id="0">
    <w:p w:rsidR="0014194B" w:rsidRDefault="0014194B" w:rsidP="003B5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14194B">
        <w:pPr>
          <w:pStyle w:val="Piedepgina"/>
          <w:jc w:val="center"/>
        </w:pPr>
        <w:r>
          <w:fldChar w:fldCharType="begin"/>
        </w:r>
        <w:r>
          <w:instrText>PAGE   \* MERGEFORMAT</w:instrText>
        </w:r>
        <w:r>
          <w:fldChar w:fldCharType="separate"/>
        </w:r>
        <w:r w:rsidR="005D5D2E">
          <w:rPr>
            <w:noProof/>
          </w:rPr>
          <w:t>11</w:t>
        </w:r>
        <w:r>
          <w:fldChar w:fldCharType="end"/>
        </w:r>
      </w:p>
    </w:sdtContent>
  </w:sdt>
  <w:p w:rsidR="009525A3" w:rsidRDefault="0014194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653" w:rsidRDefault="003B5653">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38E457A3" wp14:editId="2B02E188">
              <wp:simplePos x="0" y="0"/>
              <wp:positionH relativeFrom="leftMargin">
                <wp:posOffset>247485</wp:posOffset>
              </wp:positionH>
              <wp:positionV relativeFrom="paragraph">
                <wp:posOffset>-3983631</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3B5653" w:rsidRDefault="003B5653" w:rsidP="003B565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E457A3" id="_x0000_t202" coordsize="21600,21600" o:spt="202" path="m,l,21600r21600,l21600,xe">
              <v:stroke joinstyle="miter"/>
              <v:path gradientshapeok="t" o:connecttype="rect"/>
            </v:shapetype>
            <v:shape id="Cuadro de texto 5" o:spid="_x0000_s1027" type="#_x0000_t202" style="position:absolute;margin-left:19.5pt;margin-top:-313.6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">
              <v:textbox>
                <w:txbxContent>
                  <w:p w:rsidR="003B5653" w:rsidRDefault="003B5653" w:rsidP="003B5653">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94B" w:rsidRDefault="0014194B" w:rsidP="003B5653">
      <w:r>
        <w:separator/>
      </w:r>
    </w:p>
  </w:footnote>
  <w:footnote w:type="continuationSeparator" w:id="0">
    <w:p w:rsidR="0014194B" w:rsidRDefault="0014194B" w:rsidP="003B56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3B5653"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7775B2EB" wp14:editId="795DCB3E">
              <wp:simplePos x="0" y="0"/>
              <wp:positionH relativeFrom="leftMargin">
                <wp:align>right</wp:align>
              </wp:positionH>
              <wp:positionV relativeFrom="paragraph">
                <wp:posOffset>3364755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3B5653" w:rsidRDefault="003B5653" w:rsidP="003B565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75B2EB" id="_x0000_t202" coordsize="21600,21600" o:spt="202" path="m,l,21600r21600,l21600,xe">
              <v:stroke joinstyle="miter"/>
              <v:path gradientshapeok="t" o:connecttype="rect"/>
            </v:shapetype>
            <v:shape id="Cuadro de texto 4" o:spid="_x0000_s1026" type="#_x0000_t202" style="position:absolute;left:0;text-align:left;margin-left:31.2pt;margin-top:264.95pt;width:82.4pt;height:118.5pt;z-index:-25165312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">
              <v:textbox>
                <w:txbxContent>
                  <w:p w:rsidR="003B5653" w:rsidRDefault="003B5653" w:rsidP="003B5653">
                    <w:pPr>
                      <w:jc w:val="center"/>
                    </w:pPr>
                    <w:r>
                      <w:t>DATOS PERSONALES PROTEGIDOS POR EL ART.- 116 DE LA LGTAIP Y EL ART.- 61 DE LA LTAIPEO</w:t>
                    </w:r>
                  </w:p>
                </w:txbxContent>
              </v:textbox>
              <w10:wrap anchorx="margin"/>
            </v:shape>
          </w:pict>
        </mc:Fallback>
      </mc:AlternateContent>
    </w:r>
    <w:r w:rsidR="0014194B" w:rsidRPr="00A73AD7">
      <w:rPr>
        <w:rFonts w:ascii="Arial" w:hAnsi="Arial" w:cs="Arial"/>
        <w:noProof/>
        <w:sz w:val="18"/>
        <w:szCs w:val="18"/>
        <w:lang w:val="es-MX"/>
      </w:rPr>
      <w:drawing>
        <wp:anchor distT="0" distB="0" distL="114300" distR="114300" simplePos="0" relativeHeight="251661312" behindDoc="1" locked="0" layoutInCell="1" allowOverlap="1" wp14:anchorId="096CDD92" wp14:editId="307CCE88">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194B">
      <w:rPr>
        <w:rFonts w:ascii="Arial" w:hAnsi="Arial" w:cs="Arial"/>
      </w:rPr>
      <w:t>0</w:t>
    </w:r>
    <w:r w:rsidR="0014194B">
      <w:rPr>
        <w:rFonts w:ascii="Arial" w:hAnsi="Arial" w:cs="Arial"/>
      </w:rPr>
      <w:t>135</w:t>
    </w:r>
    <w:r w:rsidR="0014194B" w:rsidRPr="00A73AD7">
      <w:rPr>
        <w:rFonts w:ascii="Arial" w:hAnsi="Arial" w:cs="Arial"/>
      </w:rPr>
      <w:t>/20</w:t>
    </w:r>
    <w:r w:rsidR="0014194B">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14194B">
    <w:pPr>
      <w:pStyle w:val="Encabezado"/>
    </w:pPr>
    <w:r>
      <w:rPr>
        <w:noProof/>
        <w:lang w:val="es-MX"/>
      </w:rPr>
      <w:drawing>
        <wp:anchor distT="0" distB="0" distL="114300" distR="114300" simplePos="0" relativeHeight="251660288" behindDoc="1" locked="0" layoutInCell="1" allowOverlap="1" wp14:anchorId="1169912A" wp14:editId="19F2B075">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59264" behindDoc="1" locked="0" layoutInCell="1" allowOverlap="1" wp14:anchorId="0E6834D3" wp14:editId="4EBF3E98">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653"/>
    <w:rsid w:val="0014194B"/>
    <w:rsid w:val="00294EC6"/>
    <w:rsid w:val="003B5653"/>
    <w:rsid w:val="004B1DB0"/>
    <w:rsid w:val="005223BF"/>
    <w:rsid w:val="005D5D2E"/>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2C10F-BAA9-4552-B419-7D18BA349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653"/>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3B5653"/>
    <w:pPr>
      <w:spacing w:after="120"/>
    </w:pPr>
    <w:rPr>
      <w:lang w:val="x-none"/>
    </w:rPr>
  </w:style>
  <w:style w:type="character" w:customStyle="1" w:styleId="TextoindependienteCar">
    <w:name w:val="Texto independiente Car"/>
    <w:basedOn w:val="Fuentedeprrafopredeter"/>
    <w:link w:val="Textoindependiente"/>
    <w:uiPriority w:val="99"/>
    <w:rsid w:val="003B5653"/>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3B5653"/>
    <w:pPr>
      <w:autoSpaceDE w:val="0"/>
      <w:autoSpaceDN w:val="0"/>
    </w:pPr>
    <w:rPr>
      <w:lang w:eastAsia="es-ES"/>
    </w:rPr>
  </w:style>
  <w:style w:type="character" w:customStyle="1" w:styleId="TextonotapieCar">
    <w:name w:val="Texto nota pie Car"/>
    <w:basedOn w:val="Fuentedeprrafopredeter"/>
    <w:link w:val="Textonotapie"/>
    <w:uiPriority w:val="99"/>
    <w:rsid w:val="003B5653"/>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3B565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3B5653"/>
    <w:rPr>
      <w:rFonts w:ascii="Arial" w:eastAsia="Times New Roman" w:hAnsi="Arial" w:cs="Times New Roman"/>
      <w:sz w:val="30"/>
      <w:szCs w:val="20"/>
      <w:lang w:val="es-ES_tradnl" w:eastAsia="es-ES"/>
    </w:rPr>
  </w:style>
  <w:style w:type="character" w:styleId="Hipervnculo">
    <w:name w:val="Hyperlink"/>
    <w:uiPriority w:val="99"/>
    <w:unhideWhenUsed/>
    <w:rsid w:val="003B5653"/>
    <w:rPr>
      <w:color w:val="0000FF"/>
      <w:u w:val="single"/>
    </w:rPr>
  </w:style>
  <w:style w:type="paragraph" w:styleId="Prrafodelista">
    <w:name w:val="List Paragraph"/>
    <w:basedOn w:val="Normal"/>
    <w:uiPriority w:val="34"/>
    <w:qFormat/>
    <w:rsid w:val="003B5653"/>
    <w:pPr>
      <w:ind w:left="720"/>
      <w:contextualSpacing/>
    </w:pPr>
  </w:style>
  <w:style w:type="paragraph" w:styleId="Encabezado">
    <w:name w:val="header"/>
    <w:basedOn w:val="Normal"/>
    <w:link w:val="EncabezadoCar"/>
    <w:uiPriority w:val="99"/>
    <w:unhideWhenUsed/>
    <w:rsid w:val="003B5653"/>
    <w:pPr>
      <w:tabs>
        <w:tab w:val="center" w:pos="4419"/>
        <w:tab w:val="right" w:pos="8838"/>
      </w:tabs>
    </w:pPr>
  </w:style>
  <w:style w:type="character" w:customStyle="1" w:styleId="EncabezadoCar">
    <w:name w:val="Encabezado Car"/>
    <w:basedOn w:val="Fuentedeprrafopredeter"/>
    <w:link w:val="Encabezado"/>
    <w:uiPriority w:val="99"/>
    <w:rsid w:val="003B5653"/>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3B5653"/>
    <w:pPr>
      <w:tabs>
        <w:tab w:val="center" w:pos="4419"/>
        <w:tab w:val="right" w:pos="8838"/>
      </w:tabs>
    </w:pPr>
  </w:style>
  <w:style w:type="character" w:customStyle="1" w:styleId="PiedepginaCar">
    <w:name w:val="Pie de página Car"/>
    <w:basedOn w:val="Fuentedeprrafopredeter"/>
    <w:link w:val="Piedepgina"/>
    <w:uiPriority w:val="99"/>
    <w:rsid w:val="003B5653"/>
    <w:rPr>
      <w:rFonts w:ascii="Times New Roman" w:eastAsia="Times New Roman" w:hAnsi="Times New Roman" w:cs="Times New Roman"/>
      <w:sz w:val="20"/>
      <w:szCs w:val="20"/>
      <w:lang w:val="es-ES" w:eastAsia="es-MX"/>
    </w:rPr>
  </w:style>
  <w:style w:type="paragraph" w:styleId="NormalWeb">
    <w:name w:val="Normal (Web)"/>
    <w:basedOn w:val="Normal"/>
    <w:uiPriority w:val="99"/>
    <w:unhideWhenUsed/>
    <w:rsid w:val="003B5653"/>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javascript:void(0)"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jf2.scjn.gob.mx/detalle/tesis/91774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11</Pages>
  <Words>3654</Words>
  <Characters>20103</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2023-01-16T21:20:00Z</dcterms:created>
  <dcterms:modified xsi:type="dcterms:W3CDTF">2023-01-16T21:39:00Z</dcterms:modified>
</cp:coreProperties>
</file>