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609BD1" w14:textId="77777777" w:rsidR="00717BE2" w:rsidRDefault="00717BE2" w:rsidP="00717BE2">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6146881A" w14:textId="77777777" w:rsidR="00717BE2" w:rsidRDefault="00717BE2" w:rsidP="00717BE2">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136/2019</w:t>
      </w:r>
    </w:p>
    <w:p w14:paraId="69E02BDA" w14:textId="77777777" w:rsidR="00717BE2" w:rsidRDefault="00717BE2" w:rsidP="00717BE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483/2016 CUARTA SALA UNITARIA DE PRIMERA INSTANCIA</w:t>
      </w:r>
    </w:p>
    <w:p w14:paraId="57FF454D" w14:textId="77777777" w:rsidR="00717BE2" w:rsidRDefault="00717BE2" w:rsidP="00717BE2">
      <w:pPr>
        <w:spacing w:line="240" w:lineRule="auto"/>
        <w:ind w:left="2124"/>
        <w:jc w:val="both"/>
        <w:rPr>
          <w:rFonts w:ascii="Arial" w:hAnsi="Arial" w:cs="Arial"/>
          <w:b/>
          <w:sz w:val="26"/>
          <w:szCs w:val="26"/>
        </w:rPr>
      </w:pPr>
      <w:r>
        <w:rPr>
          <w:rFonts w:ascii="Arial" w:hAnsi="Arial" w:cs="Arial"/>
          <w:b/>
          <w:sz w:val="26"/>
          <w:szCs w:val="26"/>
        </w:rPr>
        <w:t>PONENTE: MAGISTRADO RAÚL PALOMARES PALOMINO.</w:t>
      </w:r>
    </w:p>
    <w:p w14:paraId="77128585" w14:textId="1180AD4E" w:rsidR="00717BE2" w:rsidRDefault="00717BE2" w:rsidP="00717BE2">
      <w:pPr>
        <w:spacing w:before="240" w:line="360" w:lineRule="auto"/>
        <w:jc w:val="both"/>
        <w:rPr>
          <w:rFonts w:ascii="Arial" w:hAnsi="Arial" w:cs="Arial"/>
          <w:b/>
          <w:sz w:val="26"/>
          <w:szCs w:val="26"/>
        </w:rPr>
      </w:pPr>
      <w:r>
        <w:rPr>
          <w:rFonts w:ascii="Arial" w:hAnsi="Arial" w:cs="Arial"/>
          <w:b/>
          <w:sz w:val="26"/>
          <w:szCs w:val="26"/>
        </w:rPr>
        <w:t>OAXACA DE JUÁREZ, OAXACA</w:t>
      </w:r>
      <w:r w:rsidR="003F3A60">
        <w:rPr>
          <w:rFonts w:ascii="Arial" w:hAnsi="Arial" w:cs="Arial"/>
          <w:b/>
          <w:sz w:val="26"/>
          <w:szCs w:val="26"/>
        </w:rPr>
        <w:t>,</w:t>
      </w:r>
      <w:r>
        <w:rPr>
          <w:rFonts w:ascii="Arial" w:hAnsi="Arial" w:cs="Arial"/>
          <w:b/>
          <w:sz w:val="26"/>
          <w:szCs w:val="26"/>
        </w:rPr>
        <w:t xml:space="preserve"> A OCHO DE OCTUBRE DE DOS MIL </w:t>
      </w:r>
      <w:r w:rsidR="003F3A60">
        <w:rPr>
          <w:rFonts w:ascii="Arial" w:hAnsi="Arial" w:cs="Arial"/>
          <w:b/>
          <w:sz w:val="26"/>
          <w:szCs w:val="26"/>
        </w:rPr>
        <w:t>VEINTE. -</w:t>
      </w:r>
      <w:r>
        <w:rPr>
          <w:rFonts w:ascii="Arial" w:hAnsi="Arial" w:cs="Arial"/>
          <w:b/>
          <w:sz w:val="26"/>
          <w:szCs w:val="26"/>
        </w:rPr>
        <w:t xml:space="preserve"> - - - - - - - - - - - - - - - - - - - - - - - - - - - - - - - - - - - - -</w:t>
      </w:r>
      <w:r w:rsidR="003F3A60">
        <w:rPr>
          <w:rFonts w:ascii="Arial" w:hAnsi="Arial" w:cs="Arial"/>
          <w:b/>
          <w:sz w:val="26"/>
          <w:szCs w:val="26"/>
        </w:rPr>
        <w:t xml:space="preserve"> - - - - </w:t>
      </w:r>
    </w:p>
    <w:p w14:paraId="1C992466" w14:textId="1384830D" w:rsidR="00717BE2" w:rsidRDefault="00717BE2" w:rsidP="00717BE2">
      <w:pPr>
        <w:spacing w:line="360" w:lineRule="auto"/>
        <w:ind w:firstLine="708"/>
        <w:jc w:val="both"/>
        <w:rPr>
          <w:rFonts w:ascii="Arial" w:eastAsia="Calibri" w:hAnsi="Arial" w:cs="Arial"/>
          <w:sz w:val="26"/>
          <w:szCs w:val="26"/>
          <w:lang w:val="es-ES"/>
        </w:rPr>
      </w:pPr>
      <w:r>
        <w:rPr>
          <w:rFonts w:ascii="Arial" w:hAnsi="Arial" w:cs="Arial"/>
          <w:sz w:val="26"/>
          <w:szCs w:val="26"/>
        </w:rPr>
        <w:t xml:space="preserve">Por recibido el Cuaderno de Revisión </w:t>
      </w:r>
      <w:r>
        <w:rPr>
          <w:rFonts w:ascii="Arial" w:hAnsi="Arial" w:cs="Arial"/>
          <w:b/>
          <w:sz w:val="26"/>
          <w:szCs w:val="26"/>
        </w:rPr>
        <w:t>136/2019</w:t>
      </w:r>
      <w:r>
        <w:rPr>
          <w:rFonts w:ascii="Arial" w:hAnsi="Arial" w:cs="Arial"/>
          <w:sz w:val="26"/>
          <w:szCs w:val="26"/>
        </w:rPr>
        <w:t>, que remite la Secretaría General de Acuerdos, con motivo del recurso de revisión interpuesto por</w:t>
      </w:r>
      <w:r>
        <w:rPr>
          <w:rFonts w:ascii="Arial" w:hAnsi="Arial" w:cs="Arial"/>
          <w:b/>
          <w:bCs/>
          <w:sz w:val="26"/>
          <w:szCs w:val="26"/>
        </w:rPr>
        <w:t xml:space="preserve"> </w:t>
      </w:r>
      <w:r w:rsidR="009B3955">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resolución de 4 cuatro de diciembre de 2018 dos mil dieciocho, </w:t>
      </w:r>
      <w:r>
        <w:rPr>
          <w:rFonts w:ascii="Arial" w:hAnsi="Arial" w:cs="Arial"/>
          <w:sz w:val="26"/>
          <w:szCs w:val="26"/>
        </w:rPr>
        <w:t xml:space="preserve">dictada en el expediente </w:t>
      </w:r>
      <w:r>
        <w:rPr>
          <w:rFonts w:ascii="Arial" w:hAnsi="Arial" w:cs="Arial"/>
          <w:b/>
          <w:sz w:val="26"/>
          <w:szCs w:val="26"/>
        </w:rPr>
        <w:t>483/2016,</w:t>
      </w:r>
      <w:r>
        <w:rPr>
          <w:rFonts w:ascii="Arial" w:hAnsi="Arial" w:cs="Arial"/>
          <w:sz w:val="26"/>
          <w:szCs w:val="26"/>
        </w:rPr>
        <w:t xml:space="preserve"> de la Cuarta 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Pr>
          <w:rFonts w:ascii="Arial" w:hAnsi="Arial" w:cs="Arial"/>
          <w:b/>
          <w:sz w:val="26"/>
          <w:szCs w:val="26"/>
        </w:rPr>
        <w:t xml:space="preserve"> </w:t>
      </w:r>
      <w:r w:rsidR="009B3955">
        <w:rPr>
          <w:rFonts w:ascii="Arial" w:hAnsi="Arial" w:cs="Arial"/>
          <w:b/>
          <w:sz w:val="26"/>
          <w:szCs w:val="26"/>
        </w:rPr>
        <w:t>***********</w:t>
      </w:r>
      <w:r>
        <w:rPr>
          <w:rFonts w:ascii="Arial" w:hAnsi="Arial" w:cs="Arial"/>
          <w:bCs/>
          <w:sz w:val="26"/>
          <w:szCs w:val="26"/>
        </w:rPr>
        <w:t xml:space="preserve">, en contra del </w:t>
      </w:r>
      <w:r>
        <w:rPr>
          <w:rFonts w:ascii="Arial" w:hAnsi="Arial" w:cs="Arial"/>
          <w:b/>
          <w:bCs/>
          <w:sz w:val="26"/>
          <w:szCs w:val="26"/>
        </w:rPr>
        <w:t>PRESIDENTE, SÍNDICO PROCURADOR, JEFE DE RELACIONES LABORALES Y COMISIONADO MUNICIPAL, TODOS DE LA HEROICA CIUDAD DE HUAJUAPAN DE LEÓN, OAXACA</w:t>
      </w:r>
      <w:r>
        <w:rPr>
          <w:rFonts w:ascii="Arial" w:eastAsia="Calibri" w:hAnsi="Arial" w:cs="Arial"/>
          <w:sz w:val="26"/>
          <w:szCs w:val="26"/>
        </w:rPr>
        <w:t xml:space="preserve">; por lo que con fundamento en los artículos 207 y 208 de la Ley de Justicia Administrativa para el Estado de Oaxaca, aplicable por ser la que estaba vigente al inicio del juicio natural en el mes de octubre de 2016 dos mil dieciséis, se admite. En consecuencia, se procede a dictar resolución en los siguientes </w:t>
      </w:r>
      <w:r w:rsidR="003F3A60">
        <w:rPr>
          <w:rFonts w:ascii="Arial" w:eastAsia="Calibri" w:hAnsi="Arial" w:cs="Arial"/>
          <w:sz w:val="26"/>
          <w:szCs w:val="26"/>
        </w:rPr>
        <w:t>términos: -</w:t>
      </w:r>
      <w:r>
        <w:rPr>
          <w:rFonts w:ascii="Arial" w:eastAsia="Calibri" w:hAnsi="Arial" w:cs="Arial"/>
          <w:sz w:val="26"/>
          <w:szCs w:val="26"/>
        </w:rPr>
        <w:t xml:space="preserve"> - - - - - - - - - - - - - - - - - - - </w:t>
      </w:r>
    </w:p>
    <w:p w14:paraId="3A1611E1" w14:textId="77777777" w:rsidR="00717BE2" w:rsidRDefault="00717BE2" w:rsidP="00717BE2">
      <w:pPr>
        <w:spacing w:line="360" w:lineRule="auto"/>
        <w:ind w:firstLine="708"/>
        <w:jc w:val="center"/>
        <w:rPr>
          <w:rFonts w:ascii="Arial" w:eastAsiaTheme="minorHAnsi" w:hAnsi="Arial" w:cs="Arial"/>
          <w:b/>
          <w:bCs/>
          <w:sz w:val="26"/>
          <w:szCs w:val="26"/>
        </w:rPr>
      </w:pPr>
      <w:r>
        <w:rPr>
          <w:rFonts w:ascii="Arial" w:hAnsi="Arial" w:cs="Arial"/>
          <w:b/>
          <w:bCs/>
          <w:sz w:val="26"/>
          <w:szCs w:val="26"/>
        </w:rPr>
        <w:t>R E S U L T A N D O</w:t>
      </w:r>
    </w:p>
    <w:p w14:paraId="7BB8C0BF" w14:textId="78EDE4E2" w:rsidR="00717BE2" w:rsidRDefault="00717BE2" w:rsidP="00717BE2">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Pr>
          <w:rFonts w:ascii="Arial" w:eastAsia="Calibri" w:hAnsi="Arial" w:cs="Arial"/>
          <w:sz w:val="26"/>
          <w:szCs w:val="26"/>
        </w:rPr>
        <w:t xml:space="preserve"> la resolución de 4 cuatro de diciembre de 2018 dos mil dieciocho</w:t>
      </w:r>
      <w:r>
        <w:rPr>
          <w:rFonts w:ascii="Arial" w:hAnsi="Arial" w:cs="Arial"/>
          <w:sz w:val="26"/>
          <w:szCs w:val="26"/>
        </w:rPr>
        <w:t>, dictada por la Cuarta Sala Unitaria de Primera Instancia,</w:t>
      </w:r>
      <w:r>
        <w:rPr>
          <w:rFonts w:ascii="Arial" w:hAnsi="Arial" w:cs="Arial"/>
          <w:b/>
          <w:bCs/>
          <w:sz w:val="26"/>
          <w:szCs w:val="26"/>
        </w:rPr>
        <w:t xml:space="preserve"> </w:t>
      </w:r>
      <w:r w:rsidR="009B3955">
        <w:rPr>
          <w:rFonts w:ascii="Arial" w:hAnsi="Arial" w:cs="Arial"/>
          <w:b/>
          <w:sz w:val="26"/>
          <w:szCs w:val="26"/>
        </w:rPr>
        <w:t>***********</w:t>
      </w:r>
      <w:r>
        <w:rPr>
          <w:rFonts w:ascii="Arial" w:hAnsi="Arial" w:cs="Arial"/>
          <w:sz w:val="26"/>
          <w:szCs w:val="26"/>
        </w:rPr>
        <w:t>, interpuso en su contra recurso de revisión.</w:t>
      </w:r>
      <w:r w:rsidRPr="00717BE2">
        <w:rPr>
          <w:rFonts w:ascii="Arial" w:eastAsia="Calibri" w:hAnsi="Arial" w:cs="Arial"/>
          <w:sz w:val="26"/>
          <w:szCs w:val="26"/>
        </w:rPr>
        <w:t xml:space="preserve"> </w:t>
      </w:r>
      <w:r>
        <w:rPr>
          <w:rFonts w:ascii="Arial" w:eastAsia="Calibri" w:hAnsi="Arial" w:cs="Arial"/>
          <w:sz w:val="26"/>
          <w:szCs w:val="26"/>
        </w:rPr>
        <w:t>- - - - - - - - - - - - - - - - - - - - - - - - - - - - - -</w:t>
      </w:r>
    </w:p>
    <w:p w14:paraId="79C761AF" w14:textId="77777777" w:rsidR="00717BE2" w:rsidRDefault="00717BE2" w:rsidP="00717BE2">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resolución recurrida son los siguientes:</w:t>
      </w:r>
    </w:p>
    <w:p w14:paraId="70FB71FA" w14:textId="77777777" w:rsidR="00717BE2" w:rsidRDefault="00717BE2" w:rsidP="00717BE2">
      <w:pPr>
        <w:pStyle w:val="Textoindependiente21"/>
        <w:tabs>
          <w:tab w:val="left" w:pos="7938"/>
        </w:tabs>
        <w:spacing w:before="240" w:line="360" w:lineRule="auto"/>
        <w:ind w:left="1134" w:right="616" w:firstLine="0"/>
        <w:rPr>
          <w:rFonts w:ascii="Arial" w:hAnsi="Arial" w:cs="Arial"/>
          <w:bCs/>
          <w:i/>
          <w:iCs/>
          <w:szCs w:val="24"/>
        </w:rPr>
      </w:pPr>
      <w:r>
        <w:rPr>
          <w:rFonts w:ascii="Arial" w:hAnsi="Arial" w:cs="Arial"/>
          <w:bCs/>
          <w:iCs/>
          <w:szCs w:val="24"/>
        </w:rPr>
        <w:t>“</w:t>
      </w:r>
      <w:r>
        <w:rPr>
          <w:rFonts w:ascii="Arial" w:hAnsi="Arial" w:cs="Arial"/>
          <w:b/>
          <w:bCs/>
          <w:i/>
          <w:iCs/>
          <w:szCs w:val="24"/>
        </w:rPr>
        <w:t>PRIMERO.-</w:t>
      </w:r>
      <w:r>
        <w:rPr>
          <w:rFonts w:ascii="Arial" w:hAnsi="Arial" w:cs="Arial"/>
          <w:bCs/>
          <w:i/>
          <w:iCs/>
          <w:szCs w:val="24"/>
        </w:rPr>
        <w:t xml:space="preserve"> Esta Cuarta Sala Unitaria fue </w:t>
      </w:r>
      <w:r>
        <w:rPr>
          <w:rFonts w:ascii="Arial" w:hAnsi="Arial" w:cs="Arial"/>
          <w:b/>
          <w:i/>
          <w:iCs/>
          <w:szCs w:val="24"/>
        </w:rPr>
        <w:t xml:space="preserve">competente </w:t>
      </w:r>
      <w:r>
        <w:rPr>
          <w:rFonts w:ascii="Arial" w:hAnsi="Arial" w:cs="Arial"/>
          <w:bCs/>
          <w:i/>
          <w:iCs/>
          <w:szCs w:val="24"/>
        </w:rPr>
        <w:t>para conocer y resolver del presente asunto.- - - - - - - - - - - - - - - -</w:t>
      </w:r>
    </w:p>
    <w:p w14:paraId="79508A50" w14:textId="00F181A7" w:rsidR="00717BE2" w:rsidRDefault="00717BE2" w:rsidP="00717BE2">
      <w:pPr>
        <w:pStyle w:val="Textoindependiente21"/>
        <w:tabs>
          <w:tab w:val="left" w:pos="7938"/>
        </w:tabs>
        <w:spacing w:line="360" w:lineRule="auto"/>
        <w:ind w:left="1134" w:right="616" w:firstLine="0"/>
        <w:rPr>
          <w:rFonts w:ascii="Arial" w:hAnsi="Arial" w:cs="Arial"/>
          <w:bCs/>
          <w:i/>
          <w:iCs/>
          <w:szCs w:val="24"/>
        </w:rPr>
      </w:pPr>
      <w:r>
        <w:rPr>
          <w:rFonts w:ascii="Arial" w:hAnsi="Arial" w:cs="Arial"/>
          <w:b/>
          <w:bCs/>
          <w:i/>
          <w:iCs/>
          <w:szCs w:val="24"/>
        </w:rPr>
        <w:t>SEGUNDO</w:t>
      </w:r>
      <w:r>
        <w:rPr>
          <w:rFonts w:ascii="Arial" w:hAnsi="Arial" w:cs="Arial"/>
          <w:bCs/>
          <w:i/>
          <w:iCs/>
          <w:szCs w:val="24"/>
        </w:rPr>
        <w:t xml:space="preserve">. La </w:t>
      </w:r>
      <w:r>
        <w:rPr>
          <w:rFonts w:ascii="Arial" w:hAnsi="Arial" w:cs="Arial"/>
          <w:b/>
          <w:i/>
          <w:iCs/>
          <w:szCs w:val="24"/>
        </w:rPr>
        <w:t xml:space="preserve">personalidad </w:t>
      </w:r>
      <w:r>
        <w:rPr>
          <w:rFonts w:ascii="Arial" w:hAnsi="Arial" w:cs="Arial"/>
          <w:bCs/>
          <w:i/>
          <w:iCs/>
          <w:szCs w:val="24"/>
        </w:rPr>
        <w:t xml:space="preserve">de las partes quedo acreditada en autos.- - - - - - - - - - - - - - - - - - - - - - - - - - - - - - </w:t>
      </w:r>
    </w:p>
    <w:p w14:paraId="21D72111" w14:textId="77777777" w:rsidR="00717BE2" w:rsidRDefault="00717BE2" w:rsidP="00717BE2">
      <w:pPr>
        <w:pStyle w:val="Textoindependiente21"/>
        <w:tabs>
          <w:tab w:val="left" w:pos="7938"/>
        </w:tabs>
        <w:spacing w:line="360" w:lineRule="auto"/>
        <w:ind w:left="1134" w:right="616" w:firstLine="0"/>
        <w:rPr>
          <w:rFonts w:ascii="Arial" w:hAnsi="Arial" w:cs="Arial"/>
          <w:bCs/>
          <w:i/>
          <w:iCs/>
          <w:szCs w:val="24"/>
        </w:rPr>
      </w:pPr>
      <w:r>
        <w:rPr>
          <w:rFonts w:ascii="Arial" w:hAnsi="Arial" w:cs="Arial"/>
          <w:b/>
          <w:i/>
          <w:iCs/>
          <w:szCs w:val="24"/>
        </w:rPr>
        <w:t xml:space="preserve">TERCERO. </w:t>
      </w:r>
      <w:r>
        <w:rPr>
          <w:rFonts w:ascii="Arial" w:hAnsi="Arial" w:cs="Arial"/>
          <w:bCs/>
          <w:i/>
          <w:iCs/>
          <w:szCs w:val="24"/>
        </w:rPr>
        <w:t xml:space="preserve">Al actualizarse la causal de improcedencia prevista en la fracción IX del artículo 131, en relación con la </w:t>
      </w:r>
      <w:r>
        <w:rPr>
          <w:rFonts w:ascii="Arial" w:hAnsi="Arial" w:cs="Arial"/>
          <w:bCs/>
          <w:i/>
          <w:iCs/>
          <w:szCs w:val="24"/>
        </w:rPr>
        <w:lastRenderedPageBreak/>
        <w:t xml:space="preserve">fracción V del diversos 132, de la Ley de Justicia Administrativa para el Estado, anterior a la vigente, </w:t>
      </w:r>
      <w:r>
        <w:rPr>
          <w:rFonts w:ascii="Arial" w:hAnsi="Arial" w:cs="Arial"/>
          <w:b/>
          <w:i/>
          <w:iCs/>
          <w:szCs w:val="24"/>
        </w:rPr>
        <w:t xml:space="preserve">SE SOBRESEE EL JUICIO, </w:t>
      </w:r>
      <w:r>
        <w:rPr>
          <w:rFonts w:ascii="Arial" w:hAnsi="Arial" w:cs="Arial"/>
          <w:bCs/>
          <w:i/>
          <w:iCs/>
          <w:szCs w:val="24"/>
        </w:rPr>
        <w:t xml:space="preserve">como quedó precisado en el considerando </w:t>
      </w:r>
      <w:r>
        <w:rPr>
          <w:rFonts w:ascii="Arial" w:hAnsi="Arial" w:cs="Arial"/>
          <w:b/>
          <w:i/>
          <w:iCs/>
          <w:szCs w:val="24"/>
        </w:rPr>
        <w:t xml:space="preserve">tercero </w:t>
      </w:r>
      <w:r>
        <w:rPr>
          <w:rFonts w:ascii="Arial" w:hAnsi="Arial" w:cs="Arial"/>
          <w:bCs/>
          <w:i/>
          <w:iCs/>
          <w:szCs w:val="24"/>
        </w:rPr>
        <w:t xml:space="preserve">de ésta sentencia.- - - - - - - - - - - - - - - </w:t>
      </w:r>
    </w:p>
    <w:p w14:paraId="551C4258" w14:textId="77777777" w:rsidR="00717BE2" w:rsidRDefault="00717BE2" w:rsidP="00717BE2">
      <w:pPr>
        <w:pStyle w:val="Textoindependiente21"/>
        <w:tabs>
          <w:tab w:val="left" w:pos="7938"/>
        </w:tabs>
        <w:spacing w:line="360" w:lineRule="auto"/>
        <w:ind w:left="1134" w:right="616" w:firstLine="0"/>
        <w:rPr>
          <w:rFonts w:ascii="Arial" w:hAnsi="Arial" w:cs="Arial"/>
          <w:bCs/>
          <w:i/>
          <w:iCs/>
          <w:szCs w:val="24"/>
        </w:rPr>
      </w:pPr>
      <w:r>
        <w:rPr>
          <w:rFonts w:ascii="Arial" w:hAnsi="Arial" w:cs="Arial"/>
          <w:b/>
          <w:bCs/>
          <w:i/>
          <w:iCs/>
          <w:szCs w:val="24"/>
        </w:rPr>
        <w:t>CUARTO</w:t>
      </w:r>
      <w:r>
        <w:rPr>
          <w:rFonts w:ascii="Arial" w:hAnsi="Arial" w:cs="Arial"/>
          <w:bCs/>
          <w:i/>
          <w:iCs/>
          <w:szCs w:val="24"/>
        </w:rPr>
        <w:t xml:space="preserve">. Al haberse sobreseído el juicio, esta autoridad jurisdiccional se encuentra impedido para entrar al fondo del asunto como quedo precisado en el considerando </w:t>
      </w:r>
      <w:r>
        <w:rPr>
          <w:rFonts w:ascii="Arial" w:hAnsi="Arial" w:cs="Arial"/>
          <w:b/>
          <w:i/>
          <w:iCs/>
          <w:szCs w:val="24"/>
        </w:rPr>
        <w:t xml:space="preserve">cuarto </w:t>
      </w:r>
      <w:r>
        <w:rPr>
          <w:rFonts w:ascii="Arial" w:hAnsi="Arial" w:cs="Arial"/>
          <w:bCs/>
          <w:i/>
          <w:iCs/>
          <w:szCs w:val="24"/>
        </w:rPr>
        <w:t xml:space="preserve">de esta sentencia.- - - - - - - - - - - - - - - - - - - - - - - - - - - - - - - - - </w:t>
      </w:r>
    </w:p>
    <w:p w14:paraId="382A1A83" w14:textId="77777777" w:rsidR="00717BE2" w:rsidRDefault="00717BE2" w:rsidP="00717BE2">
      <w:pPr>
        <w:pStyle w:val="Textoindependiente21"/>
        <w:tabs>
          <w:tab w:val="left" w:pos="7938"/>
        </w:tabs>
        <w:spacing w:line="360" w:lineRule="auto"/>
        <w:ind w:left="1134" w:right="616" w:firstLine="0"/>
        <w:rPr>
          <w:rFonts w:ascii="Arial" w:hAnsi="Arial" w:cs="Arial"/>
          <w:bCs/>
          <w:i/>
          <w:iCs/>
          <w:szCs w:val="24"/>
        </w:rPr>
      </w:pPr>
      <w:r>
        <w:rPr>
          <w:rFonts w:ascii="Arial" w:hAnsi="Arial" w:cs="Arial"/>
          <w:b/>
          <w:bCs/>
          <w:i/>
          <w:iCs/>
          <w:szCs w:val="24"/>
        </w:rPr>
        <w:t xml:space="preserve">QUINTO. NOTIFÍQUESE PERSONALMENTE A LA ACTORA Y POR LISTA A LAS AUTORIDADES DEMANDADAS, </w:t>
      </w:r>
      <w:r>
        <w:rPr>
          <w:rFonts w:ascii="Arial" w:hAnsi="Arial" w:cs="Arial"/>
          <w:i/>
          <w:iCs/>
          <w:szCs w:val="24"/>
        </w:rPr>
        <w:t>con fundamento en los artículos 142 fracción I y II, y 143 fracciones I y III, de la Ley de Justicia Administrativa para el Estado de Oaxaca, anterior a la vigente</w:t>
      </w:r>
      <w:r>
        <w:rPr>
          <w:rFonts w:ascii="Arial" w:hAnsi="Arial" w:cs="Arial"/>
          <w:bCs/>
          <w:iCs/>
          <w:szCs w:val="24"/>
        </w:rPr>
        <w:t>.- - - - - - - - - - - - - - - - - - - - - - - - - - - - - - - - - - - - - - ”</w:t>
      </w:r>
    </w:p>
    <w:p w14:paraId="4247E6AF" w14:textId="77777777" w:rsidR="00717BE2" w:rsidRDefault="00717BE2" w:rsidP="00717BE2">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14:paraId="5B69B245" w14:textId="5A04BAB3" w:rsidR="00717BE2" w:rsidRDefault="00717BE2" w:rsidP="00717BE2">
      <w:pPr>
        <w:spacing w:before="240" w:line="360" w:lineRule="auto"/>
        <w:ind w:firstLine="708"/>
        <w:jc w:val="both"/>
        <w:rPr>
          <w:rFonts w:ascii="Arial" w:hAnsi="Arial" w:cs="Arial"/>
          <w:b/>
          <w:bCs/>
          <w:iCs/>
          <w:sz w:val="26"/>
          <w:szCs w:val="26"/>
          <w:lang w:eastAsia="en-US"/>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86, 88, 92, 93, fracción I, 94, 201, 206 y 208, de la Ley de Justicia Administrativa para el Estado de Oaxaca, aplicable por ser la que estaba vigente al inicio de juicio principal en el mes de octubre de 2016 dos mil dieciséis, al tratarse de un recurso de revisión interpuesto en contra de</w:t>
      </w:r>
      <w:r>
        <w:rPr>
          <w:rFonts w:ascii="Arial" w:eastAsia="Calibri" w:hAnsi="Arial" w:cs="Arial"/>
          <w:sz w:val="26"/>
          <w:szCs w:val="26"/>
        </w:rPr>
        <w:t xml:space="preserve"> la resolución de 4 cuatro de diciembre de 2018 dos mil dieciocho</w:t>
      </w:r>
      <w:r>
        <w:rPr>
          <w:rFonts w:ascii="Arial" w:hAnsi="Arial" w:cs="Arial"/>
          <w:bCs/>
          <w:iCs/>
          <w:sz w:val="26"/>
          <w:szCs w:val="26"/>
        </w:rPr>
        <w:t xml:space="preserve">, dictada por la Cuarta Sala Unitaria de Primera Instancia de este Tribunal, en el expediente </w:t>
      </w:r>
      <w:r>
        <w:rPr>
          <w:rFonts w:ascii="Arial" w:hAnsi="Arial" w:cs="Arial"/>
          <w:b/>
          <w:bCs/>
          <w:iCs/>
          <w:sz w:val="26"/>
          <w:szCs w:val="26"/>
        </w:rPr>
        <w:t>483/2016</w:t>
      </w:r>
      <w:r>
        <w:rPr>
          <w:rFonts w:ascii="Arial" w:hAnsi="Arial" w:cs="Arial"/>
          <w:sz w:val="26"/>
          <w:szCs w:val="26"/>
        </w:rPr>
        <w:t>.</w:t>
      </w:r>
      <w:r w:rsidRPr="00717BE2">
        <w:rPr>
          <w:rFonts w:ascii="Arial" w:eastAsia="Calibri" w:hAnsi="Arial" w:cs="Arial"/>
          <w:sz w:val="26"/>
          <w:szCs w:val="26"/>
        </w:rPr>
        <w:t xml:space="preserve"> </w:t>
      </w:r>
      <w:r>
        <w:rPr>
          <w:rFonts w:ascii="Arial" w:eastAsia="Calibri" w:hAnsi="Arial" w:cs="Arial"/>
          <w:sz w:val="26"/>
          <w:szCs w:val="26"/>
        </w:rPr>
        <w:t xml:space="preserve">- - - - - - - - - - - - - - - - - - - - - - - - - - - - - - - - - - - - - - - - - - - - </w:t>
      </w:r>
    </w:p>
    <w:p w14:paraId="00E8F416" w14:textId="77777777" w:rsidR="00717BE2" w:rsidRDefault="00717BE2" w:rsidP="00717BE2">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w:t>
      </w:r>
      <w:r>
        <w:rPr>
          <w:rFonts w:ascii="Arial" w:hAnsi="Arial" w:cs="Arial"/>
          <w:sz w:val="26"/>
          <w:szCs w:val="26"/>
        </w:rPr>
        <w:lastRenderedPageBreak/>
        <w:t>época, volumen 81, sexta parte, página 23, materia común, de rubro y texto siguientes:</w:t>
      </w:r>
    </w:p>
    <w:p w14:paraId="03E89C81" w14:textId="77777777" w:rsidR="00717BE2" w:rsidRDefault="00717BE2" w:rsidP="00717BE2">
      <w:pPr>
        <w:spacing w:before="240"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0DC8B04C" w14:textId="027B4F94"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Son </w:t>
      </w:r>
      <w:r>
        <w:rPr>
          <w:rFonts w:ascii="Arial" w:eastAsia="Calibri" w:hAnsi="Arial" w:cs="Arial"/>
          <w:b/>
          <w:sz w:val="26"/>
          <w:szCs w:val="26"/>
        </w:rPr>
        <w:t>sustancialmente fundadas</w:t>
      </w:r>
      <w:r>
        <w:rPr>
          <w:rFonts w:ascii="Arial" w:eastAsia="Calibri" w:hAnsi="Arial" w:cs="Arial"/>
          <w:bCs/>
          <w:sz w:val="26"/>
          <w:szCs w:val="26"/>
        </w:rPr>
        <w:t xml:space="preserve"> aquellas alegaciones de recurrente, en las que de manera esencial arguye, que le causa agravio el considerando tercero de la resolución recurrida, misma que transcribe; lo anterior, porque el Magistrado de Primera Instancia, violó el principio de legalidad y debido proceso, así como lo dispuesto por el artículo 173 de la Ley de Justicia Administrativa para el Estado de Oaxaca; ello, al no haber valorado que las autoridades demandadas al dar contestación a la demanda, confesaron expresamente que: “</w:t>
      </w:r>
      <w:r>
        <w:rPr>
          <w:rFonts w:ascii="Arial" w:eastAsia="Calibri" w:hAnsi="Arial" w:cs="Arial"/>
          <w:bCs/>
          <w:i/>
          <w:iCs/>
          <w:sz w:val="24"/>
          <w:szCs w:val="24"/>
        </w:rPr>
        <w:t xml:space="preserve">Acto que se le dio a conocer al administrado el </w:t>
      </w:r>
      <w:r>
        <w:rPr>
          <w:rFonts w:ascii="Arial" w:eastAsia="Calibri" w:hAnsi="Arial" w:cs="Arial"/>
          <w:bCs/>
          <w:i/>
          <w:iCs/>
          <w:sz w:val="24"/>
          <w:szCs w:val="24"/>
          <w:u w:val="single"/>
        </w:rPr>
        <w:t>día que refiere en su demanda</w:t>
      </w:r>
      <w:r>
        <w:rPr>
          <w:rFonts w:ascii="Arial" w:eastAsia="Calibri" w:hAnsi="Arial" w:cs="Arial"/>
          <w:bCs/>
          <w:i/>
          <w:iCs/>
          <w:sz w:val="24"/>
          <w:szCs w:val="24"/>
        </w:rPr>
        <w:t>, informándole que ´</w:t>
      </w:r>
      <w:r>
        <w:rPr>
          <w:rFonts w:ascii="Arial" w:eastAsia="Calibri" w:hAnsi="Arial" w:cs="Arial"/>
          <w:b/>
          <w:i/>
          <w:iCs/>
          <w:sz w:val="24"/>
          <w:szCs w:val="24"/>
        </w:rPr>
        <w:t xml:space="preserve">NO CUMPLÍA EL PERFIL´, </w:t>
      </w:r>
      <w:r>
        <w:rPr>
          <w:rFonts w:ascii="Arial" w:eastAsia="Calibri" w:hAnsi="Arial" w:cs="Arial"/>
          <w:bCs/>
          <w:i/>
          <w:iCs/>
          <w:sz w:val="24"/>
          <w:szCs w:val="24"/>
        </w:rPr>
        <w:t xml:space="preserve">por lo tanto </w:t>
      </w:r>
      <w:r>
        <w:rPr>
          <w:rFonts w:ascii="Arial" w:eastAsia="Calibri" w:hAnsi="Arial" w:cs="Arial"/>
          <w:bCs/>
          <w:i/>
          <w:iCs/>
          <w:sz w:val="24"/>
          <w:szCs w:val="24"/>
          <w:u w:val="single"/>
        </w:rPr>
        <w:t>la permanencia en su empleo con este Municipio fenecía con esa fecha</w:t>
      </w:r>
      <w:r>
        <w:rPr>
          <w:rFonts w:ascii="Arial" w:eastAsia="Calibri" w:hAnsi="Arial" w:cs="Arial"/>
          <w:bCs/>
          <w:i/>
          <w:iCs/>
          <w:sz w:val="24"/>
          <w:szCs w:val="24"/>
        </w:rPr>
        <w:t>, por no cumplir con los requisitos o no ser apto y ser servidor público, además de no aprobar el examen de control y confianza, razón por la cual no es apto para seguir siendo policía y servidor público, sin embargo dicho elemento policial, se negó a firmar de recibido dicho documento manifestando que hablaría con su abogado, y que por lo tanto no recibiría ningún documento, mucho menos firmaría nada.</w:t>
      </w:r>
      <w:r>
        <w:rPr>
          <w:rFonts w:ascii="Arial" w:eastAsia="Calibri" w:hAnsi="Arial" w:cs="Arial"/>
          <w:bCs/>
          <w:sz w:val="26"/>
          <w:szCs w:val="26"/>
        </w:rPr>
        <w:t xml:space="preserve">”.- - - - - - - - - - - - - - - - - - </w:t>
      </w:r>
    </w:p>
    <w:p w14:paraId="672011C1" w14:textId="12FB0CCD"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Sigue diciendo el inconforme que el Magistrado Instructor, de igual forma y sin motivo alguno, dejó de valorar la instrumental de actuaciones que ofreció en su demanda, y que constituye la totalidad de las pruebas recabadas en el juicio, en el que se incluye la contestación de la demanda.</w:t>
      </w:r>
      <w:r w:rsidRPr="00717BE2">
        <w:rPr>
          <w:rFonts w:ascii="Arial" w:eastAsia="Calibri" w:hAnsi="Arial" w:cs="Arial"/>
          <w:sz w:val="26"/>
          <w:szCs w:val="26"/>
        </w:rPr>
        <w:t xml:space="preserve"> </w:t>
      </w:r>
      <w:r>
        <w:rPr>
          <w:rFonts w:ascii="Arial" w:eastAsia="Calibri" w:hAnsi="Arial" w:cs="Arial"/>
          <w:sz w:val="26"/>
          <w:szCs w:val="26"/>
        </w:rPr>
        <w:t>- - - - - - - - - - - - - - - - - - - - - - - - - - - - - - -</w:t>
      </w:r>
    </w:p>
    <w:p w14:paraId="5456183F" w14:textId="760BBE2B" w:rsidR="00717BE2" w:rsidRDefault="00717BE2" w:rsidP="00717BE2">
      <w:pPr>
        <w:spacing w:before="240" w:line="360" w:lineRule="auto"/>
        <w:ind w:firstLine="709"/>
        <w:jc w:val="both"/>
        <w:rPr>
          <w:rFonts w:ascii="Arial" w:eastAsiaTheme="minorHAnsi" w:hAnsi="Arial" w:cs="Arial"/>
          <w:color w:val="000000"/>
          <w:sz w:val="26"/>
          <w:szCs w:val="26"/>
        </w:rPr>
      </w:pPr>
      <w:r>
        <w:rPr>
          <w:rFonts w:ascii="Arial" w:eastAsia="Calibri" w:hAnsi="Arial" w:cs="Arial"/>
          <w:b/>
          <w:sz w:val="26"/>
          <w:szCs w:val="26"/>
        </w:rPr>
        <w:lastRenderedPageBreak/>
        <w:t>Del análisis</w:t>
      </w:r>
      <w:r>
        <w:rPr>
          <w:rFonts w:ascii="Arial" w:eastAsia="Calibri" w:hAnsi="Arial" w:cs="Arial"/>
          <w:bCs/>
          <w:sz w:val="26"/>
          <w:szCs w:val="26"/>
        </w:rPr>
        <w:t xml:space="preserve"> a las constancias que integran el expediente principal, </w:t>
      </w:r>
      <w:r>
        <w:rPr>
          <w:rFonts w:ascii="Arial" w:hAnsi="Arial" w:cs="Arial"/>
          <w:bCs/>
          <w:sz w:val="26"/>
          <w:szCs w:val="26"/>
        </w:rPr>
        <w:t>a las que por tratarse de actuaciones judiciales, se les concede pleno valor probatorio conforme lo dispuesto</w:t>
      </w:r>
      <w:r>
        <w:rPr>
          <w:rFonts w:ascii="Arial" w:hAnsi="Arial" w:cs="Arial"/>
          <w:bCs/>
          <w:color w:val="000000"/>
          <w:sz w:val="26"/>
          <w:szCs w:val="26"/>
        </w:rPr>
        <w:t xml:space="preserve"> por el artículo 173</w:t>
      </w:r>
      <w:r>
        <w:rPr>
          <w:rFonts w:ascii="Arial" w:hAnsi="Arial" w:cs="Arial"/>
          <w:color w:val="000000"/>
          <w:sz w:val="26"/>
          <w:szCs w:val="26"/>
        </w:rPr>
        <w:t xml:space="preserve">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Justicia Administrativa para el Estado de Oaxaca, aplicable, se obtiene:</w:t>
      </w:r>
      <w:r w:rsidR="003F3A60">
        <w:rPr>
          <w:rFonts w:ascii="Arial" w:hAnsi="Arial" w:cs="Arial"/>
          <w:color w:val="000000"/>
          <w:sz w:val="26"/>
          <w:szCs w:val="26"/>
        </w:rPr>
        <w:t xml:space="preserve"> - - - - - - - - - - - - - - - - - - - - - - - - - - - - - -</w:t>
      </w:r>
    </w:p>
    <w:p w14:paraId="05ED13F7" w14:textId="2D9D29CE"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1.</w:t>
      </w:r>
      <w:r>
        <w:rPr>
          <w:rFonts w:ascii="Arial" w:eastAsia="Calibri" w:hAnsi="Arial" w:cs="Arial"/>
          <w:bCs/>
          <w:sz w:val="26"/>
          <w:szCs w:val="26"/>
        </w:rPr>
        <w:t xml:space="preserve"> </w:t>
      </w:r>
      <w:proofErr w:type="spellStart"/>
      <w:r>
        <w:rPr>
          <w:rFonts w:ascii="Arial" w:eastAsia="Calibri" w:hAnsi="Arial" w:cs="Arial"/>
          <w:bCs/>
          <w:sz w:val="26"/>
          <w:szCs w:val="26"/>
        </w:rPr>
        <w:t>Que</w:t>
      </w:r>
      <w:proofErr w:type="spellEnd"/>
      <w:r>
        <w:rPr>
          <w:rFonts w:ascii="Arial" w:eastAsia="Calibri" w:hAnsi="Arial" w:cs="Arial"/>
          <w:bCs/>
          <w:sz w:val="26"/>
          <w:szCs w:val="26"/>
        </w:rPr>
        <w:t xml:space="preserve"> </w:t>
      </w:r>
      <w:r w:rsidR="009B3955">
        <w:rPr>
          <w:rFonts w:ascii="Arial" w:hAnsi="Arial" w:cs="Arial"/>
          <w:b/>
          <w:sz w:val="26"/>
          <w:szCs w:val="26"/>
        </w:rPr>
        <w:t>***********</w:t>
      </w:r>
      <w:r>
        <w:rPr>
          <w:rFonts w:ascii="Arial" w:eastAsia="Calibri" w:hAnsi="Arial" w:cs="Arial"/>
          <w:bCs/>
          <w:sz w:val="26"/>
          <w:szCs w:val="26"/>
        </w:rPr>
        <w:t xml:space="preserve">, por escrito de 14 catorce de octubre de 2016 dos mil dieciséis (folios 1 a 8), demandó la nulidad de la resolución o acuerdo verbal de baja definitiva de la Corporación de la Policía del Municipio de </w:t>
      </w:r>
      <w:proofErr w:type="spellStart"/>
      <w:r>
        <w:rPr>
          <w:rFonts w:ascii="Arial" w:eastAsia="Calibri" w:hAnsi="Arial" w:cs="Arial"/>
          <w:bCs/>
          <w:sz w:val="26"/>
          <w:szCs w:val="26"/>
        </w:rPr>
        <w:t>Huajuapan</w:t>
      </w:r>
      <w:proofErr w:type="spellEnd"/>
      <w:r>
        <w:rPr>
          <w:rFonts w:ascii="Arial" w:eastAsia="Calibri" w:hAnsi="Arial" w:cs="Arial"/>
          <w:bCs/>
          <w:sz w:val="26"/>
          <w:szCs w:val="26"/>
        </w:rPr>
        <w:t xml:space="preserve"> de León, Oaxaca, la cual dijo le fue realizada el día 21 veintiuno de septiembre de 2016 dos mil dieciséis:</w:t>
      </w:r>
    </w:p>
    <w:p w14:paraId="73238D7F" w14:textId="77777777" w:rsidR="00717BE2" w:rsidRDefault="00717BE2" w:rsidP="00717BE2">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Pr>
          <w:rFonts w:ascii="Arial" w:eastAsia="Calibri" w:hAnsi="Arial" w:cs="Arial"/>
          <w:bCs/>
          <w:i/>
          <w:iCs/>
          <w:sz w:val="24"/>
          <w:szCs w:val="24"/>
        </w:rPr>
        <w:t xml:space="preserve">La </w:t>
      </w:r>
      <w:r>
        <w:rPr>
          <w:rFonts w:ascii="Arial" w:eastAsia="Calibri" w:hAnsi="Arial" w:cs="Arial"/>
          <w:b/>
          <w:i/>
          <w:iCs/>
          <w:sz w:val="24"/>
          <w:szCs w:val="24"/>
        </w:rPr>
        <w:t xml:space="preserve">Resolución o Acuerdo verbal de causar baja definitiva de la Corporación de la Policía del Municipio de </w:t>
      </w:r>
      <w:proofErr w:type="spellStart"/>
      <w:r>
        <w:rPr>
          <w:rFonts w:ascii="Arial" w:eastAsia="Calibri" w:hAnsi="Arial" w:cs="Arial"/>
          <w:b/>
          <w:i/>
          <w:iCs/>
          <w:sz w:val="24"/>
          <w:szCs w:val="24"/>
        </w:rPr>
        <w:t>Huajuapan</w:t>
      </w:r>
      <w:proofErr w:type="spellEnd"/>
      <w:r>
        <w:rPr>
          <w:rFonts w:ascii="Arial" w:eastAsia="Calibri" w:hAnsi="Arial" w:cs="Arial"/>
          <w:b/>
          <w:i/>
          <w:iCs/>
          <w:sz w:val="24"/>
          <w:szCs w:val="24"/>
        </w:rPr>
        <w:t xml:space="preserve"> de León, Oaxaca</w:t>
      </w:r>
      <w:r>
        <w:rPr>
          <w:rFonts w:ascii="Arial" w:eastAsia="Calibri" w:hAnsi="Arial" w:cs="Arial"/>
          <w:bCs/>
          <w:i/>
          <w:iCs/>
          <w:sz w:val="24"/>
          <w:szCs w:val="24"/>
        </w:rPr>
        <w:t xml:space="preserve">; emitida por los CC. Presidente Municipal, Síndico Procurador, Jefa o Directora de Relaciones Laborales y Comisionado Municipal de Seguridad Pública todos del Municipio de la Heroica Ciudad de </w:t>
      </w:r>
      <w:proofErr w:type="spellStart"/>
      <w:r>
        <w:rPr>
          <w:rFonts w:ascii="Arial" w:eastAsia="Calibri" w:hAnsi="Arial" w:cs="Arial"/>
          <w:bCs/>
          <w:i/>
          <w:iCs/>
          <w:sz w:val="24"/>
          <w:szCs w:val="24"/>
        </w:rPr>
        <w:t>Huajuapan</w:t>
      </w:r>
      <w:proofErr w:type="spellEnd"/>
      <w:r>
        <w:rPr>
          <w:rFonts w:ascii="Arial" w:eastAsia="Calibri" w:hAnsi="Arial" w:cs="Arial"/>
          <w:bCs/>
          <w:i/>
          <w:iCs/>
          <w:sz w:val="24"/>
          <w:szCs w:val="24"/>
        </w:rPr>
        <w:t xml:space="preserve"> de León, Oaxaca</w:t>
      </w:r>
      <w:r>
        <w:rPr>
          <w:rFonts w:ascii="Arial" w:eastAsia="Calibri" w:hAnsi="Arial" w:cs="Arial"/>
          <w:bCs/>
          <w:sz w:val="26"/>
          <w:szCs w:val="26"/>
        </w:rPr>
        <w:t>”</w:t>
      </w:r>
    </w:p>
    <w:p w14:paraId="35F825C4" w14:textId="77777777" w:rsidR="00717BE2" w:rsidRDefault="00717BE2" w:rsidP="00717BE2">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Pr>
          <w:rFonts w:ascii="Arial" w:eastAsia="Calibri" w:hAnsi="Arial" w:cs="Arial"/>
          <w:bCs/>
          <w:i/>
          <w:iCs/>
          <w:sz w:val="24"/>
          <w:szCs w:val="24"/>
        </w:rPr>
        <w:t xml:space="preserve">MANIFIESTO BAJO PROTESTA DE DECIR VERDAD, que la Resolución o Acuerdo emitido por los CC. Presidente Municipal, Síndico Procurador, Director o Jefe de Relaciones Laborales y Comisionado Municipal de Seguridad Pública todos del Municipio de la Heroica Ciudad de </w:t>
      </w:r>
      <w:proofErr w:type="spellStart"/>
      <w:r>
        <w:rPr>
          <w:rFonts w:ascii="Arial" w:eastAsia="Calibri" w:hAnsi="Arial" w:cs="Arial"/>
          <w:bCs/>
          <w:i/>
          <w:iCs/>
          <w:sz w:val="24"/>
          <w:szCs w:val="24"/>
        </w:rPr>
        <w:t>Huajuapan</w:t>
      </w:r>
      <w:proofErr w:type="spellEnd"/>
      <w:r>
        <w:rPr>
          <w:rFonts w:ascii="Arial" w:eastAsia="Calibri" w:hAnsi="Arial" w:cs="Arial"/>
          <w:bCs/>
          <w:i/>
          <w:iCs/>
          <w:sz w:val="24"/>
          <w:szCs w:val="24"/>
        </w:rPr>
        <w:t xml:space="preserve"> de León, Oaxaca; se me notificó de forma verbal en fecha veintiuno de septiembre del año dos mil dieciséis, en las instalaciones que ocupa el C. Director o Jefe de Relaciones Laborales.</w:t>
      </w:r>
      <w:r>
        <w:rPr>
          <w:rFonts w:ascii="Arial" w:eastAsia="Calibri" w:hAnsi="Arial" w:cs="Arial"/>
          <w:bCs/>
          <w:sz w:val="26"/>
          <w:szCs w:val="26"/>
        </w:rPr>
        <w:t>”</w:t>
      </w:r>
    </w:p>
    <w:p w14:paraId="0BCDA7F3" w14:textId="6177BAF4" w:rsidR="00717BE2" w:rsidRDefault="00717BE2" w:rsidP="00717BE2">
      <w:pPr>
        <w:spacing w:before="240" w:line="360" w:lineRule="auto"/>
        <w:ind w:firstLine="709"/>
        <w:jc w:val="both"/>
        <w:rPr>
          <w:rFonts w:ascii="Arial" w:eastAsia="Calibri" w:hAnsi="Arial" w:cs="Arial"/>
          <w:sz w:val="26"/>
          <w:szCs w:val="26"/>
        </w:rPr>
      </w:pPr>
      <w:r>
        <w:rPr>
          <w:rFonts w:ascii="Arial" w:eastAsia="Calibri" w:hAnsi="Arial" w:cs="Arial"/>
          <w:sz w:val="26"/>
          <w:szCs w:val="26"/>
        </w:rPr>
        <w:t>Precisando en el capítulo de conceptos de impugnación en el punto marcado como 2 (folio 6), en lo que interesa: “…</w:t>
      </w:r>
      <w:r>
        <w:rPr>
          <w:rFonts w:ascii="Arial" w:eastAsia="Calibri" w:hAnsi="Arial" w:cs="Arial"/>
          <w:i/>
          <w:iCs/>
          <w:sz w:val="24"/>
          <w:szCs w:val="24"/>
        </w:rPr>
        <w:t xml:space="preserve">lugar en donde fui atendido por la C. </w:t>
      </w:r>
      <w:r w:rsidR="009B3955">
        <w:rPr>
          <w:rFonts w:ascii="Arial" w:hAnsi="Arial" w:cs="Arial"/>
          <w:b/>
          <w:sz w:val="26"/>
          <w:szCs w:val="26"/>
        </w:rPr>
        <w:t>***********</w:t>
      </w:r>
      <w:r>
        <w:rPr>
          <w:rFonts w:ascii="Arial" w:eastAsia="Calibri" w:hAnsi="Arial" w:cs="Arial"/>
          <w:i/>
          <w:iCs/>
          <w:sz w:val="24"/>
          <w:szCs w:val="24"/>
        </w:rPr>
        <w:t xml:space="preserve">, quien dijo ser JEFA DE RELACIONES LABORALES, persona que me manifestó: CUAL ES SU NÚMERO DE NÓMINA, a lo que el suscrito el conteste: 610; por lo que nuevamente la C. </w:t>
      </w:r>
      <w:r w:rsidR="009B3955">
        <w:rPr>
          <w:rFonts w:ascii="Arial" w:hAnsi="Arial" w:cs="Arial"/>
          <w:b/>
          <w:sz w:val="26"/>
          <w:szCs w:val="26"/>
        </w:rPr>
        <w:t>***********</w:t>
      </w:r>
      <w:r>
        <w:rPr>
          <w:rFonts w:ascii="Arial" w:eastAsia="Calibri" w:hAnsi="Arial" w:cs="Arial"/>
          <w:i/>
          <w:iCs/>
          <w:sz w:val="24"/>
          <w:szCs w:val="24"/>
        </w:rPr>
        <w:t xml:space="preserve">, me dijo: TÚ NOMBRE ES CORRECTO ES </w:t>
      </w:r>
      <w:r w:rsidR="009B3955">
        <w:rPr>
          <w:rFonts w:ascii="Arial" w:hAnsi="Arial" w:cs="Arial"/>
          <w:b/>
          <w:sz w:val="26"/>
          <w:szCs w:val="26"/>
        </w:rPr>
        <w:t>***********</w:t>
      </w:r>
      <w:r>
        <w:rPr>
          <w:rFonts w:ascii="Arial" w:eastAsia="Calibri" w:hAnsi="Arial" w:cs="Arial"/>
          <w:i/>
          <w:iCs/>
          <w:sz w:val="24"/>
          <w:szCs w:val="24"/>
        </w:rPr>
        <w:t xml:space="preserve">, DESDE HOY QUEDAS DESPEDIDO, ESTAS FUERA DE TÚ SERVICIO, PORQUE </w:t>
      </w:r>
      <w:r>
        <w:rPr>
          <w:rFonts w:ascii="Arial" w:eastAsia="Calibri" w:hAnsi="Arial" w:cs="Arial"/>
          <w:i/>
          <w:iCs/>
          <w:sz w:val="24"/>
          <w:szCs w:val="24"/>
        </w:rPr>
        <w:lastRenderedPageBreak/>
        <w:t>NO PASASTE EL EXAMEN DE CONTROL Y CONFIANZA; Y SON ORDENES DEL PRESIDENTE MUNICIPAL Y DEL SINDICO PROCURADOR, QUE TE DESPIDA; pero haciendo la aclaración correspondiente que en ningún momento me mostró documento alguno, en el que constara dicha determinación, a pesar de habérselo solicitado verbalmente</w:t>
      </w:r>
      <w:r>
        <w:rPr>
          <w:rFonts w:ascii="Arial" w:eastAsia="Calibri" w:hAnsi="Arial" w:cs="Arial"/>
          <w:sz w:val="26"/>
          <w:szCs w:val="26"/>
        </w:rPr>
        <w:t>”</w:t>
      </w:r>
    </w:p>
    <w:p w14:paraId="6BB0BD49" w14:textId="7484EBDD"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2</w:t>
      </w:r>
      <w:r>
        <w:rPr>
          <w:rFonts w:ascii="Arial" w:eastAsia="Calibri" w:hAnsi="Arial" w:cs="Arial"/>
          <w:bCs/>
          <w:sz w:val="26"/>
          <w:szCs w:val="26"/>
        </w:rPr>
        <w:t>. Que las demandadas al dar contestación a la demanda por escrito de 20 veinte de diciembre de 2016 dos mil dieciséis (folios 20 a 25), en el rubro relacionado a la contestación a los conceptos de impugnación, en el marcado como número 2, inciso a), párrafos tres, cuatro y cinco, señalaron que de acuerdo a los archivos existentes, se le realizó un examen de control de confianza al actor Florencio Cruz Peña, teniendo como resultado que no lo aprobó, y que tal resultado, se le dio a conocer en la fecha que indicó en su demanda.</w:t>
      </w:r>
      <w:r w:rsidR="003F3A60">
        <w:rPr>
          <w:rFonts w:ascii="Arial" w:eastAsia="Calibri" w:hAnsi="Arial" w:cs="Arial"/>
          <w:bCs/>
          <w:sz w:val="26"/>
          <w:szCs w:val="26"/>
        </w:rPr>
        <w:t xml:space="preserve"> - - - - - - - - - </w:t>
      </w:r>
    </w:p>
    <w:p w14:paraId="765A9992" w14:textId="77777777" w:rsidR="00717BE2" w:rsidRDefault="00717BE2" w:rsidP="00717BE2">
      <w:pPr>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p>
    <w:p w14:paraId="0CC26037" w14:textId="77777777" w:rsidR="00717BE2" w:rsidRDefault="00717BE2" w:rsidP="00717BE2">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De lo anterior se desprende que para todos los órganos policiales incluyendo los Municipales, es obligación que sus elementos se sometan a exámenes de control de confianza, los cuales estarán a cargo del Estado y la Federación, siendo las consecuencias de dichos exámenes la permanencia o no en el servicio.</w:t>
      </w:r>
    </w:p>
    <w:p w14:paraId="17F1E04B" w14:textId="77777777" w:rsidR="00717BE2" w:rsidRDefault="00717BE2" w:rsidP="00717BE2">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 xml:space="preserve">Así pues, según nuestros archivos existe agregada en original una lista de elementos de policía que responden a diversos nombres entre ellos el Administrado actor en el presente juicio, expedida por la Directora General del Centro Estatal de Evaluación y Control de Confianza, dependiente del Secretario Ejecutivo del Consejo Estatal de Seguridad Pública del Estado de Oaxaca, de fecha 21 de julio de dos mil dieciséis, signado por la Directora General del Centro Estatal de Evaluación y Control de Confianza Lic. Paulina Cárdenas González, documento en el cual aparece el nombre del administrado Florencio Cruz Peña, y en el apartado del rubro </w:t>
      </w:r>
      <w:r>
        <w:rPr>
          <w:rFonts w:ascii="Arial" w:eastAsia="Calibri" w:hAnsi="Arial" w:cs="Arial"/>
          <w:b/>
          <w:i/>
          <w:iCs/>
          <w:sz w:val="24"/>
          <w:szCs w:val="24"/>
        </w:rPr>
        <w:t xml:space="preserve">RESULTADO DE PERMANENCIA, </w:t>
      </w:r>
      <w:r>
        <w:rPr>
          <w:rFonts w:ascii="Arial" w:eastAsia="Calibri" w:hAnsi="Arial" w:cs="Arial"/>
          <w:bCs/>
          <w:i/>
          <w:iCs/>
          <w:sz w:val="24"/>
          <w:szCs w:val="24"/>
        </w:rPr>
        <w:t>aparece el accionante con la leyenda de ´</w:t>
      </w:r>
      <w:r>
        <w:rPr>
          <w:rFonts w:ascii="Arial" w:eastAsia="Calibri" w:hAnsi="Arial" w:cs="Arial"/>
          <w:b/>
          <w:i/>
          <w:iCs/>
          <w:sz w:val="24"/>
          <w:szCs w:val="24"/>
        </w:rPr>
        <w:t xml:space="preserve">NO APROBADO´, </w:t>
      </w:r>
      <w:r>
        <w:rPr>
          <w:rFonts w:ascii="Arial" w:eastAsia="Calibri" w:hAnsi="Arial" w:cs="Arial"/>
          <w:bCs/>
          <w:i/>
          <w:iCs/>
          <w:sz w:val="24"/>
          <w:szCs w:val="24"/>
        </w:rPr>
        <w:t>acto que evidentemente cumple con los requisitos exigidos por el artículo 7 de la Ley de Justicia Administrativa para el Estado de Oaxaca, y es respecto a los exámenes de control de confianza que se aplicaron a dichos elementos policiales.</w:t>
      </w:r>
    </w:p>
    <w:p w14:paraId="35366D92" w14:textId="77777777" w:rsidR="00717BE2" w:rsidRDefault="00717BE2" w:rsidP="00717BE2">
      <w:pPr>
        <w:spacing w:before="240" w:line="360" w:lineRule="auto"/>
        <w:ind w:left="1134" w:right="616"/>
        <w:jc w:val="both"/>
        <w:rPr>
          <w:rFonts w:ascii="Arial" w:eastAsia="Calibri" w:hAnsi="Arial" w:cs="Arial"/>
          <w:bCs/>
          <w:sz w:val="26"/>
          <w:szCs w:val="26"/>
        </w:rPr>
      </w:pPr>
      <w:bookmarkStart w:id="0" w:name="_Hlk40644119"/>
      <w:r>
        <w:rPr>
          <w:rFonts w:ascii="Arial" w:eastAsia="Calibri" w:hAnsi="Arial" w:cs="Arial"/>
          <w:bCs/>
          <w:i/>
          <w:iCs/>
          <w:sz w:val="24"/>
          <w:szCs w:val="24"/>
        </w:rPr>
        <w:lastRenderedPageBreak/>
        <w:t>Acto que se le dio a conocer al administrado el día que refiere en su demanda, informándole que ´</w:t>
      </w:r>
      <w:r>
        <w:rPr>
          <w:rFonts w:ascii="Arial" w:eastAsia="Calibri" w:hAnsi="Arial" w:cs="Arial"/>
          <w:b/>
          <w:i/>
          <w:iCs/>
          <w:sz w:val="24"/>
          <w:szCs w:val="24"/>
        </w:rPr>
        <w:t xml:space="preserve">NO CUMPLÍA EL PERFIL´, </w:t>
      </w:r>
      <w:r>
        <w:rPr>
          <w:rFonts w:ascii="Arial" w:eastAsia="Calibri" w:hAnsi="Arial" w:cs="Arial"/>
          <w:bCs/>
          <w:i/>
          <w:iCs/>
          <w:sz w:val="24"/>
          <w:szCs w:val="24"/>
        </w:rPr>
        <w:t>por lo tanto la permanencia en su empleo con este Municipio fenecía con esa fecha, por no cumplir con los requisitos o no ser apto y ser servidor público, además de no aprobar el examen de Control y Confianza, razón por la cual no es apto para seguir siendo policía y servidor público, sin embargo dicho elemento policial, se negó a firmar de recibido dicho documento manifestando que hablaría con su abogado, y que por lo tanto no recibiría ningún documento, mucho menos firmaría nada.</w:t>
      </w:r>
      <w:r>
        <w:rPr>
          <w:rFonts w:ascii="Arial" w:eastAsia="Calibri" w:hAnsi="Arial" w:cs="Arial"/>
          <w:bCs/>
          <w:sz w:val="26"/>
          <w:szCs w:val="26"/>
        </w:rPr>
        <w:t>”</w:t>
      </w:r>
      <w:bookmarkEnd w:id="0"/>
    </w:p>
    <w:p w14:paraId="04164918" w14:textId="2886EBEC"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3.</w:t>
      </w:r>
      <w:r>
        <w:rPr>
          <w:rFonts w:ascii="Arial" w:eastAsia="Calibri" w:hAnsi="Arial" w:cs="Arial"/>
          <w:bCs/>
          <w:sz w:val="26"/>
          <w:szCs w:val="26"/>
        </w:rPr>
        <w:t xml:space="preserve"> Que el A quo, al emitir la resolución materia de revisión (agregada a folios 465 a468), determinó:</w:t>
      </w:r>
      <w:r w:rsidR="00300FF7">
        <w:rPr>
          <w:rFonts w:ascii="Arial" w:eastAsia="Calibri" w:hAnsi="Arial" w:cs="Arial"/>
          <w:bCs/>
          <w:sz w:val="26"/>
          <w:szCs w:val="26"/>
        </w:rPr>
        <w:t xml:space="preserve"> - - - - - - - - - - - - - - - - - - - - - - </w:t>
      </w:r>
    </w:p>
    <w:p w14:paraId="65FEC308" w14:textId="77777777" w:rsidR="00717BE2" w:rsidRDefault="00717BE2" w:rsidP="00717BE2">
      <w:pPr>
        <w:spacing w:before="240" w:line="360" w:lineRule="auto"/>
        <w:ind w:left="1134" w:right="616"/>
        <w:jc w:val="both"/>
        <w:rPr>
          <w:rFonts w:ascii="Arial" w:eastAsia="Calibri" w:hAnsi="Arial" w:cs="Arial"/>
          <w:bCs/>
          <w:i/>
          <w:sz w:val="24"/>
          <w:szCs w:val="24"/>
        </w:rPr>
      </w:pPr>
      <w:r>
        <w:rPr>
          <w:rFonts w:ascii="Arial" w:eastAsia="Calibri" w:hAnsi="Arial" w:cs="Arial"/>
          <w:bCs/>
          <w:sz w:val="26"/>
          <w:szCs w:val="26"/>
        </w:rPr>
        <w:t>“</w:t>
      </w:r>
      <w:r>
        <w:rPr>
          <w:rFonts w:ascii="Arial" w:eastAsia="Calibri" w:hAnsi="Arial" w:cs="Arial"/>
          <w:b/>
          <w:i/>
          <w:sz w:val="24"/>
          <w:szCs w:val="24"/>
        </w:rPr>
        <w:t xml:space="preserve">Sin embargo, </w:t>
      </w:r>
      <w:r>
        <w:rPr>
          <w:rFonts w:ascii="Arial" w:eastAsia="Calibri" w:hAnsi="Arial" w:cs="Arial"/>
          <w:bCs/>
          <w:i/>
          <w:sz w:val="24"/>
          <w:szCs w:val="24"/>
        </w:rPr>
        <w:t xml:space="preserve">el actor </w:t>
      </w:r>
      <w:r>
        <w:rPr>
          <w:rFonts w:ascii="Arial" w:eastAsia="Calibri" w:hAnsi="Arial" w:cs="Arial"/>
          <w:b/>
          <w:i/>
          <w:sz w:val="24"/>
          <w:szCs w:val="24"/>
        </w:rPr>
        <w:t>no acreditó con prueba idónea</w:t>
      </w:r>
      <w:r>
        <w:rPr>
          <w:rFonts w:ascii="Arial" w:eastAsia="Calibri" w:hAnsi="Arial" w:cs="Arial"/>
          <w:bCs/>
          <w:i/>
          <w:sz w:val="24"/>
          <w:szCs w:val="24"/>
        </w:rPr>
        <w:t xml:space="preserve"> que el 21 veintiuno de septiembre de 2016 dos mil dieciséis, la Jefa de Relaciones Laborales del Municipio de </w:t>
      </w:r>
      <w:proofErr w:type="spellStart"/>
      <w:r>
        <w:rPr>
          <w:rFonts w:ascii="Arial" w:eastAsia="Calibri" w:hAnsi="Arial" w:cs="Arial"/>
          <w:bCs/>
          <w:i/>
          <w:sz w:val="24"/>
          <w:szCs w:val="24"/>
        </w:rPr>
        <w:t>Huajuapan</w:t>
      </w:r>
      <w:proofErr w:type="spellEnd"/>
      <w:r>
        <w:rPr>
          <w:rFonts w:ascii="Arial" w:eastAsia="Calibri" w:hAnsi="Arial" w:cs="Arial"/>
          <w:bCs/>
          <w:i/>
          <w:sz w:val="24"/>
          <w:szCs w:val="24"/>
        </w:rPr>
        <w:t xml:space="preserve"> de León, Oaxaca, le comunicara de manera verbal, que a partir de esa fecha y por órdenes del Presidente Municipal y el Síndico Procurador del Municipio de </w:t>
      </w:r>
      <w:proofErr w:type="spellStart"/>
      <w:r>
        <w:rPr>
          <w:rFonts w:ascii="Arial" w:eastAsia="Calibri" w:hAnsi="Arial" w:cs="Arial"/>
          <w:bCs/>
          <w:i/>
          <w:sz w:val="24"/>
          <w:szCs w:val="24"/>
        </w:rPr>
        <w:t>Huajuapan</w:t>
      </w:r>
      <w:proofErr w:type="spellEnd"/>
      <w:r>
        <w:rPr>
          <w:rFonts w:ascii="Arial" w:eastAsia="Calibri" w:hAnsi="Arial" w:cs="Arial"/>
          <w:bCs/>
          <w:i/>
          <w:sz w:val="24"/>
          <w:szCs w:val="24"/>
        </w:rPr>
        <w:t xml:space="preserve"> de León, Oaxaca, dejaba de laborar como Policía Municipal del citado Ayuntamiento.</w:t>
      </w:r>
    </w:p>
    <w:p w14:paraId="798CF546" w14:textId="77777777" w:rsidR="00717BE2" w:rsidRDefault="00717BE2" w:rsidP="00717BE2">
      <w:pPr>
        <w:spacing w:before="240" w:line="360" w:lineRule="auto"/>
        <w:ind w:left="1134" w:right="616"/>
        <w:jc w:val="both"/>
        <w:rPr>
          <w:rFonts w:ascii="Arial" w:eastAsia="Calibri" w:hAnsi="Arial" w:cs="Arial"/>
          <w:bCs/>
          <w:i/>
          <w:sz w:val="24"/>
          <w:szCs w:val="24"/>
        </w:rPr>
      </w:pPr>
      <w:r>
        <w:rPr>
          <w:rFonts w:ascii="Arial" w:eastAsia="Calibri" w:hAnsi="Arial" w:cs="Arial"/>
          <w:bCs/>
          <w:i/>
          <w:sz w:val="24"/>
          <w:szCs w:val="24"/>
        </w:rPr>
        <w:t xml:space="preserve">Por lo que el actor incumplió con la obligación que tiene de acreditar los hechos de su acción como lo disponen los artículos 147 fracción IX, 148 fracciones V, 158 y 159, de la Ley de Justicia Administrativa para el Estado, anterior a la vigente, </w:t>
      </w:r>
      <w:r>
        <w:rPr>
          <w:rFonts w:ascii="Arial" w:eastAsia="Calibri" w:hAnsi="Arial" w:cs="Arial"/>
          <w:b/>
          <w:i/>
          <w:sz w:val="24"/>
          <w:szCs w:val="24"/>
        </w:rPr>
        <w:t xml:space="preserve">a él le correspondía e (sic) la carga probatoria en el juicio en el que impera el principio de estricto derecho, </w:t>
      </w:r>
      <w:r>
        <w:rPr>
          <w:rFonts w:ascii="Arial" w:eastAsia="Calibri" w:hAnsi="Arial" w:cs="Arial"/>
          <w:bCs/>
          <w:i/>
          <w:sz w:val="24"/>
          <w:szCs w:val="24"/>
        </w:rPr>
        <w:t xml:space="preserve">sin que sea posible suplir deficiencia alguna al </w:t>
      </w:r>
      <w:proofErr w:type="spellStart"/>
      <w:r>
        <w:rPr>
          <w:rFonts w:ascii="Arial" w:eastAsia="Calibri" w:hAnsi="Arial" w:cs="Arial"/>
          <w:bCs/>
          <w:i/>
          <w:sz w:val="24"/>
          <w:szCs w:val="24"/>
        </w:rPr>
        <w:t>enjuiciante</w:t>
      </w:r>
      <w:proofErr w:type="spellEnd"/>
      <w:r>
        <w:rPr>
          <w:rFonts w:ascii="Arial" w:eastAsia="Calibri" w:hAnsi="Arial" w:cs="Arial"/>
          <w:bCs/>
          <w:i/>
          <w:sz w:val="24"/>
          <w:szCs w:val="24"/>
        </w:rPr>
        <w:t xml:space="preserve"> respecto a su omisión de aportar elementos probatorios con los que justifique la existencia del acto que impugnó</w:t>
      </w:r>
      <w:r>
        <w:rPr>
          <w:rFonts w:ascii="Arial" w:eastAsia="Calibri" w:hAnsi="Arial" w:cs="Arial"/>
          <w:bCs/>
          <w:sz w:val="26"/>
          <w:szCs w:val="26"/>
        </w:rPr>
        <w:t>”</w:t>
      </w:r>
    </w:p>
    <w:p w14:paraId="2FAA89CC" w14:textId="77777777" w:rsidR="00717BE2" w:rsidRDefault="00717BE2" w:rsidP="00717BE2">
      <w:pPr>
        <w:spacing w:before="240" w:line="360" w:lineRule="auto"/>
        <w:ind w:firstLine="709"/>
        <w:jc w:val="both"/>
        <w:rPr>
          <w:rFonts w:ascii="Arial" w:eastAsiaTheme="minorHAnsi" w:hAnsi="Arial" w:cs="Arial"/>
          <w:sz w:val="26"/>
          <w:szCs w:val="26"/>
        </w:rPr>
      </w:pPr>
      <w:r>
        <w:rPr>
          <w:rFonts w:ascii="Arial" w:hAnsi="Arial" w:cs="Arial"/>
          <w:sz w:val="26"/>
          <w:szCs w:val="26"/>
        </w:rPr>
        <w:t xml:space="preserve">De lo puntualizado en párrafos precedentes, es de donde se evidencia lo </w:t>
      </w:r>
      <w:r>
        <w:rPr>
          <w:rFonts w:ascii="Arial" w:hAnsi="Arial" w:cs="Arial"/>
          <w:b/>
          <w:bCs/>
          <w:sz w:val="26"/>
          <w:szCs w:val="26"/>
        </w:rPr>
        <w:t xml:space="preserve">fundado </w:t>
      </w:r>
      <w:r>
        <w:rPr>
          <w:rFonts w:ascii="Arial" w:hAnsi="Arial" w:cs="Arial"/>
          <w:sz w:val="26"/>
          <w:szCs w:val="26"/>
        </w:rPr>
        <w:t xml:space="preserve">de los agravios plasmados por el recurrente, porque en efecto el </w:t>
      </w:r>
      <w:proofErr w:type="spellStart"/>
      <w:r>
        <w:rPr>
          <w:rFonts w:ascii="Arial" w:hAnsi="Arial" w:cs="Arial"/>
          <w:sz w:val="26"/>
          <w:szCs w:val="26"/>
        </w:rPr>
        <w:t>Resolutor</w:t>
      </w:r>
      <w:proofErr w:type="spellEnd"/>
      <w:r>
        <w:rPr>
          <w:rFonts w:ascii="Arial" w:hAnsi="Arial" w:cs="Arial"/>
          <w:sz w:val="26"/>
          <w:szCs w:val="26"/>
        </w:rPr>
        <w:t xml:space="preserve"> de Primera Instancia, determinó sobreseer el juicio, basándose únicamente en la consideración de que no existe prueba alguna que acredite el acto impugnado (orden verbal </w:t>
      </w:r>
      <w:r>
        <w:rPr>
          <w:rFonts w:ascii="Arial" w:hAnsi="Arial" w:cs="Arial"/>
          <w:sz w:val="26"/>
          <w:szCs w:val="26"/>
        </w:rPr>
        <w:lastRenderedPageBreak/>
        <w:t>de baja), siendo omiso en valorar lo expuesto por las autoridades demandadas al dar contestación a la demanda entablada en su contra.</w:t>
      </w:r>
    </w:p>
    <w:p w14:paraId="3C752B41" w14:textId="5817CD9A" w:rsidR="00717BE2" w:rsidRDefault="00717BE2" w:rsidP="00717BE2">
      <w:pPr>
        <w:spacing w:before="240" w:line="360" w:lineRule="auto"/>
        <w:ind w:firstLine="709"/>
        <w:jc w:val="both"/>
        <w:rPr>
          <w:rFonts w:ascii="Arial" w:hAnsi="Arial" w:cs="Arial"/>
          <w:sz w:val="26"/>
          <w:szCs w:val="26"/>
        </w:rPr>
      </w:pPr>
      <w:r>
        <w:rPr>
          <w:rFonts w:ascii="Arial" w:hAnsi="Arial" w:cs="Arial"/>
          <w:sz w:val="26"/>
          <w:szCs w:val="26"/>
        </w:rPr>
        <w:t xml:space="preserve">Valoración que para resolver como lo hizo el A quo, era trascendental; ello porque, del análisis al escrito de contestación de demanda, se advierte que las autoridades demandadas fueron </w:t>
      </w:r>
      <w:r>
        <w:rPr>
          <w:rFonts w:ascii="Arial" w:hAnsi="Arial" w:cs="Arial"/>
          <w:sz w:val="26"/>
          <w:szCs w:val="26"/>
          <w:u w:val="single"/>
        </w:rPr>
        <w:t>coincidentes</w:t>
      </w:r>
      <w:r>
        <w:rPr>
          <w:rFonts w:ascii="Arial" w:hAnsi="Arial" w:cs="Arial"/>
          <w:sz w:val="26"/>
          <w:szCs w:val="26"/>
        </w:rPr>
        <w:t xml:space="preserve"> con lo manifestado por </w:t>
      </w:r>
      <w:r w:rsidR="009B3955">
        <w:rPr>
          <w:rFonts w:ascii="Arial" w:hAnsi="Arial" w:cs="Arial"/>
          <w:b/>
          <w:sz w:val="26"/>
          <w:szCs w:val="26"/>
        </w:rPr>
        <w:t>***********</w:t>
      </w:r>
      <w:r>
        <w:rPr>
          <w:rFonts w:ascii="Arial" w:hAnsi="Arial" w:cs="Arial"/>
          <w:sz w:val="26"/>
          <w:szCs w:val="26"/>
        </w:rPr>
        <w:t xml:space="preserve">, quien fue puntual en señalar, que el día 21 veintiuno de septiembre de 2016 dos mil dieciséis, la Jefa de Relaciones Laborales, le informó de manera verbal, que estaba despedido, por no haber pasado el examen de control y confianza, precisando que en ningún momento se le mostró documento alguno, en el que constara dicha determinación, a pesar de haberlo solicitado; aseveración, que fue </w:t>
      </w:r>
      <w:r>
        <w:rPr>
          <w:rFonts w:ascii="Arial" w:hAnsi="Arial" w:cs="Arial"/>
          <w:sz w:val="26"/>
          <w:szCs w:val="26"/>
          <w:u w:val="single"/>
        </w:rPr>
        <w:t>confirmada</w:t>
      </w:r>
      <w:r>
        <w:rPr>
          <w:rFonts w:ascii="Arial" w:hAnsi="Arial" w:cs="Arial"/>
          <w:sz w:val="26"/>
          <w:szCs w:val="26"/>
        </w:rPr>
        <w:t xml:space="preserve"> por el Síndico Hacendario y Encargado del Despacho del Ayuntamiento Constitucional, Síndico Procurador de Justicia, Comisionado Municipal de Seguridad Pública, Vialidad, Tránsito y Protección Civil y Director de Relaciones Laborales, todos del Honorable Ayuntamiento de </w:t>
      </w:r>
      <w:proofErr w:type="spellStart"/>
      <w:r>
        <w:rPr>
          <w:rFonts w:ascii="Arial" w:hAnsi="Arial" w:cs="Arial"/>
          <w:sz w:val="26"/>
          <w:szCs w:val="26"/>
        </w:rPr>
        <w:t>Huajuapan</w:t>
      </w:r>
      <w:proofErr w:type="spellEnd"/>
      <w:r>
        <w:rPr>
          <w:rFonts w:ascii="Arial" w:hAnsi="Arial" w:cs="Arial"/>
          <w:sz w:val="26"/>
          <w:szCs w:val="26"/>
        </w:rPr>
        <w:t xml:space="preserve"> de León, Oaxaca, cuando manifestaron, que el día que indicó el actor en su demanda, le fue dado a conocer que la permanencia en su empleo fenecía en esa fecha, por no haber aprobado el examen de control y confianza.</w:t>
      </w:r>
      <w:r w:rsidRPr="00717BE2">
        <w:rPr>
          <w:rFonts w:ascii="Arial" w:eastAsia="Calibri" w:hAnsi="Arial" w:cs="Arial"/>
          <w:sz w:val="26"/>
          <w:szCs w:val="26"/>
        </w:rPr>
        <w:t xml:space="preserve"> </w:t>
      </w:r>
      <w:r>
        <w:rPr>
          <w:rFonts w:ascii="Arial" w:eastAsia="Calibri" w:hAnsi="Arial" w:cs="Arial"/>
          <w:sz w:val="26"/>
          <w:szCs w:val="26"/>
        </w:rPr>
        <w:t xml:space="preserve">- - - - - - - - - - - - - - - - - - - - </w:t>
      </w:r>
    </w:p>
    <w:p w14:paraId="760935C6" w14:textId="7CA24173" w:rsidR="00717BE2" w:rsidRDefault="00717BE2" w:rsidP="00717BE2">
      <w:pPr>
        <w:spacing w:before="240" w:line="360" w:lineRule="auto"/>
        <w:ind w:firstLine="709"/>
        <w:jc w:val="both"/>
        <w:rPr>
          <w:rFonts w:ascii="Arial" w:hAnsi="Arial" w:cs="Arial"/>
          <w:sz w:val="26"/>
          <w:szCs w:val="26"/>
        </w:rPr>
      </w:pPr>
      <w:r>
        <w:rPr>
          <w:rFonts w:ascii="Arial" w:hAnsi="Arial" w:cs="Arial"/>
          <w:sz w:val="26"/>
          <w:szCs w:val="26"/>
        </w:rPr>
        <w:t xml:space="preserve">Siendo esta manifestación y afirmación de las demandadas, la que corrobora que el 21 veintiuno de septiembre de 2016 dos mil dieciséis, le fue notificado de forma verbal a </w:t>
      </w:r>
      <w:r w:rsidR="009B3955">
        <w:rPr>
          <w:rFonts w:ascii="Arial" w:hAnsi="Arial" w:cs="Arial"/>
          <w:b/>
          <w:sz w:val="26"/>
          <w:szCs w:val="26"/>
        </w:rPr>
        <w:t>***********</w:t>
      </w:r>
      <w:bookmarkStart w:id="1" w:name="_GoBack"/>
      <w:bookmarkEnd w:id="1"/>
      <w:r>
        <w:rPr>
          <w:rFonts w:ascii="Arial" w:hAnsi="Arial" w:cs="Arial"/>
          <w:sz w:val="26"/>
          <w:szCs w:val="26"/>
        </w:rPr>
        <w:t xml:space="preserve">, su cese como Policía Municipal del Ayuntamiento de </w:t>
      </w:r>
      <w:proofErr w:type="spellStart"/>
      <w:r>
        <w:rPr>
          <w:rFonts w:ascii="Arial" w:hAnsi="Arial" w:cs="Arial"/>
          <w:sz w:val="26"/>
          <w:szCs w:val="26"/>
        </w:rPr>
        <w:t>Huajuapan</w:t>
      </w:r>
      <w:proofErr w:type="spellEnd"/>
      <w:r>
        <w:rPr>
          <w:rFonts w:ascii="Arial" w:hAnsi="Arial" w:cs="Arial"/>
          <w:sz w:val="26"/>
          <w:szCs w:val="26"/>
        </w:rPr>
        <w:t xml:space="preserve"> de León, Oaxaca; sin que sea óbice a lo anterior, que las demandadas hayan indicado que el actor se negó a firmar de recibido el documento con el que se le dio a conocer que no aprobó el examen de control y confianza; pues dichas autoridades soslayaron exhibir tal documental, para acreditar que en efecto, no existió una notificación verbal, sino escrita y que el actor se negó a recibir; ello es así, pues en autos del juicio natural, no obra el resultado del examen de control y confianza que dicen le fue realizado al actor y afirman se negó a recibir.</w:t>
      </w:r>
      <w:r w:rsidRPr="00717BE2">
        <w:rPr>
          <w:rFonts w:ascii="Arial" w:eastAsia="Calibri" w:hAnsi="Arial" w:cs="Arial"/>
          <w:sz w:val="26"/>
          <w:szCs w:val="26"/>
        </w:rPr>
        <w:t xml:space="preserve"> </w:t>
      </w:r>
      <w:r>
        <w:rPr>
          <w:rFonts w:ascii="Arial" w:eastAsia="Calibri" w:hAnsi="Arial" w:cs="Arial"/>
          <w:sz w:val="26"/>
          <w:szCs w:val="26"/>
        </w:rPr>
        <w:t xml:space="preserve">- - - - - - - </w:t>
      </w:r>
    </w:p>
    <w:p w14:paraId="5A60F2FA" w14:textId="4355073C" w:rsidR="00717BE2" w:rsidRDefault="00717BE2" w:rsidP="00717BE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toda vez que la actuación de la Primera Instancia, de omitir realizar un análisis completo y exhaustivo de las constancias contenidas en autos, para poder emitir una determinación apegada a derecho, causó el agravio aducido, pues de haber tomado en </w:t>
      </w:r>
      <w:r>
        <w:rPr>
          <w:rFonts w:ascii="Arial" w:eastAsia="Calibri" w:hAnsi="Arial" w:cs="Arial"/>
          <w:bCs/>
          <w:sz w:val="26"/>
          <w:szCs w:val="26"/>
        </w:rPr>
        <w:lastRenderedPageBreak/>
        <w:t>consideración las manifestaciones realizadas por las autoridades al dar contestación a la demanda, hubiera logrado advertir que estas fueron coincidentes con lo afirmado por el actor, en cuanto a que le fue notificado de manera verbal su cese, como ya quedó precisado con anterioridad.</w:t>
      </w:r>
      <w:r w:rsidRPr="00717BE2">
        <w:rPr>
          <w:rFonts w:ascii="Arial" w:eastAsia="Calibri" w:hAnsi="Arial" w:cs="Arial"/>
          <w:sz w:val="26"/>
          <w:szCs w:val="26"/>
        </w:rPr>
        <w:t xml:space="preserve"> </w:t>
      </w:r>
      <w:r>
        <w:rPr>
          <w:rFonts w:ascii="Arial" w:eastAsia="Calibri" w:hAnsi="Arial" w:cs="Arial"/>
          <w:sz w:val="26"/>
          <w:szCs w:val="26"/>
        </w:rPr>
        <w:t xml:space="preserve">- - - - - - - - - - - - - - - - - - - - - - - - - - - - - - - - - - - - - - - - - - </w:t>
      </w:r>
    </w:p>
    <w:p w14:paraId="54563903" w14:textId="0D33B5A8" w:rsidR="00717BE2" w:rsidRDefault="00717BE2" w:rsidP="00717BE2">
      <w:pPr>
        <w:spacing w:before="240" w:line="360" w:lineRule="auto"/>
        <w:ind w:firstLine="709"/>
        <w:jc w:val="both"/>
        <w:rPr>
          <w:rFonts w:ascii="Arial" w:eastAsiaTheme="minorHAnsi" w:hAnsi="Arial" w:cs="Arial"/>
          <w:sz w:val="26"/>
          <w:szCs w:val="26"/>
        </w:rPr>
      </w:pPr>
      <w:r>
        <w:rPr>
          <w:rFonts w:ascii="Arial" w:eastAsia="Calibri" w:hAnsi="Arial" w:cs="Arial"/>
          <w:bCs/>
          <w:sz w:val="26"/>
          <w:szCs w:val="26"/>
        </w:rPr>
        <w:t>Resultando así, ilegal la determinación de considerar actualizada la causal de improcedencia y sobreseimiento, previstas por los artículos 131 fracción IX y 132 fracción V</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Justicia Administrativa para el Estado de Oaxaca, en los que se establece que es improcedente el juicio y procede su sobreseimiento, cuando de las constancias de autos apareciere claramente que no existe el acto o resolución impugnado, o no se probare su existencia; lo que de acuerdo a lo ya precisado en la presente resolución, es erróneo, porque 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eludió realizar un análisis exhaustivo de las constancias de autos, para poder así, determinar la inexistencia del acto reclamado</w:t>
      </w:r>
      <w:r>
        <w:rPr>
          <w:rFonts w:ascii="Arial" w:hAnsi="Arial" w:cs="Arial"/>
          <w:sz w:val="26"/>
          <w:szCs w:val="26"/>
        </w:rPr>
        <w:t xml:space="preserve">; por lo que, con la finalidad de reparar el agravio causado por la Primera Instancia, resulta procedente </w:t>
      </w:r>
      <w:r>
        <w:rPr>
          <w:rFonts w:ascii="Arial" w:hAnsi="Arial" w:cs="Arial"/>
          <w:b/>
          <w:sz w:val="26"/>
          <w:szCs w:val="26"/>
        </w:rPr>
        <w:t>REVOCAR</w:t>
      </w:r>
      <w:r>
        <w:rPr>
          <w:rFonts w:ascii="Arial" w:hAnsi="Arial" w:cs="Arial"/>
          <w:sz w:val="26"/>
          <w:szCs w:val="26"/>
        </w:rPr>
        <w:t xml:space="preserve"> la resolución de 4 cuatro de diciembre de 2018 dos mil dieciocho, para dejar sin efecto la declaración de sobreseimiento y puesto que con su actuación, se dejó de examinar el fondo del asunto planteado, consistente en la ilegalidad de la orden verbal de baja, así como la procedencia de las pretensiones planteadas, conforme a las alegaciones realizadas en la demanda, el A quo debe </w:t>
      </w:r>
      <w:r>
        <w:rPr>
          <w:rFonts w:ascii="Arial" w:hAnsi="Arial" w:cs="Arial"/>
          <w:b/>
          <w:sz w:val="26"/>
          <w:szCs w:val="26"/>
        </w:rPr>
        <w:t>agotar su jurisdicción</w:t>
      </w:r>
      <w:r>
        <w:rPr>
          <w:rFonts w:ascii="Arial" w:hAnsi="Arial" w:cs="Arial"/>
          <w:sz w:val="26"/>
          <w:szCs w:val="26"/>
        </w:rPr>
        <w:t xml:space="preserve">, resolviendo con libertad de jurisdicción lo que en derecho proceda; </w:t>
      </w:r>
      <w:r>
        <w:rPr>
          <w:rFonts w:ascii="Arial" w:hAnsi="Arial" w:cs="Arial"/>
          <w:b/>
          <w:bCs/>
          <w:sz w:val="26"/>
          <w:szCs w:val="26"/>
        </w:rPr>
        <w:t>debiendo</w:t>
      </w:r>
      <w:r>
        <w:rPr>
          <w:rFonts w:ascii="Arial" w:hAnsi="Arial" w:cs="Arial"/>
          <w:sz w:val="26"/>
          <w:szCs w:val="26"/>
        </w:rPr>
        <w:t xml:space="preserve"> </w:t>
      </w:r>
      <w:r>
        <w:rPr>
          <w:rFonts w:ascii="Arial" w:hAnsi="Arial" w:cs="Arial"/>
          <w:b/>
          <w:bCs/>
          <w:sz w:val="26"/>
          <w:szCs w:val="26"/>
        </w:rPr>
        <w:t>volver los autos</w:t>
      </w:r>
      <w:r>
        <w:rPr>
          <w:rFonts w:ascii="Arial" w:hAnsi="Arial" w:cs="Arial"/>
          <w:sz w:val="26"/>
          <w:szCs w:val="26"/>
        </w:rPr>
        <w:t xml:space="preserve"> a la Sala de origen, sin que esto implique reenvío, toda vez que, este Órgano Revisor no tiene facultades para pronunciarse de un asunto, donde el juzgador no agotó la obligación que le impone la Ley para resolver acerca de todas las </w:t>
      </w:r>
      <w:r>
        <w:rPr>
          <w:rFonts w:ascii="Arial" w:hAnsi="Arial" w:cs="Arial"/>
          <w:sz w:val="26"/>
          <w:szCs w:val="26"/>
        </w:rPr>
        <w:lastRenderedPageBreak/>
        <w:t>cuestiones sometidas a su consideración, como lo establece el artículo 177</w:t>
      </w:r>
      <w:r>
        <w:rPr>
          <w:rStyle w:val="Refdenotaalpie"/>
          <w:rFonts w:ascii="Arial" w:hAnsi="Arial" w:cs="Arial"/>
          <w:sz w:val="26"/>
          <w:szCs w:val="26"/>
        </w:rPr>
        <w:footnoteReference w:id="3"/>
      </w:r>
      <w:r>
        <w:rPr>
          <w:rFonts w:ascii="Arial" w:hAnsi="Arial" w:cs="Arial"/>
          <w:sz w:val="26"/>
          <w:szCs w:val="26"/>
        </w:rPr>
        <w:t xml:space="preserve"> de la Ley de Justicia Administrativa para el Estado de Oaxaca.- - -</w:t>
      </w:r>
    </w:p>
    <w:p w14:paraId="0AD5F9EA" w14:textId="77777777" w:rsidR="00717BE2" w:rsidRDefault="00717BE2" w:rsidP="00717BE2">
      <w:pPr>
        <w:pStyle w:val="Sinespaciado"/>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Se aplica como sustento a lo anterior, </w:t>
      </w:r>
      <w:r>
        <w:rPr>
          <w:rFonts w:ascii="Arial" w:hAnsi="Arial" w:cs="Arial"/>
          <w:bCs/>
          <w:sz w:val="26"/>
          <w:szCs w:val="26"/>
        </w:rPr>
        <w:t xml:space="preserve">el criterio emitido por la Sala Superior de este Tribunal, Tesis TCASS0008/2011TO.1AD, Número de Registro 8, Primera </w:t>
      </w:r>
      <w:r>
        <w:rPr>
          <w:rFonts w:ascii="Arial" w:eastAsia="Times New Roman" w:hAnsi="Arial" w:cs="Arial"/>
          <w:color w:val="000000"/>
          <w:sz w:val="26"/>
          <w:szCs w:val="26"/>
        </w:rPr>
        <w:t xml:space="preserve">Época, fuente Boletín número 1 </w:t>
      </w:r>
      <w:r>
        <w:rPr>
          <w:rFonts w:ascii="Arial" w:eastAsia="Times New Roman" w:hAnsi="Arial"/>
          <w:color w:val="000000"/>
          <w:sz w:val="26"/>
          <w:szCs w:val="26"/>
        </w:rPr>
        <w:t>del Tribunal de lo Contencioso Administrativo para el Estado de Oaxaca, Tomo I, Enero de 2011, visible a página 8, de rubro y texto, siguientes:</w:t>
      </w:r>
    </w:p>
    <w:p w14:paraId="4DE146F8" w14:textId="77777777" w:rsidR="00717BE2" w:rsidRPr="00300FF7" w:rsidRDefault="00717BE2" w:rsidP="00717BE2">
      <w:pPr>
        <w:pStyle w:val="Pa1"/>
        <w:spacing w:before="240" w:line="360" w:lineRule="auto"/>
        <w:ind w:left="1134" w:right="709"/>
        <w:jc w:val="both"/>
        <w:rPr>
          <w:rFonts w:ascii="Arial" w:eastAsia="Times New Roman" w:hAnsi="Arial" w:cs="Arial"/>
          <w:i/>
          <w:color w:val="000000"/>
          <w:sz w:val="22"/>
          <w:szCs w:val="22"/>
        </w:rPr>
      </w:pPr>
      <w:r>
        <w:rPr>
          <w:rFonts w:ascii="Arial" w:eastAsia="Times New Roman" w:hAnsi="Arial" w:cs="Arial"/>
          <w:color w:val="000000"/>
          <w:sz w:val="22"/>
          <w:szCs w:val="22"/>
        </w:rPr>
        <w:t>“</w:t>
      </w:r>
      <w:r w:rsidRPr="00300FF7">
        <w:rPr>
          <w:rFonts w:ascii="Arial" w:hAnsi="Arial" w:cs="Arial"/>
          <w:b/>
          <w:bCs/>
          <w:i/>
          <w:color w:val="000000"/>
          <w:sz w:val="22"/>
          <w:szCs w:val="22"/>
        </w:rPr>
        <w:t xml:space="preserve">SENTENCIA PARA EFECTOS. LA SALA SUPERIOR AL RESOLVER EL RECURSO DE REVISIÓN NO PUEDE DICTARLA CUANDO LA PRIMERA INSTANCIA NO </w:t>
      </w:r>
      <w:r w:rsidRPr="00300FF7">
        <w:rPr>
          <w:rFonts w:ascii="Arial" w:hAnsi="Arial" w:cs="Arial"/>
          <w:b/>
          <w:bCs/>
          <w:color w:val="000000"/>
          <w:sz w:val="22"/>
          <w:szCs w:val="22"/>
        </w:rPr>
        <w:t xml:space="preserve">AGOTÓ SU JURISDICCIÓN. </w:t>
      </w:r>
      <w:r w:rsidRPr="00300FF7">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300FF7">
        <w:rPr>
          <w:rFonts w:ascii="Arial" w:eastAsia="Times New Roman" w:hAnsi="Arial" w:cs="Arial"/>
          <w:i/>
          <w:color w:val="000000"/>
          <w:sz w:val="22"/>
          <w:szCs w:val="22"/>
        </w:rPr>
        <w:t>.”</w:t>
      </w:r>
    </w:p>
    <w:p w14:paraId="566C8470" w14:textId="2E1A55DB" w:rsidR="00717BE2" w:rsidRDefault="00717BE2" w:rsidP="00717BE2">
      <w:pPr>
        <w:pStyle w:val="Sinespaciado"/>
        <w:spacing w:before="240" w:line="360" w:lineRule="auto"/>
        <w:ind w:firstLine="708"/>
        <w:jc w:val="both"/>
        <w:rPr>
          <w:rFonts w:ascii="Arial" w:eastAsiaTheme="minorHAnsi"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de Oaxaca, aplicable por ser la vigente al inicio del juicio, se:</w:t>
      </w:r>
      <w:r w:rsidRPr="00717BE2">
        <w:rPr>
          <w:rFonts w:ascii="Arial" w:eastAsia="Calibri" w:hAnsi="Arial" w:cs="Arial"/>
          <w:sz w:val="26"/>
          <w:szCs w:val="26"/>
        </w:rPr>
        <w:t xml:space="preserve"> </w:t>
      </w:r>
      <w:r>
        <w:rPr>
          <w:rFonts w:ascii="Arial" w:eastAsia="Calibri" w:hAnsi="Arial" w:cs="Arial"/>
          <w:sz w:val="26"/>
          <w:szCs w:val="26"/>
        </w:rPr>
        <w:t xml:space="preserve">- - - - - - - - - - - - - - - - </w:t>
      </w:r>
    </w:p>
    <w:p w14:paraId="1C21AF8E" w14:textId="77777777" w:rsidR="00717BE2" w:rsidRDefault="00717BE2" w:rsidP="00717BE2">
      <w:pPr>
        <w:tabs>
          <w:tab w:val="left" w:pos="1134"/>
        </w:tabs>
        <w:spacing w:before="240" w:line="360" w:lineRule="auto"/>
        <w:jc w:val="center"/>
        <w:rPr>
          <w:rFonts w:ascii="Arial" w:hAnsi="Arial" w:cs="Arial"/>
          <w:b/>
          <w:color w:val="000000"/>
          <w:sz w:val="26"/>
          <w:szCs w:val="26"/>
          <w:lang w:val="es-ES"/>
        </w:rPr>
      </w:pPr>
      <w:r>
        <w:rPr>
          <w:rFonts w:ascii="Arial" w:hAnsi="Arial" w:cs="Arial"/>
          <w:b/>
          <w:color w:val="000000"/>
          <w:sz w:val="26"/>
          <w:szCs w:val="26"/>
        </w:rPr>
        <w:t>R E S U E L V E:</w:t>
      </w:r>
    </w:p>
    <w:p w14:paraId="53589F85" w14:textId="16C23D11" w:rsidR="00717BE2" w:rsidRDefault="00717BE2" w:rsidP="00717BE2">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REVOCA </w:t>
      </w:r>
      <w:r>
        <w:rPr>
          <w:rFonts w:ascii="Arial" w:hAnsi="Arial" w:cs="Arial"/>
          <w:color w:val="000000"/>
          <w:sz w:val="26"/>
          <w:szCs w:val="26"/>
        </w:rPr>
        <w:t xml:space="preserve">la resolución recurrida, por las razones expuestas en el considerando que </w:t>
      </w:r>
      <w:r w:rsidR="00300FF7">
        <w:rPr>
          <w:rFonts w:ascii="Arial" w:hAnsi="Arial" w:cs="Arial"/>
          <w:color w:val="000000"/>
          <w:sz w:val="26"/>
          <w:szCs w:val="26"/>
        </w:rPr>
        <w:t>antecede. -</w:t>
      </w:r>
      <w:r>
        <w:rPr>
          <w:rFonts w:ascii="Arial" w:hAnsi="Arial" w:cs="Arial"/>
          <w:color w:val="000000"/>
          <w:sz w:val="26"/>
          <w:szCs w:val="26"/>
        </w:rPr>
        <w:t xml:space="preserve"> - - - - - - - - - - - - - - - - - - </w:t>
      </w:r>
    </w:p>
    <w:p w14:paraId="09EC8F5B" w14:textId="605FECDB" w:rsidR="00717BE2" w:rsidRDefault="00717BE2" w:rsidP="00717BE2">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Vuelvan los autos a la Primera Instancia, a fin de que agote su jurisdicción en los términos </w:t>
      </w:r>
      <w:r w:rsidR="00300FF7">
        <w:rPr>
          <w:rFonts w:ascii="Arial" w:hAnsi="Arial" w:cs="Arial"/>
          <w:sz w:val="26"/>
          <w:szCs w:val="26"/>
        </w:rPr>
        <w:t>señalados. -</w:t>
      </w:r>
      <w:r>
        <w:rPr>
          <w:rFonts w:ascii="Arial" w:hAnsi="Arial" w:cs="Arial"/>
          <w:sz w:val="26"/>
          <w:szCs w:val="26"/>
        </w:rPr>
        <w:t xml:space="preserve"> - - - - - - - - - - - - - </w:t>
      </w:r>
    </w:p>
    <w:p w14:paraId="534447F6" w14:textId="2722CA26" w:rsidR="00717BE2" w:rsidRDefault="00717BE2" w:rsidP="00717BE2">
      <w:pPr>
        <w:spacing w:before="240" w:line="360" w:lineRule="auto"/>
        <w:ind w:firstLine="708"/>
        <w:jc w:val="both"/>
        <w:rPr>
          <w:rFonts w:ascii="Arial" w:hAnsi="Arial" w:cs="Arial"/>
          <w:sz w:val="26"/>
          <w:szCs w:val="26"/>
        </w:rPr>
      </w:pPr>
      <w:r>
        <w:rPr>
          <w:rFonts w:ascii="Arial" w:hAnsi="Arial" w:cs="Arial"/>
          <w:b/>
          <w:sz w:val="26"/>
          <w:szCs w:val="26"/>
        </w:rPr>
        <w:lastRenderedPageBreak/>
        <w:t>TERCERO</w:t>
      </w:r>
      <w:r>
        <w:rPr>
          <w:rFonts w:ascii="Arial" w:hAnsi="Arial" w:cs="Arial"/>
          <w:sz w:val="26"/>
          <w:szCs w:val="26"/>
        </w:rPr>
        <w:t>.</w:t>
      </w:r>
      <w:r>
        <w:rPr>
          <w:rFonts w:ascii="Arial" w:hAnsi="Arial" w:cs="Arial"/>
          <w:b/>
          <w:sz w:val="26"/>
          <w:szCs w:val="26"/>
        </w:rPr>
        <w:t xml:space="preserve"> NOTIFÍQUESE Y CÚMPLASE,</w:t>
      </w:r>
      <w:r>
        <w:rPr>
          <w:rFonts w:ascii="Arial" w:hAnsi="Arial" w:cs="Arial"/>
          <w:sz w:val="26"/>
          <w:szCs w:val="26"/>
        </w:rPr>
        <w:t xml:space="preserve"> con copia certificada de la presente resolución, vuelvan las constancias remitidas a la Cuarta Unitaria de Primera Instancia, y en su oportunidad archívese el cuaderno de revisión como </w:t>
      </w:r>
      <w:r w:rsidR="00300FF7">
        <w:rPr>
          <w:rFonts w:ascii="Arial" w:hAnsi="Arial" w:cs="Arial"/>
          <w:sz w:val="26"/>
          <w:szCs w:val="26"/>
        </w:rPr>
        <w:t>concluido. -</w:t>
      </w:r>
      <w:r>
        <w:rPr>
          <w:rFonts w:ascii="Arial" w:hAnsi="Arial" w:cs="Arial"/>
          <w:sz w:val="26"/>
          <w:szCs w:val="26"/>
        </w:rPr>
        <w:t xml:space="preserve"> - - - - - - - - - - - - - </w:t>
      </w:r>
      <w:r w:rsidR="00300FF7">
        <w:rPr>
          <w:rFonts w:ascii="Arial" w:hAnsi="Arial" w:cs="Arial"/>
          <w:sz w:val="26"/>
          <w:szCs w:val="26"/>
        </w:rPr>
        <w:t>- - - - - - - - - -</w:t>
      </w:r>
    </w:p>
    <w:p w14:paraId="2418608D" w14:textId="33B359F4" w:rsidR="00300FF7" w:rsidRDefault="00300FF7" w:rsidP="00300FF7">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563CD2BE" w14:textId="028EAF86" w:rsidR="00300FF7" w:rsidRDefault="00300FF7" w:rsidP="00300FF7">
      <w:pPr>
        <w:spacing w:before="240" w:line="360" w:lineRule="auto"/>
        <w:jc w:val="both"/>
        <w:rPr>
          <w:rFonts w:ascii="Arial" w:hAnsi="Arial" w:cs="Arial"/>
          <w:sz w:val="26"/>
          <w:szCs w:val="26"/>
        </w:rPr>
      </w:pPr>
    </w:p>
    <w:p w14:paraId="36F05EE7" w14:textId="77777777" w:rsidR="00300FF7" w:rsidRDefault="00300FF7" w:rsidP="00300FF7">
      <w:pPr>
        <w:spacing w:before="240" w:line="360" w:lineRule="auto"/>
        <w:jc w:val="both"/>
        <w:rPr>
          <w:rFonts w:ascii="Arial" w:hAnsi="Arial" w:cs="Arial"/>
          <w:sz w:val="26"/>
          <w:szCs w:val="26"/>
        </w:rPr>
      </w:pPr>
    </w:p>
    <w:p w14:paraId="766DB4D6" w14:textId="77777777" w:rsidR="00300FF7" w:rsidRPr="00CB6405" w:rsidRDefault="00300FF7" w:rsidP="00300FF7">
      <w:pPr>
        <w:spacing w:before="240" w:line="360" w:lineRule="auto"/>
        <w:ind w:firstLine="708"/>
        <w:jc w:val="both"/>
        <w:rPr>
          <w:rFonts w:ascii="Arial" w:hAnsi="Arial" w:cs="Arial"/>
          <w:sz w:val="26"/>
          <w:szCs w:val="26"/>
        </w:rPr>
      </w:pPr>
    </w:p>
    <w:p w14:paraId="69BF7292" w14:textId="77777777" w:rsidR="00300FF7" w:rsidRDefault="00300FF7" w:rsidP="00300FF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09B3C8E" w14:textId="77777777" w:rsidR="00300FF7" w:rsidRDefault="00300FF7" w:rsidP="00300FF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E6EF48C" w14:textId="77777777" w:rsidR="00300FF7" w:rsidRDefault="00300FF7" w:rsidP="00300FF7">
      <w:pPr>
        <w:tabs>
          <w:tab w:val="left" w:pos="1680"/>
          <w:tab w:val="center" w:pos="4277"/>
        </w:tabs>
        <w:spacing w:after="0" w:line="240" w:lineRule="auto"/>
        <w:jc w:val="center"/>
        <w:rPr>
          <w:rFonts w:ascii="Arial" w:hAnsi="Arial" w:cs="Arial"/>
          <w:sz w:val="26"/>
          <w:szCs w:val="26"/>
        </w:rPr>
      </w:pPr>
    </w:p>
    <w:p w14:paraId="51A85422" w14:textId="77777777" w:rsidR="00300FF7" w:rsidRDefault="00300FF7" w:rsidP="00300FF7">
      <w:pPr>
        <w:tabs>
          <w:tab w:val="left" w:pos="1680"/>
          <w:tab w:val="center" w:pos="4277"/>
        </w:tabs>
        <w:spacing w:after="0" w:line="240" w:lineRule="auto"/>
        <w:jc w:val="center"/>
        <w:rPr>
          <w:rFonts w:ascii="Arial" w:hAnsi="Arial" w:cs="Arial"/>
          <w:sz w:val="26"/>
          <w:szCs w:val="26"/>
        </w:rPr>
      </w:pPr>
    </w:p>
    <w:p w14:paraId="41B07BCF" w14:textId="77777777" w:rsidR="00300FF7" w:rsidRDefault="00300FF7" w:rsidP="00300FF7">
      <w:pPr>
        <w:tabs>
          <w:tab w:val="left" w:pos="1680"/>
          <w:tab w:val="center" w:pos="4277"/>
        </w:tabs>
        <w:spacing w:after="0" w:line="240" w:lineRule="auto"/>
        <w:jc w:val="center"/>
        <w:rPr>
          <w:rFonts w:ascii="Arial" w:hAnsi="Arial" w:cs="Arial"/>
          <w:sz w:val="26"/>
          <w:szCs w:val="26"/>
        </w:rPr>
      </w:pPr>
    </w:p>
    <w:p w14:paraId="2A8A9DC6" w14:textId="77777777" w:rsidR="00300FF7" w:rsidRDefault="00300FF7" w:rsidP="00300FF7">
      <w:pPr>
        <w:tabs>
          <w:tab w:val="left" w:pos="1680"/>
          <w:tab w:val="center" w:pos="4277"/>
        </w:tabs>
        <w:spacing w:after="0" w:line="240" w:lineRule="auto"/>
        <w:rPr>
          <w:rFonts w:ascii="Arial" w:hAnsi="Arial" w:cs="Arial"/>
          <w:sz w:val="26"/>
          <w:szCs w:val="26"/>
        </w:rPr>
      </w:pPr>
    </w:p>
    <w:p w14:paraId="22D38C26" w14:textId="77777777" w:rsidR="00300FF7" w:rsidRDefault="00300FF7" w:rsidP="00300FF7">
      <w:pPr>
        <w:tabs>
          <w:tab w:val="left" w:pos="1680"/>
          <w:tab w:val="center" w:pos="4277"/>
        </w:tabs>
        <w:spacing w:after="0" w:line="240" w:lineRule="auto"/>
        <w:rPr>
          <w:rFonts w:ascii="Arial" w:hAnsi="Arial" w:cs="Arial"/>
          <w:sz w:val="26"/>
          <w:szCs w:val="26"/>
        </w:rPr>
      </w:pPr>
    </w:p>
    <w:p w14:paraId="28B451C4" w14:textId="77777777" w:rsidR="00300FF7" w:rsidRDefault="00300FF7" w:rsidP="00300FF7">
      <w:pPr>
        <w:tabs>
          <w:tab w:val="left" w:pos="1680"/>
          <w:tab w:val="center" w:pos="4277"/>
        </w:tabs>
        <w:spacing w:after="0" w:line="240" w:lineRule="auto"/>
        <w:rPr>
          <w:rFonts w:ascii="Arial" w:hAnsi="Arial" w:cs="Arial"/>
          <w:sz w:val="26"/>
          <w:szCs w:val="26"/>
        </w:rPr>
      </w:pPr>
    </w:p>
    <w:p w14:paraId="28B19C61" w14:textId="77777777" w:rsidR="00300FF7" w:rsidRDefault="00300FF7" w:rsidP="00300FF7">
      <w:pPr>
        <w:spacing w:after="0" w:line="240" w:lineRule="auto"/>
        <w:jc w:val="center"/>
        <w:rPr>
          <w:rFonts w:ascii="Arial" w:hAnsi="Arial" w:cs="Arial"/>
          <w:sz w:val="26"/>
          <w:szCs w:val="26"/>
        </w:rPr>
      </w:pPr>
    </w:p>
    <w:p w14:paraId="40C8F65A" w14:textId="77777777" w:rsidR="00300FF7" w:rsidRDefault="00300FF7" w:rsidP="00300FF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789FAE9D"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20FAA7A9" w14:textId="77777777" w:rsidR="00300FF7" w:rsidRDefault="00300FF7" w:rsidP="00300FF7">
      <w:pPr>
        <w:tabs>
          <w:tab w:val="center" w:pos="4135"/>
          <w:tab w:val="left" w:pos="7515"/>
        </w:tabs>
        <w:spacing w:after="0" w:line="240" w:lineRule="auto"/>
        <w:rPr>
          <w:rFonts w:ascii="Arial" w:hAnsi="Arial" w:cs="Arial"/>
          <w:sz w:val="26"/>
          <w:szCs w:val="26"/>
        </w:rPr>
      </w:pPr>
    </w:p>
    <w:p w14:paraId="4AFEC427"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2AB7EA21"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6C9DC548"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7BA65E6D"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388184CB"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5BD029B3"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5BDC9C94" w14:textId="77777777" w:rsidR="00300FF7" w:rsidRDefault="00300FF7" w:rsidP="00300FF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396FD0D4"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11AB208C"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6D0C51EE" w14:textId="77777777" w:rsidR="00300FF7" w:rsidRDefault="00300FF7" w:rsidP="00300FF7">
      <w:pPr>
        <w:tabs>
          <w:tab w:val="center" w:pos="4135"/>
          <w:tab w:val="left" w:pos="7515"/>
        </w:tabs>
        <w:spacing w:after="0" w:line="240" w:lineRule="auto"/>
        <w:rPr>
          <w:rFonts w:ascii="Arial" w:hAnsi="Arial" w:cs="Arial"/>
          <w:sz w:val="26"/>
          <w:szCs w:val="26"/>
        </w:rPr>
      </w:pPr>
    </w:p>
    <w:p w14:paraId="0CB004B6"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57B1674C"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4BD4BCC1"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3B5A1267"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0980CE8A" w14:textId="77777777" w:rsidR="00300FF7" w:rsidRDefault="00300FF7" w:rsidP="00300FF7">
      <w:pPr>
        <w:tabs>
          <w:tab w:val="center" w:pos="4135"/>
          <w:tab w:val="left" w:pos="7515"/>
        </w:tabs>
        <w:spacing w:after="0" w:line="240" w:lineRule="auto"/>
        <w:jc w:val="center"/>
        <w:rPr>
          <w:rFonts w:ascii="Arial" w:hAnsi="Arial" w:cs="Arial"/>
          <w:sz w:val="26"/>
          <w:szCs w:val="26"/>
        </w:rPr>
      </w:pPr>
    </w:p>
    <w:p w14:paraId="2D8044CC" w14:textId="77777777" w:rsidR="00300FF7" w:rsidRDefault="00300FF7" w:rsidP="00300FF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2CDC1695" w14:textId="77777777" w:rsidR="00300FF7" w:rsidRPr="00156F22" w:rsidRDefault="00300FF7" w:rsidP="00300FF7">
      <w:pPr>
        <w:spacing w:after="0" w:line="240" w:lineRule="auto"/>
        <w:jc w:val="center"/>
        <w:rPr>
          <w:rFonts w:ascii="Arial" w:hAnsi="Arial" w:cs="Arial"/>
          <w:sz w:val="14"/>
          <w:szCs w:val="26"/>
        </w:rPr>
      </w:pPr>
      <w:r>
        <w:rPr>
          <w:rFonts w:ascii="Arial" w:hAnsi="Arial" w:cs="Arial"/>
          <w:sz w:val="26"/>
          <w:szCs w:val="26"/>
        </w:rPr>
        <w:t>SECRETARIO GENERAL DE ACUERDOS</w:t>
      </w:r>
    </w:p>
    <w:p w14:paraId="125B2F1E" w14:textId="77777777" w:rsidR="00300FF7" w:rsidRPr="00156F22" w:rsidRDefault="00300FF7" w:rsidP="00300FF7">
      <w:pPr>
        <w:spacing w:after="0" w:line="240" w:lineRule="auto"/>
        <w:ind w:firstLine="708"/>
        <w:jc w:val="both"/>
        <w:rPr>
          <w:rFonts w:ascii="Arial" w:hAnsi="Arial" w:cs="Arial"/>
          <w:sz w:val="14"/>
          <w:szCs w:val="26"/>
        </w:rPr>
      </w:pPr>
    </w:p>
    <w:p w14:paraId="4F2B5555" w14:textId="77777777" w:rsidR="00300FF7" w:rsidRPr="00156F22" w:rsidRDefault="00300FF7" w:rsidP="00300FF7">
      <w:pPr>
        <w:spacing w:before="240" w:line="360" w:lineRule="auto"/>
        <w:ind w:firstLine="708"/>
        <w:jc w:val="both"/>
        <w:rPr>
          <w:rFonts w:ascii="Arial" w:hAnsi="Arial" w:cs="Arial"/>
          <w:sz w:val="14"/>
          <w:szCs w:val="26"/>
        </w:rPr>
      </w:pPr>
    </w:p>
    <w:p w14:paraId="731F56F1" w14:textId="6469F836" w:rsidR="00D20168" w:rsidRPr="00717BE2" w:rsidRDefault="00D20168" w:rsidP="00300FF7">
      <w:pPr>
        <w:spacing w:before="240" w:line="360" w:lineRule="auto"/>
        <w:ind w:firstLine="708"/>
        <w:jc w:val="both"/>
      </w:pPr>
    </w:p>
    <w:sectPr w:rsidR="00D20168" w:rsidRPr="00717BE2"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89FE00" w14:textId="77777777" w:rsidR="007E0C14" w:rsidRDefault="007E0C14">
      <w:pPr>
        <w:spacing w:after="0" w:line="240" w:lineRule="auto"/>
      </w:pPr>
      <w:r>
        <w:separator/>
      </w:r>
    </w:p>
  </w:endnote>
  <w:endnote w:type="continuationSeparator" w:id="0">
    <w:p w14:paraId="1C83F7E3" w14:textId="77777777" w:rsidR="007E0C14" w:rsidRDefault="007E0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274000D" w:rsidR="00A80DC8" w:rsidRDefault="00CF4A41">
    <w:pPr>
      <w:pStyle w:val="Piedepgina"/>
      <w:jc w:val="center"/>
    </w:pPr>
    <w:r>
      <w:rPr>
        <w:noProof/>
      </w:rPr>
      <mc:AlternateContent>
        <mc:Choice Requires="wps">
          <w:drawing>
            <wp:anchor distT="45720" distB="45720" distL="114300" distR="114300" simplePos="0" relativeHeight="251659776" behindDoc="0" locked="0" layoutInCell="1" allowOverlap="1" wp14:anchorId="4F6036AD" wp14:editId="48E2162D">
              <wp:simplePos x="0" y="0"/>
              <wp:positionH relativeFrom="column">
                <wp:posOffset>-1452245</wp:posOffset>
              </wp:positionH>
              <wp:positionV relativeFrom="paragraph">
                <wp:posOffset>-5213985</wp:posOffset>
              </wp:positionV>
              <wp:extent cx="1231265" cy="647700"/>
              <wp:effectExtent l="0" t="0" r="2603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647700"/>
                      </a:xfrm>
                      <a:prstGeom prst="rect">
                        <a:avLst/>
                      </a:prstGeom>
                      <a:solidFill>
                        <a:srgbClr val="FFFFFF"/>
                      </a:solidFill>
                      <a:ln w="9525">
                        <a:solidFill>
                          <a:srgbClr val="000000"/>
                        </a:solidFill>
                        <a:miter lim="800000"/>
                        <a:headEnd/>
                        <a:tailEnd/>
                      </a:ln>
                    </wps:spPr>
                    <wps:txbx>
                      <w:txbxContent>
                        <w:p w14:paraId="5236ACA9" w14:textId="5F15DF05" w:rsidR="00CF4A41" w:rsidRDefault="00CF4A41" w:rsidP="00CF4A41">
                          <w:pPr>
                            <w:rPr>
                              <w:sz w:val="16"/>
                              <w:szCs w:val="16"/>
                            </w:rPr>
                          </w:pPr>
                          <w:r>
                            <w:rPr>
                              <w:sz w:val="16"/>
                              <w:szCs w:val="16"/>
                            </w:rPr>
                            <w:t>Los datos personales están protegidos por el art.116 de la LGTAIP y el art. 56 de la LTAIPEO</w:t>
                          </w:r>
                        </w:p>
                        <w:p w14:paraId="0EC31B4D" w14:textId="7948208E" w:rsidR="00CF4A41" w:rsidRDefault="00CF4A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036AD" id="_x0000_t202" coordsize="21600,21600" o:spt="202" path="m,l,21600r21600,l21600,xe">
              <v:stroke joinstyle="miter"/>
              <v:path gradientshapeok="t" o:connecttype="rect"/>
            </v:shapetype>
            <v:shape id="Cuadro de texto 2" o:spid="_x0000_s1026" type="#_x0000_t202" style="position:absolute;left:0;text-align:left;margin-left:-114.35pt;margin-top:-410.55pt;width:96.95pt;height:51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">
              <v:textbox>
                <w:txbxContent>
                  <w:p w14:paraId="5236ACA9" w14:textId="5F15DF05" w:rsidR="00CF4A41" w:rsidRDefault="00CF4A41" w:rsidP="00CF4A41">
                    <w:pPr>
                      <w:rPr>
                        <w:sz w:val="16"/>
                        <w:szCs w:val="16"/>
                      </w:rPr>
                    </w:pPr>
                    <w:r>
                      <w:rPr>
                        <w:sz w:val="16"/>
                        <w:szCs w:val="16"/>
                      </w:rPr>
                      <w:t>Los datos personales están protegidos por el art.116 de la LGTAIP y el art. 56 de la LTAIPEO</w:t>
                    </w:r>
                  </w:p>
                  <w:p w14:paraId="0EC31B4D" w14:textId="7948208E" w:rsidR="00CF4A41" w:rsidRDefault="00CF4A41"/>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7DE210" w14:textId="77777777" w:rsidR="007E0C14" w:rsidRDefault="007E0C14">
      <w:pPr>
        <w:spacing w:after="0" w:line="240" w:lineRule="auto"/>
      </w:pPr>
      <w:r>
        <w:separator/>
      </w:r>
    </w:p>
  </w:footnote>
  <w:footnote w:type="continuationSeparator" w:id="0">
    <w:p w14:paraId="5E9FA09D" w14:textId="77777777" w:rsidR="007E0C14" w:rsidRDefault="007E0C14">
      <w:pPr>
        <w:spacing w:after="0" w:line="240" w:lineRule="auto"/>
      </w:pPr>
      <w:r>
        <w:continuationSeparator/>
      </w:r>
    </w:p>
  </w:footnote>
  <w:footnote w:id="1">
    <w:p w14:paraId="32A1AA8E" w14:textId="77777777" w:rsidR="00717BE2" w:rsidRDefault="00717BE2" w:rsidP="00717BE2">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7F18C959" w14:textId="77777777" w:rsidR="00717BE2" w:rsidRDefault="00717BE2" w:rsidP="00717BE2">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74F14B46" w14:textId="77777777" w:rsidR="00717BE2" w:rsidRDefault="00717BE2" w:rsidP="00717BE2">
      <w:pPr>
        <w:pStyle w:val="Textonotapie"/>
        <w:jc w:val="both"/>
      </w:pPr>
      <w:r>
        <w:t xml:space="preserve">   …”</w:t>
      </w:r>
    </w:p>
  </w:footnote>
  <w:footnote w:id="2">
    <w:p w14:paraId="67E1A4A7" w14:textId="77777777" w:rsidR="00717BE2" w:rsidRDefault="00717BE2" w:rsidP="00717BE2">
      <w:pPr>
        <w:pStyle w:val="Textonotapie"/>
        <w:jc w:val="both"/>
      </w:pPr>
      <w:r>
        <w:rPr>
          <w:rStyle w:val="Refdenotaalpie"/>
        </w:rPr>
        <w:footnoteRef/>
      </w:r>
      <w:r>
        <w:t xml:space="preserve"> “</w:t>
      </w:r>
      <w:r>
        <w:rPr>
          <w:b/>
          <w:bCs/>
        </w:rPr>
        <w:t xml:space="preserve">ARTÍCULO 131.- </w:t>
      </w:r>
      <w:r>
        <w:t>Es improcedente el juicio ante el Tribunal Contencioso Administrativo y de Cuentas contra actos:</w:t>
      </w:r>
    </w:p>
    <w:p w14:paraId="56768DFB" w14:textId="77777777" w:rsidR="00717BE2" w:rsidRDefault="00717BE2" w:rsidP="00717BE2">
      <w:pPr>
        <w:pStyle w:val="Textonotapie"/>
        <w:jc w:val="both"/>
      </w:pPr>
      <w:r>
        <w:t xml:space="preserve">   …</w:t>
      </w:r>
    </w:p>
    <w:p w14:paraId="1D31C4EE" w14:textId="77777777" w:rsidR="00717BE2" w:rsidRDefault="00717BE2" w:rsidP="00717BE2">
      <w:pPr>
        <w:pStyle w:val="Textonotapie"/>
        <w:jc w:val="both"/>
      </w:pPr>
      <w:r>
        <w:t>IX. Cuando de las constancias de autos apareciera claramente que no existe el acto reclamado o cuando no se probare su existencia, y</w:t>
      </w:r>
    </w:p>
    <w:p w14:paraId="195CA3C6" w14:textId="77777777" w:rsidR="00717BE2" w:rsidRDefault="00717BE2" w:rsidP="00717BE2">
      <w:pPr>
        <w:pStyle w:val="Textonotapie"/>
        <w:jc w:val="both"/>
      </w:pPr>
      <w:r>
        <w:t xml:space="preserve">   …</w:t>
      </w:r>
    </w:p>
    <w:p w14:paraId="12039715" w14:textId="77777777" w:rsidR="00717BE2" w:rsidRDefault="00717BE2" w:rsidP="00717BE2">
      <w:pPr>
        <w:pStyle w:val="Textonotapie"/>
        <w:jc w:val="both"/>
      </w:pPr>
      <w:r>
        <w:rPr>
          <w:b/>
          <w:bCs/>
        </w:rPr>
        <w:t xml:space="preserve">   ARTÍCULO 132.- </w:t>
      </w:r>
      <w:r>
        <w:t>Procede el sobreseimiento del juicio:</w:t>
      </w:r>
    </w:p>
    <w:p w14:paraId="2EC7C44A" w14:textId="77777777" w:rsidR="00717BE2" w:rsidRDefault="00717BE2" w:rsidP="00717BE2">
      <w:pPr>
        <w:pStyle w:val="Textonotapie"/>
      </w:pPr>
      <w:r>
        <w:t xml:space="preserve">   …</w:t>
      </w:r>
    </w:p>
    <w:p w14:paraId="40C2258C" w14:textId="77777777" w:rsidR="00717BE2" w:rsidRDefault="00717BE2" w:rsidP="00717BE2">
      <w:pPr>
        <w:pStyle w:val="Textonotapie"/>
      </w:pPr>
      <w:r>
        <w:t xml:space="preserve">   V. Cuando de las constancias de autos apareciera claramente que no existe el acto o resolución impugnada, y</w:t>
      </w:r>
    </w:p>
    <w:p w14:paraId="73273D74" w14:textId="77777777" w:rsidR="00717BE2" w:rsidRDefault="00717BE2" w:rsidP="00717BE2">
      <w:pPr>
        <w:pStyle w:val="Textonotapie"/>
      </w:pPr>
      <w:r>
        <w:t xml:space="preserve">   …”</w:t>
      </w:r>
    </w:p>
  </w:footnote>
  <w:footnote w:id="3">
    <w:p w14:paraId="436D83ED" w14:textId="77777777" w:rsidR="00717BE2" w:rsidRDefault="00717BE2" w:rsidP="00717BE2">
      <w:pPr>
        <w:pStyle w:val="Textonotapie"/>
        <w:jc w:val="both"/>
      </w:pPr>
      <w:r>
        <w:rPr>
          <w:rStyle w:val="Refdenotaalpie"/>
        </w:rPr>
        <w:footnoteRef/>
      </w:r>
      <w:r>
        <w:t xml:space="preserve"> “</w:t>
      </w:r>
      <w:r>
        <w:rPr>
          <w:b/>
        </w:rPr>
        <w:t xml:space="preserve">ARTÍCULO 177.- </w:t>
      </w:r>
      <w:r>
        <w:t>Las sentencias que emita el Tribuna, deberán de contener:</w:t>
      </w:r>
    </w:p>
    <w:p w14:paraId="5B6AED71" w14:textId="77777777" w:rsidR="00717BE2" w:rsidRDefault="00717BE2" w:rsidP="00717BE2">
      <w:pPr>
        <w:pStyle w:val="Textonotapie"/>
        <w:jc w:val="both"/>
      </w:pPr>
      <w: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14:paraId="3023F9CB" w14:textId="77777777" w:rsidR="00717BE2" w:rsidRDefault="00717BE2" w:rsidP="00717BE2">
      <w:pPr>
        <w:pStyle w:val="Textonotapie"/>
        <w:jc w:val="both"/>
      </w:pPr>
      <w:r>
        <w:t xml:space="preserve">   II. La exposición debidamente fundada y motivada de las consideraciones en que se basa la resolución, y</w:t>
      </w:r>
    </w:p>
    <w:p w14:paraId="6F32B03E" w14:textId="77777777" w:rsidR="00717BE2" w:rsidRDefault="00717BE2" w:rsidP="00717BE2">
      <w:pPr>
        <w:pStyle w:val="Textonotapie"/>
        <w:jc w:val="both"/>
      </w:pPr>
      <w: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9B395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B3955">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B55F2B7" w:rsidR="000F5C41" w:rsidRDefault="009B395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B3955">
          <w:rPr>
            <w:noProof/>
            <w:lang w:val="es-ES"/>
          </w:rPr>
          <w:t>9</w:t>
        </w:r>
        <w:r w:rsidR="000F5C41">
          <w:fldChar w:fldCharType="end"/>
        </w:r>
      </w:sdtContent>
    </w:sdt>
  </w:p>
  <w:p w14:paraId="51E22156" w14:textId="5038146A"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6DC77D3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12F1144"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B395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0FF7"/>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A60"/>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B79"/>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328"/>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BE2"/>
    <w:rsid w:val="00721319"/>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C14"/>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3955"/>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508"/>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41"/>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168"/>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786"/>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4C3"/>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415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717BE2"/>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717BE2"/>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12785700">
      <w:bodyDiv w:val="1"/>
      <w:marLeft w:val="0"/>
      <w:marRight w:val="0"/>
      <w:marTop w:val="0"/>
      <w:marBottom w:val="0"/>
      <w:divBdr>
        <w:top w:val="none" w:sz="0" w:space="0" w:color="auto"/>
        <w:left w:val="none" w:sz="0" w:space="0" w:color="auto"/>
        <w:bottom w:val="none" w:sz="0" w:space="0" w:color="auto"/>
        <w:right w:val="none" w:sz="0" w:space="0" w:color="auto"/>
      </w:divBdr>
    </w:div>
    <w:div w:id="100134934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92080111">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17569-3577-483B-B245-825A11B7C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3033</Words>
  <Characters>16686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2020-04-13T15:33:00Z</cp:lastPrinted>
  <dcterms:created xsi:type="dcterms:W3CDTF">2020-10-13T21:07:00Z</dcterms:created>
  <dcterms:modified xsi:type="dcterms:W3CDTF">2021-01-25T21:23:00Z</dcterms:modified>
</cp:coreProperties>
</file>