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5C74BABD"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w:t>
      </w:r>
    </w:p>
    <w:p w14:paraId="1E955A28" w14:textId="638DC992"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B526B6">
        <w:rPr>
          <w:rFonts w:ascii="Arial" w:eastAsia="Times New Roman" w:hAnsi="Arial" w:cs="Arial"/>
          <w:bCs/>
          <w:sz w:val="24"/>
          <w:szCs w:val="27"/>
          <w:lang w:val="es-ES_tradnl" w:eastAsia="es-ES"/>
        </w:rPr>
        <w:t>140</w:t>
      </w:r>
      <w:r w:rsidR="0060717B">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63567FF7"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0B6F7F">
        <w:rPr>
          <w:rFonts w:ascii="Arial" w:eastAsia="Times New Roman" w:hAnsi="Arial" w:cs="Arial"/>
          <w:sz w:val="24"/>
          <w:szCs w:val="27"/>
          <w:lang w:val="es-ES_tradnl" w:eastAsia="es-ES"/>
        </w:rPr>
        <w:t>*****</w:t>
      </w:r>
      <w:r w:rsidR="00FE4783">
        <w:rPr>
          <w:rFonts w:ascii="Arial" w:eastAsia="Times New Roman" w:hAnsi="Arial" w:cs="Arial"/>
          <w:sz w:val="24"/>
          <w:szCs w:val="27"/>
          <w:lang w:val="es-ES_tradnl" w:eastAsia="es-ES"/>
        </w:rPr>
        <w:t xml:space="preserve"> </w:t>
      </w:r>
      <w:r w:rsidR="000B6F7F">
        <w:rPr>
          <w:rFonts w:ascii="Arial" w:eastAsia="Times New Roman" w:hAnsi="Arial" w:cs="Arial"/>
          <w:sz w:val="24"/>
          <w:szCs w:val="27"/>
          <w:lang w:val="es-ES_tradnl" w:eastAsia="es-ES"/>
        </w:rPr>
        <w:t>*****</w:t>
      </w:r>
      <w:r w:rsidR="00FE4783">
        <w:rPr>
          <w:rFonts w:ascii="Arial" w:eastAsia="Times New Roman" w:hAnsi="Arial" w:cs="Arial"/>
          <w:sz w:val="24"/>
          <w:szCs w:val="27"/>
          <w:lang w:val="es-ES_tradnl" w:eastAsia="es-ES"/>
        </w:rPr>
        <w:t xml:space="preserve"> </w:t>
      </w:r>
      <w:r w:rsidR="000B6F7F">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1628E55"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FA3F49">
        <w:rPr>
          <w:rFonts w:ascii="Arial" w:eastAsia="Times New Roman" w:hAnsi="Arial" w:cs="Arial"/>
          <w:sz w:val="24"/>
          <w:szCs w:val="27"/>
          <w:lang w:val="es-ES_tradnl" w:eastAsia="es-ES"/>
        </w:rPr>
        <w:t>ARTURO JOB CRUZ GÓMEZ</w:t>
      </w:r>
      <w:r w:rsidR="000B526C">
        <w:rPr>
          <w:rFonts w:ascii="Arial" w:eastAsia="Times New Roman" w:hAnsi="Arial" w:cs="Arial"/>
          <w:sz w:val="24"/>
          <w:szCs w:val="27"/>
          <w:lang w:val="es-ES_tradnl" w:eastAsia="es-ES"/>
        </w:rPr>
        <w:t xml:space="preserve">, </w:t>
      </w:r>
      <w:r w:rsidR="00652C94">
        <w:rPr>
          <w:rFonts w:ascii="Arial" w:eastAsia="Times New Roman" w:hAnsi="Arial" w:cs="Arial"/>
          <w:sz w:val="24"/>
          <w:szCs w:val="27"/>
          <w:lang w:val="es-ES_tradnl" w:eastAsia="es-ES"/>
        </w:rPr>
        <w:t xml:space="preserve">POLICÍA VIAL ESTATAL </w:t>
      </w:r>
      <w:r w:rsidR="00FA3F49">
        <w:rPr>
          <w:rFonts w:ascii="Arial" w:eastAsia="Times New Roman" w:hAnsi="Arial" w:cs="Arial"/>
          <w:sz w:val="24"/>
          <w:szCs w:val="27"/>
          <w:lang w:val="es-ES_tradnl" w:eastAsia="es-ES"/>
        </w:rPr>
        <w:t xml:space="preserve">CON NÚMERO </w:t>
      </w:r>
      <w:r w:rsidR="000B6F7F">
        <w:rPr>
          <w:rFonts w:ascii="Arial" w:eastAsia="Times New Roman" w:hAnsi="Arial" w:cs="Arial"/>
          <w:sz w:val="24"/>
          <w:szCs w:val="27"/>
          <w:lang w:val="es-ES_tradnl" w:eastAsia="es-ES"/>
        </w:rPr>
        <w:t>*****</w:t>
      </w:r>
      <w:r w:rsidR="00652C94">
        <w:rPr>
          <w:rFonts w:ascii="Arial" w:eastAsia="Times New Roman" w:hAnsi="Arial" w:cs="Arial"/>
          <w:sz w:val="24"/>
          <w:szCs w:val="27"/>
          <w:lang w:val="es-ES_tradnl" w:eastAsia="es-ES"/>
        </w:rPr>
        <w:t>,</w:t>
      </w:r>
      <w:r w:rsidR="00A43D96" w:rsidRPr="005117EA">
        <w:rPr>
          <w:rFonts w:ascii="Arial" w:eastAsia="Times New Roman" w:hAnsi="Arial" w:cs="Arial"/>
          <w:sz w:val="24"/>
          <w:szCs w:val="27"/>
          <w:lang w:val="es-ES_tradnl" w:eastAsia="es-ES"/>
        </w:rPr>
        <w:t xml:space="preserve"> DEPENDIENTE DE LA DIRECCIÓN GENERAL DE LA POLICÍA ESTATAL DE</w:t>
      </w:r>
      <w:r w:rsidR="00A43D96">
        <w:rPr>
          <w:rFonts w:ascii="Arial" w:eastAsia="Times New Roman" w:hAnsi="Arial" w:cs="Arial"/>
          <w:sz w:val="24"/>
          <w:szCs w:val="27"/>
          <w:lang w:val="es-ES_tradnl" w:eastAsia="es-ES"/>
        </w:rPr>
        <w:t>L ESTADO DE</w:t>
      </w:r>
      <w:r w:rsidR="00A43D96" w:rsidRPr="005117EA">
        <w:rPr>
          <w:rFonts w:ascii="Arial" w:eastAsia="Times New Roman" w:hAnsi="Arial" w:cs="Arial"/>
          <w:sz w:val="24"/>
          <w:szCs w:val="27"/>
          <w:lang w:val="es-ES_tradnl" w:eastAsia="es-ES"/>
        </w:rPr>
        <w:t xml:space="preserve"> OAXACA</w:t>
      </w:r>
      <w:r w:rsidR="00D3679B">
        <w:rPr>
          <w:rFonts w:ascii="Arial" w:eastAsia="Times New Roman" w:hAnsi="Arial" w:cs="Arial"/>
          <w:sz w:val="24"/>
          <w:szCs w:val="27"/>
          <w:lang w:val="es-ES_tradnl" w:eastAsia="es-ES"/>
        </w:rPr>
        <w:t>.</w:t>
      </w:r>
    </w:p>
    <w:p w14:paraId="70DB9FE9" w14:textId="5FDF3BAE"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5E6AB5">
        <w:rPr>
          <w:rFonts w:ascii="Arial" w:eastAsia="Times New Roman" w:hAnsi="Arial" w:cs="Arial"/>
          <w:b/>
          <w:sz w:val="24"/>
          <w:szCs w:val="27"/>
          <w:lang w:val="es-ES" w:eastAsia="es-ES"/>
        </w:rPr>
        <w:t xml:space="preserve"> TRES</w:t>
      </w:r>
      <w:r w:rsidR="009E75B5">
        <w:rPr>
          <w:rFonts w:ascii="Arial" w:eastAsia="Times New Roman" w:hAnsi="Arial" w:cs="Arial"/>
          <w:b/>
          <w:sz w:val="24"/>
          <w:szCs w:val="27"/>
          <w:lang w:val="es-ES" w:eastAsia="es-ES"/>
        </w:rPr>
        <w:t xml:space="preserve"> DE</w:t>
      </w:r>
      <w:r w:rsidR="005E6AB5">
        <w:rPr>
          <w:rFonts w:ascii="Arial" w:eastAsia="Times New Roman" w:hAnsi="Arial" w:cs="Arial"/>
          <w:b/>
          <w:sz w:val="24"/>
          <w:szCs w:val="27"/>
          <w:lang w:val="es-ES" w:eastAsia="es-ES"/>
        </w:rPr>
        <w:t xml:space="preserve"> FEBRERO</w:t>
      </w:r>
      <w:r w:rsidR="003E4DFC">
        <w:rPr>
          <w:rFonts w:ascii="Arial" w:eastAsia="Times New Roman" w:hAnsi="Arial" w:cs="Arial"/>
          <w:b/>
          <w:sz w:val="24"/>
          <w:szCs w:val="27"/>
          <w:lang w:val="es-ES" w:eastAsia="es-ES"/>
        </w:rPr>
        <w:t xml:space="preserve"> DE DOS MIL VEINTI</w:t>
      </w:r>
      <w:r w:rsidR="005E6AB5">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7D0DA14E"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B526B6">
        <w:rPr>
          <w:rFonts w:ascii="Arial" w:eastAsia="Times New Roman" w:hAnsi="Arial" w:cs="Arial"/>
          <w:b/>
          <w:bCs/>
          <w:sz w:val="24"/>
          <w:szCs w:val="27"/>
          <w:lang w:val="es-ES_tradnl" w:eastAsia="es-ES"/>
        </w:rPr>
        <w:t>140</w:t>
      </w:r>
      <w:r w:rsidR="0060717B">
        <w:rPr>
          <w:rFonts w:ascii="Arial" w:eastAsia="Times New Roman" w:hAnsi="Arial" w:cs="Arial"/>
          <w:b/>
          <w:bCs/>
          <w:sz w:val="24"/>
          <w:szCs w:val="27"/>
          <w:lang w:val="es-ES_tradnl" w:eastAsia="es-ES"/>
        </w:rPr>
        <w:t>/2019</w:t>
      </w:r>
      <w:r w:rsidR="00102315" w:rsidRPr="009C0C09">
        <w:rPr>
          <w:rFonts w:ascii="Arial" w:eastAsia="Times New Roman" w:hAnsi="Arial" w:cs="Arial"/>
          <w:sz w:val="24"/>
          <w:szCs w:val="27"/>
          <w:lang w:val="es-ES_tradnl" w:eastAsia="es-ES"/>
        </w:rPr>
        <w:t xml:space="preserve">, interpuesto por </w:t>
      </w:r>
      <w:r w:rsidR="0008127C">
        <w:rPr>
          <w:rFonts w:ascii="Arial" w:eastAsia="Times New Roman" w:hAnsi="Arial" w:cs="Arial"/>
          <w:b/>
          <w:bCs/>
          <w:sz w:val="24"/>
          <w:szCs w:val="27"/>
          <w:lang w:val="es-ES_tradnl" w:eastAsia="es-ES"/>
        </w:rPr>
        <w:t>*****</w:t>
      </w:r>
      <w:r w:rsidR="00FE4783" w:rsidRPr="002511E5">
        <w:rPr>
          <w:rFonts w:ascii="Arial" w:eastAsia="Times New Roman" w:hAnsi="Arial" w:cs="Arial"/>
          <w:b/>
          <w:bCs/>
          <w:sz w:val="24"/>
          <w:szCs w:val="27"/>
          <w:lang w:val="es-ES_tradnl" w:eastAsia="es-ES"/>
        </w:rPr>
        <w:t xml:space="preserve"> </w:t>
      </w:r>
      <w:r w:rsidR="0008127C">
        <w:rPr>
          <w:rFonts w:ascii="Arial" w:eastAsia="Times New Roman" w:hAnsi="Arial" w:cs="Arial"/>
          <w:b/>
          <w:bCs/>
          <w:sz w:val="24"/>
          <w:szCs w:val="27"/>
          <w:lang w:val="es-ES_tradnl" w:eastAsia="es-ES"/>
        </w:rPr>
        <w:t>*****</w:t>
      </w:r>
      <w:r w:rsidR="00FE4783" w:rsidRPr="002511E5">
        <w:rPr>
          <w:rFonts w:ascii="Arial" w:eastAsia="Times New Roman" w:hAnsi="Arial" w:cs="Arial"/>
          <w:b/>
          <w:bCs/>
          <w:sz w:val="24"/>
          <w:szCs w:val="27"/>
          <w:lang w:val="es-ES_tradnl" w:eastAsia="es-ES"/>
        </w:rPr>
        <w:t xml:space="preserve"> </w:t>
      </w:r>
      <w:r w:rsidR="0008127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A43D96" w:rsidRPr="00A43D96">
        <w:rPr>
          <w:rFonts w:ascii="Arial" w:eastAsia="Times New Roman" w:hAnsi="Arial" w:cs="Arial"/>
          <w:b/>
          <w:sz w:val="24"/>
          <w:szCs w:val="27"/>
          <w:lang w:val="es-ES_tradnl" w:eastAsia="es-ES"/>
        </w:rPr>
        <w:t xml:space="preserve"> </w:t>
      </w:r>
      <w:r w:rsidR="00FA3F49" w:rsidRPr="00FA3F49">
        <w:rPr>
          <w:rFonts w:ascii="Arial" w:eastAsia="Times New Roman" w:hAnsi="Arial" w:cs="Arial"/>
          <w:b/>
          <w:sz w:val="24"/>
          <w:szCs w:val="27"/>
          <w:lang w:val="es-ES_tradnl" w:eastAsia="es-ES"/>
        </w:rPr>
        <w:t xml:space="preserve">ARTURO JOB CRUZ GÓMEZ, POLICÍA VIAL ESTATAL CON NÚMERO </w:t>
      </w:r>
      <w:r w:rsidR="00B56925">
        <w:rPr>
          <w:rFonts w:ascii="Arial" w:eastAsia="Times New Roman" w:hAnsi="Arial" w:cs="Arial"/>
          <w:b/>
          <w:sz w:val="24"/>
          <w:szCs w:val="27"/>
          <w:lang w:val="es-ES_tradnl" w:eastAsia="es-ES"/>
        </w:rPr>
        <w:t>*****</w:t>
      </w:r>
      <w:r w:rsidR="00FA3F49" w:rsidRPr="00FA3F49">
        <w:rPr>
          <w:rFonts w:ascii="Arial" w:eastAsia="Times New Roman" w:hAnsi="Arial" w:cs="Arial"/>
          <w:b/>
          <w:sz w:val="24"/>
          <w:szCs w:val="27"/>
          <w:lang w:val="es-ES_tradnl" w:eastAsia="es-ES"/>
        </w:rPr>
        <w:t>, DEPENDIENTE DE LA DIRECCIÓN GENERAL DE LA POLICÍA ESTATAL DEL ESTADO DE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250EEC4D" w:rsidR="00793DA7"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365B4E">
        <w:rPr>
          <w:rFonts w:ascii="Arial" w:eastAsia="Times New Roman" w:hAnsi="Arial" w:cs="Arial"/>
          <w:sz w:val="24"/>
          <w:szCs w:val="27"/>
          <w:lang w:val="es-ES_tradnl" w:eastAsia="es-ES"/>
        </w:rPr>
        <w:t>*****</w:t>
      </w:r>
      <w:r w:rsidR="003F2474">
        <w:rPr>
          <w:rFonts w:ascii="Arial" w:eastAsia="Times New Roman" w:hAnsi="Arial" w:cs="Arial"/>
          <w:sz w:val="24"/>
          <w:szCs w:val="27"/>
          <w:lang w:val="es-ES_tradnl" w:eastAsia="es-ES"/>
        </w:rPr>
        <w:t xml:space="preserve"> </w:t>
      </w:r>
      <w:r w:rsidR="00365B4E">
        <w:rPr>
          <w:rFonts w:ascii="Arial" w:eastAsia="Times New Roman" w:hAnsi="Arial" w:cs="Arial"/>
          <w:sz w:val="24"/>
          <w:szCs w:val="27"/>
          <w:lang w:val="es-ES_tradnl" w:eastAsia="es-ES"/>
        </w:rPr>
        <w:t>*****</w:t>
      </w:r>
      <w:r w:rsidR="003F2474">
        <w:rPr>
          <w:rFonts w:ascii="Arial" w:eastAsia="Times New Roman" w:hAnsi="Arial" w:cs="Arial"/>
          <w:sz w:val="24"/>
          <w:szCs w:val="27"/>
          <w:lang w:val="es-ES_tradnl" w:eastAsia="es-ES"/>
        </w:rPr>
        <w:t xml:space="preserve"> </w:t>
      </w:r>
      <w:r w:rsidR="00365B4E">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w:t>
      </w:r>
      <w:r w:rsidR="00A43D96">
        <w:rPr>
          <w:rFonts w:ascii="Arial" w:hAnsi="Arial" w:cs="Arial"/>
          <w:bCs/>
          <w:spacing w:val="-3"/>
          <w:sz w:val="24"/>
          <w:szCs w:val="27"/>
          <w:lang w:val="es-ES_tradnl"/>
        </w:rPr>
        <w:t xml:space="preserve">el </w:t>
      </w:r>
      <w:r w:rsidR="003F2474">
        <w:rPr>
          <w:rFonts w:ascii="Arial" w:hAnsi="Arial" w:cs="Arial"/>
          <w:bCs/>
          <w:spacing w:val="-3"/>
          <w:sz w:val="24"/>
          <w:szCs w:val="27"/>
          <w:lang w:val="es-ES_tradnl"/>
        </w:rPr>
        <w:t>doce de diciembre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FD296B">
        <w:rPr>
          <w:rFonts w:ascii="Arial" w:hAnsi="Arial" w:cs="Arial"/>
          <w:bCs/>
          <w:spacing w:val="-3"/>
          <w:sz w:val="24"/>
          <w:szCs w:val="27"/>
          <w:lang w:val="es-ES_tradnl"/>
        </w:rPr>
        <w:t>*****</w:t>
      </w:r>
      <w:r w:rsidR="002511E5">
        <w:rPr>
          <w:rFonts w:ascii="Arial" w:hAnsi="Arial" w:cs="Arial"/>
          <w:bCs/>
          <w:spacing w:val="-3"/>
          <w:sz w:val="24"/>
          <w:szCs w:val="27"/>
          <w:lang w:val="es-ES_tradnl"/>
        </w:rPr>
        <w:t>,</w:t>
      </w:r>
      <w:r w:rsidR="00A43D96">
        <w:rPr>
          <w:rFonts w:ascii="Arial" w:hAnsi="Arial" w:cs="Arial"/>
          <w:bCs/>
          <w:spacing w:val="-3"/>
          <w:sz w:val="24"/>
          <w:szCs w:val="27"/>
          <w:lang w:val="es-ES_tradnl"/>
        </w:rPr>
        <w:t xml:space="preserve"> de fecha </w:t>
      </w:r>
      <w:r w:rsidR="00FD296B">
        <w:rPr>
          <w:rFonts w:ascii="Arial" w:hAnsi="Arial" w:cs="Arial"/>
          <w:bCs/>
          <w:spacing w:val="-3"/>
          <w:sz w:val="24"/>
          <w:szCs w:val="27"/>
          <w:lang w:val="es-ES_tradnl"/>
        </w:rPr>
        <w:t>*****</w:t>
      </w:r>
      <w:r w:rsidR="0005195A">
        <w:rPr>
          <w:rFonts w:ascii="Arial" w:hAnsi="Arial" w:cs="Arial"/>
          <w:bCs/>
          <w:spacing w:val="-3"/>
          <w:sz w:val="24"/>
          <w:szCs w:val="27"/>
          <w:lang w:val="es-ES_tradnl"/>
        </w:rPr>
        <w:t xml:space="preserve"> </w:t>
      </w:r>
      <w:r w:rsidR="00277C26">
        <w:rPr>
          <w:rFonts w:ascii="Arial" w:hAnsi="Arial" w:cs="Arial"/>
          <w:bCs/>
          <w:spacing w:val="-3"/>
          <w:sz w:val="24"/>
          <w:szCs w:val="27"/>
          <w:lang w:val="es-ES_tradnl"/>
        </w:rPr>
        <w:t xml:space="preserve">de </w:t>
      </w:r>
      <w:r w:rsidR="00FD296B">
        <w:rPr>
          <w:rFonts w:ascii="Arial" w:hAnsi="Arial" w:cs="Arial"/>
          <w:bCs/>
          <w:spacing w:val="-3"/>
          <w:sz w:val="24"/>
          <w:szCs w:val="27"/>
          <w:lang w:val="es-ES_tradnl"/>
        </w:rPr>
        <w:t>*****</w:t>
      </w:r>
      <w:r w:rsidR="00277C26">
        <w:rPr>
          <w:rFonts w:ascii="Arial" w:hAnsi="Arial" w:cs="Arial"/>
          <w:bCs/>
          <w:spacing w:val="-3"/>
          <w:sz w:val="24"/>
          <w:szCs w:val="27"/>
          <w:lang w:val="es-ES_tradnl"/>
        </w:rPr>
        <w:t xml:space="preserve"> de dos mil </w:t>
      </w:r>
      <w:r w:rsidR="00FD296B">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 xml:space="preserve">mediante acuerdo de </w:t>
      </w:r>
      <w:r w:rsidR="00D8222A">
        <w:rPr>
          <w:rFonts w:ascii="Arial" w:hAnsi="Arial" w:cs="Arial"/>
          <w:bCs/>
          <w:spacing w:val="-3"/>
          <w:sz w:val="24"/>
          <w:szCs w:val="27"/>
          <w:lang w:val="es-ES_tradnl"/>
        </w:rPr>
        <w:t>trece de diciembre</w:t>
      </w:r>
      <w:r w:rsidR="00AF1772">
        <w:rPr>
          <w:rFonts w:ascii="Arial" w:hAnsi="Arial" w:cs="Arial"/>
          <w:bCs/>
          <w:spacing w:val="-3"/>
          <w:sz w:val="24"/>
          <w:szCs w:val="27"/>
          <w:lang w:val="es-ES_tradnl"/>
        </w:rPr>
        <w:t xml:space="preserve"> de dos mil diecinueve</w:t>
      </w:r>
      <w:r w:rsidR="00763032">
        <w:rPr>
          <w:rFonts w:ascii="Arial" w:hAnsi="Arial" w:cs="Arial"/>
          <w:bCs/>
          <w:spacing w:val="-3"/>
          <w:sz w:val="24"/>
          <w:szCs w:val="27"/>
          <w:lang w:val="es-ES_tradnl"/>
        </w:rPr>
        <w:t xml:space="preserve">, </w:t>
      </w:r>
      <w:r w:rsidR="00F320FA">
        <w:rPr>
          <w:rFonts w:ascii="Arial" w:hAnsi="Arial" w:cs="Arial"/>
          <w:bCs/>
          <w:spacing w:val="-3"/>
          <w:sz w:val="24"/>
          <w:szCs w:val="27"/>
          <w:lang w:val="es-ES_tradnl"/>
        </w:rPr>
        <w:t xml:space="preserve">se </w:t>
      </w:r>
      <w:r w:rsidR="00D3679B" w:rsidRPr="00D3679B">
        <w:rPr>
          <w:rFonts w:ascii="Arial" w:hAnsi="Arial" w:cs="Arial"/>
          <w:bCs/>
          <w:spacing w:val="-3"/>
          <w:sz w:val="24"/>
          <w:szCs w:val="27"/>
          <w:lang w:val="es-ES_tradnl"/>
        </w:rPr>
        <w:t>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EA5215">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p>
    <w:p w14:paraId="0E1C4A73" w14:textId="4B37EC27" w:rsidR="00161E06" w:rsidRDefault="005575A3" w:rsidP="00296840">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3C5CB1" w:rsidRPr="00296840">
        <w:rPr>
          <w:rFonts w:ascii="Arial" w:hAnsi="Arial" w:cs="Arial"/>
          <w:b/>
          <w:bCs/>
          <w:spacing w:val="-3"/>
          <w:sz w:val="24"/>
          <w:szCs w:val="27"/>
          <w:lang w:val="es-ES_tradnl"/>
        </w:rPr>
        <w:t>.</w:t>
      </w:r>
      <w:r w:rsidR="003C5CB1">
        <w:rPr>
          <w:rFonts w:ascii="Arial" w:hAnsi="Arial" w:cs="Arial"/>
          <w:bCs/>
          <w:spacing w:val="-3"/>
          <w:sz w:val="24"/>
          <w:szCs w:val="27"/>
          <w:lang w:val="es-ES_tradnl"/>
        </w:rPr>
        <w:t xml:space="preserve"> </w:t>
      </w:r>
      <w:r w:rsidR="009A5361">
        <w:rPr>
          <w:rFonts w:ascii="Arial" w:hAnsi="Arial" w:cs="Arial"/>
          <w:bCs/>
          <w:spacing w:val="-3"/>
          <w:sz w:val="24"/>
          <w:szCs w:val="27"/>
          <w:lang w:val="es-ES_tradnl"/>
        </w:rPr>
        <w:t xml:space="preserve">Mediante proveído de fecha </w:t>
      </w:r>
      <w:r w:rsidR="00FB4F2A">
        <w:rPr>
          <w:rFonts w:ascii="Arial" w:hAnsi="Arial" w:cs="Arial"/>
          <w:bCs/>
          <w:spacing w:val="-3"/>
          <w:sz w:val="24"/>
          <w:szCs w:val="27"/>
          <w:lang w:val="es-ES_tradnl"/>
        </w:rPr>
        <w:t>veintiuno de agosto de dos mil veinte,</w:t>
      </w:r>
      <w:r w:rsidR="009A5361">
        <w:rPr>
          <w:rFonts w:ascii="Arial" w:hAnsi="Arial" w:cs="Arial"/>
          <w:bCs/>
          <w:spacing w:val="-3"/>
          <w:sz w:val="24"/>
          <w:szCs w:val="27"/>
          <w:lang w:val="es-ES_tradnl"/>
        </w:rPr>
        <w:t xml:space="preserve"> </w:t>
      </w:r>
      <w:r w:rsidR="00296840">
        <w:rPr>
          <w:rFonts w:ascii="Arial" w:hAnsi="Arial" w:cs="Arial"/>
          <w:bCs/>
          <w:spacing w:val="-3"/>
          <w:sz w:val="24"/>
          <w:szCs w:val="27"/>
          <w:lang w:val="es-ES_tradnl"/>
        </w:rPr>
        <w:t xml:space="preserve">se tuvo </w:t>
      </w:r>
      <w:r w:rsidR="008C25FD">
        <w:rPr>
          <w:rFonts w:ascii="Arial" w:hAnsi="Arial" w:cs="Arial"/>
          <w:bCs/>
          <w:spacing w:val="-3"/>
          <w:sz w:val="24"/>
          <w:szCs w:val="27"/>
          <w:lang w:val="es-ES_tradnl"/>
        </w:rPr>
        <w:t>a</w:t>
      </w:r>
      <w:r w:rsidR="006E2286">
        <w:rPr>
          <w:rFonts w:ascii="Arial" w:hAnsi="Arial" w:cs="Arial"/>
          <w:bCs/>
          <w:spacing w:val="-3"/>
          <w:sz w:val="24"/>
          <w:szCs w:val="27"/>
          <w:lang w:val="es-ES_tradnl"/>
        </w:rPr>
        <w:t xml:space="preserve"> </w:t>
      </w:r>
      <w:r w:rsidR="00135E80">
        <w:rPr>
          <w:rFonts w:ascii="Arial" w:hAnsi="Arial" w:cs="Arial"/>
          <w:bCs/>
          <w:spacing w:val="-3"/>
          <w:sz w:val="24"/>
          <w:szCs w:val="27"/>
          <w:lang w:val="es-ES_tradnl"/>
        </w:rPr>
        <w:t>la</w:t>
      </w:r>
      <w:r w:rsidR="008C25FD">
        <w:rPr>
          <w:rFonts w:ascii="Arial" w:hAnsi="Arial" w:cs="Arial"/>
          <w:bCs/>
          <w:spacing w:val="-3"/>
          <w:sz w:val="24"/>
          <w:szCs w:val="27"/>
          <w:lang w:val="es-ES_tradnl"/>
        </w:rPr>
        <w:t xml:space="preserve">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 xml:space="preserve">emanda instaurada en su contra en tiempo y forma y en los términos en los que </w:t>
      </w:r>
      <w:r w:rsidR="005B436C">
        <w:rPr>
          <w:rFonts w:ascii="Arial" w:hAnsi="Arial" w:cs="Arial"/>
          <w:bCs/>
          <w:spacing w:val="-3"/>
          <w:sz w:val="24"/>
          <w:szCs w:val="27"/>
          <w:lang w:val="es-ES_tradnl"/>
        </w:rPr>
        <w:t>lo hizo</w:t>
      </w:r>
      <w:r w:rsidR="0020764C">
        <w:rPr>
          <w:rFonts w:ascii="Arial" w:hAnsi="Arial" w:cs="Arial"/>
          <w:bCs/>
          <w:spacing w:val="-3"/>
          <w:sz w:val="24"/>
          <w:szCs w:val="27"/>
          <w:lang w:val="es-ES_tradnl"/>
        </w:rPr>
        <w:t>, ordenando correr traslado a la parte actora para los efectos legales correspondientes</w:t>
      </w:r>
      <w:r w:rsidR="00161E06">
        <w:rPr>
          <w:rFonts w:ascii="Arial" w:hAnsi="Arial" w:cs="Arial"/>
          <w:bCs/>
          <w:spacing w:val="-3"/>
          <w:sz w:val="24"/>
          <w:szCs w:val="27"/>
          <w:lang w:val="es-ES_tradnl"/>
        </w:rPr>
        <w:t>.</w:t>
      </w:r>
    </w:p>
    <w:p w14:paraId="2BB63B7A" w14:textId="60B1020F" w:rsidR="00F51D85" w:rsidRDefault="00FB4F2A" w:rsidP="00296840">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EB7D70" w:rsidRPr="00EB7D70">
        <w:rPr>
          <w:rFonts w:ascii="Arial" w:hAnsi="Arial" w:cs="Arial"/>
          <w:b/>
          <w:bCs/>
          <w:spacing w:val="-3"/>
          <w:sz w:val="24"/>
          <w:szCs w:val="27"/>
          <w:lang w:val="es-ES_tradnl"/>
        </w:rPr>
        <w:t>.</w:t>
      </w:r>
      <w:r w:rsidR="00EB7D70">
        <w:rPr>
          <w:rFonts w:ascii="Arial" w:hAnsi="Arial" w:cs="Arial"/>
          <w:bCs/>
          <w:spacing w:val="-3"/>
          <w:sz w:val="24"/>
          <w:szCs w:val="27"/>
          <w:lang w:val="es-ES_tradnl"/>
        </w:rPr>
        <w:t xml:space="preserve"> Por acuerdo de fecha trece de febrero de dos mil veinte, se tuvo por recibido un escrito del actor, </w:t>
      </w:r>
      <w:r w:rsidR="009F1162">
        <w:rPr>
          <w:rFonts w:ascii="Arial" w:hAnsi="Arial" w:cs="Arial"/>
          <w:bCs/>
          <w:spacing w:val="-3"/>
          <w:sz w:val="24"/>
          <w:szCs w:val="27"/>
          <w:lang w:val="es-ES_tradnl"/>
        </w:rPr>
        <w:t xml:space="preserve">y en atención a lo ahí señalado, se señaló </w:t>
      </w:r>
      <w:r w:rsidR="00F96C2D">
        <w:rPr>
          <w:rFonts w:ascii="Arial" w:hAnsi="Arial" w:cs="Arial"/>
          <w:bCs/>
          <w:spacing w:val="-3"/>
          <w:sz w:val="24"/>
          <w:szCs w:val="27"/>
          <w:lang w:val="es-ES_tradnl"/>
        </w:rPr>
        <w:t>fecha y hora para la celebración de la audiencia final.</w:t>
      </w:r>
    </w:p>
    <w:p w14:paraId="4E356CC6" w14:textId="4BA00CAF" w:rsidR="00155F12" w:rsidRPr="009C0C09" w:rsidRDefault="001165BA"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F96C2D" w:rsidRPr="00F96C2D">
        <w:rPr>
          <w:rFonts w:ascii="Arial" w:hAnsi="Arial" w:cs="Arial"/>
          <w:b/>
          <w:bCs/>
          <w:spacing w:val="-3"/>
          <w:sz w:val="24"/>
          <w:szCs w:val="27"/>
          <w:lang w:val="es-ES_tradnl"/>
        </w:rPr>
        <w:t>.</w:t>
      </w:r>
      <w:r w:rsidR="00F96C2D">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El </w:t>
      </w:r>
      <w:r w:rsidR="00416AB2">
        <w:rPr>
          <w:rFonts w:ascii="Arial" w:hAnsi="Arial" w:cs="Arial"/>
          <w:bCs/>
          <w:spacing w:val="-3"/>
          <w:sz w:val="24"/>
          <w:szCs w:val="27"/>
          <w:lang w:val="es-ES_tradnl"/>
        </w:rPr>
        <w:t>veintiocho</w:t>
      </w:r>
      <w:r w:rsidR="00F96C2D">
        <w:rPr>
          <w:rFonts w:ascii="Arial" w:hAnsi="Arial" w:cs="Arial"/>
          <w:bCs/>
          <w:spacing w:val="-3"/>
          <w:sz w:val="24"/>
          <w:szCs w:val="27"/>
          <w:lang w:val="es-ES_tradnl"/>
        </w:rPr>
        <w:t xml:space="preserve"> de mayo de dos mil veintiuno</w:t>
      </w:r>
      <w:r w:rsidR="00665258">
        <w:rPr>
          <w:rFonts w:ascii="Arial" w:hAnsi="Arial" w:cs="Arial"/>
          <w:bCs/>
          <w:spacing w:val="-3"/>
          <w:sz w:val="24"/>
          <w:szCs w:val="27"/>
          <w:lang w:val="es-ES_tradnl"/>
        </w:rPr>
        <w:t>,</w:t>
      </w:r>
      <w:r w:rsidR="009A0FA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se llevó a cabo la audiencia final, sin la asistencia de las partes ni de persona que legalmente las representara, desahogándose las pruebas ahí mencionadas, asentando que </w:t>
      </w:r>
      <w:r w:rsidR="008A3B00">
        <w:rPr>
          <w:rFonts w:ascii="Arial" w:hAnsi="Arial" w:cs="Arial"/>
          <w:bCs/>
          <w:spacing w:val="-3"/>
          <w:sz w:val="24"/>
          <w:szCs w:val="27"/>
          <w:lang w:val="es-ES_tradnl"/>
        </w:rPr>
        <w:t>ninguna de las partes</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lastRenderedPageBreak/>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392781AF"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w:t>
      </w:r>
      <w:r w:rsidR="00F83A9A">
        <w:rPr>
          <w:rFonts w:ascii="Arial" w:hAnsi="Arial" w:cs="Arial"/>
          <w:sz w:val="24"/>
          <w:szCs w:val="24"/>
        </w:rPr>
        <w:t xml:space="preserve"> </w:t>
      </w:r>
      <w:r w:rsidR="004901A3" w:rsidRPr="004901A3">
        <w:rPr>
          <w:rFonts w:ascii="Arial" w:hAnsi="Arial" w:cs="Arial"/>
          <w:sz w:val="24"/>
          <w:szCs w:val="24"/>
        </w:rPr>
        <w:t>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7AE08D26"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r w:rsidR="00137D7D">
        <w:rPr>
          <w:rFonts w:ascii="Arial" w:hAnsi="Arial" w:cs="Arial"/>
          <w:sz w:val="24"/>
          <w:szCs w:val="24"/>
        </w:rPr>
        <w:t xml:space="preserve">Al respecto, </w:t>
      </w:r>
      <w:r w:rsidR="00137D7D" w:rsidRPr="001C3689">
        <w:rPr>
          <w:rFonts w:ascii="Arial" w:hAnsi="Arial" w:cs="Arial"/>
          <w:sz w:val="24"/>
          <w:szCs w:val="24"/>
        </w:rPr>
        <w:t>esta</w:t>
      </w:r>
      <w:r w:rsidR="001C3689" w:rsidRPr="001C3689">
        <w:rPr>
          <w:rFonts w:ascii="Arial" w:hAnsi="Arial" w:cs="Arial"/>
          <w:sz w:val="24"/>
          <w:szCs w:val="24"/>
        </w:rPr>
        <w:t xml:space="preserve"> Segunda Sala Unitaria de Primera Instancia del Tribunal de Justicia Administrativa para el Estado de Oaxaca, advierte que no se configura alguna causal de improcedencia o sobreseimiento</w:t>
      </w:r>
      <w:r w:rsidR="00137D7D">
        <w:rPr>
          <w:rFonts w:ascii="Arial" w:hAnsi="Arial" w:cs="Arial"/>
          <w:sz w:val="24"/>
          <w:szCs w:val="24"/>
        </w:rPr>
        <w:t>,</w:t>
      </w:r>
      <w:r w:rsidR="001C3689" w:rsidRPr="001C3689">
        <w:rPr>
          <w:rFonts w:ascii="Arial" w:hAnsi="Arial" w:cs="Arial"/>
          <w:sz w:val="24"/>
          <w:szCs w:val="24"/>
        </w:rPr>
        <w:t xml:space="preserve"> por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64045182" w14:textId="1C49892B" w:rsidR="005A1686" w:rsidRPr="009C0C09" w:rsidRDefault="0016023B" w:rsidP="005A1686">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16110E">
        <w:rPr>
          <w:rFonts w:ascii="Arial" w:hAnsi="Arial" w:cs="Arial"/>
          <w:bCs/>
          <w:snapToGrid w:val="0"/>
          <w:sz w:val="24"/>
          <w:szCs w:val="27"/>
        </w:rPr>
        <w:t xml:space="preserve"> </w:t>
      </w:r>
      <w:r w:rsidR="0016110E" w:rsidRPr="009C0C09">
        <w:rPr>
          <w:rFonts w:ascii="Arial" w:hAnsi="Arial" w:cs="Arial"/>
          <w:bCs/>
          <w:snapToGrid w:val="0"/>
          <w:sz w:val="24"/>
          <w:szCs w:val="27"/>
        </w:rPr>
        <w:t>E</w:t>
      </w:r>
      <w:r w:rsidR="005A1686" w:rsidRPr="009C0C09">
        <w:rPr>
          <w:rFonts w:ascii="Arial" w:hAnsi="Arial" w:cs="Arial"/>
          <w:bCs/>
          <w:snapToGrid w:val="0"/>
          <w:sz w:val="24"/>
          <w:szCs w:val="27"/>
        </w:rPr>
        <w:t xml:space="preserve">sta </w:t>
      </w:r>
      <w:r w:rsidR="005A1686">
        <w:rPr>
          <w:rFonts w:ascii="Arial" w:hAnsi="Arial" w:cs="Arial"/>
          <w:bCs/>
          <w:snapToGrid w:val="0"/>
          <w:sz w:val="24"/>
          <w:szCs w:val="27"/>
        </w:rPr>
        <w:t>Segunda</w:t>
      </w:r>
      <w:r w:rsidR="005A1686" w:rsidRPr="009C0C09">
        <w:rPr>
          <w:rFonts w:ascii="Arial" w:hAnsi="Arial" w:cs="Arial"/>
          <w:bCs/>
          <w:snapToGrid w:val="0"/>
          <w:sz w:val="24"/>
          <w:szCs w:val="27"/>
        </w:rPr>
        <w:t xml:space="preserve"> Sala Unitaria</w:t>
      </w:r>
      <w:r w:rsidR="00F21E96">
        <w:rPr>
          <w:rFonts w:ascii="Arial" w:hAnsi="Arial" w:cs="Arial"/>
          <w:bCs/>
          <w:snapToGrid w:val="0"/>
          <w:sz w:val="24"/>
          <w:szCs w:val="27"/>
        </w:rPr>
        <w:t xml:space="preserve"> </w:t>
      </w:r>
      <w:r w:rsidR="005A1686" w:rsidRPr="009C0C09">
        <w:rPr>
          <w:rFonts w:ascii="Arial" w:hAnsi="Arial" w:cs="Arial"/>
          <w:bCs/>
          <w:snapToGrid w:val="0"/>
          <w:sz w:val="24"/>
          <w:szCs w:val="27"/>
        </w:rPr>
        <w:t xml:space="preserve">del Tribunal de Justicia Administrativa para el Estado de Oaxaca, procede al estudio de los conceptos de impugnación hechos valer por la parte actora y al análisis del acta de infracción impugnada </w:t>
      </w:r>
      <w:r w:rsidR="00FD296B">
        <w:rPr>
          <w:rFonts w:ascii="Arial" w:hAnsi="Arial" w:cs="Arial"/>
          <w:bCs/>
          <w:spacing w:val="-3"/>
          <w:sz w:val="24"/>
          <w:szCs w:val="27"/>
          <w:lang w:val="es-ES_tradnl"/>
        </w:rPr>
        <w:t>*****</w:t>
      </w:r>
      <w:r w:rsidR="00B51628">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fecha </w:t>
      </w:r>
      <w:r w:rsidR="00FD296B">
        <w:rPr>
          <w:rFonts w:ascii="Arial" w:hAnsi="Arial" w:cs="Arial"/>
          <w:bCs/>
          <w:spacing w:val="-3"/>
          <w:sz w:val="24"/>
          <w:szCs w:val="27"/>
          <w:lang w:val="es-ES_tradnl"/>
        </w:rPr>
        <w:t>*****</w:t>
      </w:r>
      <w:r w:rsidR="00676CD6">
        <w:rPr>
          <w:rFonts w:ascii="Arial" w:hAnsi="Arial" w:cs="Arial"/>
          <w:bCs/>
          <w:spacing w:val="-3"/>
          <w:sz w:val="24"/>
          <w:szCs w:val="27"/>
          <w:lang w:val="es-ES_tradnl"/>
        </w:rPr>
        <w:t xml:space="preserve"> de </w:t>
      </w:r>
      <w:r w:rsidR="00FD296B">
        <w:rPr>
          <w:rFonts w:ascii="Arial" w:hAnsi="Arial" w:cs="Arial"/>
          <w:bCs/>
          <w:spacing w:val="-3"/>
          <w:sz w:val="24"/>
          <w:szCs w:val="27"/>
          <w:lang w:val="es-ES_tradnl"/>
        </w:rPr>
        <w:t>*****</w:t>
      </w:r>
      <w:r w:rsidR="00EE4AFE">
        <w:rPr>
          <w:rFonts w:ascii="Arial" w:hAnsi="Arial" w:cs="Arial"/>
          <w:bCs/>
          <w:spacing w:val="-3"/>
          <w:sz w:val="24"/>
          <w:szCs w:val="27"/>
          <w:lang w:val="es-ES_tradnl"/>
        </w:rPr>
        <w:t xml:space="preserve"> de dos mil </w:t>
      </w:r>
      <w:r w:rsidR="00FD296B">
        <w:rPr>
          <w:rFonts w:ascii="Arial" w:hAnsi="Arial" w:cs="Arial"/>
          <w:bCs/>
          <w:spacing w:val="-3"/>
          <w:sz w:val="24"/>
          <w:szCs w:val="27"/>
          <w:lang w:val="es-ES_tradnl"/>
        </w:rPr>
        <w:t>*****</w:t>
      </w:r>
      <w:r w:rsidR="008826B3">
        <w:rPr>
          <w:rFonts w:ascii="Arial" w:hAnsi="Arial" w:cs="Arial"/>
          <w:bCs/>
          <w:snapToGrid w:val="0"/>
          <w:sz w:val="24"/>
          <w:szCs w:val="27"/>
        </w:rPr>
        <w:t xml:space="preserve"> </w:t>
      </w:r>
      <w:r w:rsidR="00B51628">
        <w:rPr>
          <w:rFonts w:ascii="Arial" w:hAnsi="Arial" w:cs="Arial"/>
          <w:bCs/>
          <w:snapToGrid w:val="0"/>
          <w:sz w:val="24"/>
          <w:szCs w:val="27"/>
        </w:rPr>
        <w:t>(</w:t>
      </w:r>
      <w:r w:rsidR="008826B3">
        <w:rPr>
          <w:rFonts w:ascii="Arial" w:hAnsi="Arial" w:cs="Arial"/>
          <w:bCs/>
          <w:snapToGrid w:val="0"/>
          <w:sz w:val="24"/>
          <w:szCs w:val="27"/>
        </w:rPr>
        <w:t>foja 10</w:t>
      </w:r>
      <w:r w:rsidR="00B51628">
        <w:rPr>
          <w:rFonts w:ascii="Arial" w:hAnsi="Arial" w:cs="Arial"/>
          <w:bCs/>
          <w:snapToGrid w:val="0"/>
          <w:sz w:val="24"/>
          <w:szCs w:val="27"/>
        </w:rPr>
        <w:t>)</w:t>
      </w:r>
      <w:r w:rsidR="005A1686" w:rsidRPr="009C0C09">
        <w:rPr>
          <w:rFonts w:ascii="Arial" w:hAnsi="Arial" w:cs="Arial"/>
          <w:bCs/>
          <w:snapToGrid w:val="0"/>
          <w:sz w:val="24"/>
          <w:szCs w:val="27"/>
        </w:rPr>
        <w:t>, a la cual se le confiere pleno valor probatorio al haber sido expedida por funcionario público en ejercicio de sus funciones, en té</w:t>
      </w:r>
      <w:r w:rsidR="005A1686">
        <w:rPr>
          <w:rFonts w:ascii="Arial" w:hAnsi="Arial" w:cs="Arial"/>
          <w:bCs/>
          <w:snapToGrid w:val="0"/>
          <w:sz w:val="24"/>
          <w:szCs w:val="27"/>
        </w:rPr>
        <w:t>rminos del artículo 203 fracción I</w:t>
      </w:r>
      <w:r w:rsidR="005A1686" w:rsidRPr="009C0C09">
        <w:rPr>
          <w:rFonts w:ascii="Arial" w:hAnsi="Arial" w:cs="Arial"/>
          <w:bCs/>
          <w:snapToGrid w:val="0"/>
          <w:sz w:val="24"/>
          <w:szCs w:val="27"/>
        </w:rPr>
        <w:t>, de l</w:t>
      </w:r>
      <w:r w:rsidR="005A1686">
        <w:rPr>
          <w:rFonts w:ascii="Arial" w:hAnsi="Arial" w:cs="Arial"/>
          <w:bCs/>
          <w:snapToGrid w:val="0"/>
          <w:sz w:val="24"/>
          <w:szCs w:val="27"/>
        </w:rPr>
        <w:t>a Ley que rige a este Tribunal y cuya existencia no fue desvirtuada por la contraparte en el presente juicio.</w:t>
      </w:r>
      <w:r w:rsidR="005A1686" w:rsidRPr="009C0C09">
        <w:rPr>
          <w:rFonts w:ascii="Arial" w:hAnsi="Arial" w:cs="Arial"/>
          <w:bCs/>
          <w:snapToGrid w:val="0"/>
          <w:sz w:val="24"/>
          <w:szCs w:val="27"/>
        </w:rPr>
        <w:t xml:space="preserve"> </w:t>
      </w:r>
    </w:p>
    <w:p w14:paraId="14B7E655" w14:textId="5168D3E2" w:rsidR="005A1686" w:rsidRPr="00A40006" w:rsidRDefault="005A1686" w:rsidP="005A168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 tenor,</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 xml:space="preserve">6 de la Ley que rige a este Tribunal,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en dicho acto se señala que es levantada con fundamento en la Ley de Tránsito Reformada para el Estado de Oaxaca y su respectivo Reglamento, sin embargo, dicha ley fue abrogada mediante decreto 1801, publicada en el Periódico Oficial del Estado de Oaxaca, el día onc</w:t>
      </w:r>
      <w:r w:rsidR="00FB2C46">
        <w:rPr>
          <w:rFonts w:ascii="Arial" w:hAnsi="Arial" w:cs="Arial"/>
          <w:bCs/>
          <w:snapToGrid w:val="0"/>
          <w:sz w:val="24"/>
          <w:szCs w:val="27"/>
        </w:rPr>
        <w:t xml:space="preserve">e de abril de dos mil dieciséis, </w:t>
      </w:r>
      <w:r w:rsidRPr="00A40006">
        <w:rPr>
          <w:rFonts w:ascii="Arial" w:hAnsi="Arial" w:cs="Arial"/>
          <w:bCs/>
          <w:snapToGrid w:val="0"/>
          <w:sz w:val="24"/>
          <w:szCs w:val="27"/>
        </w:rPr>
        <w:t>mismo decreto que creó la Ley de Tránsito, Movilidad y Vialidad del Estado de Oaxaca, y en su transitori</w:t>
      </w:r>
      <w:r>
        <w:rPr>
          <w:rFonts w:ascii="Arial" w:hAnsi="Arial" w:cs="Arial"/>
          <w:bCs/>
          <w:snapToGrid w:val="0"/>
          <w:sz w:val="24"/>
          <w:szCs w:val="27"/>
        </w:rPr>
        <w:t>o SEGUNDO indica lo siguiente:</w:t>
      </w:r>
    </w:p>
    <w:p w14:paraId="6E0C1940" w14:textId="77777777" w:rsidR="005A1686" w:rsidRPr="00B12B90"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lastRenderedPageBreak/>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6131AC4D"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Derivado de lo anterior, resulta jurídicamente erróneo que la autoridad demandada fundamente su actuar en una Ley ya abrogada hace </w:t>
      </w:r>
      <w:r>
        <w:rPr>
          <w:rFonts w:ascii="Arial" w:hAnsi="Arial" w:cs="Arial"/>
          <w:bCs/>
          <w:snapToGrid w:val="0"/>
          <w:sz w:val="24"/>
          <w:szCs w:val="27"/>
        </w:rPr>
        <w:t>cuatro</w:t>
      </w:r>
      <w:r w:rsidRPr="00A40006">
        <w:rPr>
          <w:rFonts w:ascii="Arial" w:hAnsi="Arial" w:cs="Arial"/>
          <w:bCs/>
          <w:snapToGrid w:val="0"/>
          <w:sz w:val="24"/>
          <w:szCs w:val="27"/>
        </w:rPr>
        <w:t xml:space="preserve"> años a la fecha de emisión del acto, siendo este actuar contrario al principio de la no irretroactividad contemplado en el artículo 14 primer párrafo de la Constitución Política de los Estados Unidos Mexicanos que a la letra dice:</w:t>
      </w:r>
    </w:p>
    <w:p w14:paraId="49ABF025" w14:textId="77777777" w:rsidR="005A1686" w:rsidRPr="00035E01"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6428A40A" w14:textId="77777777"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abundancia a lo anterior,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 </w:t>
      </w:r>
      <w:r>
        <w:rPr>
          <w:rFonts w:ascii="Arial" w:hAnsi="Arial" w:cs="Arial"/>
          <w:bCs/>
          <w:snapToGrid w:val="0"/>
          <w:sz w:val="24"/>
          <w:szCs w:val="27"/>
        </w:rPr>
        <w:t>advirtiéndose que</w:t>
      </w:r>
      <w:r w:rsidRPr="00A40006">
        <w:rPr>
          <w:rFonts w:ascii="Arial" w:hAnsi="Arial" w:cs="Arial"/>
          <w:bCs/>
          <w:snapToGrid w:val="0"/>
          <w:sz w:val="24"/>
          <w:szCs w:val="27"/>
        </w:rPr>
        <w:t xml:space="preserve">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w:t>
      </w:r>
      <w:r>
        <w:rPr>
          <w:rFonts w:ascii="Arial" w:hAnsi="Arial" w:cs="Arial"/>
          <w:bCs/>
          <w:snapToGrid w:val="0"/>
          <w:sz w:val="24"/>
          <w:szCs w:val="27"/>
        </w:rPr>
        <w:t>ivar que le impone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w:t>
      </w:r>
      <w:r>
        <w:rPr>
          <w:rFonts w:ascii="Arial" w:hAnsi="Arial" w:cs="Arial"/>
          <w:bCs/>
          <w:snapToGrid w:val="0"/>
          <w:sz w:val="24"/>
          <w:szCs w:val="27"/>
        </w:rPr>
        <w:t>ativa para el Estado de Oaxaca.</w:t>
      </w:r>
    </w:p>
    <w:p w14:paraId="091162D0" w14:textId="4A79CBF9" w:rsidR="008747CE"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Tan es así que de la multicitada acta se advierte que la autoridad demandada en la parte relativa a </w:t>
      </w:r>
      <w:r w:rsidRPr="00D81DB4">
        <w:rPr>
          <w:rFonts w:ascii="Arial" w:hAnsi="Arial" w:cs="Arial"/>
          <w:b/>
          <w:bCs/>
          <w:snapToGrid w:val="0"/>
          <w:sz w:val="24"/>
          <w:szCs w:val="27"/>
        </w:rPr>
        <w:t>MOTIVO DE LA INFRACCIÓN:</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FB6BE3">
        <w:rPr>
          <w:rFonts w:ascii="Arial" w:hAnsi="Arial" w:cs="Arial"/>
          <w:bCs/>
          <w:i/>
          <w:snapToGrid w:val="0"/>
          <w:sz w:val="24"/>
          <w:szCs w:val="27"/>
        </w:rPr>
        <w:t xml:space="preserve">21.- </w:t>
      </w:r>
      <w:r w:rsidR="006B2F3F">
        <w:rPr>
          <w:rFonts w:ascii="Arial" w:hAnsi="Arial" w:cs="Arial"/>
          <w:bCs/>
          <w:i/>
          <w:snapToGrid w:val="0"/>
          <w:sz w:val="24"/>
          <w:szCs w:val="27"/>
        </w:rPr>
        <w:t>****</w:t>
      </w:r>
      <w:r w:rsidR="00FB6BE3">
        <w:rPr>
          <w:rFonts w:ascii="Arial" w:hAnsi="Arial" w:cs="Arial"/>
          <w:bCs/>
          <w:i/>
          <w:snapToGrid w:val="0"/>
          <w:sz w:val="24"/>
          <w:szCs w:val="27"/>
        </w:rPr>
        <w:t xml:space="preserve"> DE </w:t>
      </w:r>
      <w:r w:rsidR="006B2F3F">
        <w:rPr>
          <w:rFonts w:ascii="Arial" w:hAnsi="Arial" w:cs="Arial"/>
          <w:bCs/>
          <w:i/>
          <w:snapToGrid w:val="0"/>
          <w:sz w:val="24"/>
          <w:szCs w:val="27"/>
        </w:rPr>
        <w:t>*****</w:t>
      </w:r>
      <w:r w:rsidR="00FB6BE3">
        <w:rPr>
          <w:rFonts w:ascii="Arial" w:hAnsi="Arial" w:cs="Arial"/>
          <w:bCs/>
          <w:i/>
          <w:snapToGrid w:val="0"/>
          <w:sz w:val="24"/>
          <w:szCs w:val="27"/>
        </w:rPr>
        <w:t xml:space="preserve"> </w:t>
      </w:r>
      <w:r w:rsidR="006B2F3F">
        <w:rPr>
          <w:rFonts w:ascii="Arial" w:hAnsi="Arial" w:cs="Arial"/>
          <w:bCs/>
          <w:i/>
          <w:snapToGrid w:val="0"/>
          <w:sz w:val="24"/>
          <w:szCs w:val="27"/>
        </w:rPr>
        <w:t>****</w:t>
      </w:r>
      <w:r w:rsidR="00FB6BE3">
        <w:rPr>
          <w:rFonts w:ascii="Arial" w:hAnsi="Arial" w:cs="Arial"/>
          <w:bCs/>
          <w:i/>
          <w:snapToGrid w:val="0"/>
          <w:sz w:val="24"/>
          <w:szCs w:val="27"/>
        </w:rPr>
        <w:t xml:space="preserve"> </w:t>
      </w:r>
      <w:r w:rsidR="006B2F3F">
        <w:rPr>
          <w:rFonts w:ascii="Arial" w:hAnsi="Arial" w:cs="Arial"/>
          <w:bCs/>
          <w:i/>
          <w:snapToGrid w:val="0"/>
          <w:sz w:val="24"/>
          <w:szCs w:val="27"/>
        </w:rPr>
        <w:t>****</w:t>
      </w:r>
      <w:r w:rsidR="00FB6BE3">
        <w:rPr>
          <w:rFonts w:ascii="Arial" w:hAnsi="Arial" w:cs="Arial"/>
          <w:bCs/>
          <w:i/>
          <w:snapToGrid w:val="0"/>
          <w:sz w:val="24"/>
          <w:szCs w:val="27"/>
        </w:rPr>
        <w:t xml:space="preserve"> A </w:t>
      </w:r>
      <w:r w:rsidR="006B2F3F">
        <w:rPr>
          <w:rFonts w:ascii="Arial" w:hAnsi="Arial" w:cs="Arial"/>
          <w:bCs/>
          <w:i/>
          <w:snapToGrid w:val="0"/>
          <w:sz w:val="24"/>
          <w:szCs w:val="27"/>
        </w:rPr>
        <w:t>*****</w:t>
      </w:r>
      <w:r w:rsidR="00FB6BE3">
        <w:rPr>
          <w:rFonts w:ascii="Arial" w:hAnsi="Arial" w:cs="Arial"/>
          <w:bCs/>
          <w:i/>
          <w:snapToGrid w:val="0"/>
          <w:sz w:val="24"/>
          <w:szCs w:val="27"/>
        </w:rPr>
        <w:t>, 27.- NO GUARDAR DISTANCIA REGLAMENTARIA</w:t>
      </w:r>
      <w:r w:rsidRPr="00D81DB4">
        <w:rPr>
          <w:rFonts w:ascii="Arial" w:hAnsi="Arial" w:cs="Arial"/>
          <w:bCs/>
          <w:i/>
          <w:snapToGrid w:val="0"/>
          <w:sz w:val="24"/>
          <w:szCs w:val="27"/>
        </w:rPr>
        <w:t>”</w:t>
      </w:r>
      <w:r w:rsidRPr="00A40006">
        <w:rPr>
          <w:rFonts w:ascii="Arial" w:hAnsi="Arial" w:cs="Arial"/>
          <w:bCs/>
          <w:snapToGrid w:val="0"/>
          <w:sz w:val="24"/>
          <w:szCs w:val="27"/>
        </w:rPr>
        <w:t xml:space="preserve">, </w:t>
      </w:r>
      <w:r w:rsidRPr="00D81DB4">
        <w:rPr>
          <w:rFonts w:ascii="Arial" w:hAnsi="Arial" w:cs="Arial"/>
          <w:b/>
          <w:bCs/>
          <w:snapToGrid w:val="0"/>
          <w:sz w:val="24"/>
          <w:szCs w:val="27"/>
        </w:rPr>
        <w:t>MOTIVO DE LA DETENCIÓN DEL VEHÍCULO:</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EE4AFE">
        <w:rPr>
          <w:rFonts w:ascii="Arial" w:hAnsi="Arial" w:cs="Arial"/>
          <w:bCs/>
          <w:i/>
          <w:snapToGrid w:val="0"/>
          <w:sz w:val="24"/>
          <w:szCs w:val="27"/>
        </w:rPr>
        <w:t>no señala ninguno</w:t>
      </w:r>
      <w:r w:rsidRPr="00D81DB4">
        <w:rPr>
          <w:rFonts w:ascii="Arial" w:hAnsi="Arial" w:cs="Arial"/>
          <w:bCs/>
          <w:i/>
          <w:snapToGrid w:val="0"/>
          <w:sz w:val="24"/>
          <w:szCs w:val="27"/>
        </w:rPr>
        <w:t>”</w:t>
      </w:r>
      <w:r w:rsidRPr="00A40006">
        <w:rPr>
          <w:rFonts w:ascii="Arial" w:hAnsi="Arial" w:cs="Arial"/>
          <w:bCs/>
          <w:snapToGrid w:val="0"/>
          <w:sz w:val="24"/>
          <w:szCs w:val="27"/>
        </w:rPr>
        <w:t xml:space="preserve"> y en </w:t>
      </w:r>
      <w:r w:rsidRPr="00D81DB4">
        <w:rPr>
          <w:rFonts w:ascii="Arial" w:hAnsi="Arial" w:cs="Arial"/>
          <w:b/>
          <w:bCs/>
          <w:snapToGrid w:val="0"/>
          <w:sz w:val="24"/>
          <w:szCs w:val="27"/>
        </w:rPr>
        <w:t>OBSERVACIONES:</w:t>
      </w:r>
      <w:r w:rsidRPr="00A40006">
        <w:rPr>
          <w:rFonts w:ascii="Arial" w:hAnsi="Arial" w:cs="Arial"/>
          <w:bCs/>
          <w:snapToGrid w:val="0"/>
          <w:sz w:val="24"/>
          <w:szCs w:val="27"/>
        </w:rPr>
        <w:t xml:space="preserve"> </w:t>
      </w:r>
      <w:r w:rsidRPr="00D81DB4">
        <w:rPr>
          <w:rFonts w:ascii="Arial" w:hAnsi="Arial" w:cs="Arial"/>
          <w:bCs/>
          <w:i/>
          <w:snapToGrid w:val="0"/>
          <w:sz w:val="24"/>
          <w:szCs w:val="27"/>
        </w:rPr>
        <w:t>“</w:t>
      </w:r>
      <w:r w:rsidR="001F61FF">
        <w:rPr>
          <w:rFonts w:ascii="Arial" w:hAnsi="Arial" w:cs="Arial"/>
          <w:bCs/>
          <w:i/>
          <w:snapToGrid w:val="0"/>
          <w:sz w:val="24"/>
          <w:szCs w:val="27"/>
        </w:rPr>
        <w:t>ARREGLO ENTRE PARTICULARES</w:t>
      </w:r>
      <w:r w:rsidRPr="00D81DB4">
        <w:rPr>
          <w:rFonts w:ascii="Arial" w:hAnsi="Arial" w:cs="Arial"/>
          <w:bCs/>
          <w:i/>
          <w:snapToGrid w:val="0"/>
          <w:sz w:val="24"/>
          <w:szCs w:val="27"/>
        </w:rPr>
        <w:t>”</w:t>
      </w:r>
      <w:r w:rsidRPr="00A40006">
        <w:rPr>
          <w:rFonts w:ascii="Arial" w:hAnsi="Arial" w:cs="Arial"/>
          <w:bCs/>
          <w:snapToGrid w:val="0"/>
          <w:sz w:val="24"/>
          <w:szCs w:val="27"/>
        </w:rPr>
        <w:t>, lo que no puede considerarse como la motivación del acto reclamado,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w:t>
      </w:r>
      <w:r>
        <w:rPr>
          <w:rFonts w:ascii="Arial" w:hAnsi="Arial" w:cs="Arial"/>
          <w:bCs/>
          <w:snapToGrid w:val="0"/>
          <w:sz w:val="24"/>
          <w:szCs w:val="27"/>
        </w:rPr>
        <w:t xml:space="preserve"> ya que en la misma no se expresan </w:t>
      </w:r>
      <w:r>
        <w:rPr>
          <w:rFonts w:ascii="Arial" w:hAnsi="Arial" w:cs="Arial"/>
          <w:bCs/>
          <w:snapToGrid w:val="0"/>
          <w:sz w:val="24"/>
          <w:szCs w:val="27"/>
        </w:rPr>
        <w:lastRenderedPageBreak/>
        <w:t>las causas inmediatas por medio del cual el policía vial pudo a través de sus sentidos que el actor incurrió en las faltas ahí tipificadas,</w:t>
      </w:r>
      <w:r w:rsidRPr="00A40006">
        <w:rPr>
          <w:rFonts w:ascii="Arial" w:hAnsi="Arial" w:cs="Arial"/>
          <w:bCs/>
          <w:snapToGrid w:val="0"/>
          <w:sz w:val="24"/>
          <w:szCs w:val="27"/>
        </w:rPr>
        <w:t xml:space="preserve"> por lo que en ese tenor, dicho acto de autoridad carece de motivación y fundamentación,</w:t>
      </w:r>
      <w:r>
        <w:rPr>
          <w:rFonts w:ascii="Arial" w:hAnsi="Arial" w:cs="Arial"/>
          <w:bCs/>
          <w:snapToGrid w:val="0"/>
          <w:sz w:val="24"/>
          <w:szCs w:val="27"/>
        </w:rPr>
        <w:t xml:space="preserve"> y que lo vertido por la autoridad demandada en su contestación de demanda no puede ser considerada como parte integrante del acto reclamado</w:t>
      </w:r>
      <w:r w:rsidR="008747CE">
        <w:rPr>
          <w:rFonts w:ascii="Arial" w:hAnsi="Arial" w:cs="Arial"/>
          <w:bCs/>
          <w:snapToGrid w:val="0"/>
          <w:sz w:val="24"/>
          <w:szCs w:val="27"/>
        </w:rPr>
        <w:t>.</w:t>
      </w:r>
    </w:p>
    <w:p w14:paraId="74992664" w14:textId="77777777" w:rsidR="008747CE" w:rsidRPr="0040395C" w:rsidRDefault="008747CE" w:rsidP="008747CE">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w:t>
      </w:r>
      <w:r w:rsidRPr="0040395C">
        <w:rPr>
          <w:rFonts w:ascii="Arial" w:hAnsi="Arial" w:cs="Arial"/>
          <w:bCs/>
          <w:snapToGrid w:val="0"/>
          <w:sz w:val="24"/>
          <w:szCs w:val="27"/>
        </w:rPr>
        <w:t>irve de apoyo sustancial la tesis</w:t>
      </w:r>
      <w:r w:rsidRPr="004B7BEB">
        <w:rPr>
          <w:rStyle w:val="Refdenotaalpie"/>
          <w:rFonts w:ascii="Arial" w:hAnsi="Arial" w:cs="Arial"/>
          <w:sz w:val="24"/>
          <w:szCs w:val="24"/>
        </w:rPr>
        <w:footnoteReference w:id="1"/>
      </w:r>
      <w:r>
        <w:rPr>
          <w:rFonts w:ascii="Arial" w:hAnsi="Arial" w:cs="Arial"/>
          <w:sz w:val="24"/>
          <w:szCs w:val="24"/>
        </w:rPr>
        <w:t xml:space="preserve">, </w:t>
      </w:r>
      <w:r w:rsidRPr="0040395C">
        <w:rPr>
          <w:rFonts w:ascii="Arial" w:hAnsi="Arial" w:cs="Arial"/>
          <w:bCs/>
          <w:snapToGrid w:val="0"/>
          <w:sz w:val="24"/>
          <w:szCs w:val="27"/>
        </w:rPr>
        <w:t>bajo los rubros y textos siguientes:</w:t>
      </w:r>
    </w:p>
    <w:p w14:paraId="3AC8DB36" w14:textId="6CFF85B8" w:rsidR="008747CE" w:rsidRPr="00FE5084" w:rsidRDefault="008747CE" w:rsidP="00FE5084">
      <w:pPr>
        <w:ind w:left="567" w:right="51"/>
        <w:jc w:val="both"/>
        <w:rPr>
          <w:rFonts w:ascii="Arial" w:hAnsi="Arial" w:cs="Arial"/>
          <w:bCs/>
          <w:i/>
          <w:snapToGrid w:val="0"/>
          <w:sz w:val="24"/>
          <w:szCs w:val="27"/>
        </w:rPr>
      </w:pPr>
      <w:r>
        <w:rPr>
          <w:rFonts w:ascii="Arial" w:hAnsi="Arial" w:cs="Arial"/>
          <w:b/>
          <w:bCs/>
          <w:i/>
          <w:snapToGrid w:val="0"/>
          <w:sz w:val="24"/>
          <w:szCs w:val="27"/>
        </w:rPr>
        <w:t>“</w:t>
      </w:r>
      <w:r w:rsidRPr="00C83BBD">
        <w:rPr>
          <w:rFonts w:ascii="Arial" w:hAnsi="Arial" w:cs="Arial"/>
          <w:b/>
          <w:bCs/>
          <w:i/>
          <w:snapToGrid w:val="0"/>
          <w:sz w:val="24"/>
          <w:szCs w:val="27"/>
        </w:rPr>
        <w:t>FUNDAMENTACION Y MOTIVACION, CONCEPTO DE.</w:t>
      </w:r>
      <w:r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30416F7" w14:textId="77777777" w:rsidR="00FE5084"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Luego entonces, al no contener una correcta fundamentación y motivación, dicho acto administrativo carece de validez alguna, ya que contraviene a los requisitos fundamentales de todo acto administrat</w:t>
      </w:r>
      <w:r>
        <w:rPr>
          <w:rFonts w:ascii="Arial" w:hAnsi="Arial" w:cs="Arial"/>
          <w:bCs/>
          <w:snapToGrid w:val="0"/>
          <w:sz w:val="24"/>
          <w:szCs w:val="27"/>
        </w:rPr>
        <w:t>ivo contemplado en el artículo 1</w:t>
      </w:r>
      <w:r w:rsidRPr="00A40006">
        <w:rPr>
          <w:rFonts w:ascii="Arial" w:hAnsi="Arial" w:cs="Arial"/>
          <w:bCs/>
          <w:snapToGrid w:val="0"/>
          <w:sz w:val="24"/>
          <w:szCs w:val="27"/>
        </w:rPr>
        <w:t>7 fracción V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no pasa desapercibido que el acta de infracción al ser elaborada dentro de un formato preimpreso, el mismo aún contiene fundamentos no vigentes, ya que el acta en su análisis es realizado de forma holística con todos los elementos contenidos en tal acta.</w:t>
      </w:r>
    </w:p>
    <w:p w14:paraId="73AA1DF3" w14:textId="00757EA5" w:rsidR="005A1686" w:rsidRPr="00A4000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 Sirva al caso la</w:t>
      </w:r>
      <w:r w:rsidR="00FE5084">
        <w:rPr>
          <w:rFonts w:ascii="Arial" w:hAnsi="Arial" w:cs="Arial"/>
          <w:bCs/>
          <w:snapToGrid w:val="0"/>
          <w:sz w:val="24"/>
          <w:szCs w:val="27"/>
        </w:rPr>
        <w:t xml:space="preserve"> jurisprudencia</w:t>
      </w:r>
      <w:r w:rsidR="00FE5084">
        <w:rPr>
          <w:rStyle w:val="Refdenotaalpie"/>
          <w:rFonts w:ascii="Arial" w:hAnsi="Arial" w:cs="Arial"/>
          <w:bCs/>
          <w:snapToGrid w:val="0"/>
          <w:sz w:val="24"/>
          <w:szCs w:val="27"/>
        </w:rPr>
        <w:footnoteReference w:id="2"/>
      </w:r>
      <w:r w:rsidR="00FE5084">
        <w:rPr>
          <w:rFonts w:ascii="Arial" w:hAnsi="Arial" w:cs="Arial"/>
          <w:bCs/>
          <w:snapToGrid w:val="0"/>
          <w:sz w:val="24"/>
          <w:szCs w:val="27"/>
        </w:rPr>
        <w:t xml:space="preserve"> </w:t>
      </w:r>
      <w:r w:rsidRPr="00A40006">
        <w:rPr>
          <w:rFonts w:ascii="Arial" w:hAnsi="Arial" w:cs="Arial"/>
          <w:bCs/>
          <w:snapToGrid w:val="0"/>
          <w:sz w:val="24"/>
          <w:szCs w:val="27"/>
        </w:rPr>
        <w:t>ba</w:t>
      </w:r>
      <w:r>
        <w:rPr>
          <w:rFonts w:ascii="Arial" w:hAnsi="Arial" w:cs="Arial"/>
          <w:bCs/>
          <w:snapToGrid w:val="0"/>
          <w:sz w:val="24"/>
          <w:szCs w:val="27"/>
        </w:rPr>
        <w:t>jo el rubro y texto siguiente:</w:t>
      </w:r>
    </w:p>
    <w:p w14:paraId="604BE22B" w14:textId="77777777" w:rsidR="005A1686" w:rsidRPr="00CF61E3" w:rsidRDefault="005A1686" w:rsidP="005A1686">
      <w:pPr>
        <w:ind w:left="567" w:right="48"/>
        <w:jc w:val="both"/>
        <w:rPr>
          <w:rFonts w:ascii="Arial" w:hAnsi="Arial" w:cs="Arial"/>
          <w:bCs/>
          <w:i/>
          <w:snapToGrid w:val="0"/>
          <w:sz w:val="24"/>
          <w:szCs w:val="27"/>
        </w:rPr>
      </w:pPr>
      <w:r>
        <w:rPr>
          <w:rFonts w:ascii="Arial" w:hAnsi="Arial" w:cs="Arial"/>
          <w:b/>
          <w:bCs/>
          <w:i/>
          <w:snapToGrid w:val="0"/>
          <w:sz w:val="24"/>
          <w:szCs w:val="27"/>
        </w:rPr>
        <w:t>“</w:t>
      </w:r>
      <w:r w:rsidRPr="00CF61E3">
        <w:rPr>
          <w:rFonts w:ascii="Arial" w:hAnsi="Arial" w:cs="Arial"/>
          <w:b/>
          <w:bCs/>
          <w:i/>
          <w:snapToGrid w:val="0"/>
          <w:sz w:val="24"/>
          <w:szCs w:val="27"/>
        </w:rPr>
        <w:t>TRANSITO, MULTAS POR VIOLACIÓN AL REGLAMENTO DE.</w:t>
      </w:r>
      <w:r w:rsidRPr="00CF61E3">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Pr>
          <w:rFonts w:ascii="Arial" w:hAnsi="Arial" w:cs="Arial"/>
          <w:bCs/>
          <w:i/>
          <w:snapToGrid w:val="0"/>
          <w:sz w:val="24"/>
          <w:szCs w:val="27"/>
        </w:rPr>
        <w:t>”</w:t>
      </w:r>
    </w:p>
    <w:p w14:paraId="5F3447A1" w14:textId="77777777" w:rsidR="0068343B"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En cuanto a las pruebas presuncionales legal y humana, y la instrumental de actuaciones, esta Sala estima que es innecesario su estudio ya que existen elementos de pruebas directos dentro del sumario que en el caso es, el acta de </w:t>
      </w:r>
      <w:r w:rsidR="009E3CB3">
        <w:rPr>
          <w:rFonts w:ascii="Arial" w:hAnsi="Arial" w:cs="Arial"/>
          <w:bCs/>
          <w:snapToGrid w:val="0"/>
          <w:sz w:val="24"/>
          <w:szCs w:val="27"/>
        </w:rPr>
        <w:lastRenderedPageBreak/>
        <w:t>infracción visible en la foja 10</w:t>
      </w:r>
      <w:r w:rsidRPr="00A40006">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 irroga agravios a las partes.</w:t>
      </w:r>
    </w:p>
    <w:p w14:paraId="20402A81" w14:textId="77777777" w:rsidR="0068343B" w:rsidRPr="0040395C" w:rsidRDefault="005A1686" w:rsidP="0068343B">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 </w:t>
      </w:r>
      <w:r w:rsidR="0068343B" w:rsidRPr="0040395C">
        <w:rPr>
          <w:rFonts w:ascii="Arial" w:hAnsi="Arial" w:cs="Arial"/>
          <w:bCs/>
          <w:snapToGrid w:val="0"/>
          <w:sz w:val="24"/>
          <w:szCs w:val="27"/>
        </w:rPr>
        <w:t>Sirve al caso por analogía jurídica sustancial la tesis</w:t>
      </w:r>
      <w:r w:rsidR="0068343B" w:rsidRPr="004B7BEB">
        <w:rPr>
          <w:rStyle w:val="Refdenotaalpie"/>
          <w:rFonts w:ascii="Arial" w:hAnsi="Arial" w:cs="Arial"/>
          <w:sz w:val="24"/>
          <w:szCs w:val="24"/>
        </w:rPr>
        <w:footnoteReference w:id="3"/>
      </w:r>
      <w:r w:rsidR="0068343B">
        <w:rPr>
          <w:rFonts w:ascii="Arial" w:hAnsi="Arial" w:cs="Arial"/>
          <w:bCs/>
          <w:snapToGrid w:val="0"/>
          <w:sz w:val="24"/>
          <w:szCs w:val="27"/>
        </w:rPr>
        <w:t xml:space="preserve"> de rubro y texto siguiente</w:t>
      </w:r>
      <w:r w:rsidR="0068343B" w:rsidRPr="0040395C">
        <w:rPr>
          <w:rFonts w:ascii="Arial" w:hAnsi="Arial" w:cs="Arial"/>
          <w:bCs/>
          <w:snapToGrid w:val="0"/>
          <w:sz w:val="24"/>
          <w:szCs w:val="27"/>
        </w:rPr>
        <w:t xml:space="preserve">: </w:t>
      </w:r>
    </w:p>
    <w:p w14:paraId="1273FAB5" w14:textId="2843BAAC" w:rsidR="005A1686" w:rsidRPr="00EB75F1" w:rsidRDefault="0068343B" w:rsidP="0068343B">
      <w:pPr>
        <w:ind w:left="567" w:right="51"/>
        <w:jc w:val="both"/>
        <w:rPr>
          <w:rFonts w:ascii="Arial" w:hAnsi="Arial" w:cs="Arial"/>
          <w:bCs/>
          <w:i/>
          <w:snapToGrid w:val="0"/>
          <w:sz w:val="24"/>
          <w:szCs w:val="27"/>
        </w:rPr>
      </w:pPr>
      <w:r>
        <w:rPr>
          <w:rFonts w:ascii="Arial" w:hAnsi="Arial" w:cs="Arial"/>
          <w:b/>
          <w:bCs/>
          <w:i/>
          <w:snapToGrid w:val="0"/>
          <w:sz w:val="24"/>
          <w:szCs w:val="27"/>
        </w:rPr>
        <w:t>“</w:t>
      </w:r>
      <w:r w:rsidRPr="00972EE0">
        <w:rPr>
          <w:rFonts w:ascii="Arial" w:hAnsi="Arial" w:cs="Arial"/>
          <w:b/>
          <w:bCs/>
          <w:i/>
          <w:snapToGrid w:val="0"/>
          <w:sz w:val="24"/>
          <w:szCs w:val="27"/>
        </w:rPr>
        <w:t>PRUEBA PRESUNCIONAL LEGAL Y HUMANA, CASO EN QUE SU ESTUDIO RESULTA INNECESARIO.</w:t>
      </w:r>
      <w:r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0665B62B" w14:textId="2195E8C7" w:rsidR="005A1686" w:rsidRDefault="005A1686" w:rsidP="005A1686">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Pr>
          <w:rFonts w:ascii="Arial" w:hAnsi="Arial" w:cs="Arial"/>
          <w:bCs/>
          <w:snapToGrid w:val="0"/>
          <w:sz w:val="24"/>
          <w:szCs w:val="27"/>
        </w:rPr>
        <w:t>los conceptos de impugnación hechos valer por el ac</w:t>
      </w:r>
      <w:r w:rsidR="00597020">
        <w:rPr>
          <w:rFonts w:ascii="Arial" w:hAnsi="Arial" w:cs="Arial"/>
          <w:bCs/>
          <w:snapToGrid w:val="0"/>
          <w:sz w:val="24"/>
          <w:szCs w:val="27"/>
        </w:rPr>
        <w:t>tor, en términos del artículo 20</w:t>
      </w:r>
      <w:r>
        <w:rPr>
          <w:rFonts w:ascii="Arial" w:hAnsi="Arial" w:cs="Arial"/>
          <w:bCs/>
          <w:snapToGrid w:val="0"/>
          <w:sz w:val="24"/>
          <w:szCs w:val="27"/>
        </w:rPr>
        <w:t xml:space="preserve">6 de la Ley de </w:t>
      </w:r>
      <w:r w:rsidR="00597020">
        <w:rPr>
          <w:rFonts w:ascii="Arial" w:hAnsi="Arial" w:cs="Arial"/>
          <w:bCs/>
          <w:snapToGrid w:val="0"/>
          <w:sz w:val="24"/>
          <w:szCs w:val="27"/>
        </w:rPr>
        <w:t xml:space="preserve">Procedimiento y </w:t>
      </w:r>
      <w:r>
        <w:rPr>
          <w:rFonts w:ascii="Arial" w:hAnsi="Arial" w:cs="Arial"/>
          <w:bCs/>
          <w:snapToGrid w:val="0"/>
          <w:sz w:val="24"/>
          <w:szCs w:val="27"/>
        </w:rPr>
        <w:t xml:space="preserve">Justicia Administrativa para el Estado de Oaxaca, resultan </w:t>
      </w:r>
      <w:r w:rsidRPr="004C582E">
        <w:rPr>
          <w:rFonts w:ascii="Arial" w:hAnsi="Arial" w:cs="Arial"/>
          <w:b/>
          <w:bCs/>
          <w:snapToGrid w:val="0"/>
          <w:sz w:val="24"/>
          <w:szCs w:val="27"/>
        </w:rPr>
        <w:t>FUNDADOS</w:t>
      </w:r>
      <w:r>
        <w:rPr>
          <w:rFonts w:ascii="Arial" w:hAnsi="Arial" w:cs="Arial"/>
          <w:bCs/>
          <w:snapToGrid w:val="0"/>
          <w:sz w:val="24"/>
          <w:szCs w:val="27"/>
        </w:rPr>
        <w:t xml:space="preserve">, en consecuencia,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w:t>
      </w:r>
      <w:r w:rsidR="00251457">
        <w:rPr>
          <w:rFonts w:ascii="Arial" w:hAnsi="Arial" w:cs="Arial"/>
          <w:bCs/>
          <w:snapToGrid w:val="0"/>
          <w:sz w:val="24"/>
          <w:szCs w:val="27"/>
        </w:rPr>
        <w:t>o *****</w:t>
      </w:r>
      <w:r w:rsidR="00E74114">
        <w:rPr>
          <w:rFonts w:ascii="Arial" w:hAnsi="Arial" w:cs="Arial"/>
          <w:bCs/>
          <w:spacing w:val="-3"/>
          <w:sz w:val="24"/>
          <w:szCs w:val="27"/>
          <w:lang w:val="es-ES_tradnl"/>
        </w:rPr>
        <w:t>,</w:t>
      </w:r>
      <w:r w:rsidR="000859C0">
        <w:rPr>
          <w:rFonts w:ascii="Arial" w:hAnsi="Arial" w:cs="Arial"/>
          <w:bCs/>
          <w:spacing w:val="-3"/>
          <w:sz w:val="24"/>
          <w:szCs w:val="27"/>
          <w:lang w:val="es-ES_tradnl"/>
        </w:rPr>
        <w:t xml:space="preserve"> de fecha </w:t>
      </w:r>
      <w:r w:rsidR="00251457">
        <w:rPr>
          <w:rFonts w:ascii="Arial" w:hAnsi="Arial" w:cs="Arial"/>
          <w:bCs/>
          <w:spacing w:val="-3"/>
          <w:sz w:val="24"/>
          <w:szCs w:val="27"/>
          <w:lang w:val="es-ES_tradnl"/>
        </w:rPr>
        <w:t>*****</w:t>
      </w:r>
      <w:r w:rsidR="000E67BA">
        <w:rPr>
          <w:rFonts w:ascii="Arial" w:hAnsi="Arial" w:cs="Arial"/>
          <w:bCs/>
          <w:spacing w:val="-3"/>
          <w:sz w:val="24"/>
          <w:szCs w:val="27"/>
          <w:lang w:val="es-ES_tradnl"/>
        </w:rPr>
        <w:t xml:space="preserve"> de </w:t>
      </w:r>
      <w:r w:rsidR="00251457">
        <w:rPr>
          <w:rFonts w:ascii="Arial" w:hAnsi="Arial" w:cs="Arial"/>
          <w:bCs/>
          <w:spacing w:val="-3"/>
          <w:sz w:val="24"/>
          <w:szCs w:val="27"/>
          <w:lang w:val="es-ES_tradnl"/>
        </w:rPr>
        <w:t>*****</w:t>
      </w:r>
      <w:r w:rsidR="000E67BA">
        <w:rPr>
          <w:rFonts w:ascii="Arial" w:hAnsi="Arial" w:cs="Arial"/>
          <w:bCs/>
          <w:spacing w:val="-3"/>
          <w:sz w:val="24"/>
          <w:szCs w:val="27"/>
          <w:lang w:val="es-ES_tradnl"/>
        </w:rPr>
        <w:t xml:space="preserve"> de dos mil </w:t>
      </w:r>
      <w:r w:rsidR="00251457">
        <w:rPr>
          <w:rFonts w:ascii="Arial" w:hAnsi="Arial" w:cs="Arial"/>
          <w:bCs/>
          <w:spacing w:val="-3"/>
          <w:sz w:val="24"/>
          <w:szCs w:val="27"/>
          <w:lang w:val="es-ES_tradnl"/>
        </w:rPr>
        <w:t>*****</w:t>
      </w:r>
      <w:r w:rsidRPr="00A40006">
        <w:rPr>
          <w:rFonts w:ascii="Arial" w:hAnsi="Arial" w:cs="Arial"/>
          <w:bCs/>
          <w:snapToGrid w:val="0"/>
          <w:sz w:val="24"/>
          <w:szCs w:val="27"/>
        </w:rPr>
        <w:t xml:space="preserve">, </w:t>
      </w:r>
      <w:r>
        <w:rPr>
          <w:rFonts w:ascii="Arial" w:hAnsi="Arial" w:cs="Arial"/>
          <w:bCs/>
          <w:snapToGrid w:val="0"/>
          <w:sz w:val="24"/>
          <w:szCs w:val="27"/>
        </w:rPr>
        <w:t xml:space="preserve">emitida por </w:t>
      </w:r>
      <w:r w:rsidR="0047745E">
        <w:rPr>
          <w:rFonts w:ascii="Arial" w:hAnsi="Arial" w:cs="Arial"/>
          <w:bCs/>
          <w:snapToGrid w:val="0"/>
          <w:sz w:val="24"/>
          <w:szCs w:val="27"/>
        </w:rPr>
        <w:t xml:space="preserve">ARTURO JOB CRUZ GÓMEZ </w:t>
      </w:r>
      <w:r w:rsidR="0020510B">
        <w:rPr>
          <w:rFonts w:ascii="Arial" w:eastAsia="Times New Roman" w:hAnsi="Arial" w:cs="Arial"/>
          <w:sz w:val="24"/>
          <w:szCs w:val="27"/>
          <w:lang w:val="es-ES_tradnl" w:eastAsia="es-ES"/>
        </w:rPr>
        <w:t>al Estatal, dependiente de la Dirección General de la Policía Estatal d</w:t>
      </w:r>
      <w:r w:rsidR="0020510B" w:rsidRPr="005117EA">
        <w:rPr>
          <w:rFonts w:ascii="Arial" w:eastAsia="Times New Roman" w:hAnsi="Arial" w:cs="Arial"/>
          <w:sz w:val="24"/>
          <w:szCs w:val="27"/>
          <w:lang w:val="es-ES_tradnl" w:eastAsia="es-ES"/>
        </w:rPr>
        <w:t>e</w:t>
      </w:r>
      <w:r w:rsidR="0020510B">
        <w:rPr>
          <w:rFonts w:ascii="Arial" w:eastAsia="Times New Roman" w:hAnsi="Arial" w:cs="Arial"/>
          <w:sz w:val="24"/>
          <w:szCs w:val="27"/>
          <w:lang w:val="es-ES_tradnl" w:eastAsia="es-ES"/>
        </w:rPr>
        <w:t>l Estado de</w:t>
      </w:r>
      <w:r w:rsidR="0020510B" w:rsidRPr="005117EA">
        <w:rPr>
          <w:rFonts w:ascii="Arial" w:eastAsia="Times New Roman" w:hAnsi="Arial" w:cs="Arial"/>
          <w:sz w:val="24"/>
          <w:szCs w:val="27"/>
          <w:lang w:val="es-ES_tradnl" w:eastAsia="es-ES"/>
        </w:rPr>
        <w:t xml:space="preserve"> Oaxaca</w:t>
      </w:r>
      <w:r w:rsidRPr="00A40006">
        <w:rPr>
          <w:rFonts w:ascii="Arial" w:hAnsi="Arial" w:cs="Arial"/>
          <w:bCs/>
          <w:snapToGrid w:val="0"/>
          <w:sz w:val="24"/>
          <w:szCs w:val="27"/>
        </w:rPr>
        <w:t xml:space="preserve">, </w:t>
      </w:r>
      <w:r w:rsidRPr="006F0524">
        <w:rPr>
          <w:rFonts w:ascii="Arial" w:hAnsi="Arial" w:cs="Arial"/>
          <w:bCs/>
          <w:snapToGrid w:val="0"/>
          <w:sz w:val="24"/>
          <w:szCs w:val="27"/>
        </w:rPr>
        <w:t xml:space="preserve">en consecuencia, </w:t>
      </w:r>
      <w:r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197C42">
        <w:rPr>
          <w:rFonts w:ascii="Arial" w:hAnsi="Arial" w:cs="Arial"/>
          <w:bCs/>
          <w:snapToGrid w:val="0"/>
          <w:sz w:val="24"/>
          <w:szCs w:val="27"/>
          <w:u w:val="single"/>
        </w:rPr>
        <w:t>tal efecto lleve esa autoridad.</w:t>
      </w:r>
    </w:p>
    <w:p w14:paraId="72874FF7" w14:textId="09963F3A" w:rsidR="00414AF5" w:rsidRDefault="00414AF5" w:rsidP="005A1686">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3291FBD4"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tanto, </w:t>
      </w:r>
      <w:r w:rsidRPr="009C0C09">
        <w:rPr>
          <w:rFonts w:cs="Arial"/>
          <w:i w:val="0"/>
          <w:szCs w:val="27"/>
        </w:rPr>
        <w:t>NO SE SOBRESEE.</w:t>
      </w:r>
    </w:p>
    <w:p w14:paraId="0CB13576" w14:textId="59C37231"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lastRenderedPageBreak/>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893F7D">
        <w:rPr>
          <w:rFonts w:cs="Arial"/>
          <w:b w:val="0"/>
          <w:i w:val="0"/>
          <w:szCs w:val="27"/>
        </w:rPr>
        <w:t>*****</w:t>
      </w:r>
      <w:r w:rsidR="00E74114">
        <w:rPr>
          <w:rFonts w:cs="Arial"/>
          <w:b w:val="0"/>
          <w:i w:val="0"/>
          <w:szCs w:val="27"/>
        </w:rPr>
        <w:t>,</w:t>
      </w:r>
      <w:r w:rsidR="002B2E51" w:rsidRPr="002B2E51">
        <w:rPr>
          <w:rFonts w:cs="Arial"/>
          <w:b w:val="0"/>
          <w:i w:val="0"/>
          <w:szCs w:val="27"/>
        </w:rPr>
        <w:t xml:space="preserve"> de fecha </w:t>
      </w:r>
      <w:r w:rsidR="00893F7D">
        <w:rPr>
          <w:rFonts w:cs="Arial"/>
          <w:b w:val="0"/>
          <w:i w:val="0"/>
          <w:szCs w:val="27"/>
        </w:rPr>
        <w:t>*****</w:t>
      </w:r>
      <w:r w:rsidR="002B2E51" w:rsidRPr="002B2E51">
        <w:rPr>
          <w:rFonts w:cs="Arial"/>
          <w:b w:val="0"/>
          <w:i w:val="0"/>
          <w:szCs w:val="27"/>
        </w:rPr>
        <w:t xml:space="preserve"> de </w:t>
      </w:r>
      <w:r w:rsidR="00893F7D">
        <w:rPr>
          <w:rFonts w:cs="Arial"/>
          <w:b w:val="0"/>
          <w:i w:val="0"/>
          <w:szCs w:val="27"/>
        </w:rPr>
        <w:t>******</w:t>
      </w:r>
      <w:r w:rsidR="002B2E51" w:rsidRPr="002B2E51">
        <w:rPr>
          <w:rFonts w:cs="Arial"/>
          <w:b w:val="0"/>
          <w:i w:val="0"/>
          <w:szCs w:val="27"/>
        </w:rPr>
        <w:t xml:space="preserve"> de dos mil </w:t>
      </w:r>
      <w:r w:rsidR="00893F7D">
        <w:rPr>
          <w:rFonts w:cs="Arial"/>
          <w:b w:val="0"/>
          <w:i w:val="0"/>
          <w:szCs w:val="27"/>
        </w:rPr>
        <w:t>*****</w:t>
      </w:r>
      <w:r w:rsidR="002B2E51" w:rsidRPr="002B2E51">
        <w:rPr>
          <w:rFonts w:cs="Arial"/>
          <w:b w:val="0"/>
          <w:i w:val="0"/>
          <w:szCs w:val="27"/>
        </w:rPr>
        <w:t>, emitida por ARTURO JOB CRUZ GÓMEZ</w:t>
      </w:r>
      <w:r w:rsidR="0068466F" w:rsidRPr="002B2E51">
        <w:rPr>
          <w:rFonts w:cs="Arial"/>
          <w:b w:val="0"/>
          <w:i w:val="0"/>
          <w:szCs w:val="27"/>
        </w:rPr>
        <w:t>,</w:t>
      </w:r>
      <w:r w:rsidR="0068466F" w:rsidRPr="0068466F">
        <w:rPr>
          <w:rFonts w:cs="Arial"/>
          <w:b w:val="0"/>
          <w:i w:val="0"/>
          <w:szCs w:val="27"/>
        </w:rPr>
        <w:t xml:space="preserve"> Policía Vial Estatal, dependiente de la Dirección General de la Policía Estatal del Estado de Oaxaca, en consecuencia, </w:t>
      </w:r>
      <w:r w:rsidR="0068466F" w:rsidRPr="0068466F">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6376A3">
        <w:rPr>
          <w:rFonts w:cs="Arial"/>
          <w:b w:val="0"/>
          <w:i w:val="0"/>
          <w:szCs w:val="27"/>
          <w:u w:val="single"/>
        </w:rPr>
        <w:t>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37D103FC"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6892A5D9" w14:textId="77777777" w:rsidR="00E257F1" w:rsidRDefault="00E257F1"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1F747D8B" w:rsidR="004B22DE" w:rsidRPr="00604752" w:rsidRDefault="004B22DE" w:rsidP="00E257F1">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5CF164B9"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3B206D1" w14:textId="77777777" w:rsidR="00E257F1" w:rsidRPr="00604752" w:rsidRDefault="00E257F1"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68C15441" w14:textId="77777777" w:rsidR="00E257F1" w:rsidRDefault="00E257F1" w:rsidP="00605164">
      <w:pPr>
        <w:widowControl w:val="0"/>
        <w:spacing w:after="0" w:line="360" w:lineRule="auto"/>
        <w:ind w:right="51"/>
        <w:jc w:val="center"/>
        <w:rPr>
          <w:rFonts w:ascii="Arial" w:eastAsia="Times New Roman" w:hAnsi="Arial" w:cs="Arial"/>
          <w:b/>
          <w:sz w:val="24"/>
          <w:szCs w:val="24"/>
          <w:lang w:val="es-ES" w:eastAsia="es-ES"/>
        </w:rPr>
      </w:pPr>
    </w:p>
    <w:p w14:paraId="748BD74D" w14:textId="4FBC5232" w:rsidR="00E257F1" w:rsidRDefault="00E257F1" w:rsidP="00605164">
      <w:pPr>
        <w:widowControl w:val="0"/>
        <w:spacing w:after="0" w:line="360" w:lineRule="auto"/>
        <w:ind w:right="51"/>
        <w:jc w:val="center"/>
        <w:rPr>
          <w:rFonts w:ascii="Arial" w:eastAsia="Times New Roman" w:hAnsi="Arial" w:cs="Arial"/>
          <w:b/>
          <w:sz w:val="24"/>
          <w:szCs w:val="24"/>
          <w:lang w:val="es-ES" w:eastAsia="es-ES"/>
        </w:rPr>
      </w:pPr>
    </w:p>
    <w:p w14:paraId="06AA32F1" w14:textId="77777777" w:rsidR="00E257F1" w:rsidRDefault="00E257F1"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33CF8F39"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4A70F4CF"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6A6C77F2" w14:textId="77777777" w:rsidR="00E257F1" w:rsidRDefault="00E257F1"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B6F7F">
      <w:headerReference w:type="even" r:id="rId8"/>
      <w:headerReference w:type="default" r:id="rId9"/>
      <w:footerReference w:type="default" r:id="rId10"/>
      <w:headerReference w:type="first" r:id="rId11"/>
      <w:pgSz w:w="12240" w:h="20160" w:code="5"/>
      <w:pgMar w:top="123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B3050" w14:textId="77777777" w:rsidR="00C73CB5" w:rsidRDefault="00C73CB5" w:rsidP="00604752">
      <w:pPr>
        <w:spacing w:after="0" w:line="240" w:lineRule="auto"/>
      </w:pPr>
      <w:r>
        <w:separator/>
      </w:r>
    </w:p>
  </w:endnote>
  <w:endnote w:type="continuationSeparator" w:id="0">
    <w:p w14:paraId="2CD4473C" w14:textId="77777777" w:rsidR="00C73CB5" w:rsidRDefault="00C73CB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569899"/>
      <w:docPartObj>
        <w:docPartGallery w:val="Page Numbers (Bottom of Page)"/>
        <w:docPartUnique/>
      </w:docPartObj>
    </w:sdtPr>
    <w:sdtEndPr>
      <w:rPr>
        <w:rFonts w:ascii="Arial" w:hAnsi="Arial" w:cs="Arial"/>
        <w:sz w:val="24"/>
        <w:szCs w:val="24"/>
      </w:rPr>
    </w:sdtEndPr>
    <w:sdtContent>
      <w:p w14:paraId="71EF2787" w14:textId="62959AC3"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2B2E51" w:rsidRPr="002B2E51">
          <w:rPr>
            <w:rFonts w:ascii="Arial" w:hAnsi="Arial" w:cs="Arial"/>
            <w:noProof/>
            <w:sz w:val="24"/>
            <w:szCs w:val="24"/>
            <w:lang w:val="es-ES"/>
          </w:rPr>
          <w:t>6</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578D4" w14:textId="77777777" w:rsidR="00C73CB5" w:rsidRDefault="00C73CB5" w:rsidP="00604752">
      <w:pPr>
        <w:spacing w:after="0" w:line="240" w:lineRule="auto"/>
      </w:pPr>
      <w:r>
        <w:separator/>
      </w:r>
    </w:p>
  </w:footnote>
  <w:footnote w:type="continuationSeparator" w:id="0">
    <w:p w14:paraId="312D37CF" w14:textId="77777777" w:rsidR="00C73CB5" w:rsidRDefault="00C73CB5" w:rsidP="00604752">
      <w:pPr>
        <w:spacing w:after="0" w:line="240" w:lineRule="auto"/>
      </w:pPr>
      <w:r>
        <w:continuationSeparator/>
      </w:r>
    </w:p>
  </w:footnote>
  <w:footnote w:id="1">
    <w:p w14:paraId="143FA6E0" w14:textId="77777777" w:rsidR="008747CE" w:rsidRPr="00A94211" w:rsidRDefault="008747CE" w:rsidP="008747CE">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Pr>
          <w:rFonts w:ascii="Arial" w:hAnsi="Arial" w:cs="Arial"/>
          <w:bCs/>
          <w:snapToGrid w:val="0"/>
          <w:sz w:val="18"/>
          <w:szCs w:val="18"/>
        </w:rPr>
        <w:t>M</w:t>
      </w:r>
      <w:r w:rsidRPr="00E42EA0">
        <w:rPr>
          <w:rFonts w:ascii="Arial" w:hAnsi="Arial" w:cs="Arial"/>
          <w:bCs/>
          <w:snapToGrid w:val="0"/>
          <w:sz w:val="18"/>
          <w:szCs w:val="18"/>
        </w:rPr>
        <w:t xml:space="preserve">ateria </w:t>
      </w:r>
      <w:r>
        <w:rPr>
          <w:rFonts w:ascii="Arial" w:hAnsi="Arial" w:cs="Arial"/>
          <w:bCs/>
          <w:snapToGrid w:val="0"/>
          <w:sz w:val="18"/>
          <w:szCs w:val="18"/>
        </w:rPr>
        <w:t>P</w:t>
      </w:r>
      <w:r w:rsidRPr="00E42EA0">
        <w:rPr>
          <w:rFonts w:ascii="Arial" w:hAnsi="Arial" w:cs="Arial"/>
          <w:bCs/>
          <w:snapToGrid w:val="0"/>
          <w:sz w:val="18"/>
          <w:szCs w:val="18"/>
        </w:rPr>
        <w:t>enal</w:t>
      </w:r>
      <w:r>
        <w:rPr>
          <w:rFonts w:ascii="Arial" w:hAnsi="Arial" w:cs="Arial"/>
          <w:bCs/>
          <w:snapToGrid w:val="0"/>
          <w:sz w:val="18"/>
          <w:szCs w:val="18"/>
        </w:rPr>
        <w:t>.</w:t>
      </w:r>
    </w:p>
  </w:footnote>
  <w:footnote w:id="2">
    <w:p w14:paraId="36881D50" w14:textId="76A931A3" w:rsidR="00FE5084" w:rsidRDefault="00FE5084" w:rsidP="00FE5084">
      <w:pPr>
        <w:pStyle w:val="Textonotapie"/>
        <w:jc w:val="both"/>
      </w:pPr>
      <w:r>
        <w:rPr>
          <w:rStyle w:val="Refdenotaalpie"/>
        </w:rPr>
        <w:footnoteRef/>
      </w:r>
      <w:r>
        <w:t xml:space="preserve"> </w:t>
      </w:r>
      <w:r>
        <w:rPr>
          <w:rFonts w:ascii="Arial" w:hAnsi="Arial" w:cs="Arial"/>
          <w:bCs/>
          <w:snapToGrid w:val="0"/>
          <w:sz w:val="18"/>
          <w:szCs w:val="18"/>
        </w:rPr>
        <w:t>J</w:t>
      </w:r>
      <w:r w:rsidRPr="00FE5084">
        <w:rPr>
          <w:rFonts w:ascii="Arial" w:hAnsi="Arial" w:cs="Arial"/>
          <w:bCs/>
          <w:snapToGrid w:val="0"/>
          <w:sz w:val="18"/>
          <w:szCs w:val="18"/>
        </w:rPr>
        <w:t>urisprudencia número VI. 2. J. 7248, por el Segundo Tribunal Colegiado del Sexto Circuito, en la Gaceta del Semanario Judicial de la Federación, pág. 43, Tomo 64, abril de 1993, Octava Época, materia administrativa</w:t>
      </w:r>
      <w:r>
        <w:rPr>
          <w:rFonts w:ascii="Arial" w:hAnsi="Arial" w:cs="Arial"/>
          <w:bCs/>
          <w:snapToGrid w:val="0"/>
          <w:sz w:val="18"/>
          <w:szCs w:val="18"/>
        </w:rPr>
        <w:t>.</w:t>
      </w:r>
    </w:p>
  </w:footnote>
  <w:footnote w:id="3">
    <w:p w14:paraId="42DA8DAD" w14:textId="77777777" w:rsidR="0068343B" w:rsidRPr="00615005" w:rsidRDefault="0068343B" w:rsidP="0068343B">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Pr>
          <w:rFonts w:ascii="Arial" w:hAnsi="Arial" w:cs="Arial"/>
          <w:bCs/>
          <w:snapToGrid w:val="0"/>
          <w:sz w:val="18"/>
          <w:szCs w:val="18"/>
        </w:rPr>
        <w:t>con número</w:t>
      </w:r>
      <w:r w:rsidRPr="00DD4FB7">
        <w:rPr>
          <w:rFonts w:ascii="Arial" w:hAnsi="Arial" w:cs="Arial"/>
          <w:bCs/>
          <w:snapToGrid w:val="0"/>
          <w:sz w:val="18"/>
          <w:szCs w:val="18"/>
        </w:rPr>
        <w:t xml:space="preserve"> </w:t>
      </w:r>
      <w:r>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Pr>
          <w:rFonts w:ascii="Arial" w:hAnsi="Arial" w:cs="Arial"/>
          <w:bCs/>
          <w:snapToGrid w:val="0"/>
          <w:sz w:val="18"/>
          <w:szCs w:val="18"/>
        </w:rPr>
        <w:t xml:space="preserve">por los Tribunales Colegiados de Circuito, publicada en el </w:t>
      </w:r>
      <w:r w:rsidRPr="00615005">
        <w:rPr>
          <w:rFonts w:ascii="Arial" w:hAnsi="Arial" w:cs="Arial"/>
          <w:bCs/>
          <w:snapToGrid w:val="0"/>
          <w:sz w:val="18"/>
          <w:szCs w:val="18"/>
        </w:rPr>
        <w:t>Semanario Judicial de la Federación</w:t>
      </w:r>
      <w:r>
        <w:rPr>
          <w:rFonts w:ascii="Arial" w:hAnsi="Arial" w:cs="Arial"/>
          <w:bCs/>
          <w:snapToGrid w:val="0"/>
          <w:sz w:val="18"/>
          <w:szCs w:val="18"/>
        </w:rPr>
        <w:t xml:space="preserve">. </w:t>
      </w:r>
      <w:r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ED0A" w14:textId="426E2508" w:rsidR="000B6F7F" w:rsidRDefault="000B6F7F">
    <w:pPr>
      <w:pStyle w:val="Encabezado"/>
    </w:pPr>
    <w:r w:rsidRPr="000B6F7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3E1AB11" wp14:editId="2D2AAAB2">
              <wp:simplePos x="0" y="0"/>
              <wp:positionH relativeFrom="page">
                <wp:align>right</wp:align>
              </wp:positionH>
              <wp:positionV relativeFrom="paragraph">
                <wp:posOffset>4979035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EE2614C" w14:textId="77777777" w:rsidR="000B6F7F" w:rsidRDefault="000B6F7F" w:rsidP="000B6F7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E1AB11" id="_x0000_t202" coordsize="21600,21600" o:spt="202" path="m,l,21600r21600,l21600,xe">
              <v:stroke joinstyle="miter"/>
              <v:path gradientshapeok="t" o:connecttype="rect"/>
            </v:shapetype>
            <v:shape id="Cuadro de texto 1" o:spid="_x0000_s1026" type="#_x0000_t202" style="position:absolute;margin-left:41.8pt;margin-top:392.0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">
              <v:textbox>
                <w:txbxContent>
                  <w:p w14:paraId="7EE2614C" w14:textId="77777777" w:rsidR="000B6F7F" w:rsidRDefault="000B6F7F" w:rsidP="000B6F7F">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DC8A694" w:rsidR="0076338B" w:rsidRDefault="000B6F7F">
    <w:pPr>
      <w:pStyle w:val="Encabezado"/>
    </w:pPr>
    <w:r w:rsidRPr="000B6F7F">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748FCCD1" wp14:editId="34A57D7E">
              <wp:simplePos x="0" y="0"/>
              <wp:positionH relativeFrom="leftMargin">
                <wp:align>right</wp:align>
              </wp:positionH>
              <wp:positionV relativeFrom="paragraph">
                <wp:posOffset>5169535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59D9A41" w14:textId="77777777" w:rsidR="000B6F7F" w:rsidRDefault="000B6F7F" w:rsidP="000B6F7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8FCCD1" id="_x0000_t202" coordsize="21600,21600" o:spt="202" path="m,l,21600r21600,l21600,xe">
              <v:stroke joinstyle="miter"/>
              <v:path gradientshapeok="t" o:connecttype="rect"/>
            </v:shapetype>
            <v:shape id="_x0000_s1027" type="#_x0000_t202" style="position:absolute;margin-left:41.8pt;margin-top:407.0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">
              <v:textbox>
                <w:txbxContent>
                  <w:p w14:paraId="059D9A41" w14:textId="77777777" w:rsidR="000B6F7F" w:rsidRDefault="000B6F7F" w:rsidP="000B6F7F">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45842948">
    <w:abstractNumId w:val="2"/>
  </w:num>
  <w:num w:numId="2" w16cid:durableId="1807434478">
    <w:abstractNumId w:val="3"/>
  </w:num>
  <w:num w:numId="3" w16cid:durableId="2130934193">
    <w:abstractNumId w:val="6"/>
  </w:num>
  <w:num w:numId="4" w16cid:durableId="26226586">
    <w:abstractNumId w:val="0"/>
  </w:num>
  <w:num w:numId="5" w16cid:durableId="1997881553">
    <w:abstractNumId w:val="4"/>
  </w:num>
  <w:num w:numId="6" w16cid:durableId="1771580591">
    <w:abstractNumId w:val="1"/>
  </w:num>
  <w:num w:numId="7" w16cid:durableId="1182742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1D4"/>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11DE"/>
    <w:rsid w:val="00043748"/>
    <w:rsid w:val="00045E11"/>
    <w:rsid w:val="000463EA"/>
    <w:rsid w:val="00051177"/>
    <w:rsid w:val="0005195A"/>
    <w:rsid w:val="0005415A"/>
    <w:rsid w:val="00055C88"/>
    <w:rsid w:val="0006043F"/>
    <w:rsid w:val="000662B7"/>
    <w:rsid w:val="0008127C"/>
    <w:rsid w:val="000859C0"/>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B526C"/>
    <w:rsid w:val="000B6F7F"/>
    <w:rsid w:val="000C0A5E"/>
    <w:rsid w:val="000C1184"/>
    <w:rsid w:val="000C35D8"/>
    <w:rsid w:val="000C5EA0"/>
    <w:rsid w:val="000C6172"/>
    <w:rsid w:val="000C67C3"/>
    <w:rsid w:val="000C6FAD"/>
    <w:rsid w:val="000D23FD"/>
    <w:rsid w:val="000E1601"/>
    <w:rsid w:val="000E2FD3"/>
    <w:rsid w:val="000E67BA"/>
    <w:rsid w:val="000E728E"/>
    <w:rsid w:val="000F17F2"/>
    <w:rsid w:val="001009AB"/>
    <w:rsid w:val="00101208"/>
    <w:rsid w:val="00102315"/>
    <w:rsid w:val="00103B07"/>
    <w:rsid w:val="00115274"/>
    <w:rsid w:val="001165BA"/>
    <w:rsid w:val="00125DC6"/>
    <w:rsid w:val="00126D56"/>
    <w:rsid w:val="001275B8"/>
    <w:rsid w:val="00131EDE"/>
    <w:rsid w:val="00132658"/>
    <w:rsid w:val="001350AA"/>
    <w:rsid w:val="001352D8"/>
    <w:rsid w:val="0013532F"/>
    <w:rsid w:val="00135E80"/>
    <w:rsid w:val="00137D7D"/>
    <w:rsid w:val="00140805"/>
    <w:rsid w:val="0014099C"/>
    <w:rsid w:val="00151127"/>
    <w:rsid w:val="001514E4"/>
    <w:rsid w:val="00153004"/>
    <w:rsid w:val="00155F12"/>
    <w:rsid w:val="0016023B"/>
    <w:rsid w:val="0016110E"/>
    <w:rsid w:val="00161E06"/>
    <w:rsid w:val="001628B3"/>
    <w:rsid w:val="00163799"/>
    <w:rsid w:val="001658D6"/>
    <w:rsid w:val="0016783D"/>
    <w:rsid w:val="00181533"/>
    <w:rsid w:val="00182281"/>
    <w:rsid w:val="00182786"/>
    <w:rsid w:val="00183B49"/>
    <w:rsid w:val="00184940"/>
    <w:rsid w:val="001853C3"/>
    <w:rsid w:val="001904C1"/>
    <w:rsid w:val="00196279"/>
    <w:rsid w:val="00197C42"/>
    <w:rsid w:val="001A1FE9"/>
    <w:rsid w:val="001A2788"/>
    <w:rsid w:val="001B0663"/>
    <w:rsid w:val="001B5DC7"/>
    <w:rsid w:val="001B6CB4"/>
    <w:rsid w:val="001B77BA"/>
    <w:rsid w:val="001C0F76"/>
    <w:rsid w:val="001C3689"/>
    <w:rsid w:val="001C505A"/>
    <w:rsid w:val="001C6514"/>
    <w:rsid w:val="001D267C"/>
    <w:rsid w:val="001E1A1B"/>
    <w:rsid w:val="001E49C1"/>
    <w:rsid w:val="001E4A0B"/>
    <w:rsid w:val="001F2FF9"/>
    <w:rsid w:val="001F61FF"/>
    <w:rsid w:val="00203B91"/>
    <w:rsid w:val="0020510B"/>
    <w:rsid w:val="0020764C"/>
    <w:rsid w:val="002175BF"/>
    <w:rsid w:val="002257D3"/>
    <w:rsid w:val="00226128"/>
    <w:rsid w:val="00230E4C"/>
    <w:rsid w:val="0023129C"/>
    <w:rsid w:val="002318D5"/>
    <w:rsid w:val="00233486"/>
    <w:rsid w:val="002419CF"/>
    <w:rsid w:val="00245075"/>
    <w:rsid w:val="002511E5"/>
    <w:rsid w:val="00251457"/>
    <w:rsid w:val="00251577"/>
    <w:rsid w:val="002524BD"/>
    <w:rsid w:val="00252E0F"/>
    <w:rsid w:val="00256C86"/>
    <w:rsid w:val="00265704"/>
    <w:rsid w:val="00267C69"/>
    <w:rsid w:val="0027164D"/>
    <w:rsid w:val="002747AF"/>
    <w:rsid w:val="0027572E"/>
    <w:rsid w:val="0027767F"/>
    <w:rsid w:val="00277C26"/>
    <w:rsid w:val="00282CF4"/>
    <w:rsid w:val="0028475A"/>
    <w:rsid w:val="002914F2"/>
    <w:rsid w:val="00292144"/>
    <w:rsid w:val="00292840"/>
    <w:rsid w:val="00295133"/>
    <w:rsid w:val="00296840"/>
    <w:rsid w:val="00296A0F"/>
    <w:rsid w:val="002A48FB"/>
    <w:rsid w:val="002A6281"/>
    <w:rsid w:val="002A7FE6"/>
    <w:rsid w:val="002B245A"/>
    <w:rsid w:val="002B2700"/>
    <w:rsid w:val="002B2C0E"/>
    <w:rsid w:val="002B2E51"/>
    <w:rsid w:val="002B4170"/>
    <w:rsid w:val="002B52BC"/>
    <w:rsid w:val="002C0FD7"/>
    <w:rsid w:val="002C501F"/>
    <w:rsid w:val="002D0236"/>
    <w:rsid w:val="002D696F"/>
    <w:rsid w:val="002D794E"/>
    <w:rsid w:val="002E0F64"/>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1C72"/>
    <w:rsid w:val="00346EA0"/>
    <w:rsid w:val="00350413"/>
    <w:rsid w:val="00351EF2"/>
    <w:rsid w:val="00352A96"/>
    <w:rsid w:val="0035344A"/>
    <w:rsid w:val="0035374B"/>
    <w:rsid w:val="00354B88"/>
    <w:rsid w:val="003569E3"/>
    <w:rsid w:val="00361C93"/>
    <w:rsid w:val="00363EFF"/>
    <w:rsid w:val="00365B4E"/>
    <w:rsid w:val="00370E42"/>
    <w:rsid w:val="00371394"/>
    <w:rsid w:val="00371465"/>
    <w:rsid w:val="00375C9A"/>
    <w:rsid w:val="003775A1"/>
    <w:rsid w:val="00377B5E"/>
    <w:rsid w:val="00387930"/>
    <w:rsid w:val="00387B42"/>
    <w:rsid w:val="003905EF"/>
    <w:rsid w:val="00397D65"/>
    <w:rsid w:val="003A4498"/>
    <w:rsid w:val="003C1032"/>
    <w:rsid w:val="003C27E4"/>
    <w:rsid w:val="003C37D1"/>
    <w:rsid w:val="003C3CAD"/>
    <w:rsid w:val="003C5CB1"/>
    <w:rsid w:val="003C7C99"/>
    <w:rsid w:val="003D6C41"/>
    <w:rsid w:val="003E0CBC"/>
    <w:rsid w:val="003E3CFA"/>
    <w:rsid w:val="003E4DFC"/>
    <w:rsid w:val="003E65D9"/>
    <w:rsid w:val="003E727C"/>
    <w:rsid w:val="003F2474"/>
    <w:rsid w:val="003F2E0D"/>
    <w:rsid w:val="003F3E1B"/>
    <w:rsid w:val="004018A4"/>
    <w:rsid w:val="0040395C"/>
    <w:rsid w:val="004107AC"/>
    <w:rsid w:val="00410B01"/>
    <w:rsid w:val="00414AF5"/>
    <w:rsid w:val="00415804"/>
    <w:rsid w:val="00416AB2"/>
    <w:rsid w:val="00421E9B"/>
    <w:rsid w:val="004223B7"/>
    <w:rsid w:val="00423C8C"/>
    <w:rsid w:val="00423FEC"/>
    <w:rsid w:val="00425036"/>
    <w:rsid w:val="00426D28"/>
    <w:rsid w:val="00427278"/>
    <w:rsid w:val="00430B1C"/>
    <w:rsid w:val="0043159F"/>
    <w:rsid w:val="00432832"/>
    <w:rsid w:val="0043687D"/>
    <w:rsid w:val="00440813"/>
    <w:rsid w:val="00443701"/>
    <w:rsid w:val="004471F8"/>
    <w:rsid w:val="00451D96"/>
    <w:rsid w:val="004530CE"/>
    <w:rsid w:val="00460CAD"/>
    <w:rsid w:val="00464066"/>
    <w:rsid w:val="004660BC"/>
    <w:rsid w:val="00471718"/>
    <w:rsid w:val="00471CEB"/>
    <w:rsid w:val="00472084"/>
    <w:rsid w:val="004723BF"/>
    <w:rsid w:val="00472725"/>
    <w:rsid w:val="0047745E"/>
    <w:rsid w:val="00481380"/>
    <w:rsid w:val="0048308A"/>
    <w:rsid w:val="00485E2A"/>
    <w:rsid w:val="004901A3"/>
    <w:rsid w:val="00492932"/>
    <w:rsid w:val="004A0097"/>
    <w:rsid w:val="004A0EDA"/>
    <w:rsid w:val="004A23FF"/>
    <w:rsid w:val="004A3D3D"/>
    <w:rsid w:val="004B030F"/>
    <w:rsid w:val="004B0D7E"/>
    <w:rsid w:val="004B22DE"/>
    <w:rsid w:val="004C0019"/>
    <w:rsid w:val="004C1757"/>
    <w:rsid w:val="004C4DF5"/>
    <w:rsid w:val="004C582E"/>
    <w:rsid w:val="004D40B5"/>
    <w:rsid w:val="004E1288"/>
    <w:rsid w:val="004E1EA0"/>
    <w:rsid w:val="004E6EA5"/>
    <w:rsid w:val="004F0F1F"/>
    <w:rsid w:val="004F202C"/>
    <w:rsid w:val="004F20FB"/>
    <w:rsid w:val="004F4416"/>
    <w:rsid w:val="004F5EA4"/>
    <w:rsid w:val="00504B18"/>
    <w:rsid w:val="00504C8D"/>
    <w:rsid w:val="00504CD6"/>
    <w:rsid w:val="00506E7D"/>
    <w:rsid w:val="005117EA"/>
    <w:rsid w:val="00511877"/>
    <w:rsid w:val="00517CB6"/>
    <w:rsid w:val="005202AA"/>
    <w:rsid w:val="00521411"/>
    <w:rsid w:val="00522225"/>
    <w:rsid w:val="00524C59"/>
    <w:rsid w:val="0052592B"/>
    <w:rsid w:val="005277D3"/>
    <w:rsid w:val="00533365"/>
    <w:rsid w:val="0053425C"/>
    <w:rsid w:val="005359BA"/>
    <w:rsid w:val="005428ED"/>
    <w:rsid w:val="00551613"/>
    <w:rsid w:val="00554D73"/>
    <w:rsid w:val="00555D1C"/>
    <w:rsid w:val="0055660F"/>
    <w:rsid w:val="005575A3"/>
    <w:rsid w:val="005579FF"/>
    <w:rsid w:val="00564CE2"/>
    <w:rsid w:val="00566787"/>
    <w:rsid w:val="005676B5"/>
    <w:rsid w:val="00571779"/>
    <w:rsid w:val="00571FEB"/>
    <w:rsid w:val="00573D74"/>
    <w:rsid w:val="005756D5"/>
    <w:rsid w:val="005767FA"/>
    <w:rsid w:val="005814B7"/>
    <w:rsid w:val="00581667"/>
    <w:rsid w:val="00583B55"/>
    <w:rsid w:val="00583E3A"/>
    <w:rsid w:val="00591D82"/>
    <w:rsid w:val="00592DD6"/>
    <w:rsid w:val="00597020"/>
    <w:rsid w:val="005A1686"/>
    <w:rsid w:val="005A4A79"/>
    <w:rsid w:val="005B18A3"/>
    <w:rsid w:val="005B2116"/>
    <w:rsid w:val="005B436C"/>
    <w:rsid w:val="005B5E0B"/>
    <w:rsid w:val="005B650F"/>
    <w:rsid w:val="005C329C"/>
    <w:rsid w:val="005C3D34"/>
    <w:rsid w:val="005D147C"/>
    <w:rsid w:val="005D28D8"/>
    <w:rsid w:val="005D3B58"/>
    <w:rsid w:val="005E6AB5"/>
    <w:rsid w:val="005F5334"/>
    <w:rsid w:val="005F6C33"/>
    <w:rsid w:val="00600AF3"/>
    <w:rsid w:val="00604752"/>
    <w:rsid w:val="00605164"/>
    <w:rsid w:val="006062AF"/>
    <w:rsid w:val="0060717B"/>
    <w:rsid w:val="00620928"/>
    <w:rsid w:val="00620938"/>
    <w:rsid w:val="00625ECE"/>
    <w:rsid w:val="00633E37"/>
    <w:rsid w:val="006376A3"/>
    <w:rsid w:val="00641215"/>
    <w:rsid w:val="00641CD0"/>
    <w:rsid w:val="00642D22"/>
    <w:rsid w:val="00642DF7"/>
    <w:rsid w:val="00646713"/>
    <w:rsid w:val="00652C94"/>
    <w:rsid w:val="00653CF6"/>
    <w:rsid w:val="00655705"/>
    <w:rsid w:val="00655CF0"/>
    <w:rsid w:val="0066005E"/>
    <w:rsid w:val="00665258"/>
    <w:rsid w:val="00670A60"/>
    <w:rsid w:val="00676CD6"/>
    <w:rsid w:val="00683324"/>
    <w:rsid w:val="0068343B"/>
    <w:rsid w:val="006834CB"/>
    <w:rsid w:val="0068466F"/>
    <w:rsid w:val="0069002D"/>
    <w:rsid w:val="006908BC"/>
    <w:rsid w:val="00694C8B"/>
    <w:rsid w:val="00694F98"/>
    <w:rsid w:val="00696743"/>
    <w:rsid w:val="006969F9"/>
    <w:rsid w:val="006A46E5"/>
    <w:rsid w:val="006A54B9"/>
    <w:rsid w:val="006B091C"/>
    <w:rsid w:val="006B2272"/>
    <w:rsid w:val="006B2F3F"/>
    <w:rsid w:val="006B6EE7"/>
    <w:rsid w:val="006B7E96"/>
    <w:rsid w:val="006C0B9D"/>
    <w:rsid w:val="006C387D"/>
    <w:rsid w:val="006C66B7"/>
    <w:rsid w:val="006D29F5"/>
    <w:rsid w:val="006D41D5"/>
    <w:rsid w:val="006D4B83"/>
    <w:rsid w:val="006D5469"/>
    <w:rsid w:val="006E2286"/>
    <w:rsid w:val="006E71B3"/>
    <w:rsid w:val="006F0524"/>
    <w:rsid w:val="006F3FD9"/>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78F0"/>
    <w:rsid w:val="00747A8F"/>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60F5"/>
    <w:rsid w:val="007A14F2"/>
    <w:rsid w:val="007B2C4C"/>
    <w:rsid w:val="007B5995"/>
    <w:rsid w:val="007C4592"/>
    <w:rsid w:val="007C4EBB"/>
    <w:rsid w:val="007C5D60"/>
    <w:rsid w:val="007C618F"/>
    <w:rsid w:val="007C7071"/>
    <w:rsid w:val="007D0F26"/>
    <w:rsid w:val="007D1DBD"/>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353"/>
    <w:rsid w:val="00817A5C"/>
    <w:rsid w:val="00820DC4"/>
    <w:rsid w:val="0082290F"/>
    <w:rsid w:val="00830200"/>
    <w:rsid w:val="0083186B"/>
    <w:rsid w:val="00832B4F"/>
    <w:rsid w:val="00835131"/>
    <w:rsid w:val="00853484"/>
    <w:rsid w:val="00855326"/>
    <w:rsid w:val="00856627"/>
    <w:rsid w:val="00856D6D"/>
    <w:rsid w:val="00865026"/>
    <w:rsid w:val="008747CE"/>
    <w:rsid w:val="008826B3"/>
    <w:rsid w:val="0088558F"/>
    <w:rsid w:val="00885E7B"/>
    <w:rsid w:val="00886F1B"/>
    <w:rsid w:val="00891558"/>
    <w:rsid w:val="00893F7D"/>
    <w:rsid w:val="008A2064"/>
    <w:rsid w:val="008A2FD4"/>
    <w:rsid w:val="008A3A19"/>
    <w:rsid w:val="008A3B00"/>
    <w:rsid w:val="008A4435"/>
    <w:rsid w:val="008A7EC0"/>
    <w:rsid w:val="008B0405"/>
    <w:rsid w:val="008B0DBF"/>
    <w:rsid w:val="008B7C4F"/>
    <w:rsid w:val="008C0D59"/>
    <w:rsid w:val="008C1AC1"/>
    <w:rsid w:val="008C25FD"/>
    <w:rsid w:val="008C2D6A"/>
    <w:rsid w:val="008C69A6"/>
    <w:rsid w:val="008C6A3C"/>
    <w:rsid w:val="008C764E"/>
    <w:rsid w:val="008D1A6D"/>
    <w:rsid w:val="008D1F5B"/>
    <w:rsid w:val="008D263B"/>
    <w:rsid w:val="008D71C0"/>
    <w:rsid w:val="008D748B"/>
    <w:rsid w:val="008E453F"/>
    <w:rsid w:val="008E6233"/>
    <w:rsid w:val="008F0098"/>
    <w:rsid w:val="008F0BE4"/>
    <w:rsid w:val="008F7468"/>
    <w:rsid w:val="00903B51"/>
    <w:rsid w:val="009077DC"/>
    <w:rsid w:val="00910A50"/>
    <w:rsid w:val="00910E7B"/>
    <w:rsid w:val="0091257C"/>
    <w:rsid w:val="00912E3C"/>
    <w:rsid w:val="00920C87"/>
    <w:rsid w:val="009210BB"/>
    <w:rsid w:val="0093055C"/>
    <w:rsid w:val="00930DDD"/>
    <w:rsid w:val="00930EDE"/>
    <w:rsid w:val="00942F68"/>
    <w:rsid w:val="00943CBE"/>
    <w:rsid w:val="00943E55"/>
    <w:rsid w:val="009441FE"/>
    <w:rsid w:val="00944977"/>
    <w:rsid w:val="0094594C"/>
    <w:rsid w:val="00945DEA"/>
    <w:rsid w:val="009518EB"/>
    <w:rsid w:val="00953FA6"/>
    <w:rsid w:val="009544F4"/>
    <w:rsid w:val="00960A43"/>
    <w:rsid w:val="0096662B"/>
    <w:rsid w:val="00966F53"/>
    <w:rsid w:val="009726F5"/>
    <w:rsid w:val="00972EE0"/>
    <w:rsid w:val="009737BA"/>
    <w:rsid w:val="00975C4C"/>
    <w:rsid w:val="00982481"/>
    <w:rsid w:val="00985C06"/>
    <w:rsid w:val="0099116A"/>
    <w:rsid w:val="00993332"/>
    <w:rsid w:val="0099552D"/>
    <w:rsid w:val="009A0FA5"/>
    <w:rsid w:val="009A3A46"/>
    <w:rsid w:val="009A4EB1"/>
    <w:rsid w:val="009A5361"/>
    <w:rsid w:val="009A5429"/>
    <w:rsid w:val="009A7918"/>
    <w:rsid w:val="009B70EA"/>
    <w:rsid w:val="009B727A"/>
    <w:rsid w:val="009C0C09"/>
    <w:rsid w:val="009C3AB3"/>
    <w:rsid w:val="009C68FE"/>
    <w:rsid w:val="009D3AE7"/>
    <w:rsid w:val="009D7C28"/>
    <w:rsid w:val="009E0F1C"/>
    <w:rsid w:val="009E3CB3"/>
    <w:rsid w:val="009E5B18"/>
    <w:rsid w:val="009E6F49"/>
    <w:rsid w:val="009E75B5"/>
    <w:rsid w:val="009F1162"/>
    <w:rsid w:val="009F3E45"/>
    <w:rsid w:val="00A02773"/>
    <w:rsid w:val="00A0361F"/>
    <w:rsid w:val="00A04569"/>
    <w:rsid w:val="00A04B22"/>
    <w:rsid w:val="00A061F4"/>
    <w:rsid w:val="00A067E5"/>
    <w:rsid w:val="00A127E8"/>
    <w:rsid w:val="00A12CD4"/>
    <w:rsid w:val="00A155F9"/>
    <w:rsid w:val="00A15EF1"/>
    <w:rsid w:val="00A17D80"/>
    <w:rsid w:val="00A20BF9"/>
    <w:rsid w:val="00A25FB6"/>
    <w:rsid w:val="00A40006"/>
    <w:rsid w:val="00A4179A"/>
    <w:rsid w:val="00A43413"/>
    <w:rsid w:val="00A43D96"/>
    <w:rsid w:val="00A53C3A"/>
    <w:rsid w:val="00A56DBD"/>
    <w:rsid w:val="00A646F1"/>
    <w:rsid w:val="00A66CB3"/>
    <w:rsid w:val="00A75BA6"/>
    <w:rsid w:val="00A76F90"/>
    <w:rsid w:val="00A775C0"/>
    <w:rsid w:val="00A77769"/>
    <w:rsid w:val="00A853A8"/>
    <w:rsid w:val="00A86463"/>
    <w:rsid w:val="00A86917"/>
    <w:rsid w:val="00A870BF"/>
    <w:rsid w:val="00A87F32"/>
    <w:rsid w:val="00A90E8A"/>
    <w:rsid w:val="00A9124C"/>
    <w:rsid w:val="00A92EC1"/>
    <w:rsid w:val="00A94B98"/>
    <w:rsid w:val="00A9514B"/>
    <w:rsid w:val="00A95593"/>
    <w:rsid w:val="00A95C95"/>
    <w:rsid w:val="00AA5876"/>
    <w:rsid w:val="00AA68B4"/>
    <w:rsid w:val="00AB34AE"/>
    <w:rsid w:val="00AB41BD"/>
    <w:rsid w:val="00AB5A0D"/>
    <w:rsid w:val="00AC1B63"/>
    <w:rsid w:val="00AC7A12"/>
    <w:rsid w:val="00AC7C36"/>
    <w:rsid w:val="00AD2811"/>
    <w:rsid w:val="00AD2DBD"/>
    <w:rsid w:val="00AD3ACB"/>
    <w:rsid w:val="00AD4F5A"/>
    <w:rsid w:val="00AE01F1"/>
    <w:rsid w:val="00AE51B3"/>
    <w:rsid w:val="00AE7C5D"/>
    <w:rsid w:val="00AF1772"/>
    <w:rsid w:val="00AF4B3A"/>
    <w:rsid w:val="00AF65F8"/>
    <w:rsid w:val="00AF69FC"/>
    <w:rsid w:val="00B0252E"/>
    <w:rsid w:val="00B027D1"/>
    <w:rsid w:val="00B058FC"/>
    <w:rsid w:val="00B06005"/>
    <w:rsid w:val="00B0611D"/>
    <w:rsid w:val="00B10C7A"/>
    <w:rsid w:val="00B12B90"/>
    <w:rsid w:val="00B147E0"/>
    <w:rsid w:val="00B15B86"/>
    <w:rsid w:val="00B17526"/>
    <w:rsid w:val="00B20292"/>
    <w:rsid w:val="00B31321"/>
    <w:rsid w:val="00B36CE6"/>
    <w:rsid w:val="00B40EA8"/>
    <w:rsid w:val="00B416AA"/>
    <w:rsid w:val="00B41B7D"/>
    <w:rsid w:val="00B443A5"/>
    <w:rsid w:val="00B44973"/>
    <w:rsid w:val="00B51628"/>
    <w:rsid w:val="00B526B6"/>
    <w:rsid w:val="00B52E8F"/>
    <w:rsid w:val="00B537D4"/>
    <w:rsid w:val="00B56925"/>
    <w:rsid w:val="00B605A5"/>
    <w:rsid w:val="00B60642"/>
    <w:rsid w:val="00B6175C"/>
    <w:rsid w:val="00B65AEB"/>
    <w:rsid w:val="00B67A5D"/>
    <w:rsid w:val="00B7672E"/>
    <w:rsid w:val="00B77C54"/>
    <w:rsid w:val="00B8023E"/>
    <w:rsid w:val="00B807E5"/>
    <w:rsid w:val="00B82C06"/>
    <w:rsid w:val="00B84660"/>
    <w:rsid w:val="00B8697C"/>
    <w:rsid w:val="00B91F16"/>
    <w:rsid w:val="00B96496"/>
    <w:rsid w:val="00B96541"/>
    <w:rsid w:val="00B97E75"/>
    <w:rsid w:val="00BA097E"/>
    <w:rsid w:val="00BA763A"/>
    <w:rsid w:val="00BB05B1"/>
    <w:rsid w:val="00BB26F7"/>
    <w:rsid w:val="00BB485D"/>
    <w:rsid w:val="00BC05B7"/>
    <w:rsid w:val="00BD0277"/>
    <w:rsid w:val="00BD5D6A"/>
    <w:rsid w:val="00BD7643"/>
    <w:rsid w:val="00BE5B63"/>
    <w:rsid w:val="00BE617D"/>
    <w:rsid w:val="00BE6CDD"/>
    <w:rsid w:val="00BF034F"/>
    <w:rsid w:val="00BF1D3E"/>
    <w:rsid w:val="00BF44E0"/>
    <w:rsid w:val="00C07985"/>
    <w:rsid w:val="00C07DAF"/>
    <w:rsid w:val="00C07F53"/>
    <w:rsid w:val="00C11C6E"/>
    <w:rsid w:val="00C21B1E"/>
    <w:rsid w:val="00C22BD2"/>
    <w:rsid w:val="00C26A2D"/>
    <w:rsid w:val="00C3147A"/>
    <w:rsid w:val="00C33E0E"/>
    <w:rsid w:val="00C34DC7"/>
    <w:rsid w:val="00C35AD9"/>
    <w:rsid w:val="00C3660B"/>
    <w:rsid w:val="00C36E94"/>
    <w:rsid w:val="00C372A6"/>
    <w:rsid w:val="00C40F67"/>
    <w:rsid w:val="00C41578"/>
    <w:rsid w:val="00C44636"/>
    <w:rsid w:val="00C53AEE"/>
    <w:rsid w:val="00C572E0"/>
    <w:rsid w:val="00C57303"/>
    <w:rsid w:val="00C57648"/>
    <w:rsid w:val="00C61D30"/>
    <w:rsid w:val="00C659D1"/>
    <w:rsid w:val="00C6739D"/>
    <w:rsid w:val="00C7360C"/>
    <w:rsid w:val="00C73CB5"/>
    <w:rsid w:val="00C83BBD"/>
    <w:rsid w:val="00C8425A"/>
    <w:rsid w:val="00C86257"/>
    <w:rsid w:val="00C908F5"/>
    <w:rsid w:val="00C934CE"/>
    <w:rsid w:val="00CA0FC8"/>
    <w:rsid w:val="00CA18A3"/>
    <w:rsid w:val="00CB43BB"/>
    <w:rsid w:val="00CB512D"/>
    <w:rsid w:val="00CB5F39"/>
    <w:rsid w:val="00CC01DB"/>
    <w:rsid w:val="00CC10B7"/>
    <w:rsid w:val="00CC3A04"/>
    <w:rsid w:val="00CD437E"/>
    <w:rsid w:val="00CD643E"/>
    <w:rsid w:val="00CD6AA0"/>
    <w:rsid w:val="00CE19F5"/>
    <w:rsid w:val="00CE43E4"/>
    <w:rsid w:val="00CE50C7"/>
    <w:rsid w:val="00CE527D"/>
    <w:rsid w:val="00CF1297"/>
    <w:rsid w:val="00CF31A1"/>
    <w:rsid w:val="00CF61E3"/>
    <w:rsid w:val="00D00836"/>
    <w:rsid w:val="00D01000"/>
    <w:rsid w:val="00D03C91"/>
    <w:rsid w:val="00D06B45"/>
    <w:rsid w:val="00D07184"/>
    <w:rsid w:val="00D23BC6"/>
    <w:rsid w:val="00D33188"/>
    <w:rsid w:val="00D352E5"/>
    <w:rsid w:val="00D3679B"/>
    <w:rsid w:val="00D36828"/>
    <w:rsid w:val="00D419D5"/>
    <w:rsid w:val="00D46647"/>
    <w:rsid w:val="00D46F05"/>
    <w:rsid w:val="00D52F55"/>
    <w:rsid w:val="00D604D6"/>
    <w:rsid w:val="00D63CB2"/>
    <w:rsid w:val="00D75A2B"/>
    <w:rsid w:val="00D77FAF"/>
    <w:rsid w:val="00D80AB3"/>
    <w:rsid w:val="00D81DB4"/>
    <w:rsid w:val="00D8222A"/>
    <w:rsid w:val="00D82372"/>
    <w:rsid w:val="00D829B2"/>
    <w:rsid w:val="00D83D36"/>
    <w:rsid w:val="00D870CD"/>
    <w:rsid w:val="00D912EF"/>
    <w:rsid w:val="00D9197A"/>
    <w:rsid w:val="00D93CA4"/>
    <w:rsid w:val="00D96FCD"/>
    <w:rsid w:val="00DA2EF6"/>
    <w:rsid w:val="00DA6A9E"/>
    <w:rsid w:val="00DA7969"/>
    <w:rsid w:val="00DB0414"/>
    <w:rsid w:val="00DB2E20"/>
    <w:rsid w:val="00DB3BD6"/>
    <w:rsid w:val="00DB4A91"/>
    <w:rsid w:val="00DC2B07"/>
    <w:rsid w:val="00DC47AE"/>
    <w:rsid w:val="00DC7145"/>
    <w:rsid w:val="00DD6510"/>
    <w:rsid w:val="00DD658D"/>
    <w:rsid w:val="00DD6947"/>
    <w:rsid w:val="00DE37D8"/>
    <w:rsid w:val="00DE59D1"/>
    <w:rsid w:val="00DF0467"/>
    <w:rsid w:val="00DF1F3C"/>
    <w:rsid w:val="00DF473B"/>
    <w:rsid w:val="00DF5B6D"/>
    <w:rsid w:val="00DF63A3"/>
    <w:rsid w:val="00E06C2E"/>
    <w:rsid w:val="00E079E6"/>
    <w:rsid w:val="00E12823"/>
    <w:rsid w:val="00E165F0"/>
    <w:rsid w:val="00E16657"/>
    <w:rsid w:val="00E20206"/>
    <w:rsid w:val="00E2236E"/>
    <w:rsid w:val="00E24A0B"/>
    <w:rsid w:val="00E25135"/>
    <w:rsid w:val="00E257F1"/>
    <w:rsid w:val="00E309E5"/>
    <w:rsid w:val="00E30A39"/>
    <w:rsid w:val="00E32BB5"/>
    <w:rsid w:val="00E331C9"/>
    <w:rsid w:val="00E4118C"/>
    <w:rsid w:val="00E4191B"/>
    <w:rsid w:val="00E423E9"/>
    <w:rsid w:val="00E4400C"/>
    <w:rsid w:val="00E449C5"/>
    <w:rsid w:val="00E4538B"/>
    <w:rsid w:val="00E47755"/>
    <w:rsid w:val="00E6000E"/>
    <w:rsid w:val="00E6446A"/>
    <w:rsid w:val="00E65E18"/>
    <w:rsid w:val="00E70102"/>
    <w:rsid w:val="00E70E1C"/>
    <w:rsid w:val="00E7377C"/>
    <w:rsid w:val="00E74114"/>
    <w:rsid w:val="00E75B34"/>
    <w:rsid w:val="00E75B62"/>
    <w:rsid w:val="00E81231"/>
    <w:rsid w:val="00E81450"/>
    <w:rsid w:val="00E823FD"/>
    <w:rsid w:val="00E8457D"/>
    <w:rsid w:val="00E9031A"/>
    <w:rsid w:val="00E92CB2"/>
    <w:rsid w:val="00E93845"/>
    <w:rsid w:val="00E93CFD"/>
    <w:rsid w:val="00E94133"/>
    <w:rsid w:val="00EA5215"/>
    <w:rsid w:val="00EA6EDA"/>
    <w:rsid w:val="00EB0CEB"/>
    <w:rsid w:val="00EB54FE"/>
    <w:rsid w:val="00EB758B"/>
    <w:rsid w:val="00EB75F1"/>
    <w:rsid w:val="00EB7D70"/>
    <w:rsid w:val="00EC1F3D"/>
    <w:rsid w:val="00EC3012"/>
    <w:rsid w:val="00EC4690"/>
    <w:rsid w:val="00EC7F11"/>
    <w:rsid w:val="00EE4AFE"/>
    <w:rsid w:val="00EF6616"/>
    <w:rsid w:val="00EF689F"/>
    <w:rsid w:val="00F11637"/>
    <w:rsid w:val="00F12439"/>
    <w:rsid w:val="00F21E96"/>
    <w:rsid w:val="00F23495"/>
    <w:rsid w:val="00F27766"/>
    <w:rsid w:val="00F320FA"/>
    <w:rsid w:val="00F3684C"/>
    <w:rsid w:val="00F40571"/>
    <w:rsid w:val="00F412C3"/>
    <w:rsid w:val="00F41707"/>
    <w:rsid w:val="00F4400B"/>
    <w:rsid w:val="00F444B9"/>
    <w:rsid w:val="00F446A8"/>
    <w:rsid w:val="00F44DDE"/>
    <w:rsid w:val="00F45547"/>
    <w:rsid w:val="00F51D85"/>
    <w:rsid w:val="00F53C55"/>
    <w:rsid w:val="00F55045"/>
    <w:rsid w:val="00F571F9"/>
    <w:rsid w:val="00F6100D"/>
    <w:rsid w:val="00F65A57"/>
    <w:rsid w:val="00F75388"/>
    <w:rsid w:val="00F76551"/>
    <w:rsid w:val="00F77E91"/>
    <w:rsid w:val="00F80253"/>
    <w:rsid w:val="00F83A9A"/>
    <w:rsid w:val="00F83E43"/>
    <w:rsid w:val="00F86678"/>
    <w:rsid w:val="00F92915"/>
    <w:rsid w:val="00F96C2D"/>
    <w:rsid w:val="00F97BD9"/>
    <w:rsid w:val="00FA3926"/>
    <w:rsid w:val="00FA3E8A"/>
    <w:rsid w:val="00FA3F49"/>
    <w:rsid w:val="00FA46E9"/>
    <w:rsid w:val="00FB1D3A"/>
    <w:rsid w:val="00FB2C46"/>
    <w:rsid w:val="00FB3950"/>
    <w:rsid w:val="00FB4F2A"/>
    <w:rsid w:val="00FB6589"/>
    <w:rsid w:val="00FB6BE3"/>
    <w:rsid w:val="00FC14CA"/>
    <w:rsid w:val="00FC2772"/>
    <w:rsid w:val="00FC3B2A"/>
    <w:rsid w:val="00FD0735"/>
    <w:rsid w:val="00FD296B"/>
    <w:rsid w:val="00FD51E9"/>
    <w:rsid w:val="00FD6FE7"/>
    <w:rsid w:val="00FE3F7D"/>
    <w:rsid w:val="00FE4783"/>
    <w:rsid w:val="00FE5084"/>
    <w:rsid w:val="00FE5F7B"/>
    <w:rsid w:val="00FE626D"/>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4FAC0-8D0E-4C8D-897B-E311D8A74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3568</TotalTime>
  <Pages>6</Pages>
  <Words>2088</Words>
  <Characters>11489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555</cp:revision>
  <cp:lastPrinted>2023-02-20T22:29:00Z</cp:lastPrinted>
  <dcterms:created xsi:type="dcterms:W3CDTF">2020-06-01T16:32:00Z</dcterms:created>
  <dcterms:modified xsi:type="dcterms:W3CDTF">2023-04-17T20:23:00Z</dcterms:modified>
</cp:coreProperties>
</file>