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0D40A3" w14:textId="77777777" w:rsidR="00B544E2" w:rsidRDefault="00B544E2" w:rsidP="00B544E2">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0F759BBD" w14:textId="77777777" w:rsidR="00B544E2" w:rsidRDefault="00B544E2" w:rsidP="00B544E2">
      <w:pPr>
        <w:spacing w:line="360" w:lineRule="auto"/>
        <w:jc w:val="both"/>
        <w:rPr>
          <w:rFonts w:ascii="Arial" w:hAnsi="Arial" w:cs="Arial"/>
          <w:b/>
          <w:sz w:val="24"/>
          <w:szCs w:val="24"/>
        </w:rPr>
      </w:pPr>
      <w:r>
        <w:rPr>
          <w:rFonts w:ascii="Arial" w:hAnsi="Arial" w:cs="Arial"/>
          <w:b/>
          <w:sz w:val="24"/>
          <w:szCs w:val="24"/>
        </w:rPr>
        <w:t>OAXACA DE JUÁREZ, OAXACA; A QUINCE DE DICIEMBRE DEL AÑO DOS MIL VEINTE (15/12/2020). - - - - - - - - - - - - - - - - - - - - - - - - - - - - - - - - -</w:t>
      </w:r>
    </w:p>
    <w:p w14:paraId="2DE45211" w14:textId="10C74078" w:rsidR="007C7B26" w:rsidRPr="001042B6" w:rsidRDefault="007C7B26" w:rsidP="007C7B26">
      <w:pPr>
        <w:spacing w:line="360" w:lineRule="auto"/>
        <w:ind w:firstLine="708"/>
        <w:jc w:val="both"/>
        <w:rPr>
          <w:rFonts w:ascii="Arial" w:hAnsi="Arial" w:cs="Arial"/>
          <w:sz w:val="24"/>
          <w:szCs w:val="24"/>
        </w:rPr>
      </w:pPr>
      <w:r w:rsidRPr="001042B6">
        <w:rPr>
          <w:rFonts w:ascii="Arial" w:hAnsi="Arial" w:cs="Arial"/>
          <w:b/>
          <w:sz w:val="24"/>
          <w:szCs w:val="24"/>
        </w:rPr>
        <w:t xml:space="preserve">VISTOS </w:t>
      </w:r>
      <w:r w:rsidRPr="001042B6">
        <w:rPr>
          <w:rFonts w:ascii="Arial" w:hAnsi="Arial" w:cs="Arial"/>
          <w:sz w:val="24"/>
          <w:szCs w:val="24"/>
        </w:rPr>
        <w:t>los</w:t>
      </w:r>
      <w:r w:rsidR="009A3CC5">
        <w:rPr>
          <w:rFonts w:ascii="Arial" w:hAnsi="Arial" w:cs="Arial"/>
          <w:sz w:val="24"/>
          <w:szCs w:val="24"/>
        </w:rPr>
        <w:t xml:space="preserve"> autos del Juicio de Nulidad 045/2020</w:t>
      </w:r>
      <w:r w:rsidRPr="001042B6">
        <w:rPr>
          <w:rFonts w:ascii="Arial" w:hAnsi="Arial" w:cs="Arial"/>
          <w:sz w:val="24"/>
          <w:szCs w:val="24"/>
        </w:rPr>
        <w:t xml:space="preserve">, promovido por </w:t>
      </w:r>
      <w:r w:rsidR="008A7721">
        <w:rPr>
          <w:rFonts w:ascii="Arial" w:hAnsi="Arial" w:cs="Arial"/>
          <w:sz w:val="24"/>
          <w:szCs w:val="24"/>
        </w:rPr>
        <w:t>***** ***** ***** *****</w:t>
      </w:r>
      <w:r w:rsidRPr="001042B6">
        <w:rPr>
          <w:rFonts w:ascii="Arial" w:hAnsi="Arial" w:cs="Arial"/>
          <w:sz w:val="24"/>
          <w:szCs w:val="24"/>
        </w:rPr>
        <w:t xml:space="preserve">, solicitando la nulidad de la resolución contenida en el oficio </w:t>
      </w:r>
      <w:r w:rsidRPr="00CC1556">
        <w:rPr>
          <w:rFonts w:ascii="Arial" w:hAnsi="Arial" w:cs="Arial"/>
          <w:sz w:val="24"/>
          <w:szCs w:val="24"/>
        </w:rPr>
        <w:t xml:space="preserve">número </w:t>
      </w:r>
      <w:r w:rsidR="008A7721">
        <w:rPr>
          <w:rFonts w:ascii="Arial" w:hAnsi="Arial" w:cs="Arial"/>
          <w:sz w:val="24"/>
          <w:szCs w:val="24"/>
        </w:rPr>
        <w:t>OP/DG/DPE/***/2020</w:t>
      </w:r>
      <w:r w:rsidRPr="00CC1556">
        <w:rPr>
          <w:rFonts w:ascii="Arial" w:hAnsi="Arial" w:cs="Arial"/>
          <w:sz w:val="24"/>
          <w:szCs w:val="24"/>
        </w:rPr>
        <w:t xml:space="preserve">, de fecha </w:t>
      </w:r>
      <w:r w:rsidR="008A7721">
        <w:rPr>
          <w:rFonts w:ascii="Arial" w:hAnsi="Arial" w:cs="Arial"/>
          <w:sz w:val="24"/>
          <w:szCs w:val="24"/>
        </w:rPr>
        <w:t>***** de ***** de dos mil veinte (**/**/2020)</w:t>
      </w:r>
      <w:r w:rsidRPr="00CC1556">
        <w:rPr>
          <w:rFonts w:ascii="Arial" w:hAnsi="Arial" w:cs="Arial"/>
          <w:sz w:val="24"/>
          <w:szCs w:val="24"/>
        </w:rPr>
        <w:t xml:space="preserve">, emitida por el </w:t>
      </w:r>
      <w:proofErr w:type="gramStart"/>
      <w:r w:rsidRPr="00CC1556">
        <w:rPr>
          <w:rFonts w:ascii="Arial" w:hAnsi="Arial" w:cs="Arial"/>
          <w:sz w:val="24"/>
          <w:szCs w:val="24"/>
        </w:rPr>
        <w:t>Director General</w:t>
      </w:r>
      <w:proofErr w:type="gramEnd"/>
      <w:r w:rsidRPr="00CC1556">
        <w:rPr>
          <w:rFonts w:ascii="Arial" w:hAnsi="Arial" w:cs="Arial"/>
          <w:sz w:val="24"/>
          <w:szCs w:val="24"/>
        </w:rPr>
        <w:t xml:space="preserve"> de la Oficina de Pensiones del Estado de Oaxaca</w:t>
      </w:r>
      <w:r w:rsidRPr="001042B6">
        <w:rPr>
          <w:rFonts w:ascii="Arial" w:hAnsi="Arial" w:cs="Arial"/>
          <w:sz w:val="24"/>
          <w:szCs w:val="24"/>
        </w:rPr>
        <w:t xml:space="preserve">; y, - - - - - - - - - - </w:t>
      </w:r>
      <w:r>
        <w:rPr>
          <w:rFonts w:ascii="Arial" w:hAnsi="Arial" w:cs="Arial"/>
          <w:sz w:val="24"/>
          <w:szCs w:val="24"/>
        </w:rPr>
        <w:t>- - - - - - - -</w:t>
      </w:r>
      <w:r w:rsidR="008A7721">
        <w:rPr>
          <w:rFonts w:ascii="Arial" w:hAnsi="Arial" w:cs="Arial"/>
          <w:sz w:val="24"/>
          <w:szCs w:val="24"/>
        </w:rPr>
        <w:t xml:space="preserve"> - - - - - - - - - - - - - - - - - - - - - - </w:t>
      </w:r>
    </w:p>
    <w:p w14:paraId="2B2D16B1" w14:textId="77777777" w:rsidR="007C7B26" w:rsidRPr="001042B6" w:rsidRDefault="007C7B26" w:rsidP="007C7B26">
      <w:pPr>
        <w:spacing w:line="360" w:lineRule="auto"/>
        <w:jc w:val="center"/>
        <w:rPr>
          <w:rFonts w:ascii="Arial" w:hAnsi="Arial" w:cs="Arial"/>
          <w:b/>
          <w:sz w:val="24"/>
          <w:szCs w:val="24"/>
        </w:rPr>
      </w:pPr>
      <w:r w:rsidRPr="001042B6">
        <w:rPr>
          <w:rFonts w:ascii="Arial" w:hAnsi="Arial" w:cs="Arial"/>
          <w:b/>
          <w:sz w:val="24"/>
          <w:szCs w:val="24"/>
        </w:rPr>
        <w:t>R E S U L T A N D O</w:t>
      </w:r>
    </w:p>
    <w:p w14:paraId="7BCC46D5" w14:textId="77777777" w:rsidR="007C7B26" w:rsidRPr="001042B6" w:rsidRDefault="007C7B26" w:rsidP="007C7B26">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00CC1556">
        <w:rPr>
          <w:rFonts w:ascii="Arial" w:hAnsi="Arial" w:cs="Arial"/>
          <w:sz w:val="24"/>
          <w:szCs w:val="24"/>
        </w:rPr>
        <w:t>Con fecha once</w:t>
      </w:r>
      <w:r w:rsidRPr="001042B6">
        <w:rPr>
          <w:rFonts w:ascii="Arial" w:hAnsi="Arial" w:cs="Arial"/>
          <w:sz w:val="24"/>
          <w:szCs w:val="24"/>
        </w:rPr>
        <w:t xml:space="preserve"> de </w:t>
      </w:r>
      <w:r w:rsidR="00CC1556">
        <w:rPr>
          <w:rFonts w:ascii="Arial" w:hAnsi="Arial" w:cs="Arial"/>
          <w:sz w:val="24"/>
          <w:szCs w:val="24"/>
        </w:rPr>
        <w:t>agosto</w:t>
      </w:r>
      <w:r w:rsidRPr="001042B6">
        <w:rPr>
          <w:rFonts w:ascii="Arial" w:hAnsi="Arial" w:cs="Arial"/>
          <w:sz w:val="24"/>
          <w:szCs w:val="24"/>
        </w:rPr>
        <w:t xml:space="preserve"> de dos mil</w:t>
      </w:r>
      <w:r w:rsidR="00CC1556">
        <w:rPr>
          <w:rFonts w:ascii="Arial" w:hAnsi="Arial" w:cs="Arial"/>
          <w:sz w:val="24"/>
          <w:szCs w:val="24"/>
        </w:rPr>
        <w:t xml:space="preserve"> veinte (11/08/2020</w:t>
      </w:r>
      <w:r w:rsidRPr="001042B6">
        <w:rPr>
          <w:rFonts w:ascii="Arial" w:hAnsi="Arial" w:cs="Arial"/>
          <w:sz w:val="24"/>
          <w:szCs w:val="24"/>
        </w:rPr>
        <w:t xml:space="preserve">), se recibió el escrito de demanda en la Oficialía de Partes de este Tribunal y con fecha </w:t>
      </w:r>
      <w:r w:rsidR="00CC1556">
        <w:rPr>
          <w:rFonts w:ascii="Arial" w:hAnsi="Arial" w:cs="Arial"/>
          <w:sz w:val="24"/>
          <w:szCs w:val="24"/>
        </w:rPr>
        <w:t>veinte del mismo mes y año (20/08/2020</w:t>
      </w:r>
      <w:r w:rsidRPr="001042B6">
        <w:rPr>
          <w:rFonts w:ascii="Arial" w:hAnsi="Arial" w:cs="Arial"/>
          <w:sz w:val="24"/>
          <w:szCs w:val="24"/>
        </w:rPr>
        <w:t xml:space="preserve">), se tuvo por admitida a trámite, ordenándose emplazar a Juicio a la autoridad demandada. - - - - - - - </w:t>
      </w:r>
    </w:p>
    <w:p w14:paraId="66C664F8" w14:textId="77777777" w:rsidR="007C7B26" w:rsidRPr="001042B6" w:rsidRDefault="007C7B26" w:rsidP="007C7B26">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007C1FD6">
        <w:rPr>
          <w:rFonts w:ascii="Arial" w:hAnsi="Arial" w:cs="Arial"/>
          <w:sz w:val="24"/>
          <w:szCs w:val="24"/>
        </w:rPr>
        <w:t>Con fecha veinticuatro de noviembre</w:t>
      </w:r>
      <w:r w:rsidRPr="001042B6">
        <w:rPr>
          <w:rFonts w:ascii="Arial" w:hAnsi="Arial" w:cs="Arial"/>
          <w:sz w:val="24"/>
          <w:szCs w:val="24"/>
        </w:rPr>
        <w:t xml:space="preserve"> de dos mil</w:t>
      </w:r>
      <w:r w:rsidR="007C1FD6">
        <w:rPr>
          <w:rFonts w:ascii="Arial" w:hAnsi="Arial" w:cs="Arial"/>
          <w:sz w:val="24"/>
          <w:szCs w:val="24"/>
        </w:rPr>
        <w:t xml:space="preserve"> veinte (24/11/2020</w:t>
      </w:r>
      <w:r w:rsidRPr="001042B6">
        <w:rPr>
          <w:rFonts w:ascii="Arial" w:hAnsi="Arial" w:cs="Arial"/>
          <w:sz w:val="24"/>
          <w:szCs w:val="24"/>
        </w:rPr>
        <w:t xml:space="preserve">), se tuvo a la autoridad demandada Director General de la Oficina de Pensiones del Estado de Oaxaca, contestando en tiempo la demanda, además se señaló fecha y hora para el desahogo de la audiencia final. - - - - - - - - - - - - - - - - - - - - - - - - - - - - - - - - - - - - - - - - - - - - - - - - - - - </w:t>
      </w:r>
      <w:r>
        <w:rPr>
          <w:rFonts w:ascii="Arial" w:hAnsi="Arial" w:cs="Arial"/>
          <w:sz w:val="24"/>
          <w:szCs w:val="24"/>
        </w:rPr>
        <w:t xml:space="preserve">- </w:t>
      </w:r>
    </w:p>
    <w:p w14:paraId="641C6737" w14:textId="77777777" w:rsidR="007C7B26" w:rsidRPr="001042B6" w:rsidRDefault="007C7B26" w:rsidP="007C7B26">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TERCERO.- </w:t>
      </w:r>
      <w:r w:rsidRPr="001042B6">
        <w:rPr>
          <w:rFonts w:ascii="Arial" w:hAnsi="Arial" w:cs="Arial"/>
          <w:sz w:val="24"/>
          <w:szCs w:val="24"/>
        </w:rPr>
        <w:t xml:space="preserve">El </w:t>
      </w:r>
      <w:r w:rsidR="007C1FD6">
        <w:rPr>
          <w:rFonts w:ascii="Arial" w:hAnsi="Arial" w:cs="Arial"/>
          <w:sz w:val="24"/>
          <w:szCs w:val="24"/>
        </w:rPr>
        <w:t>diez de diciembre de dos mil veinte (10/12/2020)</w:t>
      </w:r>
      <w:r w:rsidRPr="001042B6">
        <w:rPr>
          <w:rFonts w:ascii="Arial" w:hAnsi="Arial" w:cs="Arial"/>
          <w:sz w:val="24"/>
          <w:szCs w:val="24"/>
        </w:rPr>
        <w:t>, se celebró la Audiencia Final,</w:t>
      </w:r>
      <w:r w:rsidRPr="001042B6">
        <w:rPr>
          <w:rFonts w:ascii="Arial" w:hAnsi="Arial" w:cs="Arial"/>
          <w:b/>
          <w:sz w:val="24"/>
          <w:szCs w:val="24"/>
        </w:rPr>
        <w:t xml:space="preserve"> </w:t>
      </w:r>
      <w:r w:rsidRPr="001042B6">
        <w:rPr>
          <w:rFonts w:ascii="Arial" w:hAnsi="Arial" w:cs="Arial"/>
          <w:sz w:val="24"/>
          <w:szCs w:val="24"/>
        </w:rPr>
        <w:t xml:space="preserve">sin que comparecieran las partes, se desahogaron pruebas, y no se recibió escrito de alegatos, quedando el asunto integrado y en estado de resolución; y, - - - - - - - - - - - - - - - - - - - - - </w:t>
      </w:r>
      <w:r>
        <w:rPr>
          <w:rFonts w:ascii="Arial" w:hAnsi="Arial" w:cs="Arial"/>
          <w:sz w:val="24"/>
          <w:szCs w:val="24"/>
        </w:rPr>
        <w:t xml:space="preserve">- </w:t>
      </w:r>
    </w:p>
    <w:p w14:paraId="30B0A31D" w14:textId="77777777" w:rsidR="007C7B26" w:rsidRPr="001042B6" w:rsidRDefault="007C7B26" w:rsidP="007C7B26">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036E6C3A" w14:textId="77777777" w:rsidR="007C7B26" w:rsidRPr="001042B6" w:rsidRDefault="007C7B26" w:rsidP="007C7B26">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Esta </w:t>
      </w:r>
      <w:r w:rsidR="007C1FD6">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146 y 147, de la Ley de Procedimiento y Justicia Administrativa para el Estado de Oaxaca, por </w:t>
      </w:r>
      <w:r w:rsidRPr="001042B6">
        <w:rPr>
          <w:rFonts w:ascii="Arial" w:hAnsi="Arial" w:cs="Arial"/>
          <w:sz w:val="24"/>
          <w:szCs w:val="24"/>
        </w:rPr>
        <w:lastRenderedPageBreak/>
        <w:t xml:space="preserve">tratarse de un Juicio de Nulidad promovido contra la resolución dictada por una autoridad administrativa de carácter estatal, pues de conformidad a lo establecido en el penúltimo artículo citado, éste Tribunal tiene Jurisdicción en todo el territorio del estado. - - - - - - - - - - - - - - - - - - - - - - - - - - - - - - - - </w:t>
      </w:r>
      <w:r>
        <w:rPr>
          <w:rFonts w:ascii="Arial" w:hAnsi="Arial" w:cs="Arial"/>
          <w:sz w:val="24"/>
          <w:szCs w:val="24"/>
        </w:rPr>
        <w:t xml:space="preserve">- - - - </w:t>
      </w:r>
    </w:p>
    <w:p w14:paraId="3E3A94A2" w14:textId="77777777" w:rsidR="007C7B26" w:rsidRPr="001042B6" w:rsidRDefault="007C7B26" w:rsidP="007C7B26">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6864E118" w14:textId="0268C48A" w:rsidR="006F1BDC" w:rsidRDefault="007C7B26" w:rsidP="007C7B26">
      <w:pPr>
        <w:spacing w:line="360" w:lineRule="auto"/>
        <w:ind w:firstLine="708"/>
        <w:jc w:val="both"/>
        <w:rPr>
          <w:rFonts w:ascii="Arial" w:hAnsi="Arial" w:cs="Arial"/>
          <w:sz w:val="24"/>
          <w:szCs w:val="24"/>
        </w:rPr>
      </w:pPr>
      <w:r w:rsidRPr="001042B6">
        <w:rPr>
          <w:rFonts w:ascii="Arial" w:hAnsi="Arial" w:cs="Arial"/>
          <w:sz w:val="24"/>
          <w:szCs w:val="24"/>
        </w:rPr>
        <w:t>La</w:t>
      </w:r>
      <w:r w:rsidR="00776EA8">
        <w:rPr>
          <w:rFonts w:ascii="Arial" w:hAnsi="Arial" w:cs="Arial"/>
          <w:sz w:val="24"/>
          <w:szCs w:val="24"/>
        </w:rPr>
        <w:t>s</w:t>
      </w:r>
      <w:r w:rsidRPr="001042B6">
        <w:rPr>
          <w:rFonts w:ascii="Arial" w:hAnsi="Arial" w:cs="Arial"/>
          <w:sz w:val="24"/>
          <w:szCs w:val="24"/>
        </w:rPr>
        <w:t xml:space="preserve"> prueba</w:t>
      </w:r>
      <w:r w:rsidR="00776EA8">
        <w:rPr>
          <w:rFonts w:ascii="Arial" w:hAnsi="Arial" w:cs="Arial"/>
          <w:sz w:val="24"/>
          <w:szCs w:val="24"/>
        </w:rPr>
        <w:t>s</w:t>
      </w:r>
      <w:r w:rsidRPr="001042B6">
        <w:rPr>
          <w:rFonts w:ascii="Arial" w:hAnsi="Arial" w:cs="Arial"/>
          <w:sz w:val="24"/>
          <w:szCs w:val="24"/>
        </w:rPr>
        <w:t xml:space="preserve"> DOCUMENTAL</w:t>
      </w:r>
      <w:r w:rsidR="00776EA8">
        <w:rPr>
          <w:rFonts w:ascii="Arial" w:hAnsi="Arial" w:cs="Arial"/>
          <w:sz w:val="24"/>
          <w:szCs w:val="24"/>
        </w:rPr>
        <w:t>ES</w:t>
      </w:r>
      <w:r w:rsidRPr="001042B6">
        <w:rPr>
          <w:rFonts w:ascii="Arial" w:hAnsi="Arial" w:cs="Arial"/>
          <w:sz w:val="24"/>
          <w:szCs w:val="24"/>
        </w:rPr>
        <w:t xml:space="preserve"> ofrecida</w:t>
      </w:r>
      <w:r w:rsidR="00776EA8">
        <w:rPr>
          <w:rFonts w:ascii="Arial" w:hAnsi="Arial" w:cs="Arial"/>
          <w:sz w:val="24"/>
          <w:szCs w:val="24"/>
        </w:rPr>
        <w:t>s</w:t>
      </w:r>
      <w:r w:rsidRPr="001042B6">
        <w:rPr>
          <w:rFonts w:ascii="Arial" w:hAnsi="Arial" w:cs="Arial"/>
          <w:sz w:val="24"/>
          <w:szCs w:val="24"/>
        </w:rPr>
        <w:t xml:space="preserve"> y admitida</w:t>
      </w:r>
      <w:r w:rsidR="00776EA8">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00776EA8">
        <w:rPr>
          <w:rFonts w:ascii="Arial" w:hAnsi="Arial" w:cs="Arial"/>
          <w:sz w:val="24"/>
          <w:szCs w:val="24"/>
        </w:rPr>
        <w:t xml:space="preserve"> </w:t>
      </w:r>
      <w:r w:rsidR="008A7721">
        <w:rPr>
          <w:rFonts w:ascii="Arial" w:hAnsi="Arial" w:cs="Arial"/>
          <w:sz w:val="24"/>
          <w:szCs w:val="24"/>
        </w:rPr>
        <w:t>***** ***** ***** *****</w:t>
      </w:r>
      <w:r w:rsidRPr="001042B6">
        <w:rPr>
          <w:rFonts w:ascii="Arial" w:hAnsi="Arial" w:cs="Arial"/>
          <w:sz w:val="24"/>
          <w:szCs w:val="24"/>
        </w:rPr>
        <w:t>, consiste en</w:t>
      </w:r>
      <w:r w:rsidR="006F1BDC">
        <w:rPr>
          <w:rFonts w:ascii="Arial" w:hAnsi="Arial" w:cs="Arial"/>
          <w:sz w:val="24"/>
          <w:szCs w:val="24"/>
        </w:rPr>
        <w:t>: 1.-</w:t>
      </w:r>
      <w:r w:rsidR="00160131">
        <w:rPr>
          <w:rFonts w:ascii="Arial" w:hAnsi="Arial" w:cs="Arial"/>
          <w:sz w:val="24"/>
          <w:szCs w:val="24"/>
        </w:rPr>
        <w:t xml:space="preserve"> Original de oficio número </w:t>
      </w:r>
      <w:r w:rsidR="008A7721">
        <w:rPr>
          <w:rFonts w:ascii="Arial" w:hAnsi="Arial" w:cs="Arial"/>
          <w:sz w:val="24"/>
          <w:szCs w:val="24"/>
        </w:rPr>
        <w:t>OP/DG/DPE/***/2020</w:t>
      </w:r>
      <w:r w:rsidR="00160131">
        <w:rPr>
          <w:rFonts w:ascii="Arial" w:hAnsi="Arial" w:cs="Arial"/>
          <w:sz w:val="24"/>
          <w:szCs w:val="24"/>
        </w:rPr>
        <w:t xml:space="preserve">, fechado el </w:t>
      </w:r>
      <w:r w:rsidR="008A7721">
        <w:rPr>
          <w:rFonts w:ascii="Arial" w:hAnsi="Arial" w:cs="Arial"/>
          <w:sz w:val="24"/>
          <w:szCs w:val="24"/>
        </w:rPr>
        <w:t>***** de ***** de dos mil veinte (**/**/2020)</w:t>
      </w:r>
      <w:r w:rsidR="00160131">
        <w:rPr>
          <w:rFonts w:ascii="Arial" w:hAnsi="Arial" w:cs="Arial"/>
          <w:sz w:val="24"/>
          <w:szCs w:val="24"/>
        </w:rPr>
        <w:t xml:space="preserve"> suscrito Por el Director General de la Oficina de Pensiones del Estado de Oaxaca (acto impugnado); 2.- </w:t>
      </w:r>
      <w:r w:rsidR="005E720D">
        <w:rPr>
          <w:rFonts w:ascii="Arial" w:hAnsi="Arial" w:cs="Arial"/>
          <w:sz w:val="24"/>
          <w:szCs w:val="24"/>
        </w:rPr>
        <w:t xml:space="preserve">Copia simple de dos sentencia emitidas en los expedientes </w:t>
      </w:r>
      <w:r w:rsidR="008A7721">
        <w:rPr>
          <w:rFonts w:ascii="Arial" w:hAnsi="Arial" w:cs="Arial"/>
          <w:sz w:val="24"/>
          <w:szCs w:val="24"/>
        </w:rPr>
        <w:t>***/2018</w:t>
      </w:r>
      <w:r w:rsidR="005E720D">
        <w:rPr>
          <w:rFonts w:ascii="Arial" w:hAnsi="Arial" w:cs="Arial"/>
          <w:sz w:val="24"/>
          <w:szCs w:val="24"/>
        </w:rPr>
        <w:t xml:space="preserve"> y </w:t>
      </w:r>
      <w:r w:rsidR="008A7721">
        <w:rPr>
          <w:rFonts w:ascii="Arial" w:hAnsi="Arial" w:cs="Arial"/>
          <w:sz w:val="24"/>
          <w:szCs w:val="24"/>
        </w:rPr>
        <w:t>***/2019</w:t>
      </w:r>
      <w:r w:rsidR="005E720D">
        <w:rPr>
          <w:rFonts w:ascii="Arial" w:hAnsi="Arial" w:cs="Arial"/>
          <w:sz w:val="24"/>
          <w:szCs w:val="24"/>
        </w:rPr>
        <w:t xml:space="preserve"> del índice de las Séptima y Segunda Sala Unitarias de este Tribunal, respectivamente; 3.-  Copia simple de impresión digital de cedula profesional expedida a favor de </w:t>
      </w:r>
      <w:r w:rsidR="008A7721">
        <w:rPr>
          <w:rFonts w:ascii="Arial" w:hAnsi="Arial" w:cs="Arial"/>
          <w:sz w:val="24"/>
          <w:szCs w:val="24"/>
        </w:rPr>
        <w:t>***** ***** ***** *****</w:t>
      </w:r>
      <w:r w:rsidR="005E720D">
        <w:rPr>
          <w:rFonts w:ascii="Arial" w:hAnsi="Arial" w:cs="Arial"/>
          <w:sz w:val="24"/>
          <w:szCs w:val="24"/>
        </w:rPr>
        <w:t xml:space="preserve"> con número de folio </w:t>
      </w:r>
      <w:r w:rsidR="008A7721">
        <w:rPr>
          <w:rFonts w:ascii="Arial" w:hAnsi="Arial" w:cs="Arial"/>
          <w:sz w:val="24"/>
          <w:szCs w:val="24"/>
        </w:rPr>
        <w:t>*******</w:t>
      </w:r>
      <w:r w:rsidR="005E720D">
        <w:rPr>
          <w:rFonts w:ascii="Arial" w:hAnsi="Arial" w:cs="Arial"/>
          <w:sz w:val="24"/>
          <w:szCs w:val="24"/>
        </w:rPr>
        <w:t>.</w:t>
      </w:r>
    </w:p>
    <w:p w14:paraId="011C322F" w14:textId="77777777" w:rsidR="007C7B26" w:rsidRPr="001042B6" w:rsidRDefault="007C7B26" w:rsidP="007C7B26">
      <w:pPr>
        <w:spacing w:line="360" w:lineRule="auto"/>
        <w:ind w:firstLine="708"/>
        <w:jc w:val="both"/>
        <w:rPr>
          <w:rFonts w:ascii="Arial" w:hAnsi="Arial" w:cs="Arial"/>
          <w:sz w:val="24"/>
          <w:szCs w:val="24"/>
        </w:rPr>
      </w:pPr>
      <w:r w:rsidRPr="001042B6">
        <w:rPr>
          <w:rFonts w:ascii="Arial" w:hAnsi="Arial" w:cs="Arial"/>
          <w:sz w:val="24"/>
          <w:szCs w:val="24"/>
        </w:rPr>
        <w:t xml:space="preserve">Por lo que respecta a la </w:t>
      </w:r>
      <w:r w:rsidRPr="001042B6">
        <w:rPr>
          <w:rFonts w:ascii="Arial" w:hAnsi="Arial" w:cs="Arial"/>
          <w:b/>
          <w:sz w:val="24"/>
          <w:szCs w:val="24"/>
        </w:rPr>
        <w:t xml:space="preserve">autoridad demandada </w:t>
      </w:r>
      <w:r w:rsidRPr="001042B6">
        <w:rPr>
          <w:rFonts w:ascii="Arial" w:hAnsi="Arial" w:cs="Arial"/>
          <w:sz w:val="24"/>
          <w:szCs w:val="24"/>
        </w:rPr>
        <w:t xml:space="preserve">Director General de la Oficina de Pensiones del Gobierno del Estado, </w:t>
      </w:r>
      <w:r w:rsidR="001770F1">
        <w:rPr>
          <w:rFonts w:ascii="Arial" w:hAnsi="Arial" w:cs="Arial"/>
          <w:sz w:val="24"/>
          <w:szCs w:val="24"/>
        </w:rPr>
        <w:t>éste no ofreció ni se le admitió prueba documental alguna</w:t>
      </w:r>
      <w:r w:rsidRPr="001042B6">
        <w:rPr>
          <w:rFonts w:ascii="Arial" w:hAnsi="Arial" w:cs="Arial"/>
          <w:sz w:val="24"/>
          <w:szCs w:val="24"/>
        </w:rPr>
        <w:t>.</w:t>
      </w:r>
    </w:p>
    <w:p w14:paraId="31BDEE19" w14:textId="77777777" w:rsidR="00BE1154" w:rsidRDefault="007C7B26" w:rsidP="00BE1154">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1042B6">
        <w:rPr>
          <w:rFonts w:ascii="Arial" w:hAnsi="Arial" w:cs="Arial"/>
          <w:sz w:val="24"/>
          <w:szCs w:val="24"/>
        </w:rPr>
        <w:t xml:space="preserve"> pruebas aportadas al Juicio, consistentes en </w:t>
      </w:r>
      <w:r w:rsidR="00BE1154">
        <w:rPr>
          <w:rFonts w:ascii="Arial" w:hAnsi="Arial" w:cs="Arial"/>
          <w:sz w:val="24"/>
          <w:szCs w:val="24"/>
        </w:rPr>
        <w:t>el documento original remitido por el actor,</w:t>
      </w:r>
      <w:r w:rsidRPr="001042B6">
        <w:rPr>
          <w:rFonts w:ascii="Arial" w:hAnsi="Arial" w:cs="Arial"/>
          <w:sz w:val="24"/>
          <w:szCs w:val="24"/>
        </w:rPr>
        <w:t xml:space="preserve"> tiene </w:t>
      </w:r>
      <w:r w:rsidRPr="001042B6">
        <w:rPr>
          <w:rFonts w:ascii="Arial" w:hAnsi="Arial" w:cs="Arial"/>
          <w:b/>
          <w:sz w:val="24"/>
          <w:szCs w:val="24"/>
        </w:rPr>
        <w:t>valor probatorio pleno</w:t>
      </w:r>
      <w:r w:rsidRPr="001042B6">
        <w:rPr>
          <w:rFonts w:ascii="Arial" w:hAnsi="Arial" w:cs="Arial"/>
          <w:sz w:val="24"/>
          <w:szCs w:val="24"/>
        </w:rPr>
        <w:t>, porque en el aparece el nombre del servidor público que lo emitió, además del nombre, firma y sello de la dependencia a la que pertenecen</w:t>
      </w:r>
      <w:r w:rsidR="00BE1154">
        <w:rPr>
          <w:rFonts w:ascii="Arial" w:hAnsi="Arial" w:cs="Arial"/>
          <w:sz w:val="24"/>
          <w:szCs w:val="24"/>
        </w:rPr>
        <w:t>, de ahí la convicción sobre su existencia y la verdad de su contenido.</w:t>
      </w:r>
    </w:p>
    <w:p w14:paraId="5E63F153" w14:textId="77777777" w:rsidR="00AD390C" w:rsidRPr="00DF7C84" w:rsidRDefault="00BE1154" w:rsidP="00AD390C">
      <w:pPr>
        <w:spacing w:line="360" w:lineRule="auto"/>
        <w:ind w:firstLine="708"/>
        <w:jc w:val="both"/>
        <w:rPr>
          <w:rFonts w:ascii="Arial" w:hAnsi="Arial" w:cs="Arial"/>
          <w:sz w:val="24"/>
        </w:rPr>
      </w:pPr>
      <w:r>
        <w:rPr>
          <w:rFonts w:ascii="Arial" w:hAnsi="Arial" w:cs="Arial"/>
          <w:sz w:val="24"/>
          <w:szCs w:val="24"/>
        </w:rPr>
        <w:t xml:space="preserve">Respecto a las copias simples también remitidas por la parte actora, </w:t>
      </w:r>
      <w:r w:rsidR="008E3CC6">
        <w:rPr>
          <w:rFonts w:ascii="Arial" w:hAnsi="Arial" w:cs="Arial"/>
          <w:sz w:val="24"/>
          <w:szCs w:val="24"/>
        </w:rPr>
        <w:t xml:space="preserve">se les concede </w:t>
      </w:r>
      <w:r w:rsidR="008E3CC6" w:rsidRPr="00CE780B">
        <w:rPr>
          <w:rFonts w:ascii="Arial" w:hAnsi="Arial" w:cs="Arial"/>
          <w:b/>
          <w:sz w:val="24"/>
          <w:szCs w:val="24"/>
        </w:rPr>
        <w:t>valor probatorio indiciario</w:t>
      </w:r>
      <w:r w:rsidR="008E3CC6">
        <w:rPr>
          <w:rFonts w:ascii="Arial" w:hAnsi="Arial" w:cs="Arial"/>
          <w:sz w:val="24"/>
          <w:szCs w:val="24"/>
        </w:rPr>
        <w:t xml:space="preserve">, pues se trata documentos en </w:t>
      </w:r>
      <w:r w:rsidR="008E3CC6" w:rsidRPr="00CE780B">
        <w:rPr>
          <w:rFonts w:ascii="Arial" w:hAnsi="Arial" w:cs="Arial"/>
          <w:b/>
          <w:sz w:val="24"/>
          <w:szCs w:val="24"/>
        </w:rPr>
        <w:t>copia</w:t>
      </w:r>
      <w:r w:rsidR="00CE780B">
        <w:rPr>
          <w:rFonts w:ascii="Arial" w:hAnsi="Arial" w:cs="Arial"/>
          <w:b/>
          <w:sz w:val="24"/>
          <w:szCs w:val="24"/>
        </w:rPr>
        <w:t>s</w:t>
      </w:r>
      <w:r w:rsidR="008E3CC6" w:rsidRPr="00CE780B">
        <w:rPr>
          <w:rFonts w:ascii="Arial" w:hAnsi="Arial" w:cs="Arial"/>
          <w:b/>
          <w:sz w:val="24"/>
          <w:szCs w:val="24"/>
        </w:rPr>
        <w:t xml:space="preserve"> fotostática</w:t>
      </w:r>
      <w:r w:rsidR="00CE780B">
        <w:rPr>
          <w:rFonts w:ascii="Arial" w:hAnsi="Arial" w:cs="Arial"/>
          <w:b/>
          <w:sz w:val="24"/>
          <w:szCs w:val="24"/>
        </w:rPr>
        <w:t>s</w:t>
      </w:r>
      <w:r w:rsidR="008E3CC6" w:rsidRPr="00CE780B">
        <w:rPr>
          <w:rFonts w:ascii="Arial" w:hAnsi="Arial" w:cs="Arial"/>
          <w:b/>
          <w:sz w:val="24"/>
          <w:szCs w:val="24"/>
        </w:rPr>
        <w:t xml:space="preserve"> simple</w:t>
      </w:r>
      <w:r w:rsidR="00CE780B">
        <w:rPr>
          <w:rFonts w:ascii="Arial" w:hAnsi="Arial" w:cs="Arial"/>
          <w:b/>
          <w:sz w:val="24"/>
          <w:szCs w:val="24"/>
        </w:rPr>
        <w:t>s</w:t>
      </w:r>
      <w:r w:rsidR="008E3CC6">
        <w:rPr>
          <w:rFonts w:ascii="Arial" w:hAnsi="Arial" w:cs="Arial"/>
          <w:sz w:val="24"/>
          <w:szCs w:val="24"/>
        </w:rPr>
        <w:t xml:space="preserve">, mismos que por su propia naturaleza carecen de valor probatorio pleno de acuerdo al criterio del máximo tribunal del país, pues aunque las sentencias remitidas por el actor se advierten corresponden a expedientes radicados en diversas salas unitarias de este propio tribunal, lo </w:t>
      </w:r>
      <w:r w:rsidR="008E3CC6">
        <w:rPr>
          <w:rFonts w:ascii="Arial" w:hAnsi="Arial" w:cs="Arial"/>
          <w:sz w:val="24"/>
          <w:szCs w:val="24"/>
        </w:rPr>
        <w:lastRenderedPageBreak/>
        <w:t xml:space="preserve">cierto es que </w:t>
      </w:r>
      <w:r w:rsidR="00CE780B">
        <w:rPr>
          <w:rFonts w:ascii="Arial" w:hAnsi="Arial" w:cs="Arial"/>
          <w:sz w:val="24"/>
          <w:szCs w:val="24"/>
        </w:rPr>
        <w:t xml:space="preserve">no fue ofrecida la prueba de cotejo que permitiera constatar su existencia y contenido, siendo que de conformidad con el criterio de este propio tribunal, en cuestión probatoria la suplencia de la deficiencia de la queja no opera en favor del administrado. Sirve de apoyo a lo anterior la Jurisprudencia con datos de identificación: </w:t>
      </w:r>
      <w:r w:rsidR="00AD390C" w:rsidRPr="007A5B5E">
        <w:rPr>
          <w:rFonts w:ascii="Arial" w:hAnsi="Arial" w:cs="Arial"/>
          <w:sz w:val="24"/>
        </w:rPr>
        <w:t>Semanario Judicial de la Federación y su Gaceta, Tomo III, Mayo de 1996, Novena Época, pág. 510, registro 202550, Jurisprudencia Común, Tribunales Colegiados de Circuito y bajo el rubro: “</w:t>
      </w:r>
      <w:r w:rsidR="00AD390C" w:rsidRPr="007A5B5E">
        <w:rPr>
          <w:rFonts w:ascii="Arial" w:hAnsi="Arial" w:cs="Arial"/>
          <w:i/>
          <w:sz w:val="24"/>
        </w:rPr>
        <w:t xml:space="preserve">DOCUMENTOS OFRECIDOS EN FOTOCOPIAS SIMPLES, VALOR PROBATORIO </w:t>
      </w:r>
      <w:r w:rsidR="00AD390C" w:rsidRPr="00DF7C84">
        <w:rPr>
          <w:rFonts w:ascii="Arial" w:hAnsi="Arial" w:cs="Arial"/>
          <w:i/>
          <w:sz w:val="24"/>
        </w:rPr>
        <w:t>DE</w:t>
      </w:r>
      <w:r w:rsidR="00AD390C" w:rsidRPr="00DF7C84">
        <w:rPr>
          <w:rFonts w:ascii="Arial" w:hAnsi="Arial" w:cs="Arial"/>
          <w:sz w:val="24"/>
        </w:rPr>
        <w:t>.”; y el criterio de este Tribunal con datos de identificación:</w:t>
      </w:r>
      <w:r w:rsidR="00DF7C84" w:rsidRPr="00DF7C84">
        <w:rPr>
          <w:rFonts w:ascii="Arial" w:hAnsi="Arial" w:cs="Arial"/>
          <w:bCs/>
          <w:sz w:val="24"/>
        </w:rPr>
        <w:t xml:space="preserve"> Primera Época, Boletín número 1 del Tribunal de lo Contencioso Administrativo del Estado de Oaxaca, Tomo I, Enero de 2011, Tesis TCASS0005/2011TO.1AD, Página 5, Número de registro 5 Materia AD., y bajo el rubro: “</w:t>
      </w:r>
      <w:r w:rsidR="00DF7C84" w:rsidRPr="00DF7C84">
        <w:rPr>
          <w:rFonts w:ascii="Arial" w:hAnsi="Arial" w:cs="Arial"/>
          <w:bCs/>
          <w:i/>
          <w:sz w:val="24"/>
        </w:rPr>
        <w:t>SUPLENCIA DE LA QUEJA. LA QUE PREVÉ EL ARTÍCULIO 118 DE LA LEY DE JUSTICIA ADMINISTRATIVA NO ES APLICABLE A LAS PRUEBAS</w:t>
      </w:r>
      <w:r w:rsidR="00DF7C84" w:rsidRPr="00DF7C84">
        <w:rPr>
          <w:rFonts w:ascii="Arial" w:hAnsi="Arial" w:cs="Arial"/>
          <w:bCs/>
          <w:sz w:val="24"/>
        </w:rPr>
        <w:t>”;</w:t>
      </w:r>
    </w:p>
    <w:p w14:paraId="3B2DE3FE" w14:textId="77777777" w:rsidR="007C7B26" w:rsidRPr="001042B6" w:rsidRDefault="007C7B26" w:rsidP="007C7B26">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entonces, las documentales ofrecidas</w:t>
      </w:r>
      <w:r w:rsidR="00DF7C84">
        <w:rPr>
          <w:rFonts w:ascii="Arial" w:hAnsi="Arial" w:cs="Arial"/>
          <w:sz w:val="24"/>
          <w:szCs w:val="24"/>
        </w:rPr>
        <w:t xml:space="preserve"> y con valor probatorio pleno</w:t>
      </w:r>
      <w:r w:rsidRPr="001042B6">
        <w:rPr>
          <w:rFonts w:ascii="Arial" w:hAnsi="Arial" w:cs="Arial"/>
          <w:sz w:val="24"/>
          <w:szCs w:val="24"/>
        </w:rPr>
        <w:t>, cumplen con los requisitos de validez y eficacia, quedando de manifiesto la veracidad de su contenido, de conformidad a lo que establece el citado artículo 203 fracción I de la Ley de Procedimiento y Justicia Administrativa para el Estado de Oaxaca.</w:t>
      </w:r>
    </w:p>
    <w:p w14:paraId="6A90598B" w14:textId="77777777" w:rsidR="007C7B26" w:rsidRPr="001042B6" w:rsidRDefault="007C7B26" w:rsidP="007C7B26">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INSTRUMENTAL DE ACTUACIONES, ofrecida por la </w:t>
      </w:r>
      <w:r w:rsidR="00DF7C84">
        <w:rPr>
          <w:rFonts w:ascii="Arial" w:hAnsi="Arial" w:cs="Arial"/>
          <w:sz w:val="24"/>
          <w:szCs w:val="24"/>
        </w:rPr>
        <w:t xml:space="preserve">parte </w:t>
      </w:r>
      <w:r w:rsidRPr="001042B6">
        <w:rPr>
          <w:rFonts w:ascii="Arial" w:hAnsi="Arial" w:cs="Arial"/>
          <w:sz w:val="24"/>
          <w:szCs w:val="24"/>
        </w:rPr>
        <w:t xml:space="preserve">actora y demandada, se constituye de la totalidad de las pruebas recabadas en el presente Juicio, y con ellas se confirma el contenido del enjuiciamiento, porque los hechos contenidos en las documentales son afirmaciones expresadas por ellas. </w:t>
      </w:r>
    </w:p>
    <w:p w14:paraId="3EC81445" w14:textId="77777777" w:rsidR="007C7B26" w:rsidRPr="001042B6" w:rsidRDefault="007C7B26" w:rsidP="007C7B26">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Y HUMANA también ofrecida por la </w:t>
      </w:r>
      <w:r w:rsidR="00DF7C84">
        <w:rPr>
          <w:rFonts w:ascii="Arial" w:hAnsi="Arial" w:cs="Arial"/>
          <w:sz w:val="24"/>
          <w:szCs w:val="24"/>
        </w:rPr>
        <w:t xml:space="preserve">parte </w:t>
      </w:r>
      <w:r w:rsidRPr="001042B6">
        <w:rPr>
          <w:rFonts w:ascii="Arial" w:hAnsi="Arial" w:cs="Arial"/>
          <w:sz w:val="24"/>
          <w:szCs w:val="24"/>
        </w:rPr>
        <w:t xml:space="preserve">actora y autoridad demandada, se basa en los principios que las rigen, consistentes en determinar la consecuencia que la ley deduce de un hecho conocido, para averiguar la verdad de otro desconocido, y que de no ofrecerse prueba en contrario, se acredita de este modo el hecho </w:t>
      </w:r>
      <w:r w:rsidR="00DF7C84">
        <w:rPr>
          <w:rFonts w:ascii="Arial" w:hAnsi="Arial" w:cs="Arial"/>
          <w:sz w:val="24"/>
          <w:szCs w:val="24"/>
        </w:rPr>
        <w:t>cuestionado</w:t>
      </w:r>
      <w:r w:rsidRPr="001042B6">
        <w:rPr>
          <w:rFonts w:ascii="Arial" w:hAnsi="Arial" w:cs="Arial"/>
          <w:sz w:val="24"/>
          <w:szCs w:val="24"/>
        </w:rPr>
        <w:t xml:space="preserve">. En tanto que la presunción humana, es una inferencia que el Juez deduce de un hecho conocido, obtenido de la totalidad de las pruebas para arribar al que se desconoce. - - - - - - - - - - - - - - - - - - - - - - - - </w:t>
      </w:r>
      <w:r>
        <w:rPr>
          <w:rFonts w:ascii="Arial" w:hAnsi="Arial" w:cs="Arial"/>
          <w:sz w:val="24"/>
          <w:szCs w:val="24"/>
        </w:rPr>
        <w:t xml:space="preserve">- </w:t>
      </w:r>
      <w:r w:rsidR="00DF7C84">
        <w:rPr>
          <w:rFonts w:ascii="Arial" w:hAnsi="Arial" w:cs="Arial"/>
          <w:sz w:val="24"/>
          <w:szCs w:val="24"/>
        </w:rPr>
        <w:t>- - - - - - -</w:t>
      </w:r>
    </w:p>
    <w:p w14:paraId="1CBE6EB0" w14:textId="77777777" w:rsidR="007C7B26" w:rsidRPr="001042B6" w:rsidRDefault="007C7B26" w:rsidP="007C7B26">
      <w:pPr>
        <w:tabs>
          <w:tab w:val="center" w:pos="4574"/>
        </w:tabs>
        <w:spacing w:line="360" w:lineRule="auto"/>
        <w:ind w:firstLine="708"/>
        <w:jc w:val="both"/>
        <w:rPr>
          <w:rFonts w:cs="Arial"/>
          <w:sz w:val="24"/>
        </w:rPr>
      </w:pPr>
      <w:r w:rsidRPr="001042B6">
        <w:rPr>
          <w:rFonts w:ascii="Arial" w:hAnsi="Arial" w:cs="Arial"/>
          <w:b/>
          <w:sz w:val="24"/>
          <w:szCs w:val="24"/>
        </w:rPr>
        <w:t xml:space="preserve">TERCERO.- </w:t>
      </w:r>
      <w:r w:rsidR="001A2E7B">
        <w:rPr>
          <w:rFonts w:ascii="Arial" w:hAnsi="Arial" w:cs="Arial"/>
          <w:sz w:val="24"/>
        </w:rPr>
        <w:t>Este</w:t>
      </w:r>
      <w:r w:rsidRPr="001042B6">
        <w:rPr>
          <w:rFonts w:ascii="Arial" w:hAnsi="Arial" w:cs="Arial"/>
          <w:sz w:val="24"/>
        </w:rPr>
        <w:t xml:space="preserve"> Juzgador, no realiza la transcripción de los agravios vertidos por la</w:t>
      </w:r>
      <w:r w:rsidR="001A2E7B">
        <w:rPr>
          <w:rFonts w:ascii="Arial" w:hAnsi="Arial" w:cs="Arial"/>
          <w:sz w:val="24"/>
        </w:rPr>
        <w:t xml:space="preserve"> parte</w:t>
      </w:r>
      <w:r w:rsidRPr="001042B6">
        <w:rPr>
          <w:rFonts w:ascii="Arial" w:hAnsi="Arial" w:cs="Arial"/>
          <w:sz w:val="24"/>
        </w:rPr>
        <w:t xml:space="preserve"> actora, toda vez que no existe disposición legal que obligue a ello; lo anterior con el fin de facilitar y agilizar el estudio de la </w:t>
      </w:r>
      <w:r w:rsidRPr="001042B6">
        <w:rPr>
          <w:rFonts w:ascii="Arial" w:hAnsi="Arial" w:cs="Arial"/>
          <w:sz w:val="24"/>
        </w:rPr>
        <w:lastRenderedPageBreak/>
        <w:t xml:space="preserve">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Visible en la Novena Época, pág. 830, registro 164618, Jurisprudencia Común, Segunda Sala, del Semanario Judicial de la Federación y su Gaceta</w:t>
      </w:r>
      <w:r w:rsidRPr="001042B6">
        <w:rPr>
          <w:rFonts w:ascii="Arial" w:hAnsi="Arial" w:cs="Arial"/>
          <w:sz w:val="24"/>
        </w:rPr>
        <w:t>.- - - - - - - - - - - - - - - - - - - - - - - - - - - - - - - - - - - - - - - - - - - - - - - - -</w:t>
      </w:r>
      <w:r w:rsidRPr="001042B6">
        <w:rPr>
          <w:rFonts w:cs="Arial"/>
          <w:sz w:val="24"/>
        </w:rPr>
        <w:t xml:space="preserve"> </w:t>
      </w:r>
      <w:r>
        <w:rPr>
          <w:rFonts w:cs="Arial"/>
          <w:sz w:val="24"/>
        </w:rPr>
        <w:t>- -</w:t>
      </w:r>
    </w:p>
    <w:p w14:paraId="50A924B0" w14:textId="18EC49DB" w:rsidR="007C7B26" w:rsidRPr="001042B6" w:rsidRDefault="007C7B26" w:rsidP="007C7B26">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CUARTO.- </w:t>
      </w:r>
      <w:r w:rsidRPr="001042B6">
        <w:rPr>
          <w:rFonts w:ascii="Arial" w:hAnsi="Arial" w:cs="Arial"/>
          <w:sz w:val="24"/>
          <w:szCs w:val="24"/>
        </w:rPr>
        <w:t>La personalidad de</w:t>
      </w:r>
      <w:r w:rsidR="001A2E7B">
        <w:rPr>
          <w:rFonts w:ascii="Arial" w:hAnsi="Arial" w:cs="Arial"/>
          <w:sz w:val="24"/>
          <w:szCs w:val="24"/>
        </w:rPr>
        <w:t xml:space="preserve"> </w:t>
      </w:r>
      <w:r w:rsidRPr="001042B6">
        <w:rPr>
          <w:rFonts w:ascii="Arial" w:hAnsi="Arial" w:cs="Arial"/>
          <w:sz w:val="24"/>
          <w:szCs w:val="24"/>
        </w:rPr>
        <w:t>l</w:t>
      </w:r>
      <w:r w:rsidR="001A2E7B">
        <w:rPr>
          <w:rFonts w:ascii="Arial" w:hAnsi="Arial" w:cs="Arial"/>
          <w:sz w:val="24"/>
          <w:szCs w:val="24"/>
        </w:rPr>
        <w:t>a</w:t>
      </w:r>
      <w:r w:rsidRPr="001042B6">
        <w:rPr>
          <w:rFonts w:ascii="Arial" w:hAnsi="Arial" w:cs="Arial"/>
          <w:sz w:val="24"/>
          <w:szCs w:val="24"/>
        </w:rPr>
        <w:t xml:space="preserve"> actor</w:t>
      </w:r>
      <w:r w:rsidR="001A2E7B">
        <w:rPr>
          <w:rFonts w:ascii="Arial" w:hAnsi="Arial" w:cs="Arial"/>
          <w:sz w:val="24"/>
          <w:szCs w:val="24"/>
        </w:rPr>
        <w:t>a</w:t>
      </w:r>
      <w:r w:rsidRPr="001042B6">
        <w:rPr>
          <w:rFonts w:ascii="Arial" w:hAnsi="Arial" w:cs="Arial"/>
          <w:sz w:val="24"/>
          <w:szCs w:val="24"/>
        </w:rPr>
        <w:t xml:space="preserve"> </w:t>
      </w:r>
      <w:r w:rsidR="008A7721">
        <w:rPr>
          <w:rFonts w:ascii="Arial" w:hAnsi="Arial" w:cs="Arial"/>
          <w:sz w:val="24"/>
          <w:szCs w:val="24"/>
        </w:rPr>
        <w:t>***** ***** ***** *****</w:t>
      </w:r>
      <w:r w:rsidRPr="001042B6">
        <w:rPr>
          <w:rFonts w:ascii="Arial" w:hAnsi="Arial" w:cs="Arial"/>
          <w:sz w:val="24"/>
          <w:szCs w:val="24"/>
        </w:rPr>
        <w:t xml:space="preserve">, quedó legalmente acreditada en términos de los artículos 163 fracción I, inciso a) y 164, ambos de la Ley de Procedimiento y Justicia Administrativa para el Estado, pues </w:t>
      </w:r>
      <w:r>
        <w:rPr>
          <w:rFonts w:ascii="Arial" w:hAnsi="Arial" w:cs="Arial"/>
          <w:sz w:val="24"/>
          <w:szCs w:val="24"/>
        </w:rPr>
        <w:t xml:space="preserve">la autoridad </w:t>
      </w:r>
      <w:r w:rsidRPr="001042B6">
        <w:rPr>
          <w:rFonts w:ascii="Arial" w:hAnsi="Arial" w:cs="Arial"/>
          <w:sz w:val="24"/>
          <w:szCs w:val="24"/>
        </w:rPr>
        <w:t xml:space="preserve">demandada dio respuesta a su petición, </w:t>
      </w:r>
      <w:r>
        <w:rPr>
          <w:rFonts w:ascii="Arial" w:hAnsi="Arial" w:cs="Arial"/>
          <w:sz w:val="24"/>
          <w:szCs w:val="24"/>
        </w:rPr>
        <w:t>negando el pago solicitado</w:t>
      </w:r>
      <w:r w:rsidRPr="001042B6">
        <w:rPr>
          <w:rFonts w:ascii="Arial" w:hAnsi="Arial" w:cs="Arial"/>
          <w:sz w:val="24"/>
          <w:szCs w:val="24"/>
        </w:rPr>
        <w:t>, surgiendo así la afectación a su esfera jurídica, por la cual instaura el presente Juicio, por lo que sin duda quedó justificada su personalidad jurídica y legítima en el presente Juicio.</w:t>
      </w:r>
    </w:p>
    <w:p w14:paraId="03F14A1C" w14:textId="77777777" w:rsidR="007C7B26" w:rsidRPr="001042B6" w:rsidRDefault="007C7B26" w:rsidP="007C7B26">
      <w:pPr>
        <w:tabs>
          <w:tab w:val="center" w:pos="4574"/>
        </w:tabs>
        <w:spacing w:line="360" w:lineRule="auto"/>
        <w:ind w:firstLine="708"/>
        <w:jc w:val="both"/>
        <w:rPr>
          <w:rFonts w:ascii="Arial" w:hAnsi="Arial" w:cs="Arial"/>
          <w:sz w:val="24"/>
        </w:rPr>
      </w:pPr>
      <w:r w:rsidRPr="001042B6">
        <w:rPr>
          <w:rFonts w:ascii="Arial" w:hAnsi="Arial" w:cs="Arial"/>
          <w:sz w:val="24"/>
          <w:szCs w:val="24"/>
        </w:rPr>
        <w:t xml:space="preserve">Por lo que respecta a </w:t>
      </w:r>
      <w:r w:rsidRPr="001042B6">
        <w:rPr>
          <w:rFonts w:ascii="Arial" w:hAnsi="Arial" w:cs="Arial"/>
          <w:b/>
          <w:sz w:val="24"/>
          <w:szCs w:val="24"/>
        </w:rPr>
        <w:t>l</w:t>
      </w:r>
      <w:r w:rsidRPr="001042B6">
        <w:rPr>
          <w:rFonts w:ascii="Arial" w:hAnsi="Arial" w:cs="Arial"/>
          <w:b/>
          <w:sz w:val="24"/>
        </w:rPr>
        <w:t>a autoridad demandada</w:t>
      </w:r>
      <w:r w:rsidRPr="001042B6">
        <w:rPr>
          <w:rFonts w:ascii="Arial" w:hAnsi="Arial" w:cs="Arial"/>
          <w:sz w:val="24"/>
        </w:rPr>
        <w:t xml:space="preserve"> Director General de la Oficina de Pensiones, se tiene por acreditada su personalidad</w:t>
      </w:r>
      <w:r w:rsidR="00FA6AE7">
        <w:rPr>
          <w:rFonts w:ascii="Arial" w:hAnsi="Arial" w:cs="Arial"/>
          <w:sz w:val="24"/>
        </w:rPr>
        <w:t xml:space="preserve"> por disposición expresa </w:t>
      </w:r>
      <w:r w:rsidRPr="001042B6">
        <w:rPr>
          <w:rFonts w:ascii="Arial" w:hAnsi="Arial" w:cs="Arial"/>
          <w:sz w:val="24"/>
        </w:rPr>
        <w:t>del artículo 151 de la Ley de Procedimiento y Justicia Administrativa del Estado de Oaxaca, toda vez que ésta no fu</w:t>
      </w:r>
      <w:r w:rsidR="00FA6AE7">
        <w:rPr>
          <w:rFonts w:ascii="Arial" w:hAnsi="Arial" w:cs="Arial"/>
          <w:sz w:val="24"/>
        </w:rPr>
        <w:t>e impugnada por la parte actora</w:t>
      </w:r>
      <w:r w:rsidRPr="001042B6">
        <w:rPr>
          <w:rFonts w:ascii="Arial" w:hAnsi="Arial" w:cs="Arial"/>
          <w:sz w:val="24"/>
        </w:rPr>
        <w:t xml:space="preserve">.- - - - - - - - - - </w:t>
      </w:r>
      <w:r>
        <w:rPr>
          <w:rFonts w:ascii="Arial" w:hAnsi="Arial" w:cs="Arial"/>
          <w:sz w:val="24"/>
        </w:rPr>
        <w:t xml:space="preserve">- - - - - - - - - - - - - - - - - - - - - - - - - </w:t>
      </w:r>
      <w:r w:rsidR="005247FF">
        <w:rPr>
          <w:rFonts w:ascii="Arial" w:hAnsi="Arial" w:cs="Arial"/>
          <w:sz w:val="24"/>
        </w:rPr>
        <w:t xml:space="preserve">- - - - - - - - </w:t>
      </w:r>
    </w:p>
    <w:p w14:paraId="5AB4C34D" w14:textId="77777777" w:rsidR="007C7B26" w:rsidRPr="001042B6" w:rsidRDefault="007C7B26" w:rsidP="007C7B26">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QUINTO.-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63B5447A" w14:textId="77777777" w:rsidR="007C7B26" w:rsidRPr="001042B6" w:rsidRDefault="007C7B26" w:rsidP="007C7B26">
      <w:pPr>
        <w:pStyle w:val="corte4fondoCarCarCar"/>
        <w:spacing w:before="240"/>
        <w:ind w:firstLine="708"/>
        <w:rPr>
          <w:rFonts w:cs="Arial"/>
          <w:bCs/>
          <w:sz w:val="24"/>
        </w:rPr>
      </w:pPr>
      <w:r w:rsidRPr="001042B6">
        <w:rPr>
          <w:rFonts w:cs="Arial"/>
          <w:bCs/>
          <w:sz w:val="24"/>
        </w:rPr>
        <w:t>La autoridad demanda</w:t>
      </w:r>
      <w:r w:rsidR="00C20A30">
        <w:rPr>
          <w:rFonts w:cs="Arial"/>
          <w:bCs/>
          <w:sz w:val="24"/>
        </w:rPr>
        <w:t xml:space="preserve"> no hizo valer causales de improcedencia, y toda vez que este Juzgador no advierte de actualice alguna causa que impida conocer el fondo de este asunto, consecuentemente, </w:t>
      </w:r>
      <w:r w:rsidRPr="001042B6">
        <w:rPr>
          <w:rFonts w:cs="Arial"/>
          <w:bCs/>
          <w:sz w:val="24"/>
        </w:rPr>
        <w:t xml:space="preserve">este Juicio de Nulidad NO SE SOBRESEE.- - - </w:t>
      </w:r>
      <w:r>
        <w:rPr>
          <w:rFonts w:cs="Arial"/>
          <w:bCs/>
          <w:sz w:val="24"/>
        </w:rPr>
        <w:t>- - - - - - -</w:t>
      </w:r>
      <w:r w:rsidR="00C20A30">
        <w:rPr>
          <w:rFonts w:cs="Arial"/>
          <w:bCs/>
          <w:sz w:val="24"/>
        </w:rPr>
        <w:t xml:space="preserve"> - - - - - - - - - - - - - - - - - - - - - - - - - </w:t>
      </w:r>
    </w:p>
    <w:p w14:paraId="3C10DE8D" w14:textId="77777777" w:rsidR="007C7B26" w:rsidRPr="001042B6" w:rsidRDefault="007C7B26" w:rsidP="007C7B26">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SEXTO.-</w:t>
      </w:r>
      <w:r w:rsidRPr="001042B6">
        <w:rPr>
          <w:rFonts w:ascii="Arial" w:hAnsi="Arial" w:cs="Arial"/>
          <w:sz w:val="24"/>
          <w:szCs w:val="24"/>
        </w:rPr>
        <w:tab/>
        <w:t>Ahora bien, est</w:t>
      </w:r>
      <w:r w:rsidR="00C84412">
        <w:rPr>
          <w:rFonts w:ascii="Arial" w:hAnsi="Arial" w:cs="Arial"/>
          <w:sz w:val="24"/>
          <w:szCs w:val="24"/>
        </w:rPr>
        <w:t>e</w:t>
      </w:r>
      <w:r w:rsidRPr="001042B6">
        <w:rPr>
          <w:rFonts w:ascii="Arial" w:hAnsi="Arial" w:cs="Arial"/>
          <w:sz w:val="24"/>
          <w:szCs w:val="24"/>
        </w:rPr>
        <w:t xml:space="preserve"> Juzgador toma en cuenta los argumentos y pruebas ofrecidas por las partes, con los que arriba a la siguiente conclusión:</w:t>
      </w:r>
    </w:p>
    <w:p w14:paraId="6E36A614" w14:textId="77777777" w:rsidR="007C7B26" w:rsidRPr="001042B6" w:rsidRDefault="007C7B26" w:rsidP="007C7B26">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El punto medular de</w:t>
      </w:r>
      <w:r>
        <w:rPr>
          <w:rFonts w:ascii="Arial" w:hAnsi="Arial" w:cs="Arial"/>
          <w:sz w:val="24"/>
          <w:szCs w:val="24"/>
        </w:rPr>
        <w:t xml:space="preserve"> este asunto </w:t>
      </w:r>
      <w:r w:rsidRPr="001042B6">
        <w:rPr>
          <w:rFonts w:ascii="Arial" w:hAnsi="Arial" w:cs="Arial"/>
          <w:sz w:val="24"/>
          <w:szCs w:val="24"/>
        </w:rPr>
        <w:t xml:space="preserve">se centra, en </w:t>
      </w:r>
      <w:r>
        <w:rPr>
          <w:rFonts w:ascii="Arial" w:hAnsi="Arial" w:cs="Arial"/>
          <w:sz w:val="24"/>
          <w:szCs w:val="24"/>
        </w:rPr>
        <w:t>determinar si resulta procedente la</w:t>
      </w:r>
      <w:r w:rsidR="00C84412">
        <w:rPr>
          <w:rFonts w:ascii="Arial" w:hAnsi="Arial" w:cs="Arial"/>
          <w:sz w:val="24"/>
          <w:szCs w:val="24"/>
        </w:rPr>
        <w:t xml:space="preserve"> desaplicación solicitada por la</w:t>
      </w:r>
      <w:r>
        <w:rPr>
          <w:rFonts w:ascii="Arial" w:hAnsi="Arial" w:cs="Arial"/>
          <w:sz w:val="24"/>
          <w:szCs w:val="24"/>
        </w:rPr>
        <w:t xml:space="preserve"> actor</w:t>
      </w:r>
      <w:r w:rsidR="00C84412">
        <w:rPr>
          <w:rFonts w:ascii="Arial" w:hAnsi="Arial" w:cs="Arial"/>
          <w:sz w:val="24"/>
          <w:szCs w:val="24"/>
        </w:rPr>
        <w:t>a</w:t>
      </w:r>
      <w:r>
        <w:rPr>
          <w:rFonts w:ascii="Arial" w:hAnsi="Arial" w:cs="Arial"/>
          <w:sz w:val="24"/>
          <w:szCs w:val="24"/>
        </w:rPr>
        <w:t xml:space="preserve">, de los artículos 4, 14 y 63 </w:t>
      </w:r>
      <w:r w:rsidRPr="001042B6">
        <w:rPr>
          <w:rFonts w:ascii="Arial" w:hAnsi="Arial" w:cs="Arial"/>
          <w:sz w:val="24"/>
          <w:szCs w:val="24"/>
        </w:rPr>
        <w:t xml:space="preserve">de la Ley de Pensiones para los Trabajadores del Gobierno del Estado de </w:t>
      </w:r>
      <w:r w:rsidRPr="001042B6">
        <w:rPr>
          <w:rFonts w:ascii="Arial" w:hAnsi="Arial" w:cs="Arial"/>
          <w:sz w:val="24"/>
          <w:szCs w:val="24"/>
        </w:rPr>
        <w:lastRenderedPageBreak/>
        <w:t>Oaxaca</w:t>
      </w:r>
      <w:r>
        <w:rPr>
          <w:rFonts w:ascii="Arial" w:hAnsi="Arial" w:cs="Arial"/>
          <w:sz w:val="24"/>
          <w:szCs w:val="24"/>
        </w:rPr>
        <w:t>; específicamente el último de los referidos, que contempla el plazo de tres años como trámite para solicitar la devolución de los descuentos de la Oficina de Pensiones del Gobierno del Estado, porque la autoridad demandada negó dicha devolución basado en dicha hipótesis</w:t>
      </w:r>
      <w:r w:rsidR="009836F2">
        <w:rPr>
          <w:rFonts w:ascii="Arial" w:hAnsi="Arial" w:cs="Arial"/>
          <w:sz w:val="24"/>
          <w:szCs w:val="24"/>
        </w:rPr>
        <w:t xml:space="preserve">, es decir, que el derecho de la actora para solicitar la devolución </w:t>
      </w:r>
      <w:r>
        <w:rPr>
          <w:rFonts w:ascii="Arial" w:hAnsi="Arial" w:cs="Arial"/>
          <w:sz w:val="24"/>
          <w:szCs w:val="24"/>
        </w:rPr>
        <w:t>había prescrito, pues las aportaciones de</w:t>
      </w:r>
      <w:r w:rsidR="009836F2">
        <w:rPr>
          <w:rFonts w:ascii="Arial" w:hAnsi="Arial" w:cs="Arial"/>
          <w:sz w:val="24"/>
          <w:szCs w:val="24"/>
        </w:rPr>
        <w:t xml:space="preserve"> </w:t>
      </w:r>
      <w:r>
        <w:rPr>
          <w:rFonts w:ascii="Arial" w:hAnsi="Arial" w:cs="Arial"/>
          <w:sz w:val="24"/>
          <w:szCs w:val="24"/>
        </w:rPr>
        <w:t>l</w:t>
      </w:r>
      <w:r w:rsidR="009836F2">
        <w:rPr>
          <w:rFonts w:ascii="Arial" w:hAnsi="Arial" w:cs="Arial"/>
          <w:sz w:val="24"/>
          <w:szCs w:val="24"/>
        </w:rPr>
        <w:t>a</w:t>
      </w:r>
      <w:r>
        <w:rPr>
          <w:rFonts w:ascii="Arial" w:hAnsi="Arial" w:cs="Arial"/>
          <w:sz w:val="24"/>
          <w:szCs w:val="24"/>
        </w:rPr>
        <w:t xml:space="preserve"> actor</w:t>
      </w:r>
      <w:r w:rsidR="009836F2">
        <w:rPr>
          <w:rFonts w:ascii="Arial" w:hAnsi="Arial" w:cs="Arial"/>
          <w:sz w:val="24"/>
          <w:szCs w:val="24"/>
        </w:rPr>
        <w:t>a</w:t>
      </w:r>
      <w:r>
        <w:rPr>
          <w:rFonts w:ascii="Arial" w:hAnsi="Arial" w:cs="Arial"/>
          <w:sz w:val="24"/>
          <w:szCs w:val="24"/>
        </w:rPr>
        <w:t xml:space="preserve"> finalizaron </w:t>
      </w:r>
      <w:r w:rsidRPr="001042B6">
        <w:rPr>
          <w:rFonts w:ascii="Arial" w:hAnsi="Arial" w:cs="Arial"/>
          <w:sz w:val="24"/>
          <w:szCs w:val="24"/>
        </w:rPr>
        <w:t xml:space="preserve">el día treinta y uno de </w:t>
      </w:r>
      <w:r w:rsidR="009836F2">
        <w:rPr>
          <w:rFonts w:ascii="Arial" w:hAnsi="Arial" w:cs="Arial"/>
          <w:sz w:val="24"/>
          <w:szCs w:val="24"/>
        </w:rPr>
        <w:t>marzo</w:t>
      </w:r>
      <w:r w:rsidRPr="001042B6">
        <w:rPr>
          <w:rFonts w:ascii="Arial" w:hAnsi="Arial" w:cs="Arial"/>
          <w:sz w:val="24"/>
          <w:szCs w:val="24"/>
        </w:rPr>
        <w:t xml:space="preserve"> de dos mil</w:t>
      </w:r>
      <w:r w:rsidR="009836F2">
        <w:rPr>
          <w:rFonts w:ascii="Arial" w:hAnsi="Arial" w:cs="Arial"/>
          <w:sz w:val="24"/>
          <w:szCs w:val="24"/>
        </w:rPr>
        <w:t xml:space="preserve"> quince</w:t>
      </w:r>
      <w:r w:rsidRPr="001042B6">
        <w:rPr>
          <w:rFonts w:ascii="Arial" w:hAnsi="Arial" w:cs="Arial"/>
          <w:sz w:val="24"/>
          <w:szCs w:val="24"/>
        </w:rPr>
        <w:t xml:space="preserve"> (31/</w:t>
      </w:r>
      <w:r w:rsidR="009836F2">
        <w:rPr>
          <w:rFonts w:ascii="Arial" w:hAnsi="Arial" w:cs="Arial"/>
          <w:sz w:val="24"/>
          <w:szCs w:val="24"/>
        </w:rPr>
        <w:t>03/2015</w:t>
      </w:r>
      <w:r w:rsidRPr="001042B6">
        <w:rPr>
          <w:rFonts w:ascii="Arial" w:hAnsi="Arial" w:cs="Arial"/>
          <w:sz w:val="24"/>
          <w:szCs w:val="24"/>
        </w:rPr>
        <w:t>),</w:t>
      </w:r>
      <w:r>
        <w:rPr>
          <w:rFonts w:ascii="Arial" w:hAnsi="Arial" w:cs="Arial"/>
          <w:sz w:val="24"/>
          <w:szCs w:val="24"/>
        </w:rPr>
        <w:t xml:space="preserve"> por lo que en estricto apego al artículo 63 referido, el </w:t>
      </w:r>
      <w:r w:rsidRPr="001042B6">
        <w:rPr>
          <w:rFonts w:ascii="Arial" w:hAnsi="Arial" w:cs="Arial"/>
          <w:sz w:val="24"/>
          <w:szCs w:val="24"/>
        </w:rPr>
        <w:t xml:space="preserve">plazo para solicitar </w:t>
      </w:r>
      <w:r>
        <w:rPr>
          <w:rFonts w:ascii="Arial" w:hAnsi="Arial" w:cs="Arial"/>
          <w:sz w:val="24"/>
          <w:szCs w:val="24"/>
        </w:rPr>
        <w:t>su</w:t>
      </w:r>
      <w:r w:rsidRPr="001042B6">
        <w:rPr>
          <w:rFonts w:ascii="Arial" w:hAnsi="Arial" w:cs="Arial"/>
          <w:sz w:val="24"/>
          <w:szCs w:val="24"/>
        </w:rPr>
        <w:t xml:space="preserve"> devolución, feneció el día </w:t>
      </w:r>
      <w:r w:rsidR="009836F2">
        <w:rPr>
          <w:rFonts w:ascii="Arial" w:hAnsi="Arial" w:cs="Arial"/>
          <w:sz w:val="24"/>
          <w:szCs w:val="24"/>
        </w:rPr>
        <w:t>treinta de abril de dos mil dieciocho (30/04/2018),</w:t>
      </w:r>
      <w:r w:rsidRPr="001042B6">
        <w:rPr>
          <w:rFonts w:ascii="Arial" w:hAnsi="Arial" w:cs="Arial"/>
          <w:sz w:val="24"/>
          <w:szCs w:val="24"/>
        </w:rPr>
        <w:t xml:space="preserve"> </w:t>
      </w:r>
      <w:r>
        <w:rPr>
          <w:rFonts w:ascii="Arial" w:hAnsi="Arial" w:cs="Arial"/>
          <w:sz w:val="24"/>
          <w:szCs w:val="24"/>
        </w:rPr>
        <w:t xml:space="preserve">por lo que su </w:t>
      </w:r>
      <w:r w:rsidRPr="001042B6">
        <w:rPr>
          <w:rFonts w:ascii="Arial" w:hAnsi="Arial" w:cs="Arial"/>
          <w:sz w:val="24"/>
          <w:szCs w:val="24"/>
        </w:rPr>
        <w:t>solicitud present</w:t>
      </w:r>
      <w:r>
        <w:rPr>
          <w:rFonts w:ascii="Arial" w:hAnsi="Arial" w:cs="Arial"/>
          <w:sz w:val="24"/>
          <w:szCs w:val="24"/>
        </w:rPr>
        <w:t>ada</w:t>
      </w:r>
      <w:r w:rsidRPr="001042B6">
        <w:rPr>
          <w:rFonts w:ascii="Arial" w:hAnsi="Arial" w:cs="Arial"/>
          <w:sz w:val="24"/>
          <w:szCs w:val="24"/>
        </w:rPr>
        <w:t xml:space="preserve"> el día </w:t>
      </w:r>
      <w:r w:rsidR="00B568A3">
        <w:rPr>
          <w:rFonts w:ascii="Arial" w:hAnsi="Arial" w:cs="Arial"/>
          <w:sz w:val="24"/>
          <w:szCs w:val="24"/>
        </w:rPr>
        <w:t>trece de marzo de dos mil veinte (13/03/2020), se encon</w:t>
      </w:r>
      <w:r>
        <w:rPr>
          <w:rFonts w:ascii="Arial" w:hAnsi="Arial" w:cs="Arial"/>
          <w:sz w:val="24"/>
          <w:szCs w:val="24"/>
        </w:rPr>
        <w:t>tra</w:t>
      </w:r>
      <w:r w:rsidR="00B568A3">
        <w:rPr>
          <w:rFonts w:ascii="Arial" w:hAnsi="Arial" w:cs="Arial"/>
          <w:sz w:val="24"/>
          <w:szCs w:val="24"/>
        </w:rPr>
        <w:t>ba</w:t>
      </w:r>
      <w:r>
        <w:rPr>
          <w:rFonts w:ascii="Arial" w:hAnsi="Arial" w:cs="Arial"/>
          <w:sz w:val="24"/>
          <w:szCs w:val="24"/>
        </w:rPr>
        <w:t xml:space="preserve"> fuera del plazo previsto en la ley</w:t>
      </w:r>
      <w:r w:rsidRPr="001042B6">
        <w:rPr>
          <w:rFonts w:ascii="Arial" w:hAnsi="Arial" w:cs="Arial"/>
          <w:sz w:val="24"/>
          <w:szCs w:val="24"/>
        </w:rPr>
        <w:t>.</w:t>
      </w:r>
    </w:p>
    <w:p w14:paraId="418E4BD2" w14:textId="77777777" w:rsidR="007C7B26" w:rsidRPr="001042B6" w:rsidRDefault="007C7B26" w:rsidP="007C7B26">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 xml:space="preserve">Ahora bien, el más alto Tribunal del País, ha </w:t>
      </w:r>
      <w:r>
        <w:rPr>
          <w:rFonts w:ascii="Arial" w:hAnsi="Arial" w:cs="Arial"/>
          <w:sz w:val="24"/>
          <w:szCs w:val="24"/>
        </w:rPr>
        <w:t xml:space="preserve">destacado </w:t>
      </w:r>
      <w:r w:rsidRPr="001042B6">
        <w:rPr>
          <w:rFonts w:ascii="Arial" w:hAnsi="Arial" w:cs="Arial"/>
          <w:sz w:val="24"/>
          <w:szCs w:val="24"/>
        </w:rPr>
        <w:t xml:space="preserve">que los principios de seguridad y certeza jurídica dispuestos en los artículos 14 y 16 de la Constitución Política de los Estados Unidos Mexicanos, se </w:t>
      </w:r>
      <w:r>
        <w:rPr>
          <w:rFonts w:ascii="Arial" w:hAnsi="Arial" w:cs="Arial"/>
          <w:sz w:val="24"/>
          <w:szCs w:val="24"/>
        </w:rPr>
        <w:t xml:space="preserve">deben </w:t>
      </w:r>
      <w:r w:rsidRPr="001042B6">
        <w:rPr>
          <w:rFonts w:ascii="Arial" w:hAnsi="Arial" w:cs="Arial"/>
          <w:sz w:val="24"/>
          <w:szCs w:val="24"/>
        </w:rPr>
        <w:t>respeta</w:t>
      </w:r>
      <w:r>
        <w:rPr>
          <w:rFonts w:ascii="Arial" w:hAnsi="Arial" w:cs="Arial"/>
          <w:sz w:val="24"/>
          <w:szCs w:val="24"/>
        </w:rPr>
        <w:t>r</w:t>
      </w:r>
      <w:r w:rsidRPr="001042B6">
        <w:rPr>
          <w:rFonts w:ascii="Arial" w:hAnsi="Arial" w:cs="Arial"/>
          <w:sz w:val="24"/>
          <w:szCs w:val="24"/>
        </w:rPr>
        <w:t xml:space="preserve"> por las autoridades legislativas,</w:t>
      </w:r>
      <w:r>
        <w:rPr>
          <w:rFonts w:ascii="Arial" w:hAnsi="Arial" w:cs="Arial"/>
          <w:sz w:val="24"/>
          <w:szCs w:val="24"/>
        </w:rPr>
        <w:t xml:space="preserve"> en los siguientes supuestos:</w:t>
      </w:r>
      <w:r w:rsidRPr="001042B6">
        <w:rPr>
          <w:rFonts w:ascii="Arial" w:hAnsi="Arial" w:cs="Arial"/>
          <w:sz w:val="24"/>
          <w:szCs w:val="24"/>
        </w:rPr>
        <w:t xml:space="preserve"> cuando las disposiciones de observancia general que crean</w:t>
      </w:r>
      <w:r>
        <w:rPr>
          <w:rFonts w:ascii="Arial" w:hAnsi="Arial" w:cs="Arial"/>
          <w:sz w:val="24"/>
          <w:szCs w:val="24"/>
        </w:rPr>
        <w:t>, genere</w:t>
      </w:r>
      <w:r w:rsidRPr="001042B6">
        <w:rPr>
          <w:rFonts w:ascii="Arial" w:hAnsi="Arial" w:cs="Arial"/>
          <w:sz w:val="24"/>
          <w:szCs w:val="24"/>
        </w:rPr>
        <w:t>n certidumbre a sus destinatarios sobre las consecu</w:t>
      </w:r>
      <w:r>
        <w:rPr>
          <w:rFonts w:ascii="Arial" w:hAnsi="Arial" w:cs="Arial"/>
          <w:sz w:val="24"/>
          <w:szCs w:val="24"/>
        </w:rPr>
        <w:t>encias jurídicas de su conducta;</w:t>
      </w:r>
      <w:r w:rsidRPr="001042B6">
        <w:rPr>
          <w:rFonts w:ascii="Arial" w:hAnsi="Arial" w:cs="Arial"/>
          <w:sz w:val="24"/>
          <w:szCs w:val="24"/>
        </w:rPr>
        <w:t xml:space="preserve"> </w:t>
      </w:r>
      <w:r>
        <w:rPr>
          <w:rFonts w:ascii="Arial" w:hAnsi="Arial" w:cs="Arial"/>
          <w:sz w:val="24"/>
          <w:szCs w:val="24"/>
        </w:rPr>
        <w:t xml:space="preserve">luego entonces, </w:t>
      </w:r>
      <w:r w:rsidRPr="001042B6">
        <w:rPr>
          <w:rFonts w:ascii="Arial" w:hAnsi="Arial" w:cs="Arial"/>
          <w:sz w:val="24"/>
          <w:szCs w:val="24"/>
        </w:rPr>
        <w:t xml:space="preserve">cuando se configure alguna facultad a </w:t>
      </w:r>
      <w:r>
        <w:rPr>
          <w:rFonts w:ascii="Arial" w:hAnsi="Arial" w:cs="Arial"/>
          <w:sz w:val="24"/>
          <w:szCs w:val="24"/>
        </w:rPr>
        <w:t>la</w:t>
      </w:r>
      <w:r w:rsidRPr="001042B6">
        <w:rPr>
          <w:rFonts w:ascii="Arial" w:hAnsi="Arial" w:cs="Arial"/>
          <w:sz w:val="24"/>
          <w:szCs w:val="24"/>
        </w:rPr>
        <w:t xml:space="preserve"> autoridad, esas garantías se cumplen </w:t>
      </w:r>
      <w:r>
        <w:rPr>
          <w:rFonts w:ascii="Arial" w:hAnsi="Arial" w:cs="Arial"/>
          <w:sz w:val="24"/>
          <w:szCs w:val="24"/>
        </w:rPr>
        <w:t xml:space="preserve">sólo </w:t>
      </w:r>
      <w:r w:rsidRPr="001042B6">
        <w:rPr>
          <w:rFonts w:ascii="Arial" w:hAnsi="Arial" w:cs="Arial"/>
          <w:sz w:val="24"/>
          <w:szCs w:val="24"/>
        </w:rPr>
        <w:t xml:space="preserve">cuando acotan en la medida necesaria y razonable tal atribución, en forma tal que se impida a la autoridad </w:t>
      </w:r>
      <w:proofErr w:type="spellStart"/>
      <w:r w:rsidRPr="001042B6">
        <w:rPr>
          <w:rFonts w:ascii="Arial" w:hAnsi="Arial" w:cs="Arial"/>
          <w:sz w:val="24"/>
          <w:szCs w:val="24"/>
        </w:rPr>
        <w:t>aplicadora</w:t>
      </w:r>
      <w:proofErr w:type="spellEnd"/>
      <w:r w:rsidRPr="001042B6">
        <w:rPr>
          <w:rFonts w:ascii="Arial" w:hAnsi="Arial" w:cs="Arial"/>
          <w:sz w:val="24"/>
          <w:szCs w:val="24"/>
        </w:rPr>
        <w:t xml:space="preserve"> actuar de manera arbitraria. </w:t>
      </w:r>
    </w:p>
    <w:p w14:paraId="0AFF8930" w14:textId="77777777" w:rsidR="007C7B26" w:rsidRDefault="007C7B26" w:rsidP="007C7B26">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 xml:space="preserve">En esas consideraciones, se </w:t>
      </w:r>
      <w:r>
        <w:rPr>
          <w:rFonts w:ascii="Arial" w:hAnsi="Arial" w:cs="Arial"/>
          <w:sz w:val="24"/>
          <w:szCs w:val="24"/>
        </w:rPr>
        <w:t xml:space="preserve">atiende </w:t>
      </w:r>
      <w:r w:rsidRPr="001042B6">
        <w:rPr>
          <w:rFonts w:ascii="Arial" w:hAnsi="Arial" w:cs="Arial"/>
          <w:sz w:val="24"/>
          <w:szCs w:val="24"/>
        </w:rPr>
        <w:t>que</w:t>
      </w:r>
      <w:r>
        <w:rPr>
          <w:rFonts w:ascii="Arial" w:hAnsi="Arial" w:cs="Arial"/>
          <w:sz w:val="24"/>
          <w:szCs w:val="24"/>
        </w:rPr>
        <w:t xml:space="preserve"> el razonamiento de la demandada basado en </w:t>
      </w:r>
      <w:r w:rsidRPr="00D63670">
        <w:rPr>
          <w:rFonts w:ascii="Arial" w:hAnsi="Arial" w:cs="Arial"/>
          <w:b/>
          <w:sz w:val="24"/>
          <w:szCs w:val="24"/>
        </w:rPr>
        <w:t>el artículo 63</w:t>
      </w:r>
      <w:r w:rsidRPr="001042B6">
        <w:rPr>
          <w:rFonts w:ascii="Arial" w:hAnsi="Arial" w:cs="Arial"/>
          <w:sz w:val="24"/>
          <w:szCs w:val="24"/>
        </w:rPr>
        <w:t xml:space="preserve"> de la Ley de Pensiones para los Trabajadores del Gobierno del Estado de Oaxaca, </w:t>
      </w:r>
      <w:r w:rsidRPr="001042B6">
        <w:rPr>
          <w:rFonts w:ascii="Arial" w:hAnsi="Arial" w:cs="Arial"/>
          <w:b/>
          <w:sz w:val="24"/>
          <w:szCs w:val="24"/>
        </w:rPr>
        <w:t>contraviene los principios de seguridad  y certeza jurídica</w:t>
      </w:r>
      <w:r w:rsidR="00692FFF">
        <w:rPr>
          <w:rFonts w:ascii="Arial" w:hAnsi="Arial" w:cs="Arial"/>
          <w:b/>
          <w:sz w:val="24"/>
          <w:szCs w:val="24"/>
        </w:rPr>
        <w:t xml:space="preserve"> y por ello debe considerarse su desaplicación en favor de la aquí actora</w:t>
      </w:r>
      <w:r w:rsidRPr="001042B6">
        <w:rPr>
          <w:rFonts w:ascii="Arial" w:hAnsi="Arial" w:cs="Arial"/>
          <w:sz w:val="24"/>
          <w:szCs w:val="24"/>
        </w:rPr>
        <w:t xml:space="preserve">, </w:t>
      </w:r>
      <w:r>
        <w:rPr>
          <w:rFonts w:ascii="Arial" w:hAnsi="Arial" w:cs="Arial"/>
          <w:sz w:val="24"/>
          <w:szCs w:val="24"/>
        </w:rPr>
        <w:t>porque</w:t>
      </w:r>
      <w:r w:rsidR="00F66942">
        <w:rPr>
          <w:rFonts w:ascii="Arial" w:hAnsi="Arial" w:cs="Arial"/>
          <w:sz w:val="24"/>
          <w:szCs w:val="24"/>
        </w:rPr>
        <w:t xml:space="preserve"> en dicho precepto</w:t>
      </w:r>
      <w:r>
        <w:rPr>
          <w:rFonts w:ascii="Arial" w:hAnsi="Arial" w:cs="Arial"/>
          <w:sz w:val="24"/>
          <w:szCs w:val="24"/>
        </w:rPr>
        <w:t xml:space="preserve"> </w:t>
      </w:r>
      <w:r w:rsidRPr="001042B6">
        <w:rPr>
          <w:rFonts w:ascii="Arial" w:hAnsi="Arial" w:cs="Arial"/>
          <w:sz w:val="24"/>
          <w:szCs w:val="24"/>
        </w:rPr>
        <w:t>no señala con precisión el momento en que comenzará a contar el plazo de tres años que prescribe, y tampoco prevé que se dé oportun</w:t>
      </w:r>
      <w:r>
        <w:rPr>
          <w:rFonts w:ascii="Arial" w:hAnsi="Arial" w:cs="Arial"/>
          <w:sz w:val="24"/>
          <w:szCs w:val="24"/>
        </w:rPr>
        <w:t>o</w:t>
      </w:r>
      <w:r w:rsidRPr="001042B6">
        <w:rPr>
          <w:rFonts w:ascii="Arial" w:hAnsi="Arial" w:cs="Arial"/>
          <w:sz w:val="24"/>
          <w:szCs w:val="24"/>
        </w:rPr>
        <w:t xml:space="preserve"> aviso al asegurado o a sus beneficiarios a efecto de evitar que opere la prescripción de</w:t>
      </w:r>
      <w:r w:rsidR="00367E94">
        <w:rPr>
          <w:rFonts w:ascii="Arial" w:hAnsi="Arial" w:cs="Arial"/>
          <w:sz w:val="24"/>
          <w:szCs w:val="24"/>
        </w:rPr>
        <w:t>l</w:t>
      </w:r>
      <w:r w:rsidRPr="001042B6">
        <w:rPr>
          <w:rFonts w:ascii="Arial" w:hAnsi="Arial" w:cs="Arial"/>
          <w:sz w:val="24"/>
          <w:szCs w:val="24"/>
        </w:rPr>
        <w:t xml:space="preserve"> derecho a la devolución de los descuentos efectuados por el Fondo de Pensiones, lo que evidencia la </w:t>
      </w:r>
      <w:r w:rsidRPr="0043781C">
        <w:rPr>
          <w:rFonts w:ascii="Arial" w:hAnsi="Arial" w:cs="Arial"/>
          <w:b/>
          <w:sz w:val="24"/>
          <w:szCs w:val="24"/>
        </w:rPr>
        <w:t>incertidumbre jurídica sobre el particular</w:t>
      </w:r>
      <w:r w:rsidRPr="001042B6">
        <w:rPr>
          <w:rFonts w:ascii="Arial" w:hAnsi="Arial" w:cs="Arial"/>
          <w:sz w:val="24"/>
          <w:szCs w:val="24"/>
        </w:rPr>
        <w:t>, pues ante el desconocimiento de tales circunstancias,</w:t>
      </w:r>
      <w:r>
        <w:rPr>
          <w:rFonts w:ascii="Arial" w:hAnsi="Arial" w:cs="Arial"/>
          <w:sz w:val="24"/>
          <w:szCs w:val="24"/>
        </w:rPr>
        <w:t xml:space="preserve"> se</w:t>
      </w:r>
      <w:r w:rsidRPr="001042B6">
        <w:rPr>
          <w:rFonts w:ascii="Arial" w:hAnsi="Arial" w:cs="Arial"/>
          <w:sz w:val="24"/>
          <w:szCs w:val="24"/>
        </w:rPr>
        <w:t xml:space="preserve"> le impide conocer el derecho que tiene a la devolución </w:t>
      </w:r>
      <w:r>
        <w:rPr>
          <w:rFonts w:ascii="Arial" w:hAnsi="Arial" w:cs="Arial"/>
          <w:sz w:val="24"/>
          <w:szCs w:val="24"/>
        </w:rPr>
        <w:t xml:space="preserve">de los descuentos </w:t>
      </w:r>
      <w:r w:rsidRPr="001042B6">
        <w:rPr>
          <w:rFonts w:ascii="Arial" w:hAnsi="Arial" w:cs="Arial"/>
          <w:sz w:val="24"/>
          <w:szCs w:val="24"/>
        </w:rPr>
        <w:t>y el momento en que inicia el cómputo para solicitarlo, y con ello</w:t>
      </w:r>
      <w:r w:rsidR="00367E94">
        <w:rPr>
          <w:rFonts w:ascii="Arial" w:hAnsi="Arial" w:cs="Arial"/>
          <w:sz w:val="24"/>
          <w:szCs w:val="24"/>
        </w:rPr>
        <w:t>,</w:t>
      </w:r>
      <w:r w:rsidRPr="001042B6">
        <w:rPr>
          <w:rFonts w:ascii="Arial" w:hAnsi="Arial" w:cs="Arial"/>
          <w:sz w:val="24"/>
          <w:szCs w:val="24"/>
        </w:rPr>
        <w:t xml:space="preserve"> la violación al derecho humano a la seguridad social que consagra el artículo 123, Apartado B, </w:t>
      </w:r>
      <w:r w:rsidRPr="002537F6">
        <w:rPr>
          <w:rFonts w:ascii="Arial" w:hAnsi="Arial" w:cs="Arial"/>
          <w:sz w:val="24"/>
          <w:szCs w:val="24"/>
        </w:rPr>
        <w:t>fracción XI, de la Constitución Política de lo</w:t>
      </w:r>
      <w:r>
        <w:rPr>
          <w:rFonts w:ascii="Arial" w:hAnsi="Arial" w:cs="Arial"/>
          <w:sz w:val="24"/>
          <w:szCs w:val="24"/>
        </w:rPr>
        <w:t xml:space="preserve">s Estados Unidos Mexicanos, estos razonamientos han sido un criterio adoptado por el Pleno de la Suprema Corte de Justicia de </w:t>
      </w:r>
      <w:r>
        <w:rPr>
          <w:rFonts w:ascii="Arial" w:hAnsi="Arial" w:cs="Arial"/>
          <w:sz w:val="24"/>
          <w:szCs w:val="24"/>
        </w:rPr>
        <w:lastRenderedPageBreak/>
        <w:t>la Nación, en la Jurisprudencia con número de registro 165969, y adoptado por la segunda Sala del más alto Tribunal, al resolver el Amparo en Revisión 934/2014.</w:t>
      </w:r>
    </w:p>
    <w:p w14:paraId="083EBE5F" w14:textId="77777777" w:rsidR="007C7B26" w:rsidRDefault="007C7B26" w:rsidP="007C7B26">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Ahora bien, sentando lo anterior, también se toma en cuenta que la</w:t>
      </w:r>
      <w:r w:rsidR="00AA7BAB">
        <w:rPr>
          <w:rFonts w:ascii="Arial" w:hAnsi="Arial" w:cs="Arial"/>
          <w:sz w:val="24"/>
          <w:szCs w:val="24"/>
        </w:rPr>
        <w:t>s aportaciones realizadas por la</w:t>
      </w:r>
      <w:r>
        <w:rPr>
          <w:rFonts w:ascii="Arial" w:hAnsi="Arial" w:cs="Arial"/>
          <w:sz w:val="24"/>
          <w:szCs w:val="24"/>
        </w:rPr>
        <w:t xml:space="preserve"> actor</w:t>
      </w:r>
      <w:r w:rsidR="00AA7BAB">
        <w:rPr>
          <w:rFonts w:ascii="Arial" w:hAnsi="Arial" w:cs="Arial"/>
          <w:sz w:val="24"/>
          <w:szCs w:val="24"/>
        </w:rPr>
        <w:t>a</w:t>
      </w:r>
      <w:r>
        <w:rPr>
          <w:rFonts w:ascii="Arial" w:hAnsi="Arial" w:cs="Arial"/>
          <w:sz w:val="24"/>
          <w:szCs w:val="24"/>
        </w:rPr>
        <w:t xml:space="preserve"> tienen como finalidad garantizar la protección al derecho a la seguridad social, por lo que no basta desaplicar el artículo 63 de la </w:t>
      </w:r>
      <w:r w:rsidRPr="001042B6">
        <w:rPr>
          <w:rFonts w:ascii="Arial" w:hAnsi="Arial" w:cs="Arial"/>
          <w:sz w:val="24"/>
          <w:szCs w:val="24"/>
        </w:rPr>
        <w:t>Ley de Pensiones para los Trabajadores del Gobierno del Estado de Oaxaca</w:t>
      </w:r>
      <w:r>
        <w:rPr>
          <w:rFonts w:ascii="Arial" w:hAnsi="Arial" w:cs="Arial"/>
          <w:sz w:val="24"/>
          <w:szCs w:val="24"/>
        </w:rPr>
        <w:t xml:space="preserve">, que se refiere a la restricción del tiempo para la solicitud, sino que además, en el presente asunto existe una restricción </w:t>
      </w:r>
      <w:r w:rsidR="00AE7DDB">
        <w:rPr>
          <w:rFonts w:ascii="Arial" w:hAnsi="Arial" w:cs="Arial"/>
          <w:sz w:val="24"/>
          <w:szCs w:val="24"/>
        </w:rPr>
        <w:t>aun mayor, porque la actora result</w:t>
      </w:r>
      <w:r w:rsidR="000418A4">
        <w:rPr>
          <w:rFonts w:ascii="Arial" w:hAnsi="Arial" w:cs="Arial"/>
          <w:sz w:val="24"/>
          <w:szCs w:val="24"/>
        </w:rPr>
        <w:t>ó</w:t>
      </w:r>
      <w:r w:rsidR="00AE7DDB">
        <w:rPr>
          <w:rFonts w:ascii="Arial" w:hAnsi="Arial" w:cs="Arial"/>
          <w:sz w:val="24"/>
          <w:szCs w:val="24"/>
        </w:rPr>
        <w:t xml:space="preserve"> </w:t>
      </w:r>
      <w:r>
        <w:rPr>
          <w:rFonts w:ascii="Arial" w:hAnsi="Arial" w:cs="Arial"/>
          <w:sz w:val="24"/>
          <w:szCs w:val="24"/>
        </w:rPr>
        <w:t xml:space="preserve">ser </w:t>
      </w:r>
      <w:r w:rsidRPr="00A17AA5">
        <w:rPr>
          <w:rFonts w:ascii="Arial" w:hAnsi="Arial" w:cs="Arial"/>
          <w:b/>
          <w:sz w:val="24"/>
          <w:szCs w:val="24"/>
        </w:rPr>
        <w:t>t</w:t>
      </w:r>
      <w:r w:rsidRPr="002162D7">
        <w:rPr>
          <w:rFonts w:ascii="Arial" w:hAnsi="Arial" w:cs="Arial"/>
          <w:b/>
          <w:sz w:val="24"/>
          <w:szCs w:val="24"/>
        </w:rPr>
        <w:t>rabajador</w:t>
      </w:r>
      <w:r w:rsidR="000418A4">
        <w:rPr>
          <w:rFonts w:ascii="Arial" w:hAnsi="Arial" w:cs="Arial"/>
          <w:b/>
          <w:sz w:val="24"/>
          <w:szCs w:val="24"/>
        </w:rPr>
        <w:t>a</w:t>
      </w:r>
      <w:r w:rsidRPr="002162D7">
        <w:rPr>
          <w:rFonts w:ascii="Arial" w:hAnsi="Arial" w:cs="Arial"/>
          <w:b/>
          <w:sz w:val="24"/>
          <w:szCs w:val="24"/>
        </w:rPr>
        <w:t xml:space="preserve"> de confianza</w:t>
      </w:r>
      <w:r>
        <w:rPr>
          <w:rFonts w:ascii="Arial" w:hAnsi="Arial" w:cs="Arial"/>
          <w:sz w:val="24"/>
          <w:szCs w:val="24"/>
        </w:rPr>
        <w:t xml:space="preserve">, dato que </w:t>
      </w:r>
      <w:r w:rsidR="00C04195">
        <w:rPr>
          <w:rFonts w:ascii="Arial" w:hAnsi="Arial" w:cs="Arial"/>
          <w:sz w:val="24"/>
          <w:szCs w:val="24"/>
        </w:rPr>
        <w:t>fue corroborado por la actora en su escrito de demanda</w:t>
      </w:r>
      <w:r>
        <w:rPr>
          <w:rFonts w:ascii="Arial" w:hAnsi="Arial" w:cs="Arial"/>
          <w:sz w:val="24"/>
          <w:szCs w:val="24"/>
        </w:rPr>
        <w:t>; luego entonces, al ser trabajador</w:t>
      </w:r>
      <w:r w:rsidR="00C04195">
        <w:rPr>
          <w:rFonts w:ascii="Arial" w:hAnsi="Arial" w:cs="Arial"/>
          <w:sz w:val="24"/>
          <w:szCs w:val="24"/>
        </w:rPr>
        <w:t>a</w:t>
      </w:r>
      <w:r>
        <w:rPr>
          <w:rFonts w:ascii="Arial" w:hAnsi="Arial" w:cs="Arial"/>
          <w:sz w:val="24"/>
          <w:szCs w:val="24"/>
        </w:rPr>
        <w:t xml:space="preserve"> de confianza, no está considerad</w:t>
      </w:r>
      <w:r w:rsidR="00C04195">
        <w:rPr>
          <w:rFonts w:ascii="Arial" w:hAnsi="Arial" w:cs="Arial"/>
          <w:sz w:val="24"/>
          <w:szCs w:val="24"/>
        </w:rPr>
        <w:t>a</w:t>
      </w:r>
      <w:r>
        <w:rPr>
          <w:rFonts w:ascii="Arial" w:hAnsi="Arial" w:cs="Arial"/>
          <w:sz w:val="24"/>
          <w:szCs w:val="24"/>
        </w:rPr>
        <w:t xml:space="preserve"> para obtener la devolución de los descuentos, debido a que </w:t>
      </w:r>
      <w:r w:rsidR="00C04195">
        <w:rPr>
          <w:rFonts w:ascii="Arial" w:hAnsi="Arial" w:cs="Arial"/>
          <w:sz w:val="24"/>
          <w:szCs w:val="24"/>
        </w:rPr>
        <w:t xml:space="preserve">en </w:t>
      </w:r>
      <w:r>
        <w:rPr>
          <w:rFonts w:ascii="Arial" w:hAnsi="Arial" w:cs="Arial"/>
          <w:sz w:val="24"/>
          <w:szCs w:val="24"/>
        </w:rPr>
        <w:t xml:space="preserve">el artículo 64 de la Ley de Pensiones multicitada, únicamente tienen ese derecho los trabajadores con la categoría de base, empero, </w:t>
      </w:r>
      <w:r w:rsidRPr="00F57CD2">
        <w:rPr>
          <w:rFonts w:ascii="Arial" w:hAnsi="Arial" w:cs="Arial"/>
          <w:b/>
          <w:sz w:val="24"/>
          <w:szCs w:val="24"/>
        </w:rPr>
        <w:t>AMPLIANDO LA PROTECCIÓN DE LOS DERECHOS HUMANOS</w:t>
      </w:r>
      <w:r>
        <w:rPr>
          <w:rFonts w:ascii="Arial" w:hAnsi="Arial" w:cs="Arial"/>
          <w:sz w:val="24"/>
          <w:szCs w:val="24"/>
        </w:rPr>
        <w:t xml:space="preserve"> de</w:t>
      </w:r>
      <w:r w:rsidR="00C04195">
        <w:rPr>
          <w:rFonts w:ascii="Arial" w:hAnsi="Arial" w:cs="Arial"/>
          <w:sz w:val="24"/>
          <w:szCs w:val="24"/>
        </w:rPr>
        <w:t xml:space="preserve"> </w:t>
      </w:r>
      <w:r>
        <w:rPr>
          <w:rFonts w:ascii="Arial" w:hAnsi="Arial" w:cs="Arial"/>
          <w:sz w:val="24"/>
          <w:szCs w:val="24"/>
        </w:rPr>
        <w:t>l</w:t>
      </w:r>
      <w:r w:rsidR="00C04195">
        <w:rPr>
          <w:rFonts w:ascii="Arial" w:hAnsi="Arial" w:cs="Arial"/>
          <w:sz w:val="24"/>
          <w:szCs w:val="24"/>
        </w:rPr>
        <w:t>a</w:t>
      </w:r>
      <w:r>
        <w:rPr>
          <w:rFonts w:ascii="Arial" w:hAnsi="Arial" w:cs="Arial"/>
          <w:sz w:val="24"/>
          <w:szCs w:val="24"/>
        </w:rPr>
        <w:t xml:space="preserve"> actor</w:t>
      </w:r>
      <w:r w:rsidR="00C04195">
        <w:rPr>
          <w:rFonts w:ascii="Arial" w:hAnsi="Arial" w:cs="Arial"/>
          <w:sz w:val="24"/>
          <w:szCs w:val="24"/>
        </w:rPr>
        <w:t>a</w:t>
      </w:r>
      <w:r>
        <w:rPr>
          <w:rFonts w:ascii="Arial" w:hAnsi="Arial" w:cs="Arial"/>
          <w:sz w:val="24"/>
          <w:szCs w:val="24"/>
        </w:rPr>
        <w:t xml:space="preserve">, de conformidad con el segundo párrafo del artículo 1 de la Constitución Política de los Estados Unidos Mexicanos, y </w:t>
      </w:r>
      <w:r w:rsidRPr="005C2CC0">
        <w:rPr>
          <w:rFonts w:ascii="Arial" w:hAnsi="Arial" w:cs="Arial"/>
          <w:b/>
          <w:sz w:val="24"/>
          <w:szCs w:val="24"/>
        </w:rPr>
        <w:t xml:space="preserve">SUPLIENDO LA DEFICIENCIA DE LA QUEJA </w:t>
      </w:r>
      <w:r>
        <w:rPr>
          <w:rFonts w:ascii="Arial" w:hAnsi="Arial" w:cs="Arial"/>
          <w:sz w:val="24"/>
          <w:szCs w:val="24"/>
        </w:rPr>
        <w:t xml:space="preserve">en su favor, de conformidad </w:t>
      </w:r>
      <w:r w:rsidRPr="001042B6">
        <w:rPr>
          <w:rFonts w:ascii="Arial" w:hAnsi="Arial" w:cs="Arial"/>
          <w:sz w:val="24"/>
          <w:szCs w:val="24"/>
        </w:rPr>
        <w:t>en los artículos 149 y 206 de la Ley de Procedimiento y Justicia Administrativa para el Estado de Oaxaca</w:t>
      </w:r>
      <w:r>
        <w:rPr>
          <w:rFonts w:ascii="Arial" w:hAnsi="Arial" w:cs="Arial"/>
          <w:sz w:val="24"/>
          <w:szCs w:val="24"/>
        </w:rPr>
        <w:t>, est</w:t>
      </w:r>
      <w:r w:rsidR="00C04195">
        <w:rPr>
          <w:rFonts w:ascii="Arial" w:hAnsi="Arial" w:cs="Arial"/>
          <w:sz w:val="24"/>
          <w:szCs w:val="24"/>
        </w:rPr>
        <w:t>e</w:t>
      </w:r>
      <w:r>
        <w:rPr>
          <w:rFonts w:ascii="Arial" w:hAnsi="Arial" w:cs="Arial"/>
          <w:sz w:val="24"/>
          <w:szCs w:val="24"/>
        </w:rPr>
        <w:t xml:space="preserve"> Juzgador realiza el análisis respecto a la </w:t>
      </w:r>
      <w:r w:rsidRPr="007D6FD4">
        <w:rPr>
          <w:rFonts w:ascii="Arial" w:hAnsi="Arial" w:cs="Arial"/>
          <w:b/>
          <w:sz w:val="24"/>
          <w:szCs w:val="24"/>
        </w:rPr>
        <w:t>desincorporación del artículo 64</w:t>
      </w:r>
      <w:r>
        <w:rPr>
          <w:rFonts w:ascii="Arial" w:hAnsi="Arial" w:cs="Arial"/>
          <w:sz w:val="24"/>
          <w:szCs w:val="24"/>
        </w:rPr>
        <w:t xml:space="preserve"> citado, de la esfera jurídica del actor</w:t>
      </w:r>
      <w:r w:rsidR="00C04195">
        <w:rPr>
          <w:rFonts w:ascii="Arial" w:hAnsi="Arial" w:cs="Arial"/>
          <w:sz w:val="24"/>
          <w:szCs w:val="24"/>
        </w:rPr>
        <w:t>a</w:t>
      </w:r>
      <w:r>
        <w:rPr>
          <w:rFonts w:ascii="Arial" w:hAnsi="Arial" w:cs="Arial"/>
          <w:sz w:val="24"/>
          <w:szCs w:val="24"/>
        </w:rPr>
        <w:t>, al considerar éste discriminatorio, como se verá más adelante.</w:t>
      </w:r>
    </w:p>
    <w:p w14:paraId="6A1A045F" w14:textId="77777777" w:rsidR="007C7B26" w:rsidRDefault="007C7B26" w:rsidP="007C7B26">
      <w:pPr>
        <w:tabs>
          <w:tab w:val="left" w:pos="284"/>
          <w:tab w:val="left" w:pos="567"/>
        </w:tabs>
        <w:spacing w:before="240" w:line="360" w:lineRule="auto"/>
        <w:jc w:val="both"/>
        <w:rPr>
          <w:rFonts w:ascii="Arial" w:hAnsi="Arial" w:cs="Arial"/>
          <w:sz w:val="24"/>
          <w:szCs w:val="24"/>
        </w:rPr>
      </w:pPr>
      <w:r w:rsidRPr="007D6FD4">
        <w:rPr>
          <w:rFonts w:ascii="Arial" w:hAnsi="Arial" w:cs="Arial"/>
          <w:sz w:val="24"/>
          <w:szCs w:val="24"/>
        </w:rPr>
        <w:tab/>
        <w:t>Pues bien, los descuentos a cargo del Fondo de Pensiones para el Estado de Oaxaca, tiene como fin brindar certeza jurídica al trabajador sobre los recursos que pagaran su pensión</w:t>
      </w:r>
      <w:r>
        <w:rPr>
          <w:rFonts w:ascii="Arial" w:hAnsi="Arial" w:cs="Arial"/>
          <w:sz w:val="24"/>
          <w:szCs w:val="24"/>
        </w:rPr>
        <w:t>, cuando alcance determinados supuestos</w:t>
      </w:r>
      <w:r w:rsidRPr="007D6FD4">
        <w:rPr>
          <w:rFonts w:ascii="Arial" w:hAnsi="Arial" w:cs="Arial"/>
          <w:sz w:val="24"/>
          <w:szCs w:val="24"/>
        </w:rPr>
        <w:t>,</w:t>
      </w:r>
      <w:r>
        <w:rPr>
          <w:rFonts w:ascii="Arial" w:hAnsi="Arial" w:cs="Arial"/>
          <w:sz w:val="24"/>
          <w:szCs w:val="24"/>
        </w:rPr>
        <w:t xml:space="preserve"> los cuales se encuentran previstos en la Ley de Pensiones multicitada,</w:t>
      </w:r>
      <w:r w:rsidRPr="007D6FD4">
        <w:rPr>
          <w:rFonts w:ascii="Arial" w:hAnsi="Arial" w:cs="Arial"/>
          <w:sz w:val="24"/>
          <w:szCs w:val="24"/>
        </w:rPr>
        <w:t xml:space="preserve"> empero, cuando el trabajador no alcance a cubrir los supuestos para la obtención a una pensión o se separe del servicio, la propia Ley de Pensiones para los Trabajadores del Gobierno del Estado de Oaxaca, en </w:t>
      </w:r>
      <w:r>
        <w:rPr>
          <w:rFonts w:ascii="Arial" w:hAnsi="Arial" w:cs="Arial"/>
          <w:sz w:val="24"/>
          <w:szCs w:val="24"/>
        </w:rPr>
        <w:t xml:space="preserve">el citado </w:t>
      </w:r>
      <w:r w:rsidRPr="007D6FD4">
        <w:rPr>
          <w:rFonts w:ascii="Arial" w:hAnsi="Arial" w:cs="Arial"/>
          <w:sz w:val="24"/>
          <w:szCs w:val="24"/>
        </w:rPr>
        <w:t>artículo 64, contempla las modalidades para que los asegurados puedan obtener la devolución de los descuentos acumulados en el Fondo de Pensiones</w:t>
      </w:r>
      <w:r>
        <w:rPr>
          <w:rFonts w:ascii="Arial" w:hAnsi="Arial" w:cs="Arial"/>
          <w:sz w:val="24"/>
          <w:szCs w:val="24"/>
        </w:rPr>
        <w:t>,</w:t>
      </w:r>
      <w:r w:rsidRPr="007D6FD4">
        <w:rPr>
          <w:rFonts w:ascii="Arial" w:hAnsi="Arial" w:cs="Arial"/>
          <w:sz w:val="24"/>
          <w:szCs w:val="24"/>
        </w:rPr>
        <w:t xml:space="preserve"> y ello obedece sin duda</w:t>
      </w:r>
      <w:r>
        <w:rPr>
          <w:rFonts w:ascii="Arial" w:hAnsi="Arial" w:cs="Arial"/>
          <w:sz w:val="24"/>
          <w:szCs w:val="24"/>
        </w:rPr>
        <w:t>,</w:t>
      </w:r>
      <w:r w:rsidRPr="007D6FD4">
        <w:rPr>
          <w:rFonts w:ascii="Arial" w:hAnsi="Arial" w:cs="Arial"/>
          <w:sz w:val="24"/>
          <w:szCs w:val="24"/>
        </w:rPr>
        <w:t xml:space="preserve"> a la protección al derecho humano y universal a la seguridad social, por lo que la devolución de que se habla, garantiza otros derechos ligados intrínsecamente al de seguridad social, como es el derecho a la salud, a un vida diga etc., pues cuando el trabajador se separe</w:t>
      </w:r>
      <w:r>
        <w:rPr>
          <w:rFonts w:ascii="Arial" w:hAnsi="Arial" w:cs="Arial"/>
          <w:sz w:val="24"/>
          <w:szCs w:val="24"/>
        </w:rPr>
        <w:t>,</w:t>
      </w:r>
      <w:r w:rsidRPr="007D6FD4">
        <w:rPr>
          <w:rFonts w:ascii="Arial" w:hAnsi="Arial" w:cs="Arial"/>
          <w:sz w:val="24"/>
          <w:szCs w:val="24"/>
        </w:rPr>
        <w:t xml:space="preserve"> o sea separado definitivamente del servicio</w:t>
      </w:r>
      <w:r>
        <w:rPr>
          <w:rFonts w:ascii="Arial" w:hAnsi="Arial" w:cs="Arial"/>
          <w:sz w:val="24"/>
          <w:szCs w:val="24"/>
        </w:rPr>
        <w:t>,</w:t>
      </w:r>
      <w:r w:rsidRPr="007D6FD4">
        <w:rPr>
          <w:rFonts w:ascii="Arial" w:hAnsi="Arial" w:cs="Arial"/>
          <w:sz w:val="24"/>
          <w:szCs w:val="24"/>
        </w:rPr>
        <w:t xml:space="preserve"> y no tenga derecho a una pensión, surge el derecho a la devolución de sus aportaciones, las </w:t>
      </w:r>
      <w:r w:rsidRPr="007D6FD4">
        <w:rPr>
          <w:rFonts w:ascii="Arial" w:hAnsi="Arial" w:cs="Arial"/>
          <w:sz w:val="24"/>
          <w:szCs w:val="24"/>
        </w:rPr>
        <w:lastRenderedPageBreak/>
        <w:t>cuáles garantizan que mientras se encuentre en desempleo</w:t>
      </w:r>
      <w:r>
        <w:rPr>
          <w:rFonts w:ascii="Arial" w:hAnsi="Arial" w:cs="Arial"/>
          <w:sz w:val="24"/>
          <w:szCs w:val="24"/>
        </w:rPr>
        <w:t>,</w:t>
      </w:r>
      <w:r w:rsidRPr="007D6FD4">
        <w:rPr>
          <w:rFonts w:ascii="Arial" w:hAnsi="Arial" w:cs="Arial"/>
          <w:sz w:val="24"/>
          <w:szCs w:val="24"/>
        </w:rPr>
        <w:t xml:space="preserve"> tenga los recursos necesarios para subsistir, incluso para la subsistencia y manute</w:t>
      </w:r>
      <w:r>
        <w:rPr>
          <w:rFonts w:ascii="Arial" w:hAnsi="Arial" w:cs="Arial"/>
          <w:sz w:val="24"/>
          <w:szCs w:val="24"/>
        </w:rPr>
        <w:t>nción de los que de él dependan</w:t>
      </w:r>
      <w:r w:rsidRPr="007D6FD4">
        <w:rPr>
          <w:rFonts w:ascii="Arial" w:hAnsi="Arial" w:cs="Arial"/>
          <w:sz w:val="24"/>
          <w:szCs w:val="24"/>
        </w:rPr>
        <w:t>.</w:t>
      </w:r>
      <w:r>
        <w:rPr>
          <w:rFonts w:ascii="Arial" w:hAnsi="Arial" w:cs="Arial"/>
          <w:sz w:val="24"/>
          <w:szCs w:val="24"/>
        </w:rPr>
        <w:t xml:space="preserve"> </w:t>
      </w:r>
    </w:p>
    <w:p w14:paraId="0326A3C1" w14:textId="77777777" w:rsidR="007C7B26" w:rsidRDefault="007C7B26" w:rsidP="007C7B26">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Pr="007D6FD4">
        <w:rPr>
          <w:rFonts w:ascii="Arial" w:hAnsi="Arial" w:cs="Arial"/>
          <w:sz w:val="24"/>
          <w:szCs w:val="24"/>
        </w:rPr>
        <w:t>Por otra parte, la Organización Internacional del Trabajo</w:t>
      </w:r>
      <w:r>
        <w:rPr>
          <w:rFonts w:ascii="Arial" w:hAnsi="Arial" w:cs="Arial"/>
          <w:sz w:val="24"/>
          <w:szCs w:val="24"/>
        </w:rPr>
        <w:t xml:space="preserve"> (OIT),</w:t>
      </w:r>
      <w:r w:rsidRPr="007D6FD4">
        <w:rPr>
          <w:rFonts w:ascii="Arial" w:hAnsi="Arial" w:cs="Arial"/>
          <w:sz w:val="24"/>
          <w:szCs w:val="24"/>
        </w:rPr>
        <w:t xml:space="preserve"> ha considerado que el derecho humano a la seguridad social</w:t>
      </w:r>
      <w:r>
        <w:rPr>
          <w:rFonts w:ascii="Arial" w:hAnsi="Arial" w:cs="Arial"/>
          <w:sz w:val="24"/>
          <w:szCs w:val="24"/>
        </w:rPr>
        <w:t>,</w:t>
      </w:r>
      <w:r w:rsidRPr="007D6FD4">
        <w:rPr>
          <w:rFonts w:ascii="Arial" w:hAnsi="Arial" w:cs="Arial"/>
          <w:sz w:val="24"/>
          <w:szCs w:val="24"/>
        </w:rPr>
        <w:t xml:space="preserve"> es la protección que una sociedad proporciona a los individuos y los hogares</w:t>
      </w:r>
      <w:r>
        <w:rPr>
          <w:rFonts w:ascii="Arial" w:hAnsi="Arial" w:cs="Arial"/>
          <w:sz w:val="24"/>
          <w:szCs w:val="24"/>
        </w:rPr>
        <w:t>,</w:t>
      </w:r>
      <w:r w:rsidRPr="007D6FD4">
        <w:rPr>
          <w:rFonts w:ascii="Arial" w:hAnsi="Arial" w:cs="Arial"/>
          <w:sz w:val="24"/>
          <w:szCs w:val="24"/>
        </w:rPr>
        <w:t xml:space="preserve"> para asegurar el acceso a la asistencia médica y </w:t>
      </w:r>
      <w:r w:rsidRPr="007D6FD4">
        <w:rPr>
          <w:rFonts w:ascii="Arial" w:hAnsi="Arial" w:cs="Arial"/>
          <w:b/>
          <w:sz w:val="24"/>
          <w:szCs w:val="24"/>
        </w:rPr>
        <w:t>garantizar la seguridad al ingreso</w:t>
      </w:r>
      <w:r w:rsidRPr="007D6FD4">
        <w:rPr>
          <w:rFonts w:ascii="Arial" w:hAnsi="Arial" w:cs="Arial"/>
          <w:sz w:val="24"/>
          <w:szCs w:val="24"/>
        </w:rPr>
        <w:t xml:space="preserve">, en particular en caso de vejez, </w:t>
      </w:r>
      <w:r w:rsidRPr="007D6FD4">
        <w:rPr>
          <w:rFonts w:ascii="Arial" w:hAnsi="Arial" w:cs="Arial"/>
          <w:b/>
          <w:sz w:val="24"/>
          <w:szCs w:val="24"/>
        </w:rPr>
        <w:t>desempleo</w:t>
      </w:r>
      <w:r w:rsidRPr="007D6FD4">
        <w:rPr>
          <w:rFonts w:ascii="Arial" w:hAnsi="Arial" w:cs="Arial"/>
          <w:sz w:val="24"/>
          <w:szCs w:val="24"/>
        </w:rPr>
        <w:t xml:space="preserve">, enfermedad, invalidez, accidentes del trabajo, maternidad o pérdida del sostén de familia (Organización Internacional del Trabajo, Hechos Concretos sobre la Seguridad Social. Suiza, Ginebra, OIT, 200, p.1), además, el Comité de Derechos Económicos Sociales y Culturales en su Observación General No. 9, </w:t>
      </w:r>
      <w:r>
        <w:rPr>
          <w:rFonts w:ascii="Arial" w:hAnsi="Arial" w:cs="Arial"/>
          <w:sz w:val="24"/>
          <w:szCs w:val="24"/>
        </w:rPr>
        <w:t>“</w:t>
      </w:r>
      <w:r w:rsidRPr="007D6FD4">
        <w:rPr>
          <w:rFonts w:ascii="Arial" w:hAnsi="Arial" w:cs="Arial"/>
          <w:sz w:val="24"/>
          <w:szCs w:val="24"/>
        </w:rPr>
        <w:t>El Derecho a la Seguridad Social, artículo 9</w:t>
      </w:r>
      <w:r>
        <w:rPr>
          <w:rFonts w:ascii="Arial" w:hAnsi="Arial" w:cs="Arial"/>
          <w:sz w:val="24"/>
          <w:szCs w:val="24"/>
        </w:rPr>
        <w:t>”</w:t>
      </w:r>
      <w:r w:rsidRPr="007D6FD4">
        <w:rPr>
          <w:rFonts w:ascii="Arial" w:hAnsi="Arial" w:cs="Arial"/>
          <w:sz w:val="24"/>
          <w:szCs w:val="24"/>
        </w:rPr>
        <w:t>, comparte el núcleo esencial precis</w:t>
      </w:r>
      <w:r>
        <w:rPr>
          <w:rFonts w:ascii="Arial" w:hAnsi="Arial" w:cs="Arial"/>
          <w:sz w:val="24"/>
          <w:szCs w:val="24"/>
        </w:rPr>
        <w:t>ado por la OIT, y señala que el</w:t>
      </w:r>
      <w:r w:rsidRPr="007D6FD4">
        <w:rPr>
          <w:rFonts w:ascii="Arial" w:hAnsi="Arial" w:cs="Arial"/>
          <w:sz w:val="24"/>
          <w:szCs w:val="24"/>
        </w:rPr>
        <w:t xml:space="preserve"> derecho humano a la seguridad social también</w:t>
      </w:r>
      <w:r>
        <w:rPr>
          <w:rFonts w:ascii="Arial" w:hAnsi="Arial" w:cs="Arial"/>
          <w:sz w:val="24"/>
          <w:szCs w:val="24"/>
        </w:rPr>
        <w:t>,</w:t>
      </w:r>
      <w:r w:rsidRPr="007D6FD4">
        <w:rPr>
          <w:rFonts w:ascii="Arial" w:hAnsi="Arial" w:cs="Arial"/>
          <w:sz w:val="24"/>
          <w:szCs w:val="24"/>
        </w:rPr>
        <w:t xml:space="preserve"> incluye</w:t>
      </w:r>
      <w:r>
        <w:rPr>
          <w:rFonts w:ascii="Arial" w:hAnsi="Arial" w:cs="Arial"/>
          <w:sz w:val="24"/>
          <w:szCs w:val="24"/>
        </w:rPr>
        <w:t xml:space="preserve"> </w:t>
      </w:r>
      <w:r w:rsidRPr="007D6FD4">
        <w:rPr>
          <w:rFonts w:ascii="Arial" w:hAnsi="Arial" w:cs="Arial"/>
          <w:sz w:val="24"/>
          <w:szCs w:val="24"/>
        </w:rPr>
        <w:t xml:space="preserve">el </w:t>
      </w:r>
      <w:r w:rsidRPr="007D6FD4">
        <w:rPr>
          <w:rFonts w:ascii="Arial" w:hAnsi="Arial" w:cs="Arial"/>
          <w:b/>
          <w:sz w:val="24"/>
          <w:szCs w:val="24"/>
        </w:rPr>
        <w:t>derecho a obtener</w:t>
      </w:r>
      <w:r w:rsidRPr="007D6FD4">
        <w:rPr>
          <w:rFonts w:ascii="Arial" w:hAnsi="Arial" w:cs="Arial"/>
          <w:sz w:val="24"/>
          <w:szCs w:val="24"/>
        </w:rPr>
        <w:t xml:space="preserve"> </w:t>
      </w:r>
      <w:r w:rsidRPr="00054606">
        <w:rPr>
          <w:rFonts w:ascii="Arial" w:hAnsi="Arial" w:cs="Arial"/>
          <w:b/>
          <w:sz w:val="24"/>
          <w:szCs w:val="24"/>
        </w:rPr>
        <w:t>y mantener</w:t>
      </w:r>
      <w:r w:rsidRPr="007D6FD4">
        <w:rPr>
          <w:rFonts w:ascii="Arial" w:hAnsi="Arial" w:cs="Arial"/>
          <w:sz w:val="24"/>
          <w:szCs w:val="24"/>
        </w:rPr>
        <w:t xml:space="preserve"> </w:t>
      </w:r>
      <w:r w:rsidRPr="007D6FD4">
        <w:rPr>
          <w:rFonts w:ascii="Arial" w:hAnsi="Arial" w:cs="Arial"/>
          <w:b/>
          <w:sz w:val="24"/>
          <w:szCs w:val="24"/>
        </w:rPr>
        <w:t>prestaciones sociales</w:t>
      </w:r>
      <w:r w:rsidRPr="007D6FD4">
        <w:rPr>
          <w:rFonts w:ascii="Arial" w:hAnsi="Arial" w:cs="Arial"/>
          <w:sz w:val="24"/>
          <w:szCs w:val="24"/>
        </w:rPr>
        <w:t xml:space="preserve">, ya sea </w:t>
      </w:r>
      <w:r w:rsidRPr="007D6FD4">
        <w:rPr>
          <w:rFonts w:ascii="Arial" w:hAnsi="Arial" w:cs="Arial"/>
          <w:b/>
          <w:sz w:val="24"/>
          <w:szCs w:val="24"/>
        </w:rPr>
        <w:t>en efectivo</w:t>
      </w:r>
      <w:r w:rsidRPr="007D6FD4">
        <w:rPr>
          <w:rFonts w:ascii="Arial" w:hAnsi="Arial" w:cs="Arial"/>
          <w:sz w:val="24"/>
          <w:szCs w:val="24"/>
        </w:rPr>
        <w:t xml:space="preserve"> o en especie, </w:t>
      </w:r>
      <w:r w:rsidRPr="007D6FD4">
        <w:rPr>
          <w:rFonts w:ascii="Arial" w:hAnsi="Arial" w:cs="Arial"/>
          <w:b/>
          <w:sz w:val="24"/>
          <w:szCs w:val="24"/>
        </w:rPr>
        <w:t>sin discriminación</w:t>
      </w:r>
      <w:r w:rsidRPr="007D6FD4">
        <w:rPr>
          <w:rFonts w:ascii="Arial" w:hAnsi="Arial" w:cs="Arial"/>
          <w:sz w:val="24"/>
          <w:szCs w:val="24"/>
        </w:rPr>
        <w:t>, con el fin de obtener protección, en particular, contra: a) la falta de ingresos procedentes del trabajo debido a enfermedad, invalidez, maternidad, accidente laboral, vejez o muerte de un familiar; b) gastos excesivos de atención a la salud; c) apoyo familiar insuficiente, en particular para los hijos y los familiares a cargo (Organización de las Naciones Unidas, Observación General No. 19. El derecho a la seguridad social, artículo 9, Ginebra Suiza, ONU, Consejo Económico y Social, Comité de Derechos Económicos, Sociales y Culturales, 39 periodo de sesiones, 2007, p.2).</w:t>
      </w:r>
      <w:r>
        <w:rPr>
          <w:rFonts w:ascii="Arial" w:hAnsi="Arial" w:cs="Arial"/>
          <w:sz w:val="24"/>
          <w:szCs w:val="24"/>
        </w:rPr>
        <w:t xml:space="preserve"> </w:t>
      </w:r>
      <w:r w:rsidRPr="007D6FD4">
        <w:rPr>
          <w:rFonts w:ascii="Arial" w:hAnsi="Arial" w:cs="Arial"/>
          <w:sz w:val="24"/>
          <w:szCs w:val="24"/>
        </w:rPr>
        <w:t xml:space="preserve">En la legislación Nacional, específicamente en el artículo 123 Apartado B, fracción XI, </w:t>
      </w:r>
      <w:r>
        <w:rPr>
          <w:rFonts w:ascii="Arial" w:hAnsi="Arial" w:cs="Arial"/>
          <w:sz w:val="24"/>
          <w:szCs w:val="24"/>
        </w:rPr>
        <w:t xml:space="preserve">de la Constitución Política de los Estados Unidos Mexicanos, </w:t>
      </w:r>
      <w:r w:rsidRPr="007D6FD4">
        <w:rPr>
          <w:rFonts w:ascii="Arial" w:hAnsi="Arial" w:cs="Arial"/>
          <w:sz w:val="24"/>
          <w:szCs w:val="24"/>
        </w:rPr>
        <w:t>se establecen bases mínimas de la seguridad social, y en ese tenor</w:t>
      </w:r>
      <w:r>
        <w:rPr>
          <w:rFonts w:ascii="Arial" w:hAnsi="Arial" w:cs="Arial"/>
          <w:sz w:val="24"/>
          <w:szCs w:val="24"/>
        </w:rPr>
        <w:t>,</w:t>
      </w:r>
      <w:r w:rsidRPr="007D6FD4">
        <w:rPr>
          <w:rFonts w:ascii="Arial" w:hAnsi="Arial" w:cs="Arial"/>
          <w:sz w:val="24"/>
          <w:szCs w:val="24"/>
        </w:rPr>
        <w:t xml:space="preserve"> resulta indiscutible que el derecho a la seguridad social es un derecho reconocido y protegido tanto por la legislación nacional como la internaciona</w:t>
      </w:r>
      <w:r w:rsidRPr="00AB739D">
        <w:rPr>
          <w:rFonts w:ascii="Arial" w:hAnsi="Arial" w:cs="Arial"/>
          <w:sz w:val="24"/>
          <w:szCs w:val="24"/>
        </w:rPr>
        <w:t>l, que no permite discriminación</w:t>
      </w:r>
      <w:r>
        <w:rPr>
          <w:rFonts w:ascii="Arial" w:hAnsi="Arial" w:cs="Arial"/>
          <w:sz w:val="24"/>
          <w:szCs w:val="24"/>
        </w:rPr>
        <w:t xml:space="preserve"> alguna.</w:t>
      </w:r>
      <w:r w:rsidRPr="001042B6">
        <w:rPr>
          <w:rFonts w:ascii="Arial" w:hAnsi="Arial" w:cs="Arial"/>
          <w:sz w:val="24"/>
          <w:szCs w:val="24"/>
        </w:rPr>
        <w:t xml:space="preserve"> </w:t>
      </w:r>
    </w:p>
    <w:p w14:paraId="7C64E486" w14:textId="77777777" w:rsidR="007C7B26" w:rsidRPr="001042B6" w:rsidRDefault="00F9284A" w:rsidP="007C7B26">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Por estas razones, es que este</w:t>
      </w:r>
      <w:r w:rsidR="007C7B26">
        <w:rPr>
          <w:rFonts w:ascii="Arial" w:hAnsi="Arial" w:cs="Arial"/>
          <w:sz w:val="24"/>
          <w:szCs w:val="24"/>
        </w:rPr>
        <w:t xml:space="preserve"> Juzgador considera que </w:t>
      </w:r>
      <w:r w:rsidR="007C7B26" w:rsidRPr="001042B6">
        <w:rPr>
          <w:rFonts w:ascii="Arial" w:hAnsi="Arial" w:cs="Arial"/>
          <w:b/>
          <w:sz w:val="24"/>
          <w:szCs w:val="24"/>
        </w:rPr>
        <w:t>no asiste razón a la autoridad demandada</w:t>
      </w:r>
      <w:r w:rsidR="007C7B26" w:rsidRPr="001042B6">
        <w:rPr>
          <w:rFonts w:ascii="Arial" w:hAnsi="Arial" w:cs="Arial"/>
          <w:sz w:val="24"/>
          <w:szCs w:val="24"/>
        </w:rPr>
        <w:t xml:space="preserve"> en la contestación de demanda, al sostener que un trabajador de confianza no tiene derecho a la devolución de sus aportaciones, </w:t>
      </w:r>
      <w:r w:rsidR="007C7B26">
        <w:rPr>
          <w:rFonts w:ascii="Arial" w:hAnsi="Arial" w:cs="Arial"/>
          <w:sz w:val="24"/>
          <w:szCs w:val="24"/>
        </w:rPr>
        <w:t xml:space="preserve">sólo </w:t>
      </w:r>
      <w:r w:rsidR="007C7B26" w:rsidRPr="001042B6">
        <w:rPr>
          <w:rFonts w:ascii="Arial" w:hAnsi="Arial" w:cs="Arial"/>
          <w:sz w:val="24"/>
          <w:szCs w:val="24"/>
        </w:rPr>
        <w:t>los trabajadores de base, pues deja de observar que aun cuando en la Ley de Pensiones para los Trabajadores del Gobierno del Estado no se encuentra plasmado expresamente ese derecho, existen disposiciones constitucionales que forman técnicas sustitutivas para brindar respuesta eficaz a la petición de</w:t>
      </w:r>
      <w:r>
        <w:rPr>
          <w:rFonts w:ascii="Arial" w:hAnsi="Arial" w:cs="Arial"/>
          <w:sz w:val="24"/>
          <w:szCs w:val="24"/>
        </w:rPr>
        <w:t xml:space="preserve"> </w:t>
      </w:r>
      <w:r w:rsidR="007C7B26" w:rsidRPr="001042B6">
        <w:rPr>
          <w:rFonts w:ascii="Arial" w:hAnsi="Arial" w:cs="Arial"/>
          <w:sz w:val="24"/>
          <w:szCs w:val="24"/>
        </w:rPr>
        <w:t>l</w:t>
      </w:r>
      <w:r>
        <w:rPr>
          <w:rFonts w:ascii="Arial" w:hAnsi="Arial" w:cs="Arial"/>
          <w:sz w:val="24"/>
          <w:szCs w:val="24"/>
        </w:rPr>
        <w:t>a</w:t>
      </w:r>
      <w:r w:rsidR="007C7B26" w:rsidRPr="001042B6">
        <w:rPr>
          <w:rFonts w:ascii="Arial" w:hAnsi="Arial" w:cs="Arial"/>
          <w:sz w:val="24"/>
          <w:szCs w:val="24"/>
        </w:rPr>
        <w:t xml:space="preserve"> hoy actor</w:t>
      </w:r>
      <w:r>
        <w:rPr>
          <w:rFonts w:ascii="Arial" w:hAnsi="Arial" w:cs="Arial"/>
          <w:sz w:val="24"/>
          <w:szCs w:val="24"/>
        </w:rPr>
        <w:t>a</w:t>
      </w:r>
      <w:r w:rsidR="007C7B26" w:rsidRPr="001042B6">
        <w:rPr>
          <w:rFonts w:ascii="Arial" w:hAnsi="Arial" w:cs="Arial"/>
          <w:sz w:val="24"/>
          <w:szCs w:val="24"/>
        </w:rPr>
        <w:t>, pues es de destacarse</w:t>
      </w:r>
      <w:r w:rsidR="007C7B26">
        <w:rPr>
          <w:rFonts w:ascii="Arial" w:hAnsi="Arial" w:cs="Arial"/>
          <w:sz w:val="24"/>
          <w:szCs w:val="24"/>
        </w:rPr>
        <w:t>,</w:t>
      </w:r>
      <w:r w:rsidR="007C7B26" w:rsidRPr="001042B6">
        <w:rPr>
          <w:rFonts w:ascii="Arial" w:hAnsi="Arial" w:cs="Arial"/>
          <w:sz w:val="24"/>
          <w:szCs w:val="24"/>
        </w:rPr>
        <w:t xml:space="preserve"> que </w:t>
      </w:r>
      <w:r w:rsidR="007C7B26" w:rsidRPr="001042B6">
        <w:rPr>
          <w:rFonts w:ascii="Arial" w:hAnsi="Arial" w:cs="Arial"/>
          <w:sz w:val="24"/>
          <w:szCs w:val="24"/>
        </w:rPr>
        <w:lastRenderedPageBreak/>
        <w:t>las aportaciones reclamadas formaban parte de su salario, y que su deducción se establece con el ánimo de protección y nunca de causarle un perjuicio, aunado a que en la legislación internacional, específicamente en El Protocolo de Reformas a la Carta de la Organización de los Estados Americanos “Protocolo de Buenos Aires”, en su artículo 44</w:t>
      </w:r>
      <w:r w:rsidR="007C7B26">
        <w:rPr>
          <w:rFonts w:ascii="Arial" w:hAnsi="Arial" w:cs="Arial"/>
          <w:sz w:val="24"/>
          <w:szCs w:val="24"/>
        </w:rPr>
        <w:t>, se</w:t>
      </w:r>
      <w:r w:rsidR="007C7B26" w:rsidRPr="001042B6">
        <w:rPr>
          <w:rFonts w:ascii="Arial" w:hAnsi="Arial" w:cs="Arial"/>
          <w:sz w:val="24"/>
          <w:szCs w:val="24"/>
        </w:rPr>
        <w:t xml:space="preserve"> establece que los </w:t>
      </w:r>
      <w:r w:rsidR="00CE5022" w:rsidRPr="001042B6">
        <w:rPr>
          <w:rFonts w:ascii="Arial" w:hAnsi="Arial" w:cs="Arial"/>
          <w:sz w:val="24"/>
          <w:szCs w:val="24"/>
        </w:rPr>
        <w:t xml:space="preserve">Estados </w:t>
      </w:r>
      <w:r w:rsidR="007C7B26" w:rsidRPr="001042B6">
        <w:rPr>
          <w:rFonts w:ascii="Arial" w:hAnsi="Arial" w:cs="Arial"/>
          <w:sz w:val="24"/>
          <w:szCs w:val="24"/>
        </w:rPr>
        <w:t>miembros</w:t>
      </w:r>
      <w:r w:rsidR="007C7B26">
        <w:rPr>
          <w:rFonts w:ascii="Arial" w:hAnsi="Arial" w:cs="Arial"/>
          <w:sz w:val="24"/>
          <w:szCs w:val="24"/>
        </w:rPr>
        <w:t>,</w:t>
      </w:r>
      <w:r w:rsidR="007C7B26" w:rsidRPr="001042B6">
        <w:rPr>
          <w:rFonts w:ascii="Arial" w:hAnsi="Arial" w:cs="Arial"/>
          <w:sz w:val="24"/>
          <w:szCs w:val="24"/>
        </w:rPr>
        <w:t xml:space="preserve"> reconocen que para facilitar el proceso de la integración regional latinoamericana, </w:t>
      </w:r>
      <w:r w:rsidR="007C7B26">
        <w:rPr>
          <w:rFonts w:ascii="Arial" w:hAnsi="Arial" w:cs="Arial"/>
          <w:sz w:val="24"/>
          <w:szCs w:val="24"/>
        </w:rPr>
        <w:t xml:space="preserve">se deberá </w:t>
      </w:r>
      <w:r w:rsidR="007C7B26" w:rsidRPr="001042B6">
        <w:rPr>
          <w:rFonts w:ascii="Arial" w:hAnsi="Arial" w:cs="Arial"/>
          <w:sz w:val="24"/>
          <w:szCs w:val="24"/>
        </w:rPr>
        <w:t xml:space="preserve">armonizar la legislación social de los países en desarrollo, especialmente en el campo laboral y de la seguridad social, a fin de que </w:t>
      </w:r>
      <w:r w:rsidR="007C7B26" w:rsidRPr="008A3AB2">
        <w:rPr>
          <w:rFonts w:ascii="Arial" w:hAnsi="Arial" w:cs="Arial"/>
          <w:b/>
          <w:sz w:val="24"/>
          <w:szCs w:val="24"/>
        </w:rPr>
        <w:t>los derechos de los trabajadores sean igualmente protegidos</w:t>
      </w:r>
      <w:r w:rsidR="007C7B26" w:rsidRPr="001042B6">
        <w:rPr>
          <w:rFonts w:ascii="Arial" w:hAnsi="Arial" w:cs="Arial"/>
          <w:sz w:val="24"/>
          <w:szCs w:val="24"/>
        </w:rPr>
        <w:t xml:space="preserve"> y conviene en realizar los máximos esfuerzos para alcanzar esa finalidad, </w:t>
      </w:r>
      <w:r w:rsidR="007C7B26">
        <w:rPr>
          <w:rFonts w:ascii="Arial" w:hAnsi="Arial" w:cs="Arial"/>
          <w:sz w:val="24"/>
          <w:szCs w:val="24"/>
        </w:rPr>
        <w:t>luego entonces,</w:t>
      </w:r>
      <w:r w:rsidR="007C7B26" w:rsidRPr="001042B6">
        <w:rPr>
          <w:rFonts w:ascii="Arial" w:hAnsi="Arial" w:cs="Arial"/>
          <w:sz w:val="24"/>
          <w:szCs w:val="24"/>
        </w:rPr>
        <w:t xml:space="preserve"> como acertadamente lo refirió la demandada, en la ley de pensiones en vigor, existe el derecho de los trabajadores de base para obtener la devolución de sus aportaciones al fondo de</w:t>
      </w:r>
      <w:r w:rsidR="007C7B26">
        <w:rPr>
          <w:rFonts w:ascii="Arial" w:hAnsi="Arial" w:cs="Arial"/>
          <w:sz w:val="24"/>
          <w:szCs w:val="24"/>
        </w:rPr>
        <w:t xml:space="preserve"> pensiones, cuando aún no cumple</w:t>
      </w:r>
      <w:r w:rsidR="007C7B26" w:rsidRPr="001042B6">
        <w:rPr>
          <w:rFonts w:ascii="Arial" w:hAnsi="Arial" w:cs="Arial"/>
          <w:sz w:val="24"/>
          <w:szCs w:val="24"/>
        </w:rPr>
        <w:t xml:space="preserve">n con la antigüedad requerida para la obtención de una pensión (artículo 64 de dicho ordenamiento legal), sin embargo, ni en dicho artículo, ni en ningún otro de esa Normatividad, existe la prohibición, impedimento o veto, para que los trabajadores de confianza obtengan dicha devolución, </w:t>
      </w:r>
      <w:r w:rsidR="007C7B26">
        <w:rPr>
          <w:rFonts w:ascii="Arial" w:hAnsi="Arial" w:cs="Arial"/>
          <w:sz w:val="24"/>
          <w:szCs w:val="24"/>
        </w:rPr>
        <w:t xml:space="preserve">pues de ser así se les estaría discriminando, </w:t>
      </w:r>
      <w:r w:rsidR="007C7B26" w:rsidRPr="001042B6">
        <w:rPr>
          <w:rFonts w:ascii="Arial" w:hAnsi="Arial" w:cs="Arial"/>
          <w:sz w:val="24"/>
          <w:szCs w:val="24"/>
        </w:rPr>
        <w:t xml:space="preserve">consecuentemente, </w:t>
      </w:r>
      <w:r w:rsidR="007C7B26">
        <w:rPr>
          <w:rFonts w:ascii="Arial" w:hAnsi="Arial" w:cs="Arial"/>
          <w:sz w:val="24"/>
          <w:szCs w:val="24"/>
        </w:rPr>
        <w:t xml:space="preserve">ante ese </w:t>
      </w:r>
      <w:r w:rsidR="007C7B26" w:rsidRPr="001042B6">
        <w:rPr>
          <w:rFonts w:ascii="Arial" w:hAnsi="Arial" w:cs="Arial"/>
          <w:b/>
          <w:sz w:val="24"/>
          <w:szCs w:val="24"/>
        </w:rPr>
        <w:t>vacío legislativo</w:t>
      </w:r>
      <w:r w:rsidR="007C7B26" w:rsidRPr="001042B6">
        <w:rPr>
          <w:rFonts w:ascii="Arial" w:hAnsi="Arial" w:cs="Arial"/>
          <w:sz w:val="24"/>
          <w:szCs w:val="24"/>
        </w:rPr>
        <w:t>, resulta procedente aplica</w:t>
      </w:r>
      <w:r w:rsidR="007C7B26">
        <w:rPr>
          <w:rFonts w:ascii="Arial" w:hAnsi="Arial" w:cs="Arial"/>
          <w:sz w:val="24"/>
          <w:szCs w:val="24"/>
        </w:rPr>
        <w:t xml:space="preserve">r los </w:t>
      </w:r>
      <w:r w:rsidR="007C7B26" w:rsidRPr="001042B6">
        <w:rPr>
          <w:rFonts w:ascii="Arial" w:hAnsi="Arial" w:cs="Arial"/>
          <w:sz w:val="24"/>
          <w:szCs w:val="24"/>
        </w:rPr>
        <w:t>Principio</w:t>
      </w:r>
      <w:r w:rsidR="007C7B26">
        <w:rPr>
          <w:rFonts w:ascii="Arial" w:hAnsi="Arial" w:cs="Arial"/>
          <w:sz w:val="24"/>
          <w:szCs w:val="24"/>
        </w:rPr>
        <w:t>s</w:t>
      </w:r>
      <w:r w:rsidR="007C7B26" w:rsidRPr="001042B6">
        <w:rPr>
          <w:rFonts w:ascii="Arial" w:hAnsi="Arial" w:cs="Arial"/>
          <w:sz w:val="24"/>
          <w:szCs w:val="24"/>
        </w:rPr>
        <w:t xml:space="preserve"> General</w:t>
      </w:r>
      <w:r w:rsidR="007C7B26">
        <w:rPr>
          <w:rFonts w:ascii="Arial" w:hAnsi="Arial" w:cs="Arial"/>
          <w:sz w:val="24"/>
          <w:szCs w:val="24"/>
        </w:rPr>
        <w:t>es</w:t>
      </w:r>
      <w:r w:rsidR="007C7B26" w:rsidRPr="001042B6">
        <w:rPr>
          <w:rFonts w:ascii="Arial" w:hAnsi="Arial" w:cs="Arial"/>
          <w:sz w:val="24"/>
          <w:szCs w:val="24"/>
        </w:rPr>
        <w:t xml:space="preserve"> de Derecho, procura</w:t>
      </w:r>
      <w:r w:rsidR="007C7B26">
        <w:rPr>
          <w:rFonts w:ascii="Arial" w:hAnsi="Arial" w:cs="Arial"/>
          <w:sz w:val="24"/>
          <w:szCs w:val="24"/>
        </w:rPr>
        <w:t>ndo</w:t>
      </w:r>
      <w:r w:rsidR="007C7B26" w:rsidRPr="001042B6">
        <w:rPr>
          <w:rFonts w:ascii="Arial" w:hAnsi="Arial" w:cs="Arial"/>
          <w:sz w:val="24"/>
          <w:szCs w:val="24"/>
        </w:rPr>
        <w:t xml:space="preserve"> la protección más amplia de los derechos humanos del gobernado, protección a la que tod</w:t>
      </w:r>
      <w:r w:rsidR="00CE5022">
        <w:rPr>
          <w:rFonts w:ascii="Arial" w:hAnsi="Arial" w:cs="Arial"/>
          <w:sz w:val="24"/>
          <w:szCs w:val="24"/>
        </w:rPr>
        <w:t>a autoridad se encuentra sujeta</w:t>
      </w:r>
      <w:r w:rsidR="007C7B26" w:rsidRPr="001042B6">
        <w:rPr>
          <w:rFonts w:ascii="Arial" w:hAnsi="Arial" w:cs="Arial"/>
          <w:sz w:val="24"/>
          <w:szCs w:val="24"/>
        </w:rPr>
        <w:t xml:space="preserve"> </w:t>
      </w:r>
      <w:r w:rsidR="00CE5022">
        <w:rPr>
          <w:rFonts w:ascii="Arial" w:hAnsi="Arial" w:cs="Arial"/>
          <w:sz w:val="24"/>
          <w:szCs w:val="24"/>
        </w:rPr>
        <w:t>de</w:t>
      </w:r>
      <w:r w:rsidR="007C7B26">
        <w:rPr>
          <w:rFonts w:ascii="Arial" w:hAnsi="Arial" w:cs="Arial"/>
          <w:sz w:val="24"/>
          <w:szCs w:val="24"/>
        </w:rPr>
        <w:t xml:space="preserve"> aplica</w:t>
      </w:r>
      <w:r w:rsidR="00CE5022">
        <w:rPr>
          <w:rFonts w:ascii="Arial" w:hAnsi="Arial" w:cs="Arial"/>
          <w:sz w:val="24"/>
          <w:szCs w:val="24"/>
        </w:rPr>
        <w:t>ción,</w:t>
      </w:r>
      <w:r w:rsidR="007C7B26">
        <w:rPr>
          <w:rFonts w:ascii="Arial" w:hAnsi="Arial" w:cs="Arial"/>
          <w:sz w:val="24"/>
          <w:szCs w:val="24"/>
        </w:rPr>
        <w:t xml:space="preserve"> </w:t>
      </w:r>
      <w:r w:rsidR="007C7B26" w:rsidRPr="001042B6">
        <w:rPr>
          <w:rFonts w:ascii="Arial" w:hAnsi="Arial" w:cs="Arial"/>
          <w:sz w:val="24"/>
          <w:szCs w:val="24"/>
        </w:rPr>
        <w:t>como lo prevé el segundo párrafo del artículo 1 de la Constitución Política de los Estados Unidos Mexicanos, luego entonces, la demandada se encuentra constreñida a privilegiar el derecho a la seguridad social de</w:t>
      </w:r>
      <w:r w:rsidR="00CE5022">
        <w:rPr>
          <w:rFonts w:ascii="Arial" w:hAnsi="Arial" w:cs="Arial"/>
          <w:sz w:val="24"/>
          <w:szCs w:val="24"/>
        </w:rPr>
        <w:t xml:space="preserve"> </w:t>
      </w:r>
      <w:r w:rsidR="007C7B26" w:rsidRPr="001042B6">
        <w:rPr>
          <w:rFonts w:ascii="Arial" w:hAnsi="Arial" w:cs="Arial"/>
          <w:sz w:val="24"/>
          <w:szCs w:val="24"/>
        </w:rPr>
        <w:t>l</w:t>
      </w:r>
      <w:r w:rsidR="00CE5022">
        <w:rPr>
          <w:rFonts w:ascii="Arial" w:hAnsi="Arial" w:cs="Arial"/>
          <w:sz w:val="24"/>
          <w:szCs w:val="24"/>
        </w:rPr>
        <w:t>a</w:t>
      </w:r>
      <w:r w:rsidR="007C7B26" w:rsidRPr="001042B6">
        <w:rPr>
          <w:rFonts w:ascii="Arial" w:hAnsi="Arial" w:cs="Arial"/>
          <w:sz w:val="24"/>
          <w:szCs w:val="24"/>
        </w:rPr>
        <w:t xml:space="preserve"> actor</w:t>
      </w:r>
      <w:r w:rsidR="00CE5022">
        <w:rPr>
          <w:rFonts w:ascii="Arial" w:hAnsi="Arial" w:cs="Arial"/>
          <w:sz w:val="24"/>
          <w:szCs w:val="24"/>
        </w:rPr>
        <w:t>a</w:t>
      </w:r>
      <w:r w:rsidR="007C7B26" w:rsidRPr="001042B6">
        <w:rPr>
          <w:rFonts w:ascii="Arial" w:hAnsi="Arial" w:cs="Arial"/>
          <w:sz w:val="24"/>
          <w:szCs w:val="24"/>
        </w:rPr>
        <w:t>.</w:t>
      </w:r>
    </w:p>
    <w:p w14:paraId="459FD87A" w14:textId="77777777" w:rsidR="007C7B26" w:rsidRPr="001042B6" w:rsidRDefault="007C7B26" w:rsidP="007C7B26">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 xml:space="preserve">A mayor abundamiento, la Suprema Corte de Justicia de la Nación, ha considerado que si bien es cierto el artículo 123 apartado B de la Constitución Política de los Estados Unidos Mexicanos, clasifica a los trabajadores en dos sectores, base y confianza, y que están limitados los derechos de éstos últimos, como el relativo a la estabilidad e inamovilidad del empleo; sin embargo, </w:t>
      </w:r>
      <w:r w:rsidRPr="008A3AB2">
        <w:rPr>
          <w:rFonts w:ascii="Arial" w:hAnsi="Arial" w:cs="Arial"/>
          <w:b/>
          <w:sz w:val="24"/>
          <w:szCs w:val="24"/>
        </w:rPr>
        <w:t>tales limitaciones</w:t>
      </w:r>
      <w:r w:rsidRPr="001042B6">
        <w:rPr>
          <w:rFonts w:ascii="Arial" w:hAnsi="Arial" w:cs="Arial"/>
          <w:sz w:val="24"/>
          <w:szCs w:val="24"/>
        </w:rPr>
        <w:t xml:space="preserve">, son de </w:t>
      </w:r>
      <w:r w:rsidRPr="008A3AB2">
        <w:rPr>
          <w:rFonts w:ascii="Arial" w:hAnsi="Arial" w:cs="Arial"/>
          <w:b/>
          <w:sz w:val="24"/>
          <w:szCs w:val="24"/>
        </w:rPr>
        <w:t>carácter excepcional</w:t>
      </w:r>
      <w:r w:rsidRPr="001042B6">
        <w:rPr>
          <w:rFonts w:ascii="Arial" w:hAnsi="Arial" w:cs="Arial"/>
          <w:sz w:val="24"/>
          <w:szCs w:val="24"/>
        </w:rPr>
        <w:t xml:space="preserve">, pues los trabajadores de confianza tienen reconocidos sus derechos laborales en la fracción XIV, del citado artículo 123 apartado B, dentro de ellos, a la seguridad social, circunstancias </w:t>
      </w:r>
      <w:r>
        <w:rPr>
          <w:rFonts w:ascii="Arial" w:hAnsi="Arial" w:cs="Arial"/>
          <w:sz w:val="24"/>
          <w:szCs w:val="24"/>
        </w:rPr>
        <w:t xml:space="preserve">no fue </w:t>
      </w:r>
      <w:r w:rsidRPr="001042B6">
        <w:rPr>
          <w:rFonts w:ascii="Arial" w:hAnsi="Arial" w:cs="Arial"/>
          <w:sz w:val="24"/>
          <w:szCs w:val="24"/>
        </w:rPr>
        <w:t>observa</w:t>
      </w:r>
      <w:r>
        <w:rPr>
          <w:rFonts w:ascii="Arial" w:hAnsi="Arial" w:cs="Arial"/>
          <w:sz w:val="24"/>
          <w:szCs w:val="24"/>
        </w:rPr>
        <w:t>da por</w:t>
      </w:r>
      <w:r w:rsidRPr="001042B6">
        <w:rPr>
          <w:rFonts w:ascii="Arial" w:hAnsi="Arial" w:cs="Arial"/>
          <w:sz w:val="24"/>
          <w:szCs w:val="24"/>
        </w:rPr>
        <w:t xml:space="preserve"> la autoridad demandada, pues como y</w:t>
      </w:r>
      <w:r w:rsidR="00CE5022">
        <w:rPr>
          <w:rFonts w:ascii="Arial" w:hAnsi="Arial" w:cs="Arial"/>
          <w:sz w:val="24"/>
          <w:szCs w:val="24"/>
        </w:rPr>
        <w:t xml:space="preserve">a se dijo, la suma que reclama </w:t>
      </w:r>
      <w:r w:rsidRPr="001042B6">
        <w:rPr>
          <w:rFonts w:ascii="Arial" w:hAnsi="Arial" w:cs="Arial"/>
          <w:sz w:val="24"/>
          <w:szCs w:val="24"/>
        </w:rPr>
        <w:t>l</w:t>
      </w:r>
      <w:r w:rsidR="00CE5022">
        <w:rPr>
          <w:rFonts w:ascii="Arial" w:hAnsi="Arial" w:cs="Arial"/>
          <w:sz w:val="24"/>
          <w:szCs w:val="24"/>
        </w:rPr>
        <w:t>a</w:t>
      </w:r>
      <w:r w:rsidRPr="001042B6">
        <w:rPr>
          <w:rFonts w:ascii="Arial" w:hAnsi="Arial" w:cs="Arial"/>
          <w:sz w:val="24"/>
          <w:szCs w:val="24"/>
        </w:rPr>
        <w:t xml:space="preserve"> actor</w:t>
      </w:r>
      <w:r w:rsidR="00CE5022">
        <w:rPr>
          <w:rFonts w:ascii="Arial" w:hAnsi="Arial" w:cs="Arial"/>
          <w:sz w:val="24"/>
          <w:szCs w:val="24"/>
        </w:rPr>
        <w:t>a</w:t>
      </w:r>
      <w:r w:rsidRPr="001042B6">
        <w:rPr>
          <w:rFonts w:ascii="Arial" w:hAnsi="Arial" w:cs="Arial"/>
          <w:sz w:val="24"/>
          <w:szCs w:val="24"/>
        </w:rPr>
        <w:t>,  formaba parte del salario</w:t>
      </w:r>
      <w:r>
        <w:rPr>
          <w:rFonts w:ascii="Arial" w:hAnsi="Arial" w:cs="Arial"/>
          <w:sz w:val="24"/>
          <w:szCs w:val="24"/>
        </w:rPr>
        <w:t xml:space="preserve">, </w:t>
      </w:r>
      <w:r w:rsidR="00184097">
        <w:rPr>
          <w:rFonts w:ascii="Arial" w:hAnsi="Arial" w:cs="Arial"/>
          <w:sz w:val="24"/>
          <w:szCs w:val="24"/>
        </w:rPr>
        <w:t xml:space="preserve">y </w:t>
      </w:r>
      <w:r>
        <w:rPr>
          <w:rFonts w:ascii="Arial" w:hAnsi="Arial" w:cs="Arial"/>
          <w:sz w:val="24"/>
          <w:szCs w:val="24"/>
        </w:rPr>
        <w:t xml:space="preserve">el no considerarlo así </w:t>
      </w:r>
      <w:r w:rsidRPr="001042B6">
        <w:rPr>
          <w:rFonts w:ascii="Arial" w:hAnsi="Arial" w:cs="Arial"/>
          <w:sz w:val="24"/>
          <w:szCs w:val="24"/>
        </w:rPr>
        <w:t xml:space="preserve">resulta </w:t>
      </w:r>
      <w:r w:rsidRPr="001042B6">
        <w:rPr>
          <w:rFonts w:ascii="Arial" w:hAnsi="Arial" w:cs="Arial"/>
          <w:b/>
          <w:sz w:val="24"/>
          <w:szCs w:val="24"/>
        </w:rPr>
        <w:t>discriminatorio</w:t>
      </w:r>
      <w:r w:rsidRPr="001042B6">
        <w:rPr>
          <w:rFonts w:ascii="Arial" w:hAnsi="Arial" w:cs="Arial"/>
          <w:sz w:val="24"/>
          <w:szCs w:val="24"/>
        </w:rPr>
        <w:t xml:space="preserve"> para los trabajadores de confianza; pues el artículo 123 apartado B, fracción XIV, de la Constitución Política de los Estados Unidos Mexicanos, claramente </w:t>
      </w:r>
      <w:r w:rsidRPr="001042B6">
        <w:rPr>
          <w:rFonts w:ascii="Arial" w:hAnsi="Arial" w:cs="Arial"/>
          <w:sz w:val="24"/>
          <w:szCs w:val="24"/>
        </w:rPr>
        <w:lastRenderedPageBreak/>
        <w:t>dispone que los trabajadores de confianza gozarán de los beneficios de la seguridad social, por lo que el espíritu del legislador constitucionalista, tiene la intención de no restringir el derecho de los trabajadores de confianza a esa prerrogativa; máxime, que las aportaciones e</w:t>
      </w:r>
      <w:r>
        <w:rPr>
          <w:rFonts w:ascii="Arial" w:hAnsi="Arial" w:cs="Arial"/>
          <w:sz w:val="24"/>
          <w:szCs w:val="24"/>
        </w:rPr>
        <w:t>fectuadas por los trabajadores ya sea d</w:t>
      </w:r>
      <w:r w:rsidRPr="001042B6">
        <w:rPr>
          <w:rFonts w:ascii="Arial" w:hAnsi="Arial" w:cs="Arial"/>
          <w:sz w:val="24"/>
          <w:szCs w:val="24"/>
        </w:rPr>
        <w:t xml:space="preserve">e base </w:t>
      </w:r>
      <w:r>
        <w:rPr>
          <w:rFonts w:ascii="Arial" w:hAnsi="Arial" w:cs="Arial"/>
          <w:sz w:val="24"/>
          <w:szCs w:val="24"/>
        </w:rPr>
        <w:t xml:space="preserve"> o</w:t>
      </w:r>
      <w:r w:rsidRPr="001042B6">
        <w:rPr>
          <w:rFonts w:ascii="Arial" w:hAnsi="Arial" w:cs="Arial"/>
          <w:sz w:val="24"/>
          <w:szCs w:val="24"/>
        </w:rPr>
        <w:t xml:space="preserve"> confianza, se ubican en un plano de igualdad, en relación al porcentaje de descuento que se les efectúa (9%), como lo dispone el artículo 6 fracción II de la Ley de Pensiones para los Trabajadores del Gobierno del Estado de Oaxaca, el cual no hace distinción entre uno y otro, por lo que si ambos erogan en igualdad porcentual una parte de sus percepciones cuando se encuentren en activo al fondo de pensiones, ubicándose en línea recta ambas categorías (base-confianza), no existe razón para que unos tengan el derecho de obtener la devolución y otros no, cuando </w:t>
      </w:r>
      <w:r>
        <w:rPr>
          <w:rFonts w:ascii="Arial" w:hAnsi="Arial" w:cs="Arial"/>
          <w:sz w:val="24"/>
          <w:szCs w:val="24"/>
        </w:rPr>
        <w:t xml:space="preserve">soliciten la devolución de sus aportaciones y </w:t>
      </w:r>
      <w:r w:rsidRPr="001042B6">
        <w:rPr>
          <w:rFonts w:ascii="Arial" w:hAnsi="Arial" w:cs="Arial"/>
          <w:sz w:val="24"/>
          <w:szCs w:val="24"/>
        </w:rPr>
        <w:t xml:space="preserve">no cumplan la antigüedad requerida para la obtención de una pensión. </w:t>
      </w:r>
    </w:p>
    <w:p w14:paraId="20408B2D" w14:textId="77777777" w:rsidR="007C7B26" w:rsidRPr="001042B6" w:rsidRDefault="007C7B26" w:rsidP="007C7B26">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Ahora bien, el artículo 1 reformado de la Constitución Política de los Estados Unidos Mexicanos, dispone:</w:t>
      </w:r>
    </w:p>
    <w:p w14:paraId="6728026E" w14:textId="77777777" w:rsidR="007C7B26" w:rsidRPr="001042B6" w:rsidRDefault="007C7B26" w:rsidP="007C7B26">
      <w:pPr>
        <w:tabs>
          <w:tab w:val="left" w:pos="284"/>
          <w:tab w:val="left" w:pos="567"/>
        </w:tabs>
        <w:spacing w:before="240" w:line="360" w:lineRule="auto"/>
        <w:jc w:val="both"/>
        <w:rPr>
          <w:rFonts w:ascii="Arial" w:hAnsi="Arial" w:cs="Arial"/>
          <w:i/>
          <w:sz w:val="24"/>
          <w:szCs w:val="24"/>
        </w:rPr>
      </w:pPr>
      <w:r w:rsidRPr="001042B6">
        <w:rPr>
          <w:rFonts w:ascii="Arial" w:hAnsi="Arial" w:cs="Arial"/>
          <w:sz w:val="24"/>
          <w:szCs w:val="24"/>
        </w:rPr>
        <w:tab/>
        <w:t>“</w:t>
      </w:r>
      <w:r w:rsidRPr="001042B6">
        <w:rPr>
          <w:rFonts w:ascii="Arial" w:hAnsi="Arial" w:cs="Arial"/>
          <w:b/>
          <w:i/>
          <w:sz w:val="24"/>
          <w:szCs w:val="24"/>
        </w:rPr>
        <w:t>Artículo 1o.</w:t>
      </w:r>
      <w:r w:rsidRPr="001042B6">
        <w:rPr>
          <w:rFonts w:ascii="Arial" w:hAnsi="Arial" w:cs="Arial"/>
          <w:i/>
          <w:sz w:val="24"/>
          <w:szCs w:val="24"/>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04F221F0" w14:textId="77777777" w:rsidR="007C7B26" w:rsidRPr="001042B6" w:rsidRDefault="007C7B26" w:rsidP="007C7B26">
      <w:pPr>
        <w:tabs>
          <w:tab w:val="left" w:pos="284"/>
          <w:tab w:val="left" w:pos="567"/>
        </w:tabs>
        <w:spacing w:before="240" w:line="360" w:lineRule="auto"/>
        <w:jc w:val="both"/>
        <w:rPr>
          <w:rFonts w:ascii="Arial" w:hAnsi="Arial" w:cs="Arial"/>
          <w:i/>
          <w:sz w:val="24"/>
          <w:szCs w:val="24"/>
        </w:rPr>
      </w:pPr>
      <w:r w:rsidRPr="001042B6">
        <w:rPr>
          <w:rFonts w:ascii="Arial" w:hAnsi="Arial" w:cs="Arial"/>
          <w:i/>
          <w:sz w:val="24"/>
          <w:szCs w:val="24"/>
        </w:rPr>
        <w:t>Las normas relativas a los derechos humanos se interpretarán de conformidad con esta Constitución y con los tratados internacionales de la materia favoreciendo en todo tiempo a las personas la protección más amplia.</w:t>
      </w:r>
    </w:p>
    <w:p w14:paraId="580C9DD9" w14:textId="77777777" w:rsidR="007C7B26" w:rsidRPr="001042B6" w:rsidRDefault="007C7B26" w:rsidP="007C7B26">
      <w:pPr>
        <w:tabs>
          <w:tab w:val="left" w:pos="284"/>
          <w:tab w:val="left" w:pos="567"/>
        </w:tabs>
        <w:spacing w:before="240" w:line="360" w:lineRule="auto"/>
        <w:jc w:val="both"/>
        <w:rPr>
          <w:rFonts w:ascii="Arial" w:hAnsi="Arial" w:cs="Arial"/>
          <w:i/>
          <w:sz w:val="24"/>
          <w:szCs w:val="24"/>
        </w:rPr>
      </w:pPr>
      <w:r w:rsidRPr="001042B6">
        <w:rPr>
          <w:rFonts w:ascii="Arial" w:hAnsi="Arial" w:cs="Arial"/>
          <w:i/>
          <w:sz w:val="24"/>
          <w:szCs w:val="24"/>
        </w:rPr>
        <w:tab/>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14:paraId="7710675E" w14:textId="77777777" w:rsidR="007C7B26" w:rsidRPr="001042B6" w:rsidRDefault="007C7B26" w:rsidP="007C7B26">
      <w:pPr>
        <w:tabs>
          <w:tab w:val="left" w:pos="284"/>
          <w:tab w:val="left" w:pos="567"/>
        </w:tabs>
        <w:spacing w:before="240" w:line="360" w:lineRule="auto"/>
        <w:jc w:val="both"/>
        <w:rPr>
          <w:rFonts w:ascii="Arial" w:hAnsi="Arial" w:cs="Arial"/>
          <w:i/>
          <w:sz w:val="24"/>
          <w:szCs w:val="24"/>
        </w:rPr>
      </w:pPr>
      <w:r w:rsidRPr="001042B6">
        <w:rPr>
          <w:rFonts w:ascii="Arial" w:hAnsi="Arial" w:cs="Arial"/>
          <w:i/>
          <w:sz w:val="24"/>
          <w:szCs w:val="24"/>
        </w:rPr>
        <w:tab/>
        <w:t>Está prohibida la esclavitud en los Estados Unidos Mexicanos. Los esclavos del extranjero que entren al territorio nacional alcanzarán, por este solo hecho, su libertad y la protección de las leyes.</w:t>
      </w:r>
    </w:p>
    <w:p w14:paraId="4B5A83AC" w14:textId="77777777" w:rsidR="007C7B26" w:rsidRPr="001042B6" w:rsidRDefault="007C7B26" w:rsidP="007C7B26">
      <w:pPr>
        <w:tabs>
          <w:tab w:val="left" w:pos="284"/>
          <w:tab w:val="left" w:pos="567"/>
        </w:tabs>
        <w:spacing w:before="240" w:line="360" w:lineRule="auto"/>
        <w:jc w:val="both"/>
        <w:rPr>
          <w:rFonts w:ascii="Arial" w:hAnsi="Arial" w:cs="Arial"/>
          <w:sz w:val="24"/>
          <w:szCs w:val="24"/>
        </w:rPr>
      </w:pPr>
      <w:r w:rsidRPr="001042B6">
        <w:rPr>
          <w:rFonts w:ascii="Arial" w:hAnsi="Arial" w:cs="Arial"/>
          <w:i/>
          <w:sz w:val="24"/>
          <w:szCs w:val="24"/>
        </w:rPr>
        <w:lastRenderedPageBreak/>
        <w:tab/>
        <w:t>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r w:rsidRPr="001042B6">
        <w:rPr>
          <w:rFonts w:ascii="Arial" w:hAnsi="Arial" w:cs="Arial"/>
          <w:sz w:val="24"/>
          <w:szCs w:val="24"/>
        </w:rPr>
        <w:t>.”</w:t>
      </w:r>
    </w:p>
    <w:p w14:paraId="6A7A4781" w14:textId="77777777" w:rsidR="007C7B26" w:rsidRPr="001042B6" w:rsidRDefault="007C7B26" w:rsidP="007C7B26">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El más alto Tribunal del País, ha destacado que en dicho precepto constitucional, se establecen éstos criterios:</w:t>
      </w:r>
    </w:p>
    <w:p w14:paraId="701620E3" w14:textId="77777777" w:rsidR="007C7B26" w:rsidRPr="001042B6" w:rsidRDefault="007C7B26" w:rsidP="007C7B26">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1)</w:t>
      </w:r>
      <w:r w:rsidRPr="001042B6">
        <w:rPr>
          <w:rFonts w:ascii="Arial" w:hAnsi="Arial" w:cs="Arial"/>
          <w:sz w:val="24"/>
          <w:szCs w:val="24"/>
        </w:rPr>
        <w:t xml:space="preserve"> Interpretación conforme a la Constitución y a los tratados internacionales en materia de derechos humanos; </w:t>
      </w:r>
    </w:p>
    <w:p w14:paraId="1BF89C6D" w14:textId="77777777" w:rsidR="007C7B26" w:rsidRPr="001042B6" w:rsidRDefault="007C7B26" w:rsidP="007C7B26">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2)</w:t>
      </w:r>
      <w:r w:rsidRPr="001042B6">
        <w:rPr>
          <w:rFonts w:ascii="Arial" w:hAnsi="Arial" w:cs="Arial"/>
          <w:sz w:val="24"/>
          <w:szCs w:val="24"/>
        </w:rPr>
        <w:t xml:space="preserve"> Interpretación pro homine o más favorable a la persona, de la Constitución y las leyes secundarias; </w:t>
      </w:r>
    </w:p>
    <w:p w14:paraId="2B95D418" w14:textId="77777777" w:rsidR="007C7B26" w:rsidRPr="001042B6" w:rsidRDefault="007C7B26" w:rsidP="007C7B26">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3)</w:t>
      </w:r>
      <w:r w:rsidRPr="001042B6">
        <w:rPr>
          <w:rFonts w:ascii="Arial" w:hAnsi="Arial" w:cs="Arial"/>
          <w:sz w:val="24"/>
          <w:szCs w:val="24"/>
        </w:rPr>
        <w:t xml:space="preserve"> Interpretación amplia y expansiva de los derechos humanos, acorde con los subprincipios de universalidad, interdependencia, progresividad e indivisibilidad; y,</w:t>
      </w:r>
    </w:p>
    <w:p w14:paraId="2DF67609" w14:textId="77777777" w:rsidR="007C7B26" w:rsidRPr="001042B6" w:rsidRDefault="007C7B26" w:rsidP="007C7B26">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4)</w:t>
      </w:r>
      <w:r w:rsidRPr="001042B6">
        <w:rPr>
          <w:rFonts w:ascii="Arial" w:hAnsi="Arial" w:cs="Arial"/>
          <w:sz w:val="24"/>
          <w:szCs w:val="24"/>
        </w:rPr>
        <w:t xml:space="preserve"> Obligación de las autoridades de prevenir, investigar, reparar y sancionar las violaciones a los derechos humanos reconocidos por la Constitución o los tratados internacionales de la materia; así como, promover, respetar, proteger y garantizar los derechos humanos que gocen del mismo reconocimiento.</w:t>
      </w:r>
    </w:p>
    <w:p w14:paraId="631AFE86" w14:textId="77777777" w:rsidR="007C7B26" w:rsidRPr="001042B6" w:rsidRDefault="007C7B26" w:rsidP="007C7B26">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 xml:space="preserve">Por lo que si bien es cierto, los Jueces Ordinarios no pueden hacer una declaración general sobre invalidez o expulsar del ordenamiento jurídico las normas que consideren contrarias a los derechos humanos contenidos en la Constitución y en los tratados, por ser actividad exclusiva de las vías de control directas establecidas en los artículos 103, 105 y 107 Constitucionales, lo cierto es, que existe la facultad de que todas las autoridades ordinarias, </w:t>
      </w:r>
      <w:r w:rsidRPr="001042B6">
        <w:rPr>
          <w:rFonts w:ascii="Arial" w:hAnsi="Arial" w:cs="Arial"/>
          <w:b/>
          <w:sz w:val="24"/>
          <w:szCs w:val="24"/>
        </w:rPr>
        <w:t>dejen de aplicar normas inferiores,</w:t>
      </w:r>
      <w:r w:rsidRPr="001042B6">
        <w:rPr>
          <w:rFonts w:ascii="Arial" w:hAnsi="Arial" w:cs="Arial"/>
          <w:sz w:val="24"/>
          <w:szCs w:val="24"/>
        </w:rPr>
        <w:t xml:space="preserve"> dando preferencia a los contenidos de la Constitución y de los tratados en la materia.</w:t>
      </w:r>
    </w:p>
    <w:p w14:paraId="1DA350EB" w14:textId="7A5F751C" w:rsidR="007C7B26" w:rsidRPr="001042B6" w:rsidRDefault="007C7B26" w:rsidP="007C7B26">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Consecuentemente, para asegurar la primacía, y aplicación efectiva de los derechos humanos establecidos en la Constitución y en los Tratados Internacionales de los cuáles el Estado Mexicano es parte, en virtud del reformado texto del artículo 1 Constitucional, que impone a todas las autoridades del Estado Mexicano la obligación de respetar, proteger y garantizar los derechos humanos reconocidos en dich</w:t>
      </w:r>
      <w:r w:rsidR="00184097">
        <w:rPr>
          <w:rFonts w:ascii="Arial" w:hAnsi="Arial" w:cs="Arial"/>
          <w:sz w:val="24"/>
          <w:szCs w:val="24"/>
        </w:rPr>
        <w:t>os ordenamientos jurídicos, este</w:t>
      </w:r>
      <w:r w:rsidRPr="001042B6">
        <w:rPr>
          <w:rFonts w:ascii="Arial" w:hAnsi="Arial" w:cs="Arial"/>
          <w:sz w:val="24"/>
          <w:szCs w:val="24"/>
        </w:rPr>
        <w:t xml:space="preserve"> Juzgador considera jurídicamente procedente</w:t>
      </w:r>
      <w:r>
        <w:rPr>
          <w:rFonts w:ascii="Arial" w:hAnsi="Arial" w:cs="Arial"/>
          <w:sz w:val="24"/>
          <w:szCs w:val="24"/>
        </w:rPr>
        <w:t>,</w:t>
      </w:r>
      <w:r w:rsidRPr="001042B6">
        <w:rPr>
          <w:rFonts w:ascii="Arial" w:hAnsi="Arial" w:cs="Arial"/>
          <w:sz w:val="24"/>
          <w:szCs w:val="24"/>
        </w:rPr>
        <w:t xml:space="preserve"> para la </w:t>
      </w:r>
      <w:r w:rsidRPr="001042B6">
        <w:rPr>
          <w:rFonts w:ascii="Arial" w:hAnsi="Arial" w:cs="Arial"/>
          <w:sz w:val="24"/>
          <w:szCs w:val="24"/>
        </w:rPr>
        <w:lastRenderedPageBreak/>
        <w:t>protección del derecho a la seguridad social de</w:t>
      </w:r>
      <w:r w:rsidR="00184097">
        <w:rPr>
          <w:rFonts w:ascii="Arial" w:hAnsi="Arial" w:cs="Arial"/>
          <w:sz w:val="24"/>
          <w:szCs w:val="24"/>
        </w:rPr>
        <w:t xml:space="preserve"> </w:t>
      </w:r>
      <w:r w:rsidRPr="001042B6">
        <w:rPr>
          <w:rFonts w:ascii="Arial" w:hAnsi="Arial" w:cs="Arial"/>
          <w:sz w:val="24"/>
          <w:szCs w:val="24"/>
        </w:rPr>
        <w:t>l</w:t>
      </w:r>
      <w:r w:rsidR="00184097">
        <w:rPr>
          <w:rFonts w:ascii="Arial" w:hAnsi="Arial" w:cs="Arial"/>
          <w:sz w:val="24"/>
          <w:szCs w:val="24"/>
        </w:rPr>
        <w:t>a</w:t>
      </w:r>
      <w:r w:rsidRPr="001042B6">
        <w:rPr>
          <w:rFonts w:ascii="Arial" w:hAnsi="Arial" w:cs="Arial"/>
          <w:sz w:val="24"/>
          <w:szCs w:val="24"/>
        </w:rPr>
        <w:t xml:space="preserve"> actor</w:t>
      </w:r>
      <w:r w:rsidR="00184097">
        <w:rPr>
          <w:rFonts w:ascii="Arial" w:hAnsi="Arial" w:cs="Arial"/>
          <w:sz w:val="24"/>
          <w:szCs w:val="24"/>
        </w:rPr>
        <w:t>a</w:t>
      </w:r>
      <w:r w:rsidRPr="001042B6">
        <w:rPr>
          <w:rFonts w:ascii="Arial" w:hAnsi="Arial" w:cs="Arial"/>
          <w:sz w:val="24"/>
          <w:szCs w:val="24"/>
        </w:rPr>
        <w:t>, dispuesto en el artículo 123, Apartado B, fracción XI, de la Ley Suprema, el cual encuentra eco en la legislación internacional</w:t>
      </w:r>
      <w:r>
        <w:rPr>
          <w:rFonts w:ascii="Arial" w:hAnsi="Arial" w:cs="Arial"/>
          <w:sz w:val="24"/>
          <w:szCs w:val="24"/>
        </w:rPr>
        <w:t xml:space="preserve"> ya referida y en específico en </w:t>
      </w:r>
      <w:r w:rsidRPr="001042B6">
        <w:rPr>
          <w:rFonts w:ascii="Arial" w:hAnsi="Arial" w:cs="Arial"/>
          <w:sz w:val="24"/>
          <w:szCs w:val="24"/>
        </w:rPr>
        <w:t xml:space="preserve">el Pacto Internacional de los Derechos Económicos, Sociales y Culturales, que en su artículo 9, contempla ese derecho humano a la seguridad social, pacto del cual México es parte a partir del día doce de mayo de mil novecientos ochenta y uno (12/05/1981), </w:t>
      </w:r>
      <w:r w:rsidRPr="001042B6">
        <w:rPr>
          <w:rFonts w:ascii="Arial" w:hAnsi="Arial" w:cs="Arial"/>
          <w:b/>
          <w:sz w:val="24"/>
          <w:szCs w:val="24"/>
        </w:rPr>
        <w:t xml:space="preserve">INAPLICAR </w:t>
      </w:r>
      <w:r>
        <w:rPr>
          <w:rFonts w:ascii="Arial" w:hAnsi="Arial" w:cs="Arial"/>
          <w:b/>
          <w:sz w:val="24"/>
          <w:szCs w:val="24"/>
        </w:rPr>
        <w:t xml:space="preserve">los artículos 63 y </w:t>
      </w:r>
      <w:r w:rsidRPr="00D707F6">
        <w:rPr>
          <w:rFonts w:ascii="Arial" w:hAnsi="Arial" w:cs="Arial"/>
          <w:b/>
          <w:sz w:val="24"/>
          <w:szCs w:val="24"/>
        </w:rPr>
        <w:t>64,</w:t>
      </w:r>
      <w:r>
        <w:rPr>
          <w:rFonts w:ascii="Arial" w:hAnsi="Arial" w:cs="Arial"/>
          <w:sz w:val="24"/>
          <w:szCs w:val="24"/>
        </w:rPr>
        <w:t xml:space="preserve"> </w:t>
      </w:r>
      <w:r w:rsidR="00184097">
        <w:rPr>
          <w:rFonts w:ascii="Arial" w:hAnsi="Arial" w:cs="Arial"/>
          <w:sz w:val="24"/>
          <w:szCs w:val="24"/>
        </w:rPr>
        <w:t>ambos</w:t>
      </w:r>
      <w:r w:rsidRPr="001042B6">
        <w:rPr>
          <w:rFonts w:ascii="Arial" w:hAnsi="Arial" w:cs="Arial"/>
          <w:sz w:val="24"/>
          <w:szCs w:val="24"/>
        </w:rPr>
        <w:t xml:space="preserve"> de la Ley de Pensiones para los Trabajadores del Gobierno del Estado, por </w:t>
      </w:r>
      <w:r>
        <w:rPr>
          <w:rFonts w:ascii="Arial" w:hAnsi="Arial" w:cs="Arial"/>
          <w:sz w:val="24"/>
          <w:szCs w:val="24"/>
        </w:rPr>
        <w:t xml:space="preserve">las consideraciones antes esgrimidas, </w:t>
      </w:r>
      <w:r w:rsidRPr="001042B6">
        <w:rPr>
          <w:rFonts w:ascii="Arial" w:hAnsi="Arial" w:cs="Arial"/>
          <w:sz w:val="24"/>
          <w:szCs w:val="24"/>
        </w:rPr>
        <w:t>pues en el caso particular de</w:t>
      </w:r>
      <w:r w:rsidR="00184097">
        <w:rPr>
          <w:rFonts w:ascii="Arial" w:hAnsi="Arial" w:cs="Arial"/>
          <w:sz w:val="24"/>
          <w:szCs w:val="24"/>
        </w:rPr>
        <w:t xml:space="preserve"> </w:t>
      </w:r>
      <w:r w:rsidRPr="001042B6">
        <w:rPr>
          <w:rFonts w:ascii="Arial" w:hAnsi="Arial" w:cs="Arial"/>
          <w:sz w:val="24"/>
          <w:szCs w:val="24"/>
        </w:rPr>
        <w:t>l</w:t>
      </w:r>
      <w:r w:rsidR="00184097">
        <w:rPr>
          <w:rFonts w:ascii="Arial" w:hAnsi="Arial" w:cs="Arial"/>
          <w:sz w:val="24"/>
          <w:szCs w:val="24"/>
        </w:rPr>
        <w:t xml:space="preserve">a actora </w:t>
      </w:r>
      <w:r w:rsidR="008A7721">
        <w:rPr>
          <w:rFonts w:ascii="Arial" w:hAnsi="Arial" w:cs="Arial"/>
          <w:sz w:val="24"/>
          <w:szCs w:val="24"/>
        </w:rPr>
        <w:t>***** ***** ***** *****</w:t>
      </w:r>
      <w:r w:rsidRPr="001042B6">
        <w:rPr>
          <w:rFonts w:ascii="Arial" w:hAnsi="Arial" w:cs="Arial"/>
          <w:sz w:val="24"/>
          <w:szCs w:val="24"/>
        </w:rPr>
        <w:t xml:space="preserve">, debe obtener la devolución de las aportaciones que efectuó al Fondo de Pensiones; </w:t>
      </w:r>
      <w:r>
        <w:rPr>
          <w:rFonts w:ascii="Arial" w:hAnsi="Arial" w:cs="Arial"/>
          <w:sz w:val="24"/>
          <w:szCs w:val="24"/>
        </w:rPr>
        <w:t>consecuentemente</w:t>
      </w:r>
      <w:r w:rsidRPr="001042B6">
        <w:rPr>
          <w:rFonts w:ascii="Arial" w:hAnsi="Arial" w:cs="Arial"/>
          <w:sz w:val="24"/>
          <w:szCs w:val="24"/>
        </w:rPr>
        <w:t xml:space="preserve">, se declara la </w:t>
      </w:r>
      <w:r w:rsidRPr="001042B6">
        <w:rPr>
          <w:rFonts w:ascii="Arial" w:hAnsi="Arial" w:cs="Arial"/>
          <w:b/>
          <w:sz w:val="24"/>
          <w:szCs w:val="24"/>
        </w:rPr>
        <w:t>NULIDAD</w:t>
      </w:r>
      <w:r w:rsidR="00C011CA">
        <w:rPr>
          <w:rFonts w:ascii="Arial" w:hAnsi="Arial" w:cs="Arial"/>
          <w:sz w:val="24"/>
          <w:szCs w:val="24"/>
        </w:rPr>
        <w:t xml:space="preserve"> del oficio </w:t>
      </w:r>
      <w:r w:rsidR="008A7721">
        <w:rPr>
          <w:rFonts w:ascii="Arial" w:hAnsi="Arial" w:cs="Arial"/>
          <w:sz w:val="24"/>
          <w:szCs w:val="24"/>
        </w:rPr>
        <w:t>OP/DG/DPE/***/2020</w:t>
      </w:r>
      <w:r w:rsidRPr="001042B6">
        <w:rPr>
          <w:rFonts w:ascii="Arial" w:hAnsi="Arial" w:cs="Arial"/>
          <w:sz w:val="24"/>
          <w:szCs w:val="24"/>
        </w:rPr>
        <w:t xml:space="preserve">, dictado por el Director General de la Oficina de Pensiones del Estado de </w:t>
      </w:r>
      <w:r w:rsidRPr="00D707F6">
        <w:rPr>
          <w:rFonts w:ascii="Arial" w:hAnsi="Arial" w:cs="Arial"/>
          <w:sz w:val="24"/>
          <w:szCs w:val="24"/>
        </w:rPr>
        <w:t>Oaxaca, el día</w:t>
      </w:r>
      <w:r>
        <w:rPr>
          <w:rFonts w:ascii="Arial" w:hAnsi="Arial" w:cs="Arial"/>
          <w:sz w:val="24"/>
          <w:szCs w:val="24"/>
        </w:rPr>
        <w:t xml:space="preserve"> </w:t>
      </w:r>
      <w:r w:rsidR="008A7721">
        <w:rPr>
          <w:rFonts w:ascii="Arial" w:hAnsi="Arial" w:cs="Arial"/>
          <w:sz w:val="24"/>
          <w:szCs w:val="24"/>
        </w:rPr>
        <w:t>***** de ***** de dos mil veinte (**/**/2020)</w:t>
      </w:r>
      <w:r>
        <w:rPr>
          <w:rFonts w:ascii="Arial" w:hAnsi="Arial" w:cs="Arial"/>
          <w:sz w:val="24"/>
          <w:szCs w:val="24"/>
        </w:rPr>
        <w:t xml:space="preserve">, </w:t>
      </w:r>
      <w:r w:rsidRPr="001042B6">
        <w:rPr>
          <w:rFonts w:ascii="Arial" w:hAnsi="Arial" w:cs="Arial"/>
          <w:sz w:val="24"/>
          <w:szCs w:val="24"/>
        </w:rPr>
        <w:t xml:space="preserve">para el </w:t>
      </w:r>
      <w:r w:rsidRPr="001042B6">
        <w:rPr>
          <w:rFonts w:ascii="Arial" w:hAnsi="Arial" w:cs="Arial"/>
          <w:b/>
          <w:sz w:val="24"/>
          <w:szCs w:val="24"/>
        </w:rPr>
        <w:t>EFECTO</w:t>
      </w:r>
      <w:r w:rsidRPr="001042B6">
        <w:rPr>
          <w:rFonts w:ascii="Arial" w:hAnsi="Arial" w:cs="Arial"/>
          <w:sz w:val="24"/>
          <w:szCs w:val="24"/>
        </w:rPr>
        <w:t>, de que la autoridad demandada dicte otro, en el que conceda la devolución de las aportaciones al fondo de pensiones solicitadas por l</w:t>
      </w:r>
      <w:r w:rsidR="00C011CA">
        <w:rPr>
          <w:rFonts w:ascii="Arial" w:hAnsi="Arial" w:cs="Arial"/>
          <w:sz w:val="24"/>
          <w:szCs w:val="24"/>
        </w:rPr>
        <w:t>a</w:t>
      </w:r>
      <w:r w:rsidRPr="001042B6">
        <w:rPr>
          <w:rFonts w:ascii="Arial" w:hAnsi="Arial" w:cs="Arial"/>
          <w:sz w:val="24"/>
          <w:szCs w:val="24"/>
        </w:rPr>
        <w:t xml:space="preserve"> actor</w:t>
      </w:r>
      <w:r w:rsidR="00C011CA">
        <w:rPr>
          <w:rFonts w:ascii="Arial" w:hAnsi="Arial" w:cs="Arial"/>
          <w:sz w:val="24"/>
          <w:szCs w:val="24"/>
        </w:rPr>
        <w:t>a</w:t>
      </w:r>
      <w:r w:rsidRPr="001042B6">
        <w:rPr>
          <w:rFonts w:ascii="Arial" w:hAnsi="Arial" w:cs="Arial"/>
          <w:sz w:val="24"/>
          <w:szCs w:val="24"/>
        </w:rPr>
        <w:t xml:space="preserve">, lo anterior de conformidad con lo dispuesto en los artículos 207, 208, y 209 de la Ley de Procedimiento y Justicia Administrativa para el Estado de Oaxaca. </w:t>
      </w:r>
    </w:p>
    <w:p w14:paraId="1D6412FA" w14:textId="77777777" w:rsidR="007C7B26" w:rsidRPr="001042B6" w:rsidRDefault="007C7B26" w:rsidP="007C7B26">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 xml:space="preserve">Sirven de apoyo a lo anterior, las Jurisprudencias sustentadas por la Suprema Corte de Justicia de la Nación, con datos de identificación: </w:t>
      </w:r>
    </w:p>
    <w:p w14:paraId="2338BEDD" w14:textId="77777777" w:rsidR="007C7B26" w:rsidRPr="001042B6" w:rsidRDefault="007C7B26" w:rsidP="007C7B26">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(Por analogía) Semanario Judicial de la Federación y su Gaceta, Tomo XXX, Noviembre de 2009, Novena Época, PÁG. 15, registro número 165969, Jurisprudencia Constitucional, Laboral, Pleno, y de rubro: “</w:t>
      </w:r>
      <w:r w:rsidRPr="001042B6">
        <w:rPr>
          <w:rFonts w:ascii="Arial" w:hAnsi="Arial" w:cs="Arial"/>
          <w:i/>
          <w:sz w:val="24"/>
          <w:szCs w:val="24"/>
        </w:rPr>
        <w:t xml:space="preserve">ISSSTE. EL ARTÍCULO 251 DE LA LEY RELATIVA, AL ESTABLECER UN PLAZO DE DIEZ AÑOS PARA LA PRESCRIPCIÓN DEL DERECHO A RECIBIR LOS RECURSOS DE LA </w:t>
      </w:r>
      <w:r w:rsidRPr="00D12DC7">
        <w:rPr>
          <w:rFonts w:ascii="Arial" w:hAnsi="Arial" w:cs="Arial"/>
          <w:i/>
          <w:sz w:val="24"/>
          <w:szCs w:val="24"/>
        </w:rPr>
        <w:t>CUENTA INDIVIDUAL DEL TRABAJADOR SIN PRECISAR EL MOMENTO DE SU INICIO, ES VIOLATORIO DE LAS GARANTÍAS DE SEGURIDAD Y CERTEZA JURÍDICA</w:t>
      </w:r>
      <w:r w:rsidRPr="001042B6">
        <w:rPr>
          <w:rFonts w:ascii="Arial" w:hAnsi="Arial" w:cs="Arial"/>
          <w:i/>
          <w:sz w:val="24"/>
          <w:szCs w:val="24"/>
        </w:rPr>
        <w:t xml:space="preserve"> Y SEGURIDAD SOCIAL (LEGISLACIÓN</w:t>
      </w:r>
      <w:r>
        <w:rPr>
          <w:rFonts w:ascii="Arial" w:hAnsi="Arial" w:cs="Arial"/>
          <w:i/>
          <w:sz w:val="24"/>
          <w:szCs w:val="24"/>
        </w:rPr>
        <w:t xml:space="preserve"> </w:t>
      </w:r>
      <w:r w:rsidRPr="001042B6">
        <w:rPr>
          <w:rFonts w:ascii="Arial" w:hAnsi="Arial" w:cs="Arial"/>
          <w:i/>
          <w:sz w:val="24"/>
          <w:szCs w:val="24"/>
        </w:rPr>
        <w:t>VIGENTE A PARTIR DEL 1o. DE ABRIL DE 2007)</w:t>
      </w:r>
      <w:r w:rsidRPr="001042B6">
        <w:rPr>
          <w:rFonts w:ascii="Arial" w:hAnsi="Arial" w:cs="Arial"/>
          <w:sz w:val="24"/>
          <w:szCs w:val="24"/>
        </w:rPr>
        <w:t>.”;</w:t>
      </w:r>
    </w:p>
    <w:p w14:paraId="52FEE70C" w14:textId="77777777" w:rsidR="007C7B26" w:rsidRPr="001042B6" w:rsidRDefault="007C7B26" w:rsidP="007C7B26">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Tomo I, Constitucional 3. Derechos Fundamentales, Primera Parte-SCJN, Vigésima Segunda, Sección- Derechos laborales, Novena Época, pág. 2169, registro 1012200, Segunda Sala, y de rubro: “</w:t>
      </w:r>
      <w:r w:rsidRPr="001042B6">
        <w:rPr>
          <w:rFonts w:ascii="Arial" w:hAnsi="Arial" w:cs="Arial"/>
          <w:i/>
          <w:sz w:val="24"/>
          <w:szCs w:val="24"/>
        </w:rPr>
        <w:t xml:space="preserve">TRABAJADORES DE CONFIANZA AL SERVICIO DEL ESTADO. AUNQUE NO GOZAN DEL DERECHO A LA ESTABILIDAD EN EL EMPLEO, EL ARTÍCULO 123, APARTADO B, FRACCIÓN XIV, DE LA CONSTITUCIÓN POLÍTICA DE LOS </w:t>
      </w:r>
      <w:r w:rsidRPr="001042B6">
        <w:rPr>
          <w:rFonts w:ascii="Arial" w:hAnsi="Arial" w:cs="Arial"/>
          <w:i/>
          <w:sz w:val="24"/>
          <w:szCs w:val="24"/>
        </w:rPr>
        <w:lastRenderedPageBreak/>
        <w:t>ESTADOS UNIDOS MEXICANOS, LES OTORGA DERECHOS DE PROTECCIÓN AL SALARIO Y DE SEGURIDAD SOCIAL</w:t>
      </w:r>
      <w:r w:rsidRPr="001042B6">
        <w:rPr>
          <w:rFonts w:ascii="Arial" w:hAnsi="Arial" w:cs="Arial"/>
          <w:sz w:val="24"/>
          <w:szCs w:val="24"/>
        </w:rPr>
        <w:t xml:space="preserve">.” </w:t>
      </w:r>
    </w:p>
    <w:p w14:paraId="17F28B22" w14:textId="77777777" w:rsidR="007C7B26" w:rsidRPr="001042B6" w:rsidRDefault="007C7B26" w:rsidP="007C7B26">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Así también, la Tesis con datos de identificación: Gaceta del Semanario Judicial de la Federación, Libro I, Diciembre de 2013, Tomo II, Décima Época, pág. 1189, Tesis Aislada Constitucional, Tribunales Colegiados de Circuito, y de rubro: “</w:t>
      </w:r>
      <w:r w:rsidRPr="001042B6">
        <w:rPr>
          <w:rFonts w:ascii="Arial" w:hAnsi="Arial" w:cs="Arial"/>
          <w:i/>
          <w:sz w:val="24"/>
          <w:szCs w:val="24"/>
        </w:rPr>
        <w:t>LAGUNA JURÍDICA O DEL DERECHO" O "VACÍO LEGISLATIVO". PARA LLENARLO EL JUZGADOR DEBE ACUDIR, PRIMERO, A LA SUPLETORIEDAD O LA ANALOGÍA Y, DESPUÉS, A LOS PRINCIPIOS GENERALES DEL DERECHO</w:t>
      </w:r>
      <w:r w:rsidRPr="001042B6">
        <w:rPr>
          <w:rFonts w:ascii="Arial" w:hAnsi="Arial" w:cs="Arial"/>
          <w:sz w:val="24"/>
          <w:szCs w:val="24"/>
        </w:rPr>
        <w:t>.”; y,</w:t>
      </w:r>
    </w:p>
    <w:p w14:paraId="4ED04DAD" w14:textId="77777777" w:rsidR="007C7B26" w:rsidRPr="001042B6" w:rsidRDefault="007C7B26" w:rsidP="007C7B26">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 xml:space="preserve">Semanario Judicial de la Federación y su Gaceta, Libro XV, Diciembre de 2012, Tomo 1, Décima época, pág. 420, registro 2002264, Jurisprudencia Común, Primera Sala, y de rubro: </w:t>
      </w:r>
      <w:r w:rsidRPr="001042B6">
        <w:rPr>
          <w:rFonts w:ascii="Arial" w:hAnsi="Arial" w:cs="Arial"/>
          <w:i/>
          <w:sz w:val="24"/>
          <w:szCs w:val="24"/>
        </w:rPr>
        <w:t>“CONTROL DE CONSTITUCIONALIDAD Y DE CONVENCIONALIDAD (REFORMA CONSTITUCIONAL DE 10 DE JUNIO DE 2011).”;</w:t>
      </w:r>
      <w:r>
        <w:rPr>
          <w:rFonts w:ascii="Arial" w:hAnsi="Arial" w:cs="Arial"/>
          <w:i/>
          <w:sz w:val="24"/>
          <w:szCs w:val="24"/>
        </w:rPr>
        <w:t xml:space="preserve"> </w:t>
      </w:r>
      <w:r w:rsidRPr="009E208A">
        <w:rPr>
          <w:rFonts w:ascii="Arial" w:hAnsi="Arial" w:cs="Arial"/>
          <w:sz w:val="24"/>
          <w:szCs w:val="24"/>
        </w:rPr>
        <w:t>y</w:t>
      </w:r>
      <w:r w:rsidRPr="001042B6">
        <w:rPr>
          <w:rFonts w:ascii="Arial" w:hAnsi="Arial" w:cs="Arial"/>
          <w:i/>
          <w:sz w:val="24"/>
          <w:szCs w:val="24"/>
        </w:rPr>
        <w:t xml:space="preserve"> </w:t>
      </w:r>
      <w:r w:rsidRPr="001042B6">
        <w:rPr>
          <w:rFonts w:ascii="Arial" w:hAnsi="Arial" w:cs="Arial"/>
          <w:sz w:val="24"/>
          <w:szCs w:val="24"/>
        </w:rPr>
        <w:t xml:space="preserve">la Tesis identificada en el Semanario Judicial de la Federación y su Gaceta, Libro III, Diciembre de 2011, Tomo 1, Décima Época, pág. 552, registro 160525, Tesis Aislada Constitucional, Pleno, y de rubro: </w:t>
      </w:r>
      <w:r w:rsidRPr="001042B6">
        <w:rPr>
          <w:rFonts w:ascii="Arial" w:hAnsi="Arial" w:cs="Arial"/>
          <w:i/>
          <w:sz w:val="24"/>
          <w:szCs w:val="24"/>
        </w:rPr>
        <w:t>“PASOS A SEGUIR EN EL CONTROL DE CONSTITUCIONALIDAD Y CONVENCIONALIDAD EX OFFICIO EN MATERIA DE DERECHOS HUMANOS.</w:t>
      </w:r>
      <w:r w:rsidRPr="001042B6">
        <w:rPr>
          <w:rFonts w:ascii="Arial" w:hAnsi="Arial" w:cs="Arial"/>
          <w:sz w:val="24"/>
          <w:szCs w:val="24"/>
        </w:rPr>
        <w:t>”</w:t>
      </w:r>
    </w:p>
    <w:p w14:paraId="2840B3C6" w14:textId="77777777" w:rsidR="007C7B26" w:rsidRPr="001042B6" w:rsidRDefault="007C7B26" w:rsidP="007C7B26">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De igual manera como criterio orientador, la resolución dictada por la Segunda Sala de la Suprema Corte de Justicia de la Nación</w:t>
      </w:r>
      <w:r>
        <w:rPr>
          <w:rFonts w:ascii="Arial" w:hAnsi="Arial" w:cs="Arial"/>
          <w:sz w:val="24"/>
          <w:szCs w:val="24"/>
        </w:rPr>
        <w:t>,</w:t>
      </w:r>
      <w:r w:rsidRPr="001042B6">
        <w:rPr>
          <w:rFonts w:ascii="Arial" w:hAnsi="Arial" w:cs="Arial"/>
          <w:sz w:val="24"/>
          <w:szCs w:val="24"/>
        </w:rPr>
        <w:t xml:space="preserve"> en el amparo en revisión 934/2014, que retomó y aplicó los criterios adoptados por el Pleno de la Suprema Corte de Justicia de la Nación en </w:t>
      </w:r>
      <w:r>
        <w:rPr>
          <w:rFonts w:ascii="Arial" w:hAnsi="Arial" w:cs="Arial"/>
          <w:sz w:val="24"/>
          <w:szCs w:val="24"/>
        </w:rPr>
        <w:t xml:space="preserve">la Jurisprudencia P./J.158/2008, con registro número 165969, visible en las sinopsis de asuntos destacados de las Salas de la SCJN, en la dirección electrónica </w:t>
      </w:r>
      <w:hyperlink r:id="rId8" w:history="1">
        <w:r w:rsidRPr="000B3FFB">
          <w:rPr>
            <w:rStyle w:val="Hipervnculo"/>
            <w:rFonts w:ascii="Arial" w:hAnsi="Arial" w:cs="Arial"/>
            <w:sz w:val="24"/>
            <w:szCs w:val="24"/>
          </w:rPr>
          <w:t>https://www.scjn.gob.mx/sites/default/files/sinopsis_asuntos_destacados/documento/2017-01/2S-030615-JFFGS-0934.pdf</w:t>
        </w:r>
      </w:hyperlink>
      <w:r>
        <w:rPr>
          <w:rFonts w:ascii="Arial" w:hAnsi="Arial" w:cs="Arial"/>
          <w:sz w:val="24"/>
          <w:szCs w:val="24"/>
        </w:rPr>
        <w:t xml:space="preserve"> </w:t>
      </w:r>
    </w:p>
    <w:p w14:paraId="553D892C" w14:textId="77777777" w:rsidR="007C7B26" w:rsidRDefault="007C7B26" w:rsidP="007C7B26">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 y con apoyo además en los artículos 207, 208 y 209 todos de la Ley de Procedimiento y Justicia Administrativa para el Estado de Oaxaca, se: - - - - - - - - - - - - - - - - - - - - - - - - - - - - - - - - - - - - - - - </w:t>
      </w:r>
    </w:p>
    <w:p w14:paraId="34C43972" w14:textId="77777777" w:rsidR="007C7B26" w:rsidRDefault="007C7B26" w:rsidP="007C7B26">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66DCA9CC" w14:textId="77777777" w:rsidR="007C7B26" w:rsidRDefault="007C7B26" w:rsidP="007C7B26">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sidR="00D12DC7">
        <w:rPr>
          <w:rFonts w:ascii="Arial" w:hAnsi="Arial" w:cs="Arial"/>
          <w:sz w:val="24"/>
          <w:szCs w:val="24"/>
        </w:rPr>
        <w:t>Esta Tercera</w:t>
      </w:r>
      <w:r>
        <w:rPr>
          <w:rFonts w:ascii="Arial" w:hAnsi="Arial" w:cs="Arial"/>
          <w:sz w:val="24"/>
          <w:szCs w:val="24"/>
        </w:rPr>
        <w:t xml:space="preserve"> Sala de Primera Instancia del Tribunal de Justicia Administrativa del Estado de Oaxaca, es legalmente competente para conocer y resolver del presente Juicio de Nulidad. - - - - - - - - - - - - - - - -</w:t>
      </w:r>
    </w:p>
    <w:p w14:paraId="3A6AD9B7" w14:textId="77777777" w:rsidR="007C7B26" w:rsidRDefault="007C7B26" w:rsidP="007C7B26">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302F1CD2" w14:textId="57D23358" w:rsidR="007C7B26" w:rsidRDefault="007C7B26" w:rsidP="007C7B26">
      <w:pPr>
        <w:tabs>
          <w:tab w:val="center" w:pos="4574"/>
        </w:tabs>
        <w:spacing w:line="360" w:lineRule="auto"/>
        <w:ind w:firstLine="708"/>
        <w:jc w:val="both"/>
        <w:rPr>
          <w:rFonts w:ascii="Arial" w:hAnsi="Arial" w:cs="Arial"/>
          <w:sz w:val="24"/>
          <w:szCs w:val="24"/>
        </w:rPr>
      </w:pPr>
      <w:proofErr w:type="gramStart"/>
      <w:r w:rsidRPr="00972356">
        <w:rPr>
          <w:rFonts w:ascii="Arial" w:hAnsi="Arial" w:cs="Arial"/>
          <w:b/>
          <w:sz w:val="24"/>
          <w:szCs w:val="24"/>
        </w:rPr>
        <w:t>TERCERO.-</w:t>
      </w:r>
      <w:proofErr w:type="gramEnd"/>
      <w:r>
        <w:rPr>
          <w:rFonts w:ascii="Arial" w:hAnsi="Arial" w:cs="Arial"/>
          <w:sz w:val="24"/>
          <w:szCs w:val="24"/>
        </w:rPr>
        <w:t xml:space="preserve"> Se declara la </w:t>
      </w:r>
      <w:r w:rsidRPr="00DE5509">
        <w:rPr>
          <w:rFonts w:ascii="Arial" w:hAnsi="Arial" w:cs="Arial"/>
          <w:b/>
          <w:sz w:val="24"/>
          <w:szCs w:val="24"/>
        </w:rPr>
        <w:t>NULIDAD</w:t>
      </w:r>
      <w:r w:rsidR="00D12DC7">
        <w:rPr>
          <w:rFonts w:ascii="Arial" w:hAnsi="Arial" w:cs="Arial"/>
          <w:sz w:val="24"/>
          <w:szCs w:val="24"/>
        </w:rPr>
        <w:t xml:space="preserve"> del Oficio </w:t>
      </w:r>
      <w:r w:rsidR="008A7721">
        <w:rPr>
          <w:rFonts w:ascii="Arial" w:hAnsi="Arial" w:cs="Arial"/>
          <w:sz w:val="24"/>
          <w:szCs w:val="24"/>
        </w:rPr>
        <w:t>OP/DG/DPE/***/2020</w:t>
      </w:r>
      <w:r>
        <w:rPr>
          <w:rFonts w:ascii="Arial" w:hAnsi="Arial" w:cs="Arial"/>
          <w:sz w:val="24"/>
          <w:szCs w:val="24"/>
        </w:rPr>
        <w:t>, dictado por el Director General de la Oficina de Pensiones del Estado de Oaxaca,</w:t>
      </w:r>
      <w:r w:rsidRPr="00A8408F">
        <w:rPr>
          <w:rFonts w:ascii="Arial" w:hAnsi="Arial" w:cs="Arial"/>
          <w:color w:val="000000"/>
          <w:sz w:val="24"/>
          <w:szCs w:val="24"/>
        </w:rPr>
        <w:t xml:space="preserve"> </w:t>
      </w:r>
      <w:r>
        <w:rPr>
          <w:rFonts w:ascii="Arial" w:hAnsi="Arial" w:cs="Arial"/>
          <w:color w:val="000000"/>
          <w:sz w:val="24"/>
          <w:szCs w:val="24"/>
        </w:rPr>
        <w:t xml:space="preserve">el día </w:t>
      </w:r>
      <w:r w:rsidR="008A7721">
        <w:rPr>
          <w:rFonts w:ascii="Arial" w:hAnsi="Arial" w:cs="Arial"/>
          <w:color w:val="000000"/>
          <w:sz w:val="24"/>
          <w:szCs w:val="24"/>
        </w:rPr>
        <w:t>***** de ***** de dos mil veinte (**/**/2020)</w:t>
      </w:r>
      <w:r>
        <w:rPr>
          <w:rFonts w:ascii="Arial" w:hAnsi="Arial" w:cs="Arial"/>
          <w:color w:val="000000"/>
          <w:sz w:val="24"/>
          <w:szCs w:val="24"/>
        </w:rPr>
        <w:t xml:space="preserve">, </w:t>
      </w:r>
      <w:r w:rsidRPr="00A24715">
        <w:rPr>
          <w:rFonts w:ascii="Arial" w:hAnsi="Arial" w:cs="Arial"/>
          <w:b/>
          <w:color w:val="000000"/>
          <w:sz w:val="24"/>
          <w:szCs w:val="24"/>
        </w:rPr>
        <w:t>PARA EL EFECTO</w:t>
      </w:r>
      <w:r>
        <w:rPr>
          <w:rFonts w:ascii="Arial" w:hAnsi="Arial" w:cs="Arial"/>
          <w:b/>
          <w:color w:val="000000"/>
          <w:sz w:val="24"/>
          <w:szCs w:val="24"/>
        </w:rPr>
        <w:t>,</w:t>
      </w:r>
      <w:r>
        <w:rPr>
          <w:rFonts w:ascii="Arial" w:hAnsi="Arial" w:cs="Arial"/>
          <w:color w:val="000000"/>
          <w:sz w:val="24"/>
          <w:szCs w:val="24"/>
        </w:rPr>
        <w:t xml:space="preserve"> de que dicte uno nuevo, </w:t>
      </w:r>
      <w:r>
        <w:rPr>
          <w:rFonts w:ascii="Arial" w:hAnsi="Arial" w:cs="Arial"/>
          <w:sz w:val="24"/>
          <w:szCs w:val="24"/>
        </w:rPr>
        <w:t>en el que conceda la devolución de las aportaciones al fondo</w:t>
      </w:r>
      <w:r w:rsidR="0039484D">
        <w:rPr>
          <w:rFonts w:ascii="Arial" w:hAnsi="Arial" w:cs="Arial"/>
          <w:sz w:val="24"/>
          <w:szCs w:val="24"/>
        </w:rPr>
        <w:t xml:space="preserve"> de pensiones solicitadas por la</w:t>
      </w:r>
      <w:r>
        <w:rPr>
          <w:rFonts w:ascii="Arial" w:hAnsi="Arial" w:cs="Arial"/>
          <w:sz w:val="24"/>
          <w:szCs w:val="24"/>
        </w:rPr>
        <w:t xml:space="preserve"> actor</w:t>
      </w:r>
      <w:r w:rsidR="0039484D">
        <w:rPr>
          <w:rFonts w:ascii="Arial" w:hAnsi="Arial" w:cs="Arial"/>
          <w:sz w:val="24"/>
          <w:szCs w:val="24"/>
        </w:rPr>
        <w:t>a</w:t>
      </w:r>
      <w:r>
        <w:rPr>
          <w:rFonts w:ascii="Arial" w:hAnsi="Arial" w:cs="Arial"/>
          <w:sz w:val="24"/>
          <w:szCs w:val="24"/>
        </w:rPr>
        <w:t xml:space="preserve">; lo anterior en términos precisados en el considerando SEXTO de esta resolución. - - - - - - - </w:t>
      </w:r>
    </w:p>
    <w:p w14:paraId="1A7167E1" w14:textId="77777777" w:rsidR="0039484D" w:rsidRDefault="007C7B26" w:rsidP="0039484D">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sidR="0039484D">
        <w:rPr>
          <w:rFonts w:ascii="Arial" w:hAnsi="Arial" w:cs="Arial"/>
          <w:sz w:val="24"/>
          <w:szCs w:val="24"/>
        </w:rPr>
        <w:t xml:space="preserve">Con las medidas de salud determinadas por el Pleno de este Tribunal, en el Protocolo para la Reincorporación del Personal y Atención a los Usuarios, emitido en el Acuerdo General de Pleno AG/TJAO/12/2020, </w:t>
      </w:r>
      <w:r w:rsidR="0039484D">
        <w:rPr>
          <w:rFonts w:ascii="Arial" w:hAnsi="Arial" w:cs="Arial"/>
          <w:b/>
          <w:sz w:val="24"/>
          <w:szCs w:val="24"/>
        </w:rPr>
        <w:t>NOTIFÍQUESE PERSONALMENTE A LA PARTE ACTORA Y POR OFICIO A LA AUTORIDAD DEMANDADA. CÚMPLASE</w:t>
      </w:r>
      <w:r w:rsidR="0039484D" w:rsidRPr="00441770">
        <w:rPr>
          <w:rFonts w:ascii="Arial" w:hAnsi="Arial" w:cs="Arial"/>
          <w:sz w:val="24"/>
          <w:szCs w:val="24"/>
        </w:rPr>
        <w:t xml:space="preserve">. - </w:t>
      </w:r>
    </w:p>
    <w:p w14:paraId="0BAAD013" w14:textId="77777777" w:rsidR="00B544E2" w:rsidRPr="00961528" w:rsidRDefault="00B544E2" w:rsidP="00B544E2">
      <w:pPr>
        <w:spacing w:line="360" w:lineRule="auto"/>
        <w:ind w:firstLine="708"/>
        <w:jc w:val="both"/>
        <w:rPr>
          <w:rFonts w:ascii="Arial" w:hAnsi="Arial" w:cs="Arial"/>
          <w:sz w:val="24"/>
          <w:szCs w:val="24"/>
        </w:rPr>
      </w:pPr>
      <w:r w:rsidRPr="006F33F8">
        <w:rPr>
          <w:rFonts w:ascii="Arial" w:hAnsi="Arial" w:cs="Arial"/>
          <w:sz w:val="24"/>
          <w:szCs w:val="24"/>
        </w:rPr>
        <w:t xml:space="preserve">Así lo </w:t>
      </w:r>
      <w:r>
        <w:rPr>
          <w:rFonts w:ascii="Arial" w:hAnsi="Arial" w:cs="Arial"/>
          <w:sz w:val="24"/>
          <w:szCs w:val="24"/>
        </w:rPr>
        <w:t xml:space="preserve">resolvió </w:t>
      </w:r>
      <w:r w:rsidRPr="006F33F8">
        <w:rPr>
          <w:rFonts w:ascii="Arial" w:hAnsi="Arial" w:cs="Arial"/>
          <w:sz w:val="24"/>
          <w:szCs w:val="24"/>
        </w:rPr>
        <w:t xml:space="preserve">y firma el Licenciado ERNESTO GARCÍA GONZÁLEZ, Secretario de Acuerdos adscrito a la </w:t>
      </w:r>
      <w:r>
        <w:rPr>
          <w:rFonts w:ascii="Arial" w:hAnsi="Arial" w:cs="Arial"/>
          <w:sz w:val="24"/>
          <w:szCs w:val="24"/>
        </w:rPr>
        <w:t>Tercera</w:t>
      </w:r>
      <w:r w:rsidRPr="006F33F8">
        <w:rPr>
          <w:rFonts w:ascii="Arial" w:hAnsi="Arial" w:cs="Arial"/>
          <w:sz w:val="24"/>
          <w:szCs w:val="24"/>
        </w:rPr>
        <w:t xml:space="preserve"> Sala Unitaria de Prim</w:t>
      </w:r>
      <w:r>
        <w:rPr>
          <w:rFonts w:ascii="Arial" w:hAnsi="Arial" w:cs="Arial"/>
          <w:sz w:val="24"/>
          <w:szCs w:val="24"/>
        </w:rPr>
        <w:t xml:space="preserve">era Instancia, autorizado por el Pleno </w:t>
      </w:r>
      <w:r w:rsidRPr="006F33F8">
        <w:rPr>
          <w:rFonts w:ascii="Arial" w:hAnsi="Arial" w:cs="Arial"/>
          <w:sz w:val="24"/>
          <w:szCs w:val="24"/>
        </w:rPr>
        <w:t xml:space="preserve">del Tribunal de Justicia Administrativa para el Estado de Oaxaca, para tramitar y resolver los asuntos radicados en esta Sala, mediante </w:t>
      </w:r>
      <w:r>
        <w:rPr>
          <w:rFonts w:ascii="Arial" w:hAnsi="Arial" w:cs="Arial"/>
          <w:sz w:val="24"/>
          <w:szCs w:val="24"/>
        </w:rPr>
        <w:t xml:space="preserve">acuerdo de pleno de doce de agosto de dos mil veinte, </w:t>
      </w:r>
      <w:r w:rsidRPr="006F33F8">
        <w:rPr>
          <w:rFonts w:ascii="Arial" w:hAnsi="Arial" w:cs="Arial"/>
          <w:sz w:val="24"/>
          <w:szCs w:val="24"/>
        </w:rPr>
        <w:t xml:space="preserve">en términos de los artículos 13 fracción XIV, y 48, ambos del Reglamento Interno del Tribunal de Justicia Administrativa del Estado de Oaxaca, quien actúa legalmente con la Licenciada GUIE SHUBA NIEVES GARCÍA, Actuaria de esta Sala, que autoriza y da fe. - - - - - </w:t>
      </w:r>
      <w:r>
        <w:rPr>
          <w:rFonts w:ascii="Arial" w:hAnsi="Arial" w:cs="Arial"/>
          <w:sz w:val="24"/>
          <w:szCs w:val="24"/>
        </w:rPr>
        <w:t>- - - - - - - - - - - - - - - - - - - - - - - - - -</w:t>
      </w:r>
    </w:p>
    <w:p w14:paraId="32FD1842" w14:textId="77777777" w:rsidR="00B544E2" w:rsidRPr="001B2D5E" w:rsidRDefault="00B544E2" w:rsidP="00B544E2"/>
    <w:p w14:paraId="32986E06" w14:textId="77777777" w:rsidR="00EB0680" w:rsidRPr="00B544E2" w:rsidRDefault="00EB0680" w:rsidP="00B544E2"/>
    <w:sectPr w:rsidR="00EB0680" w:rsidRPr="00B544E2" w:rsidSect="00C27F1A">
      <w:headerReference w:type="even" r:id="rId9"/>
      <w:headerReference w:type="default" r:id="rId10"/>
      <w:footerReference w:type="default" r:id="rId11"/>
      <w:headerReference w:type="first" r:id="rId12"/>
      <w:pgSz w:w="12240" w:h="20160" w:code="5"/>
      <w:pgMar w:top="851" w:right="1701" w:bottom="2410"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89554C" w14:textId="77777777" w:rsidR="00BD2E39" w:rsidRDefault="00BD2E39" w:rsidP="007A5B5E">
      <w:pPr>
        <w:spacing w:after="0" w:line="240" w:lineRule="auto"/>
      </w:pPr>
      <w:r>
        <w:separator/>
      </w:r>
    </w:p>
  </w:endnote>
  <w:endnote w:type="continuationSeparator" w:id="0">
    <w:p w14:paraId="5E358070" w14:textId="77777777" w:rsidR="00BD2E39" w:rsidRDefault="00BD2E39"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35FBE708"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35F54C7B" wp14:editId="1E83E20D">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23F806EC"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67751D" w:rsidRPr="0067751D">
                                <w:rPr>
                                  <w:noProof/>
                                  <w:color w:val="000000" w:themeColor="text1"/>
                                  <w:lang w:val="es-ES"/>
                                </w:rPr>
                                <w:t>12</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F54C7B"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23F806EC"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67751D" w:rsidRPr="0067751D">
                          <w:rPr>
                            <w:noProof/>
                            <w:color w:val="000000" w:themeColor="text1"/>
                            <w:lang w:val="es-ES"/>
                          </w:rPr>
                          <w:t>12</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C1B20D" w14:textId="77777777" w:rsidR="00BD2E39" w:rsidRDefault="00BD2E39" w:rsidP="007A5B5E">
      <w:pPr>
        <w:spacing w:after="0" w:line="240" w:lineRule="auto"/>
      </w:pPr>
      <w:r>
        <w:separator/>
      </w:r>
    </w:p>
  </w:footnote>
  <w:footnote w:type="continuationSeparator" w:id="0">
    <w:p w14:paraId="7F753B97" w14:textId="77777777" w:rsidR="00BD2E39" w:rsidRDefault="00BD2E39"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4B9A7" w14:textId="77777777" w:rsidR="00BD2E39" w:rsidRDefault="004F0ACA">
    <w:pPr>
      <w:pStyle w:val="Encabezado"/>
    </w:pPr>
    <w:r>
      <w:rPr>
        <w:noProof/>
        <w:lang w:eastAsia="es-MX"/>
      </w:rPr>
      <w:pict w14:anchorId="2390BA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904B8" w14:textId="0DF398C5"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025F3299" wp14:editId="03EDE700">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120041B2" w14:textId="77777777" w:rsidR="00BD2E39" w:rsidRDefault="00BD2E39" w:rsidP="002960E1">
                          <w:r>
                            <w:rPr>
                              <w:noProof/>
                              <w:lang w:eastAsia="es-MX"/>
                            </w:rPr>
                            <w:drawing>
                              <wp:inline distT="0" distB="0" distL="0" distR="0" wp14:anchorId="1A41FBF0" wp14:editId="706AED71">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25F3299"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14:paraId="120041B2" w14:textId="77777777" w:rsidR="00BD2E39" w:rsidRDefault="00BD2E39" w:rsidP="002960E1">
                    <w:r>
                      <w:rPr>
                        <w:noProof/>
                        <w:lang w:eastAsia="es-MX"/>
                      </w:rPr>
                      <w:drawing>
                        <wp:inline distT="0" distB="0" distL="0" distR="0" wp14:anchorId="1A41FBF0" wp14:editId="706AED71">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7C7B26">
      <w:rPr>
        <w:rFonts w:ascii="Bookman Old Style" w:hAnsi="Bookman Old Style"/>
        <w:b/>
        <w:sz w:val="24"/>
        <w:szCs w:val="24"/>
      </w:rPr>
      <w:t>045</w:t>
    </w:r>
    <w:r w:rsidRPr="00391F24">
      <w:rPr>
        <w:rFonts w:ascii="Bookman Old Style" w:hAnsi="Bookman Old Style"/>
        <w:b/>
        <w:sz w:val="24"/>
        <w:szCs w:val="24"/>
      </w:rPr>
      <w:t>/</w:t>
    </w:r>
    <w:r w:rsidR="00B544E2">
      <w:rPr>
        <w:rFonts w:ascii="Bookman Old Style" w:hAnsi="Bookman Old Style"/>
        <w:b/>
        <w:sz w:val="24"/>
        <w:szCs w:val="24"/>
      </w:rPr>
      <w:t>2020</w:t>
    </w:r>
  </w:p>
  <w:p w14:paraId="0B46C82F" w14:textId="55386D85" w:rsidR="00BD2E39" w:rsidRPr="00071C38" w:rsidRDefault="004F0ACA"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8752" behindDoc="1" locked="0" layoutInCell="1" allowOverlap="1" wp14:anchorId="595A530E" wp14:editId="0FDB2F46">
              <wp:simplePos x="0" y="0"/>
              <wp:positionH relativeFrom="column">
                <wp:posOffset>-1314450</wp:posOffset>
              </wp:positionH>
              <wp:positionV relativeFrom="paragraph">
                <wp:posOffset>4105275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3E2379F8" w14:textId="77777777" w:rsidR="004F0ACA" w:rsidRPr="003B6E97" w:rsidRDefault="004F0ACA" w:rsidP="004F0ACA">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5A530E" id="Cuadro de texto 3" o:spid="_x0000_s1027" type="#_x0000_t202" style="position:absolute;left:0;text-align:left;margin-left:-103.5pt;margin-top:323.25pt;width:93pt;height:125.2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">
              <v:textbox>
                <w:txbxContent>
                  <w:p w14:paraId="3E2379F8" w14:textId="77777777" w:rsidR="004F0ACA" w:rsidRPr="003B6E97" w:rsidRDefault="004F0ACA" w:rsidP="004F0ACA">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v:shape>
          </w:pict>
        </mc:Fallback>
      </mc:AlternateContent>
    </w:r>
    <w:r w:rsidR="00BD2E39" w:rsidRPr="003E6AD7">
      <w:rPr>
        <w:noProof/>
        <w:lang w:eastAsia="es-MX"/>
      </w:rPr>
      <w:drawing>
        <wp:anchor distT="0" distB="0" distL="114300" distR="114300" simplePos="0" relativeHeight="251664384" behindDoc="0" locked="0" layoutInCell="1" allowOverlap="1" wp14:anchorId="324CDE9C" wp14:editId="4A04D1E6">
          <wp:simplePos x="0" y="0"/>
          <wp:positionH relativeFrom="page">
            <wp:posOffset>1430655</wp:posOffset>
          </wp:positionH>
          <wp:positionV relativeFrom="paragraph">
            <wp:posOffset>3599815</wp:posOffset>
          </wp:positionV>
          <wp:extent cx="5146824" cy="3089837"/>
          <wp:effectExtent l="0" t="0" r="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50CE8" w14:textId="77777777" w:rsidR="00BD2E39" w:rsidRDefault="004F0ACA">
    <w:pPr>
      <w:pStyle w:val="Encabezado"/>
    </w:pPr>
    <w:r>
      <w:rPr>
        <w:noProof/>
        <w:lang w:eastAsia="es-MX"/>
      </w:rPr>
      <w:pict w14:anchorId="4483DE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85"/>
    <w:rsid w:val="00002E71"/>
    <w:rsid w:val="00002F70"/>
    <w:rsid w:val="00003DDD"/>
    <w:rsid w:val="000054A2"/>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2755"/>
    <w:rsid w:val="00033A92"/>
    <w:rsid w:val="00034A10"/>
    <w:rsid w:val="000364B3"/>
    <w:rsid w:val="00037568"/>
    <w:rsid w:val="00037AFB"/>
    <w:rsid w:val="000400C0"/>
    <w:rsid w:val="00041042"/>
    <w:rsid w:val="000418A4"/>
    <w:rsid w:val="00042BD6"/>
    <w:rsid w:val="00043617"/>
    <w:rsid w:val="00043943"/>
    <w:rsid w:val="00045647"/>
    <w:rsid w:val="00047223"/>
    <w:rsid w:val="00050977"/>
    <w:rsid w:val="00052B0A"/>
    <w:rsid w:val="00054606"/>
    <w:rsid w:val="00054DF6"/>
    <w:rsid w:val="00056EEE"/>
    <w:rsid w:val="000575BB"/>
    <w:rsid w:val="000606E5"/>
    <w:rsid w:val="00060A65"/>
    <w:rsid w:val="0006273F"/>
    <w:rsid w:val="00062DC6"/>
    <w:rsid w:val="00066A1F"/>
    <w:rsid w:val="000679B2"/>
    <w:rsid w:val="00067DE1"/>
    <w:rsid w:val="00073453"/>
    <w:rsid w:val="00073DA8"/>
    <w:rsid w:val="000740B4"/>
    <w:rsid w:val="00080379"/>
    <w:rsid w:val="0008431D"/>
    <w:rsid w:val="00084FF9"/>
    <w:rsid w:val="00085C5D"/>
    <w:rsid w:val="00086629"/>
    <w:rsid w:val="000920FC"/>
    <w:rsid w:val="00092B13"/>
    <w:rsid w:val="00094496"/>
    <w:rsid w:val="000971FD"/>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1072"/>
    <w:rsid w:val="000C2D07"/>
    <w:rsid w:val="000C5A57"/>
    <w:rsid w:val="000D03A5"/>
    <w:rsid w:val="000D332F"/>
    <w:rsid w:val="000D6626"/>
    <w:rsid w:val="000D6D16"/>
    <w:rsid w:val="000D7002"/>
    <w:rsid w:val="000D7442"/>
    <w:rsid w:val="000E0164"/>
    <w:rsid w:val="000E38C0"/>
    <w:rsid w:val="000E3B74"/>
    <w:rsid w:val="000E43FC"/>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886"/>
    <w:rsid w:val="00120FD2"/>
    <w:rsid w:val="00121484"/>
    <w:rsid w:val="001239FF"/>
    <w:rsid w:val="00124E09"/>
    <w:rsid w:val="00131D15"/>
    <w:rsid w:val="001323F3"/>
    <w:rsid w:val="00132D25"/>
    <w:rsid w:val="00136797"/>
    <w:rsid w:val="00143151"/>
    <w:rsid w:val="00150601"/>
    <w:rsid w:val="00150787"/>
    <w:rsid w:val="0015177E"/>
    <w:rsid w:val="00154068"/>
    <w:rsid w:val="00154BB8"/>
    <w:rsid w:val="00154E74"/>
    <w:rsid w:val="00160131"/>
    <w:rsid w:val="00160942"/>
    <w:rsid w:val="00160AF0"/>
    <w:rsid w:val="00162137"/>
    <w:rsid w:val="00162198"/>
    <w:rsid w:val="00163B6F"/>
    <w:rsid w:val="00164320"/>
    <w:rsid w:val="0016706C"/>
    <w:rsid w:val="001721C6"/>
    <w:rsid w:val="00172912"/>
    <w:rsid w:val="00173C5C"/>
    <w:rsid w:val="00174AD4"/>
    <w:rsid w:val="001770F1"/>
    <w:rsid w:val="001771FB"/>
    <w:rsid w:val="00182700"/>
    <w:rsid w:val="00184097"/>
    <w:rsid w:val="00185A8C"/>
    <w:rsid w:val="001866CE"/>
    <w:rsid w:val="00187B21"/>
    <w:rsid w:val="0019193E"/>
    <w:rsid w:val="00196D71"/>
    <w:rsid w:val="00197CCC"/>
    <w:rsid w:val="001A273D"/>
    <w:rsid w:val="001A2E7B"/>
    <w:rsid w:val="001A3488"/>
    <w:rsid w:val="001A360C"/>
    <w:rsid w:val="001A420D"/>
    <w:rsid w:val="001A7108"/>
    <w:rsid w:val="001A761C"/>
    <w:rsid w:val="001A7C13"/>
    <w:rsid w:val="001B0015"/>
    <w:rsid w:val="001B1D93"/>
    <w:rsid w:val="001B31AA"/>
    <w:rsid w:val="001B3EDE"/>
    <w:rsid w:val="001C0584"/>
    <w:rsid w:val="001C194C"/>
    <w:rsid w:val="001C27B8"/>
    <w:rsid w:val="001C2FEE"/>
    <w:rsid w:val="001C4D2B"/>
    <w:rsid w:val="001C581E"/>
    <w:rsid w:val="001D595D"/>
    <w:rsid w:val="001D7D72"/>
    <w:rsid w:val="001E3BAC"/>
    <w:rsid w:val="001E468F"/>
    <w:rsid w:val="001E47D1"/>
    <w:rsid w:val="001E53BA"/>
    <w:rsid w:val="001E7EB8"/>
    <w:rsid w:val="001F174D"/>
    <w:rsid w:val="001F20B4"/>
    <w:rsid w:val="001F2521"/>
    <w:rsid w:val="001F670A"/>
    <w:rsid w:val="001F7825"/>
    <w:rsid w:val="002019F1"/>
    <w:rsid w:val="00204439"/>
    <w:rsid w:val="00204FDA"/>
    <w:rsid w:val="002053BA"/>
    <w:rsid w:val="00206154"/>
    <w:rsid w:val="002065C1"/>
    <w:rsid w:val="00210846"/>
    <w:rsid w:val="0021209A"/>
    <w:rsid w:val="00215252"/>
    <w:rsid w:val="00215310"/>
    <w:rsid w:val="00215CFB"/>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76D8"/>
    <w:rsid w:val="002505F9"/>
    <w:rsid w:val="00250EDB"/>
    <w:rsid w:val="00256213"/>
    <w:rsid w:val="00260406"/>
    <w:rsid w:val="00261905"/>
    <w:rsid w:val="00264161"/>
    <w:rsid w:val="00264419"/>
    <w:rsid w:val="00266D60"/>
    <w:rsid w:val="002679C5"/>
    <w:rsid w:val="002723B8"/>
    <w:rsid w:val="00272998"/>
    <w:rsid w:val="00273025"/>
    <w:rsid w:val="00273681"/>
    <w:rsid w:val="00274646"/>
    <w:rsid w:val="00274840"/>
    <w:rsid w:val="00275008"/>
    <w:rsid w:val="002777B4"/>
    <w:rsid w:val="00277BF9"/>
    <w:rsid w:val="00277F55"/>
    <w:rsid w:val="00280C38"/>
    <w:rsid w:val="00282C25"/>
    <w:rsid w:val="0028392C"/>
    <w:rsid w:val="00284F95"/>
    <w:rsid w:val="0028642F"/>
    <w:rsid w:val="00293574"/>
    <w:rsid w:val="00293C1E"/>
    <w:rsid w:val="002960E1"/>
    <w:rsid w:val="002968D0"/>
    <w:rsid w:val="002A119F"/>
    <w:rsid w:val="002A1A88"/>
    <w:rsid w:val="002A305E"/>
    <w:rsid w:val="002A3B02"/>
    <w:rsid w:val="002A534A"/>
    <w:rsid w:val="002A70E2"/>
    <w:rsid w:val="002B033F"/>
    <w:rsid w:val="002B047A"/>
    <w:rsid w:val="002B0582"/>
    <w:rsid w:val="002B0633"/>
    <w:rsid w:val="002B1091"/>
    <w:rsid w:val="002B14A6"/>
    <w:rsid w:val="002B2E19"/>
    <w:rsid w:val="002B7125"/>
    <w:rsid w:val="002B797C"/>
    <w:rsid w:val="002B7BD2"/>
    <w:rsid w:val="002C05D9"/>
    <w:rsid w:val="002C3F59"/>
    <w:rsid w:val="002D0034"/>
    <w:rsid w:val="002D049B"/>
    <w:rsid w:val="002D0A58"/>
    <w:rsid w:val="002D1C5C"/>
    <w:rsid w:val="002D3821"/>
    <w:rsid w:val="002D41AF"/>
    <w:rsid w:val="002D4755"/>
    <w:rsid w:val="002D50CB"/>
    <w:rsid w:val="002E0A6B"/>
    <w:rsid w:val="002E0C00"/>
    <w:rsid w:val="002E2299"/>
    <w:rsid w:val="002E2D06"/>
    <w:rsid w:val="002E4589"/>
    <w:rsid w:val="002E45CD"/>
    <w:rsid w:val="002E7960"/>
    <w:rsid w:val="002F02CC"/>
    <w:rsid w:val="002F0DE0"/>
    <w:rsid w:val="002F173D"/>
    <w:rsid w:val="002F4152"/>
    <w:rsid w:val="002F510D"/>
    <w:rsid w:val="002F7E67"/>
    <w:rsid w:val="002F7E96"/>
    <w:rsid w:val="00300D5A"/>
    <w:rsid w:val="00310B88"/>
    <w:rsid w:val="00314069"/>
    <w:rsid w:val="00315E00"/>
    <w:rsid w:val="003171EB"/>
    <w:rsid w:val="00321363"/>
    <w:rsid w:val="0032191E"/>
    <w:rsid w:val="003232EF"/>
    <w:rsid w:val="00324531"/>
    <w:rsid w:val="0032672E"/>
    <w:rsid w:val="00327FE7"/>
    <w:rsid w:val="00331366"/>
    <w:rsid w:val="003328A1"/>
    <w:rsid w:val="00334280"/>
    <w:rsid w:val="003370E1"/>
    <w:rsid w:val="003416F3"/>
    <w:rsid w:val="0034172C"/>
    <w:rsid w:val="00345B0C"/>
    <w:rsid w:val="0034623D"/>
    <w:rsid w:val="003464E0"/>
    <w:rsid w:val="003525C9"/>
    <w:rsid w:val="003528A6"/>
    <w:rsid w:val="00354AAF"/>
    <w:rsid w:val="0035595B"/>
    <w:rsid w:val="003605D0"/>
    <w:rsid w:val="00362621"/>
    <w:rsid w:val="00362B10"/>
    <w:rsid w:val="00362B9F"/>
    <w:rsid w:val="0036559B"/>
    <w:rsid w:val="00365F83"/>
    <w:rsid w:val="00367CD8"/>
    <w:rsid w:val="00367E94"/>
    <w:rsid w:val="00370DDF"/>
    <w:rsid w:val="00372164"/>
    <w:rsid w:val="00372348"/>
    <w:rsid w:val="003730F1"/>
    <w:rsid w:val="003739C0"/>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257E"/>
    <w:rsid w:val="003A4548"/>
    <w:rsid w:val="003A5730"/>
    <w:rsid w:val="003A6F4F"/>
    <w:rsid w:val="003A766C"/>
    <w:rsid w:val="003B1785"/>
    <w:rsid w:val="003B1E1B"/>
    <w:rsid w:val="003B3C3C"/>
    <w:rsid w:val="003B4F0A"/>
    <w:rsid w:val="003B7E4D"/>
    <w:rsid w:val="003C07A2"/>
    <w:rsid w:val="003C2345"/>
    <w:rsid w:val="003C38DB"/>
    <w:rsid w:val="003C5391"/>
    <w:rsid w:val="003C5C1B"/>
    <w:rsid w:val="003D1756"/>
    <w:rsid w:val="003D231C"/>
    <w:rsid w:val="003D6F67"/>
    <w:rsid w:val="003E0290"/>
    <w:rsid w:val="003E088F"/>
    <w:rsid w:val="003E104E"/>
    <w:rsid w:val="003E204A"/>
    <w:rsid w:val="003E30FA"/>
    <w:rsid w:val="003E3AE3"/>
    <w:rsid w:val="003E4778"/>
    <w:rsid w:val="003E525F"/>
    <w:rsid w:val="003E6BD1"/>
    <w:rsid w:val="003E6DFB"/>
    <w:rsid w:val="003E71EB"/>
    <w:rsid w:val="003E7FAE"/>
    <w:rsid w:val="003F1214"/>
    <w:rsid w:val="003F172C"/>
    <w:rsid w:val="003F4F5C"/>
    <w:rsid w:val="003F5F1A"/>
    <w:rsid w:val="003F6940"/>
    <w:rsid w:val="003F7700"/>
    <w:rsid w:val="003F7AB5"/>
    <w:rsid w:val="00400D7D"/>
    <w:rsid w:val="00402CA6"/>
    <w:rsid w:val="00403250"/>
    <w:rsid w:val="00406C4D"/>
    <w:rsid w:val="00407214"/>
    <w:rsid w:val="00412725"/>
    <w:rsid w:val="00413B0F"/>
    <w:rsid w:val="00413F61"/>
    <w:rsid w:val="00414063"/>
    <w:rsid w:val="00414D63"/>
    <w:rsid w:val="00415058"/>
    <w:rsid w:val="00415B61"/>
    <w:rsid w:val="004168B9"/>
    <w:rsid w:val="00417991"/>
    <w:rsid w:val="00417AEB"/>
    <w:rsid w:val="00420019"/>
    <w:rsid w:val="004256FC"/>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52E13"/>
    <w:rsid w:val="00454AEC"/>
    <w:rsid w:val="00456E66"/>
    <w:rsid w:val="00457534"/>
    <w:rsid w:val="00457F1F"/>
    <w:rsid w:val="0046188A"/>
    <w:rsid w:val="0046298F"/>
    <w:rsid w:val="00463209"/>
    <w:rsid w:val="00464A4A"/>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624"/>
    <w:rsid w:val="004B074C"/>
    <w:rsid w:val="004B21D3"/>
    <w:rsid w:val="004B3184"/>
    <w:rsid w:val="004B38DE"/>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4191"/>
    <w:rsid w:val="004D49E7"/>
    <w:rsid w:val="004D7A34"/>
    <w:rsid w:val="004D7E78"/>
    <w:rsid w:val="004E1604"/>
    <w:rsid w:val="004E16B4"/>
    <w:rsid w:val="004E21EE"/>
    <w:rsid w:val="004E2D52"/>
    <w:rsid w:val="004E3647"/>
    <w:rsid w:val="004E3EF3"/>
    <w:rsid w:val="004E42B9"/>
    <w:rsid w:val="004E594A"/>
    <w:rsid w:val="004E6A61"/>
    <w:rsid w:val="004F0041"/>
    <w:rsid w:val="004F0602"/>
    <w:rsid w:val="004F0ACA"/>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9E0"/>
    <w:rsid w:val="00512B63"/>
    <w:rsid w:val="0051390F"/>
    <w:rsid w:val="005221FE"/>
    <w:rsid w:val="00522A4F"/>
    <w:rsid w:val="00522C05"/>
    <w:rsid w:val="00523223"/>
    <w:rsid w:val="0052369A"/>
    <w:rsid w:val="005247FF"/>
    <w:rsid w:val="00524EF5"/>
    <w:rsid w:val="00525109"/>
    <w:rsid w:val="005277AB"/>
    <w:rsid w:val="00527A5C"/>
    <w:rsid w:val="00533998"/>
    <w:rsid w:val="005339E7"/>
    <w:rsid w:val="00536197"/>
    <w:rsid w:val="005362B4"/>
    <w:rsid w:val="00536DC3"/>
    <w:rsid w:val="005401D7"/>
    <w:rsid w:val="0054198E"/>
    <w:rsid w:val="00542573"/>
    <w:rsid w:val="00542EDF"/>
    <w:rsid w:val="00543854"/>
    <w:rsid w:val="00544394"/>
    <w:rsid w:val="00545ABC"/>
    <w:rsid w:val="00550E48"/>
    <w:rsid w:val="00553A79"/>
    <w:rsid w:val="00555EC8"/>
    <w:rsid w:val="005650AD"/>
    <w:rsid w:val="0056582A"/>
    <w:rsid w:val="00566511"/>
    <w:rsid w:val="0056783C"/>
    <w:rsid w:val="00571121"/>
    <w:rsid w:val="00572C64"/>
    <w:rsid w:val="0057749A"/>
    <w:rsid w:val="00580EEB"/>
    <w:rsid w:val="0058166F"/>
    <w:rsid w:val="0058281B"/>
    <w:rsid w:val="00586280"/>
    <w:rsid w:val="0059235B"/>
    <w:rsid w:val="00592C9E"/>
    <w:rsid w:val="0059392E"/>
    <w:rsid w:val="00593E48"/>
    <w:rsid w:val="00594EC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C1975"/>
    <w:rsid w:val="005C4441"/>
    <w:rsid w:val="005C5DF2"/>
    <w:rsid w:val="005C641B"/>
    <w:rsid w:val="005C7798"/>
    <w:rsid w:val="005D01E0"/>
    <w:rsid w:val="005D0741"/>
    <w:rsid w:val="005D738D"/>
    <w:rsid w:val="005E0299"/>
    <w:rsid w:val="005E0422"/>
    <w:rsid w:val="005E1297"/>
    <w:rsid w:val="005E1383"/>
    <w:rsid w:val="005E2538"/>
    <w:rsid w:val="005E583E"/>
    <w:rsid w:val="005E6B1F"/>
    <w:rsid w:val="005E720D"/>
    <w:rsid w:val="005E7791"/>
    <w:rsid w:val="005E788E"/>
    <w:rsid w:val="005F4676"/>
    <w:rsid w:val="005F76E9"/>
    <w:rsid w:val="00602BEA"/>
    <w:rsid w:val="00604785"/>
    <w:rsid w:val="006050EC"/>
    <w:rsid w:val="00605FD1"/>
    <w:rsid w:val="0060689E"/>
    <w:rsid w:val="00606A66"/>
    <w:rsid w:val="00607F2F"/>
    <w:rsid w:val="00610311"/>
    <w:rsid w:val="00613139"/>
    <w:rsid w:val="00615AAB"/>
    <w:rsid w:val="006179D5"/>
    <w:rsid w:val="00620884"/>
    <w:rsid w:val="006220CA"/>
    <w:rsid w:val="006224F4"/>
    <w:rsid w:val="00623270"/>
    <w:rsid w:val="00626EF2"/>
    <w:rsid w:val="00627280"/>
    <w:rsid w:val="00631468"/>
    <w:rsid w:val="00631E6F"/>
    <w:rsid w:val="00631ECE"/>
    <w:rsid w:val="006337B9"/>
    <w:rsid w:val="00633B84"/>
    <w:rsid w:val="00635019"/>
    <w:rsid w:val="00635299"/>
    <w:rsid w:val="006365E4"/>
    <w:rsid w:val="0063702E"/>
    <w:rsid w:val="00640240"/>
    <w:rsid w:val="006406B1"/>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751D"/>
    <w:rsid w:val="00680A5D"/>
    <w:rsid w:val="00680F7D"/>
    <w:rsid w:val="00682104"/>
    <w:rsid w:val="006823F1"/>
    <w:rsid w:val="00685BA2"/>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54F2"/>
    <w:rsid w:val="006C74D9"/>
    <w:rsid w:val="006D0360"/>
    <w:rsid w:val="006D192F"/>
    <w:rsid w:val="006D317A"/>
    <w:rsid w:val="006D6A52"/>
    <w:rsid w:val="006E0198"/>
    <w:rsid w:val="006E0789"/>
    <w:rsid w:val="006E1063"/>
    <w:rsid w:val="006E10CA"/>
    <w:rsid w:val="006E1531"/>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CF3"/>
    <w:rsid w:val="00706D02"/>
    <w:rsid w:val="0071474B"/>
    <w:rsid w:val="00714E8F"/>
    <w:rsid w:val="0071537A"/>
    <w:rsid w:val="007171A5"/>
    <w:rsid w:val="007175DA"/>
    <w:rsid w:val="007200C8"/>
    <w:rsid w:val="00721EC8"/>
    <w:rsid w:val="00723AAA"/>
    <w:rsid w:val="00724ADE"/>
    <w:rsid w:val="00726144"/>
    <w:rsid w:val="00727727"/>
    <w:rsid w:val="007312A2"/>
    <w:rsid w:val="00732829"/>
    <w:rsid w:val="007373DB"/>
    <w:rsid w:val="0073781A"/>
    <w:rsid w:val="00744665"/>
    <w:rsid w:val="0074489B"/>
    <w:rsid w:val="00746426"/>
    <w:rsid w:val="007464DF"/>
    <w:rsid w:val="007470F3"/>
    <w:rsid w:val="007518D1"/>
    <w:rsid w:val="007536F9"/>
    <w:rsid w:val="00754684"/>
    <w:rsid w:val="00755D85"/>
    <w:rsid w:val="00756459"/>
    <w:rsid w:val="00760C2A"/>
    <w:rsid w:val="007624B6"/>
    <w:rsid w:val="00763AC0"/>
    <w:rsid w:val="00766AB5"/>
    <w:rsid w:val="0076779D"/>
    <w:rsid w:val="00770A31"/>
    <w:rsid w:val="00770FEC"/>
    <w:rsid w:val="00772907"/>
    <w:rsid w:val="00776EA8"/>
    <w:rsid w:val="007816A0"/>
    <w:rsid w:val="00783121"/>
    <w:rsid w:val="007846E5"/>
    <w:rsid w:val="0078531B"/>
    <w:rsid w:val="00785927"/>
    <w:rsid w:val="00786894"/>
    <w:rsid w:val="00786F18"/>
    <w:rsid w:val="00787149"/>
    <w:rsid w:val="00787C90"/>
    <w:rsid w:val="00794BFE"/>
    <w:rsid w:val="00794EA7"/>
    <w:rsid w:val="0079545D"/>
    <w:rsid w:val="007A13A0"/>
    <w:rsid w:val="007A22EE"/>
    <w:rsid w:val="007A43ED"/>
    <w:rsid w:val="007A44BA"/>
    <w:rsid w:val="007A5119"/>
    <w:rsid w:val="007A5B5E"/>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288F"/>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FE3"/>
    <w:rsid w:val="00875789"/>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A7721"/>
    <w:rsid w:val="008B4928"/>
    <w:rsid w:val="008C2010"/>
    <w:rsid w:val="008C223B"/>
    <w:rsid w:val="008C5CBD"/>
    <w:rsid w:val="008C5FB8"/>
    <w:rsid w:val="008C6592"/>
    <w:rsid w:val="008C7219"/>
    <w:rsid w:val="008D17E8"/>
    <w:rsid w:val="008D2F2D"/>
    <w:rsid w:val="008D6A15"/>
    <w:rsid w:val="008E2F4C"/>
    <w:rsid w:val="008E3CC6"/>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8E4"/>
    <w:rsid w:val="00922925"/>
    <w:rsid w:val="00922CC9"/>
    <w:rsid w:val="00926315"/>
    <w:rsid w:val="0092754C"/>
    <w:rsid w:val="0093030F"/>
    <w:rsid w:val="00930BDF"/>
    <w:rsid w:val="0093147D"/>
    <w:rsid w:val="0093785B"/>
    <w:rsid w:val="00937EAC"/>
    <w:rsid w:val="00944386"/>
    <w:rsid w:val="00944597"/>
    <w:rsid w:val="009468AA"/>
    <w:rsid w:val="00947085"/>
    <w:rsid w:val="00952BBB"/>
    <w:rsid w:val="00952DA2"/>
    <w:rsid w:val="00953189"/>
    <w:rsid w:val="009575F5"/>
    <w:rsid w:val="00961528"/>
    <w:rsid w:val="00961AB8"/>
    <w:rsid w:val="009652D6"/>
    <w:rsid w:val="009755FD"/>
    <w:rsid w:val="00980029"/>
    <w:rsid w:val="009802A4"/>
    <w:rsid w:val="009836F2"/>
    <w:rsid w:val="009878B0"/>
    <w:rsid w:val="0099265D"/>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3A19"/>
    <w:rsid w:val="009B6097"/>
    <w:rsid w:val="009B7578"/>
    <w:rsid w:val="009B7B93"/>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7E15"/>
    <w:rsid w:val="009F006E"/>
    <w:rsid w:val="009F2123"/>
    <w:rsid w:val="009F3D2B"/>
    <w:rsid w:val="009F5B0C"/>
    <w:rsid w:val="00A00586"/>
    <w:rsid w:val="00A00744"/>
    <w:rsid w:val="00A03414"/>
    <w:rsid w:val="00A045F3"/>
    <w:rsid w:val="00A057F6"/>
    <w:rsid w:val="00A068EB"/>
    <w:rsid w:val="00A13F37"/>
    <w:rsid w:val="00A154B0"/>
    <w:rsid w:val="00A17ABB"/>
    <w:rsid w:val="00A206A3"/>
    <w:rsid w:val="00A2218D"/>
    <w:rsid w:val="00A24D9A"/>
    <w:rsid w:val="00A276A9"/>
    <w:rsid w:val="00A30D89"/>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21C9"/>
    <w:rsid w:val="00A54C1E"/>
    <w:rsid w:val="00A56A2F"/>
    <w:rsid w:val="00A57E36"/>
    <w:rsid w:val="00A62BB9"/>
    <w:rsid w:val="00A640B9"/>
    <w:rsid w:val="00A659DE"/>
    <w:rsid w:val="00A75971"/>
    <w:rsid w:val="00A76574"/>
    <w:rsid w:val="00A765DB"/>
    <w:rsid w:val="00A778B8"/>
    <w:rsid w:val="00A8034D"/>
    <w:rsid w:val="00A811AE"/>
    <w:rsid w:val="00A83C18"/>
    <w:rsid w:val="00A8529D"/>
    <w:rsid w:val="00A872B9"/>
    <w:rsid w:val="00A879E4"/>
    <w:rsid w:val="00A87BD8"/>
    <w:rsid w:val="00A917BE"/>
    <w:rsid w:val="00A968B7"/>
    <w:rsid w:val="00A96E44"/>
    <w:rsid w:val="00A97BC6"/>
    <w:rsid w:val="00AA0710"/>
    <w:rsid w:val="00AA3699"/>
    <w:rsid w:val="00AA4103"/>
    <w:rsid w:val="00AA51ED"/>
    <w:rsid w:val="00AA62AE"/>
    <w:rsid w:val="00AA7145"/>
    <w:rsid w:val="00AA796F"/>
    <w:rsid w:val="00AA7BAB"/>
    <w:rsid w:val="00AB12C6"/>
    <w:rsid w:val="00AB1630"/>
    <w:rsid w:val="00AB5C18"/>
    <w:rsid w:val="00AC05A6"/>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4BC4"/>
    <w:rsid w:val="00AE4F40"/>
    <w:rsid w:val="00AE579E"/>
    <w:rsid w:val="00AE6EBD"/>
    <w:rsid w:val="00AE7DDB"/>
    <w:rsid w:val="00AF01E3"/>
    <w:rsid w:val="00AF0927"/>
    <w:rsid w:val="00AF5B34"/>
    <w:rsid w:val="00B00359"/>
    <w:rsid w:val="00B03CFF"/>
    <w:rsid w:val="00B044C2"/>
    <w:rsid w:val="00B103A0"/>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6A1F"/>
    <w:rsid w:val="00B36E7D"/>
    <w:rsid w:val="00B37BED"/>
    <w:rsid w:val="00B427E2"/>
    <w:rsid w:val="00B438E5"/>
    <w:rsid w:val="00B44A59"/>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75D"/>
    <w:rsid w:val="00B702EA"/>
    <w:rsid w:val="00B70BBD"/>
    <w:rsid w:val="00B70C05"/>
    <w:rsid w:val="00B7407D"/>
    <w:rsid w:val="00B755B0"/>
    <w:rsid w:val="00B76724"/>
    <w:rsid w:val="00B77C3E"/>
    <w:rsid w:val="00B81C77"/>
    <w:rsid w:val="00B86059"/>
    <w:rsid w:val="00B9140E"/>
    <w:rsid w:val="00B91B88"/>
    <w:rsid w:val="00B92449"/>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A88"/>
    <w:rsid w:val="00BF1B60"/>
    <w:rsid w:val="00BF2E0E"/>
    <w:rsid w:val="00BF76D7"/>
    <w:rsid w:val="00C006F9"/>
    <w:rsid w:val="00C011CA"/>
    <w:rsid w:val="00C04195"/>
    <w:rsid w:val="00C046EC"/>
    <w:rsid w:val="00C057DF"/>
    <w:rsid w:val="00C070B3"/>
    <w:rsid w:val="00C13B09"/>
    <w:rsid w:val="00C13FB8"/>
    <w:rsid w:val="00C142D8"/>
    <w:rsid w:val="00C15DB6"/>
    <w:rsid w:val="00C201E1"/>
    <w:rsid w:val="00C20A30"/>
    <w:rsid w:val="00C20B6F"/>
    <w:rsid w:val="00C225DB"/>
    <w:rsid w:val="00C22771"/>
    <w:rsid w:val="00C22ACD"/>
    <w:rsid w:val="00C2501E"/>
    <w:rsid w:val="00C261B0"/>
    <w:rsid w:val="00C27F1A"/>
    <w:rsid w:val="00C3005E"/>
    <w:rsid w:val="00C30161"/>
    <w:rsid w:val="00C307F1"/>
    <w:rsid w:val="00C33CED"/>
    <w:rsid w:val="00C349DF"/>
    <w:rsid w:val="00C36AC2"/>
    <w:rsid w:val="00C37DF5"/>
    <w:rsid w:val="00C41270"/>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33E9"/>
    <w:rsid w:val="00C64081"/>
    <w:rsid w:val="00C6716F"/>
    <w:rsid w:val="00C67280"/>
    <w:rsid w:val="00C7097E"/>
    <w:rsid w:val="00C73D2E"/>
    <w:rsid w:val="00C74D5B"/>
    <w:rsid w:val="00C753F3"/>
    <w:rsid w:val="00C7577E"/>
    <w:rsid w:val="00C76F08"/>
    <w:rsid w:val="00C77142"/>
    <w:rsid w:val="00C817E5"/>
    <w:rsid w:val="00C81E73"/>
    <w:rsid w:val="00C84412"/>
    <w:rsid w:val="00C84F09"/>
    <w:rsid w:val="00C86601"/>
    <w:rsid w:val="00C86A96"/>
    <w:rsid w:val="00C918A0"/>
    <w:rsid w:val="00C93D84"/>
    <w:rsid w:val="00C9473D"/>
    <w:rsid w:val="00C94C59"/>
    <w:rsid w:val="00C96D03"/>
    <w:rsid w:val="00CA0A5B"/>
    <w:rsid w:val="00CA2601"/>
    <w:rsid w:val="00CA7578"/>
    <w:rsid w:val="00CB0191"/>
    <w:rsid w:val="00CB1103"/>
    <w:rsid w:val="00CB114D"/>
    <w:rsid w:val="00CB16E2"/>
    <w:rsid w:val="00CB466F"/>
    <w:rsid w:val="00CB5288"/>
    <w:rsid w:val="00CB5CCC"/>
    <w:rsid w:val="00CB6D0B"/>
    <w:rsid w:val="00CB731B"/>
    <w:rsid w:val="00CB754E"/>
    <w:rsid w:val="00CC0343"/>
    <w:rsid w:val="00CC1556"/>
    <w:rsid w:val="00CC7806"/>
    <w:rsid w:val="00CD140A"/>
    <w:rsid w:val="00CD219A"/>
    <w:rsid w:val="00CD3746"/>
    <w:rsid w:val="00CD43CA"/>
    <w:rsid w:val="00CD6397"/>
    <w:rsid w:val="00CD707F"/>
    <w:rsid w:val="00CE2FED"/>
    <w:rsid w:val="00CE3BF3"/>
    <w:rsid w:val="00CE5022"/>
    <w:rsid w:val="00CE5F5D"/>
    <w:rsid w:val="00CE6EF0"/>
    <w:rsid w:val="00CE780B"/>
    <w:rsid w:val="00CE7E1C"/>
    <w:rsid w:val="00CF354D"/>
    <w:rsid w:val="00CF38C2"/>
    <w:rsid w:val="00CF4C7E"/>
    <w:rsid w:val="00CF5F21"/>
    <w:rsid w:val="00CF64E5"/>
    <w:rsid w:val="00D02545"/>
    <w:rsid w:val="00D03237"/>
    <w:rsid w:val="00D035CE"/>
    <w:rsid w:val="00D0449D"/>
    <w:rsid w:val="00D05055"/>
    <w:rsid w:val="00D06A86"/>
    <w:rsid w:val="00D06B91"/>
    <w:rsid w:val="00D11FEF"/>
    <w:rsid w:val="00D12DC7"/>
    <w:rsid w:val="00D14D1C"/>
    <w:rsid w:val="00D21E68"/>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194F"/>
    <w:rsid w:val="00D52AE9"/>
    <w:rsid w:val="00D53B00"/>
    <w:rsid w:val="00D54036"/>
    <w:rsid w:val="00D54271"/>
    <w:rsid w:val="00D54B83"/>
    <w:rsid w:val="00D55CA1"/>
    <w:rsid w:val="00D60C60"/>
    <w:rsid w:val="00D67F35"/>
    <w:rsid w:val="00D714AE"/>
    <w:rsid w:val="00D80489"/>
    <w:rsid w:val="00D8282E"/>
    <w:rsid w:val="00D841BC"/>
    <w:rsid w:val="00D84AF9"/>
    <w:rsid w:val="00D869D1"/>
    <w:rsid w:val="00D8770B"/>
    <w:rsid w:val="00D91179"/>
    <w:rsid w:val="00D925FE"/>
    <w:rsid w:val="00DA253C"/>
    <w:rsid w:val="00DA2D58"/>
    <w:rsid w:val="00DA2E36"/>
    <w:rsid w:val="00DA5796"/>
    <w:rsid w:val="00DB142A"/>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B94"/>
    <w:rsid w:val="00DE04F5"/>
    <w:rsid w:val="00DE2AAD"/>
    <w:rsid w:val="00DE3267"/>
    <w:rsid w:val="00DE45DF"/>
    <w:rsid w:val="00DE4BFA"/>
    <w:rsid w:val="00DE676E"/>
    <w:rsid w:val="00DE78F9"/>
    <w:rsid w:val="00DF0B70"/>
    <w:rsid w:val="00DF0C7E"/>
    <w:rsid w:val="00DF1654"/>
    <w:rsid w:val="00DF4249"/>
    <w:rsid w:val="00DF431D"/>
    <w:rsid w:val="00DF4A65"/>
    <w:rsid w:val="00DF5113"/>
    <w:rsid w:val="00DF596A"/>
    <w:rsid w:val="00DF5F35"/>
    <w:rsid w:val="00DF61BB"/>
    <w:rsid w:val="00DF7C84"/>
    <w:rsid w:val="00E05E49"/>
    <w:rsid w:val="00E07258"/>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2E1"/>
    <w:rsid w:val="00E5039B"/>
    <w:rsid w:val="00E5122D"/>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64E3"/>
    <w:rsid w:val="00E76510"/>
    <w:rsid w:val="00E77D22"/>
    <w:rsid w:val="00E81789"/>
    <w:rsid w:val="00E819BC"/>
    <w:rsid w:val="00E83AFF"/>
    <w:rsid w:val="00E8462D"/>
    <w:rsid w:val="00E90C31"/>
    <w:rsid w:val="00E91751"/>
    <w:rsid w:val="00E9337C"/>
    <w:rsid w:val="00E93738"/>
    <w:rsid w:val="00E94339"/>
    <w:rsid w:val="00E974F8"/>
    <w:rsid w:val="00E97896"/>
    <w:rsid w:val="00EA20B7"/>
    <w:rsid w:val="00EA2229"/>
    <w:rsid w:val="00EA5B8C"/>
    <w:rsid w:val="00EA6D91"/>
    <w:rsid w:val="00EA6EFA"/>
    <w:rsid w:val="00EA6F8F"/>
    <w:rsid w:val="00EB0680"/>
    <w:rsid w:val="00EB268D"/>
    <w:rsid w:val="00EB6911"/>
    <w:rsid w:val="00EC07DF"/>
    <w:rsid w:val="00EC616C"/>
    <w:rsid w:val="00ED0200"/>
    <w:rsid w:val="00ED0588"/>
    <w:rsid w:val="00ED0959"/>
    <w:rsid w:val="00ED20A6"/>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36ED"/>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712C"/>
    <w:rsid w:val="00F2726B"/>
    <w:rsid w:val="00F2791B"/>
    <w:rsid w:val="00F3086B"/>
    <w:rsid w:val="00F32B65"/>
    <w:rsid w:val="00F330E3"/>
    <w:rsid w:val="00F330E8"/>
    <w:rsid w:val="00F34268"/>
    <w:rsid w:val="00F35133"/>
    <w:rsid w:val="00F410FB"/>
    <w:rsid w:val="00F41968"/>
    <w:rsid w:val="00F43C89"/>
    <w:rsid w:val="00F4521C"/>
    <w:rsid w:val="00F458FB"/>
    <w:rsid w:val="00F57AB8"/>
    <w:rsid w:val="00F60516"/>
    <w:rsid w:val="00F652B5"/>
    <w:rsid w:val="00F65989"/>
    <w:rsid w:val="00F668A7"/>
    <w:rsid w:val="00F66942"/>
    <w:rsid w:val="00F66A57"/>
    <w:rsid w:val="00F67054"/>
    <w:rsid w:val="00F675CF"/>
    <w:rsid w:val="00F67A11"/>
    <w:rsid w:val="00F729BA"/>
    <w:rsid w:val="00F72F25"/>
    <w:rsid w:val="00F767DC"/>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6AE7"/>
    <w:rsid w:val="00FB7682"/>
    <w:rsid w:val="00FC3F22"/>
    <w:rsid w:val="00FC45EE"/>
    <w:rsid w:val="00FC47E6"/>
    <w:rsid w:val="00FC4F6A"/>
    <w:rsid w:val="00FC6458"/>
    <w:rsid w:val="00FD3894"/>
    <w:rsid w:val="00FD6A8A"/>
    <w:rsid w:val="00FD78DB"/>
    <w:rsid w:val="00FD79EC"/>
    <w:rsid w:val="00FE00C8"/>
    <w:rsid w:val="00FE2437"/>
    <w:rsid w:val="00FE4585"/>
    <w:rsid w:val="00FE652D"/>
    <w:rsid w:val="00FE673E"/>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CDF28A2"/>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jn.gob.mx/sites/default/files/sinopsis_asuntos_destacados/documento/2017-01/2S-030615-JFFGS-0934.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50999D-420B-4347-AF8F-DE0CB1A5E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1874</TotalTime>
  <Pages>13</Pages>
  <Words>4817</Words>
  <Characters>26495</Characters>
  <Application>Microsoft Office Word</Application>
  <DocSecurity>0</DocSecurity>
  <Lines>220</Lines>
  <Paragraphs>62</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1201</cp:revision>
  <cp:lastPrinted>2021-02-15T17:27:00Z</cp:lastPrinted>
  <dcterms:created xsi:type="dcterms:W3CDTF">2019-07-08T16:38:00Z</dcterms:created>
  <dcterms:modified xsi:type="dcterms:W3CDTF">2021-07-01T17:52:00Z</dcterms:modified>
</cp:coreProperties>
</file>