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7B13C"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0473ABE"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OAXACA DE JUÁREZ, OAXACA; A QUINCE DE DICIEMBRE DEL AÑO DOS MIL VEINTE (15/12/2020). - - - - - - - - - - - - - - - - - - - - - - - - - - - - - - - - -</w:t>
      </w:r>
    </w:p>
    <w:p w14:paraId="17A54CBD" w14:textId="5B37D06A" w:rsidR="00B544E2" w:rsidRDefault="00B544E2" w:rsidP="00B544E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098/2020, antes 039/2019, promovido por </w:t>
      </w:r>
      <w:r w:rsidR="00522A17">
        <w:rPr>
          <w:rFonts w:ascii="Arial" w:hAnsi="Arial" w:cs="Arial"/>
          <w:sz w:val="24"/>
          <w:szCs w:val="24"/>
        </w:rPr>
        <w:t>***** ***** *****</w:t>
      </w:r>
      <w:r>
        <w:rPr>
          <w:rFonts w:ascii="Arial" w:hAnsi="Arial" w:cs="Arial"/>
          <w:sz w:val="24"/>
          <w:szCs w:val="24"/>
        </w:rPr>
        <w:t xml:space="preserve">, solicitando la nulidad de la resolución con número de control </w:t>
      </w:r>
      <w:r w:rsidR="00522A17">
        <w:rPr>
          <w:rFonts w:ascii="Arial" w:hAnsi="Arial" w:cs="Arial"/>
          <w:sz w:val="24"/>
          <w:szCs w:val="24"/>
        </w:rPr>
        <w:t>**********</w:t>
      </w:r>
      <w:r>
        <w:rPr>
          <w:rFonts w:ascii="Arial" w:hAnsi="Arial" w:cs="Arial"/>
          <w:sz w:val="24"/>
          <w:szCs w:val="24"/>
        </w:rPr>
        <w:t xml:space="preserve">, expedida con fecha </w:t>
      </w:r>
      <w:r w:rsidR="00522A17">
        <w:rPr>
          <w:rFonts w:ascii="Arial" w:hAnsi="Arial" w:cs="Arial"/>
          <w:sz w:val="24"/>
          <w:szCs w:val="24"/>
        </w:rPr>
        <w:t>***** de ***** de dos mil diecinueve (**/**/2019)</w:t>
      </w:r>
      <w:r>
        <w:rPr>
          <w:rFonts w:ascii="Arial" w:hAnsi="Arial" w:cs="Arial"/>
          <w:sz w:val="24"/>
          <w:szCs w:val="24"/>
        </w:rPr>
        <w:t xml:space="preserve">, mediante la cual, la Directora de Ingresos y Recaudación de la Secretaría de Finanzas del Poder Ejecutivo del Estado impuso una multa, consistente en la cantidad de $4,224.50 (CUATRO MIL DOSCIENTOS VEINTICUATRO PESOS 50/100 M.N.) por la omisión de presentar declaraciones bimestrales definitivas del impuesto sobre erogaciones por remuneraciones al trabajo personal; y, - - - - </w:t>
      </w:r>
      <w:r w:rsidR="00522A17">
        <w:rPr>
          <w:rFonts w:ascii="Arial" w:hAnsi="Arial" w:cs="Arial"/>
          <w:sz w:val="24"/>
          <w:szCs w:val="24"/>
        </w:rPr>
        <w:t xml:space="preserve">- - - - - - - - - - - - </w:t>
      </w:r>
    </w:p>
    <w:p w14:paraId="3B7DAD9A" w14:textId="77777777" w:rsidR="00B544E2" w:rsidRDefault="00B544E2" w:rsidP="00B544E2">
      <w:pPr>
        <w:spacing w:line="360" w:lineRule="auto"/>
        <w:jc w:val="center"/>
        <w:rPr>
          <w:rFonts w:ascii="Arial" w:hAnsi="Arial" w:cs="Arial"/>
          <w:b/>
          <w:sz w:val="24"/>
          <w:szCs w:val="24"/>
        </w:rPr>
      </w:pPr>
      <w:r>
        <w:rPr>
          <w:rFonts w:ascii="Arial" w:hAnsi="Arial" w:cs="Arial"/>
          <w:b/>
          <w:sz w:val="24"/>
          <w:szCs w:val="24"/>
        </w:rPr>
        <w:t>R E S U L T A N D O</w:t>
      </w:r>
    </w:p>
    <w:p w14:paraId="5F79B699" w14:textId="77777777" w:rsidR="00B544E2" w:rsidRDefault="00B544E2" w:rsidP="00B544E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ocho de mayo de dos mil diecinueve (08/05/2019), se recibió el escrito de demanda en la Oficialía de Partes de este Tribunal y con fecha nueve del mismo mes y año (09/05/2019), se tuvo por admitida a trámite, ordenándose emplazar a Juicio a la autoridad demandada; y con fecha veinticinco de octubre de dos mil diecinueve (25/10/2019) se tuvo a la parte actora ampliando la demanda. - - - - - - - - - - - </w:t>
      </w:r>
    </w:p>
    <w:p w14:paraId="5B5EFAA0" w14:textId="77777777" w:rsidR="00B544E2" w:rsidRDefault="00B544E2" w:rsidP="00B544E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seis de septiembre del año dos mil diecinueve (06/09/2019), se tuvo a la demandada Directora de Ingresos y Recaudación de la Secretaría de Finanzas del Poder Ejecutivo del Estado, contestando en tiempo la demanda y con fecha diecisiete de marzo de dos mil veinte (17/03/2020), se le tuvo contestando en tiempo la ampliación de demanda, señalándose fecha para el desahogo de la audiencia de ley.- - - - - - - - - - - - - </w:t>
      </w:r>
    </w:p>
    <w:p w14:paraId="65C1AD4E" w14:textId="77777777" w:rsidR="00B544E2" w:rsidRDefault="00B544E2" w:rsidP="00B544E2">
      <w:pPr>
        <w:widowControl w:val="0"/>
        <w:spacing w:after="0" w:line="360" w:lineRule="auto"/>
        <w:ind w:right="51" w:firstLine="708"/>
        <w:jc w:val="both"/>
        <w:rPr>
          <w:rFonts w:ascii="Arial" w:hAnsi="Arial" w:cs="Arial"/>
          <w:sz w:val="24"/>
          <w:szCs w:val="24"/>
        </w:rPr>
      </w:pPr>
      <w:r>
        <w:rPr>
          <w:rFonts w:ascii="Arial" w:hAnsi="Arial" w:cs="Arial"/>
          <w:b/>
          <w:sz w:val="24"/>
          <w:szCs w:val="24"/>
        </w:rPr>
        <w:t xml:space="preserve">TERCERO.- </w:t>
      </w:r>
      <w:r>
        <w:rPr>
          <w:rFonts w:ascii="Arial" w:eastAsia="Times New Roman" w:hAnsi="Arial" w:cs="Arial"/>
          <w:sz w:val="24"/>
          <w:szCs w:val="24"/>
          <w:lang w:val="es-ES" w:eastAsia="es-ES"/>
        </w:rPr>
        <w:t xml:space="preserve">Con fecha veintiuno de agosto de dos mil veinte (21/08/2020) se hizo de conocimiento a las partes, </w:t>
      </w:r>
      <w:r>
        <w:rPr>
          <w:rFonts w:ascii="Arial" w:hAnsi="Arial" w:cs="Arial"/>
          <w:sz w:val="24"/>
          <w:szCs w:val="24"/>
        </w:rPr>
        <w:t xml:space="preserve">la reasignación de funciones de la Séptima Sala Unitaria,  cambiando de denominación a Sala Especializada en Materia de Responsabilidad Administrativa y Combate a la Corrupción de este Tribunal, y que como consecuencia de ello, los expediente tramitados en la citada Séptima Sala (como el caso del presente asunto), fueron redistribuidos en las seis salas unitarias que conforman este Tribunal, radicándose este expediente (039/2019) en la tercera sala unitaria, ahora con el número 098/2020.- - - - - - - - - - - - - - - - - - - - - - - - - - - - - - - - - </w:t>
      </w:r>
    </w:p>
    <w:p w14:paraId="522279BA"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CUARTO.- </w:t>
      </w:r>
      <w:r>
        <w:rPr>
          <w:rFonts w:ascii="Arial" w:hAnsi="Arial" w:cs="Arial"/>
          <w:sz w:val="24"/>
          <w:szCs w:val="24"/>
        </w:rPr>
        <w:t>El tres de diciembre de dos mil veinte (03/12/2020), luego de las diversas suspensiones de actividades de este Tribunal, decretadas con motivo de mitigar la propagación y contagio del virus SARS CoV2 (COVID19),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w:t>
      </w:r>
      <w:r w:rsidRPr="005952CB">
        <w:rPr>
          <w:rFonts w:ascii="Arial" w:hAnsi="Arial" w:cs="Arial"/>
          <w:sz w:val="24"/>
          <w:szCs w:val="24"/>
        </w:rPr>
        <w:t>de alegatos de</w:t>
      </w:r>
      <w:r>
        <w:rPr>
          <w:rFonts w:ascii="Arial" w:hAnsi="Arial" w:cs="Arial"/>
          <w:sz w:val="24"/>
          <w:szCs w:val="24"/>
        </w:rPr>
        <w:t xml:space="preserve"> ninguna de las partes</w:t>
      </w:r>
      <w:r w:rsidRPr="005952CB">
        <w:rPr>
          <w:rFonts w:ascii="Arial" w:hAnsi="Arial" w:cs="Arial"/>
          <w:sz w:val="24"/>
          <w:szCs w:val="24"/>
        </w:rPr>
        <w:t xml:space="preserve">, quedando el asunto integrado y en estado de resolución; y, - - - - - </w:t>
      </w:r>
    </w:p>
    <w:p w14:paraId="0FA4C018" w14:textId="77777777" w:rsidR="00B544E2" w:rsidRDefault="00B544E2" w:rsidP="00B544E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3E6A254C"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0925A084"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38B9B82" w14:textId="64D30E4C" w:rsidR="00B544E2" w:rsidRPr="006E68CD" w:rsidRDefault="00B544E2" w:rsidP="00B544E2">
      <w:pPr>
        <w:tabs>
          <w:tab w:val="center" w:pos="4574"/>
        </w:tabs>
        <w:spacing w:line="360" w:lineRule="auto"/>
        <w:ind w:firstLine="708"/>
        <w:jc w:val="both"/>
        <w:rPr>
          <w:rFonts w:ascii="Arial" w:hAnsi="Arial" w:cs="Arial"/>
          <w:bCs/>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522A17">
        <w:rPr>
          <w:rFonts w:ascii="Arial" w:hAnsi="Arial" w:cs="Arial"/>
          <w:sz w:val="24"/>
          <w:szCs w:val="24"/>
        </w:rPr>
        <w:t>***** ***** *****</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Copia simple de oficio con número de control </w:t>
      </w:r>
      <w:r w:rsidR="00522A17">
        <w:rPr>
          <w:rFonts w:ascii="Arial" w:hAnsi="Arial" w:cs="Arial"/>
          <w:sz w:val="24"/>
          <w:szCs w:val="24"/>
        </w:rPr>
        <w:t>**********</w:t>
      </w:r>
      <w:r w:rsidRPr="00FA6C23">
        <w:rPr>
          <w:rFonts w:ascii="Arial" w:hAnsi="Arial" w:cs="Arial"/>
          <w:sz w:val="24"/>
          <w:szCs w:val="24"/>
        </w:rPr>
        <w:t xml:space="preserve">, de fecha </w:t>
      </w:r>
      <w:r w:rsidR="00522A17">
        <w:rPr>
          <w:rFonts w:ascii="Arial" w:hAnsi="Arial" w:cs="Arial"/>
          <w:sz w:val="24"/>
          <w:szCs w:val="24"/>
        </w:rPr>
        <w:t>***** de ***** de dos mil diecinueve (**/**/2019)</w:t>
      </w:r>
      <w:r>
        <w:rPr>
          <w:rFonts w:ascii="Arial" w:hAnsi="Arial" w:cs="Arial"/>
          <w:sz w:val="24"/>
          <w:szCs w:val="24"/>
        </w:rPr>
        <w:t>,</w:t>
      </w:r>
      <w:r w:rsidRPr="00F0477F">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Pr>
          <w:rFonts w:ascii="Arial" w:hAnsi="Arial" w:cs="Arial"/>
          <w:b/>
          <w:bCs/>
          <w:sz w:val="24"/>
          <w:szCs w:val="24"/>
        </w:rPr>
        <w:t xml:space="preserve">2.- </w:t>
      </w:r>
      <w:r w:rsidRPr="00F0477F">
        <w:rPr>
          <w:rFonts w:ascii="Arial" w:hAnsi="Arial" w:cs="Arial"/>
          <w:bCs/>
          <w:sz w:val="24"/>
          <w:szCs w:val="24"/>
        </w:rPr>
        <w:t xml:space="preserve">Impresión de declaración definitiva bimestral del impuesto sobre erogaciones por remuneraciones al trabajo personal del bimestre 6° del ejercicio fiscal 2018, con número de folio </w:t>
      </w:r>
      <w:r w:rsidR="00522A17">
        <w:rPr>
          <w:rFonts w:ascii="Arial" w:hAnsi="Arial" w:cs="Arial"/>
          <w:bCs/>
          <w:sz w:val="24"/>
          <w:szCs w:val="24"/>
        </w:rPr>
        <w:lastRenderedPageBreak/>
        <w:t>**********</w:t>
      </w:r>
      <w:r w:rsidRPr="00F0477F">
        <w:rPr>
          <w:rFonts w:ascii="Arial" w:hAnsi="Arial" w:cs="Arial"/>
          <w:bCs/>
          <w:sz w:val="24"/>
          <w:szCs w:val="24"/>
        </w:rPr>
        <w:t xml:space="preserve"> de </w:t>
      </w:r>
      <w:r w:rsidR="00522A17">
        <w:rPr>
          <w:rFonts w:ascii="Arial" w:hAnsi="Arial" w:cs="Arial"/>
          <w:bCs/>
          <w:sz w:val="24"/>
          <w:szCs w:val="24"/>
        </w:rPr>
        <w:t>***** de ***** de dos mil diecinueve (**/**/2019)</w:t>
      </w:r>
      <w:r>
        <w:rPr>
          <w:rFonts w:ascii="Arial" w:hAnsi="Arial" w:cs="Arial"/>
          <w:b/>
          <w:bCs/>
          <w:sz w:val="24"/>
          <w:szCs w:val="24"/>
        </w:rPr>
        <w:t xml:space="preserve">; </w:t>
      </w:r>
      <w:r w:rsidRPr="006E68CD">
        <w:rPr>
          <w:rFonts w:ascii="Arial" w:hAnsi="Arial" w:cs="Arial"/>
          <w:bCs/>
          <w:sz w:val="24"/>
          <w:szCs w:val="24"/>
        </w:rPr>
        <w:t>de igual forma todas y cada una de las documentales remitidas por la autoridad demandada, mismas que se enlisan a continuación.</w:t>
      </w:r>
    </w:p>
    <w:p w14:paraId="1DD97C82" w14:textId="799F2DC8" w:rsidR="00B544E2" w:rsidRPr="001B1F77" w:rsidRDefault="00B544E2" w:rsidP="00B544E2">
      <w:pPr>
        <w:tabs>
          <w:tab w:val="center" w:pos="4574"/>
        </w:tabs>
        <w:spacing w:line="360" w:lineRule="auto"/>
        <w:ind w:firstLine="708"/>
        <w:jc w:val="both"/>
        <w:rPr>
          <w:rFonts w:ascii="Arial" w:hAnsi="Arial" w:cs="Arial"/>
          <w:b/>
          <w:sz w:val="24"/>
          <w:szCs w:val="24"/>
        </w:rPr>
      </w:pPr>
      <w:r w:rsidRPr="006E68CD">
        <w:rPr>
          <w:rFonts w:ascii="Arial" w:hAnsi="Arial" w:cs="Arial"/>
          <w:bCs/>
          <w:sz w:val="24"/>
          <w:szCs w:val="24"/>
        </w:rPr>
        <w:t>A la autoridad demandada se le admitieron las DOCUMENTALES siguientes</w:t>
      </w:r>
      <w:r w:rsidRPr="0096225D">
        <w:rPr>
          <w:rFonts w:ascii="Arial" w:hAnsi="Arial" w:cs="Arial"/>
          <w:b/>
          <w:bCs/>
          <w:sz w:val="24"/>
          <w:szCs w:val="24"/>
        </w:rPr>
        <w:t>: 1.-</w:t>
      </w:r>
      <w:r>
        <w:rPr>
          <w:rFonts w:ascii="Arial" w:hAnsi="Arial" w:cs="Arial"/>
          <w:bCs/>
          <w:sz w:val="24"/>
          <w:szCs w:val="24"/>
        </w:rPr>
        <w:t xml:space="preserve"> Copia certificada de nombramiento </w:t>
      </w:r>
      <w:r>
        <w:rPr>
          <w:rFonts w:ascii="Arial" w:hAnsi="Arial" w:cs="Arial"/>
          <w:sz w:val="24"/>
          <w:szCs w:val="24"/>
        </w:rPr>
        <w:t xml:space="preserve">y toma de protesta de ley expedidos a favor de MAIRA CORTÉS REYNA Directora de lo Contencioso de la Secretaría de Finanzas del Gobierno del Estado; </w:t>
      </w:r>
      <w:r>
        <w:rPr>
          <w:rFonts w:ascii="Arial" w:hAnsi="Arial" w:cs="Arial"/>
          <w:b/>
          <w:sz w:val="24"/>
          <w:szCs w:val="24"/>
        </w:rPr>
        <w:t xml:space="preserve">2.- </w:t>
      </w:r>
      <w:r w:rsidRPr="00FF5C9B">
        <w:rPr>
          <w:rFonts w:ascii="Arial" w:hAnsi="Arial" w:cs="Arial"/>
          <w:sz w:val="24"/>
          <w:szCs w:val="24"/>
        </w:rPr>
        <w:t>C</w:t>
      </w:r>
      <w:r>
        <w:rPr>
          <w:rFonts w:ascii="Arial" w:hAnsi="Arial" w:cs="Arial"/>
          <w:sz w:val="24"/>
          <w:szCs w:val="24"/>
        </w:rPr>
        <w:t xml:space="preserve">uadernillo de copias certificadas que contiene </w:t>
      </w:r>
      <w:r w:rsidRPr="00FF5C9B">
        <w:rPr>
          <w:rFonts w:ascii="Arial" w:hAnsi="Arial" w:cs="Arial"/>
          <w:sz w:val="24"/>
          <w:szCs w:val="24"/>
        </w:rPr>
        <w:t>el oficio</w:t>
      </w:r>
      <w:r>
        <w:rPr>
          <w:rFonts w:ascii="Arial" w:hAnsi="Arial" w:cs="Arial"/>
          <w:b/>
          <w:sz w:val="24"/>
          <w:szCs w:val="24"/>
        </w:rPr>
        <w:t xml:space="preserve"> </w:t>
      </w:r>
      <w:r w:rsidRPr="00FA6C23">
        <w:rPr>
          <w:rFonts w:ascii="Arial" w:hAnsi="Arial" w:cs="Arial"/>
          <w:sz w:val="24"/>
          <w:szCs w:val="24"/>
        </w:rPr>
        <w:t xml:space="preserve">con número de control </w:t>
      </w:r>
      <w:r w:rsidR="00522A17">
        <w:rPr>
          <w:rFonts w:ascii="Arial" w:hAnsi="Arial" w:cs="Arial"/>
          <w:sz w:val="24"/>
          <w:szCs w:val="24"/>
        </w:rPr>
        <w:t>**********</w:t>
      </w:r>
      <w:r w:rsidRPr="00FA6C23">
        <w:rPr>
          <w:rFonts w:ascii="Arial" w:hAnsi="Arial" w:cs="Arial"/>
          <w:sz w:val="24"/>
          <w:szCs w:val="24"/>
        </w:rPr>
        <w:t xml:space="preserve">, de fecha </w:t>
      </w:r>
      <w:r w:rsidR="00522A17">
        <w:rPr>
          <w:rFonts w:ascii="Arial" w:hAnsi="Arial" w:cs="Arial"/>
          <w:sz w:val="24"/>
          <w:szCs w:val="24"/>
        </w:rPr>
        <w:t>***** de ***** de dos mil diecinueve (**/**/2019)</w:t>
      </w:r>
      <w:r>
        <w:rPr>
          <w:rFonts w:ascii="Arial" w:hAnsi="Arial" w:cs="Arial"/>
          <w:sz w:val="24"/>
          <w:szCs w:val="24"/>
        </w:rPr>
        <w:t>,</w:t>
      </w:r>
      <w:r w:rsidRPr="00F0477F">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r w:rsidRPr="00FA6C23">
        <w:rPr>
          <w:rFonts w:ascii="Arial" w:hAnsi="Arial" w:cs="Arial"/>
          <w:sz w:val="24"/>
          <w:szCs w:val="24"/>
        </w:rPr>
        <w:t xml:space="preserve"> </w:t>
      </w:r>
      <w:r>
        <w:rPr>
          <w:rFonts w:ascii="Arial" w:hAnsi="Arial" w:cs="Arial"/>
          <w:sz w:val="24"/>
          <w:szCs w:val="24"/>
        </w:rPr>
        <w:t xml:space="preserve">y constancia de notificación del mismo; </w:t>
      </w:r>
      <w:r>
        <w:rPr>
          <w:rFonts w:ascii="Arial" w:hAnsi="Arial" w:cs="Arial"/>
          <w:b/>
          <w:sz w:val="24"/>
          <w:szCs w:val="24"/>
        </w:rPr>
        <w:t>3.-</w:t>
      </w:r>
      <w:r w:rsidRPr="002A4EC5">
        <w:rPr>
          <w:rFonts w:ascii="Arial" w:hAnsi="Arial" w:cs="Arial"/>
          <w:bCs/>
          <w:sz w:val="24"/>
          <w:szCs w:val="24"/>
        </w:rPr>
        <w:t xml:space="preserve"> Dos </w:t>
      </w:r>
      <w:r w:rsidRPr="001B1F77">
        <w:rPr>
          <w:rFonts w:ascii="Arial" w:hAnsi="Arial" w:cs="Arial"/>
          <w:sz w:val="24"/>
          <w:szCs w:val="24"/>
        </w:rPr>
        <w:t>Cuadernillo</w:t>
      </w:r>
      <w:r>
        <w:rPr>
          <w:rFonts w:ascii="Arial" w:hAnsi="Arial" w:cs="Arial"/>
          <w:sz w:val="24"/>
          <w:szCs w:val="24"/>
        </w:rPr>
        <w:t>s que contienen el expediente administrativo del actor</w:t>
      </w:r>
      <w:r w:rsidRPr="001B1F77">
        <w:rPr>
          <w:rFonts w:ascii="Arial" w:hAnsi="Arial" w:cs="Arial"/>
          <w:sz w:val="24"/>
          <w:szCs w:val="24"/>
        </w:rPr>
        <w:t>.</w:t>
      </w:r>
      <w:r>
        <w:rPr>
          <w:rFonts w:ascii="Arial" w:hAnsi="Arial" w:cs="Arial"/>
          <w:b/>
          <w:sz w:val="24"/>
          <w:szCs w:val="24"/>
        </w:rPr>
        <w:t xml:space="preserve"> </w:t>
      </w:r>
    </w:p>
    <w:p w14:paraId="3B8A3622" w14:textId="77777777" w:rsidR="00B544E2" w:rsidRDefault="00B544E2" w:rsidP="00B544E2">
      <w:pPr>
        <w:spacing w:line="360" w:lineRule="auto"/>
        <w:ind w:firstLine="708"/>
        <w:jc w:val="both"/>
        <w:rPr>
          <w:rFonts w:ascii="Arial" w:hAnsi="Arial" w:cs="Arial"/>
          <w:sz w:val="24"/>
          <w:szCs w:val="24"/>
        </w:rPr>
      </w:pPr>
      <w:r>
        <w:rPr>
          <w:rFonts w:ascii="Arial" w:hAnsi="Arial" w:cs="Arial"/>
          <w:sz w:val="24"/>
          <w:szCs w:val="24"/>
        </w:rPr>
        <w:t xml:space="preserve">A los documentos remitidos en original y copias certificadas por las partes,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los primeros porque en ellos se advierte el nombre cargo, firma y sello de la dependencia a la que pertenecen quien los expiden, los segundos fueron certificados por personas con plenas facultades para ello, como son el Notario Público Diecinueve en el Estado, </w:t>
      </w:r>
      <w:r w:rsidRPr="003D18EC">
        <w:rPr>
          <w:rFonts w:ascii="Arial" w:hAnsi="Arial" w:cs="Arial"/>
          <w:sz w:val="24"/>
          <w:szCs w:val="24"/>
        </w:rPr>
        <w:t>quien</w:t>
      </w:r>
      <w:r>
        <w:rPr>
          <w:rFonts w:ascii="Arial" w:hAnsi="Arial" w:cs="Arial"/>
          <w:sz w:val="24"/>
          <w:szCs w:val="24"/>
        </w:rPr>
        <w:t xml:space="preserve"> al certificar asentó </w:t>
      </w:r>
      <w:r w:rsidRPr="003D18EC">
        <w:rPr>
          <w:rFonts w:ascii="Arial" w:hAnsi="Arial" w:cs="Arial"/>
          <w:sz w:val="24"/>
          <w:szCs w:val="24"/>
        </w:rPr>
        <w:t xml:space="preserve">haber cotejado </w:t>
      </w:r>
      <w:r>
        <w:rPr>
          <w:rFonts w:ascii="Arial" w:hAnsi="Arial" w:cs="Arial"/>
          <w:sz w:val="24"/>
          <w:szCs w:val="24"/>
        </w:rPr>
        <w:t xml:space="preserve">los documentos </w:t>
      </w:r>
      <w:r w:rsidRPr="003D18EC">
        <w:rPr>
          <w:rFonts w:ascii="Arial" w:hAnsi="Arial" w:cs="Arial"/>
          <w:sz w:val="24"/>
          <w:szCs w:val="24"/>
        </w:rPr>
        <w:t>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w:t>
      </w:r>
      <w:r>
        <w:rPr>
          <w:rFonts w:ascii="Arial" w:hAnsi="Arial" w:cs="Arial"/>
          <w:sz w:val="24"/>
          <w:szCs w:val="24"/>
        </w:rPr>
        <w:t xml:space="preserve"> ello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los artículos 16 fracción VIII y 66, ambos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404B84F4"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 la impresión en copia simple del formulario remitido por el actor, se le otorga valor </w:t>
      </w:r>
      <w:r w:rsidRPr="00044D86">
        <w:rPr>
          <w:rFonts w:ascii="Arial" w:hAnsi="Arial" w:cs="Arial"/>
          <w:b/>
          <w:sz w:val="24"/>
          <w:szCs w:val="24"/>
        </w:rPr>
        <w:t>probatorio indiciario</w:t>
      </w:r>
      <w:r>
        <w:rPr>
          <w:rFonts w:ascii="Arial" w:hAnsi="Arial" w:cs="Arial"/>
          <w:sz w:val="24"/>
          <w:szCs w:val="24"/>
        </w:rPr>
        <w:t>, pues no se trata de un documento aislado, por el contrario, está relacionado directamente con el acto impugnado, además ese mismo formato fue remitido por la autoridad demandada, de ahí el valor otorgado.</w:t>
      </w:r>
      <w:r w:rsidRPr="00AD18A5">
        <w:rPr>
          <w:rFonts w:ascii="Arial" w:hAnsi="Arial" w:cs="Arial"/>
          <w:sz w:val="24"/>
          <w:szCs w:val="24"/>
        </w:rPr>
        <w:t xml:space="preserve"> </w:t>
      </w:r>
      <w:r>
        <w:rPr>
          <w:rFonts w:ascii="Arial" w:hAnsi="Arial" w:cs="Arial"/>
          <w:sz w:val="24"/>
          <w:szCs w:val="24"/>
        </w:rPr>
        <w:t>Sirve de apoyo a lo anterior, la jurisprudencia localizable en el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14:paraId="2C384CDF"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w:t>
      </w:r>
      <w:r>
        <w:rPr>
          <w:rFonts w:ascii="Arial" w:hAnsi="Arial" w:cs="Arial"/>
          <w:sz w:val="24"/>
          <w:szCs w:val="24"/>
        </w:rPr>
        <w:t>ones</w:t>
      </w:r>
      <w:r w:rsidRPr="00500883">
        <w:rPr>
          <w:rFonts w:ascii="Arial" w:hAnsi="Arial" w:cs="Arial"/>
          <w:sz w:val="24"/>
          <w:szCs w:val="24"/>
        </w:rPr>
        <w:t xml:space="preserve"> I </w:t>
      </w:r>
      <w:r>
        <w:rPr>
          <w:rFonts w:ascii="Arial" w:hAnsi="Arial" w:cs="Arial"/>
          <w:sz w:val="24"/>
          <w:szCs w:val="24"/>
        </w:rPr>
        <w:t xml:space="preserve">y II </w:t>
      </w:r>
      <w:r w:rsidRPr="00500883">
        <w:rPr>
          <w:rFonts w:ascii="Arial" w:hAnsi="Arial" w:cs="Arial"/>
          <w:sz w:val="24"/>
          <w:szCs w:val="24"/>
        </w:rPr>
        <w:t>de la Ley de Procedimiento y Justicia Administrativa para el Estado de Oaxaca.</w:t>
      </w:r>
    </w:p>
    <w:p w14:paraId="06E9E4C0" w14:textId="77777777" w:rsidR="00B544E2" w:rsidRDefault="00B544E2" w:rsidP="00B544E2">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conforma el contenido del enjuiciamiento, porque los hechos contenidos en las documentales son afirmaciones expresas.</w:t>
      </w:r>
    </w:p>
    <w:p w14:paraId="55F95624" w14:textId="77777777" w:rsidR="00B544E2" w:rsidRDefault="00B544E2" w:rsidP="00B544E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parte actora,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w:t>
      </w:r>
    </w:p>
    <w:p w14:paraId="596A8C5A" w14:textId="77777777" w:rsidR="00B544E2" w:rsidRDefault="00B544E2" w:rsidP="00B544E2">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w:t>
      </w:r>
      <w:r>
        <w:rPr>
          <w:rFonts w:ascii="Arial" w:hAnsi="Arial" w:cs="Arial"/>
          <w:sz w:val="24"/>
        </w:rPr>
        <w:t>e</w:t>
      </w:r>
      <w:r w:rsidRPr="00653BD0">
        <w:rPr>
          <w:rFonts w:ascii="Arial" w:hAnsi="Arial" w:cs="Arial"/>
          <w:sz w:val="24"/>
        </w:rPr>
        <w:t xml:space="preserve"> Juzgador,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w:t>
      </w:r>
      <w:r w:rsidRPr="00653BD0">
        <w:rPr>
          <w:rFonts w:ascii="Arial" w:hAnsi="Arial" w:cs="Arial"/>
          <w:i/>
          <w:sz w:val="24"/>
        </w:rPr>
        <w:lastRenderedPageBreak/>
        <w:t>Común, Segunda Sala, del Semanario Judicial de la Federación y su Gaceta</w:t>
      </w:r>
      <w:r w:rsidRPr="00653BD0">
        <w:rPr>
          <w:rFonts w:ascii="Arial" w:hAnsi="Arial" w:cs="Arial"/>
          <w:sz w:val="24"/>
        </w:rPr>
        <w:t xml:space="preserve">.- - - - - - - - - - - - - - - - - - - - - - - - - - - - - - - - - - - </w:t>
      </w:r>
      <w:r>
        <w:rPr>
          <w:rFonts w:ascii="Arial" w:hAnsi="Arial" w:cs="Arial"/>
          <w:sz w:val="24"/>
        </w:rPr>
        <w:t xml:space="preserve">- - - - - - - - - - - - - - - - </w:t>
      </w:r>
    </w:p>
    <w:p w14:paraId="67973A66" w14:textId="09AD3BC9"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522A17">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la resolución que </w:t>
      </w:r>
      <w:r w:rsidRPr="00143105">
        <w:rPr>
          <w:rFonts w:ascii="Arial" w:hAnsi="Arial" w:cs="Arial"/>
          <w:sz w:val="24"/>
          <w:szCs w:val="24"/>
        </w:rPr>
        <w:t xml:space="preserve">impugnó, y en </w:t>
      </w:r>
      <w:r>
        <w:rPr>
          <w:rFonts w:ascii="Arial" w:hAnsi="Arial" w:cs="Arial"/>
          <w:sz w:val="24"/>
          <w:szCs w:val="24"/>
        </w:rPr>
        <w:t>el</w:t>
      </w:r>
      <w:r w:rsidRPr="00143105">
        <w:rPr>
          <w:rFonts w:ascii="Arial" w:hAnsi="Arial" w:cs="Arial"/>
          <w:sz w:val="24"/>
          <w:szCs w:val="24"/>
        </w:rPr>
        <w:t>la se le impuso una multa por omitir presentar declaraciones bimestrales, lo cual sin duda afecta su esfera jurídica, de ahí que haya quedado justificado su interés jurídico y legítimo en el presente asunto.</w:t>
      </w:r>
    </w:p>
    <w:p w14:paraId="2FA855DD" w14:textId="77777777" w:rsidR="00B544E2" w:rsidRPr="00CD56C1" w:rsidRDefault="00B544E2" w:rsidP="00B544E2">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w:t>
      </w:r>
    </w:p>
    <w:p w14:paraId="67F2CDF5" w14:textId="77777777" w:rsidR="00B544E2" w:rsidRPr="00E053AE" w:rsidRDefault="00B544E2" w:rsidP="00B544E2">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68D42590" w14:textId="77777777" w:rsidR="00B544E2" w:rsidRPr="00E053AE" w:rsidRDefault="00B544E2" w:rsidP="00B544E2">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w:t>
      </w:r>
    </w:p>
    <w:p w14:paraId="2DB2054B" w14:textId="3768BDC2" w:rsidR="00B544E2" w:rsidRDefault="00B544E2" w:rsidP="00B544E2">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8E0BBB">
        <w:rPr>
          <w:rFonts w:ascii="Arial" w:hAnsi="Arial" w:cs="Arial"/>
          <w:sz w:val="24"/>
          <w:szCs w:val="24"/>
        </w:rPr>
        <w:t xml:space="preserve">Del acto impugnado consistente en </w:t>
      </w:r>
      <w:r>
        <w:rPr>
          <w:rFonts w:ascii="Arial" w:hAnsi="Arial" w:cs="Arial"/>
          <w:sz w:val="24"/>
          <w:szCs w:val="24"/>
        </w:rPr>
        <w:t xml:space="preserve">la resolución </w:t>
      </w:r>
      <w:r w:rsidRPr="009A47E3">
        <w:rPr>
          <w:rFonts w:ascii="Arial" w:hAnsi="Arial" w:cs="Arial"/>
          <w:sz w:val="24"/>
          <w:szCs w:val="24"/>
        </w:rPr>
        <w:t>con número de control</w:t>
      </w:r>
      <w:r>
        <w:rPr>
          <w:rFonts w:ascii="Arial" w:hAnsi="Arial" w:cs="Arial"/>
          <w:b/>
          <w:sz w:val="24"/>
          <w:szCs w:val="24"/>
        </w:rPr>
        <w:t xml:space="preserve"> </w:t>
      </w:r>
      <w:r w:rsidR="00522A17">
        <w:rPr>
          <w:rFonts w:ascii="Arial" w:hAnsi="Arial" w:cs="Arial"/>
          <w:sz w:val="24"/>
          <w:szCs w:val="24"/>
        </w:rPr>
        <w:t>**********</w:t>
      </w:r>
      <w:r>
        <w:rPr>
          <w:rFonts w:ascii="Arial" w:hAnsi="Arial" w:cs="Arial"/>
          <w:sz w:val="24"/>
          <w:szCs w:val="24"/>
        </w:rPr>
        <w:t xml:space="preserve">, expedida con fecha </w:t>
      </w:r>
      <w:r w:rsidR="00522A17">
        <w:rPr>
          <w:rFonts w:ascii="Arial" w:hAnsi="Arial" w:cs="Arial"/>
          <w:sz w:val="24"/>
          <w:szCs w:val="24"/>
        </w:rPr>
        <w:t>***** de ***** de dos mil diecinueve (**/**/2019)</w:t>
      </w:r>
      <w:r>
        <w:rPr>
          <w:rFonts w:ascii="Arial" w:hAnsi="Arial" w:cs="Arial"/>
          <w:sz w:val="24"/>
          <w:szCs w:val="24"/>
        </w:rPr>
        <w:t xml:space="preserve">, se advierte que la autoridad demandada multó al actor por omitir presentar la declaración bimestral definitiva correspondiente al 6° bimestre del año dos mil dieciocho, multa emitida el día </w:t>
      </w:r>
      <w:r w:rsidR="00522A17">
        <w:rPr>
          <w:rFonts w:ascii="Arial" w:hAnsi="Arial" w:cs="Arial"/>
          <w:sz w:val="24"/>
          <w:szCs w:val="24"/>
        </w:rPr>
        <w:t>***** de ***** de dos mil diecinueve (**/**/2019)</w:t>
      </w:r>
      <w:r>
        <w:rPr>
          <w:rFonts w:ascii="Arial" w:hAnsi="Arial" w:cs="Arial"/>
          <w:sz w:val="24"/>
          <w:szCs w:val="24"/>
        </w:rPr>
        <w:t xml:space="preserve">, sin embargo, ambas partes convienen en que a la </w:t>
      </w:r>
      <w:r>
        <w:rPr>
          <w:rFonts w:ascii="Arial" w:hAnsi="Arial" w:cs="Arial"/>
          <w:sz w:val="24"/>
          <w:szCs w:val="24"/>
        </w:rPr>
        <w:lastRenderedPageBreak/>
        <w:t xml:space="preserve">fecha, dicha declaración fue efectuada, empero, la autoridad demandada alega que esto fue posterior a la notificación del requerimiento y multa, mientras que al actor sostiene que ello fue de manera espontánea, pues sostiene que efectuó la declaración respectiva previo a la notificación del requerimiento, por lo que en ese estado las cosas resulta procedente analizar  la legalidad de la notificación efectuada por la autoridad demandada del acto impugnado, para determinar si la declaración efectuada por el actor se realizó de manera espontánea o posterior al requerimiento y multa impuesta. </w:t>
      </w:r>
    </w:p>
    <w:p w14:paraId="2181CB04" w14:textId="0A6EB29C" w:rsidR="00B544E2" w:rsidRDefault="00B544E2" w:rsidP="00B544E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3D45A7">
        <w:rPr>
          <w:rFonts w:ascii="Arial" w:hAnsi="Arial" w:cs="Arial"/>
          <w:sz w:val="24"/>
          <w:szCs w:val="24"/>
        </w:rPr>
        <w:t>En efecto,</w:t>
      </w:r>
      <w:r>
        <w:rPr>
          <w:rFonts w:ascii="Arial" w:hAnsi="Arial" w:cs="Arial"/>
          <w:b/>
          <w:sz w:val="24"/>
          <w:szCs w:val="24"/>
        </w:rPr>
        <w:t xml:space="preserve"> </w:t>
      </w:r>
      <w:r>
        <w:rPr>
          <w:rFonts w:ascii="Arial" w:hAnsi="Arial" w:cs="Arial"/>
          <w:sz w:val="24"/>
          <w:szCs w:val="24"/>
        </w:rPr>
        <w:t xml:space="preserve">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522A17">
        <w:rPr>
          <w:rFonts w:ascii="Arial" w:hAnsi="Arial" w:cs="Arial"/>
          <w:sz w:val="24"/>
          <w:szCs w:val="24"/>
        </w:rPr>
        <w:t>**********</w:t>
      </w:r>
      <w:r>
        <w:rPr>
          <w:rFonts w:ascii="Arial" w:hAnsi="Arial" w:cs="Arial"/>
          <w:sz w:val="24"/>
          <w:szCs w:val="24"/>
        </w:rPr>
        <w:t xml:space="preserve">, expedida con fecha </w:t>
      </w:r>
      <w:r w:rsidR="00522A17">
        <w:rPr>
          <w:rFonts w:ascii="Arial" w:hAnsi="Arial" w:cs="Arial"/>
          <w:sz w:val="24"/>
          <w:szCs w:val="24"/>
        </w:rPr>
        <w:t>***** de ***** de dos mil diecinueve (**/**/2019)</w:t>
      </w:r>
      <w:r>
        <w:rPr>
          <w:rFonts w:ascii="Arial" w:hAnsi="Arial" w:cs="Arial"/>
          <w:sz w:val="24"/>
          <w:szCs w:val="24"/>
        </w:rPr>
        <w:t xml:space="preserve">, </w:t>
      </w:r>
      <w:r w:rsidRPr="00746356">
        <w:rPr>
          <w:rFonts w:ascii="Arial" w:hAnsi="Arial" w:cs="Arial"/>
          <w:b/>
          <w:sz w:val="24"/>
          <w:szCs w:val="24"/>
        </w:rPr>
        <w:t>resulta ilegal</w:t>
      </w:r>
      <w:r>
        <w:rPr>
          <w:rFonts w:ascii="Arial" w:hAnsi="Arial" w:cs="Arial"/>
          <w:sz w:val="24"/>
          <w:szCs w:val="24"/>
        </w:rPr>
        <w:t xml:space="preserve">, porque la multa impuesta por la demandada, encuadra en la hipótesis del artículo 134 fracción IV del Código Fiscal para el Estado de Oaxaca, pues se trata de un acto administrativo que puede ser recurrido, y en ese supuesto, </w:t>
      </w:r>
      <w:r w:rsidRPr="00746356">
        <w:rPr>
          <w:rFonts w:ascii="Arial" w:hAnsi="Arial" w:cs="Arial"/>
          <w:b/>
          <w:sz w:val="24"/>
          <w:szCs w:val="24"/>
        </w:rPr>
        <w:t>debe notificarse personalmente</w:t>
      </w:r>
      <w:r>
        <w:rPr>
          <w:rFonts w:ascii="Arial" w:hAnsi="Arial" w:cs="Arial"/>
          <w:sz w:val="24"/>
          <w:szCs w:val="24"/>
        </w:rPr>
        <w:t xml:space="preserve">, pues así expresamente lo dispone la Ley, circunstancia que se reafirma con lo dispuesto en el artículo 135 de dicho ordenamiento legal, el cual dispone que los actos administrativos distintos a los señalados en el numeral 134, podrán ser notificados por correo ordinario o telegrama; sin que se pase desapercibido el hecho de que el referido Código Fiscal prevé en su artículo 132 último párrafo, que las notificaciones por correo certificado se consideraran notificaciones personales, pues de conformidad con el criterio adoptado por el Máximo Tribunal de este País, para que las notificaciones realizadas por correo certificado con acuse de recibo tengan eficacia jurídica, es necesario se ajusten a lo establecido en los artículo 27, 42, 59 fracción I y 61 fracción I de la Ley de Servicio Postal Mexicano; es decir, que </w:t>
      </w:r>
      <w:r w:rsidRPr="003F6A32">
        <w:rPr>
          <w:rFonts w:ascii="Arial" w:hAnsi="Arial" w:cs="Arial"/>
          <w:b/>
          <w:sz w:val="24"/>
          <w:szCs w:val="24"/>
        </w:rPr>
        <w:t xml:space="preserve">la correspondencia registrada sea entregada únicamente al destinatario o su representante legal </w:t>
      </w:r>
      <w:r>
        <w:rPr>
          <w:rFonts w:ascii="Arial" w:hAnsi="Arial" w:cs="Arial"/>
          <w:sz w:val="24"/>
          <w:szCs w:val="24"/>
        </w:rPr>
        <w:t xml:space="preserve">en su domicilio, que la firma de recepción sea plasmada por el destinatario en un documento especial, la cual será entregada al remitente como constancia del acto; solo de esa forma puede garantizarse que esa pieza postal fue recibida por el destinatario, circunstancia que permite autentificar la legalidad de ese acto (seguridad jurídica); lo que </w:t>
      </w:r>
      <w:r w:rsidRPr="00746356">
        <w:rPr>
          <w:rFonts w:ascii="Arial" w:hAnsi="Arial" w:cs="Arial"/>
          <w:b/>
          <w:sz w:val="24"/>
          <w:szCs w:val="24"/>
        </w:rPr>
        <w:t>en el caso concreto no ocurrió</w:t>
      </w:r>
      <w:r>
        <w:rPr>
          <w:rFonts w:ascii="Arial" w:hAnsi="Arial" w:cs="Arial"/>
          <w:sz w:val="24"/>
          <w:szCs w:val="24"/>
        </w:rPr>
        <w:t xml:space="preserve">, pues en autos no consta que la notificación haya sido entregada de forma personal al actor o su representante legal, circunstancia que se tiene por cierta, pues del acuse de recibo remitido por la autoridad demandada se advierte que quien firmó dicho documento fue una persona distinta (KAREN MALDONADO), sin que se encuentre justificado en este </w:t>
      </w:r>
      <w:r>
        <w:rPr>
          <w:rFonts w:ascii="Arial" w:hAnsi="Arial" w:cs="Arial"/>
          <w:sz w:val="24"/>
          <w:szCs w:val="24"/>
        </w:rPr>
        <w:lastRenderedPageBreak/>
        <w:t xml:space="preserve">asunto que esa persona sea representante legal del actor, por lo que al no haberse efectuado de forma personal como lo prescribe la normatividad, sin duda escapa de las consideraciones referidas por el más alto Tribunal del País, consecuentemente, </w:t>
      </w:r>
      <w:r w:rsidRPr="00477C5D">
        <w:rPr>
          <w:rFonts w:ascii="Arial" w:hAnsi="Arial" w:cs="Arial"/>
          <w:b/>
          <w:bCs/>
          <w:sz w:val="24"/>
          <w:szCs w:val="24"/>
        </w:rPr>
        <w:t>la notificación del acto impugnado resulta ilegal</w:t>
      </w:r>
      <w:r>
        <w:rPr>
          <w:rFonts w:ascii="Arial" w:hAnsi="Arial" w:cs="Arial"/>
          <w:sz w:val="24"/>
          <w:szCs w:val="24"/>
        </w:rPr>
        <w:t>. Sirve de apoyo a lo anterior la Jurisprudencia con datos de identificación: Semanario Judicial de la Federación y su Gaceta, Tomo XXII, Septiembre de 2005, Novena Época, Pág. 1316, registro 177244, Jurisprudencia Administrativa, Tribunales Colegiados de Circuito, y de rubro: “</w:t>
      </w:r>
      <w:r w:rsidRPr="00B85908">
        <w:rPr>
          <w:rFonts w:ascii="Arial" w:hAnsi="Arial" w:cs="Arial"/>
          <w:i/>
          <w:sz w:val="24"/>
          <w:szCs w:val="24"/>
        </w:rPr>
        <w:t xml:space="preserve">NOTIFICACIONES POR CORREO CERTIFICADO CON ACUSE DE RECIBO EN EL JUICIO </w:t>
      </w:r>
      <w:r w:rsidRPr="00EE33AF">
        <w:rPr>
          <w:rFonts w:ascii="Arial" w:hAnsi="Arial" w:cs="Arial"/>
          <w:i/>
          <w:sz w:val="24"/>
          <w:szCs w:val="24"/>
        </w:rPr>
        <w:t>FISCAL. REQUISITOS QUE DEBEN COLMAR PARA QUE GOCEN DE EFICACIA</w:t>
      </w:r>
      <w:r w:rsidRPr="00B85908">
        <w:rPr>
          <w:rFonts w:ascii="Arial" w:hAnsi="Arial" w:cs="Arial"/>
          <w:i/>
          <w:sz w:val="24"/>
          <w:szCs w:val="24"/>
        </w:rPr>
        <w:t xml:space="preserve"> LEGAL.”</w:t>
      </w:r>
    </w:p>
    <w:p w14:paraId="0B5617D9" w14:textId="5261B4EC" w:rsidR="00B544E2" w:rsidRDefault="00B544E2" w:rsidP="00B544E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cobra relevancia en este asunto, pues habiéndose declarado ilegal </w:t>
      </w:r>
      <w:r>
        <w:rPr>
          <w:rFonts w:ascii="Arial" w:hAnsi="Arial" w:cs="Arial"/>
          <w:sz w:val="24"/>
          <w:szCs w:val="24"/>
        </w:rPr>
        <w:tab/>
        <w:t xml:space="preserve">la notificación efectuada a través del servicio postal mexicano el día diez de abril de dos mil diecinueve (10/04/2019), debe considerarse como fecha de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522A17">
        <w:rPr>
          <w:rFonts w:ascii="Arial" w:hAnsi="Arial" w:cs="Arial"/>
          <w:sz w:val="24"/>
          <w:szCs w:val="24"/>
        </w:rPr>
        <w:t>**********</w:t>
      </w:r>
      <w:r>
        <w:rPr>
          <w:rFonts w:ascii="Arial" w:hAnsi="Arial" w:cs="Arial"/>
          <w:sz w:val="24"/>
          <w:szCs w:val="24"/>
        </w:rPr>
        <w:t xml:space="preserve">, la que señaló el actor, es decir el día treinta de abril de dos mil diecinueve (30/04/2019), en ese sentido, si la parte actora justificó con el formato con número de folio </w:t>
      </w:r>
      <w:r w:rsidR="00522A17">
        <w:rPr>
          <w:rFonts w:ascii="Arial" w:hAnsi="Arial" w:cs="Arial"/>
          <w:sz w:val="24"/>
          <w:szCs w:val="24"/>
        </w:rPr>
        <w:t>**********</w:t>
      </w:r>
      <w:r>
        <w:rPr>
          <w:rFonts w:ascii="Arial" w:hAnsi="Arial" w:cs="Arial"/>
          <w:sz w:val="24"/>
          <w:szCs w:val="24"/>
        </w:rPr>
        <w:t xml:space="preserve"> que al </w:t>
      </w:r>
      <w:r w:rsidR="00522A17">
        <w:rPr>
          <w:rFonts w:ascii="Arial" w:hAnsi="Arial" w:cs="Arial"/>
          <w:sz w:val="24"/>
          <w:szCs w:val="24"/>
        </w:rPr>
        <w:t>***** de ***** de dos mil diecinueve (**/**/2019)</w:t>
      </w:r>
      <w:r>
        <w:rPr>
          <w:rFonts w:ascii="Arial" w:hAnsi="Arial" w:cs="Arial"/>
          <w:sz w:val="24"/>
          <w:szCs w:val="24"/>
        </w:rPr>
        <w:t xml:space="preserve">, ya había cumplido con las obligaciones fiscales correspondientes al sexto bimestre del ejercicio fiscal dos mil dieciocho, luego entonces, </w:t>
      </w:r>
      <w:r w:rsidRPr="00211B71">
        <w:rPr>
          <w:rFonts w:ascii="Arial" w:hAnsi="Arial" w:cs="Arial"/>
          <w:b/>
          <w:sz w:val="24"/>
          <w:szCs w:val="24"/>
        </w:rPr>
        <w:t>su cumplimiento resulta espontáneo</w:t>
      </w:r>
      <w:r>
        <w:rPr>
          <w:rFonts w:ascii="Arial" w:hAnsi="Arial" w:cs="Arial"/>
          <w:sz w:val="24"/>
          <w:szCs w:val="24"/>
        </w:rPr>
        <w:t xml:space="preserve">, como acertadamente lo refirió, pues a pesar de que la resolución con número de control </w:t>
      </w:r>
      <w:r w:rsidR="00522A17">
        <w:rPr>
          <w:rFonts w:ascii="Arial" w:hAnsi="Arial" w:cs="Arial"/>
          <w:sz w:val="24"/>
          <w:szCs w:val="24"/>
        </w:rPr>
        <w:t>**********</w:t>
      </w:r>
      <w:r>
        <w:rPr>
          <w:rFonts w:ascii="Arial" w:hAnsi="Arial" w:cs="Arial"/>
          <w:sz w:val="24"/>
          <w:szCs w:val="24"/>
        </w:rPr>
        <w:t xml:space="preserve">, fue emitida con fecha </w:t>
      </w:r>
      <w:r w:rsidR="00522A17">
        <w:rPr>
          <w:rFonts w:ascii="Arial" w:hAnsi="Arial" w:cs="Arial"/>
          <w:sz w:val="24"/>
          <w:szCs w:val="24"/>
        </w:rPr>
        <w:t>***** de ***** de dos mil diecinueve (**/**/2019)</w:t>
      </w:r>
      <w:r>
        <w:rPr>
          <w:rFonts w:ascii="Arial" w:hAnsi="Arial" w:cs="Arial"/>
          <w:sz w:val="24"/>
          <w:szCs w:val="24"/>
        </w:rPr>
        <w:t xml:space="preserve">, lo cierto es que no existe en este asunto, documento alguno que justifique que en esa fecha o antes del </w:t>
      </w:r>
      <w:r w:rsidR="00522A17">
        <w:rPr>
          <w:rFonts w:ascii="Arial" w:hAnsi="Arial" w:cs="Arial"/>
          <w:sz w:val="24"/>
          <w:szCs w:val="24"/>
        </w:rPr>
        <w:t>***** de ***** de dos mil diecinueve (**/**/2019)</w:t>
      </w:r>
      <w:r>
        <w:rPr>
          <w:rFonts w:ascii="Arial" w:hAnsi="Arial" w:cs="Arial"/>
          <w:sz w:val="24"/>
          <w:szCs w:val="24"/>
        </w:rPr>
        <w:t xml:space="preserve">, fecha en que cumplió con sus obligaciones, le haya sido </w:t>
      </w:r>
      <w:r w:rsidRPr="00F84E53">
        <w:rPr>
          <w:rFonts w:ascii="Arial" w:hAnsi="Arial" w:cs="Arial"/>
          <w:sz w:val="24"/>
          <w:szCs w:val="24"/>
        </w:rPr>
        <w:t>notificado requerimiento alguno, consecuentemente se encuentra dentro de los supuestos del artículo 263</w:t>
      </w:r>
      <w:r>
        <w:rPr>
          <w:rFonts w:ascii="Arial" w:hAnsi="Arial" w:cs="Arial"/>
          <w:sz w:val="24"/>
          <w:szCs w:val="24"/>
        </w:rPr>
        <w:t xml:space="preserve"> del Código Fiscal para el Estado de Oaxaca, es decir, no se le debe imponer multa alguna por las declaraciones fiscales referidas, pues la autoridad demandada no justificó su requerimiento previo al cumplimiento.</w:t>
      </w:r>
    </w:p>
    <w:p w14:paraId="00DD8693" w14:textId="77777777" w:rsidR="00B544E2" w:rsidRDefault="00B544E2" w:rsidP="00B544E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el </w:t>
      </w:r>
      <w:r w:rsidRPr="00A3661C">
        <w:rPr>
          <w:rFonts w:ascii="Arial" w:hAnsi="Arial" w:cs="Arial"/>
          <w:sz w:val="24"/>
          <w:szCs w:val="24"/>
        </w:rPr>
        <w:t>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Pr>
          <w:rFonts w:ascii="Arial" w:hAnsi="Arial" w:cs="Arial"/>
          <w:sz w:val="24"/>
          <w:szCs w:val="24"/>
        </w:rPr>
        <w:t>; l</w:t>
      </w:r>
      <w:r w:rsidRPr="00B43E0D">
        <w:rPr>
          <w:rFonts w:ascii="Arial" w:hAnsi="Arial" w:cs="Arial"/>
          <w:sz w:val="24"/>
          <w:szCs w:val="24"/>
        </w:rPr>
        <w:t xml:space="preserve">o anterior es así, </w:t>
      </w:r>
      <w:r>
        <w:rPr>
          <w:rFonts w:ascii="Arial" w:hAnsi="Arial" w:cs="Arial"/>
          <w:sz w:val="24"/>
          <w:szCs w:val="24"/>
        </w:rPr>
        <w:t xml:space="preserve">porque en la resolución impugnada, la autoridad demandada identificó dos actos que atribuye al actor,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xml:space="preserve">, </w:t>
      </w:r>
      <w:r w:rsidRPr="007555E1">
        <w:rPr>
          <w:rFonts w:ascii="Arial" w:hAnsi="Arial" w:cs="Arial"/>
          <w:sz w:val="24"/>
          <w:szCs w:val="24"/>
        </w:rPr>
        <w:lastRenderedPageBreak/>
        <w:t>que con motivo de esa obligación, omitió presentar las declaraciones bimestrales a las</w:t>
      </w:r>
      <w:r>
        <w:rPr>
          <w:rFonts w:ascii="Arial" w:hAnsi="Arial" w:cs="Arial"/>
          <w:sz w:val="24"/>
          <w:szCs w:val="24"/>
        </w:rPr>
        <w:t xml:space="preserve"> que se encuentra sujeto.</w:t>
      </w:r>
    </w:p>
    <w:p w14:paraId="4D80655B"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xml:space="preserve">, para considerar que con ello motivó el acto emitido, pues es necesario establecer que esa norma se actualizaba con la conducta </w:t>
      </w:r>
      <w:r w:rsidRPr="00A6165D">
        <w:rPr>
          <w:rFonts w:ascii="Arial" w:hAnsi="Arial" w:cs="Arial"/>
          <w:sz w:val="24"/>
          <w:szCs w:val="24"/>
        </w:rPr>
        <w:lastRenderedPageBreak/>
        <w:t>realizada por la parte actora, de ahí la falta de motivación y de la configuración en la hipótesis normativa, por lo que</w:t>
      </w:r>
      <w:r>
        <w:rPr>
          <w:rFonts w:ascii="Arial" w:hAnsi="Arial" w:cs="Arial"/>
          <w:sz w:val="24"/>
          <w:szCs w:val="24"/>
        </w:rPr>
        <w:t xml:space="preserve"> a este acto se refiere.</w:t>
      </w:r>
    </w:p>
    <w:p w14:paraId="51BD377D" w14:textId="5358BB77" w:rsidR="00B544E2" w:rsidRDefault="00B544E2" w:rsidP="00B544E2">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Habiendo resultado fundados los agravios hasta aquí estudiados, este Juzgador los considera suficientes para declarar la nulidad del acto impugnado, pues aun cuando se analice los restantes agravios esgrimidos, a nada práctico conduciría, pues en nada cambiarían el sentido de la presente determinación; consecuentemente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22A17">
        <w:rPr>
          <w:rFonts w:ascii="Arial" w:hAnsi="Arial" w:cs="Arial"/>
          <w:sz w:val="24"/>
          <w:szCs w:val="24"/>
        </w:rPr>
        <w:t>**********</w:t>
      </w:r>
      <w:r>
        <w:rPr>
          <w:rFonts w:ascii="Arial" w:hAnsi="Arial" w:cs="Arial"/>
          <w:sz w:val="24"/>
          <w:szCs w:val="24"/>
        </w:rPr>
        <w:t xml:space="preserve">, expedida con fecha </w:t>
      </w:r>
      <w:r w:rsidR="00522A17">
        <w:rPr>
          <w:rFonts w:ascii="Arial" w:hAnsi="Arial" w:cs="Arial"/>
          <w:sz w:val="24"/>
          <w:szCs w:val="24"/>
        </w:rPr>
        <w:t>***** de ***** de dos mil diecinueve (**/**/2019)</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incluso la multa impuesta a la parte actora, consistente en $4,224.50 (CUATRO MIL DOSCIENTOS VEINTICUATRO PESOS 50/100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w:t>
      </w:r>
      <w:r w:rsidRPr="00F84E53">
        <w:rPr>
          <w:rFonts w:ascii="Arial" w:hAnsi="Arial" w:cs="Arial"/>
          <w:sz w:val="24"/>
          <w:szCs w:val="24"/>
        </w:rPr>
        <w:t>Administrativa), Tribunales Colegiados de Circuito, y bajo el rubro: “</w:t>
      </w:r>
      <w:r w:rsidRPr="00F84E53">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63069D23"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como ya se manifestó, este resolutor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0FC722AE"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y 209</w:t>
      </w:r>
      <w:r>
        <w:rPr>
          <w:rFonts w:ascii="Arial" w:hAnsi="Arial" w:cs="Arial"/>
          <w:sz w:val="24"/>
          <w:szCs w:val="24"/>
        </w:rPr>
        <w:t>,</w:t>
      </w:r>
      <w:r w:rsidRPr="00C214BC">
        <w:rPr>
          <w:rFonts w:ascii="Arial" w:hAnsi="Arial" w:cs="Arial"/>
          <w:sz w:val="24"/>
          <w:szCs w:val="24"/>
        </w:rPr>
        <w:t xml:space="preserve"> </w:t>
      </w:r>
      <w:r>
        <w:rPr>
          <w:rFonts w:ascii="Arial" w:hAnsi="Arial" w:cs="Arial"/>
          <w:sz w:val="24"/>
          <w:szCs w:val="24"/>
        </w:rPr>
        <w:t xml:space="preserve">ambos </w:t>
      </w:r>
      <w:r w:rsidRPr="00C214BC">
        <w:rPr>
          <w:rFonts w:ascii="Arial" w:hAnsi="Arial" w:cs="Arial"/>
          <w:sz w:val="24"/>
          <w:szCs w:val="24"/>
        </w:rPr>
        <w:t>de la Ley de Procedimiento y Justicia</w:t>
      </w:r>
      <w:r>
        <w:rPr>
          <w:rFonts w:ascii="Arial" w:hAnsi="Arial" w:cs="Arial"/>
          <w:sz w:val="24"/>
          <w:szCs w:val="24"/>
        </w:rPr>
        <w:t xml:space="preserve"> Administrativa para el Estado de Oaxaca, se: - - - - - - - - - - - - - - - - - - - - - - - - - - - - - - - - - - - - - - - </w:t>
      </w:r>
    </w:p>
    <w:p w14:paraId="658A3451" w14:textId="77777777" w:rsidR="00B544E2" w:rsidRDefault="00B544E2" w:rsidP="00B544E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205EFBB"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Tercera Sala Unitaria de Primera Instancia del Tribunal de Justicia Administrativa del Estado de Oaxaca, es legalmente competente para conocer y resolver del presente Juicio de Nulidad. - - - - - - -</w:t>
      </w:r>
    </w:p>
    <w:p w14:paraId="38CA866A" w14:textId="77777777" w:rsidR="00B544E2" w:rsidRDefault="00B544E2" w:rsidP="00B544E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en términos del considerando QUINTO de esta resolución.- - - - - - - - - - - - - - - - - - - - - - - - - - - - - - - - - - - - - - - - - - -</w:t>
      </w:r>
    </w:p>
    <w:p w14:paraId="4C93742A" w14:textId="6C125891" w:rsidR="00B544E2" w:rsidRDefault="00B544E2" w:rsidP="00B544E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22A17">
        <w:rPr>
          <w:rFonts w:ascii="Arial" w:hAnsi="Arial" w:cs="Arial"/>
          <w:sz w:val="24"/>
          <w:szCs w:val="24"/>
        </w:rPr>
        <w:t>**********</w:t>
      </w:r>
      <w:r>
        <w:rPr>
          <w:rFonts w:ascii="Arial" w:hAnsi="Arial" w:cs="Arial"/>
          <w:sz w:val="24"/>
          <w:szCs w:val="24"/>
        </w:rPr>
        <w:t xml:space="preserve">, expedida con fecha </w:t>
      </w:r>
      <w:r w:rsidR="00522A17">
        <w:rPr>
          <w:rFonts w:ascii="Arial" w:hAnsi="Arial" w:cs="Arial"/>
          <w:sz w:val="24"/>
          <w:szCs w:val="24"/>
        </w:rPr>
        <w:t>***** de ***** de dos mil diecinueve (**/**/2019)</w:t>
      </w:r>
      <w:r>
        <w:rPr>
          <w:rFonts w:ascii="Arial" w:hAnsi="Arial" w:cs="Arial"/>
          <w:sz w:val="24"/>
          <w:szCs w:val="24"/>
        </w:rPr>
        <w:t xml:space="preserve">, por la Directora de Ingresos y Recaudación de la Secretaría de Finanzas del Poder Ejecutivo del Estado, así como de la multa impuesta a la parte actora, consistente en $4,224.50 (CUATRO MIL DOSCIENTOS VEINTICUATRO PESOS 50/100 M.N.), así como de la notificación efectuada a través del servicio postal mexicano; lo anterior en términos precisados en el considerando SEXTO de esta resolución. - - - - - - - </w:t>
      </w:r>
      <w:r w:rsidR="00522A17">
        <w:rPr>
          <w:rFonts w:ascii="Arial" w:hAnsi="Arial" w:cs="Arial"/>
          <w:sz w:val="24"/>
          <w:szCs w:val="24"/>
        </w:rPr>
        <w:t>- - - - - - - - - - - - - - - - - - -</w:t>
      </w:r>
    </w:p>
    <w:p w14:paraId="4FDC5011" w14:textId="77777777" w:rsidR="00B544E2" w:rsidRDefault="00B544E2" w:rsidP="00B544E2">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1F869BA" w14:textId="77777777" w:rsidR="00B544E2" w:rsidRPr="00961528" w:rsidRDefault="00B544E2" w:rsidP="00B544E2">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p w14:paraId="41FCDE56" w14:textId="77777777" w:rsidR="00B544E2" w:rsidRPr="001B2D5E" w:rsidRDefault="00B544E2" w:rsidP="00B544E2"/>
    <w:p w14:paraId="1CEA53F3" w14:textId="77777777" w:rsidR="00EB0680" w:rsidRPr="00B544E2" w:rsidRDefault="00EB0680" w:rsidP="00B544E2"/>
    <w:sectPr w:rsidR="00EB0680" w:rsidRPr="00B544E2"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25058" w14:textId="77777777" w:rsidR="00BD2E39" w:rsidRDefault="00BD2E39" w:rsidP="007A5B5E">
      <w:pPr>
        <w:spacing w:after="0" w:line="240" w:lineRule="auto"/>
      </w:pPr>
      <w:r>
        <w:separator/>
      </w:r>
    </w:p>
  </w:endnote>
  <w:endnote w:type="continuationSeparator" w:id="0">
    <w:p w14:paraId="3ADF56AA"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8AED4B8"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50DF84B" wp14:editId="03FAF64B">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DD9E81C"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01822" w:rsidRPr="00901822">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DF84B"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DD9E81C"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01822" w:rsidRPr="00901822">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3486C" w14:textId="77777777" w:rsidR="00BD2E39" w:rsidRDefault="00BD2E39" w:rsidP="007A5B5E">
      <w:pPr>
        <w:spacing w:after="0" w:line="240" w:lineRule="auto"/>
      </w:pPr>
      <w:r>
        <w:separator/>
      </w:r>
    </w:p>
  </w:footnote>
  <w:footnote w:type="continuationSeparator" w:id="0">
    <w:p w14:paraId="10414A0E"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CD5E5" w14:textId="77777777" w:rsidR="00BD2E39" w:rsidRDefault="00522A17">
    <w:pPr>
      <w:pStyle w:val="Encabezado"/>
    </w:pPr>
    <w:r>
      <w:rPr>
        <w:noProof/>
        <w:lang w:eastAsia="es-MX"/>
      </w:rPr>
      <w:pict w14:anchorId="3A1D3B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BA4C" w14:textId="5817940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0E913CCF" wp14:editId="4F8EB52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2BC3A06" w14:textId="77777777" w:rsidR="00BD2E39" w:rsidRDefault="00BD2E39" w:rsidP="002960E1">
                          <w:r>
                            <w:rPr>
                              <w:noProof/>
                              <w:lang w:eastAsia="es-MX"/>
                            </w:rPr>
                            <w:drawing>
                              <wp:inline distT="0" distB="0" distL="0" distR="0" wp14:anchorId="084170E8" wp14:editId="5195353E">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913CCF"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2BC3A06" w14:textId="77777777" w:rsidR="00BD2E39" w:rsidRDefault="00BD2E39" w:rsidP="002960E1">
                    <w:r>
                      <w:rPr>
                        <w:noProof/>
                        <w:lang w:eastAsia="es-MX"/>
                      </w:rPr>
                      <w:drawing>
                        <wp:inline distT="0" distB="0" distL="0" distR="0" wp14:anchorId="084170E8" wp14:editId="5195353E">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544E2">
      <w:rPr>
        <w:rFonts w:ascii="Bookman Old Style" w:hAnsi="Bookman Old Style"/>
        <w:b/>
        <w:sz w:val="24"/>
        <w:szCs w:val="24"/>
      </w:rPr>
      <w:t>098</w:t>
    </w:r>
    <w:r w:rsidRPr="00391F24">
      <w:rPr>
        <w:rFonts w:ascii="Bookman Old Style" w:hAnsi="Bookman Old Style"/>
        <w:b/>
        <w:sz w:val="24"/>
        <w:szCs w:val="24"/>
      </w:rPr>
      <w:t>/</w:t>
    </w:r>
    <w:r w:rsidR="00B544E2">
      <w:rPr>
        <w:rFonts w:ascii="Bookman Old Style" w:hAnsi="Bookman Old Style"/>
        <w:b/>
        <w:sz w:val="24"/>
        <w:szCs w:val="24"/>
      </w:rPr>
      <w:t>2020</w:t>
    </w:r>
  </w:p>
  <w:p w14:paraId="6F7CD6CA" w14:textId="77777777" w:rsidR="00B544E2" w:rsidRPr="00B544E2" w:rsidRDefault="00B544E2" w:rsidP="002960E1">
    <w:pPr>
      <w:pStyle w:val="Encabezado"/>
      <w:jc w:val="right"/>
      <w:rPr>
        <w:rFonts w:ascii="Bookman Old Style" w:hAnsi="Bookman Old Style"/>
        <w:sz w:val="24"/>
        <w:szCs w:val="24"/>
      </w:rPr>
    </w:pPr>
    <w:r w:rsidRPr="00B544E2">
      <w:rPr>
        <w:rFonts w:ascii="Bookman Old Style" w:hAnsi="Bookman Old Style"/>
        <w:sz w:val="24"/>
        <w:szCs w:val="24"/>
      </w:rPr>
      <w:t>ANTES 039/2019</w:t>
    </w:r>
  </w:p>
  <w:p w14:paraId="2348F3C7" w14:textId="1B966048" w:rsidR="00BD2E39" w:rsidRPr="00071C38" w:rsidRDefault="00522A1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75BEC879" wp14:editId="1CD42087">
              <wp:simplePos x="0" y="0"/>
              <wp:positionH relativeFrom="column">
                <wp:posOffset>-1285875</wp:posOffset>
              </wp:positionH>
              <wp:positionV relativeFrom="paragraph">
                <wp:posOffset>3926840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69A7CB6" w14:textId="77777777" w:rsidR="00522A17" w:rsidRPr="003B6E97" w:rsidRDefault="00522A17" w:rsidP="00522A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EC879" id="Cuadro de texto 3" o:spid="_x0000_s1027" type="#_x0000_t202" style="position:absolute;left:0;text-align:left;margin-left:-101.25pt;margin-top:309.2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">
              <v:textbox>
                <w:txbxContent>
                  <w:p w14:paraId="669A7CB6" w14:textId="77777777" w:rsidR="00522A17" w:rsidRPr="003B6E97" w:rsidRDefault="00522A17" w:rsidP="00522A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648A3412" wp14:editId="24FC7B2B">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134D" w14:textId="77777777" w:rsidR="00BD2E39" w:rsidRDefault="00522A17">
    <w:pPr>
      <w:pStyle w:val="Encabezado"/>
    </w:pPr>
    <w:r>
      <w:rPr>
        <w:noProof/>
        <w:lang w:eastAsia="es-MX"/>
      </w:rPr>
      <w:pict w14:anchorId="4DC752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2700"/>
    <w:rsid w:val="00185A8C"/>
    <w:rsid w:val="001866CE"/>
    <w:rsid w:val="00187B21"/>
    <w:rsid w:val="0019193E"/>
    <w:rsid w:val="00196D71"/>
    <w:rsid w:val="00197CCC"/>
    <w:rsid w:val="001A273D"/>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623D"/>
    <w:rsid w:val="003464E0"/>
    <w:rsid w:val="003525C9"/>
    <w:rsid w:val="003528A6"/>
    <w:rsid w:val="00354AAF"/>
    <w:rsid w:val="0035595B"/>
    <w:rsid w:val="003605D0"/>
    <w:rsid w:val="00362621"/>
    <w:rsid w:val="00362B10"/>
    <w:rsid w:val="00362B9F"/>
    <w:rsid w:val="0036559B"/>
    <w:rsid w:val="00365F83"/>
    <w:rsid w:val="00367CD8"/>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17"/>
    <w:rsid w:val="00522A4F"/>
    <w:rsid w:val="00522C05"/>
    <w:rsid w:val="00523223"/>
    <w:rsid w:val="0052369A"/>
    <w:rsid w:val="00524EF5"/>
    <w:rsid w:val="00525109"/>
    <w:rsid w:val="005277AB"/>
    <w:rsid w:val="00527A5C"/>
    <w:rsid w:val="00533998"/>
    <w:rsid w:val="005339E7"/>
    <w:rsid w:val="00536197"/>
    <w:rsid w:val="005362B4"/>
    <w:rsid w:val="00536DC3"/>
    <w:rsid w:val="005401D7"/>
    <w:rsid w:val="0054198E"/>
    <w:rsid w:val="00542573"/>
    <w:rsid w:val="00542EDF"/>
    <w:rsid w:val="00543854"/>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6A52"/>
    <w:rsid w:val="006E0198"/>
    <w:rsid w:val="006E0789"/>
    <w:rsid w:val="006E1063"/>
    <w:rsid w:val="006E10CA"/>
    <w:rsid w:val="006E1531"/>
    <w:rsid w:val="006E22C3"/>
    <w:rsid w:val="006E22DC"/>
    <w:rsid w:val="006E412C"/>
    <w:rsid w:val="006E4950"/>
    <w:rsid w:val="006E5138"/>
    <w:rsid w:val="006E58FC"/>
    <w:rsid w:val="006E59ED"/>
    <w:rsid w:val="006F0A48"/>
    <w:rsid w:val="006F0AE8"/>
    <w:rsid w:val="006F1902"/>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23A0"/>
    <w:rsid w:val="007C4F03"/>
    <w:rsid w:val="007C6008"/>
    <w:rsid w:val="007C6B9D"/>
    <w:rsid w:val="007C6EFA"/>
    <w:rsid w:val="007C76B6"/>
    <w:rsid w:val="007C7BB1"/>
    <w:rsid w:val="007C7D73"/>
    <w:rsid w:val="007D1333"/>
    <w:rsid w:val="007D36E5"/>
    <w:rsid w:val="007D51B8"/>
    <w:rsid w:val="007D55ED"/>
    <w:rsid w:val="007D6515"/>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78B0"/>
    <w:rsid w:val="0099265D"/>
    <w:rsid w:val="009963CC"/>
    <w:rsid w:val="009963D8"/>
    <w:rsid w:val="0099650D"/>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6A9"/>
    <w:rsid w:val="00A30D89"/>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2C6"/>
    <w:rsid w:val="00AB1630"/>
    <w:rsid w:val="00AB5C18"/>
    <w:rsid w:val="00AC05A6"/>
    <w:rsid w:val="00AC593D"/>
    <w:rsid w:val="00AC5FBE"/>
    <w:rsid w:val="00AC6AF8"/>
    <w:rsid w:val="00AD071B"/>
    <w:rsid w:val="00AD11D5"/>
    <w:rsid w:val="00AD14A8"/>
    <w:rsid w:val="00AD2E92"/>
    <w:rsid w:val="00AD462D"/>
    <w:rsid w:val="00AD4AA5"/>
    <w:rsid w:val="00AD723C"/>
    <w:rsid w:val="00AE058A"/>
    <w:rsid w:val="00AE134C"/>
    <w:rsid w:val="00AE4BC4"/>
    <w:rsid w:val="00AE4F40"/>
    <w:rsid w:val="00AE579E"/>
    <w:rsid w:val="00AE6EBD"/>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8B1"/>
    <w:rsid w:val="00BE1DD4"/>
    <w:rsid w:val="00BE26D9"/>
    <w:rsid w:val="00BE3865"/>
    <w:rsid w:val="00BE52B6"/>
    <w:rsid w:val="00BE7135"/>
    <w:rsid w:val="00BF0E86"/>
    <w:rsid w:val="00BF1A88"/>
    <w:rsid w:val="00BF1B60"/>
    <w:rsid w:val="00BF2E0E"/>
    <w:rsid w:val="00BF76D7"/>
    <w:rsid w:val="00C006F9"/>
    <w:rsid w:val="00C046EC"/>
    <w:rsid w:val="00C057DF"/>
    <w:rsid w:val="00C070B3"/>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33E9"/>
    <w:rsid w:val="00C64081"/>
    <w:rsid w:val="00C6716F"/>
    <w:rsid w:val="00C67280"/>
    <w:rsid w:val="00C7097E"/>
    <w:rsid w:val="00C73D2E"/>
    <w:rsid w:val="00C74D5B"/>
    <w:rsid w:val="00C753F3"/>
    <w:rsid w:val="00C7577E"/>
    <w:rsid w:val="00C76F08"/>
    <w:rsid w:val="00C77142"/>
    <w:rsid w:val="00C81E73"/>
    <w:rsid w:val="00C84F09"/>
    <w:rsid w:val="00C86601"/>
    <w:rsid w:val="00C86A96"/>
    <w:rsid w:val="00C918A0"/>
    <w:rsid w:val="00C93D84"/>
    <w:rsid w:val="00C9473D"/>
    <w:rsid w:val="00C94C59"/>
    <w:rsid w:val="00C96D03"/>
    <w:rsid w:val="00CA2601"/>
    <w:rsid w:val="00CA7578"/>
    <w:rsid w:val="00CB0191"/>
    <w:rsid w:val="00CB1103"/>
    <w:rsid w:val="00CB114D"/>
    <w:rsid w:val="00CB16E2"/>
    <w:rsid w:val="00CB466F"/>
    <w:rsid w:val="00CB5288"/>
    <w:rsid w:val="00CB5CCC"/>
    <w:rsid w:val="00CB6D0B"/>
    <w:rsid w:val="00CB731B"/>
    <w:rsid w:val="00CB754E"/>
    <w:rsid w:val="00CC0343"/>
    <w:rsid w:val="00CC7806"/>
    <w:rsid w:val="00CD140A"/>
    <w:rsid w:val="00CD219A"/>
    <w:rsid w:val="00CD3746"/>
    <w:rsid w:val="00CD43CA"/>
    <w:rsid w:val="00CD6397"/>
    <w:rsid w:val="00CD707F"/>
    <w:rsid w:val="00CE2FED"/>
    <w:rsid w:val="00CE3BF3"/>
    <w:rsid w:val="00CE5F5D"/>
    <w:rsid w:val="00CE6EF0"/>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4D1C"/>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5113"/>
    <w:rsid w:val="00DF596A"/>
    <w:rsid w:val="00DF5F35"/>
    <w:rsid w:val="00DF61BB"/>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A57"/>
    <w:rsid w:val="00F67054"/>
    <w:rsid w:val="00F675CF"/>
    <w:rsid w:val="00F67A11"/>
    <w:rsid w:val="00F729BA"/>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F8B728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8AE51-AF0C-4BAC-A97A-4162556B1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TotalTime>
  <Pages>10</Pages>
  <Words>3779</Words>
  <Characters>20790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1169</cp:revision>
  <cp:lastPrinted>2020-12-07T18:09:00Z</cp:lastPrinted>
  <dcterms:created xsi:type="dcterms:W3CDTF">2019-07-08T16:38:00Z</dcterms:created>
  <dcterms:modified xsi:type="dcterms:W3CDTF">2021-07-01T17:58:00Z</dcterms:modified>
</cp:coreProperties>
</file>