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4B6" w:rsidRPr="007B0581" w:rsidRDefault="00D174B6" w:rsidP="00D174B6">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174B6" w:rsidRPr="007B0581" w:rsidRDefault="00D174B6" w:rsidP="00D174B6">
      <w:pPr>
        <w:pStyle w:val="corte4fondo"/>
        <w:spacing w:line="276" w:lineRule="auto"/>
        <w:ind w:left="3544" w:right="-521" w:firstLine="0"/>
        <w:rPr>
          <w:rFonts w:cs="Arial"/>
          <w:b/>
          <w:sz w:val="24"/>
          <w:szCs w:val="24"/>
        </w:rPr>
      </w:pPr>
    </w:p>
    <w:p w:rsidR="00D174B6" w:rsidRPr="007B0581" w:rsidRDefault="00D174B6" w:rsidP="00D174B6">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0152</w:t>
      </w:r>
      <w:r w:rsidRPr="007B0581">
        <w:rPr>
          <w:rFonts w:cs="Arial"/>
          <w:b/>
          <w:bCs/>
          <w:sz w:val="24"/>
          <w:szCs w:val="24"/>
        </w:rPr>
        <w:t>/20</w:t>
      </w:r>
      <w:r>
        <w:rPr>
          <w:rFonts w:cs="Arial"/>
          <w:b/>
          <w:bCs/>
          <w:sz w:val="24"/>
          <w:szCs w:val="24"/>
        </w:rPr>
        <w:t>20</w:t>
      </w:r>
      <w:r w:rsidRPr="007B0581">
        <w:rPr>
          <w:rFonts w:cs="Arial"/>
          <w:sz w:val="24"/>
          <w:szCs w:val="24"/>
        </w:rPr>
        <w:t xml:space="preserve">. </w:t>
      </w:r>
    </w:p>
    <w:p w:rsidR="00D174B6" w:rsidRPr="007B0581" w:rsidRDefault="00D174B6" w:rsidP="00D174B6">
      <w:pPr>
        <w:pStyle w:val="corte4fondo"/>
        <w:spacing w:line="276" w:lineRule="auto"/>
        <w:ind w:left="3544" w:right="-521" w:firstLine="0"/>
        <w:rPr>
          <w:rFonts w:cs="Arial"/>
          <w:sz w:val="24"/>
          <w:szCs w:val="24"/>
        </w:rPr>
      </w:pPr>
    </w:p>
    <w:p w:rsidR="00D174B6" w:rsidRPr="007B0581" w:rsidRDefault="00D174B6" w:rsidP="00D174B6">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D174B6" w:rsidRPr="007B0581" w:rsidRDefault="00D174B6" w:rsidP="00D174B6">
      <w:pPr>
        <w:pStyle w:val="corte4fondo"/>
        <w:spacing w:line="276" w:lineRule="auto"/>
        <w:ind w:left="3544" w:right="-521" w:firstLine="0"/>
        <w:rPr>
          <w:rFonts w:cs="Arial"/>
          <w:b/>
          <w:i/>
          <w:sz w:val="24"/>
          <w:szCs w:val="24"/>
        </w:rPr>
      </w:pPr>
      <w:r w:rsidRPr="007B0581">
        <w:rPr>
          <w:rFonts w:cs="Arial"/>
          <w:b/>
          <w:i/>
          <w:sz w:val="24"/>
          <w:szCs w:val="24"/>
        </w:rPr>
        <w:t xml:space="preserve"> </w:t>
      </w:r>
    </w:p>
    <w:p w:rsidR="00D174B6" w:rsidRPr="007B0581" w:rsidRDefault="00D174B6" w:rsidP="00D174B6">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 DE LO CONTENCIOSO DE LA PROCURADURÍA FISCAL DE LA SUBSECRETARÍA DE INGRESOS DE LA SECRETARÍA DE FINANZAS DEL PODER EJECUTIVO DEL ESTADO DE OAXACA.</w:t>
      </w:r>
    </w:p>
    <w:p w:rsidR="00D174B6" w:rsidRPr="007B0581" w:rsidRDefault="00D174B6" w:rsidP="00D174B6">
      <w:pPr>
        <w:pStyle w:val="corte4fondo"/>
        <w:spacing w:line="276" w:lineRule="auto"/>
        <w:ind w:left="3544" w:right="51" w:firstLine="0"/>
        <w:rPr>
          <w:rFonts w:cs="Arial"/>
          <w:bCs/>
          <w:sz w:val="24"/>
          <w:szCs w:val="24"/>
        </w:rPr>
      </w:pPr>
    </w:p>
    <w:p w:rsidR="00D174B6" w:rsidRPr="007B0581" w:rsidRDefault="00D174B6" w:rsidP="00D174B6">
      <w:pPr>
        <w:pStyle w:val="corte4fondo"/>
        <w:spacing w:line="276" w:lineRule="auto"/>
        <w:ind w:left="3544" w:right="51" w:firstLine="0"/>
        <w:rPr>
          <w:rFonts w:cs="Arial"/>
          <w:bCs/>
          <w:sz w:val="24"/>
          <w:szCs w:val="24"/>
        </w:rPr>
      </w:pPr>
    </w:p>
    <w:p w:rsidR="00D174B6" w:rsidRDefault="00D174B6" w:rsidP="00D174B6">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VEINTIOCHO DE ABRIL DE DOS MIL VEINTITRÉS</w:t>
      </w:r>
      <w:r w:rsidRPr="007B0581">
        <w:rPr>
          <w:rFonts w:ascii="Arial" w:hAnsi="Arial" w:cs="Arial"/>
          <w:b/>
          <w:sz w:val="24"/>
          <w:szCs w:val="24"/>
        </w:rPr>
        <w:t xml:space="preserve">. </w:t>
      </w:r>
    </w:p>
    <w:p w:rsidR="00D174B6" w:rsidRDefault="00D174B6" w:rsidP="00D174B6">
      <w:pPr>
        <w:spacing w:line="360" w:lineRule="auto"/>
        <w:jc w:val="both"/>
        <w:rPr>
          <w:rFonts w:ascii="Arial" w:hAnsi="Arial" w:cs="Arial"/>
          <w:b/>
          <w:sz w:val="24"/>
          <w:szCs w:val="24"/>
        </w:rPr>
      </w:pPr>
      <w:r w:rsidRPr="007B0581">
        <w:rPr>
          <w:rFonts w:ascii="Arial" w:hAnsi="Arial" w:cs="Arial"/>
          <w:b/>
          <w:sz w:val="24"/>
          <w:szCs w:val="24"/>
        </w:rPr>
        <w:t xml:space="preserve"> </w:t>
      </w:r>
    </w:p>
    <w:p w:rsidR="00D174B6" w:rsidRPr="007B0581" w:rsidRDefault="00D174B6" w:rsidP="00D174B6">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0152</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ascii="Arial" w:hAnsi="Arial" w:cs="Arial"/>
          <w:sz w:val="24"/>
          <w:szCs w:val="24"/>
        </w:rPr>
        <w:t xml:space="preserve">de veintisiete de marzo de dos mil veinte, </w:t>
      </w:r>
      <w:bookmarkStart w:id="0" w:name="_Hlk83640314"/>
      <w:bookmarkStart w:id="1" w:name="_Hlk84505151"/>
      <w:r>
        <w:rPr>
          <w:rFonts w:ascii="Arial" w:hAnsi="Arial" w:cs="Arial"/>
          <w:sz w:val="24"/>
          <w:szCs w:val="24"/>
        </w:rPr>
        <w:t xml:space="preserve">emitida por el </w:t>
      </w:r>
      <w:bookmarkEnd w:id="0"/>
      <w:r>
        <w:rPr>
          <w:rFonts w:ascii="Arial" w:hAnsi="Arial" w:cs="Arial"/>
          <w:sz w:val="24"/>
          <w:szCs w:val="24"/>
        </w:rPr>
        <w:t xml:space="preserve">Director de lo Contencioso de la Procuraduría Fiscal de la Subsecretaría de Ingresos de la Secretaría de Finanzas del Poder Ejecutivo del Estado de Oaxaca, </w:t>
      </w:r>
      <w:r w:rsidRPr="007B0581">
        <w:rPr>
          <w:rFonts w:ascii="Arial" w:hAnsi="Arial" w:cs="Arial"/>
          <w:sz w:val="24"/>
          <w:szCs w:val="24"/>
        </w:rPr>
        <w:t>y;</w:t>
      </w:r>
      <w:r w:rsidRPr="007B0581">
        <w:rPr>
          <w:rFonts w:ascii="Arial" w:hAnsi="Arial" w:cs="Arial"/>
          <w:b/>
          <w:bCs/>
          <w:sz w:val="24"/>
          <w:szCs w:val="24"/>
        </w:rPr>
        <w:t xml:space="preserve"> </w:t>
      </w:r>
    </w:p>
    <w:bookmarkEnd w:id="1"/>
    <w:p w:rsidR="00D174B6" w:rsidRDefault="00D174B6" w:rsidP="00D174B6">
      <w:pPr>
        <w:contextualSpacing/>
        <w:jc w:val="both"/>
        <w:rPr>
          <w:rFonts w:ascii="Arial" w:hAnsi="Arial" w:cs="Arial"/>
          <w:sz w:val="24"/>
          <w:szCs w:val="24"/>
        </w:rPr>
      </w:pPr>
    </w:p>
    <w:p w:rsidR="00D174B6" w:rsidRPr="007B0581" w:rsidRDefault="00D174B6" w:rsidP="00D174B6">
      <w:pPr>
        <w:contextualSpacing/>
        <w:jc w:val="both"/>
        <w:rPr>
          <w:rFonts w:ascii="Arial" w:hAnsi="Arial" w:cs="Arial"/>
          <w:sz w:val="24"/>
          <w:szCs w:val="24"/>
        </w:rPr>
      </w:pPr>
    </w:p>
    <w:p w:rsidR="00D174B6" w:rsidRPr="007B0581" w:rsidRDefault="00D174B6" w:rsidP="00D174B6">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174B6" w:rsidRDefault="00D174B6" w:rsidP="00D174B6">
      <w:pPr>
        <w:contextualSpacing/>
        <w:jc w:val="both"/>
        <w:rPr>
          <w:rFonts w:ascii="Arial" w:hAnsi="Arial" w:cs="Arial"/>
          <w:b/>
          <w:spacing w:val="-3"/>
          <w:sz w:val="24"/>
          <w:szCs w:val="24"/>
          <w:lang w:val="es-ES_tradnl"/>
        </w:rPr>
      </w:pPr>
    </w:p>
    <w:p w:rsidR="00D174B6" w:rsidRPr="007B0581" w:rsidRDefault="00D174B6" w:rsidP="00D174B6">
      <w:pPr>
        <w:contextualSpacing/>
        <w:jc w:val="both"/>
        <w:rPr>
          <w:rFonts w:ascii="Arial" w:hAnsi="Arial" w:cs="Arial"/>
          <w:b/>
          <w:spacing w:val="-3"/>
          <w:sz w:val="24"/>
          <w:szCs w:val="24"/>
          <w:lang w:val="es-ES_tradnl"/>
        </w:rPr>
      </w:pPr>
    </w:p>
    <w:p w:rsidR="00D174B6" w:rsidRDefault="00D174B6" w:rsidP="00D174B6">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seis de octubre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veintisiete de marzo de dos mil veinte, emitida por el Director de lo Contencioso de la Procuraduría Fiscal de la Subsecretaría de Ingresos de la Secretaría de Finanzas del Poder Ejecutivo del Estado de Oaxaca</w:t>
      </w:r>
      <w:r w:rsidRPr="007B0581">
        <w:rPr>
          <w:rFonts w:ascii="Arial" w:hAnsi="Arial" w:cs="Arial"/>
          <w:sz w:val="24"/>
          <w:szCs w:val="24"/>
        </w:rPr>
        <w:t>.</w:t>
      </w:r>
    </w:p>
    <w:p w:rsidR="00D174B6" w:rsidRPr="007B0581" w:rsidRDefault="00D174B6" w:rsidP="00D174B6">
      <w:pPr>
        <w:spacing w:line="360" w:lineRule="auto"/>
        <w:jc w:val="both"/>
        <w:rPr>
          <w:rFonts w:ascii="Arial" w:hAnsi="Arial" w:cs="Arial"/>
          <w:sz w:val="24"/>
          <w:szCs w:val="24"/>
        </w:rPr>
      </w:pPr>
      <w:r w:rsidRPr="007B0581">
        <w:rPr>
          <w:rFonts w:ascii="Arial" w:hAnsi="Arial" w:cs="Arial"/>
          <w:sz w:val="24"/>
          <w:szCs w:val="24"/>
        </w:rPr>
        <w:t xml:space="preserve"> </w:t>
      </w:r>
    </w:p>
    <w:bookmarkEnd w:id="2"/>
    <w:p w:rsidR="00D174B6" w:rsidRDefault="00D174B6" w:rsidP="00D174B6">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ocho de octubre de dos mil veinte, se requirió al promovente para que en el plazo de tres días hábiles, acreditara su representación legal, apercibido que de no hacerlo se desecharía su demanda. </w:t>
      </w:r>
    </w:p>
    <w:p w:rsidR="00D174B6" w:rsidRPr="007B0581" w:rsidRDefault="00D174B6" w:rsidP="00D174B6">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Por a</w:t>
      </w:r>
      <w:r>
        <w:rPr>
          <w:rFonts w:ascii="Arial" w:hAnsi="Arial" w:cs="Arial"/>
          <w:sz w:val="24"/>
          <w:szCs w:val="24"/>
        </w:rPr>
        <w:t>uto</w:t>
      </w:r>
      <w:r w:rsidRPr="007B0581">
        <w:rPr>
          <w:rFonts w:ascii="Arial" w:hAnsi="Arial" w:cs="Arial"/>
          <w:sz w:val="24"/>
          <w:szCs w:val="24"/>
        </w:rPr>
        <w:t xml:space="preserve"> de </w:t>
      </w:r>
      <w:r>
        <w:rPr>
          <w:rFonts w:ascii="Arial" w:hAnsi="Arial" w:cs="Arial"/>
          <w:sz w:val="24"/>
          <w:szCs w:val="24"/>
        </w:rPr>
        <w:t>quince de diciembre de dos mil veinte</w:t>
      </w:r>
      <w:r w:rsidRPr="007B0581">
        <w:rPr>
          <w:rFonts w:ascii="Arial" w:hAnsi="Arial" w:cs="Arial"/>
          <w:sz w:val="24"/>
          <w:szCs w:val="24"/>
        </w:rPr>
        <w:t>, se</w:t>
      </w:r>
      <w:r>
        <w:rPr>
          <w:rFonts w:ascii="Arial" w:hAnsi="Arial" w:cs="Arial"/>
          <w:sz w:val="24"/>
          <w:szCs w:val="24"/>
        </w:rPr>
        <w:t xml:space="preserve"> tuvo a la parte actora dando cumplimiento al requerimiento descrito en el resultando próximo </w:t>
      </w:r>
      <w:r>
        <w:rPr>
          <w:rFonts w:ascii="Arial" w:hAnsi="Arial" w:cs="Arial"/>
          <w:sz w:val="24"/>
          <w:szCs w:val="24"/>
        </w:rPr>
        <w:lastRenderedPageBreak/>
        <w:t>anterior. Asimismo, se</w:t>
      </w:r>
      <w:r w:rsidRPr="007B0581">
        <w:rPr>
          <w:rFonts w:ascii="Arial" w:hAnsi="Arial" w:cs="Arial"/>
          <w:sz w:val="24"/>
          <w:szCs w:val="24"/>
        </w:rPr>
        <w:t xml:space="preserve"> admitió a trámite la demanda, ordenándose notificar, emplazar y correr traslado a la autoridad demandada, para que produjera su contestación en los términos de ley. </w:t>
      </w:r>
    </w:p>
    <w:p w:rsidR="00D174B6" w:rsidRPr="007B0581" w:rsidRDefault="00D174B6" w:rsidP="00D174B6">
      <w:pPr>
        <w:pStyle w:val="corte4fondo"/>
        <w:spacing w:line="240" w:lineRule="auto"/>
        <w:ind w:right="51" w:firstLine="567"/>
        <w:contextualSpacing/>
        <w:rPr>
          <w:rFonts w:cs="Arial"/>
          <w:bCs/>
          <w:sz w:val="24"/>
          <w:szCs w:val="24"/>
        </w:rPr>
      </w:pPr>
      <w:r w:rsidRPr="007B0581">
        <w:rPr>
          <w:rFonts w:cs="Arial"/>
          <w:bCs/>
          <w:sz w:val="24"/>
          <w:szCs w:val="24"/>
        </w:rPr>
        <w:tab/>
      </w:r>
    </w:p>
    <w:p w:rsidR="00D174B6" w:rsidRPr="007B0581" w:rsidRDefault="00D174B6" w:rsidP="00D174B6">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w:t>
      </w:r>
      <w:r>
        <w:rPr>
          <w:rFonts w:cs="Arial"/>
          <w:bCs/>
          <w:sz w:val="24"/>
          <w:szCs w:val="24"/>
        </w:rPr>
        <w:t>proveído</w:t>
      </w:r>
      <w:r w:rsidRPr="00AD192C">
        <w:rPr>
          <w:rFonts w:cs="Arial"/>
          <w:bCs/>
          <w:sz w:val="24"/>
          <w:szCs w:val="24"/>
        </w:rPr>
        <w:t xml:space="preserve"> de </w:t>
      </w:r>
      <w:r>
        <w:rPr>
          <w:rFonts w:cs="Arial"/>
          <w:bCs/>
          <w:sz w:val="24"/>
          <w:szCs w:val="24"/>
        </w:rPr>
        <w:t>veinte de abril de dos mil veintiuno</w:t>
      </w:r>
      <w:r w:rsidRPr="00AD192C">
        <w:rPr>
          <w:rFonts w:cs="Arial"/>
          <w:bCs/>
          <w:sz w:val="24"/>
          <w:szCs w:val="24"/>
        </w:rPr>
        <w:t>, se tuvo a</w:t>
      </w:r>
      <w:r>
        <w:rPr>
          <w:rFonts w:cs="Arial"/>
          <w:bCs/>
          <w:sz w:val="24"/>
          <w:szCs w:val="24"/>
        </w:rPr>
        <w:t xml:space="preserve"> la autoridad demandada,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xml:space="preserve">. Asimismo, se señalaron ONCE HORAS del día VEINTISIETE DE MAYO DE DOS MIL VEINTIUNO, para la celebración de la audiencia final. Así también, se hizo del conocimiento de las </w:t>
      </w:r>
      <w:r w:rsidRPr="00EC6916">
        <w:rPr>
          <w:rFonts w:cs="Arial"/>
          <w:sz w:val="24"/>
          <w:szCs w:val="24"/>
        </w:rPr>
        <w:t>partes</w:t>
      </w:r>
      <w:r>
        <w:rPr>
          <w:rFonts w:cs="Arial"/>
          <w:sz w:val="24"/>
          <w:szCs w:val="24"/>
        </w:rPr>
        <w:t xml:space="preserve"> la incorporación y adscripción de la Magistrada VIRGINIA HERNÁNDE HERNÁNDEZ, como titular de esta Quinta Sala de Primera Instancia de este órgano jurisdiccional, para que en el plazo de tres días hábiles manifestaran lo que a su derecho conviniera.  </w:t>
      </w:r>
    </w:p>
    <w:p w:rsidR="00D174B6" w:rsidRPr="007B0581" w:rsidRDefault="00D174B6" w:rsidP="00D174B6">
      <w:pPr>
        <w:pStyle w:val="corte4fondo"/>
        <w:spacing w:line="240" w:lineRule="auto"/>
        <w:ind w:right="51" w:firstLine="567"/>
        <w:contextualSpacing/>
        <w:rPr>
          <w:rFonts w:cs="Arial"/>
          <w:b/>
          <w:bCs/>
          <w:sz w:val="24"/>
          <w:szCs w:val="24"/>
        </w:rPr>
      </w:pPr>
    </w:p>
    <w:p w:rsidR="00D174B6" w:rsidRDefault="00D174B6" w:rsidP="00D174B6">
      <w:pPr>
        <w:pStyle w:val="corte4fondo"/>
        <w:ind w:right="51" w:firstLine="567"/>
        <w:rPr>
          <w:rFonts w:cs="Arial"/>
          <w:b/>
          <w:bCs/>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E</w:t>
      </w:r>
      <w:r>
        <w:rPr>
          <w:rFonts w:cs="Arial"/>
          <w:sz w:val="24"/>
          <w:szCs w:val="24"/>
          <w:lang w:val="es-ES"/>
        </w:rPr>
        <w:t>l veintisiete de mayo de dos mil veintiuno</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D174B6" w:rsidRDefault="00D174B6" w:rsidP="00D174B6">
      <w:pPr>
        <w:pStyle w:val="corte4fondo"/>
        <w:ind w:right="51" w:firstLine="567"/>
        <w:rPr>
          <w:rFonts w:cs="Arial"/>
          <w:b/>
          <w:bCs/>
          <w:sz w:val="24"/>
          <w:szCs w:val="24"/>
        </w:rPr>
      </w:pPr>
    </w:p>
    <w:p w:rsidR="00D174B6" w:rsidRDefault="00D174B6" w:rsidP="00D174B6">
      <w:pPr>
        <w:pStyle w:val="corte4fondo"/>
        <w:ind w:right="51" w:firstLine="567"/>
        <w:rPr>
          <w:rFonts w:cs="Arial"/>
          <w:b/>
          <w:bCs/>
          <w:sz w:val="24"/>
          <w:szCs w:val="24"/>
        </w:rPr>
      </w:pPr>
    </w:p>
    <w:p w:rsidR="00D174B6" w:rsidRPr="007B0581" w:rsidRDefault="00D174B6" w:rsidP="00D174B6">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174B6" w:rsidRDefault="00D174B6" w:rsidP="00D174B6">
      <w:pPr>
        <w:pStyle w:val="corte4fondo"/>
        <w:spacing w:line="240" w:lineRule="auto"/>
        <w:ind w:right="51" w:firstLine="567"/>
        <w:contextualSpacing/>
        <w:rPr>
          <w:rFonts w:cs="Arial"/>
          <w:bCs/>
          <w:sz w:val="24"/>
          <w:szCs w:val="24"/>
        </w:rPr>
      </w:pPr>
    </w:p>
    <w:p w:rsidR="00D174B6" w:rsidRPr="007B0581" w:rsidRDefault="00D174B6" w:rsidP="00D174B6">
      <w:pPr>
        <w:pStyle w:val="corte4fondo"/>
        <w:spacing w:line="240" w:lineRule="auto"/>
        <w:ind w:right="51" w:firstLine="567"/>
        <w:contextualSpacing/>
        <w:rPr>
          <w:rFonts w:cs="Arial"/>
          <w:bCs/>
          <w:sz w:val="24"/>
          <w:szCs w:val="24"/>
        </w:rPr>
      </w:pPr>
    </w:p>
    <w:p w:rsidR="00D174B6" w:rsidRPr="007B0581" w:rsidRDefault="00D174B6" w:rsidP="00D174B6">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4515BD">
        <w:rPr>
          <w:rFonts w:ascii="Arial" w:hAnsi="Arial" w:cs="Arial"/>
          <w:sz w:val="24"/>
          <w:szCs w:val="24"/>
        </w:rPr>
        <w:t>VI</w:t>
      </w:r>
      <w:r w:rsidRPr="007B0581">
        <w:rPr>
          <w:rFonts w:ascii="Arial" w:hAnsi="Arial" w:cs="Arial"/>
          <w:sz w:val="24"/>
          <w:szCs w:val="24"/>
        </w:rPr>
        <w:t xml:space="preserve"> de la Constitución Política del Estado Libre y Soberano de Oaxaca; 120, </w:t>
      </w:r>
      <w:r w:rsidRPr="000C0C02">
        <w:rPr>
          <w:rFonts w:ascii="Arial" w:hAnsi="Arial" w:cs="Arial"/>
          <w:sz w:val="24"/>
          <w:szCs w:val="24"/>
        </w:rPr>
        <w:t>fracción I,</w:t>
      </w:r>
      <w:r w:rsidRPr="007B0581">
        <w:rPr>
          <w:rFonts w:ascii="Arial" w:hAnsi="Arial" w:cs="Arial"/>
          <w:sz w:val="24"/>
          <w:szCs w:val="24"/>
        </w:rPr>
        <w:t xml:space="preserve">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D174B6" w:rsidRPr="007B0581" w:rsidRDefault="00D174B6" w:rsidP="00D174B6">
      <w:pPr>
        <w:spacing w:line="360" w:lineRule="auto"/>
        <w:jc w:val="both"/>
        <w:rPr>
          <w:rFonts w:ascii="Arial" w:hAnsi="Arial" w:cs="Arial"/>
          <w:sz w:val="24"/>
          <w:szCs w:val="24"/>
        </w:rPr>
      </w:pPr>
      <w:r w:rsidRPr="007B0581">
        <w:rPr>
          <w:rFonts w:ascii="Arial" w:hAnsi="Arial" w:cs="Arial"/>
          <w:sz w:val="24"/>
          <w:szCs w:val="24"/>
        </w:rPr>
        <w:t xml:space="preserve"> </w:t>
      </w:r>
    </w:p>
    <w:p w:rsidR="00D174B6" w:rsidRDefault="00D174B6" w:rsidP="00D174B6">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 representante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de conformidad con la copia certificada de la escritura </w:t>
      </w:r>
      <w:r>
        <w:rPr>
          <w:rFonts w:cs="Arial"/>
          <w:b/>
          <w:sz w:val="24"/>
          <w:szCs w:val="24"/>
        </w:rPr>
        <w:t>**********</w:t>
      </w:r>
      <w:r>
        <w:rPr>
          <w:rFonts w:ascii="Arial" w:hAnsi="Arial" w:cs="Arial"/>
          <w:sz w:val="24"/>
          <w:szCs w:val="24"/>
        </w:rPr>
        <w:t xml:space="preserve">, pasado ante la fe del notario público número </w:t>
      </w:r>
      <w:r>
        <w:rPr>
          <w:rFonts w:cs="Arial"/>
          <w:b/>
          <w:sz w:val="24"/>
          <w:szCs w:val="24"/>
        </w:rPr>
        <w:t>**********</w:t>
      </w:r>
      <w:r>
        <w:rPr>
          <w:rFonts w:ascii="Arial" w:hAnsi="Arial" w:cs="Arial"/>
          <w:sz w:val="24"/>
          <w:szCs w:val="24"/>
        </w:rPr>
        <w:t xml:space="preserve">, con residencia en el Estado de Oaxaca,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D174B6" w:rsidRPr="007B0581" w:rsidRDefault="00D174B6" w:rsidP="00D174B6">
      <w:pPr>
        <w:spacing w:line="360" w:lineRule="auto"/>
        <w:ind w:right="51" w:firstLine="709"/>
        <w:jc w:val="both"/>
        <w:rPr>
          <w:rFonts w:ascii="Arial" w:hAnsi="Arial" w:cs="Arial"/>
          <w:sz w:val="24"/>
          <w:szCs w:val="24"/>
        </w:rPr>
      </w:pPr>
      <w:bookmarkStart w:id="3" w:name="_GoBack"/>
      <w:bookmarkEnd w:id="3"/>
    </w:p>
    <w:p w:rsidR="00D174B6" w:rsidRDefault="00D174B6" w:rsidP="00D174B6">
      <w:pPr>
        <w:spacing w:line="360" w:lineRule="auto"/>
        <w:ind w:right="51"/>
        <w:jc w:val="both"/>
        <w:rPr>
          <w:rFonts w:ascii="Arial" w:hAnsi="Arial" w:cs="Arial"/>
          <w:sz w:val="24"/>
          <w:szCs w:val="24"/>
        </w:rPr>
      </w:pPr>
      <w:r w:rsidRPr="008B2428">
        <w:rPr>
          <w:rFonts w:ascii="Arial" w:hAnsi="Arial" w:cs="Arial"/>
          <w:b/>
          <w:sz w:val="24"/>
          <w:szCs w:val="24"/>
        </w:rPr>
        <w:t>TERCERO.</w:t>
      </w:r>
      <w:r w:rsidRPr="00C664F9">
        <w:rPr>
          <w:rFonts w:ascii="Arial" w:hAnsi="Arial" w:cs="Arial"/>
          <w:b/>
          <w:sz w:val="24"/>
          <w:szCs w:val="24"/>
        </w:rPr>
        <w:t>-</w:t>
      </w:r>
      <w:r>
        <w:rPr>
          <w:rFonts w:ascii="Arial" w:hAnsi="Arial"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D174B6" w:rsidRDefault="00D174B6" w:rsidP="00D174B6">
      <w:pPr>
        <w:spacing w:line="360" w:lineRule="auto"/>
        <w:ind w:firstLine="709"/>
        <w:contextualSpacing/>
        <w:jc w:val="both"/>
        <w:rPr>
          <w:rFonts w:ascii="Arial" w:hAnsi="Arial" w:cs="Arial"/>
          <w:sz w:val="24"/>
          <w:szCs w:val="24"/>
        </w:rPr>
      </w:pPr>
    </w:p>
    <w:p w:rsidR="00D174B6" w:rsidRDefault="00D174B6" w:rsidP="00D174B6">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174B6" w:rsidRPr="007B0581" w:rsidRDefault="00D174B6" w:rsidP="00D174B6">
      <w:pPr>
        <w:spacing w:line="360" w:lineRule="auto"/>
        <w:ind w:firstLine="708"/>
        <w:jc w:val="both"/>
        <w:rPr>
          <w:rFonts w:ascii="Arial" w:hAnsi="Arial" w:cs="Arial"/>
          <w:sz w:val="24"/>
          <w:szCs w:val="24"/>
        </w:rPr>
      </w:pPr>
    </w:p>
    <w:p w:rsidR="00D174B6" w:rsidRDefault="00D174B6" w:rsidP="00D174B6">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174B6" w:rsidRPr="007B0581" w:rsidRDefault="00D174B6" w:rsidP="00D174B6">
      <w:pPr>
        <w:pStyle w:val="Textonotapie"/>
        <w:widowControl w:val="0"/>
        <w:spacing w:line="360" w:lineRule="auto"/>
        <w:ind w:firstLine="708"/>
        <w:jc w:val="both"/>
        <w:rPr>
          <w:rFonts w:ascii="Arial" w:hAnsi="Arial" w:cs="Arial"/>
          <w:sz w:val="24"/>
          <w:szCs w:val="24"/>
          <w:lang w:eastAsia="es-MX"/>
        </w:rPr>
      </w:pPr>
    </w:p>
    <w:p w:rsidR="00D174B6" w:rsidRDefault="00D174B6" w:rsidP="00D174B6">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174B6" w:rsidRPr="007B0581" w:rsidRDefault="00D174B6" w:rsidP="00D174B6">
      <w:pPr>
        <w:pStyle w:val="Textonotapie"/>
        <w:widowControl w:val="0"/>
        <w:spacing w:line="360" w:lineRule="auto"/>
        <w:ind w:left="1701" w:right="1469"/>
        <w:jc w:val="both"/>
        <w:rPr>
          <w:rFonts w:ascii="Arial" w:hAnsi="Arial" w:cs="Arial"/>
          <w:b/>
          <w:sz w:val="24"/>
          <w:szCs w:val="24"/>
          <w:lang w:eastAsia="es-MX"/>
        </w:rPr>
      </w:pPr>
    </w:p>
    <w:p w:rsidR="00D174B6" w:rsidRDefault="00D174B6" w:rsidP="00D174B6">
      <w:pPr>
        <w:spacing w:line="360" w:lineRule="auto"/>
        <w:ind w:firstLine="709"/>
        <w:contextualSpacing/>
        <w:jc w:val="both"/>
        <w:rPr>
          <w:rFonts w:ascii="Arial" w:hAnsi="Arial" w:cs="Arial"/>
          <w:sz w:val="24"/>
          <w:szCs w:val="24"/>
        </w:rPr>
      </w:pPr>
      <w:r w:rsidRPr="00726A71">
        <w:rPr>
          <w:rFonts w:ascii="Arial" w:hAnsi="Arial" w:cs="Arial"/>
          <w:bCs/>
          <w:sz w:val="24"/>
          <w:szCs w:val="24"/>
          <w:lang w:val="es-MX"/>
        </w:rPr>
        <w:t>La</w:t>
      </w:r>
      <w:r w:rsidRPr="00013C7C">
        <w:rPr>
          <w:rFonts w:ascii="Arial" w:hAnsi="Arial" w:cs="Arial"/>
          <w:bCs/>
          <w:sz w:val="24"/>
          <w:szCs w:val="24"/>
          <w:lang w:val="es-MX"/>
        </w:rPr>
        <w:t xml:space="preserve"> actor</w:t>
      </w:r>
      <w:r>
        <w:rPr>
          <w:rFonts w:ascii="Arial" w:hAnsi="Arial" w:cs="Arial"/>
          <w:bCs/>
          <w:sz w:val="24"/>
          <w:szCs w:val="24"/>
          <w:lang w:val="es-MX"/>
        </w:rPr>
        <w:t>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4"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veintisiete de marzo de dos mil veinte, emitida por el Director de lo Contencioso de la Procuraduría Fiscal de la Subsecretaría de Ingresos de la Secretaría de Finanzas del Poder Ejecutivo del Estado de Oaxaca, por considerar que la resolución contenida en el oficio con número de control </w:t>
      </w:r>
      <w:r>
        <w:rPr>
          <w:rFonts w:cs="Arial"/>
          <w:b/>
          <w:sz w:val="24"/>
          <w:szCs w:val="24"/>
        </w:rPr>
        <w:t>**********</w:t>
      </w:r>
      <w:r>
        <w:rPr>
          <w:rFonts w:ascii="Arial" w:hAnsi="Arial" w:cs="Arial"/>
          <w:sz w:val="24"/>
          <w:szCs w:val="24"/>
        </w:rPr>
        <w:t xml:space="preserve"> de diecinueve de febrero de dos mil diecinueve, viola en su perjuicio lo establecido en el primer párrafo del artículo 16 </w:t>
      </w:r>
      <w:r>
        <w:rPr>
          <w:rFonts w:ascii="Arial" w:hAnsi="Arial" w:cs="Arial"/>
          <w:sz w:val="24"/>
          <w:szCs w:val="24"/>
        </w:rPr>
        <w:lastRenderedPageBreak/>
        <w:t>de la Constitución Política de los Estados Unidos Mexicanos y 17, fracción V de la Ley de Procedimiento y Justicia Administrativa para el Estado de Oaxaca.</w:t>
      </w:r>
    </w:p>
    <w:p w:rsidR="00D174B6" w:rsidRDefault="00D174B6" w:rsidP="00D174B6">
      <w:pPr>
        <w:spacing w:line="360" w:lineRule="auto"/>
        <w:ind w:firstLine="709"/>
        <w:contextualSpacing/>
        <w:jc w:val="both"/>
        <w:rPr>
          <w:rFonts w:ascii="Arial" w:hAnsi="Arial" w:cs="Arial"/>
          <w:sz w:val="24"/>
          <w:szCs w:val="24"/>
        </w:rPr>
      </w:pPr>
    </w:p>
    <w:p w:rsidR="00D174B6" w:rsidRDefault="00D174B6" w:rsidP="00D174B6">
      <w:pPr>
        <w:spacing w:line="360" w:lineRule="auto"/>
        <w:ind w:firstLine="709"/>
        <w:contextualSpacing/>
        <w:jc w:val="both"/>
        <w:rPr>
          <w:rFonts w:ascii="Arial" w:hAnsi="Arial" w:cs="Arial"/>
          <w:sz w:val="24"/>
          <w:szCs w:val="24"/>
        </w:rPr>
      </w:pPr>
      <w:r>
        <w:rPr>
          <w:rFonts w:ascii="Arial" w:hAnsi="Arial" w:cs="Arial"/>
          <w:sz w:val="24"/>
          <w:szCs w:val="24"/>
        </w:rPr>
        <w:t xml:space="preserve"> </w:t>
      </w:r>
      <w:r w:rsidRPr="00013C7C">
        <w:rPr>
          <w:rFonts w:ascii="Arial" w:hAnsi="Arial" w:cs="Arial"/>
          <w:sz w:val="24"/>
          <w:szCs w:val="24"/>
        </w:rPr>
        <w:t>Por su parte,</w:t>
      </w:r>
      <w:r>
        <w:rPr>
          <w:rFonts w:ascii="Arial" w:hAnsi="Arial" w:cs="Arial"/>
          <w:sz w:val="24"/>
          <w:szCs w:val="24"/>
        </w:rPr>
        <w:t xml:space="preserve"> la autoridad demandada manifestó</w:t>
      </w:r>
      <w:r w:rsidRPr="00726A71">
        <w:rPr>
          <w:rFonts w:ascii="Arial" w:hAnsi="Arial" w:cs="Arial"/>
          <w:sz w:val="24"/>
          <w:szCs w:val="24"/>
        </w:rPr>
        <w:t xml:space="preserve"> que</w:t>
      </w:r>
      <w:r>
        <w:rPr>
          <w:rFonts w:ascii="Arial" w:hAnsi="Arial" w:cs="Arial"/>
          <w:sz w:val="24"/>
          <w:szCs w:val="24"/>
        </w:rPr>
        <w:t xml:space="preserve"> la multa se encuentra fundada y motivada, toda vez que, ante la omisión consistente en la no presentación de las declaraciones bimestrales definitivas y el entero del impuesto correspondiente en la presentación de las declaraciones bimestrales definitivas y el entero del impuesto correspondiente a los bimestres 5º y 6º del ejercicio 2018, relativo al Impuesto Sobre Erogaciones por Remuneraciones al Trabajo Personal dentro del plazo a que se refiere el artículo 66, último párrafo de la Ley Estatal de Hacienda, lo conducente era emitir el acto administrativo originalmente recurrido. </w:t>
      </w:r>
    </w:p>
    <w:p w:rsidR="00D174B6" w:rsidRDefault="00D174B6" w:rsidP="00D174B6">
      <w:pPr>
        <w:spacing w:line="360" w:lineRule="auto"/>
        <w:ind w:firstLine="709"/>
        <w:contextualSpacing/>
        <w:jc w:val="both"/>
        <w:rPr>
          <w:rFonts w:ascii="Arial" w:hAnsi="Arial" w:cs="Arial"/>
          <w:sz w:val="24"/>
          <w:szCs w:val="24"/>
        </w:rPr>
      </w:pPr>
    </w:p>
    <w:p w:rsidR="00D174B6" w:rsidRDefault="00D174B6" w:rsidP="00D174B6">
      <w:pPr>
        <w:spacing w:line="360" w:lineRule="auto"/>
        <w:ind w:firstLine="709"/>
        <w:contextualSpacing/>
        <w:jc w:val="both"/>
        <w:rPr>
          <w:rFonts w:ascii="Arial" w:hAnsi="Arial" w:cs="Arial"/>
          <w:sz w:val="24"/>
          <w:szCs w:val="24"/>
        </w:rPr>
      </w:pPr>
      <w:r w:rsidRPr="00A57846">
        <w:rPr>
          <w:rFonts w:ascii="Arial" w:hAnsi="Arial" w:cs="Arial"/>
          <w:sz w:val="24"/>
          <w:szCs w:val="24"/>
        </w:rPr>
        <w:t>Ahora bien</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w:t>
      </w:r>
      <w:r>
        <w:rPr>
          <w:rFonts w:ascii="Arial" w:hAnsi="Arial" w:cs="Arial"/>
          <w:sz w:val="24"/>
          <w:szCs w:val="24"/>
        </w:rPr>
        <w:t xml:space="preserve">a la resolución contenida en el oficio número </w:t>
      </w:r>
      <w:r>
        <w:rPr>
          <w:rFonts w:cs="Arial"/>
          <w:b/>
          <w:sz w:val="24"/>
          <w:szCs w:val="24"/>
        </w:rPr>
        <w:t>**********</w:t>
      </w:r>
      <w:r>
        <w:rPr>
          <w:rFonts w:cs="Arial"/>
          <w:b/>
          <w:sz w:val="24"/>
          <w:szCs w:val="24"/>
        </w:rPr>
        <w:t xml:space="preserve"> </w:t>
      </w:r>
      <w:r>
        <w:rPr>
          <w:rFonts w:ascii="Arial" w:hAnsi="Arial" w:cs="Arial"/>
          <w:sz w:val="24"/>
          <w:szCs w:val="24"/>
        </w:rPr>
        <w:t xml:space="preserve">de veintisiete de marzo de dos mil veinte, emitida por el Director de lo Contencioso de la Procuraduría Fiscal de la Subsecretaría de Ingresos de la Secretaría de Finanzas del Poder Ejecutivo del Estado de Oaxaca,    </w:t>
      </w:r>
      <w:r w:rsidRPr="00812150">
        <w:rPr>
          <w:rFonts w:ascii="Arial" w:hAnsi="Arial" w:cs="Arial"/>
          <w:sz w:val="24"/>
          <w:szCs w:val="24"/>
        </w:rPr>
        <w:t>advierte</w:t>
      </w:r>
      <w:r>
        <w:rPr>
          <w:rFonts w:ascii="Arial" w:hAnsi="Arial" w:cs="Arial"/>
          <w:sz w:val="24"/>
          <w:szCs w:val="24"/>
        </w:rPr>
        <w:t xml:space="preserve"> que es fundado el concepto de impugnación marcado como segundo, hecho valer por la parte actora, en el sentido que el acto impugnado carece de una debida fundamentación y mo</w:t>
      </w:r>
      <w:r w:rsidRPr="00A0711D">
        <w:rPr>
          <w:rFonts w:ascii="Arial" w:hAnsi="Arial" w:cs="Arial"/>
          <w:sz w:val="24"/>
          <w:szCs w:val="24"/>
        </w:rPr>
        <w:t>tiva</w:t>
      </w:r>
      <w:r>
        <w:rPr>
          <w:rFonts w:ascii="Arial" w:hAnsi="Arial" w:cs="Arial"/>
          <w:sz w:val="24"/>
          <w:szCs w:val="24"/>
        </w:rPr>
        <w:t xml:space="preserve">ción. Se dice lo anterior, </w:t>
      </w:r>
      <w:r>
        <w:rPr>
          <w:rFonts w:ascii="Arial" w:hAnsi="Arial" w:cs="Arial"/>
          <w:bCs/>
          <w:sz w:val="24"/>
          <w:szCs w:val="24"/>
        </w:rPr>
        <w:t xml:space="preserve">en razón que la autoridad demandada para confirmar la resolución contenida en el oficio número </w:t>
      </w:r>
      <w:r>
        <w:rPr>
          <w:rFonts w:cs="Arial"/>
          <w:b/>
          <w:sz w:val="24"/>
          <w:szCs w:val="24"/>
        </w:rPr>
        <w:t>**********</w:t>
      </w:r>
      <w:r>
        <w:rPr>
          <w:rFonts w:cs="Arial"/>
          <w:b/>
          <w:sz w:val="24"/>
          <w:szCs w:val="24"/>
        </w:rPr>
        <w:t xml:space="preserve"> </w:t>
      </w:r>
      <w:r>
        <w:rPr>
          <w:rFonts w:ascii="Arial" w:hAnsi="Arial" w:cs="Arial"/>
          <w:bCs/>
          <w:sz w:val="24"/>
          <w:szCs w:val="24"/>
        </w:rPr>
        <w:t xml:space="preserve">de diecinueve de febrero de dos mil diecinueve, entre otras cosas refirió que se encontraba fundada y motivada en razón que la autoridad primigenia invocó entre otros artículos, el 63 de la Ley Estatal de Hacienda, sin embargo, la autoridad demandada no advirtió que no existe una adecuación </w:t>
      </w:r>
      <w:r w:rsidRPr="00BE0E2C">
        <w:rPr>
          <w:rFonts w:ascii="Arial" w:hAnsi="Arial" w:cs="Arial"/>
          <w:bCs/>
          <w:sz w:val="24"/>
          <w:szCs w:val="24"/>
        </w:rPr>
        <w:t>entre los motivos aducidos y la norma aplicable, es decir, la configuración de la hipótesis normativa.</w:t>
      </w:r>
    </w:p>
    <w:p w:rsidR="00D174B6" w:rsidRDefault="00D174B6" w:rsidP="00D174B6">
      <w:pPr>
        <w:spacing w:line="360" w:lineRule="auto"/>
        <w:ind w:firstLine="709"/>
        <w:contextualSpacing/>
        <w:jc w:val="both"/>
        <w:rPr>
          <w:rFonts w:ascii="Arial" w:hAnsi="Arial" w:cs="Arial"/>
          <w:sz w:val="24"/>
          <w:szCs w:val="24"/>
        </w:rPr>
      </w:pPr>
    </w:p>
    <w:p w:rsidR="00D174B6" w:rsidRDefault="00D174B6" w:rsidP="00D174B6">
      <w:pPr>
        <w:spacing w:line="360" w:lineRule="auto"/>
        <w:ind w:firstLine="709"/>
        <w:contextualSpacing/>
        <w:jc w:val="both"/>
        <w:rPr>
          <w:rFonts w:ascii="Arial" w:hAnsi="Arial" w:cs="Arial"/>
          <w:bCs/>
          <w:sz w:val="24"/>
          <w:szCs w:val="24"/>
        </w:rPr>
      </w:pPr>
      <w:r>
        <w:rPr>
          <w:rFonts w:ascii="Arial" w:hAnsi="Arial" w:cs="Arial"/>
          <w:bCs/>
          <w:sz w:val="24"/>
          <w:szCs w:val="24"/>
        </w:rPr>
        <w:t>Lo anterior en razón que la autoridad demandada y la autoridad primigenia fueron omisas en citar, el supuesto en el que se encuentra ubicada la parte actora, esto es, la actividad concreta que se le imputa, en virtud que si bien es cierto que se plasma entre otros artículos, el 63 de la Ley Estatal de Hacienda, también lo es que se hace de manera general, pues el citado precepto legal contempla dos supuestos, mismo que se transcribe para mayor ilustración:</w:t>
      </w:r>
    </w:p>
    <w:p w:rsidR="00D174B6" w:rsidRDefault="00D174B6" w:rsidP="00D174B6">
      <w:pPr>
        <w:spacing w:line="360" w:lineRule="auto"/>
        <w:ind w:firstLine="709"/>
        <w:contextualSpacing/>
        <w:jc w:val="both"/>
        <w:rPr>
          <w:rFonts w:ascii="Arial" w:hAnsi="Arial" w:cs="Arial"/>
          <w:bCs/>
          <w:sz w:val="24"/>
          <w:szCs w:val="24"/>
        </w:rPr>
      </w:pPr>
    </w:p>
    <w:p w:rsidR="00D174B6" w:rsidRDefault="00D174B6" w:rsidP="00D174B6">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D174B6" w:rsidRPr="006A040B" w:rsidRDefault="00D174B6" w:rsidP="00D174B6">
      <w:pPr>
        <w:autoSpaceDE w:val="0"/>
        <w:autoSpaceDN w:val="0"/>
        <w:adjustRightInd w:val="0"/>
        <w:rPr>
          <w:rFonts w:ascii="Arial" w:eastAsiaTheme="minorHAnsi" w:hAnsi="Arial" w:cs="Arial"/>
          <w:i/>
          <w:iCs/>
          <w:color w:val="000000"/>
          <w:sz w:val="24"/>
          <w:szCs w:val="24"/>
          <w:lang w:val="es-MX" w:eastAsia="en-US"/>
        </w:rPr>
      </w:pPr>
    </w:p>
    <w:p w:rsidR="00D174B6" w:rsidRPr="006A040B" w:rsidRDefault="00D174B6" w:rsidP="00D174B6">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 Las erogaciones en efectivo o en especie, por concepto de remuneraciones al trabajo personal, prestado dentro del territorio del Estado, bajo la dirección o dependencia de un patrón, o que se realicen mediante un contratista, intermediario laboral, tercero o cualquiera </w:t>
      </w:r>
      <w:r w:rsidRPr="006A040B">
        <w:rPr>
          <w:rFonts w:ascii="Arial" w:eastAsiaTheme="minorHAnsi" w:hAnsi="Arial" w:cs="Arial"/>
          <w:i/>
          <w:iCs/>
          <w:color w:val="000000"/>
          <w:sz w:val="22"/>
          <w:szCs w:val="22"/>
          <w:lang w:val="es-MX" w:eastAsia="en-US"/>
        </w:rPr>
        <w:lastRenderedPageBreak/>
        <w:t>que sea su denominación, aun cuando cualesquiera de los sujetos mencionados en esta fracción, o todos ellos tengan su domicilio fiscal fuera del Estado, y</w:t>
      </w:r>
    </w:p>
    <w:p w:rsidR="00D174B6" w:rsidRPr="006A040B" w:rsidRDefault="00D174B6" w:rsidP="00D174B6">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rsidR="00D174B6" w:rsidRPr="006A040B" w:rsidRDefault="00D174B6" w:rsidP="00D174B6">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D174B6" w:rsidRDefault="00D174B6" w:rsidP="00D174B6">
      <w:pPr>
        <w:autoSpaceDE w:val="0"/>
        <w:autoSpaceDN w:val="0"/>
        <w:adjustRightInd w:val="0"/>
        <w:spacing w:line="360" w:lineRule="auto"/>
        <w:jc w:val="both"/>
        <w:rPr>
          <w:rFonts w:ascii="Arial" w:hAnsi="Arial" w:cs="Arial"/>
          <w:bCs/>
          <w:sz w:val="24"/>
          <w:szCs w:val="24"/>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r>
        <w:rPr>
          <w:rFonts w:ascii="Arial" w:eastAsiaTheme="minorHAnsi" w:hAnsi="Arial" w:cs="Arial"/>
          <w:i/>
          <w:iCs/>
          <w:color w:val="000000"/>
          <w:sz w:val="22"/>
          <w:szCs w:val="22"/>
          <w:lang w:val="es-MX" w:eastAsia="en-US"/>
        </w:rPr>
        <w:t xml:space="preserve">. </w:t>
      </w:r>
      <w:r>
        <w:rPr>
          <w:rFonts w:ascii="Arial" w:hAnsi="Arial" w:cs="Arial"/>
          <w:bCs/>
          <w:sz w:val="24"/>
          <w:szCs w:val="24"/>
        </w:rPr>
        <w:t>Siendo imperioso para la autoridad el plasmar además de la ley, artículo, inciso, la fracción aplicable al asunto concreto; con lo anteriormente vertido se deja en incertidumbre jurídica a la parte actora, de conformidad con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 en razón que la parte actora no cuenta con la certeza de la supuesta conducta que desplegó.</w:t>
      </w:r>
    </w:p>
    <w:p w:rsidR="00D174B6" w:rsidRDefault="00D174B6" w:rsidP="00D174B6">
      <w:pPr>
        <w:spacing w:line="360" w:lineRule="auto"/>
        <w:ind w:firstLine="709"/>
        <w:contextualSpacing/>
        <w:jc w:val="both"/>
        <w:rPr>
          <w:rFonts w:ascii="Arial" w:hAnsi="Arial" w:cs="Arial"/>
          <w:bCs/>
          <w:sz w:val="24"/>
          <w:szCs w:val="24"/>
        </w:rPr>
      </w:pPr>
    </w:p>
    <w:p w:rsidR="00D174B6" w:rsidRDefault="00D174B6" w:rsidP="00D174B6">
      <w:pPr>
        <w:spacing w:line="360" w:lineRule="auto"/>
        <w:ind w:firstLine="709"/>
        <w:contextualSpacing/>
        <w:jc w:val="both"/>
        <w:rPr>
          <w:rFonts w:ascii="Arial" w:hAnsi="Arial" w:cs="Arial"/>
          <w:bCs/>
          <w:sz w:val="24"/>
          <w:szCs w:val="24"/>
        </w:rPr>
      </w:pPr>
      <w:r>
        <w:rPr>
          <w:rFonts w:ascii="Arial" w:hAnsi="Arial" w:cs="Arial"/>
          <w:bCs/>
          <w:sz w:val="24"/>
          <w:szCs w:val="24"/>
        </w:rPr>
        <w:t xml:space="preserve">Aunado a lo anterior, no se motiva adecuadamente el actuar de la autoridad, en razón que no se precisan </w:t>
      </w:r>
      <w:r>
        <w:rPr>
          <w:rFonts w:ascii="Arial" w:hAnsi="Arial" w:cs="Arial"/>
          <w:sz w:val="24"/>
          <w:szCs w:val="24"/>
        </w:rPr>
        <w:t xml:space="preserve">las circunstancias especiales, razones </w:t>
      </w:r>
      <w:r w:rsidRPr="006D06AA">
        <w:rPr>
          <w:rFonts w:ascii="Arial" w:hAnsi="Arial" w:cs="Arial"/>
          <w:sz w:val="24"/>
          <w:szCs w:val="24"/>
        </w:rPr>
        <w:t>particulares</w:t>
      </w:r>
      <w:r>
        <w:rPr>
          <w:rFonts w:ascii="Arial" w:hAnsi="Arial" w:cs="Arial"/>
          <w:sz w:val="24"/>
          <w:szCs w:val="24"/>
        </w:rPr>
        <w:t xml:space="preserve"> o causas inmediatas que se hayan tenido en consideración para la emisión del acto aquí impugnado, esto es, </w:t>
      </w:r>
      <w:r>
        <w:rPr>
          <w:rFonts w:ascii="Arial" w:hAnsi="Arial" w:cs="Arial"/>
          <w:bCs/>
          <w:sz w:val="24"/>
          <w:szCs w:val="24"/>
        </w:rPr>
        <w:t>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detallar las razones particulares por las que consideró que el actor se ubicó en la hipótesis normativa para ser considerado sujeto del Impuesto Sobre Erogaciones por Remuneraciones al Trabajo Personal.</w:t>
      </w:r>
    </w:p>
    <w:p w:rsidR="00D174B6" w:rsidRDefault="00D174B6" w:rsidP="00D174B6">
      <w:pPr>
        <w:spacing w:line="360" w:lineRule="auto"/>
        <w:ind w:firstLine="709"/>
        <w:contextualSpacing/>
        <w:jc w:val="both"/>
        <w:rPr>
          <w:rFonts w:ascii="Arial" w:hAnsi="Arial" w:cs="Arial"/>
          <w:bCs/>
          <w:sz w:val="24"/>
          <w:szCs w:val="24"/>
        </w:rPr>
      </w:pPr>
    </w:p>
    <w:p w:rsidR="00D174B6" w:rsidRDefault="00D174B6" w:rsidP="00D174B6">
      <w:pPr>
        <w:spacing w:line="360" w:lineRule="auto"/>
        <w:ind w:firstLine="709"/>
        <w:contextualSpacing/>
        <w:jc w:val="both"/>
        <w:rPr>
          <w:rFonts w:ascii="Arial" w:hAnsi="Arial" w:cs="Arial"/>
          <w:bCs/>
          <w:sz w:val="24"/>
          <w:szCs w:val="24"/>
        </w:rPr>
      </w:pPr>
      <w:r w:rsidRPr="00A823F0">
        <w:rPr>
          <w:rFonts w:ascii="Arial" w:hAnsi="Arial" w:cs="Arial"/>
          <w:bCs/>
          <w:sz w:val="24"/>
          <w:szCs w:val="24"/>
        </w:rPr>
        <w:t>Por cuanto</w:t>
      </w:r>
      <w:r>
        <w:rPr>
          <w:rFonts w:ascii="Arial" w:hAnsi="Arial" w:cs="Arial"/>
          <w:bCs/>
          <w:sz w:val="24"/>
          <w:szCs w:val="24"/>
        </w:rPr>
        <w:t xml:space="preserve"> hace a lo manifestado por la autoridad demandada en el acto aquí impugnado, respecto a lo siguiente: </w:t>
      </w:r>
      <w:r w:rsidRPr="00AA3E8E">
        <w:rPr>
          <w:rFonts w:ascii="Arial" w:hAnsi="Arial" w:cs="Arial"/>
          <w:bCs/>
          <w:i/>
          <w:sz w:val="24"/>
          <w:szCs w:val="24"/>
        </w:rPr>
        <w:t xml:space="preserve">“..en atención a que de las pruebas aportadas por la recurrente se advierte que exhibió los formatos de declaración definitiva del Impuesto sobre Erogaciones por Remuneraciones al Trabajo Personal, </w:t>
      </w:r>
      <w:r w:rsidRPr="00AA3E8E">
        <w:rPr>
          <w:rFonts w:ascii="Arial" w:hAnsi="Arial" w:cs="Arial"/>
          <w:bCs/>
          <w:i/>
          <w:sz w:val="24"/>
          <w:szCs w:val="24"/>
        </w:rPr>
        <w:lastRenderedPageBreak/>
        <w:t xml:space="preserve">correspondiente al 5º y 6º Bimestre del ejercicio fiscal 2018, así como los comprobantes de pago del impuesto generado con motivo de la presentación de dichas declaraciones; donde consta que presentó dichas declaraciones el día 03 de junio de 2019; </w:t>
      </w:r>
      <w:r w:rsidRPr="00AA3E8E">
        <w:rPr>
          <w:rFonts w:ascii="Arial" w:hAnsi="Arial" w:cs="Arial"/>
          <w:b/>
          <w:bCs/>
          <w:i/>
          <w:sz w:val="24"/>
          <w:szCs w:val="24"/>
          <w:u w:val="single"/>
        </w:rPr>
        <w:t>documentales que demuestran que la presentación de las declaraciones y el pago de impuesto correspondiente fue realizado el día 03 de junio de 2019</w:t>
      </w:r>
      <w:r w:rsidRPr="00AA3E8E">
        <w:rPr>
          <w:rFonts w:ascii="Arial" w:hAnsi="Arial" w:cs="Arial"/>
          <w:bCs/>
          <w:i/>
          <w:sz w:val="24"/>
          <w:szCs w:val="24"/>
        </w:rPr>
        <w:t xml:space="preserve">; sin embargo, no se actualiza la figura del cumplimiento espontaneo, porque contrario a lo manifestado por la recurrente, la notificación de la resolución con número de control </w:t>
      </w:r>
      <w:r>
        <w:rPr>
          <w:rFonts w:cs="Arial"/>
          <w:b/>
          <w:sz w:val="24"/>
          <w:szCs w:val="24"/>
        </w:rPr>
        <w:t>**********</w:t>
      </w:r>
      <w:r>
        <w:rPr>
          <w:rFonts w:cs="Arial"/>
          <w:b/>
          <w:sz w:val="24"/>
          <w:szCs w:val="24"/>
        </w:rPr>
        <w:t xml:space="preserve"> </w:t>
      </w:r>
      <w:r w:rsidRPr="00AA3E8E">
        <w:rPr>
          <w:rFonts w:ascii="Arial" w:hAnsi="Arial" w:cs="Arial"/>
          <w:bCs/>
          <w:i/>
          <w:sz w:val="24"/>
          <w:szCs w:val="24"/>
        </w:rPr>
        <w:t xml:space="preserve"> de 19 de febrero de 2019, se notificó legalmente por correo certificado con acuse de recibo, recibido el 10 de abril anterior, lo cual se corrobora del formato SPM 79 correspondiente al número de control </w:t>
      </w:r>
      <w:r>
        <w:rPr>
          <w:rFonts w:cs="Arial"/>
          <w:b/>
          <w:sz w:val="24"/>
          <w:szCs w:val="24"/>
        </w:rPr>
        <w:t>**********</w:t>
      </w:r>
      <w:r w:rsidRPr="00AA3E8E">
        <w:rPr>
          <w:rFonts w:ascii="Arial" w:hAnsi="Arial" w:cs="Arial"/>
          <w:bCs/>
          <w:i/>
          <w:sz w:val="24"/>
          <w:szCs w:val="24"/>
        </w:rPr>
        <w:t xml:space="preserve">, </w:t>
      </w:r>
      <w:r w:rsidRPr="00AA3E8E">
        <w:rPr>
          <w:rFonts w:ascii="Arial" w:hAnsi="Arial" w:cs="Arial"/>
          <w:b/>
          <w:bCs/>
          <w:i/>
          <w:sz w:val="24"/>
          <w:szCs w:val="24"/>
          <w:u w:val="single"/>
        </w:rPr>
        <w:t>motivo por el que no se actualiza el cumplimiento espontaneo  como lo refiere la recurrente, en atención a que la presentación de las declaraciones y el pago del impuesto fue realizado días después de que el contribuyente tuvo conocimiento de la resolución indicada</w:t>
      </w:r>
      <w:r w:rsidRPr="00AA3E8E">
        <w:rPr>
          <w:rFonts w:ascii="Arial" w:hAnsi="Arial" w:cs="Arial"/>
          <w:bCs/>
          <w:i/>
          <w:sz w:val="24"/>
          <w:szCs w:val="24"/>
        </w:rPr>
        <w:t>…”</w:t>
      </w:r>
      <w:r>
        <w:rPr>
          <w:rFonts w:ascii="Arial" w:hAnsi="Arial" w:cs="Arial"/>
          <w:bCs/>
          <w:sz w:val="24"/>
          <w:szCs w:val="24"/>
        </w:rPr>
        <w:t>.</w:t>
      </w:r>
    </w:p>
    <w:p w:rsidR="00D174B6" w:rsidRDefault="00D174B6" w:rsidP="00D174B6">
      <w:pPr>
        <w:spacing w:line="360" w:lineRule="auto"/>
        <w:ind w:firstLine="709"/>
        <w:contextualSpacing/>
        <w:jc w:val="both"/>
        <w:rPr>
          <w:rFonts w:ascii="Arial" w:hAnsi="Arial" w:cs="Arial"/>
          <w:bCs/>
          <w:sz w:val="24"/>
          <w:szCs w:val="24"/>
        </w:rPr>
      </w:pPr>
    </w:p>
    <w:p w:rsidR="00D174B6" w:rsidRDefault="00D174B6" w:rsidP="00D174B6">
      <w:pPr>
        <w:spacing w:line="360" w:lineRule="auto"/>
        <w:ind w:firstLine="709"/>
        <w:contextualSpacing/>
        <w:jc w:val="both"/>
        <w:rPr>
          <w:rFonts w:ascii="Arial" w:hAnsi="Arial" w:cs="Arial"/>
          <w:sz w:val="24"/>
          <w:szCs w:val="24"/>
        </w:rPr>
      </w:pPr>
      <w:r>
        <w:rPr>
          <w:rFonts w:ascii="Arial" w:hAnsi="Arial" w:cs="Arial"/>
          <w:sz w:val="24"/>
          <w:szCs w:val="24"/>
        </w:rPr>
        <w:t>D</w:t>
      </w:r>
      <w:r w:rsidRPr="005643CE">
        <w:rPr>
          <w:rFonts w:ascii="Arial" w:hAnsi="Arial" w:cs="Arial"/>
          <w:sz w:val="24"/>
          <w:szCs w:val="24"/>
        </w:rPr>
        <w:t>e lo an</w:t>
      </w:r>
      <w:r>
        <w:rPr>
          <w:rFonts w:ascii="Arial" w:hAnsi="Arial" w:cs="Arial"/>
          <w:sz w:val="24"/>
          <w:szCs w:val="24"/>
        </w:rPr>
        <w:t xml:space="preserve">teriormente transcrito, </w:t>
      </w:r>
      <w:r w:rsidRPr="00531264">
        <w:rPr>
          <w:rFonts w:ascii="Arial" w:hAnsi="Arial" w:cs="Arial"/>
          <w:sz w:val="24"/>
          <w:szCs w:val="24"/>
        </w:rPr>
        <w:t>si bien</w:t>
      </w:r>
      <w:r>
        <w:rPr>
          <w:rFonts w:ascii="Arial" w:hAnsi="Arial" w:cs="Arial"/>
          <w:sz w:val="24"/>
          <w:szCs w:val="24"/>
        </w:rPr>
        <w:t xml:space="preserve"> es cierto que a foja 83 de los presentes autos existe agregada una notificación de la Multa por Infracción Relacionada con la Presentación de Declaraciones del </w:t>
      </w:r>
      <w:r>
        <w:rPr>
          <w:rFonts w:ascii="Arial" w:hAnsi="Arial" w:cs="Arial"/>
          <w:bCs/>
          <w:sz w:val="24"/>
          <w:szCs w:val="24"/>
        </w:rPr>
        <w:t>Impuesto Sobre Erogaciones por Remuneraciones al Trabajo Personal</w:t>
      </w:r>
      <w:r>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de diecinueve de febrero de dos mil diecinueve, efectuada mediante correo certificado, el diez de abril de dos mil diecinueve, también lo es, que la citada notificación se realizó a una tercera persona que no es la parte actora ni su representante legal, de conformidad con el </w:t>
      </w:r>
      <w:r w:rsidRPr="00AE56C3">
        <w:rPr>
          <w:rFonts w:ascii="Arial" w:hAnsi="Arial" w:cs="Arial"/>
          <w:sz w:val="24"/>
          <w:szCs w:val="24"/>
        </w:rPr>
        <w:t>artículo 42, primer</w:t>
      </w:r>
      <w:r>
        <w:rPr>
          <w:rFonts w:ascii="Arial" w:hAnsi="Arial" w:cs="Arial"/>
          <w:sz w:val="24"/>
          <w:szCs w:val="24"/>
        </w:rPr>
        <w:t xml:space="preserve"> párrafo, de </w:t>
      </w:r>
      <w:r>
        <w:rPr>
          <w:rFonts w:ascii="Arial" w:hAnsi="Arial" w:cs="Arial"/>
          <w:bCs/>
          <w:sz w:val="24"/>
          <w:szCs w:val="24"/>
        </w:rPr>
        <w:t>Ley de Servicio Postal Mexicano</w:t>
      </w:r>
      <w:r>
        <w:rPr>
          <w:rFonts w:ascii="Arial" w:hAnsi="Arial" w:cs="Arial"/>
          <w:sz w:val="24"/>
          <w:szCs w:val="24"/>
        </w:rPr>
        <w:t xml:space="preserve">, que </w:t>
      </w:r>
      <w:r>
        <w:rPr>
          <w:rFonts w:ascii="Arial" w:hAnsi="Arial" w:cs="Arial"/>
          <w:bCs/>
          <w:sz w:val="24"/>
          <w:szCs w:val="24"/>
        </w:rPr>
        <w:t>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se advierte el nombre ni la firma de la parte actora o documento fehaciente con el que se acredite que el nombre plasmado en la citada documental pertenezca al de su representante legal, por lo tanto se tiene como fecha de conocimiento del acto primigenio la referida por la parte actora, esta es, el cinco de junio de dos mil diecinueve, por lo que, si el actor presentó las declaraciones bimestrales definitivas del Impuesto Sobre Erogaciones por remuneraciones al Trabajo Personal correspondientes al 5º y 6º bimestres del ejercicio fiscal 2018, el tres de junio de dos mil diecinueve, como lo refiere la demandada, esto es, antes de que se le notificara al actor la </w:t>
      </w:r>
      <w:r>
        <w:rPr>
          <w:rFonts w:ascii="Arial" w:hAnsi="Arial" w:cs="Arial"/>
          <w:sz w:val="24"/>
          <w:szCs w:val="24"/>
        </w:rPr>
        <w:t>Multa de referencia, se colige que el administrado cumplió en forma espontánea con las obligaciones fiscales fuera de los plazos señalados por las disposiciones fiscales, de conformidad con el artículo 263, párrafo primero, del Código Fiscal para el Estado de Oaxaca.</w:t>
      </w:r>
    </w:p>
    <w:p w:rsidR="00D174B6" w:rsidRDefault="00D174B6" w:rsidP="00D174B6">
      <w:pPr>
        <w:spacing w:line="360" w:lineRule="auto"/>
        <w:ind w:firstLine="709"/>
        <w:contextualSpacing/>
        <w:jc w:val="both"/>
        <w:rPr>
          <w:rFonts w:ascii="Arial" w:hAnsi="Arial" w:cs="Arial"/>
          <w:sz w:val="24"/>
          <w:szCs w:val="24"/>
        </w:rPr>
      </w:pPr>
    </w:p>
    <w:bookmarkEnd w:id="4"/>
    <w:p w:rsidR="00D174B6" w:rsidRDefault="00D174B6" w:rsidP="00D174B6">
      <w:pPr>
        <w:spacing w:line="360" w:lineRule="auto"/>
        <w:ind w:firstLine="709"/>
        <w:contextualSpacing/>
        <w:jc w:val="both"/>
        <w:rPr>
          <w:rFonts w:ascii="Arial" w:hAnsi="Arial" w:cs="Arial"/>
          <w:b/>
          <w:bCs/>
          <w:i/>
          <w:iCs/>
          <w:sz w:val="24"/>
          <w:szCs w:val="24"/>
        </w:rPr>
      </w:pPr>
      <w:r>
        <w:rPr>
          <w:rFonts w:ascii="Arial" w:hAnsi="Arial" w:cs="Arial"/>
          <w:sz w:val="24"/>
          <w:szCs w:val="24"/>
        </w:rPr>
        <w:t>De lo anteriormente</w:t>
      </w:r>
      <w:r w:rsidRPr="00AE56C3">
        <w:rPr>
          <w:rFonts w:ascii="Arial" w:hAnsi="Arial" w:cs="Arial"/>
          <w:sz w:val="24"/>
          <w:szCs w:val="24"/>
        </w:rPr>
        <w:t xml:space="preserve"> expuesto</w:t>
      </w:r>
      <w:r w:rsidRPr="007B0581">
        <w:rPr>
          <w:rFonts w:ascii="Arial" w:hAnsi="Arial" w:cs="Arial"/>
          <w:sz w:val="24"/>
          <w:szCs w:val="24"/>
        </w:rPr>
        <w:t xml:space="preserve">, </w:t>
      </w:r>
      <w:r w:rsidRPr="00BB5812">
        <w:rPr>
          <w:rFonts w:ascii="Arial" w:hAnsi="Arial" w:cs="Arial"/>
          <w:bCs/>
          <w:sz w:val="24"/>
          <w:szCs w:val="24"/>
        </w:rPr>
        <w:t xml:space="preserve">se concluye que </w:t>
      </w:r>
      <w:r>
        <w:rPr>
          <w:rFonts w:ascii="Arial" w:hAnsi="Arial" w:cs="Arial"/>
          <w:bCs/>
          <w:sz w:val="24"/>
          <w:szCs w:val="24"/>
        </w:rPr>
        <w:t>al no existir una adecuada fundamentación ni motivación en el acto que se combate, de conformidad con el artículo 17, fracción V,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Pr>
          <w:rFonts w:ascii="Arial" w:hAnsi="Arial" w:cs="Arial"/>
          <w:bCs/>
          <w:sz w:val="24"/>
          <w:szCs w:val="24"/>
        </w:rPr>
        <w:t xml:space="preserve"> </w:t>
      </w:r>
      <w:r w:rsidRPr="00BB5812">
        <w:rPr>
          <w:rFonts w:ascii="Arial" w:hAnsi="Arial" w:cs="Arial"/>
          <w:bCs/>
          <w:sz w:val="24"/>
          <w:szCs w:val="24"/>
        </w:rPr>
        <w:t xml:space="preserve">al no tener la certeza jurídica del motivo por el cual </w:t>
      </w:r>
      <w:r>
        <w:rPr>
          <w:rFonts w:ascii="Arial" w:hAnsi="Arial" w:cs="Arial"/>
          <w:bCs/>
          <w:sz w:val="24"/>
          <w:szCs w:val="24"/>
        </w:rPr>
        <w:t xml:space="preserve">se le multó, pues como ya se apuntó no existe una adecuación </w:t>
      </w:r>
      <w:r w:rsidRPr="00AF07FB">
        <w:rPr>
          <w:rFonts w:ascii="Arial" w:hAnsi="Arial" w:cs="Arial"/>
          <w:bCs/>
          <w:sz w:val="24"/>
          <w:szCs w:val="24"/>
        </w:rPr>
        <w:t>entre los motivos aducidos y la norma aplicable, es decir, la configuración de la hipótesis normativa</w:t>
      </w:r>
      <w:r w:rsidRPr="00A84B6D">
        <w:rPr>
          <w:rFonts w:ascii="Arial" w:hAnsi="Arial" w:cs="Arial"/>
          <w:sz w:val="24"/>
          <w:szCs w:val="24"/>
        </w:rPr>
        <w:t>; con fundamento en lo dispuesto por el artículo 208 fracci</w:t>
      </w:r>
      <w:r>
        <w:rPr>
          <w:rFonts w:ascii="Arial" w:hAnsi="Arial" w:cs="Arial"/>
          <w:sz w:val="24"/>
          <w:szCs w:val="24"/>
        </w:rPr>
        <w:t xml:space="preserve">ones </w:t>
      </w:r>
      <w:r w:rsidRPr="000C017E">
        <w:rPr>
          <w:rFonts w:ascii="Arial" w:hAnsi="Arial" w:cs="Arial"/>
          <w:sz w:val="24"/>
          <w:szCs w:val="24"/>
        </w:rPr>
        <w:t>II, y VI</w:t>
      </w:r>
      <w:r w:rsidRPr="00A84B6D">
        <w:rPr>
          <w:rFonts w:ascii="Arial" w:hAnsi="Arial" w:cs="Arial"/>
          <w:sz w:val="24"/>
          <w:szCs w:val="24"/>
        </w:rPr>
        <w:t>, 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 resolución</w:t>
      </w:r>
      <w:r w:rsidRPr="007B0581">
        <w:rPr>
          <w:rFonts w:ascii="Arial" w:hAnsi="Arial" w:cs="Arial"/>
          <w:sz w:val="24"/>
          <w:szCs w:val="24"/>
        </w:rPr>
        <w:t xml:space="preserve"> </w:t>
      </w:r>
      <w:r>
        <w:rPr>
          <w:rFonts w:ascii="Arial" w:hAnsi="Arial" w:cs="Arial"/>
          <w:sz w:val="24"/>
          <w:szCs w:val="24"/>
        </w:rPr>
        <w:t xml:space="preserve">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veintisiete de marzo de dos mil veinte, emitida por el Director de lo Contencioso de la Procuraduría Fiscal de la Subsecretaría de Ingresos de la Secretaría de Finanzas del Poder Ejecutivo del Estado de </w:t>
      </w:r>
      <w:r w:rsidRPr="008B2428">
        <w:rPr>
          <w:rFonts w:ascii="Arial" w:hAnsi="Arial" w:cs="Arial"/>
          <w:sz w:val="24"/>
          <w:szCs w:val="24"/>
        </w:rPr>
        <w:t>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el Director de lo Contencioso de la Procuraduría Fiscal, dicte otra donde declare la NULIDAD LISA y LLANA de la Multa por Infracción Relacionada con la </w:t>
      </w:r>
      <w:r w:rsidRPr="008B2428">
        <w:rPr>
          <w:rFonts w:ascii="Arial" w:hAnsi="Arial" w:cs="Arial"/>
          <w:sz w:val="24"/>
          <w:szCs w:val="24"/>
        </w:rPr>
        <w:t>Presentación</w:t>
      </w:r>
      <w:r>
        <w:rPr>
          <w:rFonts w:ascii="Arial" w:hAnsi="Arial" w:cs="Arial"/>
          <w:sz w:val="24"/>
          <w:szCs w:val="24"/>
        </w:rPr>
        <w:t xml:space="preserve"> de Declaraciones del Impuesto Sobre Erogaciones al Trabajo Personal con número de </w:t>
      </w:r>
      <w:r w:rsidRPr="00370AF4">
        <w:rPr>
          <w:rFonts w:ascii="Arial" w:hAnsi="Arial" w:cs="Arial"/>
          <w:sz w:val="24"/>
          <w:szCs w:val="24"/>
        </w:rPr>
        <w:t>control</w:t>
      </w:r>
      <w:r>
        <w:rPr>
          <w:rFonts w:ascii="Arial" w:hAnsi="Arial" w:cs="Arial"/>
          <w:sz w:val="24"/>
          <w:szCs w:val="24"/>
        </w:rPr>
        <w:t xml:space="preserve"> </w:t>
      </w:r>
      <w:r>
        <w:rPr>
          <w:rFonts w:cs="Arial"/>
          <w:b/>
          <w:sz w:val="24"/>
          <w:szCs w:val="24"/>
        </w:rPr>
        <w:t>**********</w:t>
      </w:r>
      <w:r>
        <w:rPr>
          <w:rFonts w:ascii="Arial" w:hAnsi="Arial" w:cs="Arial"/>
          <w:sz w:val="24"/>
          <w:szCs w:val="24"/>
        </w:rPr>
        <w:t xml:space="preserve"> de diecinueve de febrero de dos mil diecinueve, fundando y motivando la misma, de conformidad con lo establecido en el artículo 17, fracción V, de la Ley de Procedimiento y Justicia Administrativa para el Estado</w:t>
      </w:r>
      <w:bookmarkEnd w:id="5"/>
      <w:r>
        <w:rPr>
          <w:rFonts w:ascii="Arial" w:hAnsi="Arial" w:cs="Arial"/>
          <w:sz w:val="24"/>
          <w:szCs w:val="24"/>
        </w:rPr>
        <w:t xml:space="preserve"> de Oaxaca; lo anterior, toda vez que la resolución declarada nula, proviene de un recurso hecho valer por el actor en sede administrativa, privilegiando el principio de seguridad jurídica. Lo anterior en el entendido, que para tener por cumplido el presente fallo, la autoridad demandada debe remitir a este órgano jurisdiccional constancia del proveído que al efecto dicte. Sirve de apoyo a lo anterior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xml:space="preserve">, consultable en el Semanario Judicial de la Federación y su gaceta, Libro 15, Febrero de 2015, Tomo II, Página 1689, con número de Registro 2008559 de rubro siguiente: </w:t>
      </w:r>
      <w:r w:rsidRPr="00923C09">
        <w:rPr>
          <w:rFonts w:ascii="Arial" w:hAnsi="Arial" w:cs="Arial"/>
          <w:i/>
          <w:iCs/>
          <w:sz w:val="24"/>
          <w:szCs w:val="24"/>
        </w:rPr>
        <w:t>“NULIDAD DE RESOLUCIONES O ACTOS DERIVADOS DEL EJERCICIO DE FACULTADES DISCRECIONALES. LA DECRETADA POR VICIOS DE FORMA DEBE SER PARA EFECTOS”.</w:t>
      </w:r>
    </w:p>
    <w:p w:rsidR="00D174B6" w:rsidRDefault="00D174B6" w:rsidP="00D174B6">
      <w:pPr>
        <w:spacing w:line="360" w:lineRule="auto"/>
        <w:ind w:firstLine="709"/>
        <w:contextualSpacing/>
        <w:jc w:val="both"/>
        <w:rPr>
          <w:rFonts w:ascii="Arial" w:hAnsi="Arial" w:cs="Arial"/>
          <w:b/>
          <w:bCs/>
          <w:i/>
          <w:iCs/>
          <w:sz w:val="24"/>
          <w:szCs w:val="24"/>
        </w:rPr>
      </w:pPr>
    </w:p>
    <w:p w:rsidR="00D174B6" w:rsidRPr="007B0581" w:rsidRDefault="00D174B6" w:rsidP="00D174B6">
      <w:pPr>
        <w:spacing w:line="360" w:lineRule="auto"/>
        <w:ind w:firstLine="708"/>
        <w:jc w:val="both"/>
        <w:rPr>
          <w:rFonts w:ascii="Arial" w:hAnsi="Arial" w:cs="Arial"/>
          <w:color w:val="FF0000"/>
          <w:sz w:val="24"/>
          <w:szCs w:val="24"/>
        </w:rPr>
      </w:pPr>
      <w:r w:rsidRPr="00370AF4">
        <w:rPr>
          <w:rFonts w:ascii="Arial" w:hAnsi="Arial" w:cs="Arial"/>
          <w:bCs/>
          <w:color w:val="000000"/>
          <w:sz w:val="24"/>
          <w:szCs w:val="24"/>
        </w:rPr>
        <w:t>Cabe</w:t>
      </w:r>
      <w:r w:rsidRPr="009761C8">
        <w:rPr>
          <w:rFonts w:ascii="Arial" w:hAnsi="Arial" w:cs="Arial"/>
          <w:bCs/>
          <w:color w:val="000000"/>
          <w:sz w:val="24"/>
          <w:szCs w:val="24"/>
        </w:rPr>
        <w:t xml:space="preserv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la parte</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w:t>
      </w:r>
      <w:r w:rsidRPr="009761C8">
        <w:rPr>
          <w:rFonts w:ascii="Arial" w:hAnsi="Arial" w:cs="Arial"/>
          <w:bCs/>
          <w:sz w:val="24"/>
          <w:szCs w:val="24"/>
        </w:rPr>
        <w:lastRenderedPageBreak/>
        <w:t xml:space="preserve">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923C09">
        <w:rPr>
          <w:rFonts w:ascii="Arial" w:hAnsi="Arial" w:cs="Arial"/>
          <w:b/>
          <w:bCs/>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Pr>
          <w:rFonts w:ascii="Arial" w:hAnsi="Arial" w:cs="Arial"/>
          <w:b/>
          <w:bCs/>
          <w:sz w:val="24"/>
          <w:szCs w:val="24"/>
        </w:rPr>
        <w:t>.</w:t>
      </w:r>
    </w:p>
    <w:p w:rsidR="00D174B6" w:rsidRDefault="00D174B6" w:rsidP="00D174B6">
      <w:pPr>
        <w:spacing w:line="360" w:lineRule="auto"/>
        <w:ind w:firstLine="709"/>
        <w:contextualSpacing/>
        <w:jc w:val="both"/>
        <w:rPr>
          <w:rFonts w:ascii="Arial" w:hAnsi="Arial" w:cs="Arial"/>
          <w:b/>
          <w:bCs/>
          <w:i/>
          <w:iCs/>
          <w:sz w:val="24"/>
          <w:szCs w:val="24"/>
        </w:rPr>
      </w:pPr>
    </w:p>
    <w:p w:rsidR="00D174B6" w:rsidRPr="007B0581" w:rsidRDefault="00D174B6" w:rsidP="00D174B6">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D174B6" w:rsidRDefault="00D174B6" w:rsidP="00D174B6">
      <w:pPr>
        <w:spacing w:line="360" w:lineRule="auto"/>
        <w:ind w:firstLine="708"/>
        <w:jc w:val="both"/>
        <w:rPr>
          <w:rFonts w:ascii="Arial" w:eastAsia="Calibri" w:hAnsi="Arial" w:cs="Arial"/>
          <w:color w:val="000000"/>
          <w:sz w:val="24"/>
          <w:szCs w:val="24"/>
          <w:lang w:val="es-MX" w:eastAsia="en-US"/>
        </w:rPr>
      </w:pPr>
    </w:p>
    <w:p w:rsidR="00D174B6" w:rsidRDefault="00D174B6" w:rsidP="00D174B6">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D174B6" w:rsidRDefault="00D174B6" w:rsidP="00D174B6">
      <w:pPr>
        <w:spacing w:line="360" w:lineRule="auto"/>
        <w:ind w:firstLine="708"/>
        <w:jc w:val="both"/>
        <w:rPr>
          <w:rFonts w:ascii="Arial" w:eastAsia="Calibri" w:hAnsi="Arial" w:cs="Arial"/>
          <w:color w:val="000000"/>
          <w:sz w:val="24"/>
          <w:szCs w:val="24"/>
          <w:lang w:val="es-MX" w:eastAsia="en-US"/>
        </w:rPr>
      </w:pPr>
    </w:p>
    <w:p w:rsidR="00D174B6" w:rsidRPr="007B0581" w:rsidRDefault="00D174B6" w:rsidP="00D174B6">
      <w:pPr>
        <w:spacing w:line="360" w:lineRule="auto"/>
        <w:ind w:firstLine="708"/>
        <w:jc w:val="both"/>
        <w:rPr>
          <w:rFonts w:ascii="Arial" w:eastAsia="Calibri" w:hAnsi="Arial" w:cs="Arial"/>
          <w:color w:val="000000"/>
          <w:sz w:val="24"/>
          <w:szCs w:val="24"/>
          <w:lang w:val="es-MX" w:eastAsia="en-US"/>
        </w:rPr>
      </w:pPr>
    </w:p>
    <w:p w:rsidR="00D174B6" w:rsidRDefault="00D174B6" w:rsidP="00D174B6">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174B6" w:rsidRDefault="00D174B6" w:rsidP="00D174B6">
      <w:pPr>
        <w:tabs>
          <w:tab w:val="left" w:pos="3786"/>
        </w:tabs>
        <w:spacing w:line="360" w:lineRule="auto"/>
        <w:ind w:firstLine="708"/>
        <w:jc w:val="both"/>
        <w:rPr>
          <w:rFonts w:ascii="Arial" w:hAnsi="Arial" w:cs="Arial"/>
          <w:b/>
          <w:sz w:val="24"/>
          <w:szCs w:val="24"/>
        </w:rPr>
      </w:pPr>
    </w:p>
    <w:p w:rsidR="00D174B6" w:rsidRPr="007B0581" w:rsidRDefault="00D174B6" w:rsidP="00D174B6">
      <w:pPr>
        <w:tabs>
          <w:tab w:val="left" w:pos="3932"/>
        </w:tabs>
        <w:jc w:val="both"/>
        <w:rPr>
          <w:rFonts w:ascii="Arial" w:hAnsi="Arial" w:cs="Arial"/>
          <w:b/>
          <w:sz w:val="24"/>
          <w:szCs w:val="24"/>
        </w:rPr>
      </w:pPr>
    </w:p>
    <w:p w:rsidR="00D174B6" w:rsidRPr="007B0581" w:rsidRDefault="00D174B6" w:rsidP="00D174B6">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174B6" w:rsidRPr="007B0581" w:rsidRDefault="00D174B6" w:rsidP="00D174B6">
      <w:pPr>
        <w:pStyle w:val="Textoindependiente"/>
        <w:ind w:firstLine="709"/>
        <w:contextualSpacing/>
        <w:jc w:val="both"/>
        <w:rPr>
          <w:rFonts w:ascii="Arial" w:hAnsi="Arial" w:cs="Arial"/>
          <w:b/>
          <w:sz w:val="24"/>
          <w:szCs w:val="24"/>
        </w:rPr>
      </w:pPr>
    </w:p>
    <w:p w:rsidR="00D174B6" w:rsidRDefault="00D174B6" w:rsidP="00D174B6">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174B6" w:rsidRDefault="00D174B6" w:rsidP="00D174B6">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D174B6" w:rsidRDefault="00D174B6" w:rsidP="00D174B6">
      <w:pPr>
        <w:spacing w:line="360" w:lineRule="auto"/>
        <w:ind w:right="51" w:firstLine="567"/>
        <w:jc w:val="both"/>
        <w:rPr>
          <w:rFonts w:ascii="Arial" w:hAnsi="Arial" w:cs="Arial"/>
          <w:b/>
          <w:bCs/>
          <w:sz w:val="24"/>
          <w:szCs w:val="24"/>
        </w:rPr>
      </w:pPr>
    </w:p>
    <w:p w:rsidR="00D174B6" w:rsidRPr="007B0581" w:rsidRDefault="00D174B6" w:rsidP="00D174B6">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veintisiete de marzo de dos mil veinte, emitida por el Director de lo Contencioso de la Procuraduría Fiscal de la Subsecretaría de </w:t>
      </w:r>
      <w:r>
        <w:rPr>
          <w:rFonts w:ascii="Arial" w:hAnsi="Arial" w:cs="Arial"/>
          <w:sz w:val="24"/>
          <w:szCs w:val="24"/>
        </w:rPr>
        <w:lastRenderedPageBreak/>
        <w:t xml:space="preserve">Ingresos de la Secretaría de Finanzas del Poder Ejecutivo del Estado de </w:t>
      </w:r>
      <w:r w:rsidRPr="008B2428">
        <w:rPr>
          <w:rFonts w:ascii="Arial" w:hAnsi="Arial" w:cs="Arial"/>
          <w:sz w:val="24"/>
          <w:szCs w:val="24"/>
        </w:rPr>
        <w:t>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el considerando CUARTO de la presente sentencia</w:t>
      </w:r>
      <w:r>
        <w:rPr>
          <w:rFonts w:ascii="Arial" w:hAnsi="Arial" w:cs="Arial"/>
          <w:bCs/>
          <w:sz w:val="24"/>
          <w:szCs w:val="24"/>
        </w:rPr>
        <w:t>.</w:t>
      </w:r>
    </w:p>
    <w:p w:rsidR="00D174B6" w:rsidRDefault="00D174B6" w:rsidP="00D174B6">
      <w:pPr>
        <w:spacing w:line="360" w:lineRule="auto"/>
        <w:ind w:right="51" w:firstLine="567"/>
        <w:jc w:val="both"/>
        <w:rPr>
          <w:rFonts w:ascii="Arial" w:hAnsi="Arial" w:cs="Arial"/>
          <w:sz w:val="24"/>
          <w:szCs w:val="24"/>
        </w:rPr>
      </w:pPr>
    </w:p>
    <w:p w:rsidR="00D174B6" w:rsidRDefault="00D174B6" w:rsidP="00D174B6">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D174B6" w:rsidRDefault="00D174B6" w:rsidP="00D174B6">
      <w:pPr>
        <w:spacing w:line="360" w:lineRule="auto"/>
        <w:ind w:right="51" w:firstLine="567"/>
        <w:jc w:val="both"/>
        <w:rPr>
          <w:rFonts w:ascii="Arial" w:eastAsia="Calibri" w:hAnsi="Arial" w:cs="Arial"/>
          <w:b/>
          <w:color w:val="000000"/>
          <w:sz w:val="24"/>
          <w:szCs w:val="24"/>
          <w:lang w:val="es-MX" w:eastAsia="en-US"/>
        </w:rPr>
      </w:pPr>
    </w:p>
    <w:p w:rsidR="00D174B6" w:rsidRDefault="00D174B6" w:rsidP="00D174B6">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4B6" w:rsidRDefault="00D174B6" w:rsidP="00D174B6">
      <w:r>
        <w:separator/>
      </w:r>
    </w:p>
  </w:endnote>
  <w:endnote w:type="continuationSeparator" w:id="0">
    <w:p w:rsidR="00D174B6" w:rsidRDefault="00D174B6" w:rsidP="00D17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D174B6">
        <w:pPr>
          <w:pStyle w:val="Piedepgina"/>
          <w:jc w:val="center"/>
        </w:pPr>
        <w:r>
          <w:fldChar w:fldCharType="begin"/>
        </w:r>
        <w:r>
          <w:instrText>PAGE   \* MERGEFORMAT</w:instrText>
        </w:r>
        <w:r>
          <w:fldChar w:fldCharType="separate"/>
        </w:r>
        <w:r>
          <w:rPr>
            <w:noProof/>
          </w:rPr>
          <w:t>6</w:t>
        </w:r>
        <w:r>
          <w:fldChar w:fldCharType="end"/>
        </w:r>
      </w:p>
    </w:sdtContent>
  </w:sdt>
  <w:p w:rsidR="009525A3" w:rsidRDefault="00D174B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4B6" w:rsidRDefault="00D174B6">
    <w:pPr>
      <w:pStyle w:val="Piedepgina"/>
    </w:pPr>
    <w:r w:rsidRPr="00D174B6">
      <w:rPr>
        <w:rFonts w:eastAsia="Calibri"/>
        <w:noProof/>
        <w:lang w:val="es-MX"/>
      </w:rPr>
      <mc:AlternateContent>
        <mc:Choice Requires="wps">
          <w:drawing>
            <wp:anchor distT="45720" distB="45720" distL="114300" distR="114300" simplePos="0" relativeHeight="251663360" behindDoc="1" locked="0" layoutInCell="1" allowOverlap="1" wp14:anchorId="26153982" wp14:editId="174BFCF5">
              <wp:simplePos x="0" y="0"/>
              <wp:positionH relativeFrom="leftMargin">
                <wp:align>right</wp:align>
              </wp:positionH>
              <wp:positionV relativeFrom="paragraph">
                <wp:posOffset>-4685217</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174B6" w:rsidRDefault="00D174B6" w:rsidP="00D174B6">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153982" id="_x0000_t202" coordsize="21600,21600" o:spt="202" path="m,l,21600r21600,l21600,xe">
              <v:stroke joinstyle="miter"/>
              <v:path gradientshapeok="t" o:connecttype="rect"/>
            </v:shapetype>
            <v:shape id="Cuadro de texto 4" o:spid="_x0000_s1027" type="#_x0000_t202" style="position:absolute;margin-left:31.2pt;margin-top:-368.9pt;width:82.4pt;height:118.5pt;z-index:-25165312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">
              <v:textbox>
                <w:txbxContent>
                  <w:p w:rsidR="00D174B6" w:rsidRDefault="00D174B6" w:rsidP="00D174B6">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4B6" w:rsidRDefault="00D174B6" w:rsidP="00D174B6">
      <w:r>
        <w:separator/>
      </w:r>
    </w:p>
  </w:footnote>
  <w:footnote w:type="continuationSeparator" w:id="0">
    <w:p w:rsidR="00D174B6" w:rsidRDefault="00D174B6" w:rsidP="00D174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174B6" w:rsidP="00A73AD7">
    <w:pPr>
      <w:pStyle w:val="Encabezado"/>
      <w:jc w:val="right"/>
      <w:rPr>
        <w:rFonts w:ascii="Arial" w:hAnsi="Arial" w:cs="Arial"/>
      </w:rPr>
    </w:pPr>
    <w:r w:rsidRPr="00D174B6">
      <w:rPr>
        <w:rFonts w:eastAsia="Calibri"/>
        <w:noProof/>
        <w:lang w:val="es-MX"/>
      </w:rPr>
      <mc:AlternateContent>
        <mc:Choice Requires="wps">
          <w:drawing>
            <wp:anchor distT="45720" distB="45720" distL="114300" distR="114300" simplePos="0" relativeHeight="251665408" behindDoc="1" locked="0" layoutInCell="1" allowOverlap="1" wp14:anchorId="6E9CB26C" wp14:editId="0C75BA7F">
              <wp:simplePos x="0" y="0"/>
              <wp:positionH relativeFrom="leftMargin">
                <wp:align>right</wp:align>
              </wp:positionH>
              <wp:positionV relativeFrom="paragraph">
                <wp:posOffset>4334697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174B6" w:rsidRDefault="00D174B6" w:rsidP="00D174B6">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9CB26C" id="_x0000_t202" coordsize="21600,21600" o:spt="202" path="m,l,21600r21600,l21600,xe">
              <v:stroke joinstyle="miter"/>
              <v:path gradientshapeok="t" o:connecttype="rect"/>
            </v:shapetype>
            <v:shape id="Cuadro de texto 5" o:spid="_x0000_s1026" type="#_x0000_t202" style="position:absolute;left:0;text-align:left;margin-left:31.2pt;margin-top:341.3pt;width:82.4pt;height:118.5pt;z-index:-25165107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">
              <v:textbox>
                <w:txbxContent>
                  <w:p w:rsidR="00D174B6" w:rsidRDefault="00D174B6" w:rsidP="00D174B6">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DF34ECF" wp14:editId="2A234539">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152</w:t>
    </w:r>
    <w:r w:rsidRPr="00A73AD7">
      <w:rPr>
        <w:rFonts w:ascii="Arial" w:hAnsi="Arial" w:cs="Arial"/>
      </w:rPr>
      <w:t>/20</w:t>
    </w:r>
    <w:r>
      <w:rPr>
        <w:rFonts w:ascii="Arial" w:hAnsi="Arial" w:cs="Arial"/>
      </w:rPr>
      <w:t>2</w:t>
    </w:r>
    <w:r>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174B6">
    <w:pPr>
      <w:pStyle w:val="Encabezado"/>
    </w:pPr>
    <w:r>
      <w:rPr>
        <w:noProof/>
        <w:lang w:val="es-MX"/>
      </w:rPr>
      <w:drawing>
        <wp:anchor distT="0" distB="0" distL="114300" distR="114300" simplePos="0" relativeHeight="251661312" behindDoc="1" locked="0" layoutInCell="1" allowOverlap="1" wp14:anchorId="0A970CD8" wp14:editId="5FD4745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747F0397" wp14:editId="47B9B29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4B6"/>
    <w:rsid w:val="00294EC6"/>
    <w:rsid w:val="004B1DB0"/>
    <w:rsid w:val="005223BF"/>
    <w:rsid w:val="00685BC3"/>
    <w:rsid w:val="00AC77AC"/>
    <w:rsid w:val="00D174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582A401-78CA-417C-9E5F-3AC77172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4B6"/>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174B6"/>
    <w:pPr>
      <w:spacing w:after="120"/>
    </w:pPr>
    <w:rPr>
      <w:lang w:val="x-none"/>
    </w:rPr>
  </w:style>
  <w:style w:type="character" w:customStyle="1" w:styleId="TextoindependienteCar">
    <w:name w:val="Texto independiente Car"/>
    <w:basedOn w:val="Fuentedeprrafopredeter"/>
    <w:link w:val="Textoindependiente"/>
    <w:uiPriority w:val="99"/>
    <w:rsid w:val="00D174B6"/>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174B6"/>
    <w:pPr>
      <w:autoSpaceDE w:val="0"/>
      <w:autoSpaceDN w:val="0"/>
    </w:pPr>
    <w:rPr>
      <w:lang w:eastAsia="es-ES"/>
    </w:rPr>
  </w:style>
  <w:style w:type="character" w:customStyle="1" w:styleId="TextonotapieCar">
    <w:name w:val="Texto nota pie Car"/>
    <w:basedOn w:val="Fuentedeprrafopredeter"/>
    <w:link w:val="Textonotapie"/>
    <w:uiPriority w:val="99"/>
    <w:rsid w:val="00D174B6"/>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174B6"/>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174B6"/>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174B6"/>
    <w:pPr>
      <w:tabs>
        <w:tab w:val="center" w:pos="4419"/>
        <w:tab w:val="right" w:pos="8838"/>
      </w:tabs>
    </w:pPr>
  </w:style>
  <w:style w:type="character" w:customStyle="1" w:styleId="EncabezadoCar">
    <w:name w:val="Encabezado Car"/>
    <w:basedOn w:val="Fuentedeprrafopredeter"/>
    <w:link w:val="Encabezado"/>
    <w:uiPriority w:val="99"/>
    <w:rsid w:val="00D174B6"/>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174B6"/>
    <w:pPr>
      <w:tabs>
        <w:tab w:val="center" w:pos="4419"/>
        <w:tab w:val="right" w:pos="8838"/>
      </w:tabs>
    </w:pPr>
  </w:style>
  <w:style w:type="character" w:customStyle="1" w:styleId="PiedepginaCar">
    <w:name w:val="Pie de página Car"/>
    <w:basedOn w:val="Fuentedeprrafopredeter"/>
    <w:link w:val="Piedepgina"/>
    <w:uiPriority w:val="99"/>
    <w:rsid w:val="00D174B6"/>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C63"/>
    <w:rsid w:val="002A1C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B575D0C3104459F96636C72439A16BC">
    <w:name w:val="2B575D0C3104459F96636C72439A16BC"/>
    <w:rsid w:val="002A1C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3120</Words>
  <Characters>17162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2023-07-14T19:38:00Z</dcterms:created>
  <dcterms:modified xsi:type="dcterms:W3CDTF">2023-07-14T19:44:00Z</dcterms:modified>
</cp:coreProperties>
</file>