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DD2740" w14:textId="77777777" w:rsidR="00AA4698" w:rsidRPr="00AA4698" w:rsidRDefault="00AA4698" w:rsidP="00AA4698">
      <w:pPr>
        <w:spacing w:line="240" w:lineRule="auto"/>
        <w:ind w:left="2124"/>
        <w:jc w:val="both"/>
        <w:rPr>
          <w:rFonts w:ascii="Arial" w:eastAsiaTheme="minorHAnsi" w:hAnsi="Arial" w:cs="Arial"/>
          <w:b/>
          <w:sz w:val="26"/>
          <w:szCs w:val="26"/>
          <w:lang w:val="es-ES" w:eastAsia="en-US"/>
        </w:rPr>
      </w:pPr>
      <w:r w:rsidRPr="00AA4698">
        <w:rPr>
          <w:rFonts w:ascii="Arial" w:eastAsiaTheme="minorHAnsi" w:hAnsi="Arial" w:cs="Arial"/>
          <w:b/>
          <w:sz w:val="26"/>
          <w:szCs w:val="26"/>
          <w:lang w:val="es-ES" w:eastAsia="en-US"/>
        </w:rPr>
        <w:t>SALA SUPERIOR DEL TRIBUNAL DE JUSTICIA ADMINISTRATIVA DEL ESTADO DE OAXACA</w:t>
      </w:r>
    </w:p>
    <w:p w14:paraId="39378A08" w14:textId="512C2239" w:rsidR="00AA4698" w:rsidRPr="00AA4698" w:rsidRDefault="00AA4698" w:rsidP="00AA4698">
      <w:pPr>
        <w:spacing w:line="240" w:lineRule="auto"/>
        <w:ind w:left="2124"/>
        <w:jc w:val="both"/>
        <w:rPr>
          <w:rFonts w:ascii="Arial" w:eastAsiaTheme="minorHAnsi" w:hAnsi="Arial" w:cs="Arial"/>
          <w:b/>
          <w:sz w:val="26"/>
          <w:szCs w:val="26"/>
          <w:lang w:val="es-ES" w:eastAsia="en-US"/>
        </w:rPr>
      </w:pPr>
      <w:r w:rsidRPr="00AA4698">
        <w:rPr>
          <w:rFonts w:ascii="Arial" w:eastAsiaTheme="minorHAnsi" w:hAnsi="Arial" w:cs="Arial"/>
          <w:b/>
          <w:sz w:val="26"/>
          <w:szCs w:val="26"/>
          <w:lang w:val="es-ES" w:eastAsia="en-US"/>
        </w:rPr>
        <w:t>RECURSO DE REVISIÓN:</w:t>
      </w:r>
      <w:r w:rsidRPr="00AA4698">
        <w:rPr>
          <w:rFonts w:ascii="Arial" w:eastAsiaTheme="minorHAnsi" w:hAnsi="Arial" w:cs="Arial"/>
          <w:b/>
          <w:sz w:val="26"/>
          <w:szCs w:val="26"/>
          <w:lang w:val="es-ES" w:eastAsia="en-US"/>
        </w:rPr>
        <w:tab/>
      </w:r>
      <w:r w:rsidR="008E61B5">
        <w:rPr>
          <w:rFonts w:ascii="Arial" w:eastAsiaTheme="minorHAnsi" w:hAnsi="Arial" w:cs="Arial"/>
          <w:b/>
          <w:sz w:val="26"/>
          <w:szCs w:val="26"/>
          <w:lang w:val="es-ES" w:eastAsia="en-US"/>
        </w:rPr>
        <w:t xml:space="preserve">0153/2020 </w:t>
      </w:r>
      <w:r w:rsidR="00C76DB8">
        <w:rPr>
          <w:rFonts w:ascii="Arial" w:eastAsiaTheme="minorHAnsi" w:hAnsi="Arial" w:cs="Arial"/>
          <w:b/>
          <w:sz w:val="26"/>
          <w:szCs w:val="26"/>
          <w:lang w:val="es-ES" w:eastAsia="en-US"/>
        </w:rPr>
        <w:t>y 154/2020</w:t>
      </w:r>
    </w:p>
    <w:p w14:paraId="6A71FC03" w14:textId="77777777" w:rsidR="0076757C" w:rsidRDefault="008E61B5" w:rsidP="0076757C">
      <w:pPr>
        <w:spacing w:after="0" w:line="240" w:lineRule="auto"/>
        <w:ind w:left="2124"/>
        <w:jc w:val="both"/>
        <w:rPr>
          <w:rFonts w:ascii="Arial" w:eastAsiaTheme="minorHAnsi" w:hAnsi="Arial" w:cs="Arial"/>
          <w:b/>
          <w:sz w:val="26"/>
          <w:szCs w:val="26"/>
          <w:lang w:val="es-ES" w:eastAsia="en-US"/>
        </w:rPr>
      </w:pPr>
      <w:r>
        <w:rPr>
          <w:rFonts w:ascii="Arial" w:eastAsiaTheme="minorHAnsi" w:hAnsi="Arial" w:cs="Arial"/>
          <w:b/>
          <w:sz w:val="26"/>
          <w:szCs w:val="26"/>
          <w:lang w:val="es-ES" w:eastAsia="en-US"/>
        </w:rPr>
        <w:t>EXPEDIENTE:</w:t>
      </w:r>
      <w:r>
        <w:rPr>
          <w:rFonts w:ascii="Arial" w:eastAsiaTheme="minorHAnsi" w:hAnsi="Arial" w:cs="Arial"/>
          <w:b/>
          <w:sz w:val="26"/>
          <w:szCs w:val="26"/>
          <w:lang w:val="es-ES" w:eastAsia="en-US"/>
        </w:rPr>
        <w:tab/>
        <w:t>0084/2020</w:t>
      </w:r>
      <w:r w:rsidR="00AA4698" w:rsidRPr="00AA4698">
        <w:rPr>
          <w:rFonts w:ascii="Arial" w:eastAsiaTheme="minorHAnsi" w:hAnsi="Arial" w:cs="Arial"/>
          <w:b/>
          <w:sz w:val="26"/>
          <w:szCs w:val="26"/>
          <w:lang w:val="es-ES" w:eastAsia="en-US"/>
        </w:rPr>
        <w:t xml:space="preserve"> DE LA SE</w:t>
      </w:r>
      <w:r>
        <w:rPr>
          <w:rFonts w:ascii="Arial" w:eastAsiaTheme="minorHAnsi" w:hAnsi="Arial" w:cs="Arial"/>
          <w:b/>
          <w:sz w:val="26"/>
          <w:szCs w:val="26"/>
          <w:lang w:val="es-ES" w:eastAsia="en-US"/>
        </w:rPr>
        <w:t xml:space="preserve">XTA </w:t>
      </w:r>
      <w:r w:rsidR="00AA4698" w:rsidRPr="00AA4698">
        <w:rPr>
          <w:rFonts w:ascii="Arial" w:eastAsiaTheme="minorHAnsi" w:hAnsi="Arial" w:cs="Arial"/>
          <w:b/>
          <w:sz w:val="26"/>
          <w:szCs w:val="26"/>
          <w:lang w:val="es-ES" w:eastAsia="en-US"/>
        </w:rPr>
        <w:t>SALA UNITARIA DE PRIMERA INSTANCIA</w:t>
      </w:r>
      <w:r w:rsidR="0076757C">
        <w:rPr>
          <w:rFonts w:ascii="Arial" w:eastAsiaTheme="minorHAnsi" w:hAnsi="Arial" w:cs="Arial"/>
          <w:b/>
          <w:sz w:val="26"/>
          <w:szCs w:val="26"/>
          <w:lang w:val="es-ES" w:eastAsia="en-US"/>
        </w:rPr>
        <w:t xml:space="preserve"> </w:t>
      </w:r>
    </w:p>
    <w:p w14:paraId="22B72F32" w14:textId="7B665BA8" w:rsidR="00AA4698" w:rsidRPr="00A67C2D" w:rsidRDefault="0076757C" w:rsidP="0076757C">
      <w:pPr>
        <w:spacing w:after="0" w:line="240" w:lineRule="auto"/>
        <w:ind w:left="2124"/>
        <w:jc w:val="both"/>
        <w:rPr>
          <w:rFonts w:ascii="Arial" w:hAnsi="Arial" w:cs="Arial"/>
          <w:iCs/>
          <w:caps/>
          <w:sz w:val="26"/>
          <w:szCs w:val="26"/>
          <w:lang w:val="es-PE"/>
        </w:rPr>
      </w:pPr>
      <w:r w:rsidRPr="00A67C2D">
        <w:rPr>
          <w:rFonts w:ascii="Arial" w:hAnsi="Arial" w:cs="Arial"/>
          <w:iCs/>
          <w:caps/>
          <w:sz w:val="26"/>
          <w:szCs w:val="26"/>
          <w:lang w:val="es-PE"/>
        </w:rPr>
        <w:t>(ANTES 0105/2018 DE LA SÉPTIMA SALA UNITARIA DE PRIMERA INSTANCIA)</w:t>
      </w:r>
    </w:p>
    <w:p w14:paraId="5EFDDF2F" w14:textId="77777777" w:rsidR="00AA493F" w:rsidRDefault="00AA493F" w:rsidP="00AA4698">
      <w:pPr>
        <w:spacing w:line="240" w:lineRule="auto"/>
        <w:ind w:left="2124"/>
        <w:jc w:val="both"/>
        <w:rPr>
          <w:rFonts w:ascii="Arial" w:eastAsiaTheme="minorHAnsi" w:hAnsi="Arial" w:cs="Arial"/>
          <w:b/>
          <w:sz w:val="26"/>
          <w:szCs w:val="26"/>
          <w:lang w:val="es-ES" w:eastAsia="en-US"/>
        </w:rPr>
      </w:pPr>
    </w:p>
    <w:p w14:paraId="689A6648" w14:textId="1D18E45F" w:rsidR="00AA4698" w:rsidRPr="00AA4698" w:rsidRDefault="00AA4698" w:rsidP="00AA4698">
      <w:pPr>
        <w:spacing w:line="240" w:lineRule="auto"/>
        <w:ind w:left="2124"/>
        <w:jc w:val="both"/>
        <w:rPr>
          <w:rFonts w:ascii="Arial" w:eastAsiaTheme="minorHAnsi" w:hAnsi="Arial" w:cs="Arial"/>
          <w:b/>
          <w:sz w:val="26"/>
          <w:szCs w:val="26"/>
          <w:lang w:val="es-ES" w:eastAsia="en-US"/>
        </w:rPr>
      </w:pPr>
      <w:r w:rsidRPr="00AA4698">
        <w:rPr>
          <w:rFonts w:ascii="Arial" w:eastAsiaTheme="minorHAnsi" w:hAnsi="Arial" w:cs="Arial"/>
          <w:b/>
          <w:sz w:val="26"/>
          <w:szCs w:val="26"/>
          <w:lang w:val="es-ES" w:eastAsia="en-US"/>
        </w:rPr>
        <w:t>PONENTE: MAGISTRADO MANUEL VELASCO ALCÁNTARA.</w:t>
      </w:r>
    </w:p>
    <w:p w14:paraId="0652BF30" w14:textId="77777777" w:rsidR="00AA4698" w:rsidRPr="00AA4698" w:rsidRDefault="00AA4698" w:rsidP="00AA4698">
      <w:pPr>
        <w:spacing w:line="240" w:lineRule="auto"/>
        <w:ind w:left="2124"/>
        <w:jc w:val="both"/>
        <w:rPr>
          <w:rFonts w:ascii="Arial" w:eastAsiaTheme="minorHAnsi" w:hAnsi="Arial" w:cs="Arial"/>
          <w:b/>
          <w:sz w:val="26"/>
          <w:szCs w:val="26"/>
          <w:lang w:val="es-ES" w:eastAsia="en-US"/>
        </w:rPr>
      </w:pPr>
    </w:p>
    <w:p w14:paraId="2F7D3E8C" w14:textId="2F6DB7B6" w:rsidR="00AA4698" w:rsidRPr="00AA4698" w:rsidRDefault="00AA4698" w:rsidP="00AA4698">
      <w:pPr>
        <w:spacing w:line="360" w:lineRule="auto"/>
        <w:jc w:val="both"/>
        <w:rPr>
          <w:rFonts w:ascii="Arial" w:eastAsiaTheme="minorHAnsi" w:hAnsi="Arial" w:cs="Arial"/>
          <w:b/>
          <w:sz w:val="26"/>
          <w:szCs w:val="26"/>
          <w:lang w:val="es-ES" w:eastAsia="en-US"/>
        </w:rPr>
      </w:pPr>
      <w:r w:rsidRPr="00AA4698">
        <w:rPr>
          <w:rFonts w:ascii="Arial" w:eastAsiaTheme="minorHAnsi" w:hAnsi="Arial" w:cs="Arial"/>
          <w:b/>
          <w:sz w:val="26"/>
          <w:szCs w:val="26"/>
          <w:lang w:val="es-ES" w:eastAsia="en-US"/>
        </w:rPr>
        <w:t>OAXACA DE JUÁREZ, OAXACA</w:t>
      </w:r>
      <w:r w:rsidR="00F168E1">
        <w:rPr>
          <w:rFonts w:ascii="Arial" w:eastAsiaTheme="minorHAnsi" w:hAnsi="Arial" w:cs="Arial"/>
          <w:b/>
          <w:sz w:val="26"/>
          <w:szCs w:val="26"/>
          <w:lang w:val="es-ES" w:eastAsia="en-US"/>
        </w:rPr>
        <w:t>,</w:t>
      </w:r>
      <w:r w:rsidRPr="00AA4698">
        <w:rPr>
          <w:rFonts w:ascii="Arial" w:eastAsiaTheme="minorHAnsi" w:hAnsi="Arial" w:cs="Arial"/>
          <w:b/>
          <w:sz w:val="26"/>
          <w:szCs w:val="26"/>
          <w:lang w:val="es-ES" w:eastAsia="en-US"/>
        </w:rPr>
        <w:t xml:space="preserve"> A </w:t>
      </w:r>
      <w:r w:rsidR="0071120D">
        <w:rPr>
          <w:rFonts w:ascii="Arial" w:eastAsiaTheme="minorHAnsi" w:hAnsi="Arial" w:cs="Arial"/>
          <w:b/>
          <w:sz w:val="26"/>
          <w:szCs w:val="26"/>
          <w:lang w:val="es-ES" w:eastAsia="en-US"/>
        </w:rPr>
        <w:t>VEINTIOCHO</w:t>
      </w:r>
      <w:r w:rsidRPr="00AA4698">
        <w:rPr>
          <w:rFonts w:ascii="Arial" w:eastAsiaTheme="minorHAnsi" w:hAnsi="Arial" w:cs="Arial"/>
          <w:b/>
          <w:sz w:val="26"/>
          <w:szCs w:val="26"/>
          <w:lang w:val="es-ES" w:eastAsia="en-US"/>
        </w:rPr>
        <w:t xml:space="preserve"> DE </w:t>
      </w:r>
      <w:r w:rsidR="0071120D">
        <w:rPr>
          <w:rFonts w:ascii="Arial" w:eastAsiaTheme="minorHAnsi" w:hAnsi="Arial" w:cs="Arial"/>
          <w:b/>
          <w:sz w:val="26"/>
          <w:szCs w:val="26"/>
          <w:lang w:val="es-ES" w:eastAsia="en-US"/>
        </w:rPr>
        <w:t>OCTUBRE</w:t>
      </w:r>
      <w:r w:rsidRPr="00AA4698">
        <w:rPr>
          <w:rFonts w:ascii="Arial" w:eastAsiaTheme="minorHAnsi" w:hAnsi="Arial" w:cs="Arial"/>
          <w:b/>
          <w:sz w:val="26"/>
          <w:szCs w:val="26"/>
          <w:lang w:val="es-ES" w:eastAsia="en-US"/>
        </w:rPr>
        <w:t xml:space="preserve"> DE DOS MIL VEINTIUNO. - - - - - - - - - - - - - - - - - - - - - - - - - - - - - - - - - - - </w:t>
      </w:r>
    </w:p>
    <w:p w14:paraId="72D55DD8" w14:textId="3F654CE2" w:rsidR="00AA4698" w:rsidRPr="00AA4698" w:rsidRDefault="00C76DB8" w:rsidP="00AA4698">
      <w:pPr>
        <w:spacing w:line="360" w:lineRule="auto"/>
        <w:ind w:firstLine="360"/>
        <w:jc w:val="both"/>
        <w:rPr>
          <w:rFonts w:ascii="Arial" w:eastAsiaTheme="minorHAnsi" w:hAnsi="Arial" w:cs="Arial"/>
          <w:b/>
          <w:bCs/>
          <w:sz w:val="26"/>
          <w:szCs w:val="26"/>
          <w:lang w:val="es-ES" w:eastAsia="en-US"/>
        </w:rPr>
      </w:pPr>
      <w:r w:rsidRPr="00CB6405">
        <w:rPr>
          <w:rFonts w:ascii="Arial" w:hAnsi="Arial" w:cs="Arial"/>
          <w:sz w:val="26"/>
          <w:szCs w:val="26"/>
        </w:rPr>
        <w:t>Por recibido</w:t>
      </w:r>
      <w:r>
        <w:rPr>
          <w:rFonts w:ascii="Arial" w:hAnsi="Arial" w:cs="Arial"/>
          <w:sz w:val="26"/>
          <w:szCs w:val="26"/>
        </w:rPr>
        <w:t xml:space="preserve">s los Cuadernos </w:t>
      </w:r>
      <w:r w:rsidRPr="00CB6405">
        <w:rPr>
          <w:rFonts w:ascii="Arial" w:hAnsi="Arial" w:cs="Arial"/>
          <w:sz w:val="26"/>
          <w:szCs w:val="26"/>
        </w:rPr>
        <w:t xml:space="preserve">Revisión </w:t>
      </w:r>
      <w:r>
        <w:rPr>
          <w:rFonts w:ascii="Arial" w:hAnsi="Arial" w:cs="Arial"/>
          <w:b/>
          <w:sz w:val="26"/>
          <w:szCs w:val="26"/>
        </w:rPr>
        <w:t>0153/2020 y 0154/2020</w:t>
      </w:r>
      <w:r w:rsidRPr="00CB6405">
        <w:rPr>
          <w:rFonts w:ascii="Arial" w:hAnsi="Arial" w:cs="Arial"/>
          <w:sz w:val="26"/>
          <w:szCs w:val="26"/>
        </w:rPr>
        <w:t>, que remite la Secretaría General de Acuerdos, con motivo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os</w:t>
      </w:r>
      <w:r w:rsidRPr="00CB6405">
        <w:rPr>
          <w:rFonts w:ascii="Arial" w:hAnsi="Arial" w:cs="Arial"/>
          <w:sz w:val="26"/>
          <w:szCs w:val="26"/>
        </w:rPr>
        <w:t xml:space="preserve"> </w:t>
      </w:r>
      <w:r w:rsidR="00AB6A21">
        <w:rPr>
          <w:rFonts w:ascii="Arial" w:hAnsi="Arial" w:cs="Arial"/>
          <w:sz w:val="26"/>
          <w:szCs w:val="26"/>
        </w:rPr>
        <w:t>R</w:t>
      </w:r>
      <w:r w:rsidRPr="00CB6405">
        <w:rPr>
          <w:rFonts w:ascii="Arial" w:hAnsi="Arial" w:cs="Arial"/>
          <w:sz w:val="26"/>
          <w:szCs w:val="26"/>
        </w:rPr>
        <w:t>ecurso</w:t>
      </w:r>
      <w:r>
        <w:rPr>
          <w:rFonts w:ascii="Arial" w:hAnsi="Arial" w:cs="Arial"/>
          <w:sz w:val="26"/>
          <w:szCs w:val="26"/>
        </w:rPr>
        <w:t>s</w:t>
      </w:r>
      <w:r w:rsidRPr="00CB6405">
        <w:rPr>
          <w:rFonts w:ascii="Arial" w:hAnsi="Arial" w:cs="Arial"/>
          <w:sz w:val="26"/>
          <w:szCs w:val="26"/>
        </w:rPr>
        <w:t xml:space="preserve"> de </w:t>
      </w:r>
      <w:r w:rsidR="00AB6A21">
        <w:rPr>
          <w:rFonts w:ascii="Arial" w:hAnsi="Arial" w:cs="Arial"/>
          <w:sz w:val="26"/>
          <w:szCs w:val="26"/>
        </w:rPr>
        <w:t>R</w:t>
      </w:r>
      <w:r w:rsidRPr="00CB6405">
        <w:rPr>
          <w:rFonts w:ascii="Arial" w:hAnsi="Arial" w:cs="Arial"/>
          <w:sz w:val="26"/>
          <w:szCs w:val="26"/>
        </w:rPr>
        <w:t>evisión interpuesto</w:t>
      </w:r>
      <w:r>
        <w:rPr>
          <w:rFonts w:ascii="Arial" w:hAnsi="Arial" w:cs="Arial"/>
          <w:sz w:val="26"/>
          <w:szCs w:val="26"/>
        </w:rPr>
        <w:t>s</w:t>
      </w:r>
      <w:r w:rsidRPr="00CB6405">
        <w:rPr>
          <w:rFonts w:ascii="Arial" w:hAnsi="Arial" w:cs="Arial"/>
          <w:sz w:val="26"/>
          <w:szCs w:val="26"/>
        </w:rPr>
        <w:t xml:space="preserve"> </w:t>
      </w:r>
      <w:r w:rsidR="00681A3D">
        <w:rPr>
          <w:rFonts w:ascii="Arial" w:hAnsi="Arial" w:cs="Arial"/>
          <w:sz w:val="26"/>
          <w:szCs w:val="26"/>
        </w:rPr>
        <w:t xml:space="preserve">por </w:t>
      </w:r>
      <w:r w:rsidR="0076757C">
        <w:rPr>
          <w:rFonts w:ascii="Arial" w:eastAsiaTheme="minorHAnsi" w:hAnsi="Arial" w:cs="Arial"/>
          <w:sz w:val="26"/>
          <w:szCs w:val="26"/>
          <w:lang w:val="es-ES" w:eastAsia="en-US"/>
        </w:rPr>
        <w:t xml:space="preserve">el </w:t>
      </w:r>
      <w:r w:rsidR="0076757C" w:rsidRPr="0076757C">
        <w:rPr>
          <w:rFonts w:ascii="Arial" w:eastAsiaTheme="minorHAnsi" w:hAnsi="Arial" w:cs="Arial"/>
          <w:b/>
          <w:sz w:val="26"/>
          <w:szCs w:val="26"/>
          <w:lang w:val="es-ES" w:eastAsia="en-US"/>
        </w:rPr>
        <w:t xml:space="preserve">DIRECTOR JURÍDICO DE LA SECRETARÍA DE CONTRALORÍA Y TRANSPARENCIA </w:t>
      </w:r>
      <w:r w:rsidR="00AA493F">
        <w:rPr>
          <w:rFonts w:ascii="Arial" w:eastAsiaTheme="minorHAnsi" w:hAnsi="Arial" w:cs="Arial"/>
          <w:b/>
          <w:sz w:val="26"/>
          <w:szCs w:val="26"/>
          <w:lang w:val="es-ES" w:eastAsia="en-US"/>
        </w:rPr>
        <w:t>G</w:t>
      </w:r>
      <w:r w:rsidR="0076757C" w:rsidRPr="0076757C">
        <w:rPr>
          <w:rFonts w:ascii="Arial" w:eastAsiaTheme="minorHAnsi" w:hAnsi="Arial" w:cs="Arial"/>
          <w:b/>
          <w:sz w:val="26"/>
          <w:szCs w:val="26"/>
          <w:lang w:val="es-ES" w:eastAsia="en-US"/>
        </w:rPr>
        <w:t>UBE</w:t>
      </w:r>
      <w:r w:rsidR="006766AC">
        <w:rPr>
          <w:rFonts w:ascii="Arial" w:eastAsiaTheme="minorHAnsi" w:hAnsi="Arial" w:cs="Arial"/>
          <w:b/>
          <w:sz w:val="26"/>
          <w:szCs w:val="26"/>
          <w:lang w:val="es-ES" w:eastAsia="en-US"/>
        </w:rPr>
        <w:t>RNAMENTAL DEL ESTADO DE OAXACA</w:t>
      </w:r>
      <w:r>
        <w:rPr>
          <w:rFonts w:ascii="Arial" w:eastAsiaTheme="minorHAnsi" w:hAnsi="Arial" w:cs="Arial"/>
          <w:b/>
          <w:sz w:val="26"/>
          <w:szCs w:val="26"/>
          <w:lang w:val="es-ES" w:eastAsia="en-US"/>
        </w:rPr>
        <w:t xml:space="preserve">, </w:t>
      </w:r>
      <w:r w:rsidR="00681A3D">
        <w:rPr>
          <w:rFonts w:ascii="Arial" w:eastAsiaTheme="minorHAnsi" w:hAnsi="Arial" w:cs="Arial"/>
          <w:bCs/>
          <w:sz w:val="26"/>
          <w:szCs w:val="26"/>
          <w:lang w:val="es-ES" w:eastAsia="en-US"/>
        </w:rPr>
        <w:t>y</w:t>
      </w:r>
      <w:r>
        <w:rPr>
          <w:rFonts w:ascii="Arial" w:eastAsiaTheme="minorHAnsi" w:hAnsi="Arial" w:cs="Arial"/>
          <w:sz w:val="26"/>
          <w:szCs w:val="26"/>
          <w:lang w:val="es-ES" w:eastAsia="en-US"/>
        </w:rPr>
        <w:t xml:space="preserve"> </w:t>
      </w:r>
      <w:r w:rsidR="00681A3D">
        <w:rPr>
          <w:rFonts w:ascii="Arial" w:eastAsiaTheme="minorHAnsi" w:hAnsi="Arial" w:cs="Arial"/>
          <w:sz w:val="26"/>
          <w:szCs w:val="26"/>
          <w:lang w:val="es-ES" w:eastAsia="en-US"/>
        </w:rPr>
        <w:t xml:space="preserve">por </w:t>
      </w:r>
      <w:r w:rsidRPr="0076757C">
        <w:rPr>
          <w:rFonts w:ascii="Arial" w:eastAsiaTheme="minorHAnsi" w:hAnsi="Arial" w:cs="Arial"/>
          <w:b/>
          <w:sz w:val="26"/>
          <w:szCs w:val="26"/>
          <w:lang w:val="es-ES" w:eastAsia="en-US"/>
        </w:rPr>
        <w:t>ENRIQUE CELSO ARNAUD VIÑAS</w:t>
      </w:r>
      <w:r>
        <w:rPr>
          <w:rFonts w:ascii="Arial" w:eastAsiaTheme="minorHAnsi" w:hAnsi="Arial" w:cs="Arial"/>
          <w:b/>
          <w:sz w:val="26"/>
          <w:szCs w:val="26"/>
          <w:lang w:val="es-ES" w:eastAsia="en-US"/>
        </w:rPr>
        <w:t>,</w:t>
      </w:r>
      <w:r w:rsidRPr="00AA4698">
        <w:rPr>
          <w:rFonts w:ascii="Arial" w:eastAsiaTheme="minorHAnsi" w:hAnsi="Arial" w:cs="Arial"/>
          <w:sz w:val="26"/>
          <w:szCs w:val="26"/>
          <w:lang w:val="es-ES" w:eastAsia="en-US"/>
        </w:rPr>
        <w:t xml:space="preserve"> </w:t>
      </w:r>
      <w:r w:rsidR="00AA4698" w:rsidRPr="00AA4698">
        <w:rPr>
          <w:rFonts w:ascii="Arial" w:eastAsiaTheme="minorHAnsi" w:hAnsi="Arial" w:cs="Arial"/>
          <w:sz w:val="26"/>
          <w:szCs w:val="26"/>
          <w:lang w:val="es-ES" w:eastAsia="en-US"/>
        </w:rPr>
        <w:t xml:space="preserve">en contra de la resolución de </w:t>
      </w:r>
      <w:r w:rsidR="00AA4698" w:rsidRPr="00F168E1">
        <w:rPr>
          <w:rFonts w:ascii="Arial" w:eastAsiaTheme="minorHAnsi" w:hAnsi="Arial" w:cs="Arial"/>
          <w:sz w:val="26"/>
          <w:szCs w:val="26"/>
          <w:lang w:val="es-ES" w:eastAsia="en-US"/>
        </w:rPr>
        <w:t xml:space="preserve">fecha </w:t>
      </w:r>
      <w:r w:rsidR="0076757C" w:rsidRPr="00F168E1">
        <w:rPr>
          <w:rFonts w:ascii="Arial" w:eastAsiaTheme="minorHAnsi" w:hAnsi="Arial" w:cs="Arial"/>
          <w:sz w:val="26"/>
          <w:szCs w:val="26"/>
          <w:lang w:val="es-ES" w:eastAsia="en-US"/>
        </w:rPr>
        <w:t>veintiuno de febrero de dos mil veinte</w:t>
      </w:r>
      <w:r w:rsidR="00AA4698" w:rsidRPr="00AA4698">
        <w:rPr>
          <w:rFonts w:ascii="Arial" w:eastAsiaTheme="minorHAnsi" w:hAnsi="Arial" w:cs="Arial"/>
          <w:sz w:val="26"/>
          <w:szCs w:val="26"/>
          <w:lang w:val="es-ES" w:eastAsia="en-US"/>
        </w:rPr>
        <w:t xml:space="preserve">, </w:t>
      </w:r>
      <w:r w:rsidR="0076757C" w:rsidRPr="00FC7072">
        <w:rPr>
          <w:rFonts w:ascii="Arial" w:hAnsi="Arial" w:cs="Arial"/>
          <w:sz w:val="26"/>
          <w:szCs w:val="26"/>
        </w:rPr>
        <w:t>dictad</w:t>
      </w:r>
      <w:r w:rsidR="0076757C">
        <w:rPr>
          <w:rFonts w:ascii="Arial" w:hAnsi="Arial" w:cs="Arial"/>
          <w:sz w:val="26"/>
          <w:szCs w:val="26"/>
        </w:rPr>
        <w:t>a</w:t>
      </w:r>
      <w:r w:rsidR="0076757C" w:rsidRPr="00FC7072">
        <w:rPr>
          <w:rFonts w:ascii="Arial" w:hAnsi="Arial" w:cs="Arial"/>
          <w:sz w:val="26"/>
          <w:szCs w:val="26"/>
        </w:rPr>
        <w:t xml:space="preserve"> en </w:t>
      </w:r>
      <w:r w:rsidR="0076757C" w:rsidRPr="00F168E1">
        <w:rPr>
          <w:rFonts w:ascii="Arial" w:hAnsi="Arial" w:cs="Arial"/>
          <w:sz w:val="26"/>
          <w:szCs w:val="26"/>
        </w:rPr>
        <w:t>el expediente 0105/2018</w:t>
      </w:r>
      <w:r w:rsidR="0076757C" w:rsidRPr="00F168E1">
        <w:rPr>
          <w:rFonts w:ascii="Arial" w:hAnsi="Arial" w:cs="Arial"/>
          <w:b/>
          <w:sz w:val="26"/>
          <w:szCs w:val="26"/>
        </w:rPr>
        <w:t xml:space="preserve"> </w:t>
      </w:r>
      <w:r w:rsidR="00647B79">
        <w:rPr>
          <w:rFonts w:ascii="Arial" w:eastAsia="Calibri" w:hAnsi="Arial" w:cs="Arial"/>
          <w:sz w:val="26"/>
          <w:szCs w:val="26"/>
        </w:rPr>
        <w:t xml:space="preserve">por la </w:t>
      </w:r>
      <w:r w:rsidR="0076757C" w:rsidRPr="00F168E1">
        <w:rPr>
          <w:rFonts w:ascii="Arial" w:eastAsia="Calibri" w:hAnsi="Arial" w:cs="Arial"/>
          <w:sz w:val="26"/>
          <w:szCs w:val="26"/>
        </w:rPr>
        <w:t>entonces Séptima Sala Unitaria de Primera Instancia</w:t>
      </w:r>
      <w:r w:rsidR="0076757C" w:rsidRPr="00A979D7">
        <w:rPr>
          <w:rFonts w:ascii="Arial" w:eastAsia="Calibri" w:hAnsi="Arial" w:cs="Arial"/>
          <w:sz w:val="26"/>
          <w:szCs w:val="26"/>
        </w:rPr>
        <w:t xml:space="preserve">, </w:t>
      </w:r>
      <w:r w:rsidR="00647B79">
        <w:rPr>
          <w:rFonts w:ascii="Arial" w:eastAsia="Calibri" w:hAnsi="Arial" w:cs="Arial"/>
          <w:sz w:val="26"/>
          <w:szCs w:val="26"/>
        </w:rPr>
        <w:t xml:space="preserve">actualmente  </w:t>
      </w:r>
      <w:r w:rsidR="00647B79" w:rsidRPr="00647B79">
        <w:rPr>
          <w:rFonts w:ascii="Arial" w:eastAsia="Calibri" w:hAnsi="Arial" w:cs="Arial"/>
          <w:b/>
          <w:bCs/>
          <w:sz w:val="26"/>
          <w:szCs w:val="26"/>
        </w:rPr>
        <w:t>0084/2020</w:t>
      </w:r>
      <w:r w:rsidR="00647B79">
        <w:rPr>
          <w:rFonts w:ascii="Arial" w:eastAsia="Calibri" w:hAnsi="Arial" w:cs="Arial"/>
          <w:b/>
          <w:bCs/>
          <w:sz w:val="26"/>
          <w:szCs w:val="26"/>
        </w:rPr>
        <w:t xml:space="preserve"> </w:t>
      </w:r>
      <w:r w:rsidR="00647B79" w:rsidRPr="00647B79">
        <w:rPr>
          <w:rFonts w:ascii="Arial" w:eastAsia="Calibri" w:hAnsi="Arial" w:cs="Arial"/>
          <w:sz w:val="26"/>
          <w:szCs w:val="26"/>
        </w:rPr>
        <w:t>del índice de la Sexta Sala Unitaria de Primera Instancia</w:t>
      </w:r>
      <w:r w:rsidR="00647B79">
        <w:rPr>
          <w:rFonts w:ascii="Arial" w:eastAsia="Calibri" w:hAnsi="Arial" w:cs="Arial"/>
          <w:sz w:val="26"/>
          <w:szCs w:val="26"/>
        </w:rPr>
        <w:t xml:space="preserve"> </w:t>
      </w:r>
      <w:r w:rsidR="0076757C">
        <w:rPr>
          <w:rFonts w:ascii="Arial" w:eastAsia="Calibri" w:hAnsi="Arial" w:cs="Arial"/>
          <w:sz w:val="26"/>
          <w:szCs w:val="26"/>
        </w:rPr>
        <w:t>acorde a lo dispuesto en el Acuerdo General AG/TJAO/13/2020, del Pleno de este Tribunal, en el que se determinó la</w:t>
      </w:r>
      <w:r w:rsidR="00647B79">
        <w:rPr>
          <w:rFonts w:ascii="Arial" w:eastAsia="Calibri" w:hAnsi="Arial" w:cs="Arial"/>
          <w:sz w:val="26"/>
          <w:szCs w:val="26"/>
        </w:rPr>
        <w:t xml:space="preserve"> reasignación del presente expediente</w:t>
      </w:r>
      <w:r w:rsidR="0076757C">
        <w:rPr>
          <w:rFonts w:ascii="Arial" w:eastAsia="Calibri" w:hAnsi="Arial" w:cs="Arial"/>
          <w:b/>
          <w:sz w:val="26"/>
          <w:szCs w:val="26"/>
        </w:rPr>
        <w:t>,</w:t>
      </w:r>
      <w:r w:rsidR="0076757C">
        <w:rPr>
          <w:rFonts w:ascii="Arial" w:eastAsia="Calibri" w:hAnsi="Arial" w:cs="Arial"/>
          <w:sz w:val="26"/>
          <w:szCs w:val="26"/>
        </w:rPr>
        <w:t xml:space="preserve"> </w:t>
      </w:r>
      <w:r w:rsidR="0076757C" w:rsidRPr="00A979D7">
        <w:rPr>
          <w:rFonts w:ascii="Arial" w:eastAsia="Calibri" w:hAnsi="Arial" w:cs="Arial"/>
          <w:sz w:val="26"/>
          <w:szCs w:val="26"/>
        </w:rPr>
        <w:t>relativo al juicio promovido por</w:t>
      </w:r>
      <w:r w:rsidR="0076757C">
        <w:rPr>
          <w:rFonts w:ascii="Arial" w:eastAsia="Calibri" w:hAnsi="Arial" w:cs="Arial"/>
          <w:sz w:val="26"/>
          <w:szCs w:val="26"/>
        </w:rPr>
        <w:t xml:space="preserve"> </w:t>
      </w:r>
      <w:r w:rsidR="000F18ED">
        <w:rPr>
          <w:rFonts w:ascii="Arial" w:eastAsia="Calibri" w:hAnsi="Arial" w:cs="Arial"/>
          <w:b/>
          <w:sz w:val="26"/>
          <w:szCs w:val="26"/>
        </w:rPr>
        <w:t>***********</w:t>
      </w:r>
      <w:r w:rsidR="00AA4698" w:rsidRPr="00AA4698">
        <w:rPr>
          <w:rFonts w:ascii="Arial" w:eastAsiaTheme="minorHAnsi" w:hAnsi="Arial" w:cs="Arial"/>
          <w:b/>
          <w:sz w:val="26"/>
          <w:szCs w:val="26"/>
          <w:lang w:val="es-ES" w:eastAsia="en-US"/>
        </w:rPr>
        <w:t xml:space="preserve">, </w:t>
      </w:r>
      <w:r w:rsidR="00AA4698" w:rsidRPr="00AA4698">
        <w:rPr>
          <w:rFonts w:ascii="Arial" w:eastAsiaTheme="minorHAnsi" w:hAnsi="Arial" w:cs="Arial"/>
          <w:bCs/>
          <w:sz w:val="26"/>
          <w:szCs w:val="26"/>
          <w:lang w:val="es-ES" w:eastAsia="en-US"/>
        </w:rPr>
        <w:t xml:space="preserve">en contra del </w:t>
      </w:r>
      <w:r w:rsidR="00B62CB7" w:rsidRPr="00516107">
        <w:rPr>
          <w:rFonts w:ascii="Arial" w:eastAsiaTheme="minorHAnsi" w:hAnsi="Arial" w:cs="Arial"/>
          <w:b/>
          <w:bCs/>
          <w:sz w:val="26"/>
          <w:szCs w:val="26"/>
          <w:lang w:val="es-ES" w:eastAsia="en-US"/>
        </w:rPr>
        <w:t xml:space="preserve">SUBSECRETARIO DE RESPONSABILIDADES ADMINISTRATIVAS </w:t>
      </w:r>
      <w:r w:rsidR="00516107" w:rsidRPr="00516107">
        <w:rPr>
          <w:rFonts w:ascii="Arial" w:eastAsiaTheme="minorHAnsi" w:hAnsi="Arial" w:cs="Arial"/>
          <w:b/>
          <w:bCs/>
          <w:sz w:val="26"/>
          <w:szCs w:val="26"/>
          <w:lang w:val="es-ES" w:eastAsia="en-US"/>
        </w:rPr>
        <w:t>Y ANTICORRUPCIÓN y del DIRECTOR DE RESPONSABILIDADES Y SITUACI</w:t>
      </w:r>
      <w:r w:rsidR="00AA493F">
        <w:rPr>
          <w:rFonts w:ascii="Arial" w:eastAsiaTheme="minorHAnsi" w:hAnsi="Arial" w:cs="Arial"/>
          <w:b/>
          <w:bCs/>
          <w:sz w:val="26"/>
          <w:szCs w:val="26"/>
          <w:lang w:val="es-ES" w:eastAsia="en-US"/>
        </w:rPr>
        <w:t>Ó</w:t>
      </w:r>
      <w:r w:rsidR="00516107" w:rsidRPr="00516107">
        <w:rPr>
          <w:rFonts w:ascii="Arial" w:eastAsiaTheme="minorHAnsi" w:hAnsi="Arial" w:cs="Arial"/>
          <w:b/>
          <w:bCs/>
          <w:sz w:val="26"/>
          <w:szCs w:val="26"/>
          <w:lang w:val="es-ES" w:eastAsia="en-US"/>
        </w:rPr>
        <w:t>N PATRIMONIAL</w:t>
      </w:r>
      <w:r w:rsidR="00516107">
        <w:rPr>
          <w:rFonts w:ascii="Arial" w:eastAsiaTheme="minorHAnsi" w:hAnsi="Arial" w:cs="Arial"/>
          <w:b/>
          <w:bCs/>
          <w:sz w:val="26"/>
          <w:szCs w:val="26"/>
          <w:lang w:val="es-ES" w:eastAsia="en-US"/>
        </w:rPr>
        <w:t>,</w:t>
      </w:r>
      <w:r w:rsidR="00516107" w:rsidRPr="00516107">
        <w:rPr>
          <w:rFonts w:ascii="Arial" w:eastAsiaTheme="minorHAnsi" w:hAnsi="Arial" w:cs="Arial"/>
          <w:b/>
          <w:bCs/>
          <w:sz w:val="26"/>
          <w:szCs w:val="26"/>
          <w:lang w:val="es-ES" w:eastAsia="en-US"/>
        </w:rPr>
        <w:t xml:space="preserve"> ambos de la SECRETARÍA DE</w:t>
      </w:r>
      <w:r w:rsidR="00516107">
        <w:rPr>
          <w:rFonts w:ascii="Arial" w:eastAsiaTheme="minorHAnsi" w:hAnsi="Arial" w:cs="Arial"/>
          <w:bCs/>
          <w:sz w:val="26"/>
          <w:szCs w:val="26"/>
          <w:lang w:val="es-ES" w:eastAsia="en-US"/>
        </w:rPr>
        <w:t xml:space="preserve"> </w:t>
      </w:r>
      <w:r w:rsidR="00AA4698" w:rsidRPr="00AA4698">
        <w:rPr>
          <w:rFonts w:ascii="Arial" w:eastAsiaTheme="minorHAnsi" w:hAnsi="Arial" w:cs="Arial"/>
          <w:b/>
          <w:sz w:val="26"/>
          <w:szCs w:val="26"/>
          <w:lang w:val="es-ES" w:eastAsia="en-US"/>
        </w:rPr>
        <w:t>LA CONTRALOR</w:t>
      </w:r>
      <w:r w:rsidR="00AA4698" w:rsidRPr="00D67174">
        <w:rPr>
          <w:rFonts w:ascii="Arial" w:eastAsiaTheme="minorHAnsi" w:hAnsi="Arial" w:cs="Arial"/>
          <w:b/>
          <w:sz w:val="26"/>
          <w:szCs w:val="26"/>
          <w:lang w:val="es-ES" w:eastAsia="en-US"/>
        </w:rPr>
        <w:t>Í</w:t>
      </w:r>
      <w:r w:rsidR="00AA4698" w:rsidRPr="00AA4698">
        <w:rPr>
          <w:rFonts w:ascii="Arial" w:eastAsiaTheme="minorHAnsi" w:hAnsi="Arial" w:cs="Arial"/>
          <w:b/>
          <w:sz w:val="26"/>
          <w:szCs w:val="26"/>
          <w:lang w:val="es-ES" w:eastAsia="en-US"/>
        </w:rPr>
        <w:t>A Y TRANSPARENCIA GUBERNAMENTAL DEL PODER EJECUTIVO DEL ESTADO DE OAXACA</w:t>
      </w:r>
      <w:r w:rsidR="00AA4698" w:rsidRPr="00AA4698">
        <w:rPr>
          <w:rFonts w:ascii="Arial" w:eastAsiaTheme="minorHAnsi" w:hAnsi="Arial" w:cs="Arial"/>
          <w:bCs/>
          <w:sz w:val="26"/>
          <w:szCs w:val="26"/>
          <w:lang w:val="es-ES" w:eastAsia="en-US"/>
        </w:rPr>
        <w:t>;</w:t>
      </w:r>
      <w:r w:rsidR="00AA4698" w:rsidRPr="00AA4698">
        <w:rPr>
          <w:rFonts w:ascii="Arial" w:eastAsiaTheme="minorHAnsi" w:hAnsi="Arial" w:cs="Arial"/>
          <w:b/>
          <w:sz w:val="26"/>
          <w:szCs w:val="26"/>
          <w:lang w:val="es-ES" w:eastAsia="en-US"/>
        </w:rPr>
        <w:t xml:space="preserve"> </w:t>
      </w:r>
      <w:r w:rsidR="00AA4698" w:rsidRPr="00AA4698">
        <w:rPr>
          <w:rFonts w:ascii="Arial" w:eastAsiaTheme="minorHAnsi" w:hAnsi="Arial" w:cs="Arial"/>
          <w:sz w:val="26"/>
          <w:szCs w:val="26"/>
          <w:lang w:val="es-ES" w:eastAsia="en-US"/>
        </w:rPr>
        <w:t>por lo que con fundamento en los artículos 2</w:t>
      </w:r>
      <w:r w:rsidR="0084615D">
        <w:rPr>
          <w:rFonts w:ascii="Arial" w:eastAsiaTheme="minorHAnsi" w:hAnsi="Arial" w:cs="Arial"/>
          <w:sz w:val="26"/>
          <w:szCs w:val="26"/>
          <w:lang w:val="es-ES" w:eastAsia="en-US"/>
        </w:rPr>
        <w:t>3</w:t>
      </w:r>
      <w:r w:rsidR="00AA4698" w:rsidRPr="00AA4698">
        <w:rPr>
          <w:rFonts w:ascii="Arial" w:eastAsiaTheme="minorHAnsi" w:hAnsi="Arial" w:cs="Arial"/>
          <w:sz w:val="26"/>
          <w:szCs w:val="26"/>
          <w:lang w:val="es-ES" w:eastAsia="en-US"/>
        </w:rPr>
        <w:t>6 y 2</w:t>
      </w:r>
      <w:r w:rsidR="0084615D">
        <w:rPr>
          <w:rFonts w:ascii="Arial" w:eastAsiaTheme="minorHAnsi" w:hAnsi="Arial" w:cs="Arial"/>
          <w:sz w:val="26"/>
          <w:szCs w:val="26"/>
          <w:lang w:val="es-ES" w:eastAsia="en-US"/>
        </w:rPr>
        <w:t>3</w:t>
      </w:r>
      <w:r w:rsidR="00AA4698" w:rsidRPr="00AA4698">
        <w:rPr>
          <w:rFonts w:ascii="Arial" w:eastAsiaTheme="minorHAnsi" w:hAnsi="Arial" w:cs="Arial"/>
          <w:sz w:val="26"/>
          <w:szCs w:val="26"/>
          <w:lang w:val="es-ES" w:eastAsia="en-US"/>
        </w:rPr>
        <w:t xml:space="preserve">8 de la Ley de </w:t>
      </w:r>
      <w:r w:rsidR="0084615D">
        <w:rPr>
          <w:rFonts w:ascii="Arial" w:eastAsiaTheme="minorHAnsi" w:hAnsi="Arial" w:cs="Arial"/>
          <w:sz w:val="26"/>
          <w:szCs w:val="26"/>
          <w:lang w:val="es-ES" w:eastAsia="en-US"/>
        </w:rPr>
        <w:t xml:space="preserve">Procedimiento y </w:t>
      </w:r>
      <w:r w:rsidR="00AA4698" w:rsidRPr="00AA4698">
        <w:rPr>
          <w:rFonts w:ascii="Arial" w:eastAsiaTheme="minorHAnsi" w:hAnsi="Arial" w:cs="Arial"/>
          <w:sz w:val="26"/>
          <w:szCs w:val="26"/>
          <w:lang w:val="es-ES" w:eastAsia="en-US"/>
        </w:rPr>
        <w:t>Justicia Administrativa para el Estado de Oaxaca, se admite</w:t>
      </w:r>
      <w:r w:rsidR="00681A3D">
        <w:rPr>
          <w:rFonts w:ascii="Arial" w:eastAsiaTheme="minorHAnsi" w:hAnsi="Arial" w:cs="Arial"/>
          <w:sz w:val="26"/>
          <w:szCs w:val="26"/>
          <w:lang w:val="es-ES" w:eastAsia="en-US"/>
        </w:rPr>
        <w:t>n</w:t>
      </w:r>
      <w:r w:rsidR="00AA4698" w:rsidRPr="00AA4698">
        <w:rPr>
          <w:rFonts w:ascii="Arial" w:eastAsiaTheme="minorHAnsi" w:hAnsi="Arial" w:cs="Arial"/>
          <w:sz w:val="26"/>
          <w:szCs w:val="26"/>
          <w:lang w:val="es-ES" w:eastAsia="en-US"/>
        </w:rPr>
        <w:t xml:space="preserve"> y se procede a dictar resolución en los siguientes términos:</w:t>
      </w:r>
      <w:r w:rsidR="00F645AE">
        <w:rPr>
          <w:rFonts w:ascii="Arial" w:eastAsiaTheme="minorHAnsi" w:hAnsi="Arial" w:cs="Arial"/>
          <w:sz w:val="26"/>
          <w:szCs w:val="26"/>
          <w:lang w:val="es-ES" w:eastAsia="en-US"/>
        </w:rPr>
        <w:t xml:space="preserve">- - - - - - - - - - - - - - - - - - - - - - - - - - - - - - - - - - - - - - </w:t>
      </w:r>
      <w:r w:rsidR="000F18ED">
        <w:rPr>
          <w:rFonts w:ascii="Arial" w:eastAsiaTheme="minorHAnsi" w:hAnsi="Arial" w:cs="Arial"/>
          <w:sz w:val="26"/>
          <w:szCs w:val="26"/>
          <w:lang w:val="es-ES" w:eastAsia="en-US"/>
        </w:rPr>
        <w:t xml:space="preserve">- - - - - - - - </w:t>
      </w:r>
    </w:p>
    <w:p w14:paraId="7E7E1144" w14:textId="77777777" w:rsidR="00AA4698" w:rsidRPr="00AA4698" w:rsidRDefault="00AA4698" w:rsidP="00AA4698">
      <w:pPr>
        <w:keepNext/>
        <w:keepLines/>
        <w:spacing w:before="480" w:after="240" w:line="360" w:lineRule="auto"/>
        <w:jc w:val="center"/>
        <w:outlineLvl w:val="0"/>
        <w:rPr>
          <w:rFonts w:ascii="Arial" w:eastAsiaTheme="majorEastAsia" w:hAnsi="Arial" w:cs="Arial"/>
          <w:b/>
          <w:bCs/>
          <w:sz w:val="26"/>
          <w:szCs w:val="26"/>
          <w:lang w:val="es-ES" w:eastAsia="en-US"/>
        </w:rPr>
      </w:pPr>
      <w:r w:rsidRPr="00AA4698">
        <w:rPr>
          <w:rFonts w:ascii="Arial" w:eastAsiaTheme="majorEastAsia" w:hAnsi="Arial" w:cs="Arial"/>
          <w:b/>
          <w:bCs/>
          <w:sz w:val="26"/>
          <w:szCs w:val="26"/>
          <w:lang w:val="es-ES" w:eastAsia="en-US"/>
        </w:rPr>
        <w:t>R E S U L T A N D O</w:t>
      </w:r>
    </w:p>
    <w:p w14:paraId="456949D3" w14:textId="1F270819" w:rsidR="00AA4698" w:rsidRPr="00AA4698" w:rsidRDefault="00AA4698" w:rsidP="00AA4698">
      <w:pPr>
        <w:spacing w:line="360" w:lineRule="auto"/>
        <w:ind w:firstLine="360"/>
        <w:jc w:val="both"/>
        <w:rPr>
          <w:rFonts w:ascii="Arial" w:eastAsiaTheme="minorHAnsi" w:hAnsi="Arial" w:cs="Arial"/>
          <w:sz w:val="26"/>
          <w:szCs w:val="26"/>
          <w:lang w:val="es-ES" w:eastAsia="en-US"/>
        </w:rPr>
      </w:pPr>
      <w:r w:rsidRPr="00AA4698">
        <w:rPr>
          <w:rFonts w:ascii="Arial" w:eastAsiaTheme="minorHAnsi" w:hAnsi="Arial" w:cs="Arial"/>
          <w:b/>
          <w:bCs/>
          <w:sz w:val="26"/>
          <w:szCs w:val="26"/>
          <w:lang w:val="es-ES" w:eastAsia="en-US"/>
        </w:rPr>
        <w:t xml:space="preserve">PRIMERO. </w:t>
      </w:r>
      <w:r w:rsidRPr="00AA4698">
        <w:rPr>
          <w:rFonts w:ascii="Arial" w:eastAsiaTheme="minorHAnsi" w:hAnsi="Arial" w:cs="Arial"/>
          <w:sz w:val="26"/>
          <w:szCs w:val="26"/>
          <w:lang w:val="es-ES" w:eastAsia="en-US"/>
        </w:rPr>
        <w:t>Inconforme</w:t>
      </w:r>
      <w:r w:rsidR="00C76DB8">
        <w:rPr>
          <w:rFonts w:ascii="Arial" w:eastAsiaTheme="minorHAnsi" w:hAnsi="Arial" w:cs="Arial"/>
          <w:sz w:val="26"/>
          <w:szCs w:val="26"/>
          <w:lang w:val="es-ES" w:eastAsia="en-US"/>
        </w:rPr>
        <w:t>s</w:t>
      </w:r>
      <w:r w:rsidRPr="00AA4698">
        <w:rPr>
          <w:rFonts w:ascii="Arial" w:eastAsiaTheme="minorHAnsi" w:hAnsi="Arial" w:cs="Arial"/>
          <w:sz w:val="26"/>
          <w:szCs w:val="26"/>
          <w:lang w:val="es-ES" w:eastAsia="en-US"/>
        </w:rPr>
        <w:t xml:space="preserve"> con la resolución de fecha </w:t>
      </w:r>
      <w:r w:rsidR="00516107">
        <w:rPr>
          <w:rFonts w:ascii="Arial" w:eastAsiaTheme="minorHAnsi" w:hAnsi="Arial" w:cs="Arial"/>
          <w:sz w:val="26"/>
          <w:szCs w:val="26"/>
          <w:lang w:val="es-ES" w:eastAsia="en-US"/>
        </w:rPr>
        <w:t>veintiuno de febrero de dos mil veinte,</w:t>
      </w:r>
      <w:r w:rsidRPr="00AA4698">
        <w:rPr>
          <w:rFonts w:ascii="Arial" w:eastAsiaTheme="minorHAnsi" w:hAnsi="Arial" w:cs="Arial"/>
          <w:sz w:val="26"/>
          <w:szCs w:val="26"/>
          <w:lang w:val="es-ES" w:eastAsia="en-US"/>
        </w:rPr>
        <w:t xml:space="preserve"> dictada por la</w:t>
      </w:r>
      <w:r w:rsidR="00681A3D">
        <w:rPr>
          <w:rFonts w:ascii="Arial" w:eastAsiaTheme="minorHAnsi" w:hAnsi="Arial" w:cs="Arial"/>
          <w:sz w:val="26"/>
          <w:szCs w:val="26"/>
          <w:lang w:val="es-ES" w:eastAsia="en-US"/>
        </w:rPr>
        <w:t xml:space="preserve"> Séptima </w:t>
      </w:r>
      <w:r w:rsidRPr="00AA4698">
        <w:rPr>
          <w:rFonts w:ascii="Arial" w:eastAsiaTheme="minorHAnsi" w:hAnsi="Arial" w:cs="Arial"/>
          <w:sz w:val="26"/>
          <w:szCs w:val="26"/>
          <w:lang w:val="es-ES" w:eastAsia="en-US"/>
        </w:rPr>
        <w:t>Sala Unitaria</w:t>
      </w:r>
      <w:r w:rsidR="00681A3D">
        <w:rPr>
          <w:rFonts w:ascii="Arial" w:eastAsiaTheme="minorHAnsi" w:hAnsi="Arial" w:cs="Arial"/>
          <w:sz w:val="26"/>
          <w:szCs w:val="26"/>
          <w:lang w:val="es-ES" w:eastAsia="en-US"/>
        </w:rPr>
        <w:t xml:space="preserve">, ahora Sexta Sala Unitaria </w:t>
      </w:r>
      <w:r w:rsidRPr="00AA4698">
        <w:rPr>
          <w:rFonts w:ascii="Arial" w:eastAsiaTheme="minorHAnsi" w:hAnsi="Arial" w:cs="Arial"/>
          <w:sz w:val="26"/>
          <w:szCs w:val="26"/>
          <w:lang w:val="es-ES" w:eastAsia="en-US"/>
        </w:rPr>
        <w:t xml:space="preserve">de Primera Instancia, </w:t>
      </w:r>
      <w:r w:rsidR="00895E9E">
        <w:rPr>
          <w:rFonts w:ascii="Arial" w:eastAsiaTheme="minorHAnsi" w:hAnsi="Arial" w:cs="Arial"/>
          <w:sz w:val="26"/>
          <w:szCs w:val="26"/>
          <w:lang w:val="es-ES" w:eastAsia="en-US"/>
        </w:rPr>
        <w:t xml:space="preserve">el </w:t>
      </w:r>
      <w:r w:rsidR="00895E9E" w:rsidRPr="0076757C">
        <w:rPr>
          <w:rFonts w:ascii="Arial" w:eastAsiaTheme="minorHAnsi" w:hAnsi="Arial" w:cs="Arial"/>
          <w:b/>
          <w:sz w:val="26"/>
          <w:szCs w:val="26"/>
          <w:lang w:val="es-ES" w:eastAsia="en-US"/>
        </w:rPr>
        <w:t xml:space="preserve">DIRECTOR JURÍDICO DE </w:t>
      </w:r>
      <w:r w:rsidR="00895E9E" w:rsidRPr="0076757C">
        <w:rPr>
          <w:rFonts w:ascii="Arial" w:eastAsiaTheme="minorHAnsi" w:hAnsi="Arial" w:cs="Arial"/>
          <w:b/>
          <w:sz w:val="26"/>
          <w:szCs w:val="26"/>
          <w:lang w:val="es-ES" w:eastAsia="en-US"/>
        </w:rPr>
        <w:lastRenderedPageBreak/>
        <w:t>LA SECRETARÍA DE CONTRALORÍA Y TRANSPARENCIA GUBE</w:t>
      </w:r>
      <w:r w:rsidR="006766AC">
        <w:rPr>
          <w:rFonts w:ascii="Arial" w:eastAsiaTheme="minorHAnsi" w:hAnsi="Arial" w:cs="Arial"/>
          <w:b/>
          <w:sz w:val="26"/>
          <w:szCs w:val="26"/>
          <w:lang w:val="es-ES" w:eastAsia="en-US"/>
        </w:rPr>
        <w:t>RNAMENTAL DEL ESTADO DE OAXACA,</w:t>
      </w:r>
      <w:r w:rsidR="00C76DB8">
        <w:rPr>
          <w:rFonts w:ascii="Arial" w:eastAsiaTheme="minorHAnsi" w:hAnsi="Arial" w:cs="Arial"/>
          <w:b/>
          <w:sz w:val="26"/>
          <w:szCs w:val="26"/>
          <w:lang w:val="es-ES" w:eastAsia="en-US"/>
        </w:rPr>
        <w:t xml:space="preserve"> </w:t>
      </w:r>
      <w:r w:rsidR="00C76DB8" w:rsidRPr="007C72F1">
        <w:rPr>
          <w:rFonts w:ascii="Arial" w:eastAsiaTheme="minorHAnsi" w:hAnsi="Arial" w:cs="Arial"/>
          <w:bCs/>
          <w:sz w:val="26"/>
          <w:szCs w:val="26"/>
          <w:lang w:val="es-ES" w:eastAsia="en-US"/>
        </w:rPr>
        <w:t>y</w:t>
      </w:r>
      <w:r w:rsidR="00C76DB8">
        <w:rPr>
          <w:rFonts w:ascii="Arial" w:eastAsiaTheme="minorHAnsi" w:hAnsi="Arial" w:cs="Arial"/>
          <w:b/>
          <w:sz w:val="26"/>
          <w:szCs w:val="26"/>
          <w:lang w:val="es-ES" w:eastAsia="en-US"/>
        </w:rPr>
        <w:t xml:space="preserve"> </w:t>
      </w:r>
      <w:r w:rsidR="000F18ED">
        <w:rPr>
          <w:rFonts w:ascii="Arial" w:eastAsia="Calibri" w:hAnsi="Arial" w:cs="Arial"/>
          <w:b/>
          <w:sz w:val="26"/>
          <w:szCs w:val="26"/>
        </w:rPr>
        <w:t>***********</w:t>
      </w:r>
      <w:r w:rsidR="00C76DB8">
        <w:rPr>
          <w:rFonts w:ascii="Arial" w:eastAsiaTheme="minorHAnsi" w:hAnsi="Arial" w:cs="Arial"/>
          <w:b/>
          <w:sz w:val="26"/>
          <w:szCs w:val="26"/>
          <w:lang w:val="es-ES" w:eastAsia="en-US"/>
        </w:rPr>
        <w:t>,</w:t>
      </w:r>
      <w:r w:rsidRPr="00AA4698">
        <w:rPr>
          <w:rFonts w:ascii="Arial" w:eastAsiaTheme="minorHAnsi" w:hAnsi="Arial" w:cs="Arial"/>
          <w:sz w:val="26"/>
          <w:szCs w:val="26"/>
          <w:lang w:val="es-ES" w:eastAsia="en-US"/>
        </w:rPr>
        <w:t xml:space="preserve"> interpus</w:t>
      </w:r>
      <w:r w:rsidR="00C76DB8">
        <w:rPr>
          <w:rFonts w:ascii="Arial" w:eastAsiaTheme="minorHAnsi" w:hAnsi="Arial" w:cs="Arial"/>
          <w:sz w:val="26"/>
          <w:szCs w:val="26"/>
          <w:lang w:val="es-ES" w:eastAsia="en-US"/>
        </w:rPr>
        <w:t>ieron</w:t>
      </w:r>
      <w:r w:rsidR="00BC04B9">
        <w:rPr>
          <w:rFonts w:ascii="Arial" w:eastAsiaTheme="minorHAnsi" w:hAnsi="Arial" w:cs="Arial"/>
          <w:sz w:val="26"/>
          <w:szCs w:val="26"/>
          <w:lang w:val="es-ES" w:eastAsia="en-US"/>
        </w:rPr>
        <w:t xml:space="preserve"> </w:t>
      </w:r>
      <w:r w:rsidRPr="00AA4698">
        <w:rPr>
          <w:rFonts w:ascii="Arial" w:eastAsiaTheme="minorHAnsi" w:hAnsi="Arial" w:cs="Arial"/>
          <w:sz w:val="26"/>
          <w:szCs w:val="26"/>
          <w:lang w:val="es-ES" w:eastAsia="en-US"/>
        </w:rPr>
        <w:t>en su contra recurso</w:t>
      </w:r>
      <w:r w:rsidR="00C76DB8">
        <w:rPr>
          <w:rFonts w:ascii="Arial" w:eastAsiaTheme="minorHAnsi" w:hAnsi="Arial" w:cs="Arial"/>
          <w:sz w:val="26"/>
          <w:szCs w:val="26"/>
          <w:lang w:val="es-ES" w:eastAsia="en-US"/>
        </w:rPr>
        <w:t>s</w:t>
      </w:r>
      <w:r w:rsidRPr="00AA4698">
        <w:rPr>
          <w:rFonts w:ascii="Arial" w:eastAsiaTheme="minorHAnsi" w:hAnsi="Arial" w:cs="Arial"/>
          <w:sz w:val="26"/>
          <w:szCs w:val="26"/>
          <w:lang w:val="es-ES" w:eastAsia="en-US"/>
        </w:rPr>
        <w:t xml:space="preserve"> de revisión.</w:t>
      </w:r>
      <w:r w:rsidR="00D81438">
        <w:rPr>
          <w:rFonts w:ascii="Arial" w:eastAsiaTheme="minorHAnsi" w:hAnsi="Arial" w:cs="Arial"/>
          <w:sz w:val="26"/>
          <w:szCs w:val="26"/>
          <w:lang w:val="es-ES" w:eastAsia="en-US"/>
        </w:rPr>
        <w:t xml:space="preserve"> - - - - </w:t>
      </w:r>
      <w:r w:rsidR="000F18ED">
        <w:rPr>
          <w:rFonts w:ascii="Arial" w:eastAsiaTheme="minorHAnsi" w:hAnsi="Arial" w:cs="Arial"/>
          <w:sz w:val="26"/>
          <w:szCs w:val="26"/>
          <w:lang w:val="es-ES" w:eastAsia="en-US"/>
        </w:rPr>
        <w:t xml:space="preserve">- - - - - - - - - - - - - </w:t>
      </w:r>
    </w:p>
    <w:p w14:paraId="734201AF" w14:textId="17FA372D" w:rsidR="00AA4698" w:rsidRPr="00AA4698" w:rsidRDefault="00AA4698" w:rsidP="00AA4698">
      <w:pPr>
        <w:spacing w:line="360" w:lineRule="auto"/>
        <w:ind w:firstLine="360"/>
        <w:jc w:val="both"/>
        <w:rPr>
          <w:rFonts w:ascii="Arial" w:eastAsiaTheme="minorHAnsi" w:hAnsi="Arial" w:cs="Arial"/>
          <w:sz w:val="26"/>
          <w:szCs w:val="26"/>
          <w:lang w:val="es-ES" w:eastAsia="en-US"/>
        </w:rPr>
      </w:pPr>
      <w:r w:rsidRPr="00AA4698">
        <w:rPr>
          <w:rFonts w:ascii="Arial" w:eastAsiaTheme="minorHAnsi" w:hAnsi="Arial" w:cs="Arial"/>
          <w:b/>
          <w:sz w:val="26"/>
          <w:szCs w:val="26"/>
          <w:lang w:eastAsia="en-US"/>
        </w:rPr>
        <w:t xml:space="preserve">SEGUNDO. </w:t>
      </w:r>
      <w:r w:rsidRPr="00AA4698">
        <w:rPr>
          <w:rFonts w:ascii="Arial" w:eastAsiaTheme="minorHAnsi" w:hAnsi="Arial" w:cs="Arial"/>
          <w:sz w:val="26"/>
          <w:szCs w:val="26"/>
          <w:lang w:val="es-ES" w:eastAsia="en-US"/>
        </w:rPr>
        <w:t>Los puntos resolutivos de la sentencia recurrida son los siguientes:</w:t>
      </w:r>
      <w:r w:rsidR="00D81438">
        <w:rPr>
          <w:rFonts w:ascii="Arial" w:eastAsiaTheme="minorHAnsi" w:hAnsi="Arial" w:cs="Arial"/>
          <w:sz w:val="26"/>
          <w:szCs w:val="26"/>
          <w:lang w:val="es-ES" w:eastAsia="en-US"/>
        </w:rPr>
        <w:t xml:space="preserve"> - - - - - - - - - - - - - - - - - - - - - - - - - - - - - - - - - - - - - - - - - - - - </w:t>
      </w:r>
    </w:p>
    <w:p w14:paraId="226681CA" w14:textId="751CCCB2" w:rsidR="00260293" w:rsidRPr="009E0D0D" w:rsidRDefault="009E0D0D" w:rsidP="00260293">
      <w:pPr>
        <w:pStyle w:val="NormalWeb"/>
        <w:spacing w:before="0" w:beforeAutospacing="0" w:after="160" w:afterAutospacing="0"/>
        <w:ind w:left="567" w:right="616"/>
        <w:jc w:val="both"/>
        <w:rPr>
          <w:rFonts w:ascii="Arial" w:hAnsi="Arial" w:cs="Arial"/>
          <w:i/>
        </w:rPr>
      </w:pPr>
      <w:r>
        <w:rPr>
          <w:rFonts w:ascii="Arial" w:eastAsiaTheme="minorHAnsi" w:hAnsi="Arial" w:cs="Arial"/>
          <w:i/>
          <w:lang w:val="es-ES" w:eastAsia="es-ES"/>
        </w:rPr>
        <w:t xml:space="preserve">     </w:t>
      </w:r>
      <w:r w:rsidR="00AA4698" w:rsidRPr="009E0D0D">
        <w:rPr>
          <w:rFonts w:ascii="Arial" w:eastAsiaTheme="minorHAnsi" w:hAnsi="Arial" w:cs="Arial"/>
          <w:i/>
          <w:lang w:val="es-ES" w:eastAsia="es-ES"/>
        </w:rPr>
        <w:t>“</w:t>
      </w:r>
      <w:r w:rsidR="00260293" w:rsidRPr="009E0D0D">
        <w:rPr>
          <w:rFonts w:ascii="Arial" w:hAnsi="Arial" w:cs="Arial"/>
          <w:b/>
          <w:bCs/>
          <w:i/>
          <w:color w:val="000000"/>
        </w:rPr>
        <w:t xml:space="preserve">PRIMERO. -  </w:t>
      </w:r>
      <w:r w:rsidR="00260293" w:rsidRPr="009E0D0D">
        <w:rPr>
          <w:rFonts w:ascii="Arial" w:hAnsi="Arial" w:cs="Arial"/>
          <w:i/>
          <w:color w:val="000000"/>
        </w:rPr>
        <w:t xml:space="preserve">Esta Séptima Sala de Primera Instancia del Tribunal de Justicia Administrativa del Estado de Oaxaca, es legalmente competente para conocer y resolver del presente juicio de nulidad. - - - - - - - - - - - - - - - - - - - - - - - - - - - - - - - </w:t>
      </w:r>
      <w:r>
        <w:rPr>
          <w:rFonts w:ascii="Arial" w:hAnsi="Arial" w:cs="Arial"/>
          <w:i/>
          <w:color w:val="000000"/>
        </w:rPr>
        <w:t>- - - - - - - - -</w:t>
      </w:r>
    </w:p>
    <w:p w14:paraId="518DEB10" w14:textId="7F65B826" w:rsidR="00260293" w:rsidRPr="009E0D0D" w:rsidRDefault="009E0D0D" w:rsidP="00260293">
      <w:pPr>
        <w:spacing w:after="160" w:line="240" w:lineRule="auto"/>
        <w:ind w:left="567" w:right="616"/>
        <w:jc w:val="both"/>
        <w:rPr>
          <w:rFonts w:ascii="Arial" w:eastAsia="Times New Roman" w:hAnsi="Arial" w:cs="Arial"/>
          <w:i/>
          <w:sz w:val="24"/>
          <w:szCs w:val="24"/>
        </w:rPr>
      </w:pPr>
      <w:r>
        <w:rPr>
          <w:rFonts w:ascii="Arial" w:eastAsia="Times New Roman" w:hAnsi="Arial" w:cs="Arial"/>
          <w:b/>
          <w:bCs/>
          <w:i/>
          <w:color w:val="000000"/>
          <w:sz w:val="24"/>
          <w:szCs w:val="24"/>
        </w:rPr>
        <w:t xml:space="preserve">     </w:t>
      </w:r>
      <w:r w:rsidR="00260293" w:rsidRPr="009E0D0D">
        <w:rPr>
          <w:rFonts w:ascii="Arial" w:eastAsia="Times New Roman" w:hAnsi="Arial" w:cs="Arial"/>
          <w:b/>
          <w:bCs/>
          <w:i/>
          <w:color w:val="000000"/>
          <w:sz w:val="24"/>
          <w:szCs w:val="24"/>
        </w:rPr>
        <w:t xml:space="preserve">SEGUNDO. - </w:t>
      </w:r>
      <w:r w:rsidR="00260293" w:rsidRPr="009E0D0D">
        <w:rPr>
          <w:rFonts w:ascii="Arial" w:eastAsia="Times New Roman" w:hAnsi="Arial" w:cs="Arial"/>
          <w:i/>
          <w:color w:val="000000"/>
          <w:sz w:val="24"/>
          <w:szCs w:val="24"/>
        </w:rPr>
        <w:t xml:space="preserve"> No se actualizó causal de improcedencia alguna, por lo que NO SE SOBRESEE EL JUICIO, en términos del considerando QUINTO de esta resolución. </w:t>
      </w:r>
      <w:r w:rsidRPr="009E0D0D">
        <w:rPr>
          <w:rFonts w:ascii="Arial" w:hAnsi="Arial" w:cs="Arial"/>
          <w:i/>
          <w:color w:val="000000"/>
          <w:sz w:val="24"/>
          <w:szCs w:val="24"/>
        </w:rPr>
        <w:t xml:space="preserve">- - - - - - - - - - </w:t>
      </w:r>
      <w:r>
        <w:rPr>
          <w:rFonts w:ascii="Arial" w:hAnsi="Arial" w:cs="Arial"/>
          <w:i/>
          <w:color w:val="000000"/>
        </w:rPr>
        <w:t xml:space="preserve">- - - - - - - - </w:t>
      </w:r>
    </w:p>
    <w:p w14:paraId="4C7FA5FE" w14:textId="7EFE323E" w:rsidR="00260293" w:rsidRPr="009E0D0D" w:rsidRDefault="00BC6A10" w:rsidP="00260293">
      <w:pPr>
        <w:spacing w:after="160" w:line="240" w:lineRule="auto"/>
        <w:ind w:left="567" w:right="616"/>
        <w:jc w:val="both"/>
        <w:rPr>
          <w:rFonts w:ascii="Arial" w:eastAsia="Times New Roman" w:hAnsi="Arial" w:cs="Arial"/>
          <w:i/>
          <w:sz w:val="24"/>
          <w:szCs w:val="24"/>
        </w:rPr>
      </w:pPr>
      <w:r>
        <w:rPr>
          <w:rFonts w:ascii="Arial" w:eastAsia="Times New Roman" w:hAnsi="Arial" w:cs="Arial"/>
          <w:b/>
          <w:bCs/>
          <w:i/>
          <w:color w:val="000000"/>
          <w:sz w:val="24"/>
          <w:szCs w:val="24"/>
        </w:rPr>
        <w:t xml:space="preserve">     </w:t>
      </w:r>
      <w:r w:rsidR="00260293" w:rsidRPr="009E0D0D">
        <w:rPr>
          <w:rFonts w:ascii="Arial" w:eastAsia="Times New Roman" w:hAnsi="Arial" w:cs="Arial"/>
          <w:b/>
          <w:bCs/>
          <w:i/>
          <w:color w:val="000000"/>
          <w:sz w:val="24"/>
          <w:szCs w:val="24"/>
        </w:rPr>
        <w:t xml:space="preserve">TERCERO.- </w:t>
      </w:r>
      <w:r w:rsidR="00260293" w:rsidRPr="009E0D0D">
        <w:rPr>
          <w:rFonts w:ascii="Arial" w:eastAsia="Times New Roman" w:hAnsi="Arial" w:cs="Arial"/>
          <w:i/>
          <w:color w:val="000000"/>
          <w:sz w:val="24"/>
          <w:szCs w:val="24"/>
        </w:rPr>
        <w:t xml:space="preserve">Se declara la </w:t>
      </w:r>
      <w:r w:rsidR="00260293" w:rsidRPr="009E0D0D">
        <w:rPr>
          <w:rFonts w:ascii="Arial" w:eastAsia="Times New Roman" w:hAnsi="Arial" w:cs="Arial"/>
          <w:b/>
          <w:bCs/>
          <w:i/>
          <w:color w:val="000000"/>
          <w:sz w:val="24"/>
          <w:szCs w:val="24"/>
        </w:rPr>
        <w:t xml:space="preserve">NULIDAD </w:t>
      </w:r>
      <w:r w:rsidR="00260293" w:rsidRPr="009E0D0D">
        <w:rPr>
          <w:rFonts w:ascii="Arial" w:eastAsia="Times New Roman" w:hAnsi="Arial" w:cs="Arial"/>
          <w:i/>
          <w:color w:val="000000"/>
          <w:sz w:val="24"/>
          <w:szCs w:val="24"/>
        </w:rPr>
        <w:t xml:space="preserve">del acuerdo dictado con fecha dieciséis de agosto de dos mil diecisiete (16/08/2017), por el Director de Responsabilidades y Situación Patrimonial de la Secretaría de la Contraloría y Transparencia Gubernamental, así como de todas las actuaciones llevadas a cabo en los expedientes administrativos número 46/RA-B/2016, y 07/RR/2018, del índice de la Secretaría de la Contraloría y Transparencia Gubernamental, lo que incluye el registro de la sanción impuesta al actor (de haberse efectuado la misma), </w:t>
      </w:r>
      <w:r w:rsidR="00260293" w:rsidRPr="009E0D0D">
        <w:rPr>
          <w:rFonts w:ascii="Arial" w:eastAsia="Times New Roman" w:hAnsi="Arial" w:cs="Arial"/>
          <w:b/>
          <w:bCs/>
          <w:i/>
          <w:color w:val="000000"/>
          <w:sz w:val="24"/>
          <w:szCs w:val="24"/>
        </w:rPr>
        <w:t xml:space="preserve">para el EFECTO </w:t>
      </w:r>
      <w:r w:rsidR="00260293" w:rsidRPr="009E0D0D">
        <w:rPr>
          <w:rFonts w:ascii="Arial" w:eastAsia="Times New Roman" w:hAnsi="Arial" w:cs="Arial"/>
          <w:i/>
          <w:color w:val="000000"/>
          <w:sz w:val="24"/>
          <w:szCs w:val="24"/>
        </w:rPr>
        <w:t>de que el Director de Procedimientos Jurídicos de la Secretaría de la Contraloría y Transparencia Gubernamental, dicte un acuerdo en el que remita a la autoridad administrativa competente, el memorándum número SCT/SRT/DRSP/IQD</w:t>
      </w:r>
      <w:r w:rsidR="00402A5D">
        <w:rPr>
          <w:rFonts w:ascii="Arial" w:eastAsia="Times New Roman" w:hAnsi="Arial" w:cs="Arial"/>
          <w:i/>
          <w:color w:val="000000"/>
          <w:sz w:val="24"/>
          <w:szCs w:val="24"/>
        </w:rPr>
        <w:t>-</w:t>
      </w:r>
      <w:r w:rsidR="00260293" w:rsidRPr="009E0D0D">
        <w:rPr>
          <w:rFonts w:ascii="Arial" w:eastAsia="Times New Roman" w:hAnsi="Arial" w:cs="Arial"/>
          <w:i/>
          <w:color w:val="000000"/>
          <w:sz w:val="24"/>
          <w:szCs w:val="24"/>
        </w:rPr>
        <w:t xml:space="preserve">A/273/2016, de fecha diecisiete de octubre de dos mil dieciséis (17/10/2016); lo anterior en términos precisados  en el considerando SEXTO de esta resolución. - - - - - </w:t>
      </w:r>
    </w:p>
    <w:p w14:paraId="54ADE502" w14:textId="15B8F1B4" w:rsidR="00AA4698" w:rsidRPr="009E0D0D" w:rsidRDefault="00BC6A10" w:rsidP="00260293">
      <w:pPr>
        <w:ind w:left="567" w:right="616"/>
        <w:jc w:val="both"/>
        <w:rPr>
          <w:rFonts w:ascii="Arial" w:eastAsiaTheme="minorHAnsi" w:hAnsi="Arial" w:cs="Arial"/>
          <w:i/>
          <w:sz w:val="24"/>
          <w:szCs w:val="24"/>
          <w:lang w:val="es-ES" w:eastAsia="en-US"/>
        </w:rPr>
      </w:pPr>
      <w:r>
        <w:rPr>
          <w:rFonts w:ascii="Arial" w:eastAsia="Times New Roman" w:hAnsi="Arial" w:cs="Arial"/>
          <w:b/>
          <w:bCs/>
          <w:i/>
          <w:color w:val="000000"/>
          <w:sz w:val="24"/>
          <w:szCs w:val="24"/>
        </w:rPr>
        <w:t xml:space="preserve">      </w:t>
      </w:r>
      <w:r w:rsidR="00260293" w:rsidRPr="009E0D0D">
        <w:rPr>
          <w:rFonts w:ascii="Arial" w:eastAsia="Times New Roman" w:hAnsi="Arial" w:cs="Arial"/>
          <w:b/>
          <w:bCs/>
          <w:i/>
          <w:color w:val="000000"/>
          <w:sz w:val="24"/>
          <w:szCs w:val="24"/>
        </w:rPr>
        <w:t xml:space="preserve">CUARTO. - </w:t>
      </w:r>
      <w:r w:rsidR="00260293" w:rsidRPr="009E0D0D">
        <w:rPr>
          <w:rFonts w:ascii="Arial" w:eastAsia="Times New Roman" w:hAnsi="Arial" w:cs="Arial"/>
          <w:i/>
          <w:color w:val="000000"/>
          <w:sz w:val="24"/>
          <w:szCs w:val="24"/>
        </w:rPr>
        <w:t xml:space="preserve">Conforme a lo dispuesto en el artículo 172 fracción I y 173 fracciones I y II, de la Ley de Procedimiento y Justicia Administrativa para el Estado de Oaxaca, </w:t>
      </w:r>
      <w:r w:rsidR="00260293" w:rsidRPr="009E0D0D">
        <w:rPr>
          <w:rFonts w:ascii="Arial" w:eastAsia="Times New Roman" w:hAnsi="Arial" w:cs="Arial"/>
          <w:b/>
          <w:bCs/>
          <w:i/>
          <w:color w:val="000000"/>
          <w:sz w:val="24"/>
          <w:szCs w:val="24"/>
        </w:rPr>
        <w:t>NOTIFÍQUESE PERSONALMENTE A LA PARTE ACTORA Y POR OFICIO A LA AUTORIDAD DEMANDADA. CÚMPLASE.”</w:t>
      </w:r>
      <w:r>
        <w:rPr>
          <w:rFonts w:ascii="Arial" w:eastAsia="Times New Roman" w:hAnsi="Arial" w:cs="Arial"/>
          <w:b/>
          <w:bCs/>
          <w:i/>
          <w:color w:val="000000"/>
          <w:sz w:val="24"/>
          <w:szCs w:val="24"/>
        </w:rPr>
        <w:t xml:space="preserve"> </w:t>
      </w:r>
      <w:r w:rsidRPr="009E0D0D">
        <w:rPr>
          <w:rFonts w:ascii="Arial" w:hAnsi="Arial" w:cs="Arial"/>
          <w:i/>
          <w:color w:val="000000"/>
          <w:sz w:val="24"/>
          <w:szCs w:val="24"/>
        </w:rPr>
        <w:t xml:space="preserve">- - - - - - - - - - </w:t>
      </w:r>
      <w:r>
        <w:rPr>
          <w:rFonts w:ascii="Arial" w:hAnsi="Arial" w:cs="Arial"/>
          <w:i/>
          <w:color w:val="000000"/>
        </w:rPr>
        <w:t xml:space="preserve">- - - - - - </w:t>
      </w:r>
    </w:p>
    <w:p w14:paraId="2E376DD2" w14:textId="6B0E0D3E" w:rsidR="00AA4698" w:rsidRPr="00AA4698" w:rsidRDefault="00AA4698" w:rsidP="00AA4698">
      <w:pPr>
        <w:spacing w:before="240" w:after="0" w:line="360" w:lineRule="auto"/>
        <w:ind w:left="708"/>
        <w:jc w:val="center"/>
        <w:rPr>
          <w:rFonts w:ascii="Arial" w:eastAsia="Calibri" w:hAnsi="Arial" w:cs="Arial"/>
          <w:b/>
          <w:bCs/>
          <w:sz w:val="26"/>
          <w:szCs w:val="26"/>
          <w:lang w:val="es-ES" w:eastAsia="en-US"/>
        </w:rPr>
      </w:pPr>
      <w:r w:rsidRPr="00AA4698">
        <w:rPr>
          <w:rFonts w:ascii="Arial" w:eastAsia="Calibri" w:hAnsi="Arial" w:cs="Arial"/>
          <w:b/>
          <w:bCs/>
          <w:sz w:val="26"/>
          <w:szCs w:val="26"/>
          <w:lang w:val="es-ES" w:eastAsia="en-US"/>
        </w:rPr>
        <w:t>C O N S I D E R A N D O</w:t>
      </w:r>
    </w:p>
    <w:p w14:paraId="1F7CE0F1" w14:textId="4757603C" w:rsidR="00AA4698" w:rsidRPr="00AA4698" w:rsidRDefault="00AA4698" w:rsidP="00AA4698">
      <w:pPr>
        <w:spacing w:before="240" w:line="360" w:lineRule="auto"/>
        <w:ind w:firstLine="708"/>
        <w:jc w:val="both"/>
        <w:rPr>
          <w:rFonts w:ascii="Arial" w:eastAsiaTheme="minorHAnsi" w:hAnsi="Arial" w:cs="Arial"/>
          <w:bCs/>
          <w:iCs/>
          <w:sz w:val="26"/>
          <w:szCs w:val="26"/>
          <w:lang w:val="es-ES" w:eastAsia="en-US"/>
        </w:rPr>
      </w:pPr>
      <w:r w:rsidRPr="00AA4698">
        <w:rPr>
          <w:rFonts w:ascii="Arial" w:eastAsiaTheme="minorHAnsi" w:hAnsi="Arial" w:cs="Arial"/>
          <w:b/>
          <w:bCs/>
          <w:iCs/>
          <w:sz w:val="26"/>
          <w:szCs w:val="26"/>
          <w:lang w:val="es-ES" w:eastAsia="es-ES"/>
        </w:rPr>
        <w:t>PRIMERO.</w:t>
      </w:r>
      <w:r w:rsidRPr="00AA4698">
        <w:rPr>
          <w:rFonts w:ascii="Arial" w:eastAsiaTheme="minorHAnsi" w:hAnsi="Arial" w:cs="Arial"/>
          <w:b/>
          <w:bCs/>
          <w:iCs/>
          <w:sz w:val="26"/>
          <w:szCs w:val="26"/>
          <w:lang w:val="es-ES" w:eastAsia="en-US"/>
        </w:rPr>
        <w:t xml:space="preserve"> </w:t>
      </w:r>
      <w:r w:rsidRPr="00AA4698">
        <w:rPr>
          <w:rFonts w:ascii="Arial" w:eastAsiaTheme="minorHAnsi" w:hAnsi="Arial" w:cs="Arial"/>
          <w:bCs/>
          <w:iCs/>
          <w:sz w:val="26"/>
          <w:szCs w:val="26"/>
          <w:lang w:val="es-ES" w:eastAsia="en-US"/>
        </w:rPr>
        <w:t xml:space="preserve">Esta Sala Superior es competente para conocer del presente asunto, de conformidad con lo dispuesto por los artículos 114 </w:t>
      </w:r>
      <w:r w:rsidR="00A66E08" w:rsidRPr="00AA4698">
        <w:rPr>
          <w:rFonts w:ascii="Arial" w:eastAsiaTheme="minorHAnsi" w:hAnsi="Arial" w:cs="Arial"/>
          <w:bCs/>
          <w:iCs/>
          <w:sz w:val="26"/>
          <w:szCs w:val="26"/>
          <w:lang w:val="es-ES" w:eastAsia="en-US"/>
        </w:rPr>
        <w:t>QUÁTER</w:t>
      </w:r>
      <w:r w:rsidR="00681A3D">
        <w:rPr>
          <w:rFonts w:ascii="Arial" w:eastAsiaTheme="minorHAnsi" w:hAnsi="Arial" w:cs="Arial"/>
          <w:bCs/>
          <w:iCs/>
          <w:sz w:val="26"/>
          <w:szCs w:val="26"/>
          <w:lang w:val="es-ES" w:eastAsia="en-US"/>
        </w:rPr>
        <w:t>,</w:t>
      </w:r>
      <w:r w:rsidRPr="00AA4698">
        <w:rPr>
          <w:rFonts w:ascii="Arial" w:eastAsiaTheme="minorHAnsi" w:hAnsi="Arial" w:cs="Arial"/>
          <w:bCs/>
          <w:iCs/>
          <w:sz w:val="26"/>
          <w:szCs w:val="26"/>
          <w:lang w:val="es-ES" w:eastAsia="en-US"/>
        </w:rPr>
        <w:t xml:space="preserve"> de la Constitución Política del Estado Libre y Soberano de Oaxaca; 1</w:t>
      </w:r>
      <w:r w:rsidR="00681A3D">
        <w:rPr>
          <w:rFonts w:ascii="Arial" w:eastAsiaTheme="minorHAnsi" w:hAnsi="Arial" w:cs="Arial"/>
          <w:bCs/>
          <w:iCs/>
          <w:sz w:val="26"/>
          <w:szCs w:val="26"/>
          <w:lang w:val="es-ES" w:eastAsia="en-US"/>
        </w:rPr>
        <w:t>,</w:t>
      </w:r>
      <w:r w:rsidRPr="00AA4698">
        <w:rPr>
          <w:rFonts w:ascii="Arial" w:eastAsiaTheme="minorHAnsi" w:hAnsi="Arial" w:cs="Arial"/>
          <w:bCs/>
          <w:iCs/>
          <w:sz w:val="26"/>
          <w:szCs w:val="26"/>
          <w:lang w:val="es-ES" w:eastAsia="en-US"/>
        </w:rPr>
        <w:t xml:space="preserve"> párrafo segundo, 2</w:t>
      </w:r>
      <w:r w:rsidR="00681A3D">
        <w:rPr>
          <w:rFonts w:ascii="Arial" w:eastAsiaTheme="minorHAnsi" w:hAnsi="Arial" w:cs="Arial"/>
          <w:bCs/>
          <w:iCs/>
          <w:sz w:val="26"/>
          <w:szCs w:val="26"/>
          <w:lang w:val="es-ES" w:eastAsia="en-US"/>
        </w:rPr>
        <w:t>,</w:t>
      </w:r>
      <w:r w:rsidRPr="00AA4698">
        <w:rPr>
          <w:rFonts w:ascii="Arial" w:eastAsiaTheme="minorHAnsi" w:hAnsi="Arial" w:cs="Arial"/>
          <w:bCs/>
          <w:iCs/>
          <w:sz w:val="26"/>
          <w:szCs w:val="26"/>
          <w:lang w:val="es-ES" w:eastAsia="en-US"/>
        </w:rPr>
        <w:t xml:space="preserve"> 4</w:t>
      </w:r>
      <w:r w:rsidR="00681A3D">
        <w:rPr>
          <w:rFonts w:ascii="Arial" w:eastAsiaTheme="minorHAnsi" w:hAnsi="Arial" w:cs="Arial"/>
          <w:bCs/>
          <w:iCs/>
          <w:sz w:val="26"/>
          <w:szCs w:val="26"/>
          <w:lang w:val="es-ES" w:eastAsia="en-US"/>
        </w:rPr>
        <w:t xml:space="preserve">, </w:t>
      </w:r>
      <w:r w:rsidRPr="00AA4698">
        <w:rPr>
          <w:rFonts w:ascii="Arial" w:eastAsiaTheme="minorHAnsi" w:hAnsi="Arial" w:cs="Arial"/>
          <w:bCs/>
          <w:iCs/>
          <w:sz w:val="26"/>
          <w:szCs w:val="26"/>
          <w:lang w:val="es-ES" w:eastAsia="en-US"/>
        </w:rPr>
        <w:t>fracción VIII, 23, 24</w:t>
      </w:r>
      <w:r w:rsidR="00681A3D">
        <w:rPr>
          <w:rFonts w:ascii="Arial" w:eastAsiaTheme="minorHAnsi" w:hAnsi="Arial" w:cs="Arial"/>
          <w:bCs/>
          <w:iCs/>
          <w:sz w:val="26"/>
          <w:szCs w:val="26"/>
          <w:lang w:val="es-ES" w:eastAsia="en-US"/>
        </w:rPr>
        <w:t>,</w:t>
      </w:r>
      <w:r w:rsidRPr="00AA4698">
        <w:rPr>
          <w:rFonts w:ascii="Arial" w:eastAsiaTheme="minorHAnsi" w:hAnsi="Arial" w:cs="Arial"/>
          <w:bCs/>
          <w:iCs/>
          <w:sz w:val="26"/>
          <w:szCs w:val="26"/>
          <w:lang w:val="es-ES" w:eastAsia="en-US"/>
        </w:rPr>
        <w:t xml:space="preserve"> fracción I, 25</w:t>
      </w:r>
      <w:r w:rsidR="00681A3D">
        <w:rPr>
          <w:rFonts w:ascii="Arial" w:eastAsiaTheme="minorHAnsi" w:hAnsi="Arial" w:cs="Arial"/>
          <w:bCs/>
          <w:iCs/>
          <w:sz w:val="26"/>
          <w:szCs w:val="26"/>
          <w:lang w:val="es-ES" w:eastAsia="en-US"/>
        </w:rPr>
        <w:t>,</w:t>
      </w:r>
      <w:r w:rsidRPr="00AA4698">
        <w:rPr>
          <w:rFonts w:ascii="Arial" w:eastAsiaTheme="minorHAnsi" w:hAnsi="Arial" w:cs="Arial"/>
          <w:bCs/>
          <w:iCs/>
          <w:sz w:val="26"/>
          <w:szCs w:val="26"/>
          <w:lang w:val="es-ES" w:eastAsia="en-US"/>
        </w:rPr>
        <w:t xml:space="preserve"> fracción I y 27 de la Ley Orgánica del Tribunal de Justicia Administrativa del Estado de Oaxaca, publicada en el Periódico Oficial del Estado de Oaxaca, el siete de noviembre de dos mil diecinueve; así como los diversos</w:t>
      </w:r>
      <w:r w:rsidRPr="00AA4698">
        <w:rPr>
          <w:rFonts w:ascii="Arial" w:eastAsiaTheme="minorHAnsi" w:hAnsi="Arial" w:cs="Arial"/>
          <w:bCs/>
          <w:iCs/>
          <w:sz w:val="26"/>
          <w:szCs w:val="26"/>
          <w:lang w:val="es-ES" w:eastAsia="es-ES"/>
        </w:rPr>
        <w:t xml:space="preserve"> </w:t>
      </w:r>
      <w:r w:rsidR="002506BE">
        <w:rPr>
          <w:rFonts w:ascii="Arial" w:hAnsi="Arial" w:cs="Arial"/>
          <w:bCs/>
          <w:iCs/>
          <w:sz w:val="26"/>
          <w:szCs w:val="26"/>
        </w:rPr>
        <w:t>125, 127, 129, 130</w:t>
      </w:r>
      <w:r w:rsidR="00681A3D">
        <w:rPr>
          <w:rFonts w:ascii="Arial" w:hAnsi="Arial" w:cs="Arial"/>
          <w:bCs/>
          <w:iCs/>
          <w:sz w:val="26"/>
          <w:szCs w:val="26"/>
        </w:rPr>
        <w:t>,</w:t>
      </w:r>
      <w:r w:rsidR="002506BE">
        <w:rPr>
          <w:rFonts w:ascii="Arial" w:hAnsi="Arial" w:cs="Arial"/>
          <w:bCs/>
          <w:iCs/>
          <w:sz w:val="26"/>
          <w:szCs w:val="26"/>
        </w:rPr>
        <w:t xml:space="preserve"> fracción I, 131, 231, 236, fracción </w:t>
      </w:r>
      <w:r w:rsidR="002506BE" w:rsidRPr="003B7BFB">
        <w:rPr>
          <w:rFonts w:ascii="Arial" w:hAnsi="Arial" w:cs="Arial"/>
          <w:bCs/>
          <w:iCs/>
          <w:sz w:val="26"/>
          <w:szCs w:val="26"/>
        </w:rPr>
        <w:t>VII</w:t>
      </w:r>
      <w:r w:rsidR="002506BE">
        <w:rPr>
          <w:rFonts w:ascii="Arial" w:hAnsi="Arial" w:cs="Arial"/>
          <w:bCs/>
          <w:iCs/>
          <w:sz w:val="26"/>
          <w:szCs w:val="26"/>
        </w:rPr>
        <w:t xml:space="preserve"> y 238, de la Ley de Procedimiento y Justicia Administrativa para el Estado de Oaxaca</w:t>
      </w:r>
      <w:r w:rsidR="00681A3D">
        <w:rPr>
          <w:rFonts w:ascii="Arial" w:hAnsi="Arial" w:cs="Arial"/>
          <w:bCs/>
          <w:iCs/>
          <w:sz w:val="26"/>
          <w:szCs w:val="26"/>
        </w:rPr>
        <w:t>;</w:t>
      </w:r>
      <w:r w:rsidR="002506BE">
        <w:rPr>
          <w:rFonts w:ascii="Arial" w:hAnsi="Arial" w:cs="Arial"/>
          <w:bCs/>
          <w:iCs/>
          <w:sz w:val="26"/>
          <w:szCs w:val="26"/>
        </w:rPr>
        <w:t xml:space="preserve"> </w:t>
      </w:r>
      <w:r w:rsidRPr="00AA4698">
        <w:rPr>
          <w:rFonts w:ascii="Arial" w:eastAsiaTheme="minorHAnsi" w:hAnsi="Arial" w:cs="Arial"/>
          <w:bCs/>
          <w:iCs/>
          <w:sz w:val="26"/>
          <w:szCs w:val="26"/>
          <w:lang w:val="es-ES" w:eastAsia="en-US"/>
        </w:rPr>
        <w:t xml:space="preserve">dado que se trata de un Recurso de Revisión interpuesto en contra de la resolución de </w:t>
      </w:r>
      <w:r w:rsidR="00DD647F">
        <w:rPr>
          <w:rFonts w:ascii="Arial" w:eastAsiaTheme="minorHAnsi" w:hAnsi="Arial" w:cs="Arial"/>
          <w:bCs/>
          <w:iCs/>
          <w:sz w:val="26"/>
          <w:szCs w:val="26"/>
          <w:lang w:val="es-ES" w:eastAsia="en-US"/>
        </w:rPr>
        <w:t xml:space="preserve">veintiuno de febrero de dos mil veinte, dictada por en el expediente número </w:t>
      </w:r>
      <w:r w:rsidR="00DD647F" w:rsidRPr="00A67C2D">
        <w:rPr>
          <w:rFonts w:ascii="Arial" w:eastAsiaTheme="minorHAnsi" w:hAnsi="Arial" w:cs="Arial"/>
          <w:bCs/>
          <w:iCs/>
          <w:sz w:val="26"/>
          <w:szCs w:val="26"/>
          <w:lang w:val="es-ES" w:eastAsia="en-US"/>
        </w:rPr>
        <w:t xml:space="preserve">105/2018 </w:t>
      </w:r>
      <w:r w:rsidR="00DD647F">
        <w:rPr>
          <w:rFonts w:ascii="Arial" w:eastAsiaTheme="minorHAnsi" w:hAnsi="Arial" w:cs="Arial"/>
          <w:bCs/>
          <w:iCs/>
          <w:sz w:val="26"/>
          <w:szCs w:val="26"/>
          <w:lang w:val="es-ES" w:eastAsia="en-US"/>
        </w:rPr>
        <w:t>de</w:t>
      </w:r>
      <w:r w:rsidR="00DD647F" w:rsidRPr="00AA7768">
        <w:rPr>
          <w:rFonts w:ascii="Arial" w:hAnsi="Arial" w:cs="Arial"/>
          <w:sz w:val="26"/>
          <w:szCs w:val="26"/>
        </w:rPr>
        <w:t xml:space="preserve"> la Séptima  Sala Unitaria de </w:t>
      </w:r>
      <w:r w:rsidR="00DD647F" w:rsidRPr="00AA7768">
        <w:rPr>
          <w:rFonts w:ascii="Arial" w:hAnsi="Arial" w:cs="Arial"/>
          <w:sz w:val="26"/>
          <w:szCs w:val="26"/>
        </w:rPr>
        <w:lastRenderedPageBreak/>
        <w:t xml:space="preserve">Primera Instancia, ahora </w:t>
      </w:r>
      <w:r w:rsidR="00DD647F" w:rsidRPr="00AA7768">
        <w:rPr>
          <w:rFonts w:ascii="Arial" w:hAnsi="Arial" w:cs="Arial"/>
          <w:b/>
          <w:sz w:val="26"/>
          <w:szCs w:val="26"/>
        </w:rPr>
        <w:t>00</w:t>
      </w:r>
      <w:r w:rsidR="00DD647F">
        <w:rPr>
          <w:rFonts w:ascii="Arial" w:hAnsi="Arial" w:cs="Arial"/>
          <w:b/>
          <w:sz w:val="26"/>
          <w:szCs w:val="26"/>
        </w:rPr>
        <w:t>84</w:t>
      </w:r>
      <w:r w:rsidR="00DD647F" w:rsidRPr="00AA7768">
        <w:rPr>
          <w:rFonts w:ascii="Arial" w:hAnsi="Arial" w:cs="Arial"/>
          <w:b/>
          <w:sz w:val="26"/>
          <w:szCs w:val="26"/>
        </w:rPr>
        <w:t xml:space="preserve">/2020 </w:t>
      </w:r>
      <w:r w:rsidR="00DD647F">
        <w:rPr>
          <w:rFonts w:ascii="Arial" w:hAnsi="Arial" w:cs="Arial"/>
          <w:sz w:val="26"/>
          <w:szCs w:val="26"/>
        </w:rPr>
        <w:t xml:space="preserve">de la Sexta Sala </w:t>
      </w:r>
      <w:r w:rsidR="00257567">
        <w:rPr>
          <w:rFonts w:ascii="Arial" w:hAnsi="Arial" w:cs="Arial"/>
          <w:sz w:val="26"/>
          <w:szCs w:val="26"/>
        </w:rPr>
        <w:t xml:space="preserve">Unitaria </w:t>
      </w:r>
      <w:r w:rsidR="00DD647F">
        <w:rPr>
          <w:rFonts w:ascii="Arial" w:hAnsi="Arial" w:cs="Arial"/>
          <w:sz w:val="26"/>
          <w:szCs w:val="26"/>
        </w:rPr>
        <w:t>de Primera Instancia.</w:t>
      </w:r>
      <w:r w:rsidR="00BC6A10">
        <w:rPr>
          <w:rFonts w:ascii="Arial" w:hAnsi="Arial" w:cs="Arial"/>
          <w:sz w:val="26"/>
          <w:szCs w:val="26"/>
        </w:rPr>
        <w:t xml:space="preserve"> </w:t>
      </w:r>
      <w:r w:rsidR="00BC6A10" w:rsidRPr="00BC6A10">
        <w:rPr>
          <w:rFonts w:ascii="Arial" w:hAnsi="Arial" w:cs="Arial"/>
          <w:iCs/>
          <w:color w:val="000000"/>
          <w:sz w:val="26"/>
          <w:szCs w:val="26"/>
        </w:rPr>
        <w:t xml:space="preserve">- - - - - - - - - - - - - - - - - - - - - - - - - - - - - - - - - - - - - - - - - - - - - </w:t>
      </w:r>
    </w:p>
    <w:p w14:paraId="14CE3440" w14:textId="551B0855" w:rsidR="00AA4698" w:rsidRPr="00AA4698" w:rsidRDefault="00AA4698" w:rsidP="00AA4698">
      <w:pPr>
        <w:spacing w:line="360" w:lineRule="auto"/>
        <w:ind w:firstLine="708"/>
        <w:jc w:val="both"/>
        <w:rPr>
          <w:rFonts w:ascii="Arial" w:eastAsiaTheme="minorHAnsi" w:hAnsi="Arial" w:cs="Arial"/>
          <w:sz w:val="26"/>
          <w:szCs w:val="26"/>
          <w:lang w:val="es-ES" w:eastAsia="en-US"/>
        </w:rPr>
      </w:pPr>
      <w:r w:rsidRPr="00AA4698">
        <w:rPr>
          <w:rFonts w:ascii="Arial" w:eastAsiaTheme="minorHAnsi" w:hAnsi="Arial" w:cs="Arial"/>
          <w:b/>
          <w:sz w:val="26"/>
          <w:szCs w:val="26"/>
          <w:lang w:val="es-ES" w:eastAsia="en-US"/>
        </w:rPr>
        <w:t>SEGUNDO</w:t>
      </w:r>
      <w:r w:rsidRPr="00AA4698">
        <w:rPr>
          <w:rFonts w:ascii="Arial" w:eastAsiaTheme="minorHAnsi" w:hAnsi="Arial" w:cs="Arial"/>
          <w:sz w:val="26"/>
          <w:szCs w:val="26"/>
          <w:lang w:val="es-ES" w:eastAsia="en-US"/>
        </w:rPr>
        <w:t xml:space="preserve">. </w:t>
      </w:r>
      <w:r w:rsidRPr="00AA4698">
        <w:rPr>
          <w:rFonts w:ascii="Arial" w:eastAsiaTheme="minorHAnsi" w:hAnsi="Arial" w:cs="Arial"/>
          <w:bCs/>
          <w:sz w:val="26"/>
          <w:szCs w:val="26"/>
          <w:lang w:val="es-ES" w:eastAsia="en-US"/>
        </w:rPr>
        <w:t>Los agravios hechos valer se encuentran expuestos en el escrito respectivo de la parte recurrente, por lo que no existe necesidad de transcribirlos, virtud a que ello no implica transgresión a derecho alguno de la recurrente, como tampoco se vulnera disposición expresa que imponga tal obligación</w:t>
      </w:r>
      <w:r w:rsidRPr="00AA4698">
        <w:rPr>
          <w:rFonts w:ascii="Arial" w:eastAsiaTheme="minorHAnsi" w:hAnsi="Arial" w:cs="Arial"/>
          <w:sz w:val="26"/>
          <w:szCs w:val="26"/>
          <w:lang w:val="es-ES" w:eastAsia="en-US"/>
        </w:rPr>
        <w:t>.</w:t>
      </w:r>
      <w:r w:rsidR="00067AD1">
        <w:rPr>
          <w:rFonts w:ascii="Arial" w:eastAsiaTheme="minorHAnsi" w:hAnsi="Arial" w:cs="Arial"/>
          <w:sz w:val="26"/>
          <w:szCs w:val="26"/>
          <w:lang w:val="es-ES" w:eastAsia="en-US"/>
        </w:rPr>
        <w:t xml:space="preserve"> </w:t>
      </w:r>
      <w:r w:rsidR="00067AD1" w:rsidRPr="00BC6A10">
        <w:rPr>
          <w:rFonts w:ascii="Arial" w:hAnsi="Arial" w:cs="Arial"/>
          <w:iCs/>
          <w:color w:val="000000"/>
          <w:sz w:val="26"/>
          <w:szCs w:val="26"/>
        </w:rPr>
        <w:t>- - - - - - - - - - - - - - -</w:t>
      </w:r>
      <w:r w:rsidR="00067AD1">
        <w:rPr>
          <w:rFonts w:ascii="Arial" w:hAnsi="Arial" w:cs="Arial"/>
          <w:iCs/>
          <w:color w:val="000000"/>
          <w:sz w:val="26"/>
          <w:szCs w:val="26"/>
        </w:rPr>
        <w:t xml:space="preserve"> </w:t>
      </w:r>
      <w:r w:rsidR="00067AD1" w:rsidRPr="00BC6A10">
        <w:rPr>
          <w:rFonts w:ascii="Arial" w:hAnsi="Arial" w:cs="Arial"/>
          <w:iCs/>
          <w:color w:val="000000"/>
          <w:sz w:val="26"/>
          <w:szCs w:val="26"/>
        </w:rPr>
        <w:t xml:space="preserve">- - - - - - - - - - - </w:t>
      </w:r>
    </w:p>
    <w:p w14:paraId="45B745A7" w14:textId="7A776C7C" w:rsidR="00AA4698" w:rsidRPr="00D67174" w:rsidRDefault="00AA4698" w:rsidP="00AA4698">
      <w:pPr>
        <w:shd w:val="clear" w:color="auto" w:fill="FFFFFF"/>
        <w:spacing w:line="360" w:lineRule="auto"/>
        <w:ind w:firstLine="567"/>
        <w:jc w:val="both"/>
        <w:rPr>
          <w:rFonts w:ascii="Arial" w:hAnsi="Arial" w:cs="Arial"/>
          <w:bCs/>
          <w:sz w:val="26"/>
          <w:szCs w:val="26"/>
        </w:rPr>
      </w:pPr>
      <w:r w:rsidRPr="00AA4698">
        <w:rPr>
          <w:rFonts w:ascii="Arial" w:eastAsiaTheme="minorHAnsi" w:hAnsi="Arial" w:cs="Arial"/>
          <w:bCs/>
          <w:color w:val="000000"/>
          <w:sz w:val="26"/>
          <w:szCs w:val="26"/>
          <w:lang w:eastAsia="en-US"/>
        </w:rPr>
        <w:t xml:space="preserve"> </w:t>
      </w:r>
      <w:r w:rsidRPr="00D67174">
        <w:rPr>
          <w:rFonts w:ascii="Arial" w:hAnsi="Arial" w:cs="Arial"/>
          <w:bCs/>
          <w:sz w:val="26"/>
          <w:szCs w:val="26"/>
        </w:rPr>
        <w:t xml:space="preserve">Se invoca en apoyo a lo anterior, la jurisprudencia en materia común, número </w:t>
      </w:r>
      <w:r w:rsidRPr="00D67174">
        <w:rPr>
          <w:rFonts w:ascii="Arial" w:eastAsia="Times New Roman" w:hAnsi="Arial" w:cs="Arial"/>
          <w:sz w:val="26"/>
          <w:szCs w:val="26"/>
        </w:rPr>
        <w:t xml:space="preserve">2a./J. 58/2010, de la Novena Época, emitida por la Segunda Sala de la Suprema Corte de Justicia de la Nación, </w:t>
      </w:r>
      <w:r w:rsidRPr="00D67174">
        <w:rPr>
          <w:rFonts w:ascii="Arial" w:hAnsi="Arial" w:cs="Arial"/>
          <w:bCs/>
          <w:sz w:val="26"/>
          <w:szCs w:val="26"/>
        </w:rPr>
        <w:t xml:space="preserve">con número de registro digital </w:t>
      </w:r>
      <w:r w:rsidRPr="00D67174">
        <w:rPr>
          <w:rFonts w:ascii="Arial" w:eastAsia="Times New Roman" w:hAnsi="Arial" w:cs="Arial"/>
          <w:sz w:val="26"/>
          <w:szCs w:val="26"/>
        </w:rPr>
        <w:t xml:space="preserve">164618, publicada en el Semanario Judicial de la Federación y su Gaceta. En el Tomo XXXI, Mayo de 2010, visible a página 830, </w:t>
      </w:r>
      <w:r w:rsidRPr="00D67174">
        <w:rPr>
          <w:rFonts w:ascii="Arial" w:hAnsi="Arial" w:cs="Arial"/>
          <w:bCs/>
          <w:sz w:val="26"/>
          <w:szCs w:val="26"/>
        </w:rPr>
        <w:t xml:space="preserve">bajo el rubro y texto siguiente: </w:t>
      </w:r>
      <w:r w:rsidR="00B205D9" w:rsidRPr="00BC6A10">
        <w:rPr>
          <w:rFonts w:ascii="Arial" w:hAnsi="Arial" w:cs="Arial"/>
          <w:iCs/>
          <w:color w:val="000000"/>
          <w:sz w:val="26"/>
          <w:szCs w:val="26"/>
        </w:rPr>
        <w:t>- - - - - - - - - - - - - - -</w:t>
      </w:r>
      <w:r w:rsidR="00B205D9">
        <w:rPr>
          <w:rFonts w:ascii="Arial" w:hAnsi="Arial" w:cs="Arial"/>
          <w:iCs/>
          <w:color w:val="000000"/>
          <w:sz w:val="26"/>
          <w:szCs w:val="26"/>
        </w:rPr>
        <w:t xml:space="preserve"> </w:t>
      </w:r>
      <w:r w:rsidR="00B205D9" w:rsidRPr="00BC6A10">
        <w:rPr>
          <w:rFonts w:ascii="Arial" w:hAnsi="Arial" w:cs="Arial"/>
          <w:iCs/>
          <w:color w:val="000000"/>
          <w:sz w:val="26"/>
          <w:szCs w:val="26"/>
        </w:rPr>
        <w:t>- - - - - -</w:t>
      </w:r>
    </w:p>
    <w:p w14:paraId="22F7FFAC" w14:textId="41E96929" w:rsidR="00AA4698" w:rsidRPr="00D73532" w:rsidRDefault="00AA4698" w:rsidP="00AA4698">
      <w:pPr>
        <w:spacing w:before="240" w:line="240" w:lineRule="auto"/>
        <w:ind w:left="567" w:right="616"/>
        <w:jc w:val="both"/>
        <w:rPr>
          <w:rFonts w:ascii="Arial" w:eastAsia="Times New Roman" w:hAnsi="Arial" w:cs="Arial"/>
          <w:i/>
          <w:iCs/>
          <w:sz w:val="24"/>
          <w:szCs w:val="24"/>
        </w:rPr>
      </w:pPr>
      <w:r w:rsidRPr="00D73532">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D73532">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D73532">
        <w:rPr>
          <w:rFonts w:ascii="Arial" w:eastAsia="Times New Roman" w:hAnsi="Arial" w:cs="Arial"/>
          <w:i/>
          <w:iCs/>
          <w:sz w:val="24"/>
          <w:szCs w:val="24"/>
        </w:rPr>
        <w:t xml:space="preserve">- - - - </w:t>
      </w:r>
    </w:p>
    <w:p w14:paraId="616C7138" w14:textId="1107E9D1" w:rsidR="00C82FF6" w:rsidRDefault="00AA4698" w:rsidP="00C82FF6">
      <w:pPr>
        <w:spacing w:line="360" w:lineRule="auto"/>
        <w:ind w:firstLine="708"/>
        <w:jc w:val="both"/>
        <w:rPr>
          <w:rFonts w:ascii="Arial" w:hAnsi="Arial" w:cs="Arial"/>
          <w:b/>
          <w:bCs/>
          <w:sz w:val="26"/>
          <w:szCs w:val="26"/>
        </w:rPr>
      </w:pPr>
      <w:r w:rsidRPr="00CC3C71">
        <w:rPr>
          <w:rFonts w:ascii="Arial" w:eastAsiaTheme="minorHAnsi" w:hAnsi="Arial" w:cs="Arial"/>
          <w:b/>
          <w:bCs/>
          <w:sz w:val="26"/>
          <w:szCs w:val="26"/>
          <w:lang w:val="es-ES" w:eastAsia="en-US"/>
        </w:rPr>
        <w:t>TERCERO.</w:t>
      </w:r>
      <w:r w:rsidR="00CC3C71" w:rsidRPr="00817600">
        <w:rPr>
          <w:rFonts w:ascii="Arial" w:hAnsi="Arial" w:cs="Arial"/>
          <w:b/>
          <w:bCs/>
          <w:sz w:val="26"/>
          <w:szCs w:val="26"/>
        </w:rPr>
        <w:t xml:space="preserve"> </w:t>
      </w:r>
      <w:r w:rsidR="00C82FF6">
        <w:rPr>
          <w:rFonts w:ascii="Arial" w:hAnsi="Arial" w:cs="Arial"/>
          <w:bCs/>
          <w:sz w:val="26"/>
          <w:szCs w:val="26"/>
        </w:rPr>
        <w:t xml:space="preserve">Previa lectura de los agravios de los recurrentes, se aprecia la estrecha vinculación existente entre el </w:t>
      </w:r>
      <w:r w:rsidR="004C64A2">
        <w:rPr>
          <w:rFonts w:ascii="Arial" w:hAnsi="Arial" w:cs="Arial"/>
          <w:bCs/>
          <w:sz w:val="26"/>
          <w:szCs w:val="26"/>
        </w:rPr>
        <w:t>R</w:t>
      </w:r>
      <w:r w:rsidR="00C82FF6">
        <w:rPr>
          <w:rFonts w:ascii="Arial" w:hAnsi="Arial" w:cs="Arial"/>
          <w:bCs/>
          <w:sz w:val="26"/>
          <w:szCs w:val="26"/>
        </w:rPr>
        <w:t xml:space="preserve">ecurso de </w:t>
      </w:r>
      <w:r w:rsidR="004C64A2">
        <w:rPr>
          <w:rFonts w:ascii="Arial" w:hAnsi="Arial" w:cs="Arial"/>
          <w:bCs/>
          <w:sz w:val="26"/>
          <w:szCs w:val="26"/>
        </w:rPr>
        <w:t>R</w:t>
      </w:r>
      <w:r w:rsidR="00C82FF6">
        <w:rPr>
          <w:rFonts w:ascii="Arial" w:hAnsi="Arial" w:cs="Arial"/>
          <w:bCs/>
          <w:sz w:val="26"/>
          <w:szCs w:val="26"/>
        </w:rPr>
        <w:t xml:space="preserve">evisión 0153/2020 con el diverso 0154/2020; a fin de armonizar la resolución correspondiente, conviene emitir una común a los dos medios de impugnación a efecto de contribuir a una mayor certeza y seguridad jurídica en favor de los recurrentes; entonces, por razón de método se inicia con el estudio del recurso hecho valer por </w:t>
      </w:r>
      <w:bookmarkStart w:id="0" w:name="_Hlk65679528"/>
      <w:r w:rsidR="00C82FF6">
        <w:rPr>
          <w:rFonts w:ascii="Arial" w:eastAsiaTheme="minorHAnsi" w:hAnsi="Arial" w:cs="Arial"/>
          <w:sz w:val="26"/>
          <w:szCs w:val="26"/>
          <w:lang w:val="es-ES" w:eastAsia="en-US"/>
        </w:rPr>
        <w:t xml:space="preserve">el </w:t>
      </w:r>
      <w:r w:rsidR="00C82FF6" w:rsidRPr="0076757C">
        <w:rPr>
          <w:rFonts w:ascii="Arial" w:eastAsiaTheme="minorHAnsi" w:hAnsi="Arial" w:cs="Arial"/>
          <w:b/>
          <w:sz w:val="26"/>
          <w:szCs w:val="26"/>
          <w:lang w:val="es-ES" w:eastAsia="en-US"/>
        </w:rPr>
        <w:t>DIRECTOR JURÍDICO DE LA SECRETARÍA DE CONTRALORÍA Y TRANSPARENCIA GUBE</w:t>
      </w:r>
      <w:r w:rsidR="00C82FF6">
        <w:rPr>
          <w:rFonts w:ascii="Arial" w:eastAsiaTheme="minorHAnsi" w:hAnsi="Arial" w:cs="Arial"/>
          <w:b/>
          <w:sz w:val="26"/>
          <w:szCs w:val="26"/>
          <w:lang w:val="es-ES" w:eastAsia="en-US"/>
        </w:rPr>
        <w:t xml:space="preserve">RNAMENTAL DEL ESTADO DE OAXACA, </w:t>
      </w:r>
      <w:r w:rsidR="00C82FF6" w:rsidRPr="001D3D76">
        <w:rPr>
          <w:rFonts w:ascii="Arial" w:hAnsi="Arial" w:cs="Arial"/>
          <w:bCs/>
          <w:sz w:val="26"/>
          <w:szCs w:val="26"/>
        </w:rPr>
        <w:t>posteriormente se analizará el recurso interpuesto por</w:t>
      </w:r>
      <w:bookmarkEnd w:id="0"/>
      <w:r w:rsidR="00C82FF6">
        <w:rPr>
          <w:rFonts w:ascii="Arial" w:eastAsiaTheme="minorHAnsi" w:hAnsi="Arial" w:cs="Arial"/>
          <w:b/>
          <w:sz w:val="26"/>
          <w:szCs w:val="26"/>
          <w:lang w:val="es-ES" w:eastAsia="en-US"/>
        </w:rPr>
        <w:t xml:space="preserve"> </w:t>
      </w:r>
      <w:r w:rsidR="000F18ED">
        <w:rPr>
          <w:rFonts w:ascii="Arial" w:eastAsia="Calibri" w:hAnsi="Arial" w:cs="Arial"/>
          <w:b/>
          <w:sz w:val="26"/>
          <w:szCs w:val="26"/>
        </w:rPr>
        <w:t>***********</w:t>
      </w:r>
      <w:r w:rsidR="00C82FF6">
        <w:rPr>
          <w:rFonts w:ascii="Arial" w:hAnsi="Arial" w:cs="Arial"/>
          <w:b/>
          <w:bCs/>
          <w:sz w:val="26"/>
          <w:szCs w:val="26"/>
        </w:rPr>
        <w:t>.</w:t>
      </w:r>
      <w:r w:rsidR="00DB5D00">
        <w:rPr>
          <w:rFonts w:ascii="Arial" w:hAnsi="Arial" w:cs="Arial"/>
          <w:b/>
          <w:bCs/>
          <w:sz w:val="26"/>
          <w:szCs w:val="26"/>
        </w:rPr>
        <w:t xml:space="preserve"> </w:t>
      </w:r>
      <w:r w:rsidR="00DB5D00" w:rsidRPr="00BC6A10">
        <w:rPr>
          <w:rFonts w:ascii="Arial" w:hAnsi="Arial" w:cs="Arial"/>
          <w:iCs/>
          <w:color w:val="000000"/>
          <w:sz w:val="26"/>
          <w:szCs w:val="26"/>
        </w:rPr>
        <w:t xml:space="preserve">- - - - - </w:t>
      </w:r>
      <w:r w:rsidR="000F18ED">
        <w:rPr>
          <w:rFonts w:ascii="Arial" w:hAnsi="Arial" w:cs="Arial"/>
          <w:iCs/>
          <w:color w:val="000000"/>
          <w:sz w:val="26"/>
          <w:szCs w:val="26"/>
        </w:rPr>
        <w:t xml:space="preserve"> </w:t>
      </w:r>
      <w:bookmarkStart w:id="1" w:name="_GoBack"/>
      <w:bookmarkEnd w:id="1"/>
      <w:r w:rsidR="00DB5D00">
        <w:rPr>
          <w:rFonts w:ascii="Arial" w:hAnsi="Arial" w:cs="Arial"/>
          <w:iCs/>
          <w:color w:val="000000"/>
          <w:sz w:val="26"/>
          <w:szCs w:val="26"/>
        </w:rPr>
        <w:t xml:space="preserve"> </w:t>
      </w:r>
    </w:p>
    <w:p w14:paraId="13748018" w14:textId="41F16B24" w:rsidR="00E52B2C" w:rsidRDefault="00C82FF6" w:rsidP="00C82FF6">
      <w:pPr>
        <w:spacing w:line="360" w:lineRule="auto"/>
        <w:ind w:firstLine="708"/>
        <w:jc w:val="both"/>
        <w:rPr>
          <w:rFonts w:ascii="Arial" w:eastAsiaTheme="minorHAnsi" w:hAnsi="Arial" w:cs="Arial"/>
          <w:sz w:val="26"/>
          <w:szCs w:val="26"/>
          <w:lang w:val="es-ES" w:eastAsia="en-US"/>
        </w:rPr>
      </w:pPr>
      <w:r>
        <w:rPr>
          <w:rFonts w:ascii="Arial" w:hAnsi="Arial" w:cs="Arial"/>
          <w:b/>
          <w:bCs/>
          <w:sz w:val="26"/>
          <w:szCs w:val="26"/>
        </w:rPr>
        <w:lastRenderedPageBreak/>
        <w:t xml:space="preserve">CUARTO. </w:t>
      </w:r>
      <w:r w:rsidR="00136A05" w:rsidRPr="006766AC">
        <w:rPr>
          <w:rFonts w:ascii="Arial" w:eastAsiaTheme="minorHAnsi" w:hAnsi="Arial" w:cs="Arial"/>
          <w:sz w:val="26"/>
          <w:szCs w:val="26"/>
          <w:lang w:val="es-ES" w:eastAsia="en-US"/>
        </w:rPr>
        <w:t>A</w:t>
      </w:r>
      <w:r w:rsidR="00AA4698" w:rsidRPr="006766AC">
        <w:rPr>
          <w:rFonts w:ascii="Arial" w:eastAsiaTheme="minorHAnsi" w:hAnsi="Arial" w:cs="Arial"/>
          <w:sz w:val="26"/>
          <w:szCs w:val="26"/>
          <w:lang w:val="es-ES" w:eastAsia="en-US"/>
        </w:rPr>
        <w:t>rguye</w:t>
      </w:r>
      <w:r w:rsidR="00EC636E" w:rsidRPr="001D5C32">
        <w:rPr>
          <w:rFonts w:ascii="Arial" w:eastAsiaTheme="minorHAnsi" w:hAnsi="Arial" w:cs="Arial"/>
          <w:sz w:val="26"/>
          <w:szCs w:val="26"/>
          <w:lang w:val="es-ES" w:eastAsia="en-US"/>
        </w:rPr>
        <w:t xml:space="preserve"> </w:t>
      </w:r>
      <w:r w:rsidR="001D5C32">
        <w:rPr>
          <w:rFonts w:ascii="Arial" w:eastAsiaTheme="minorHAnsi" w:hAnsi="Arial" w:cs="Arial"/>
          <w:sz w:val="26"/>
          <w:szCs w:val="26"/>
          <w:lang w:val="es-ES" w:eastAsia="en-US"/>
        </w:rPr>
        <w:t>el</w:t>
      </w:r>
      <w:r w:rsidR="006766AC">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 xml:space="preserve">primer </w:t>
      </w:r>
      <w:r w:rsidR="006766AC">
        <w:rPr>
          <w:rFonts w:ascii="Arial" w:eastAsiaTheme="minorHAnsi" w:hAnsi="Arial" w:cs="Arial"/>
          <w:sz w:val="26"/>
          <w:szCs w:val="26"/>
          <w:lang w:val="es-ES" w:eastAsia="en-US"/>
        </w:rPr>
        <w:t>recurrente,</w:t>
      </w:r>
      <w:r w:rsidR="001D5C32">
        <w:rPr>
          <w:rFonts w:ascii="Arial" w:eastAsiaTheme="minorHAnsi" w:hAnsi="Arial" w:cs="Arial"/>
          <w:b/>
          <w:sz w:val="26"/>
          <w:szCs w:val="26"/>
          <w:lang w:val="es-ES" w:eastAsia="en-US"/>
        </w:rPr>
        <w:t xml:space="preserve"> </w:t>
      </w:r>
      <w:r w:rsidR="001D5C32">
        <w:rPr>
          <w:rFonts w:ascii="Arial" w:eastAsiaTheme="minorHAnsi" w:hAnsi="Arial" w:cs="Arial"/>
          <w:sz w:val="26"/>
          <w:szCs w:val="26"/>
          <w:lang w:val="es-ES" w:eastAsia="en-US"/>
        </w:rPr>
        <w:t xml:space="preserve">que </w:t>
      </w:r>
      <w:r w:rsidR="00FD1C01">
        <w:rPr>
          <w:rFonts w:ascii="Arial" w:eastAsiaTheme="minorHAnsi" w:hAnsi="Arial" w:cs="Arial"/>
          <w:sz w:val="26"/>
          <w:szCs w:val="26"/>
          <w:lang w:val="es-ES" w:eastAsia="en-US"/>
        </w:rPr>
        <w:t xml:space="preserve">la sentencia </w:t>
      </w:r>
      <w:r>
        <w:rPr>
          <w:rFonts w:ascii="Arial" w:eastAsiaTheme="minorHAnsi" w:hAnsi="Arial" w:cs="Arial"/>
          <w:sz w:val="26"/>
          <w:szCs w:val="26"/>
          <w:lang w:val="es-ES" w:eastAsia="en-US"/>
        </w:rPr>
        <w:t xml:space="preserve">que impugna es </w:t>
      </w:r>
      <w:r w:rsidR="00FD1C01">
        <w:rPr>
          <w:rFonts w:ascii="Arial" w:eastAsiaTheme="minorHAnsi" w:hAnsi="Arial" w:cs="Arial"/>
          <w:sz w:val="26"/>
          <w:szCs w:val="26"/>
          <w:lang w:val="es-ES" w:eastAsia="en-US"/>
        </w:rPr>
        <w:t>infundada, porque en el párrafo tercero del considerando sexto se refirió al artículo 40, fracciones II, III, IV y XI</w:t>
      </w:r>
      <w:r w:rsidR="00AA493F">
        <w:rPr>
          <w:rFonts w:ascii="Arial" w:eastAsiaTheme="minorHAnsi" w:hAnsi="Arial" w:cs="Arial"/>
          <w:sz w:val="26"/>
          <w:szCs w:val="26"/>
          <w:lang w:val="es-ES" w:eastAsia="en-US"/>
        </w:rPr>
        <w:t xml:space="preserve">, del </w:t>
      </w:r>
      <w:r w:rsidR="00FD1C01">
        <w:rPr>
          <w:rFonts w:ascii="Arial" w:eastAsiaTheme="minorHAnsi" w:hAnsi="Arial" w:cs="Arial"/>
          <w:sz w:val="26"/>
          <w:szCs w:val="26"/>
          <w:lang w:val="es-ES" w:eastAsia="en-US"/>
        </w:rPr>
        <w:t>Reglamento Interno de la Secretaría de la Contraloría y Transparencia Gubernamental del Poder Ejecutivo del Estado de Oaxaca,</w:t>
      </w:r>
      <w:r w:rsidR="00E52B2C">
        <w:rPr>
          <w:rFonts w:ascii="Arial" w:eastAsiaTheme="minorHAnsi" w:hAnsi="Arial" w:cs="Arial"/>
          <w:sz w:val="26"/>
          <w:szCs w:val="26"/>
          <w:lang w:val="es-ES" w:eastAsia="en-US"/>
        </w:rPr>
        <w:t xml:space="preserve"> pero al transcribirlo p</w:t>
      </w:r>
      <w:r w:rsidR="00AA493F">
        <w:rPr>
          <w:rFonts w:ascii="Arial" w:eastAsiaTheme="minorHAnsi" w:hAnsi="Arial" w:cs="Arial"/>
          <w:sz w:val="26"/>
          <w:szCs w:val="26"/>
          <w:lang w:val="es-ES" w:eastAsia="en-US"/>
        </w:rPr>
        <w:t>l</w:t>
      </w:r>
      <w:r w:rsidR="00E52B2C">
        <w:rPr>
          <w:rFonts w:ascii="Arial" w:eastAsiaTheme="minorHAnsi" w:hAnsi="Arial" w:cs="Arial"/>
          <w:sz w:val="26"/>
          <w:szCs w:val="26"/>
          <w:lang w:val="es-ES" w:eastAsia="en-US"/>
        </w:rPr>
        <w:t xml:space="preserve">asmó el artículo 36 fracciones, II, IV y XI; es decir, </w:t>
      </w:r>
      <w:r w:rsidR="009D4CB7">
        <w:rPr>
          <w:rFonts w:ascii="Arial" w:eastAsiaTheme="minorHAnsi" w:hAnsi="Arial" w:cs="Arial"/>
          <w:sz w:val="26"/>
          <w:szCs w:val="26"/>
          <w:lang w:val="es-ES" w:eastAsia="en-US"/>
        </w:rPr>
        <w:t>erróneamente invocó otro precepto legal.</w:t>
      </w:r>
      <w:r w:rsidR="004C64A2">
        <w:rPr>
          <w:rFonts w:ascii="Arial" w:eastAsiaTheme="minorHAnsi" w:hAnsi="Arial" w:cs="Arial"/>
          <w:sz w:val="26"/>
          <w:szCs w:val="26"/>
          <w:lang w:val="es-ES" w:eastAsia="en-US"/>
        </w:rPr>
        <w:t xml:space="preserve"> </w:t>
      </w:r>
      <w:r w:rsidR="004C64A2" w:rsidRPr="00BC6A10">
        <w:rPr>
          <w:rFonts w:ascii="Arial" w:hAnsi="Arial" w:cs="Arial"/>
          <w:iCs/>
          <w:color w:val="000000"/>
          <w:sz w:val="26"/>
          <w:szCs w:val="26"/>
        </w:rPr>
        <w:t>- - - - - - - - - - - - - - -</w:t>
      </w:r>
      <w:r w:rsidR="004C64A2">
        <w:rPr>
          <w:rFonts w:ascii="Arial" w:hAnsi="Arial" w:cs="Arial"/>
          <w:iCs/>
          <w:color w:val="000000"/>
          <w:sz w:val="26"/>
          <w:szCs w:val="26"/>
        </w:rPr>
        <w:t xml:space="preserve"> </w:t>
      </w:r>
      <w:r w:rsidR="004C64A2" w:rsidRPr="00BC6A10">
        <w:rPr>
          <w:rFonts w:ascii="Arial" w:hAnsi="Arial" w:cs="Arial"/>
          <w:iCs/>
          <w:color w:val="000000"/>
          <w:sz w:val="26"/>
          <w:szCs w:val="26"/>
        </w:rPr>
        <w:t xml:space="preserve">- - - - - - - </w:t>
      </w:r>
    </w:p>
    <w:p w14:paraId="35235F1E" w14:textId="733DC79C" w:rsidR="001F1D40" w:rsidRDefault="001F1D40" w:rsidP="00AA4698">
      <w:pPr>
        <w:spacing w:line="360" w:lineRule="auto"/>
        <w:ind w:firstLine="709"/>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 xml:space="preserve">Es </w:t>
      </w:r>
      <w:r w:rsidR="002C19DF" w:rsidRPr="001F1D40">
        <w:rPr>
          <w:rFonts w:ascii="Arial" w:eastAsiaTheme="minorHAnsi" w:hAnsi="Arial" w:cs="Arial"/>
          <w:b/>
          <w:sz w:val="26"/>
          <w:szCs w:val="26"/>
          <w:lang w:val="es-ES" w:eastAsia="en-US"/>
        </w:rPr>
        <w:t>fundado pero inoperante</w:t>
      </w:r>
      <w:r w:rsidR="002C19DF">
        <w:rPr>
          <w:rFonts w:ascii="Arial" w:eastAsiaTheme="minorHAnsi" w:hAnsi="Arial" w:cs="Arial"/>
          <w:sz w:val="26"/>
          <w:szCs w:val="26"/>
          <w:lang w:val="es-ES" w:eastAsia="en-US"/>
        </w:rPr>
        <w:t xml:space="preserve"> </w:t>
      </w:r>
      <w:r w:rsidR="00BD7FDD">
        <w:rPr>
          <w:rFonts w:ascii="Arial" w:eastAsiaTheme="minorHAnsi" w:hAnsi="Arial" w:cs="Arial"/>
          <w:sz w:val="26"/>
          <w:szCs w:val="26"/>
          <w:lang w:val="es-ES" w:eastAsia="en-US"/>
        </w:rPr>
        <w:t xml:space="preserve">el agravio expuesto, </w:t>
      </w:r>
      <w:r w:rsidR="00BD7FDD">
        <w:rPr>
          <w:rFonts w:ascii="Arial" w:hAnsi="Arial" w:cs="Arial"/>
          <w:bCs/>
          <w:sz w:val="26"/>
          <w:szCs w:val="26"/>
        </w:rPr>
        <w:t>en razón de que, d</w:t>
      </w:r>
      <w:r w:rsidR="00BD7FDD">
        <w:rPr>
          <w:rFonts w:ascii="Arial" w:hAnsi="Arial" w:cs="Arial"/>
          <w:sz w:val="26"/>
          <w:szCs w:val="26"/>
        </w:rPr>
        <w:t xml:space="preserve">e las constancias de autos que fueron remitidas para la substanciación del presente asunto, que hacen prueba plena en términos del artículo 203, fracción I, de la Ley de Procedimiento y Justicia Administrativa para el Estado de Oaxaca, por tratarse de actuaciones judiciales; se advierte que la </w:t>
      </w:r>
      <w:r w:rsidR="00F0006E">
        <w:rPr>
          <w:rFonts w:ascii="Arial" w:hAnsi="Arial" w:cs="Arial"/>
          <w:sz w:val="26"/>
          <w:szCs w:val="26"/>
        </w:rPr>
        <w:t>P</w:t>
      </w:r>
      <w:r w:rsidR="00BD7FDD">
        <w:rPr>
          <w:rFonts w:ascii="Arial" w:hAnsi="Arial" w:cs="Arial"/>
          <w:sz w:val="26"/>
          <w:szCs w:val="26"/>
        </w:rPr>
        <w:t xml:space="preserve">rimera </w:t>
      </w:r>
      <w:r w:rsidR="00F0006E">
        <w:rPr>
          <w:rFonts w:ascii="Arial" w:hAnsi="Arial" w:cs="Arial"/>
          <w:sz w:val="26"/>
          <w:szCs w:val="26"/>
        </w:rPr>
        <w:t>I</w:t>
      </w:r>
      <w:r w:rsidR="00BD7FDD">
        <w:rPr>
          <w:rFonts w:ascii="Arial" w:hAnsi="Arial" w:cs="Arial"/>
          <w:sz w:val="26"/>
          <w:szCs w:val="26"/>
        </w:rPr>
        <w:t>nstancia en el considerando sexto, de la sentencia impugnada, determinó:</w:t>
      </w:r>
      <w:r w:rsidR="00824929">
        <w:rPr>
          <w:rFonts w:ascii="Arial" w:hAnsi="Arial" w:cs="Arial"/>
          <w:sz w:val="26"/>
          <w:szCs w:val="26"/>
        </w:rPr>
        <w:t xml:space="preserve"> </w:t>
      </w:r>
      <w:r w:rsidR="00824929" w:rsidRPr="00BC6A10">
        <w:rPr>
          <w:rFonts w:ascii="Arial" w:hAnsi="Arial" w:cs="Arial"/>
          <w:iCs/>
          <w:color w:val="000000"/>
          <w:sz w:val="26"/>
          <w:szCs w:val="26"/>
        </w:rPr>
        <w:t>- - - - - - - - - - - - - - -</w:t>
      </w:r>
      <w:r w:rsidR="00824929">
        <w:rPr>
          <w:rFonts w:ascii="Arial" w:hAnsi="Arial" w:cs="Arial"/>
          <w:iCs/>
          <w:color w:val="000000"/>
          <w:sz w:val="26"/>
          <w:szCs w:val="26"/>
        </w:rPr>
        <w:t xml:space="preserve"> </w:t>
      </w:r>
      <w:r w:rsidR="00824929" w:rsidRPr="00BC6A10">
        <w:rPr>
          <w:rFonts w:ascii="Arial" w:hAnsi="Arial" w:cs="Arial"/>
          <w:iCs/>
          <w:color w:val="000000"/>
          <w:sz w:val="26"/>
          <w:szCs w:val="26"/>
        </w:rPr>
        <w:t xml:space="preserve">- - - - - - - - - </w:t>
      </w:r>
    </w:p>
    <w:p w14:paraId="354258EC" w14:textId="5C3D50AC"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b/>
          <w:bCs/>
          <w:i/>
          <w:iCs/>
          <w:color w:val="000000"/>
          <w:sz w:val="24"/>
          <w:szCs w:val="24"/>
        </w:rPr>
        <w:t xml:space="preserve">“SEXTO. - </w:t>
      </w:r>
      <w:r w:rsidRPr="00F0006E">
        <w:rPr>
          <w:rFonts w:ascii="Arial" w:eastAsia="Times New Roman" w:hAnsi="Arial" w:cs="Arial"/>
          <w:i/>
          <w:iCs/>
          <w:color w:val="000000"/>
          <w:sz w:val="24"/>
          <w:szCs w:val="24"/>
        </w:rPr>
        <w:t xml:space="preserve">Esta </w:t>
      </w:r>
      <w:r w:rsidR="00AA493F" w:rsidRPr="00F0006E">
        <w:rPr>
          <w:rFonts w:ascii="Arial" w:eastAsia="Times New Roman" w:hAnsi="Arial" w:cs="Arial"/>
          <w:i/>
          <w:iCs/>
          <w:color w:val="000000"/>
          <w:sz w:val="24"/>
          <w:szCs w:val="24"/>
        </w:rPr>
        <w:t>J</w:t>
      </w:r>
      <w:r w:rsidRPr="00F0006E">
        <w:rPr>
          <w:rFonts w:ascii="Arial" w:eastAsia="Times New Roman" w:hAnsi="Arial" w:cs="Arial"/>
          <w:i/>
          <w:iCs/>
          <w:color w:val="000000"/>
          <w:sz w:val="24"/>
          <w:szCs w:val="24"/>
        </w:rPr>
        <w:t>uzgadora toma en cuenta que uno de los actos impugnados por el actor (tercer concepto de impugnación en la demanda), es el acuerdo de inicio de procedimiento de responsabilidad administrativa disciplinaria, de fecha dieciséis de agosto de dos mil diecisiete (16/08/2017), dictado en el expediente 46/RA-B/2016, pues considera que la autoridad que lo emitió no es la competente para ello. </w:t>
      </w:r>
    </w:p>
    <w:p w14:paraId="4D5A344B"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i/>
          <w:iCs/>
          <w:color w:val="000000"/>
          <w:sz w:val="24"/>
          <w:szCs w:val="24"/>
        </w:rPr>
        <w:t xml:space="preserve">El principio de </w:t>
      </w:r>
      <w:r w:rsidRPr="00F0006E">
        <w:rPr>
          <w:rFonts w:ascii="Arial" w:eastAsia="Times New Roman" w:hAnsi="Arial" w:cs="Arial"/>
          <w:b/>
          <w:bCs/>
          <w:i/>
          <w:iCs/>
          <w:color w:val="000000"/>
          <w:sz w:val="24"/>
          <w:szCs w:val="24"/>
        </w:rPr>
        <w:t xml:space="preserve">Litis Abierta, </w:t>
      </w:r>
      <w:r w:rsidRPr="00F0006E">
        <w:rPr>
          <w:rFonts w:ascii="Arial" w:eastAsia="Times New Roman" w:hAnsi="Arial" w:cs="Arial"/>
          <w:i/>
          <w:iCs/>
          <w:color w:val="000000"/>
          <w:sz w:val="24"/>
          <w:szCs w:val="24"/>
        </w:rPr>
        <w:t>permite al actor impugnar las diligencias efectuadas en el expediente administrativo 46/RA-B/2016, además de la resolución dictada en ese expediente, siendo aplicable al caso lo establecido en el artículo 99 de la Ley de Procedimiento y Justicia Administrativa para el Estado de Oaxaca, que permite impugnar los actos de trámite en un procedimiento administrativo al momento de impugnar la resolución definitiva que se haya dictado, es por ello, que por técnica jurídica, esta autoridad se avocará primero al análisis del referido acuerdo, pues de resultar fundado, las consecuencias que traería, implicarían la afectación directa de los restantes actos impugnados. </w:t>
      </w:r>
    </w:p>
    <w:p w14:paraId="189503EE" w14:textId="77777777" w:rsidR="00BD7FDD" w:rsidRPr="00BD7FDD" w:rsidRDefault="00BD7FDD" w:rsidP="00BD7FDD">
      <w:pPr>
        <w:spacing w:after="160" w:line="240" w:lineRule="auto"/>
        <w:ind w:left="567" w:right="616"/>
        <w:jc w:val="both"/>
        <w:rPr>
          <w:rFonts w:ascii="Times New Roman" w:eastAsia="Times New Roman" w:hAnsi="Times New Roman" w:cs="Times New Roman"/>
          <w:sz w:val="24"/>
          <w:szCs w:val="24"/>
        </w:rPr>
      </w:pPr>
      <w:r w:rsidRPr="00F0006E">
        <w:rPr>
          <w:rFonts w:ascii="Arial" w:eastAsia="Times New Roman" w:hAnsi="Arial" w:cs="Arial"/>
          <w:i/>
          <w:iCs/>
          <w:color w:val="000000"/>
          <w:sz w:val="24"/>
          <w:szCs w:val="24"/>
        </w:rPr>
        <w:t>En esencia, el Director de Responsabilidades y Situación Patrimonial adscrito a la Subsecretaría de Responsabilidades y Transparencia de la Contraloría Gubernamental del Poder Ejecutivo del Estado de Oaxaca,  para fundar su competencia en el dictado del acuerdo de inicio del procedimiento administrativo disciplinario en contra del actor, hizo referencia a diversos artículos y legislaciones, pero el que se refiere a sus atribuciones para el dictado de ese acuerdo admisorio, lo refirió al artículo 40 fracciones II, III, IV, y XI del Reglamento Interno de la Secretaría de la Contraloría y Transparencia Gubernamental del Poder Ejecutivo del Estado de Oaxaca, publicado en el Periódico Oficial del Gobierno del Estado el día dos de febrero de dos mil dieciséis (02/02/2016), dicho numeral establece:</w:t>
      </w:r>
      <w:r w:rsidRPr="00BD7FDD">
        <w:rPr>
          <w:rFonts w:ascii="Calibri" w:eastAsia="Times New Roman" w:hAnsi="Calibri" w:cs="Calibri"/>
          <w:color w:val="000000"/>
        </w:rPr>
        <w:t> </w:t>
      </w:r>
    </w:p>
    <w:p w14:paraId="27C47D68"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b/>
          <w:bCs/>
          <w:i/>
          <w:iCs/>
          <w:color w:val="000000"/>
          <w:sz w:val="24"/>
          <w:szCs w:val="24"/>
        </w:rPr>
        <w:t xml:space="preserve">“Artículo 36.- </w:t>
      </w:r>
      <w:r w:rsidRPr="00F0006E">
        <w:rPr>
          <w:rFonts w:ascii="Arial" w:eastAsia="Times New Roman" w:hAnsi="Arial" w:cs="Arial"/>
          <w:i/>
          <w:iCs/>
          <w:color w:val="000000"/>
          <w:sz w:val="24"/>
          <w:szCs w:val="24"/>
        </w:rPr>
        <w:t>Al frente de la Dirección de Responsabilidades y Situación Patrimonial habrá un Director, quien dependerá directamente del Subsecretario de Responsabilidades y Transparencia y tendrá las siguientes facultades: </w:t>
      </w:r>
    </w:p>
    <w:p w14:paraId="380BBE3F"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i/>
          <w:iCs/>
          <w:color w:val="000000"/>
          <w:sz w:val="24"/>
          <w:szCs w:val="24"/>
        </w:rPr>
        <w:lastRenderedPageBreak/>
        <w:t>(I.-</w:t>
      </w:r>
      <w:proofErr w:type="gramStart"/>
      <w:r w:rsidRPr="00F0006E">
        <w:rPr>
          <w:rFonts w:ascii="Arial" w:eastAsia="Times New Roman" w:hAnsi="Arial" w:cs="Arial"/>
          <w:i/>
          <w:iCs/>
          <w:color w:val="000000"/>
          <w:sz w:val="24"/>
          <w:szCs w:val="24"/>
        </w:rPr>
        <w:t>) …</w:t>
      </w:r>
      <w:proofErr w:type="gramEnd"/>
    </w:p>
    <w:p w14:paraId="358E4AF5"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i/>
          <w:iCs/>
          <w:color w:val="000000"/>
          <w:sz w:val="24"/>
          <w:szCs w:val="24"/>
        </w:rPr>
        <w:t>II.- Coordinar la recepción, registro y resguardo de las declaraciones de situación patrimonial y de conflicto de interés de los servidores públicos; III.- Conocer de las quejas, denuncias o recomendaciones que se presenten por el posible incumplimiento de las obligaciones de los servidores públicos de los órganos públicos;</w:t>
      </w:r>
    </w:p>
    <w:p w14:paraId="2EDE6B34"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i/>
          <w:iCs/>
          <w:color w:val="000000"/>
          <w:sz w:val="24"/>
          <w:szCs w:val="24"/>
        </w:rPr>
        <w:t>IV.- Ordenar la realización de investigaciones y, en su caso, los procedimientos de responsabilidad administrativa y resarcitoria correspondientes, en términos del ordenamiento legal en materia de responsabilidades por incumplimiento de los servidores públicos en el que, invariablemente, se deberá observar el principio de presunción de inocencia; </w:t>
      </w:r>
    </w:p>
    <w:p w14:paraId="25C36755"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i/>
          <w:iCs/>
          <w:color w:val="000000"/>
          <w:sz w:val="24"/>
          <w:szCs w:val="24"/>
        </w:rPr>
        <w:t>(V.-)…</w:t>
      </w:r>
    </w:p>
    <w:p w14:paraId="545FFF9E"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i/>
          <w:iCs/>
          <w:color w:val="000000"/>
          <w:sz w:val="24"/>
          <w:szCs w:val="24"/>
        </w:rPr>
        <w:t>(VI.-)…</w:t>
      </w:r>
    </w:p>
    <w:p w14:paraId="01DE4524"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i/>
          <w:iCs/>
          <w:color w:val="000000"/>
          <w:sz w:val="24"/>
          <w:szCs w:val="24"/>
        </w:rPr>
        <w:t>(VII.-)…</w:t>
      </w:r>
    </w:p>
    <w:p w14:paraId="470F2967"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i/>
          <w:iCs/>
          <w:color w:val="000000"/>
          <w:sz w:val="24"/>
          <w:szCs w:val="24"/>
        </w:rPr>
        <w:t>(VIII.-)…</w:t>
      </w:r>
    </w:p>
    <w:p w14:paraId="2BB43E85"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i/>
          <w:iCs/>
          <w:color w:val="000000"/>
          <w:sz w:val="24"/>
          <w:szCs w:val="24"/>
        </w:rPr>
        <w:t>(IX.-)…</w:t>
      </w:r>
    </w:p>
    <w:p w14:paraId="3CCF4697"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i/>
          <w:iCs/>
          <w:color w:val="000000"/>
          <w:sz w:val="24"/>
          <w:szCs w:val="24"/>
        </w:rPr>
        <w:t>(X.-)…</w:t>
      </w:r>
    </w:p>
    <w:p w14:paraId="76D3D343"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i/>
          <w:iCs/>
          <w:color w:val="000000"/>
          <w:sz w:val="24"/>
          <w:szCs w:val="24"/>
        </w:rPr>
        <w:t>XI.- Resolver la suspensión temporal de sus cargos, empleos o comisiones, de los servidores públicos presuntos responsables de incumplimiento, cuando se considere conveniente para la conducción o continuación de las investigaciones, en términos de las disposiciones aplicables;</w:t>
      </w:r>
    </w:p>
    <w:p w14:paraId="375CAB53"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F0006E">
        <w:rPr>
          <w:rFonts w:ascii="Arial" w:eastAsia="Times New Roman" w:hAnsi="Arial" w:cs="Arial"/>
          <w:i/>
          <w:iCs/>
          <w:color w:val="000000"/>
          <w:sz w:val="24"/>
          <w:szCs w:val="24"/>
        </w:rPr>
        <w:t>…”</w:t>
      </w:r>
    </w:p>
    <w:p w14:paraId="79255DE6" w14:textId="77777777" w:rsidR="00BD7FDD" w:rsidRPr="00F0006E" w:rsidRDefault="00BD7FDD" w:rsidP="00BD7FDD">
      <w:pPr>
        <w:spacing w:after="160" w:line="240" w:lineRule="auto"/>
        <w:ind w:left="567" w:right="616"/>
        <w:jc w:val="both"/>
        <w:rPr>
          <w:rFonts w:ascii="Arial" w:eastAsia="Times New Roman" w:hAnsi="Arial" w:cs="Arial"/>
          <w:i/>
          <w:iCs/>
          <w:sz w:val="24"/>
          <w:szCs w:val="24"/>
        </w:rPr>
      </w:pPr>
      <w:r w:rsidRPr="00BD7FDD">
        <w:rPr>
          <w:rFonts w:ascii="Calibri" w:eastAsia="Times New Roman" w:hAnsi="Calibri" w:cs="Calibri"/>
          <w:color w:val="000000"/>
        </w:rPr>
        <w:tab/>
      </w:r>
      <w:r w:rsidRPr="00F0006E">
        <w:rPr>
          <w:rFonts w:ascii="Arial" w:eastAsia="Times New Roman" w:hAnsi="Arial" w:cs="Arial"/>
          <w:i/>
          <w:iCs/>
          <w:color w:val="000000"/>
          <w:sz w:val="24"/>
          <w:szCs w:val="24"/>
        </w:rPr>
        <w:t xml:space="preserve">La autoridad demanda (sic) considera que la facultad del Director de Responsabilidades y Situación Patrimonial de la Secretaría de la Contraloría y Transparencia Gubernamental, para iniciar el procedimiento administrativo disciplinario, radica en la fracción IV del numeral 36 transcrito, pues considera que el término “realización”, plasmado en esa porción normativa, conlleva la interpretación de “iniciar una acción”, por lo que la palabra “realizar” debe entenderse como sinónimo de “iniciar”, con lo que estaba facultado para dictar el auto de inicio referido; circunstancia que se considera incorrecta, pues de atender a dicha interpretación, se le estaría agregando una facultad al Director referido, que no tiene, además, se mermarían las facultades de los Jefes de Departamento de Responsabilidades “A” y “B”, dependientes de la Dirección de Responsabilidades y Situación Patrimonial, quienes de conformidad con el artículo 40 fracción II, del Reglamento Interno de la Secretaría de la Contraloría y Transparencia Gubernamental, publicado en el Periódico Oficial del Gobierno del Estado, el día dos de febrero de dos dieciséis (02/02/2016), tenían como </w:t>
      </w:r>
      <w:r w:rsidRPr="00F0006E">
        <w:rPr>
          <w:rFonts w:ascii="Arial" w:eastAsia="Times New Roman" w:hAnsi="Arial" w:cs="Arial"/>
          <w:b/>
          <w:bCs/>
          <w:i/>
          <w:iCs/>
          <w:color w:val="000000"/>
          <w:sz w:val="24"/>
          <w:szCs w:val="24"/>
        </w:rPr>
        <w:t xml:space="preserve">facultad directa, </w:t>
      </w:r>
      <w:r w:rsidRPr="00F0006E">
        <w:rPr>
          <w:rFonts w:ascii="Arial" w:eastAsia="Times New Roman" w:hAnsi="Arial" w:cs="Arial"/>
          <w:i/>
          <w:iCs/>
          <w:color w:val="000000"/>
          <w:sz w:val="24"/>
          <w:szCs w:val="24"/>
        </w:rPr>
        <w:t xml:space="preserve">la de admitir los procedimientos administrativos de responsabilidad disciplinaria (como el analizado en este asunto), </w:t>
      </w:r>
      <w:r w:rsidRPr="00F0006E">
        <w:rPr>
          <w:rFonts w:ascii="Arial" w:eastAsia="Times New Roman" w:hAnsi="Arial" w:cs="Arial"/>
          <w:b/>
          <w:bCs/>
          <w:i/>
          <w:iCs/>
          <w:color w:val="000000"/>
          <w:sz w:val="24"/>
          <w:szCs w:val="24"/>
        </w:rPr>
        <w:t xml:space="preserve">facultad </w:t>
      </w:r>
      <w:r w:rsidRPr="00F0006E">
        <w:rPr>
          <w:rFonts w:ascii="Arial" w:eastAsia="Times New Roman" w:hAnsi="Arial" w:cs="Arial"/>
          <w:i/>
          <w:iCs/>
          <w:color w:val="000000"/>
          <w:sz w:val="24"/>
          <w:szCs w:val="24"/>
        </w:rPr>
        <w:t xml:space="preserve">que dicha normatividad también prescribió de manera </w:t>
      </w:r>
      <w:r w:rsidRPr="00F0006E">
        <w:rPr>
          <w:rFonts w:ascii="Arial" w:eastAsia="Times New Roman" w:hAnsi="Arial" w:cs="Arial"/>
          <w:b/>
          <w:bCs/>
          <w:i/>
          <w:iCs/>
          <w:color w:val="000000"/>
          <w:sz w:val="24"/>
          <w:szCs w:val="24"/>
        </w:rPr>
        <w:t xml:space="preserve">indirecta </w:t>
      </w:r>
      <w:r w:rsidRPr="00F0006E">
        <w:rPr>
          <w:rFonts w:ascii="Arial" w:eastAsia="Times New Roman" w:hAnsi="Arial" w:cs="Arial"/>
          <w:i/>
          <w:iCs/>
          <w:color w:val="000000"/>
          <w:sz w:val="24"/>
          <w:szCs w:val="24"/>
        </w:rPr>
        <w:t>en favor del Subsecretario de Responsabilidades y Transparencia, en el artículo 34 fracción I de la referida normatividad; artículos que para mejor ilustración se transcriben:</w:t>
      </w:r>
    </w:p>
    <w:p w14:paraId="29903D16" w14:textId="77777777" w:rsidR="00BD7FDD" w:rsidRPr="005A3848" w:rsidRDefault="00BD7FDD" w:rsidP="00BD7FDD">
      <w:pPr>
        <w:spacing w:after="160" w:line="240" w:lineRule="auto"/>
        <w:ind w:left="567" w:right="616"/>
        <w:jc w:val="both"/>
        <w:rPr>
          <w:rFonts w:ascii="Arial" w:eastAsia="Times New Roman" w:hAnsi="Arial" w:cs="Arial"/>
          <w:sz w:val="24"/>
          <w:szCs w:val="24"/>
        </w:rPr>
      </w:pPr>
      <w:r w:rsidRPr="005A3848">
        <w:rPr>
          <w:rFonts w:ascii="Arial" w:eastAsia="Times New Roman" w:hAnsi="Arial" w:cs="Arial"/>
          <w:b/>
          <w:bCs/>
          <w:i/>
          <w:iCs/>
          <w:color w:val="000000"/>
          <w:sz w:val="24"/>
          <w:szCs w:val="24"/>
        </w:rPr>
        <w:t xml:space="preserve">“Artículo 34. </w:t>
      </w:r>
      <w:r w:rsidRPr="005A3848">
        <w:rPr>
          <w:rFonts w:ascii="Arial" w:eastAsia="Times New Roman" w:hAnsi="Arial" w:cs="Arial"/>
          <w:i/>
          <w:iCs/>
          <w:color w:val="000000"/>
          <w:sz w:val="24"/>
          <w:szCs w:val="24"/>
        </w:rPr>
        <w:t>Al frente de la Subsecretaría de Responsabilidades y Transparencia habrá un Subsecretario, quien dependerá directamente del Secretario y tendrá las siguientes facultades: </w:t>
      </w:r>
    </w:p>
    <w:p w14:paraId="1D844AA3" w14:textId="77777777" w:rsidR="00BD7FDD" w:rsidRPr="005A3848" w:rsidRDefault="00BD7FDD" w:rsidP="00BD7FDD">
      <w:pPr>
        <w:spacing w:after="160" w:line="240" w:lineRule="auto"/>
        <w:ind w:left="567" w:right="616"/>
        <w:jc w:val="both"/>
        <w:rPr>
          <w:rFonts w:ascii="Arial" w:eastAsia="Times New Roman" w:hAnsi="Arial" w:cs="Arial"/>
          <w:sz w:val="24"/>
          <w:szCs w:val="24"/>
        </w:rPr>
      </w:pPr>
      <w:r w:rsidRPr="005A3848">
        <w:rPr>
          <w:rFonts w:ascii="Arial" w:eastAsia="Times New Roman" w:hAnsi="Arial" w:cs="Arial"/>
          <w:i/>
          <w:iCs/>
          <w:color w:val="000000"/>
          <w:sz w:val="24"/>
          <w:szCs w:val="24"/>
        </w:rPr>
        <w:lastRenderedPageBreak/>
        <w:t xml:space="preserve">I.- Coordinar y </w:t>
      </w:r>
      <w:r w:rsidRPr="005A3848">
        <w:rPr>
          <w:rFonts w:ascii="Arial" w:eastAsia="Times New Roman" w:hAnsi="Arial" w:cs="Arial"/>
          <w:b/>
          <w:bCs/>
          <w:i/>
          <w:iCs/>
          <w:color w:val="000000"/>
          <w:sz w:val="24"/>
          <w:szCs w:val="24"/>
        </w:rPr>
        <w:t xml:space="preserve">en su caso admitir, </w:t>
      </w:r>
      <w:r w:rsidRPr="005A3848">
        <w:rPr>
          <w:rFonts w:ascii="Arial" w:eastAsia="Times New Roman" w:hAnsi="Arial" w:cs="Arial"/>
          <w:i/>
          <w:iCs/>
          <w:color w:val="000000"/>
          <w:sz w:val="24"/>
          <w:szCs w:val="24"/>
        </w:rPr>
        <w:t xml:space="preserve">iniciar, tramitar y desahogar </w:t>
      </w:r>
      <w:r w:rsidRPr="005A3848">
        <w:rPr>
          <w:rFonts w:ascii="Arial" w:eastAsia="Times New Roman" w:hAnsi="Arial" w:cs="Arial"/>
          <w:b/>
          <w:bCs/>
          <w:i/>
          <w:iCs/>
          <w:color w:val="000000"/>
          <w:sz w:val="24"/>
          <w:szCs w:val="24"/>
        </w:rPr>
        <w:t xml:space="preserve">los procedimientos administrativos de responsabilidad disciplinaria </w:t>
      </w:r>
      <w:r w:rsidRPr="005A3848">
        <w:rPr>
          <w:rFonts w:ascii="Arial" w:eastAsia="Times New Roman" w:hAnsi="Arial" w:cs="Arial"/>
          <w:i/>
          <w:iCs/>
          <w:color w:val="000000"/>
          <w:sz w:val="24"/>
          <w:szCs w:val="24"/>
        </w:rPr>
        <w:t>y resarcitoria, derivados de los actos u omisiones de los sujetos a la Ley de Responsabilidades, en el ámbito de competencia</w:t>
      </w:r>
      <w:proofErr w:type="gramStart"/>
      <w:r w:rsidRPr="005A3848">
        <w:rPr>
          <w:rFonts w:ascii="Arial" w:eastAsia="Times New Roman" w:hAnsi="Arial" w:cs="Arial"/>
          <w:i/>
          <w:iCs/>
          <w:color w:val="000000"/>
          <w:sz w:val="24"/>
          <w:szCs w:val="24"/>
        </w:rPr>
        <w:t>; …”</w:t>
      </w:r>
      <w:proofErr w:type="gramEnd"/>
    </w:p>
    <w:p w14:paraId="77301A4A" w14:textId="77777777" w:rsidR="00BD7FDD" w:rsidRPr="005A3848" w:rsidRDefault="00BD7FDD" w:rsidP="00BD7FDD">
      <w:pPr>
        <w:spacing w:after="160" w:line="240" w:lineRule="auto"/>
        <w:ind w:left="567" w:right="616"/>
        <w:jc w:val="both"/>
        <w:rPr>
          <w:rFonts w:ascii="Arial" w:eastAsia="Times New Roman" w:hAnsi="Arial" w:cs="Arial"/>
          <w:sz w:val="24"/>
          <w:szCs w:val="24"/>
        </w:rPr>
      </w:pPr>
      <w:r w:rsidRPr="005A3848">
        <w:rPr>
          <w:rFonts w:ascii="Arial" w:eastAsia="Times New Roman" w:hAnsi="Arial" w:cs="Arial"/>
          <w:b/>
          <w:bCs/>
          <w:i/>
          <w:iCs/>
          <w:color w:val="000000"/>
          <w:sz w:val="24"/>
          <w:szCs w:val="24"/>
        </w:rPr>
        <w:t xml:space="preserve">“Artículo 40. </w:t>
      </w:r>
      <w:r w:rsidRPr="005A3848">
        <w:rPr>
          <w:rFonts w:ascii="Arial" w:eastAsia="Times New Roman" w:hAnsi="Arial" w:cs="Arial"/>
          <w:i/>
          <w:iCs/>
          <w:color w:val="000000"/>
          <w:sz w:val="24"/>
          <w:szCs w:val="24"/>
        </w:rPr>
        <w:t>Al frente de los Departamentos de Responsabilidades Administrativas “A” y “B” habrá Jefes de Departamento, quienes dependerán directamente del Director de Responsabilidades y Situación Patrimonial, y tendrán las siguientes facultades: </w:t>
      </w:r>
    </w:p>
    <w:p w14:paraId="0B6D893D" w14:textId="77777777" w:rsidR="00BD7FDD" w:rsidRPr="005A3848" w:rsidRDefault="00BD7FDD" w:rsidP="00BD7FDD">
      <w:pPr>
        <w:spacing w:after="160" w:line="240" w:lineRule="auto"/>
        <w:ind w:left="567" w:right="616"/>
        <w:jc w:val="both"/>
        <w:rPr>
          <w:rFonts w:ascii="Arial" w:eastAsia="Times New Roman" w:hAnsi="Arial" w:cs="Arial"/>
          <w:sz w:val="24"/>
          <w:szCs w:val="24"/>
        </w:rPr>
      </w:pPr>
      <w:r w:rsidRPr="005A3848">
        <w:rPr>
          <w:rFonts w:ascii="Arial" w:eastAsia="Times New Roman" w:hAnsi="Arial" w:cs="Arial"/>
          <w:i/>
          <w:iCs/>
          <w:color w:val="000000"/>
          <w:sz w:val="24"/>
          <w:szCs w:val="24"/>
        </w:rPr>
        <w:t>(I.</w:t>
      </w:r>
      <w:proofErr w:type="gramStart"/>
      <w:r w:rsidRPr="005A3848">
        <w:rPr>
          <w:rFonts w:ascii="Arial" w:eastAsia="Times New Roman" w:hAnsi="Arial" w:cs="Arial"/>
          <w:i/>
          <w:iCs/>
          <w:color w:val="000000"/>
          <w:sz w:val="24"/>
          <w:szCs w:val="24"/>
        </w:rPr>
        <w:t>- …</w:t>
      </w:r>
      <w:proofErr w:type="gramEnd"/>
      <w:r w:rsidRPr="005A3848">
        <w:rPr>
          <w:rFonts w:ascii="Arial" w:eastAsia="Times New Roman" w:hAnsi="Arial" w:cs="Arial"/>
          <w:i/>
          <w:iCs/>
          <w:color w:val="000000"/>
          <w:sz w:val="24"/>
          <w:szCs w:val="24"/>
        </w:rPr>
        <w:t>) </w:t>
      </w:r>
    </w:p>
    <w:p w14:paraId="0436A27C" w14:textId="77777777" w:rsidR="00BD7FDD" w:rsidRPr="005A3848" w:rsidRDefault="00BD7FDD" w:rsidP="00BD7FDD">
      <w:pPr>
        <w:spacing w:after="160" w:line="240" w:lineRule="auto"/>
        <w:ind w:left="567" w:right="616"/>
        <w:jc w:val="both"/>
        <w:rPr>
          <w:rFonts w:ascii="Arial" w:eastAsia="Times New Roman" w:hAnsi="Arial" w:cs="Arial"/>
          <w:sz w:val="24"/>
          <w:szCs w:val="24"/>
        </w:rPr>
      </w:pPr>
      <w:r w:rsidRPr="005A3848">
        <w:rPr>
          <w:rFonts w:ascii="Arial" w:eastAsia="Times New Roman" w:hAnsi="Arial" w:cs="Arial"/>
          <w:i/>
          <w:iCs/>
          <w:color w:val="000000"/>
          <w:sz w:val="24"/>
          <w:szCs w:val="24"/>
        </w:rPr>
        <w:t xml:space="preserve">II.- </w:t>
      </w:r>
      <w:r w:rsidRPr="005A3848">
        <w:rPr>
          <w:rFonts w:ascii="Arial" w:eastAsia="Times New Roman" w:hAnsi="Arial" w:cs="Arial"/>
          <w:b/>
          <w:bCs/>
          <w:i/>
          <w:iCs/>
          <w:color w:val="000000"/>
          <w:sz w:val="24"/>
          <w:szCs w:val="24"/>
        </w:rPr>
        <w:t xml:space="preserve">Admitir los procedimientos administrativos de responsabilidad disciplinaria </w:t>
      </w:r>
      <w:r w:rsidRPr="005A3848">
        <w:rPr>
          <w:rFonts w:ascii="Arial" w:eastAsia="Times New Roman" w:hAnsi="Arial" w:cs="Arial"/>
          <w:i/>
          <w:iCs/>
          <w:color w:val="000000"/>
          <w:sz w:val="24"/>
          <w:szCs w:val="24"/>
        </w:rPr>
        <w:t>y resarcitoria derivados de actos u omisiones de los sujetos a la Ley de Responsabilidades, ene I (sic) ámbito de competencias</w:t>
      </w:r>
      <w:proofErr w:type="gramStart"/>
      <w:r w:rsidRPr="005A3848">
        <w:rPr>
          <w:rFonts w:ascii="Arial" w:eastAsia="Times New Roman" w:hAnsi="Arial" w:cs="Arial"/>
          <w:i/>
          <w:iCs/>
          <w:color w:val="000000"/>
          <w:sz w:val="24"/>
          <w:szCs w:val="24"/>
        </w:rPr>
        <w:t>; …</w:t>
      </w:r>
      <w:proofErr w:type="gramEnd"/>
      <w:r w:rsidRPr="005A3848">
        <w:rPr>
          <w:rFonts w:ascii="Arial" w:eastAsia="Times New Roman" w:hAnsi="Arial" w:cs="Arial"/>
          <w:i/>
          <w:iCs/>
          <w:color w:val="000000"/>
          <w:sz w:val="24"/>
          <w:szCs w:val="24"/>
        </w:rPr>
        <w:t>” (Lo resaltado no es de origen) </w:t>
      </w:r>
    </w:p>
    <w:p w14:paraId="3F0420CD" w14:textId="77777777" w:rsidR="00BD7FDD" w:rsidRPr="005A3848" w:rsidRDefault="00BD7FDD" w:rsidP="00BD7FDD">
      <w:pPr>
        <w:spacing w:after="160" w:line="240" w:lineRule="auto"/>
        <w:ind w:left="567" w:right="616"/>
        <w:jc w:val="both"/>
        <w:rPr>
          <w:rFonts w:ascii="Arial" w:eastAsia="Times New Roman" w:hAnsi="Arial" w:cs="Arial"/>
          <w:i/>
          <w:iCs/>
          <w:sz w:val="24"/>
          <w:szCs w:val="24"/>
        </w:rPr>
      </w:pPr>
      <w:r w:rsidRPr="005A3848">
        <w:rPr>
          <w:rFonts w:ascii="Arial" w:eastAsia="Times New Roman" w:hAnsi="Arial" w:cs="Arial"/>
          <w:i/>
          <w:iCs/>
          <w:color w:val="000000"/>
          <w:sz w:val="24"/>
          <w:szCs w:val="24"/>
        </w:rPr>
        <w:t xml:space="preserve">En consecuencia, contrario a lo expuesto por la autoridad demandada, la fracción IV del numeral 36 del Reglamento Interno de la Secretaría de la Contraloría y Transparencia Gubernamental, publicado en el Periódico Oficial del Gobierno del Estado, el día dos de febrero de dos mil dieciséis (02/02/2016), no le otorga la facultad al Director de Responsabilidades y Situación Patrimonial de la Secretaría de la Contraloría y Transparencia Gubernamental, de dictar el acuerdo de admisión e inicio del procedimiento administrativo de responsabilidad disciplinaria, en consecuencia, resulta </w:t>
      </w:r>
      <w:r w:rsidRPr="005A3848">
        <w:rPr>
          <w:rFonts w:ascii="Arial" w:eastAsia="Times New Roman" w:hAnsi="Arial" w:cs="Arial"/>
          <w:b/>
          <w:bCs/>
          <w:i/>
          <w:iCs/>
          <w:color w:val="000000"/>
          <w:sz w:val="24"/>
          <w:szCs w:val="24"/>
        </w:rPr>
        <w:t>fundado el agravio expuesto por el actor.</w:t>
      </w:r>
    </w:p>
    <w:p w14:paraId="1C6B2354" w14:textId="77777777" w:rsidR="00BD7FDD" w:rsidRPr="005A3848" w:rsidRDefault="00BD7FDD" w:rsidP="00BD7FDD">
      <w:pPr>
        <w:spacing w:after="160" w:line="240" w:lineRule="auto"/>
        <w:ind w:left="567" w:right="616"/>
        <w:jc w:val="both"/>
        <w:rPr>
          <w:rFonts w:ascii="Arial" w:eastAsia="Times New Roman" w:hAnsi="Arial" w:cs="Arial"/>
          <w:i/>
          <w:iCs/>
          <w:sz w:val="24"/>
          <w:szCs w:val="24"/>
        </w:rPr>
      </w:pPr>
      <w:r w:rsidRPr="005A3848">
        <w:rPr>
          <w:rFonts w:ascii="Arial" w:eastAsia="Times New Roman" w:hAnsi="Arial" w:cs="Arial"/>
          <w:i/>
          <w:iCs/>
          <w:color w:val="000000"/>
          <w:sz w:val="24"/>
          <w:szCs w:val="24"/>
        </w:rPr>
        <w:t xml:space="preserve">Con lo anterior expuesto, se considera que todo el procedimiento llevado a cabo en contra del hoy actor, se desarrolló en forma irregular, afectando todo el procedimiento porque en el Reglamento Interno de la Secretaría de la Contraloría y Transparencia Gubernamental, publicado en el Periódico Oficial del Gobierno del Estado, el día dos de febrero de dos mil dieciséis (02/02/2016), existen determinaciones claras que impedían al Director de Responsabilidades y Situación Patrimonial de la Secretaría de la Contraloría y Transparencia Gubernamental, dictar el acuerdo de inicio del procedimiento administrativo de responsabilidad disciplinaria en contra del actor, precisamente para evitar ser Juez y parte, por lo que se considera que el citado Director </w:t>
      </w:r>
      <w:r w:rsidRPr="005A3848">
        <w:rPr>
          <w:rFonts w:ascii="Arial" w:eastAsia="Times New Roman" w:hAnsi="Arial" w:cs="Arial"/>
          <w:b/>
          <w:bCs/>
          <w:i/>
          <w:iCs/>
          <w:color w:val="000000"/>
          <w:sz w:val="24"/>
          <w:szCs w:val="24"/>
        </w:rPr>
        <w:t xml:space="preserve">se arrogo una facultad que no le correspondía; </w:t>
      </w:r>
      <w:r w:rsidRPr="005A3848">
        <w:rPr>
          <w:rFonts w:ascii="Arial" w:eastAsia="Times New Roman" w:hAnsi="Arial" w:cs="Arial"/>
          <w:i/>
          <w:iCs/>
          <w:color w:val="000000"/>
          <w:sz w:val="24"/>
          <w:szCs w:val="24"/>
        </w:rPr>
        <w:t> además ha sido criterio de la Suprema Corte de Justicia de la Nación, referente a que la fundamentación en la competencia de las autoridades administrativas, es requisito esencial del acto de autoridad, toda vez que el artículo 14 y 16 de la Constitución Política de los Estados Unidos Mexicanos, prevén que todo acto de molestia debe contener como requisito, entre otros, ser emitido por autoridad competente, de lo contrario, se dejaría en estado de indefensión a los administrados, ya que al no conocer el apoyo que faculte a la autoridad para emitir el acto, ni el carácter con que lo emite, no se le otorga oportunidad de examinar si su actuación se encuentra o no dentro del ámbito competencial respectivo, consecuentemente el citado Director violentó el principio de legalidad con su actuar, el cual prescribe que las autoridades solo pueden hacer aquello para lo que expresamente los faculta la ley. </w:t>
      </w:r>
    </w:p>
    <w:p w14:paraId="55371299" w14:textId="77777777" w:rsidR="00BD7FDD" w:rsidRPr="005A3848" w:rsidRDefault="00BD7FDD" w:rsidP="00BD7FDD">
      <w:pPr>
        <w:spacing w:after="160" w:line="240" w:lineRule="auto"/>
        <w:ind w:left="567" w:right="616"/>
        <w:jc w:val="both"/>
        <w:rPr>
          <w:rFonts w:ascii="Arial" w:eastAsia="Times New Roman" w:hAnsi="Arial" w:cs="Arial"/>
          <w:i/>
          <w:iCs/>
          <w:sz w:val="24"/>
          <w:szCs w:val="24"/>
        </w:rPr>
      </w:pPr>
      <w:r w:rsidRPr="005A3848">
        <w:rPr>
          <w:rFonts w:ascii="Arial" w:eastAsia="Times New Roman" w:hAnsi="Arial" w:cs="Arial"/>
          <w:i/>
          <w:iCs/>
          <w:color w:val="000000"/>
          <w:sz w:val="24"/>
          <w:szCs w:val="24"/>
        </w:rPr>
        <w:t>Sirve de apoyo a lo anterior, las Jurisprudencias sustentadas por la Suprema Corte de Justicia de las (sic) Nación con datos de identificación siguientes: </w:t>
      </w:r>
    </w:p>
    <w:p w14:paraId="3CD1638E" w14:textId="77777777" w:rsidR="00BD7FDD" w:rsidRPr="005A3848" w:rsidRDefault="00BD7FDD" w:rsidP="00BD7FDD">
      <w:pPr>
        <w:spacing w:after="160" w:line="240" w:lineRule="auto"/>
        <w:ind w:left="567" w:right="616"/>
        <w:jc w:val="both"/>
        <w:rPr>
          <w:rFonts w:ascii="Arial" w:eastAsia="Times New Roman" w:hAnsi="Arial" w:cs="Arial"/>
          <w:i/>
          <w:iCs/>
          <w:sz w:val="24"/>
          <w:szCs w:val="24"/>
        </w:rPr>
      </w:pPr>
      <w:r w:rsidRPr="005A3848">
        <w:rPr>
          <w:rFonts w:ascii="Arial" w:eastAsia="Times New Roman" w:hAnsi="Arial" w:cs="Arial"/>
          <w:i/>
          <w:iCs/>
          <w:color w:val="000000"/>
          <w:sz w:val="24"/>
          <w:szCs w:val="24"/>
        </w:rPr>
        <w:tab/>
        <w:t xml:space="preserve">Gaceta del Semanario Judicial de la Federación, Número 77, mayo de 1994, Octava Época, pág. 12, número de registro 205463, Jurisprudencia Común, Pleno, y bajo el rubro: “COMPETENCIA. </w:t>
      </w:r>
      <w:r w:rsidRPr="005A3848">
        <w:rPr>
          <w:rFonts w:ascii="Arial" w:eastAsia="Times New Roman" w:hAnsi="Arial" w:cs="Arial"/>
          <w:i/>
          <w:iCs/>
          <w:color w:val="000000"/>
          <w:sz w:val="24"/>
          <w:szCs w:val="24"/>
        </w:rPr>
        <w:lastRenderedPageBreak/>
        <w:t>SU FUNDAMENTACIÓN ES REQUISITO ESENCIAL DEL ACTO DE AUTORIDAD.”</w:t>
      </w:r>
    </w:p>
    <w:p w14:paraId="47E50E9C" w14:textId="77777777" w:rsidR="00BD7FDD" w:rsidRPr="005A3848" w:rsidRDefault="00BD7FDD" w:rsidP="00BD7FDD">
      <w:pPr>
        <w:spacing w:after="160" w:line="240" w:lineRule="auto"/>
        <w:ind w:left="567" w:right="616"/>
        <w:jc w:val="both"/>
        <w:rPr>
          <w:rFonts w:ascii="Arial" w:eastAsia="Times New Roman" w:hAnsi="Arial" w:cs="Arial"/>
          <w:i/>
          <w:iCs/>
          <w:sz w:val="24"/>
          <w:szCs w:val="24"/>
        </w:rPr>
      </w:pPr>
      <w:r w:rsidRPr="005A3848">
        <w:rPr>
          <w:rFonts w:ascii="Arial" w:eastAsia="Times New Roman" w:hAnsi="Arial" w:cs="Arial"/>
          <w:i/>
          <w:iCs/>
          <w:color w:val="000000"/>
          <w:sz w:val="24"/>
          <w:szCs w:val="24"/>
        </w:rPr>
        <w:tab/>
        <w:t>Semanario Judicial de la Federación y su Gaceta, Tomo XXXIV, Agosto de 2011, Novena Época, pág. 352, número de registro 161237 Jurisprudencia (Administrativa), Segunda Sala, y bajo el rubro: “PROCEDIMIENTO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396E5036" w14:textId="77777777" w:rsidR="00BD7FDD" w:rsidRPr="005A3848" w:rsidRDefault="00BD7FDD" w:rsidP="00BD7FDD">
      <w:pPr>
        <w:spacing w:after="160" w:line="240" w:lineRule="auto"/>
        <w:ind w:left="567" w:right="616"/>
        <w:jc w:val="both"/>
        <w:rPr>
          <w:rFonts w:ascii="Arial" w:eastAsia="Times New Roman" w:hAnsi="Arial" w:cs="Arial"/>
          <w:i/>
          <w:iCs/>
          <w:sz w:val="24"/>
          <w:szCs w:val="24"/>
        </w:rPr>
      </w:pPr>
      <w:r w:rsidRPr="005A3848">
        <w:rPr>
          <w:rFonts w:ascii="Arial" w:eastAsia="Times New Roman" w:hAnsi="Arial" w:cs="Arial"/>
          <w:i/>
          <w:iCs/>
          <w:color w:val="000000"/>
          <w:sz w:val="24"/>
          <w:szCs w:val="24"/>
        </w:rPr>
        <w:tab/>
        <w:t>Semanario Judicial de la Federación y su Gaceta, Tomo XXVI, Diciembre de 2007, Novena Época, pág. 154, registro 170827, Jurisprudencia (Administrativa), Segunda Sala, y bajo el rubro: “COMPETENCIA. SU ESTUDIO OFICIOSO RESPECTO DE LA AUTORIDAD DEMANDADA EN EL JUICIO CONTENCIOSO ADMINISTRATIVO, DEBE SER ANALIZADA POR LAS SALAS DEL TRIBUNAL FEDERAL DE JUSTICIA FISCAL Y ADMINISTRATIVA.”</w:t>
      </w:r>
    </w:p>
    <w:p w14:paraId="580803C7" w14:textId="77777777" w:rsidR="00BD7FDD" w:rsidRPr="005A3848" w:rsidRDefault="00BD7FDD" w:rsidP="00BD7FDD">
      <w:pPr>
        <w:spacing w:after="160" w:line="240" w:lineRule="auto"/>
        <w:ind w:left="567" w:right="616"/>
        <w:jc w:val="both"/>
        <w:rPr>
          <w:rFonts w:ascii="Arial" w:eastAsia="Times New Roman" w:hAnsi="Arial" w:cs="Arial"/>
          <w:i/>
          <w:iCs/>
          <w:sz w:val="24"/>
          <w:szCs w:val="24"/>
        </w:rPr>
      </w:pPr>
      <w:r w:rsidRPr="005A3848">
        <w:rPr>
          <w:rFonts w:ascii="Arial" w:eastAsia="Times New Roman" w:hAnsi="Arial" w:cs="Arial"/>
          <w:i/>
          <w:iCs/>
          <w:color w:val="000000"/>
          <w:sz w:val="24"/>
          <w:szCs w:val="24"/>
        </w:rPr>
        <w:t>Semanario Judicial de la Federación y su Gaceta, Tomo XXVII, Febrero de 2008, Novena Época, pág. 596, registro 170191, Jurisprudencia Administrativa, Segunda Sala y bajo el rubro: “RESPONSABILIDADES ADMINISTRATIVAS DE LOS SERVIDORES PÚBLICOS. LAS VIOLACIONES AL PROCEDIMIENTO DE INVESTIGACIÓN O AUDITORÍA PUEDEN RECLAMARSE EN EL JUICIO DE NULIDAD CONTRA LA RESOLUCIÓN DISCIPLINARIA Y EL PLANTEAMIENTO RESPECTIVO DEBERÁ ESTUDIARSE POR EL TRIBUNAL FEDERAL DE JUSTICIA FISCAL Y ADMINISTRATIVA.”</w:t>
      </w:r>
    </w:p>
    <w:p w14:paraId="4685D32B" w14:textId="77777777" w:rsidR="00BD7FDD" w:rsidRPr="005A3848" w:rsidRDefault="00BD7FDD" w:rsidP="00BD7FDD">
      <w:pPr>
        <w:spacing w:after="160" w:line="240" w:lineRule="auto"/>
        <w:ind w:left="567" w:right="616"/>
        <w:jc w:val="both"/>
        <w:rPr>
          <w:rFonts w:ascii="Arial" w:eastAsia="Times New Roman" w:hAnsi="Arial" w:cs="Arial"/>
          <w:i/>
          <w:iCs/>
          <w:sz w:val="24"/>
          <w:szCs w:val="24"/>
        </w:rPr>
      </w:pPr>
      <w:r w:rsidRPr="005A3848">
        <w:rPr>
          <w:rFonts w:ascii="Arial" w:eastAsia="Times New Roman" w:hAnsi="Arial" w:cs="Arial"/>
          <w:i/>
          <w:iCs/>
          <w:color w:val="000000"/>
          <w:sz w:val="24"/>
          <w:szCs w:val="24"/>
        </w:rPr>
        <w:tab/>
        <w:t>Semanario Judicial de la Federación y su Gaceta, Tomo II, Diciembre de 1995, Novena Época, pág. 133, registro 200234, Jurisprudencia Constitucional, Común, Pleno, y bajo el rubro: “FORMALIDADES ESENCIALES DEL PROCEDIMIENTO. SON LAS QUE GARANTIZAN UNA ADECUADA Y OPORTUNA DEFENSA PREVIA AL ACTO PRIVATIVO.”</w:t>
      </w:r>
    </w:p>
    <w:p w14:paraId="1702E55A" w14:textId="77777777" w:rsidR="00BD7FDD" w:rsidRPr="005A3848" w:rsidRDefault="00BD7FDD" w:rsidP="00BD7FDD">
      <w:pPr>
        <w:spacing w:after="160" w:line="240" w:lineRule="auto"/>
        <w:ind w:left="567" w:right="616"/>
        <w:jc w:val="both"/>
        <w:rPr>
          <w:rFonts w:ascii="Arial" w:eastAsia="Times New Roman" w:hAnsi="Arial" w:cs="Arial"/>
          <w:i/>
          <w:iCs/>
          <w:sz w:val="24"/>
          <w:szCs w:val="24"/>
        </w:rPr>
      </w:pPr>
      <w:r w:rsidRPr="005A3848">
        <w:rPr>
          <w:rFonts w:ascii="Arial" w:eastAsia="Times New Roman" w:hAnsi="Arial" w:cs="Arial"/>
          <w:i/>
          <w:iCs/>
          <w:color w:val="000000"/>
          <w:sz w:val="24"/>
          <w:szCs w:val="24"/>
        </w:rPr>
        <w:tab/>
        <w:t>Gaceta del Semanario Judicial de la Federación. Núm. 54, Junio de 1992, Octava Época, pág. 67, registro 219054, Jurisprudencia Administrativa, Tribunales Colegiados de Circuito, y de rubro: “CONTENCIOSO ADMINISTRATIVO, FACULTADES DE LAS AUTORIDADES DEBEN ESTAR EXPRESAMENTE ESTABLECIDAS EN LA LEY.”</w:t>
      </w:r>
    </w:p>
    <w:p w14:paraId="6525612B" w14:textId="36D1D2F6" w:rsidR="00BD7FDD" w:rsidRPr="005A3848" w:rsidRDefault="00BD7FDD" w:rsidP="000F786E">
      <w:pPr>
        <w:spacing w:after="160" w:line="240" w:lineRule="auto"/>
        <w:ind w:left="567" w:right="616"/>
        <w:jc w:val="both"/>
        <w:rPr>
          <w:rFonts w:ascii="Arial" w:eastAsia="Times New Roman" w:hAnsi="Arial" w:cs="Arial"/>
          <w:i/>
          <w:iCs/>
          <w:sz w:val="24"/>
          <w:szCs w:val="24"/>
        </w:rPr>
      </w:pPr>
      <w:r w:rsidRPr="005A3848">
        <w:rPr>
          <w:rFonts w:ascii="Arial" w:eastAsia="Times New Roman" w:hAnsi="Arial" w:cs="Arial"/>
          <w:i/>
          <w:iCs/>
          <w:color w:val="000000"/>
          <w:sz w:val="24"/>
          <w:szCs w:val="24"/>
        </w:rPr>
        <w:tab/>
        <w:t xml:space="preserve">En relatadas consideraciones, al acreditarse violaciones en el procedimiento administrativo llevado a cabo en contra del actor, sin duda que afectaron en su derecho a una defensa adecuada, consecuentemente, </w:t>
      </w:r>
      <w:r w:rsidRPr="005A3848">
        <w:rPr>
          <w:rFonts w:ascii="Arial" w:eastAsia="Times New Roman" w:hAnsi="Arial" w:cs="Arial"/>
          <w:b/>
          <w:bCs/>
          <w:i/>
          <w:iCs/>
          <w:color w:val="000000"/>
          <w:sz w:val="24"/>
          <w:szCs w:val="24"/>
        </w:rPr>
        <w:t xml:space="preserve">se declara la NULIDAD </w:t>
      </w:r>
      <w:r w:rsidRPr="005A3848">
        <w:rPr>
          <w:rFonts w:ascii="Arial" w:eastAsia="Times New Roman" w:hAnsi="Arial" w:cs="Arial"/>
          <w:i/>
          <w:iCs/>
          <w:color w:val="000000"/>
          <w:sz w:val="24"/>
          <w:szCs w:val="24"/>
        </w:rPr>
        <w:t xml:space="preserve">del acuerdo dictado con fecha dieciséis de agosto de dos mil diecisiete (16/08/2017), por el Director de Responsabilidades y Situación Patrimonial de la Secretaría de la Contraloría y Transparencia Gubernamental, en el Expediente (sic) administrativo 46/RA-B/2016, </w:t>
      </w:r>
      <w:r w:rsidR="000F786E" w:rsidRPr="005A3848">
        <w:rPr>
          <w:rFonts w:ascii="Arial" w:eastAsia="Times New Roman" w:hAnsi="Arial" w:cs="Arial"/>
          <w:i/>
          <w:iCs/>
          <w:color w:val="000000"/>
          <w:sz w:val="24"/>
          <w:szCs w:val="24"/>
        </w:rPr>
        <w:t>y toda vez que ha sido criterio de la Corte, que si un acto o diligencia de la autoridad está viciado y resulta inconstitucional, todos los actos derivados de él, o que se apoyen en él, o que de alguna forma estén condicionados por él, resultan también inconstitucionales por su origen, como consecuencia de lo anterior,</w:t>
      </w:r>
      <w:r w:rsidRPr="005A3848">
        <w:rPr>
          <w:rFonts w:ascii="Arial" w:eastAsia="Times New Roman" w:hAnsi="Arial" w:cs="Arial"/>
          <w:i/>
          <w:iCs/>
          <w:color w:val="000000"/>
          <w:sz w:val="24"/>
          <w:szCs w:val="24"/>
        </w:rPr>
        <w:t xml:space="preserve"> </w:t>
      </w:r>
      <w:r w:rsidRPr="005A3848">
        <w:rPr>
          <w:rFonts w:ascii="Arial" w:eastAsia="Times New Roman" w:hAnsi="Arial" w:cs="Arial"/>
          <w:b/>
          <w:bCs/>
          <w:i/>
          <w:iCs/>
          <w:color w:val="000000"/>
          <w:sz w:val="24"/>
          <w:szCs w:val="24"/>
        </w:rPr>
        <w:t xml:space="preserve">se declara la NULIDAD </w:t>
      </w:r>
      <w:r w:rsidRPr="005A3848">
        <w:rPr>
          <w:rFonts w:ascii="Arial" w:eastAsia="Times New Roman" w:hAnsi="Arial" w:cs="Arial"/>
          <w:i/>
          <w:iCs/>
          <w:color w:val="000000"/>
          <w:sz w:val="24"/>
          <w:szCs w:val="24"/>
        </w:rPr>
        <w:t xml:space="preserve">de todas las actuaciones llevadas a cabo en los expedientes </w:t>
      </w:r>
      <w:r w:rsidRPr="005A3848">
        <w:rPr>
          <w:rFonts w:ascii="Arial" w:eastAsia="Times New Roman" w:hAnsi="Arial" w:cs="Arial"/>
          <w:i/>
          <w:iCs/>
          <w:color w:val="000000"/>
          <w:sz w:val="24"/>
          <w:szCs w:val="24"/>
        </w:rPr>
        <w:lastRenderedPageBreak/>
        <w:t xml:space="preserve">administrativos números 46/RA-B/2016, y 07/RR/2018, del índice de la Secretaría de la Contraloría y Transparencia Gubernamental, lo que incluye el registro de la sanción impuesta al actor (de haberse efectuado la misma), lo anterior </w:t>
      </w:r>
      <w:r w:rsidRPr="005A3848">
        <w:rPr>
          <w:rFonts w:ascii="Arial" w:eastAsia="Times New Roman" w:hAnsi="Arial" w:cs="Arial"/>
          <w:b/>
          <w:bCs/>
          <w:i/>
          <w:iCs/>
          <w:color w:val="000000"/>
          <w:sz w:val="24"/>
          <w:szCs w:val="24"/>
        </w:rPr>
        <w:t xml:space="preserve">para el efecto </w:t>
      </w:r>
      <w:r w:rsidRPr="005A3848">
        <w:rPr>
          <w:rFonts w:ascii="Arial" w:eastAsia="Times New Roman" w:hAnsi="Arial" w:cs="Arial"/>
          <w:i/>
          <w:iCs/>
          <w:color w:val="000000"/>
          <w:sz w:val="24"/>
          <w:szCs w:val="24"/>
        </w:rPr>
        <w:t>de que el Director de Procedimientos Jurídicos de la Secretaría de la Contraloría y Transparencia Gubernamental, dicte un acuerdo en el que remita a la autoridad administrativa competente, el memorándum número SCT/SRT/DRSP/IQD-A/273/2016, de fecha diecisiete de octubre de dos mil dieciséis (17/10/2016), emitido por el Jefe del Departamento de Investigación de Queja y Denuncias “A”, adscrita a la Dirección de Responsabilidades y Situación Patrimonial de la Secretaria de la Contraloría y Transparencia Gubernamental, y que con plenitud de jurisdicción, aquella acuerde iniciar o no, procedimiento administrativo disciplinario en contra del actor, lo anterior de conformidad con lo dispuesto en los artículos 208 fracción I, III y último párrafo, y 209 de la Ley de Justicia Administrativa para el Estado de Oaxaca. Sirve de apoyo a lo anterior, la Jurisprudencia con datos de identificación: Gaceta del Semanario Judicial de la Federación, Libro 14, Enero de 2015, Tomo II, Decima Época, pág. 1659, registro 2008190, Jurisprudencia Administrativa, Tribunales Colegiados de Circuito, de rubro: “SENTENCIAS DE NULIDAD. FORMA EN QUE LAS AUTORIDADES DEBEN CUMPLIRLAS, EN ATENCIÓN AL ORIGEN DE LA RESOLUCIÓN IMPUGNADA Y LOS VICIOS DETECTADOS, CONFORME A LA LEY FEDERAL DE PROCEDIMIENTO CONTENCIOSO ADMINISTRATIVO.”</w:t>
      </w:r>
    </w:p>
    <w:p w14:paraId="660DA6A7" w14:textId="77777777" w:rsidR="00BD7FDD" w:rsidRPr="005A3848" w:rsidRDefault="00BD7FDD" w:rsidP="00BD7FDD">
      <w:pPr>
        <w:spacing w:after="160" w:line="240" w:lineRule="auto"/>
        <w:ind w:left="567" w:right="616"/>
        <w:jc w:val="both"/>
        <w:rPr>
          <w:rFonts w:ascii="Arial" w:eastAsia="Times New Roman" w:hAnsi="Arial" w:cs="Arial"/>
          <w:i/>
          <w:iCs/>
          <w:sz w:val="24"/>
          <w:szCs w:val="24"/>
        </w:rPr>
      </w:pPr>
      <w:r w:rsidRPr="005A3848">
        <w:rPr>
          <w:rFonts w:ascii="Arial" w:eastAsia="Times New Roman" w:hAnsi="Arial" w:cs="Arial"/>
          <w:i/>
          <w:iCs/>
          <w:color w:val="000000"/>
          <w:sz w:val="24"/>
          <w:szCs w:val="24"/>
        </w:rPr>
        <w:tab/>
        <w:t>Por lo anterior, esta resolutora considera ocioso analizar los restantes conceptos de impugnación, pues a nada práctico conduciría, porque no puede invalidarse un acto legalmente destruido, sirve de apoyo a lo anterior, la Jurisprudencia sustentada por la Suprema Corte de Justicia de la Nación, con datos de identificación: Semanario Judicial de la Federación y su Gaceta, Tomo XXXIV, Agosto de 2011, Novena Época, pág. 352, registro 161237, Jurisprudencia Administrativa, Segunda Sala y bajo el rubro: “PROCEDIMIENTO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34BF546C" w14:textId="450B47FE" w:rsidR="00BD7FDD" w:rsidRPr="005A3848" w:rsidRDefault="00BD7FDD" w:rsidP="00BD7FDD">
      <w:pPr>
        <w:spacing w:after="160" w:line="480" w:lineRule="auto"/>
        <w:ind w:left="567" w:right="616"/>
        <w:jc w:val="both"/>
        <w:rPr>
          <w:rFonts w:ascii="Arial" w:eastAsia="Times New Roman" w:hAnsi="Arial" w:cs="Arial"/>
          <w:i/>
          <w:iCs/>
          <w:sz w:val="24"/>
          <w:szCs w:val="24"/>
        </w:rPr>
      </w:pPr>
      <w:r w:rsidRPr="005A3848">
        <w:rPr>
          <w:rFonts w:ascii="Arial" w:eastAsia="Times New Roman" w:hAnsi="Arial" w:cs="Arial"/>
          <w:i/>
          <w:iCs/>
          <w:sz w:val="24"/>
          <w:szCs w:val="24"/>
        </w:rPr>
        <w:t>…”</w:t>
      </w:r>
    </w:p>
    <w:p w14:paraId="65DE8F3F" w14:textId="754F926E" w:rsidR="00F070D0" w:rsidRDefault="00F405C7" w:rsidP="00AA4698">
      <w:pPr>
        <w:spacing w:line="360" w:lineRule="auto"/>
        <w:ind w:firstLine="709"/>
        <w:jc w:val="both"/>
        <w:rPr>
          <w:rFonts w:ascii="Arial" w:eastAsia="Times New Roman" w:hAnsi="Arial" w:cs="Arial"/>
          <w:color w:val="000000"/>
          <w:sz w:val="26"/>
          <w:szCs w:val="26"/>
        </w:rPr>
      </w:pPr>
      <w:r>
        <w:rPr>
          <w:rFonts w:ascii="Arial" w:eastAsiaTheme="minorHAnsi" w:hAnsi="Arial" w:cs="Arial"/>
          <w:sz w:val="26"/>
          <w:szCs w:val="26"/>
          <w:lang w:val="es-ES" w:eastAsia="en-US"/>
        </w:rPr>
        <w:t>De</w:t>
      </w:r>
      <w:r w:rsidR="006766AC">
        <w:rPr>
          <w:rFonts w:ascii="Arial" w:eastAsiaTheme="minorHAnsi" w:hAnsi="Arial" w:cs="Arial"/>
          <w:sz w:val="26"/>
          <w:szCs w:val="26"/>
          <w:lang w:val="es-ES" w:eastAsia="en-US"/>
        </w:rPr>
        <w:t xml:space="preserve"> la transcripción anterior se advierte que</w:t>
      </w:r>
      <w:r w:rsidR="008C6B5E">
        <w:rPr>
          <w:rFonts w:ascii="Arial" w:eastAsiaTheme="minorHAnsi" w:hAnsi="Arial" w:cs="Arial"/>
          <w:sz w:val="26"/>
          <w:szCs w:val="26"/>
          <w:lang w:val="es-ES" w:eastAsia="en-US"/>
        </w:rPr>
        <w:t>,</w:t>
      </w:r>
      <w:r w:rsidR="006766AC">
        <w:rPr>
          <w:rFonts w:ascii="Arial" w:eastAsiaTheme="minorHAnsi" w:hAnsi="Arial" w:cs="Arial"/>
          <w:sz w:val="26"/>
          <w:szCs w:val="26"/>
          <w:lang w:val="es-ES" w:eastAsia="en-US"/>
        </w:rPr>
        <w:t xml:space="preserve"> como lo expuso el recurrente, la Primera Instancia </w:t>
      </w:r>
      <w:r w:rsidR="004F3219">
        <w:rPr>
          <w:rFonts w:ascii="Arial" w:eastAsiaTheme="minorHAnsi" w:hAnsi="Arial" w:cs="Arial"/>
          <w:sz w:val="26"/>
          <w:szCs w:val="26"/>
          <w:lang w:val="es-ES" w:eastAsia="en-US"/>
        </w:rPr>
        <w:t xml:space="preserve">al </w:t>
      </w:r>
      <w:r>
        <w:rPr>
          <w:rFonts w:ascii="Arial" w:eastAsiaTheme="minorHAnsi" w:hAnsi="Arial" w:cs="Arial"/>
          <w:sz w:val="26"/>
          <w:szCs w:val="26"/>
          <w:lang w:val="es-ES" w:eastAsia="en-US"/>
        </w:rPr>
        <w:t xml:space="preserve">referirse a las </w:t>
      </w:r>
      <w:r w:rsidR="008C6B5E">
        <w:rPr>
          <w:rFonts w:ascii="Arial" w:eastAsiaTheme="minorHAnsi" w:hAnsi="Arial" w:cs="Arial"/>
          <w:sz w:val="26"/>
          <w:szCs w:val="26"/>
          <w:lang w:val="es-ES" w:eastAsia="en-US"/>
        </w:rPr>
        <w:t>f</w:t>
      </w:r>
      <w:r w:rsidR="00EA3A37">
        <w:rPr>
          <w:rFonts w:ascii="Arial" w:eastAsiaTheme="minorHAnsi" w:hAnsi="Arial" w:cs="Arial"/>
          <w:sz w:val="26"/>
          <w:szCs w:val="26"/>
          <w:lang w:val="es-ES" w:eastAsia="en-US"/>
        </w:rPr>
        <w:t>acultades del Director de Responsabilidades y Situación Patrimonial de la S</w:t>
      </w:r>
      <w:r>
        <w:rPr>
          <w:rFonts w:ascii="Arial" w:eastAsiaTheme="minorHAnsi" w:hAnsi="Arial" w:cs="Arial"/>
          <w:sz w:val="26"/>
          <w:szCs w:val="26"/>
          <w:lang w:val="es-ES" w:eastAsia="en-US"/>
        </w:rPr>
        <w:t>ubsecretaría de Responsa</w:t>
      </w:r>
      <w:r w:rsidR="00EA3A37">
        <w:rPr>
          <w:rFonts w:ascii="Arial" w:eastAsiaTheme="minorHAnsi" w:hAnsi="Arial" w:cs="Arial"/>
          <w:sz w:val="26"/>
          <w:szCs w:val="26"/>
          <w:lang w:val="es-ES" w:eastAsia="en-US"/>
        </w:rPr>
        <w:t xml:space="preserve">bilidades y Transparencia de la </w:t>
      </w:r>
      <w:r>
        <w:rPr>
          <w:rFonts w:ascii="Arial" w:eastAsiaTheme="minorHAnsi" w:hAnsi="Arial" w:cs="Arial"/>
          <w:sz w:val="26"/>
          <w:szCs w:val="26"/>
          <w:lang w:val="es-ES" w:eastAsia="en-US"/>
        </w:rPr>
        <w:t>Contraloría Gubernamental del Poder Ejecutivo del Estado de Oaxaca</w:t>
      </w:r>
      <w:r w:rsidR="008C6B5E">
        <w:rPr>
          <w:rFonts w:ascii="Arial" w:eastAsiaTheme="minorHAnsi" w:hAnsi="Arial" w:cs="Arial"/>
          <w:sz w:val="26"/>
          <w:szCs w:val="26"/>
          <w:lang w:val="es-ES" w:eastAsia="en-US"/>
        </w:rPr>
        <w:t>;</w:t>
      </w:r>
      <w:r>
        <w:rPr>
          <w:rFonts w:ascii="Arial" w:eastAsiaTheme="minorHAnsi" w:hAnsi="Arial" w:cs="Arial"/>
          <w:sz w:val="26"/>
          <w:szCs w:val="26"/>
          <w:lang w:val="es-ES" w:eastAsia="en-US"/>
        </w:rPr>
        <w:t xml:space="preserve"> aludió al artículo 40</w:t>
      </w:r>
      <w:r w:rsidR="00A252C7">
        <w:rPr>
          <w:rFonts w:ascii="Arial" w:eastAsiaTheme="minorHAnsi" w:hAnsi="Arial" w:cs="Arial"/>
          <w:sz w:val="26"/>
          <w:szCs w:val="26"/>
          <w:lang w:val="es-ES" w:eastAsia="en-US"/>
        </w:rPr>
        <w:t>,</w:t>
      </w:r>
      <w:r>
        <w:rPr>
          <w:rFonts w:ascii="Arial" w:eastAsiaTheme="minorHAnsi" w:hAnsi="Arial" w:cs="Arial"/>
          <w:sz w:val="26"/>
          <w:szCs w:val="26"/>
          <w:lang w:val="es-ES" w:eastAsia="en-US"/>
        </w:rPr>
        <w:t xml:space="preserve"> fracciones II, III,</w:t>
      </w:r>
      <w:r w:rsidR="00F070D0">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 xml:space="preserve">IV, y XI </w:t>
      </w:r>
      <w:r w:rsidR="008E1E9E">
        <w:rPr>
          <w:rFonts w:ascii="Arial" w:eastAsiaTheme="minorHAnsi" w:hAnsi="Arial" w:cs="Arial"/>
          <w:sz w:val="26"/>
          <w:szCs w:val="26"/>
          <w:lang w:val="es-ES" w:eastAsia="en-US"/>
        </w:rPr>
        <w:t xml:space="preserve">del Reglamento </w:t>
      </w:r>
      <w:r w:rsidR="008E1E9E" w:rsidRPr="008E1E9E">
        <w:rPr>
          <w:rFonts w:ascii="Arial" w:eastAsia="Times New Roman" w:hAnsi="Arial" w:cs="Arial"/>
          <w:color w:val="000000"/>
          <w:sz w:val="26"/>
          <w:szCs w:val="26"/>
        </w:rPr>
        <w:t>Interno de la Secretaría de la Contraloría y Transparencia Gubernamental del Poder Ejecutivo del Estado de Oaxaca, publicado en el Periódico Oficial del Gobierno del Estado el día dos de febrero de dos mil dieciséis</w:t>
      </w:r>
      <w:r w:rsidR="008C6B5E">
        <w:rPr>
          <w:rFonts w:ascii="Arial" w:eastAsia="Times New Roman" w:hAnsi="Arial" w:cs="Arial"/>
          <w:color w:val="000000"/>
          <w:sz w:val="26"/>
          <w:szCs w:val="26"/>
        </w:rPr>
        <w:t>;</w:t>
      </w:r>
      <w:r w:rsidR="008E1E9E">
        <w:rPr>
          <w:rFonts w:ascii="Arial" w:eastAsia="Times New Roman" w:hAnsi="Arial" w:cs="Arial"/>
          <w:color w:val="000000"/>
          <w:sz w:val="26"/>
          <w:szCs w:val="26"/>
        </w:rPr>
        <w:t xml:space="preserve"> </w:t>
      </w:r>
      <w:r w:rsidR="00F042A7">
        <w:rPr>
          <w:rFonts w:ascii="Arial" w:eastAsia="Times New Roman" w:hAnsi="Arial" w:cs="Arial"/>
          <w:color w:val="000000"/>
          <w:sz w:val="26"/>
          <w:szCs w:val="26"/>
        </w:rPr>
        <w:t>sin embargo</w:t>
      </w:r>
      <w:r w:rsidR="00EA3A37">
        <w:rPr>
          <w:rFonts w:ascii="Arial" w:eastAsia="Times New Roman" w:hAnsi="Arial" w:cs="Arial"/>
          <w:color w:val="000000"/>
          <w:sz w:val="26"/>
          <w:szCs w:val="26"/>
        </w:rPr>
        <w:t>,</w:t>
      </w:r>
      <w:r w:rsidR="00F042A7">
        <w:rPr>
          <w:rFonts w:ascii="Arial" w:eastAsia="Times New Roman" w:hAnsi="Arial" w:cs="Arial"/>
          <w:color w:val="000000"/>
          <w:sz w:val="26"/>
          <w:szCs w:val="26"/>
        </w:rPr>
        <w:t xml:space="preserve"> al </w:t>
      </w:r>
      <w:r w:rsidR="00F042A7">
        <w:rPr>
          <w:rFonts w:ascii="Arial" w:eastAsia="Times New Roman" w:hAnsi="Arial" w:cs="Arial"/>
          <w:color w:val="000000"/>
          <w:sz w:val="26"/>
          <w:szCs w:val="26"/>
        </w:rPr>
        <w:lastRenderedPageBreak/>
        <w:t xml:space="preserve">transcribirlo </w:t>
      </w:r>
      <w:r w:rsidR="008E1E9E">
        <w:rPr>
          <w:rFonts w:ascii="Arial" w:eastAsia="Times New Roman" w:hAnsi="Arial" w:cs="Arial"/>
          <w:color w:val="000000"/>
          <w:sz w:val="26"/>
          <w:szCs w:val="26"/>
        </w:rPr>
        <w:t>anotó el numeral 36</w:t>
      </w:r>
      <w:r w:rsidR="00FE4F59">
        <w:rPr>
          <w:rFonts w:ascii="Arial" w:eastAsia="Times New Roman" w:hAnsi="Arial" w:cs="Arial"/>
          <w:color w:val="000000"/>
          <w:sz w:val="26"/>
          <w:szCs w:val="26"/>
        </w:rPr>
        <w:t>, fracciones II, III, IV, y XI,</w:t>
      </w:r>
      <w:r w:rsidR="00F042A7">
        <w:rPr>
          <w:rFonts w:ascii="Arial" w:eastAsia="Times New Roman" w:hAnsi="Arial" w:cs="Arial"/>
          <w:color w:val="000000"/>
          <w:sz w:val="26"/>
          <w:szCs w:val="26"/>
        </w:rPr>
        <w:t xml:space="preserve"> del mismo </w:t>
      </w:r>
      <w:r w:rsidR="008E1E9E">
        <w:rPr>
          <w:rFonts w:ascii="Arial" w:eastAsia="Times New Roman" w:hAnsi="Arial" w:cs="Arial"/>
          <w:color w:val="000000"/>
          <w:sz w:val="26"/>
          <w:szCs w:val="26"/>
        </w:rPr>
        <w:t xml:space="preserve">ordenamiento legal y no el </w:t>
      </w:r>
      <w:r w:rsidR="00FE4F59">
        <w:rPr>
          <w:rFonts w:ascii="Arial" w:eastAsia="Times New Roman" w:hAnsi="Arial" w:cs="Arial"/>
          <w:color w:val="000000"/>
          <w:sz w:val="26"/>
          <w:szCs w:val="26"/>
        </w:rPr>
        <w:t xml:space="preserve">artículo </w:t>
      </w:r>
      <w:r w:rsidR="008E1E9E">
        <w:rPr>
          <w:rFonts w:ascii="Arial" w:eastAsia="Times New Roman" w:hAnsi="Arial" w:cs="Arial"/>
          <w:color w:val="000000"/>
          <w:sz w:val="26"/>
          <w:szCs w:val="26"/>
        </w:rPr>
        <w:t>40 al que se había referido</w:t>
      </w:r>
      <w:r w:rsidR="00FE4F59">
        <w:rPr>
          <w:rFonts w:ascii="Arial" w:eastAsia="Times New Roman" w:hAnsi="Arial" w:cs="Arial"/>
          <w:color w:val="000000"/>
          <w:sz w:val="26"/>
          <w:szCs w:val="26"/>
        </w:rPr>
        <w:t xml:space="preserve"> inicialmente</w:t>
      </w:r>
      <w:r w:rsidR="008E1E9E">
        <w:rPr>
          <w:rFonts w:ascii="Arial" w:eastAsia="Times New Roman" w:hAnsi="Arial" w:cs="Arial"/>
          <w:color w:val="000000"/>
          <w:sz w:val="26"/>
          <w:szCs w:val="26"/>
        </w:rPr>
        <w:t xml:space="preserve">; </w:t>
      </w:r>
      <w:r w:rsidR="00F042A7">
        <w:rPr>
          <w:rFonts w:ascii="Arial" w:eastAsia="Times New Roman" w:hAnsi="Arial" w:cs="Arial"/>
          <w:color w:val="000000"/>
          <w:sz w:val="26"/>
          <w:szCs w:val="26"/>
        </w:rPr>
        <w:t>tomando en cuenta que el artículo 40, fracciones II, II, IV y XI, de</w:t>
      </w:r>
      <w:r w:rsidR="008E1E9E">
        <w:rPr>
          <w:rFonts w:ascii="Arial" w:eastAsia="Times New Roman" w:hAnsi="Arial" w:cs="Arial"/>
          <w:color w:val="000000"/>
          <w:sz w:val="26"/>
          <w:szCs w:val="26"/>
        </w:rPr>
        <w:t xml:space="preserve">l Reglamento Interno citado, </w:t>
      </w:r>
      <w:r w:rsidR="00F070D0">
        <w:rPr>
          <w:rFonts w:ascii="Arial" w:eastAsia="Times New Roman" w:hAnsi="Arial" w:cs="Arial"/>
          <w:color w:val="000000"/>
          <w:sz w:val="26"/>
          <w:szCs w:val="26"/>
        </w:rPr>
        <w:t xml:space="preserve">establece: </w:t>
      </w:r>
      <w:r w:rsidR="009D7F9A">
        <w:rPr>
          <w:rFonts w:ascii="Arial" w:eastAsia="Times New Roman" w:hAnsi="Arial" w:cs="Arial"/>
          <w:color w:val="000000"/>
          <w:sz w:val="26"/>
          <w:szCs w:val="26"/>
        </w:rPr>
        <w:t xml:space="preserve">- - - - - - - - - - - - - - - - - - - </w:t>
      </w:r>
    </w:p>
    <w:p w14:paraId="6841395E" w14:textId="77777777" w:rsidR="000056AC" w:rsidRPr="003C7783" w:rsidRDefault="000056AC" w:rsidP="003E625E">
      <w:pPr>
        <w:spacing w:line="240" w:lineRule="auto"/>
        <w:ind w:left="567" w:right="616"/>
        <w:jc w:val="both"/>
        <w:rPr>
          <w:rFonts w:ascii="Arial" w:eastAsia="Times New Roman" w:hAnsi="Arial" w:cs="Arial"/>
          <w:sz w:val="24"/>
          <w:szCs w:val="24"/>
        </w:rPr>
      </w:pPr>
      <w:r w:rsidRPr="003C7783">
        <w:rPr>
          <w:rFonts w:ascii="Arial" w:eastAsia="Times New Roman" w:hAnsi="Arial" w:cs="Arial"/>
          <w:b/>
          <w:bCs/>
          <w:i/>
          <w:iCs/>
          <w:color w:val="000000"/>
          <w:sz w:val="24"/>
          <w:szCs w:val="24"/>
        </w:rPr>
        <w:t xml:space="preserve">“Artículo 40. </w:t>
      </w:r>
      <w:r w:rsidRPr="003C7783">
        <w:rPr>
          <w:rFonts w:ascii="Arial" w:eastAsia="Times New Roman" w:hAnsi="Arial" w:cs="Arial"/>
          <w:i/>
          <w:iCs/>
          <w:color w:val="000000"/>
          <w:sz w:val="24"/>
          <w:szCs w:val="24"/>
        </w:rPr>
        <w:t>Al frente de los Departamentos de Responsabilidades Administrativas “A” y “B” habrá Jefes de Departamento, quienes dependerán directamente del Director de Responsabilidades y Situación Patrimonial, y tendrán las siguientes facultades: </w:t>
      </w:r>
    </w:p>
    <w:p w14:paraId="2942BCE4" w14:textId="77777777" w:rsidR="000056AC" w:rsidRPr="003C7783" w:rsidRDefault="000056AC" w:rsidP="003E625E">
      <w:pPr>
        <w:spacing w:line="240" w:lineRule="auto"/>
        <w:ind w:left="567" w:right="616"/>
        <w:jc w:val="both"/>
        <w:rPr>
          <w:rFonts w:ascii="Arial" w:eastAsia="Times New Roman" w:hAnsi="Arial" w:cs="Arial"/>
          <w:sz w:val="24"/>
          <w:szCs w:val="24"/>
        </w:rPr>
      </w:pPr>
      <w:r w:rsidRPr="003C7783">
        <w:rPr>
          <w:rFonts w:ascii="Arial" w:eastAsia="Times New Roman" w:hAnsi="Arial" w:cs="Arial"/>
          <w:i/>
          <w:iCs/>
          <w:color w:val="000000"/>
          <w:sz w:val="24"/>
          <w:szCs w:val="24"/>
        </w:rPr>
        <w:t>(I.</w:t>
      </w:r>
      <w:proofErr w:type="gramStart"/>
      <w:r w:rsidRPr="003C7783">
        <w:rPr>
          <w:rFonts w:ascii="Arial" w:eastAsia="Times New Roman" w:hAnsi="Arial" w:cs="Arial"/>
          <w:i/>
          <w:iCs/>
          <w:color w:val="000000"/>
          <w:sz w:val="24"/>
          <w:szCs w:val="24"/>
        </w:rPr>
        <w:t>- …</w:t>
      </w:r>
      <w:proofErr w:type="gramEnd"/>
      <w:r w:rsidRPr="003C7783">
        <w:rPr>
          <w:rFonts w:ascii="Arial" w:eastAsia="Times New Roman" w:hAnsi="Arial" w:cs="Arial"/>
          <w:i/>
          <w:iCs/>
          <w:color w:val="000000"/>
          <w:sz w:val="24"/>
          <w:szCs w:val="24"/>
        </w:rPr>
        <w:t>) </w:t>
      </w:r>
    </w:p>
    <w:p w14:paraId="6351197A" w14:textId="37C52E91" w:rsidR="006514E9" w:rsidRPr="003C7783" w:rsidRDefault="000056AC" w:rsidP="003E625E">
      <w:pPr>
        <w:spacing w:line="240" w:lineRule="auto"/>
        <w:ind w:left="567" w:right="616"/>
        <w:jc w:val="both"/>
        <w:rPr>
          <w:rFonts w:ascii="Arial" w:eastAsia="Times New Roman" w:hAnsi="Arial" w:cs="Arial"/>
          <w:i/>
          <w:iCs/>
          <w:color w:val="000000"/>
          <w:sz w:val="24"/>
          <w:szCs w:val="24"/>
        </w:rPr>
      </w:pPr>
      <w:r w:rsidRPr="003C7783">
        <w:rPr>
          <w:rFonts w:ascii="Arial" w:eastAsia="Times New Roman" w:hAnsi="Arial" w:cs="Arial"/>
          <w:i/>
          <w:iCs/>
          <w:color w:val="000000"/>
          <w:sz w:val="24"/>
          <w:szCs w:val="24"/>
        </w:rPr>
        <w:t xml:space="preserve">II.- </w:t>
      </w:r>
      <w:r w:rsidRPr="003C7783">
        <w:rPr>
          <w:rFonts w:ascii="Arial" w:eastAsia="Times New Roman" w:hAnsi="Arial" w:cs="Arial"/>
          <w:b/>
          <w:bCs/>
          <w:i/>
          <w:iCs/>
          <w:color w:val="000000"/>
          <w:sz w:val="24"/>
          <w:szCs w:val="24"/>
        </w:rPr>
        <w:t xml:space="preserve">Admitir los procedimientos administrativos de responsabilidad disciplinaria </w:t>
      </w:r>
      <w:r w:rsidRPr="003C7783">
        <w:rPr>
          <w:rFonts w:ascii="Arial" w:eastAsia="Times New Roman" w:hAnsi="Arial" w:cs="Arial"/>
          <w:i/>
          <w:iCs/>
          <w:color w:val="000000"/>
          <w:sz w:val="24"/>
          <w:szCs w:val="24"/>
        </w:rPr>
        <w:t>y resarcitoria derivados de actos u omisiones de los sujetos a la Ley de Responsabilidades, en</w:t>
      </w:r>
      <w:r w:rsidR="008951D4" w:rsidRPr="003C7783">
        <w:rPr>
          <w:rFonts w:ascii="Arial" w:eastAsia="Times New Roman" w:hAnsi="Arial" w:cs="Arial"/>
          <w:i/>
          <w:iCs/>
          <w:color w:val="000000"/>
          <w:sz w:val="24"/>
          <w:szCs w:val="24"/>
        </w:rPr>
        <w:t>e I (sic) ámbito de competencia (sic)</w:t>
      </w:r>
      <w:r w:rsidRPr="003C7783">
        <w:rPr>
          <w:rFonts w:ascii="Arial" w:eastAsia="Times New Roman" w:hAnsi="Arial" w:cs="Arial"/>
          <w:i/>
          <w:iCs/>
          <w:color w:val="000000"/>
          <w:sz w:val="24"/>
          <w:szCs w:val="24"/>
        </w:rPr>
        <w:t>;</w:t>
      </w:r>
    </w:p>
    <w:p w14:paraId="2298523D" w14:textId="75E9FD25" w:rsidR="008951D4" w:rsidRPr="003C7783" w:rsidRDefault="008951D4" w:rsidP="003E625E">
      <w:pPr>
        <w:spacing w:line="240" w:lineRule="auto"/>
        <w:ind w:left="567" w:right="616"/>
        <w:jc w:val="both"/>
        <w:rPr>
          <w:rFonts w:ascii="Arial" w:eastAsia="Times New Roman" w:hAnsi="Arial" w:cs="Arial"/>
          <w:i/>
          <w:iCs/>
          <w:color w:val="000000"/>
          <w:sz w:val="24"/>
          <w:szCs w:val="24"/>
        </w:rPr>
      </w:pPr>
      <w:r w:rsidRPr="003C7783">
        <w:rPr>
          <w:rFonts w:ascii="Arial" w:eastAsia="Times New Roman" w:hAnsi="Arial" w:cs="Arial"/>
          <w:i/>
          <w:iCs/>
          <w:color w:val="000000"/>
          <w:sz w:val="24"/>
          <w:szCs w:val="24"/>
        </w:rPr>
        <w:t>III. Citar a la audiencia de ley al presunto responsable de actos u omisiones, en los términos dl ordenamiento legal en materia de responsabilidades;</w:t>
      </w:r>
    </w:p>
    <w:p w14:paraId="2CA16A15" w14:textId="450340AC" w:rsidR="008951D4" w:rsidRPr="003C7783" w:rsidRDefault="008951D4" w:rsidP="003E625E">
      <w:pPr>
        <w:spacing w:line="240" w:lineRule="auto"/>
        <w:ind w:left="567" w:right="616"/>
        <w:jc w:val="both"/>
        <w:rPr>
          <w:rFonts w:ascii="Arial" w:eastAsia="Times New Roman" w:hAnsi="Arial" w:cs="Arial"/>
          <w:i/>
          <w:iCs/>
          <w:color w:val="000000"/>
          <w:sz w:val="24"/>
          <w:szCs w:val="24"/>
        </w:rPr>
      </w:pPr>
      <w:r w:rsidRPr="003C7783">
        <w:rPr>
          <w:rFonts w:ascii="Arial" w:eastAsia="Times New Roman" w:hAnsi="Arial" w:cs="Arial"/>
          <w:i/>
          <w:iCs/>
          <w:color w:val="000000"/>
          <w:sz w:val="24"/>
          <w:szCs w:val="24"/>
        </w:rPr>
        <w:t>IV. Desahogar las diligencias, actuaciones y audiencias administrativas de los procedimientos administrativos de responsabilidad disciplinaria y resarcitoria y vigilar los tiempos para evitar la prescripción de las facultades sancionadoras de la Secretaría;</w:t>
      </w:r>
    </w:p>
    <w:p w14:paraId="28D4DE9A" w14:textId="6E24408E" w:rsidR="008951D4" w:rsidRPr="003C7783" w:rsidRDefault="008951D4" w:rsidP="003E625E">
      <w:pPr>
        <w:spacing w:line="240" w:lineRule="auto"/>
        <w:ind w:left="567" w:right="616"/>
        <w:jc w:val="both"/>
        <w:rPr>
          <w:rFonts w:ascii="Arial" w:eastAsia="Times New Roman" w:hAnsi="Arial" w:cs="Arial"/>
          <w:i/>
          <w:iCs/>
          <w:color w:val="000000"/>
          <w:sz w:val="24"/>
          <w:szCs w:val="24"/>
        </w:rPr>
      </w:pPr>
      <w:r w:rsidRPr="003C7783">
        <w:rPr>
          <w:rFonts w:ascii="Arial" w:eastAsia="Times New Roman" w:hAnsi="Arial" w:cs="Arial"/>
          <w:i/>
          <w:iCs/>
          <w:color w:val="000000"/>
          <w:sz w:val="24"/>
          <w:szCs w:val="24"/>
        </w:rPr>
        <w:t>…</w:t>
      </w:r>
    </w:p>
    <w:p w14:paraId="7FCD7DF8" w14:textId="4F46F7DC" w:rsidR="008951D4" w:rsidRPr="003C7783" w:rsidRDefault="008951D4" w:rsidP="003E625E">
      <w:pPr>
        <w:spacing w:line="240" w:lineRule="auto"/>
        <w:ind w:left="567" w:right="616"/>
        <w:jc w:val="both"/>
        <w:rPr>
          <w:rFonts w:ascii="Arial" w:eastAsia="Times New Roman" w:hAnsi="Arial" w:cs="Arial"/>
          <w:i/>
          <w:iCs/>
          <w:color w:val="000000"/>
          <w:sz w:val="24"/>
          <w:szCs w:val="24"/>
        </w:rPr>
      </w:pPr>
      <w:r w:rsidRPr="003C7783">
        <w:rPr>
          <w:rFonts w:ascii="Arial" w:eastAsia="Times New Roman" w:hAnsi="Arial" w:cs="Arial"/>
          <w:i/>
          <w:iCs/>
          <w:color w:val="000000"/>
          <w:sz w:val="24"/>
          <w:szCs w:val="24"/>
        </w:rPr>
        <w:t>XI. Las demás que les confieren las leyes y las disposiciones normativas aplicables; así como las que les sean conferidas por sus superiores jerárquicos.</w:t>
      </w:r>
    </w:p>
    <w:p w14:paraId="1E5CC6BE" w14:textId="394B434C" w:rsidR="000056AC" w:rsidRDefault="000056AC" w:rsidP="003E625E">
      <w:pPr>
        <w:spacing w:line="240" w:lineRule="auto"/>
        <w:ind w:firstLine="709"/>
        <w:jc w:val="both"/>
        <w:rPr>
          <w:rFonts w:ascii="Arial" w:eastAsia="Times New Roman" w:hAnsi="Arial" w:cs="Arial"/>
          <w:color w:val="000000"/>
          <w:sz w:val="26"/>
          <w:szCs w:val="26"/>
        </w:rPr>
      </w:pPr>
      <w:r w:rsidRPr="003C7783">
        <w:rPr>
          <w:rFonts w:ascii="Arial" w:eastAsia="Times New Roman" w:hAnsi="Arial" w:cs="Arial"/>
          <w:i/>
          <w:iCs/>
          <w:color w:val="000000"/>
          <w:sz w:val="24"/>
          <w:szCs w:val="24"/>
        </w:rPr>
        <w:t xml:space="preserve"> …”</w:t>
      </w:r>
    </w:p>
    <w:p w14:paraId="26F17184" w14:textId="00630681" w:rsidR="00F070D0" w:rsidRDefault="00F070D0" w:rsidP="00AA4698">
      <w:pPr>
        <w:spacing w:line="360" w:lineRule="auto"/>
        <w:ind w:firstLine="709"/>
        <w:jc w:val="both"/>
        <w:rPr>
          <w:rFonts w:ascii="Arial" w:eastAsia="Times New Roman" w:hAnsi="Arial" w:cs="Arial"/>
          <w:color w:val="000000"/>
          <w:sz w:val="26"/>
          <w:szCs w:val="26"/>
        </w:rPr>
      </w:pPr>
      <w:r>
        <w:rPr>
          <w:rFonts w:ascii="Arial" w:eastAsia="Times New Roman" w:hAnsi="Arial" w:cs="Arial"/>
          <w:color w:val="000000"/>
          <w:sz w:val="26"/>
          <w:szCs w:val="26"/>
        </w:rPr>
        <w:t xml:space="preserve">Mientras que el artículo 36, fracciones II, III, IV y XI, </w:t>
      </w:r>
      <w:r w:rsidR="00F042A7">
        <w:rPr>
          <w:rFonts w:ascii="Arial" w:eastAsia="Times New Roman" w:hAnsi="Arial" w:cs="Arial"/>
          <w:color w:val="000000"/>
          <w:sz w:val="26"/>
          <w:szCs w:val="26"/>
        </w:rPr>
        <w:t>del mismo Reglamento Interno, menciona</w:t>
      </w:r>
      <w:r>
        <w:rPr>
          <w:rFonts w:ascii="Arial" w:eastAsia="Times New Roman" w:hAnsi="Arial" w:cs="Arial"/>
          <w:color w:val="000000"/>
          <w:sz w:val="26"/>
          <w:szCs w:val="26"/>
        </w:rPr>
        <w:t>:</w:t>
      </w:r>
      <w:r w:rsidR="003C7783">
        <w:rPr>
          <w:rFonts w:ascii="Arial" w:eastAsia="Times New Roman" w:hAnsi="Arial" w:cs="Arial"/>
          <w:color w:val="000000"/>
          <w:sz w:val="26"/>
          <w:szCs w:val="26"/>
        </w:rPr>
        <w:t xml:space="preserve"> - - - - - - - - - - - - - - - - - - - - - - - - - - - - - </w:t>
      </w:r>
    </w:p>
    <w:p w14:paraId="797AC278" w14:textId="77777777" w:rsidR="00F070D0" w:rsidRPr="00730F8E" w:rsidRDefault="00F070D0" w:rsidP="00F070D0">
      <w:pPr>
        <w:spacing w:after="160" w:line="240" w:lineRule="auto"/>
        <w:ind w:left="567" w:right="616"/>
        <w:jc w:val="both"/>
        <w:rPr>
          <w:rFonts w:ascii="Arial" w:eastAsia="Times New Roman" w:hAnsi="Arial" w:cs="Arial"/>
          <w:sz w:val="24"/>
          <w:szCs w:val="24"/>
        </w:rPr>
      </w:pPr>
      <w:r w:rsidRPr="00730F8E">
        <w:rPr>
          <w:rFonts w:ascii="Arial" w:eastAsia="Times New Roman" w:hAnsi="Arial" w:cs="Arial"/>
          <w:b/>
          <w:bCs/>
          <w:color w:val="000000"/>
          <w:sz w:val="24"/>
          <w:szCs w:val="24"/>
        </w:rPr>
        <w:t>“</w:t>
      </w:r>
      <w:r w:rsidRPr="00730F8E">
        <w:rPr>
          <w:rFonts w:ascii="Arial" w:eastAsia="Times New Roman" w:hAnsi="Arial" w:cs="Arial"/>
          <w:b/>
          <w:bCs/>
          <w:i/>
          <w:iCs/>
          <w:color w:val="000000"/>
          <w:sz w:val="24"/>
          <w:szCs w:val="24"/>
        </w:rPr>
        <w:t xml:space="preserve">Artículo 36.- </w:t>
      </w:r>
      <w:r w:rsidRPr="00730F8E">
        <w:rPr>
          <w:rFonts w:ascii="Arial" w:eastAsia="Times New Roman" w:hAnsi="Arial" w:cs="Arial"/>
          <w:i/>
          <w:iCs/>
          <w:color w:val="000000"/>
          <w:sz w:val="24"/>
          <w:szCs w:val="24"/>
        </w:rPr>
        <w:t>Al frente de la Dirección de Responsabilidades y Situación Patrimonial habrá un Director, quien dependerá directamente del Subsecretario de Responsabilidades y Transparencia y tendrá las siguientes facultades: </w:t>
      </w:r>
    </w:p>
    <w:p w14:paraId="75835DD1" w14:textId="13F6E459" w:rsidR="00F070D0" w:rsidRPr="00730F8E" w:rsidRDefault="00F070D0" w:rsidP="00F070D0">
      <w:pPr>
        <w:spacing w:after="160" w:line="240" w:lineRule="auto"/>
        <w:ind w:left="567" w:right="616"/>
        <w:jc w:val="both"/>
        <w:rPr>
          <w:rFonts w:ascii="Arial" w:eastAsia="Times New Roman" w:hAnsi="Arial" w:cs="Arial"/>
          <w:sz w:val="24"/>
          <w:szCs w:val="24"/>
        </w:rPr>
      </w:pPr>
      <w:r w:rsidRPr="00730F8E">
        <w:rPr>
          <w:rFonts w:ascii="Arial" w:eastAsia="Times New Roman" w:hAnsi="Arial" w:cs="Arial"/>
          <w:i/>
          <w:iCs/>
          <w:color w:val="000000"/>
          <w:sz w:val="24"/>
          <w:szCs w:val="24"/>
        </w:rPr>
        <w:t xml:space="preserve"> …</w:t>
      </w:r>
    </w:p>
    <w:p w14:paraId="6BCDBDCA" w14:textId="77777777" w:rsidR="00F070D0" w:rsidRPr="00730F8E" w:rsidRDefault="00F070D0" w:rsidP="00F070D0">
      <w:pPr>
        <w:spacing w:after="160" w:line="240" w:lineRule="auto"/>
        <w:ind w:left="567" w:right="616"/>
        <w:jc w:val="both"/>
        <w:rPr>
          <w:rFonts w:ascii="Arial" w:eastAsia="Times New Roman" w:hAnsi="Arial" w:cs="Arial"/>
          <w:i/>
          <w:iCs/>
          <w:color w:val="000000"/>
          <w:sz w:val="24"/>
          <w:szCs w:val="24"/>
        </w:rPr>
      </w:pPr>
      <w:r w:rsidRPr="00730F8E">
        <w:rPr>
          <w:rFonts w:ascii="Arial" w:eastAsia="Times New Roman" w:hAnsi="Arial" w:cs="Arial"/>
          <w:i/>
          <w:iCs/>
          <w:color w:val="000000"/>
          <w:sz w:val="24"/>
          <w:szCs w:val="24"/>
        </w:rPr>
        <w:t>II.- Coordinar la recepción, registro y resguardo de las declaraciones de situación patrimonial y de conflicto de interés de los servidores públicos;</w:t>
      </w:r>
    </w:p>
    <w:p w14:paraId="4BB30E3D" w14:textId="4EF6EF8F" w:rsidR="00F070D0" w:rsidRPr="00730F8E" w:rsidRDefault="00F070D0" w:rsidP="00F070D0">
      <w:pPr>
        <w:spacing w:after="160" w:line="240" w:lineRule="auto"/>
        <w:ind w:left="567" w:right="616"/>
        <w:jc w:val="both"/>
        <w:rPr>
          <w:rFonts w:ascii="Arial" w:eastAsia="Times New Roman" w:hAnsi="Arial" w:cs="Arial"/>
          <w:sz w:val="24"/>
          <w:szCs w:val="24"/>
        </w:rPr>
      </w:pPr>
      <w:r w:rsidRPr="00730F8E">
        <w:rPr>
          <w:rFonts w:ascii="Arial" w:eastAsia="Times New Roman" w:hAnsi="Arial" w:cs="Arial"/>
          <w:i/>
          <w:iCs/>
          <w:color w:val="000000"/>
          <w:sz w:val="24"/>
          <w:szCs w:val="24"/>
        </w:rPr>
        <w:t xml:space="preserve"> III.- Conocer de las quejas, denuncias o recomendaciones que se presenten por el posible incumplimiento de las obligaciones de los servidores públicos de los órganos públicos;</w:t>
      </w:r>
    </w:p>
    <w:p w14:paraId="2F3628FB" w14:textId="77777777" w:rsidR="00F070D0" w:rsidRPr="00730F8E" w:rsidRDefault="00F070D0" w:rsidP="00F070D0">
      <w:pPr>
        <w:spacing w:after="160" w:line="240" w:lineRule="auto"/>
        <w:ind w:left="567" w:right="616"/>
        <w:jc w:val="both"/>
        <w:rPr>
          <w:rFonts w:ascii="Arial" w:eastAsia="Times New Roman" w:hAnsi="Arial" w:cs="Arial"/>
          <w:sz w:val="24"/>
          <w:szCs w:val="24"/>
        </w:rPr>
      </w:pPr>
      <w:r w:rsidRPr="00730F8E">
        <w:rPr>
          <w:rFonts w:ascii="Arial" w:eastAsia="Times New Roman" w:hAnsi="Arial" w:cs="Arial"/>
          <w:i/>
          <w:iCs/>
          <w:color w:val="000000"/>
          <w:sz w:val="24"/>
          <w:szCs w:val="24"/>
        </w:rPr>
        <w:t>IV.- Ordenar la realización de investigaciones y, en su caso, los procedimientos de responsabilidad administrativa y resarcitoria correspondientes, en términos del ordenamiento legal en materia de responsabilidades por incumplimiento de los servidores públicos en el que, invariablemente, se deberá observar el principio de presunción de inocencia; </w:t>
      </w:r>
    </w:p>
    <w:p w14:paraId="3B0D277F" w14:textId="01A2F736" w:rsidR="00F070D0" w:rsidRPr="00730F8E" w:rsidRDefault="00F070D0" w:rsidP="00F070D0">
      <w:pPr>
        <w:spacing w:after="160" w:line="240" w:lineRule="auto"/>
        <w:ind w:left="567" w:right="616"/>
        <w:jc w:val="both"/>
        <w:rPr>
          <w:rFonts w:ascii="Arial" w:eastAsia="Times New Roman" w:hAnsi="Arial" w:cs="Arial"/>
          <w:sz w:val="24"/>
          <w:szCs w:val="24"/>
        </w:rPr>
      </w:pPr>
      <w:r w:rsidRPr="00730F8E">
        <w:rPr>
          <w:rFonts w:ascii="Arial" w:eastAsia="Times New Roman" w:hAnsi="Arial" w:cs="Arial"/>
          <w:i/>
          <w:iCs/>
          <w:color w:val="000000"/>
          <w:sz w:val="24"/>
          <w:szCs w:val="24"/>
        </w:rPr>
        <w:t>…</w:t>
      </w:r>
    </w:p>
    <w:p w14:paraId="02B0F3E1" w14:textId="77777777" w:rsidR="00F070D0" w:rsidRPr="00730F8E" w:rsidRDefault="00F070D0" w:rsidP="00F070D0">
      <w:pPr>
        <w:spacing w:after="160" w:line="240" w:lineRule="auto"/>
        <w:ind w:left="567" w:right="616"/>
        <w:jc w:val="both"/>
        <w:rPr>
          <w:rFonts w:ascii="Arial" w:eastAsia="Times New Roman" w:hAnsi="Arial" w:cs="Arial"/>
          <w:sz w:val="24"/>
          <w:szCs w:val="24"/>
        </w:rPr>
      </w:pPr>
      <w:r w:rsidRPr="00730F8E">
        <w:rPr>
          <w:rFonts w:ascii="Arial" w:eastAsia="Times New Roman" w:hAnsi="Arial" w:cs="Arial"/>
          <w:i/>
          <w:iCs/>
          <w:color w:val="000000"/>
          <w:sz w:val="24"/>
          <w:szCs w:val="24"/>
        </w:rPr>
        <w:lastRenderedPageBreak/>
        <w:t>XI.- Resolver la suspensión temporal de sus cargos, empleos o comisiones, de los servidores públicos presuntos responsables de incumplimiento, cuando se considere conveniente para la conducción o continuación de las investigaciones, en términos de las disposiciones aplicables;</w:t>
      </w:r>
    </w:p>
    <w:p w14:paraId="41D3E812" w14:textId="5988AFD1" w:rsidR="00F070D0" w:rsidRDefault="00F070D0" w:rsidP="00F070D0">
      <w:pPr>
        <w:spacing w:line="360" w:lineRule="auto"/>
        <w:ind w:firstLine="709"/>
        <w:jc w:val="both"/>
        <w:rPr>
          <w:rFonts w:ascii="Arial" w:eastAsia="Times New Roman" w:hAnsi="Arial" w:cs="Arial"/>
          <w:color w:val="000000"/>
          <w:sz w:val="26"/>
          <w:szCs w:val="26"/>
        </w:rPr>
      </w:pPr>
      <w:r w:rsidRPr="00730F8E">
        <w:rPr>
          <w:rFonts w:ascii="Arial" w:eastAsia="Times New Roman" w:hAnsi="Arial" w:cs="Arial"/>
          <w:i/>
          <w:iCs/>
          <w:color w:val="000000"/>
          <w:sz w:val="24"/>
          <w:szCs w:val="24"/>
        </w:rPr>
        <w:t>…”</w:t>
      </w:r>
    </w:p>
    <w:p w14:paraId="2BB0182D" w14:textId="08FB1135" w:rsidR="00764A94" w:rsidRDefault="00F042A7" w:rsidP="00764A94">
      <w:pPr>
        <w:spacing w:line="360" w:lineRule="auto"/>
        <w:ind w:firstLine="709"/>
        <w:jc w:val="both"/>
        <w:rPr>
          <w:rFonts w:ascii="Arial" w:eastAsia="Times New Roman" w:hAnsi="Arial" w:cs="Arial"/>
          <w:color w:val="000000"/>
          <w:sz w:val="26"/>
          <w:szCs w:val="26"/>
        </w:rPr>
      </w:pPr>
      <w:r>
        <w:rPr>
          <w:rFonts w:ascii="Arial" w:eastAsia="Times New Roman" w:hAnsi="Arial" w:cs="Arial"/>
          <w:color w:val="000000"/>
          <w:sz w:val="26"/>
          <w:szCs w:val="26"/>
        </w:rPr>
        <w:t>De</w:t>
      </w:r>
      <w:r w:rsidR="00E71D05">
        <w:rPr>
          <w:rFonts w:ascii="Arial" w:eastAsia="Times New Roman" w:hAnsi="Arial" w:cs="Arial"/>
          <w:color w:val="000000"/>
          <w:sz w:val="26"/>
          <w:szCs w:val="26"/>
        </w:rPr>
        <w:t xml:space="preserve">l contraste de </w:t>
      </w:r>
      <w:r>
        <w:rPr>
          <w:rFonts w:ascii="Arial" w:eastAsia="Times New Roman" w:hAnsi="Arial" w:cs="Arial"/>
          <w:color w:val="000000"/>
          <w:sz w:val="26"/>
          <w:szCs w:val="26"/>
        </w:rPr>
        <w:t xml:space="preserve">los </w:t>
      </w:r>
      <w:r w:rsidR="00E71D05">
        <w:rPr>
          <w:rFonts w:ascii="Arial" w:eastAsia="Times New Roman" w:hAnsi="Arial" w:cs="Arial"/>
          <w:color w:val="000000"/>
          <w:sz w:val="26"/>
          <w:szCs w:val="26"/>
        </w:rPr>
        <w:t>dos preceptos legales arriba descritos,</w:t>
      </w:r>
      <w:r>
        <w:rPr>
          <w:rFonts w:ascii="Arial" w:eastAsia="Times New Roman" w:hAnsi="Arial" w:cs="Arial"/>
          <w:color w:val="000000"/>
          <w:sz w:val="26"/>
          <w:szCs w:val="26"/>
        </w:rPr>
        <w:t xml:space="preserve"> se advierte que</w:t>
      </w:r>
      <w:r w:rsidR="00F070D0">
        <w:rPr>
          <w:rFonts w:ascii="Arial" w:eastAsia="Times New Roman" w:hAnsi="Arial" w:cs="Arial"/>
          <w:color w:val="000000"/>
          <w:sz w:val="26"/>
          <w:szCs w:val="26"/>
        </w:rPr>
        <w:t xml:space="preserve"> </w:t>
      </w:r>
      <w:r w:rsidR="00E71D05">
        <w:rPr>
          <w:rFonts w:ascii="Arial" w:eastAsia="Times New Roman" w:hAnsi="Arial" w:cs="Arial"/>
          <w:color w:val="000000"/>
          <w:sz w:val="26"/>
          <w:szCs w:val="26"/>
        </w:rPr>
        <w:t>es el artículo 36</w:t>
      </w:r>
      <w:r w:rsidR="00CF7290">
        <w:rPr>
          <w:rFonts w:ascii="Arial" w:eastAsia="Times New Roman" w:hAnsi="Arial" w:cs="Arial"/>
          <w:color w:val="000000"/>
          <w:sz w:val="26"/>
          <w:szCs w:val="26"/>
        </w:rPr>
        <w:t>,</w:t>
      </w:r>
      <w:r w:rsidR="00E71D05">
        <w:rPr>
          <w:rFonts w:ascii="Arial" w:eastAsia="Times New Roman" w:hAnsi="Arial" w:cs="Arial"/>
          <w:color w:val="000000"/>
          <w:sz w:val="26"/>
          <w:szCs w:val="26"/>
        </w:rPr>
        <w:t xml:space="preserve"> fracciones II, II, IV y XI, </w:t>
      </w:r>
      <w:r w:rsidR="00CF7290">
        <w:rPr>
          <w:rFonts w:ascii="Arial" w:eastAsia="Times New Roman" w:hAnsi="Arial" w:cs="Arial"/>
          <w:color w:val="000000"/>
          <w:sz w:val="26"/>
          <w:szCs w:val="26"/>
        </w:rPr>
        <w:t xml:space="preserve">el que </w:t>
      </w:r>
      <w:r w:rsidR="00E71D05">
        <w:rPr>
          <w:rFonts w:ascii="Arial" w:eastAsia="Times New Roman" w:hAnsi="Arial" w:cs="Arial"/>
          <w:color w:val="000000"/>
          <w:sz w:val="26"/>
          <w:szCs w:val="26"/>
        </w:rPr>
        <w:t xml:space="preserve">coincide con el </w:t>
      </w:r>
      <w:r w:rsidR="00CF7290">
        <w:rPr>
          <w:rFonts w:ascii="Arial" w:eastAsia="Times New Roman" w:hAnsi="Arial" w:cs="Arial"/>
          <w:color w:val="000000"/>
          <w:sz w:val="26"/>
          <w:szCs w:val="26"/>
        </w:rPr>
        <w:t xml:space="preserve">estudio de </w:t>
      </w:r>
      <w:r w:rsidR="00E71D05">
        <w:rPr>
          <w:rFonts w:ascii="Arial" w:eastAsia="Times New Roman" w:hAnsi="Arial" w:cs="Arial"/>
          <w:color w:val="000000"/>
          <w:sz w:val="26"/>
          <w:szCs w:val="26"/>
        </w:rPr>
        <w:t xml:space="preserve">la Juzgadora en </w:t>
      </w:r>
      <w:r w:rsidR="00CF7290">
        <w:rPr>
          <w:rFonts w:ascii="Arial" w:eastAsia="Times New Roman" w:hAnsi="Arial" w:cs="Arial"/>
          <w:color w:val="000000"/>
          <w:sz w:val="26"/>
          <w:szCs w:val="26"/>
        </w:rPr>
        <w:t xml:space="preserve">el tercer párrafo </w:t>
      </w:r>
      <w:r w:rsidR="00E71D05">
        <w:rPr>
          <w:rFonts w:ascii="Arial" w:eastAsia="Times New Roman" w:hAnsi="Arial" w:cs="Arial"/>
          <w:color w:val="000000"/>
          <w:sz w:val="26"/>
          <w:szCs w:val="26"/>
        </w:rPr>
        <w:t xml:space="preserve">del considerando </w:t>
      </w:r>
      <w:r w:rsidR="00CF7290">
        <w:rPr>
          <w:rFonts w:ascii="Arial" w:eastAsia="Times New Roman" w:hAnsi="Arial" w:cs="Arial"/>
          <w:color w:val="000000"/>
          <w:sz w:val="26"/>
          <w:szCs w:val="26"/>
        </w:rPr>
        <w:t>sexto, d</w:t>
      </w:r>
      <w:r w:rsidR="00E71D05">
        <w:rPr>
          <w:rFonts w:ascii="Arial" w:eastAsia="Times New Roman" w:hAnsi="Arial" w:cs="Arial"/>
          <w:color w:val="000000"/>
          <w:sz w:val="26"/>
          <w:szCs w:val="26"/>
        </w:rPr>
        <w:t xml:space="preserve">e la sentencia en estudio, </w:t>
      </w:r>
      <w:r w:rsidR="00596858">
        <w:rPr>
          <w:rFonts w:ascii="Arial" w:eastAsia="Times New Roman" w:hAnsi="Arial" w:cs="Arial"/>
          <w:color w:val="000000"/>
          <w:sz w:val="26"/>
          <w:szCs w:val="26"/>
        </w:rPr>
        <w:t xml:space="preserve">por tratarse del </w:t>
      </w:r>
      <w:r w:rsidR="00F070D0">
        <w:rPr>
          <w:rFonts w:ascii="Arial" w:eastAsia="Times New Roman" w:hAnsi="Arial" w:cs="Arial"/>
          <w:color w:val="000000"/>
          <w:sz w:val="26"/>
          <w:szCs w:val="26"/>
        </w:rPr>
        <w:t xml:space="preserve">numeral </w:t>
      </w:r>
      <w:r w:rsidR="00F0055B">
        <w:rPr>
          <w:rFonts w:ascii="Arial" w:eastAsia="Times New Roman" w:hAnsi="Arial" w:cs="Arial"/>
          <w:color w:val="000000"/>
          <w:sz w:val="26"/>
          <w:szCs w:val="26"/>
        </w:rPr>
        <w:t>que d</w:t>
      </w:r>
      <w:r w:rsidR="00F070D0">
        <w:rPr>
          <w:rFonts w:ascii="Arial" w:eastAsia="Times New Roman" w:hAnsi="Arial" w:cs="Arial"/>
          <w:color w:val="000000"/>
          <w:sz w:val="26"/>
          <w:szCs w:val="26"/>
        </w:rPr>
        <w:t xml:space="preserve">escribe las </w:t>
      </w:r>
      <w:r w:rsidR="003E625E">
        <w:rPr>
          <w:rFonts w:ascii="Arial" w:eastAsia="Times New Roman" w:hAnsi="Arial" w:cs="Arial"/>
          <w:color w:val="000000"/>
          <w:sz w:val="26"/>
          <w:szCs w:val="26"/>
        </w:rPr>
        <w:t>facultades de</w:t>
      </w:r>
      <w:r w:rsidR="00742298">
        <w:rPr>
          <w:rFonts w:ascii="Arial" w:eastAsia="Times New Roman" w:hAnsi="Arial" w:cs="Arial"/>
          <w:color w:val="000000"/>
          <w:sz w:val="26"/>
          <w:szCs w:val="26"/>
        </w:rPr>
        <w:t>l Director de Responsabilidades y Situación Patrimonial de la S</w:t>
      </w:r>
      <w:proofErr w:type="spellStart"/>
      <w:r w:rsidR="00F070D0">
        <w:rPr>
          <w:rFonts w:ascii="Arial" w:eastAsiaTheme="minorHAnsi" w:hAnsi="Arial" w:cs="Arial"/>
          <w:sz w:val="26"/>
          <w:szCs w:val="26"/>
          <w:lang w:val="es-ES" w:eastAsia="en-US"/>
        </w:rPr>
        <w:t>ubsecretaría</w:t>
      </w:r>
      <w:proofErr w:type="spellEnd"/>
      <w:r w:rsidR="00F070D0">
        <w:rPr>
          <w:rFonts w:ascii="Arial" w:eastAsiaTheme="minorHAnsi" w:hAnsi="Arial" w:cs="Arial"/>
          <w:sz w:val="26"/>
          <w:szCs w:val="26"/>
          <w:lang w:val="es-ES" w:eastAsia="en-US"/>
        </w:rPr>
        <w:t xml:space="preserve"> de Responsabilidades y Transparencia de la Contraloría Gubernamental del Poder Ejecutivo del Estado de O</w:t>
      </w:r>
      <w:r w:rsidR="00F0055B">
        <w:rPr>
          <w:rFonts w:ascii="Arial" w:eastAsiaTheme="minorHAnsi" w:hAnsi="Arial" w:cs="Arial"/>
          <w:sz w:val="26"/>
          <w:szCs w:val="26"/>
          <w:lang w:val="es-ES" w:eastAsia="en-US"/>
        </w:rPr>
        <w:t>axaca</w:t>
      </w:r>
      <w:r w:rsidR="000173F4">
        <w:rPr>
          <w:rFonts w:ascii="Arial" w:eastAsia="Times New Roman" w:hAnsi="Arial" w:cs="Arial"/>
          <w:color w:val="000000"/>
          <w:sz w:val="26"/>
          <w:szCs w:val="26"/>
        </w:rPr>
        <w:t>;</w:t>
      </w:r>
      <w:r w:rsidR="00293D63">
        <w:rPr>
          <w:rFonts w:ascii="Arial" w:eastAsia="Times New Roman" w:hAnsi="Arial" w:cs="Arial"/>
          <w:color w:val="000000"/>
          <w:sz w:val="26"/>
          <w:szCs w:val="26"/>
        </w:rPr>
        <w:t xml:space="preserve"> </w:t>
      </w:r>
      <w:r w:rsidR="000173F4">
        <w:rPr>
          <w:rFonts w:ascii="Arial" w:eastAsia="Times New Roman" w:hAnsi="Arial" w:cs="Arial"/>
          <w:color w:val="000000"/>
          <w:sz w:val="26"/>
          <w:szCs w:val="26"/>
        </w:rPr>
        <w:t xml:space="preserve"> </w:t>
      </w:r>
      <w:r w:rsidR="00CF7290">
        <w:rPr>
          <w:rFonts w:ascii="Arial" w:eastAsia="Times New Roman" w:hAnsi="Arial" w:cs="Arial"/>
          <w:color w:val="000000"/>
          <w:sz w:val="26"/>
          <w:szCs w:val="26"/>
        </w:rPr>
        <w:t xml:space="preserve">es decir, que </w:t>
      </w:r>
      <w:r w:rsidR="00043CC5">
        <w:rPr>
          <w:rFonts w:ascii="Arial" w:eastAsia="Times New Roman" w:hAnsi="Arial" w:cs="Arial"/>
          <w:color w:val="000000"/>
          <w:sz w:val="26"/>
          <w:szCs w:val="26"/>
        </w:rPr>
        <w:t xml:space="preserve">si </w:t>
      </w:r>
      <w:r w:rsidR="000719DB">
        <w:rPr>
          <w:rFonts w:ascii="Arial" w:eastAsia="Times New Roman" w:hAnsi="Arial" w:cs="Arial"/>
          <w:color w:val="000000"/>
          <w:sz w:val="26"/>
          <w:szCs w:val="26"/>
        </w:rPr>
        <w:t xml:space="preserve">en </w:t>
      </w:r>
      <w:r>
        <w:rPr>
          <w:rFonts w:ascii="Arial" w:eastAsia="Times New Roman" w:hAnsi="Arial" w:cs="Arial"/>
          <w:color w:val="000000"/>
          <w:sz w:val="26"/>
          <w:szCs w:val="26"/>
        </w:rPr>
        <w:t>esa parte de</w:t>
      </w:r>
      <w:r w:rsidR="000719DB">
        <w:rPr>
          <w:rFonts w:ascii="Arial" w:eastAsia="Times New Roman" w:hAnsi="Arial" w:cs="Arial"/>
          <w:color w:val="000000"/>
          <w:sz w:val="26"/>
          <w:szCs w:val="26"/>
        </w:rPr>
        <w:t>l considerando</w:t>
      </w:r>
      <w:r>
        <w:rPr>
          <w:rFonts w:ascii="Arial" w:eastAsia="Times New Roman" w:hAnsi="Arial" w:cs="Arial"/>
          <w:color w:val="000000"/>
          <w:sz w:val="26"/>
          <w:szCs w:val="26"/>
        </w:rPr>
        <w:t>,</w:t>
      </w:r>
      <w:r w:rsidR="000719DB">
        <w:rPr>
          <w:rFonts w:ascii="Arial" w:eastAsia="Times New Roman" w:hAnsi="Arial" w:cs="Arial"/>
          <w:color w:val="000000"/>
          <w:sz w:val="26"/>
          <w:szCs w:val="26"/>
        </w:rPr>
        <w:t xml:space="preserve"> se citó </w:t>
      </w:r>
      <w:r w:rsidR="00742298">
        <w:rPr>
          <w:rFonts w:ascii="Arial" w:eastAsia="Times New Roman" w:hAnsi="Arial" w:cs="Arial"/>
          <w:color w:val="000000"/>
          <w:sz w:val="26"/>
          <w:szCs w:val="26"/>
        </w:rPr>
        <w:t>de forma equ</w:t>
      </w:r>
      <w:r w:rsidR="008C6B5E">
        <w:rPr>
          <w:rFonts w:ascii="Arial" w:eastAsia="Times New Roman" w:hAnsi="Arial" w:cs="Arial"/>
          <w:color w:val="000000"/>
          <w:sz w:val="26"/>
          <w:szCs w:val="26"/>
        </w:rPr>
        <w:t xml:space="preserve">ivocada </w:t>
      </w:r>
      <w:r w:rsidR="00CF7290">
        <w:rPr>
          <w:rFonts w:ascii="Arial" w:eastAsia="Times New Roman" w:hAnsi="Arial" w:cs="Arial"/>
          <w:color w:val="000000"/>
          <w:sz w:val="26"/>
          <w:szCs w:val="26"/>
        </w:rPr>
        <w:t xml:space="preserve">la denominación </w:t>
      </w:r>
      <w:r w:rsidR="000173F4">
        <w:rPr>
          <w:rFonts w:ascii="Arial" w:eastAsia="Times New Roman" w:hAnsi="Arial" w:cs="Arial"/>
          <w:color w:val="000000"/>
          <w:sz w:val="26"/>
          <w:szCs w:val="26"/>
        </w:rPr>
        <w:t xml:space="preserve">del artículo, </w:t>
      </w:r>
      <w:r w:rsidR="00742298">
        <w:rPr>
          <w:rFonts w:ascii="Arial" w:eastAsia="Times New Roman" w:hAnsi="Arial" w:cs="Arial"/>
          <w:color w:val="000000"/>
          <w:sz w:val="26"/>
          <w:szCs w:val="26"/>
        </w:rPr>
        <w:t>pero al copiarlo se advierte que el error solo radica en el número de éste, mas no en</w:t>
      </w:r>
      <w:r w:rsidR="00A545DD">
        <w:rPr>
          <w:rFonts w:ascii="Arial" w:eastAsia="Times New Roman" w:hAnsi="Arial" w:cs="Arial"/>
          <w:color w:val="000000"/>
          <w:sz w:val="26"/>
          <w:szCs w:val="26"/>
        </w:rPr>
        <w:t xml:space="preserve"> su tenor </w:t>
      </w:r>
      <w:r w:rsidR="00CF7290">
        <w:rPr>
          <w:rFonts w:ascii="Arial" w:eastAsia="Times New Roman" w:hAnsi="Arial" w:cs="Arial"/>
          <w:color w:val="000000"/>
          <w:sz w:val="26"/>
          <w:szCs w:val="26"/>
        </w:rPr>
        <w:t xml:space="preserve">y </w:t>
      </w:r>
      <w:r w:rsidR="00A545DD">
        <w:rPr>
          <w:rFonts w:ascii="Arial" w:eastAsia="Times New Roman" w:hAnsi="Arial" w:cs="Arial"/>
          <w:color w:val="000000"/>
          <w:sz w:val="26"/>
          <w:szCs w:val="26"/>
        </w:rPr>
        <w:t xml:space="preserve">pertenece al </w:t>
      </w:r>
      <w:r w:rsidR="000719DB">
        <w:rPr>
          <w:rFonts w:ascii="Arial" w:eastAsia="Times New Roman" w:hAnsi="Arial" w:cs="Arial"/>
          <w:color w:val="000000"/>
          <w:sz w:val="26"/>
          <w:szCs w:val="26"/>
        </w:rPr>
        <w:t>ordenam</w:t>
      </w:r>
      <w:r w:rsidR="0069705A">
        <w:rPr>
          <w:rFonts w:ascii="Arial" w:eastAsia="Times New Roman" w:hAnsi="Arial" w:cs="Arial"/>
          <w:color w:val="000000"/>
          <w:sz w:val="26"/>
          <w:szCs w:val="26"/>
        </w:rPr>
        <w:t xml:space="preserve">iento legal </w:t>
      </w:r>
      <w:r w:rsidR="00742298">
        <w:rPr>
          <w:rFonts w:ascii="Arial" w:eastAsia="Times New Roman" w:hAnsi="Arial" w:cs="Arial"/>
          <w:color w:val="000000"/>
          <w:sz w:val="26"/>
          <w:szCs w:val="26"/>
        </w:rPr>
        <w:t>aplicable al caso</w:t>
      </w:r>
      <w:r w:rsidR="0069705A">
        <w:rPr>
          <w:rFonts w:ascii="Arial" w:eastAsia="Times New Roman" w:hAnsi="Arial" w:cs="Arial"/>
          <w:color w:val="000000"/>
          <w:sz w:val="26"/>
          <w:szCs w:val="26"/>
        </w:rPr>
        <w:t>,</w:t>
      </w:r>
      <w:r w:rsidR="00A545DD">
        <w:rPr>
          <w:rFonts w:ascii="Arial" w:eastAsia="Times New Roman" w:hAnsi="Arial" w:cs="Arial"/>
          <w:color w:val="000000"/>
          <w:sz w:val="26"/>
          <w:szCs w:val="26"/>
        </w:rPr>
        <w:t xml:space="preserve"> </w:t>
      </w:r>
      <w:r w:rsidR="00764A94">
        <w:rPr>
          <w:rFonts w:ascii="Arial" w:eastAsia="Times New Roman" w:hAnsi="Arial" w:cs="Arial"/>
          <w:color w:val="000000"/>
          <w:sz w:val="26"/>
          <w:szCs w:val="26"/>
        </w:rPr>
        <w:t xml:space="preserve">el cual </w:t>
      </w:r>
      <w:r w:rsidR="000719DB">
        <w:rPr>
          <w:rFonts w:ascii="Arial" w:eastAsia="Times New Roman" w:hAnsi="Arial" w:cs="Arial"/>
          <w:color w:val="000000"/>
          <w:sz w:val="26"/>
          <w:szCs w:val="26"/>
        </w:rPr>
        <w:t xml:space="preserve">se correlaciona con </w:t>
      </w:r>
      <w:r w:rsidR="00F0055B">
        <w:rPr>
          <w:rFonts w:ascii="Arial" w:eastAsia="Times New Roman" w:hAnsi="Arial" w:cs="Arial"/>
          <w:color w:val="000000"/>
          <w:sz w:val="26"/>
          <w:szCs w:val="26"/>
        </w:rPr>
        <w:t xml:space="preserve">el análisis de </w:t>
      </w:r>
      <w:r w:rsidR="00F0055B">
        <w:rPr>
          <w:rFonts w:ascii="Arial" w:eastAsiaTheme="minorHAnsi" w:hAnsi="Arial" w:cs="Arial"/>
          <w:sz w:val="26"/>
          <w:szCs w:val="26"/>
          <w:lang w:val="es-ES" w:eastAsia="en-US"/>
        </w:rPr>
        <w:t>la competencia del Director de Responsabilidades y Situación Patrimon</w:t>
      </w:r>
      <w:r w:rsidR="00182652">
        <w:rPr>
          <w:rFonts w:ascii="Arial" w:eastAsiaTheme="minorHAnsi" w:hAnsi="Arial" w:cs="Arial"/>
          <w:sz w:val="26"/>
          <w:szCs w:val="26"/>
          <w:lang w:val="es-ES" w:eastAsia="en-US"/>
        </w:rPr>
        <w:t xml:space="preserve">ial </w:t>
      </w:r>
      <w:r w:rsidR="00F0055B">
        <w:rPr>
          <w:rFonts w:ascii="Arial" w:eastAsia="Times New Roman" w:hAnsi="Arial" w:cs="Arial"/>
          <w:color w:val="000000"/>
          <w:sz w:val="26"/>
          <w:szCs w:val="26"/>
        </w:rPr>
        <w:t>para emitir el acto im</w:t>
      </w:r>
      <w:r w:rsidR="00182652">
        <w:rPr>
          <w:rFonts w:ascii="Arial" w:eastAsia="Times New Roman" w:hAnsi="Arial" w:cs="Arial"/>
          <w:color w:val="000000"/>
          <w:sz w:val="26"/>
          <w:szCs w:val="26"/>
        </w:rPr>
        <w:t>pugnado en el juicio de nulidad</w:t>
      </w:r>
      <w:r w:rsidR="007622DC">
        <w:rPr>
          <w:rFonts w:ascii="Arial" w:eastAsia="Times New Roman" w:hAnsi="Arial" w:cs="Arial"/>
          <w:color w:val="000000"/>
          <w:sz w:val="26"/>
          <w:szCs w:val="26"/>
        </w:rPr>
        <w:t xml:space="preserve">; </w:t>
      </w:r>
      <w:r w:rsidR="00293D63">
        <w:rPr>
          <w:rFonts w:ascii="Arial" w:eastAsia="Times New Roman" w:hAnsi="Arial" w:cs="Arial"/>
          <w:color w:val="000000"/>
          <w:sz w:val="26"/>
          <w:szCs w:val="26"/>
        </w:rPr>
        <w:t xml:space="preserve">se </w:t>
      </w:r>
      <w:r w:rsidR="00A545DD">
        <w:rPr>
          <w:rFonts w:ascii="Arial" w:eastAsia="Times New Roman" w:hAnsi="Arial" w:cs="Arial"/>
          <w:color w:val="000000"/>
          <w:sz w:val="26"/>
          <w:szCs w:val="26"/>
        </w:rPr>
        <w:t xml:space="preserve">advierte, que se </w:t>
      </w:r>
      <w:r w:rsidR="00182652">
        <w:rPr>
          <w:rFonts w:ascii="Arial" w:eastAsia="Times New Roman" w:hAnsi="Arial" w:cs="Arial"/>
          <w:color w:val="000000"/>
          <w:sz w:val="26"/>
          <w:szCs w:val="26"/>
        </w:rPr>
        <w:t xml:space="preserve">trata de un error mecanográfico en la cita del número </w:t>
      </w:r>
      <w:r w:rsidR="0069705A">
        <w:rPr>
          <w:rFonts w:ascii="Arial" w:eastAsia="Times New Roman" w:hAnsi="Arial" w:cs="Arial"/>
          <w:color w:val="000000"/>
          <w:sz w:val="26"/>
          <w:szCs w:val="26"/>
        </w:rPr>
        <w:t>del precepto legal en cuestión,</w:t>
      </w:r>
      <w:r w:rsidR="00182652">
        <w:rPr>
          <w:rFonts w:ascii="Arial" w:eastAsia="Times New Roman" w:hAnsi="Arial" w:cs="Arial"/>
          <w:color w:val="000000"/>
          <w:sz w:val="26"/>
          <w:szCs w:val="26"/>
        </w:rPr>
        <w:t xml:space="preserve"> sin que </w:t>
      </w:r>
      <w:r w:rsidR="00A545DD">
        <w:rPr>
          <w:rFonts w:ascii="Arial" w:eastAsia="Times New Roman" w:hAnsi="Arial" w:cs="Arial"/>
          <w:color w:val="000000"/>
          <w:sz w:val="26"/>
          <w:szCs w:val="26"/>
        </w:rPr>
        <w:t xml:space="preserve">ello </w:t>
      </w:r>
      <w:r w:rsidR="00182652">
        <w:rPr>
          <w:rFonts w:ascii="Arial" w:eastAsia="Times New Roman" w:hAnsi="Arial" w:cs="Arial"/>
          <w:color w:val="000000"/>
          <w:sz w:val="26"/>
          <w:szCs w:val="26"/>
        </w:rPr>
        <w:t xml:space="preserve">implique un error de fondo en el considerando de la sentencia que dé lugar a su indebida fundamentación, pues la equivocación en la </w:t>
      </w:r>
      <w:r w:rsidR="00FF5D3F">
        <w:rPr>
          <w:rFonts w:ascii="Arial" w:eastAsia="Times New Roman" w:hAnsi="Arial" w:cs="Arial"/>
          <w:color w:val="000000"/>
          <w:sz w:val="26"/>
          <w:szCs w:val="26"/>
        </w:rPr>
        <w:t xml:space="preserve">cita del </w:t>
      </w:r>
      <w:r w:rsidR="0069705A">
        <w:rPr>
          <w:rFonts w:ascii="Arial" w:eastAsia="Times New Roman" w:hAnsi="Arial" w:cs="Arial"/>
          <w:color w:val="000000"/>
          <w:sz w:val="26"/>
          <w:szCs w:val="26"/>
        </w:rPr>
        <w:t xml:space="preserve">artículo </w:t>
      </w:r>
      <w:r w:rsidR="00182652">
        <w:rPr>
          <w:rFonts w:ascii="Arial" w:eastAsia="Times New Roman" w:hAnsi="Arial" w:cs="Arial"/>
          <w:color w:val="000000"/>
          <w:sz w:val="26"/>
          <w:szCs w:val="26"/>
        </w:rPr>
        <w:t>quedó inmediatamente s</w:t>
      </w:r>
      <w:r w:rsidR="00FF5D3F">
        <w:rPr>
          <w:rFonts w:ascii="Arial" w:eastAsia="Times New Roman" w:hAnsi="Arial" w:cs="Arial"/>
          <w:color w:val="000000"/>
          <w:sz w:val="26"/>
          <w:szCs w:val="26"/>
        </w:rPr>
        <w:t xml:space="preserve">ubsanado al </w:t>
      </w:r>
      <w:r w:rsidR="00F0055B">
        <w:rPr>
          <w:rFonts w:ascii="Arial" w:eastAsia="Times New Roman" w:hAnsi="Arial" w:cs="Arial"/>
          <w:color w:val="000000"/>
          <w:sz w:val="26"/>
          <w:szCs w:val="26"/>
        </w:rPr>
        <w:t>haber</w:t>
      </w:r>
      <w:r w:rsidR="0069705A">
        <w:rPr>
          <w:rFonts w:ascii="Arial" w:eastAsia="Times New Roman" w:hAnsi="Arial" w:cs="Arial"/>
          <w:color w:val="000000"/>
          <w:sz w:val="26"/>
          <w:szCs w:val="26"/>
        </w:rPr>
        <w:t xml:space="preserve"> transcrito </w:t>
      </w:r>
      <w:r w:rsidR="00FF5D3F">
        <w:rPr>
          <w:rFonts w:ascii="Arial" w:eastAsia="Times New Roman" w:hAnsi="Arial" w:cs="Arial"/>
          <w:color w:val="000000"/>
          <w:sz w:val="26"/>
          <w:szCs w:val="26"/>
        </w:rPr>
        <w:t xml:space="preserve">el </w:t>
      </w:r>
      <w:r w:rsidR="00AA4513">
        <w:rPr>
          <w:rFonts w:ascii="Arial" w:eastAsia="Times New Roman" w:hAnsi="Arial" w:cs="Arial"/>
          <w:color w:val="000000"/>
          <w:sz w:val="26"/>
          <w:szCs w:val="26"/>
        </w:rPr>
        <w:t xml:space="preserve">numeral </w:t>
      </w:r>
      <w:r w:rsidR="00764A94">
        <w:rPr>
          <w:rFonts w:ascii="Arial" w:eastAsia="Times New Roman" w:hAnsi="Arial" w:cs="Arial"/>
          <w:color w:val="000000"/>
          <w:sz w:val="26"/>
          <w:szCs w:val="26"/>
        </w:rPr>
        <w:t>ve</w:t>
      </w:r>
      <w:r w:rsidR="00EA3A37">
        <w:rPr>
          <w:rFonts w:ascii="Arial" w:eastAsia="Times New Roman" w:hAnsi="Arial" w:cs="Arial"/>
          <w:color w:val="000000"/>
          <w:sz w:val="26"/>
          <w:szCs w:val="26"/>
        </w:rPr>
        <w:t xml:space="preserve">rdadero, lo que conlleva a inferir </w:t>
      </w:r>
      <w:r w:rsidR="00764A94">
        <w:rPr>
          <w:rFonts w:ascii="Arial" w:eastAsia="Times New Roman" w:hAnsi="Arial" w:cs="Arial"/>
          <w:color w:val="000000"/>
          <w:sz w:val="26"/>
          <w:szCs w:val="26"/>
        </w:rPr>
        <w:t xml:space="preserve">el dato correcto que el Juzgador </w:t>
      </w:r>
      <w:r w:rsidR="00293D63">
        <w:rPr>
          <w:rFonts w:ascii="Arial" w:eastAsia="Times New Roman" w:hAnsi="Arial" w:cs="Arial"/>
          <w:color w:val="000000"/>
          <w:sz w:val="26"/>
          <w:szCs w:val="26"/>
        </w:rPr>
        <w:t xml:space="preserve">analizó </w:t>
      </w:r>
      <w:r w:rsidR="00764A94">
        <w:rPr>
          <w:rFonts w:ascii="Arial" w:eastAsia="Times New Roman" w:hAnsi="Arial" w:cs="Arial"/>
          <w:color w:val="000000"/>
          <w:sz w:val="26"/>
          <w:szCs w:val="26"/>
        </w:rPr>
        <w:t xml:space="preserve">en </w:t>
      </w:r>
      <w:r w:rsidR="00EA3A37">
        <w:rPr>
          <w:rFonts w:ascii="Arial" w:eastAsia="Times New Roman" w:hAnsi="Arial" w:cs="Arial"/>
          <w:color w:val="000000"/>
          <w:sz w:val="26"/>
          <w:szCs w:val="26"/>
        </w:rPr>
        <w:t>esa</w:t>
      </w:r>
      <w:r w:rsidR="00293D63">
        <w:rPr>
          <w:rFonts w:ascii="Arial" w:eastAsia="Times New Roman" w:hAnsi="Arial" w:cs="Arial"/>
          <w:color w:val="000000"/>
          <w:sz w:val="26"/>
          <w:szCs w:val="26"/>
        </w:rPr>
        <w:t xml:space="preserve"> parte del considerando de sentencia recurrida</w:t>
      </w:r>
      <w:r w:rsidR="00EA3A37">
        <w:rPr>
          <w:rFonts w:ascii="Arial" w:eastAsia="Times New Roman" w:hAnsi="Arial" w:cs="Arial"/>
          <w:color w:val="000000"/>
          <w:sz w:val="26"/>
          <w:szCs w:val="26"/>
        </w:rPr>
        <w:t>.</w:t>
      </w:r>
      <w:r w:rsidR="00730F8E">
        <w:rPr>
          <w:rFonts w:ascii="Arial" w:eastAsia="Times New Roman" w:hAnsi="Arial" w:cs="Arial"/>
          <w:color w:val="000000"/>
          <w:sz w:val="26"/>
          <w:szCs w:val="26"/>
        </w:rPr>
        <w:t xml:space="preserve"> - - - - - - - - - - - - - - - - - - </w:t>
      </w:r>
    </w:p>
    <w:p w14:paraId="5CD5B51C" w14:textId="0381626B" w:rsidR="00BD7FDD" w:rsidRDefault="00293D63" w:rsidP="007622DC">
      <w:pPr>
        <w:spacing w:line="360" w:lineRule="auto"/>
        <w:ind w:firstLine="709"/>
        <w:jc w:val="both"/>
        <w:rPr>
          <w:rFonts w:ascii="Arial" w:eastAsia="Times New Roman" w:hAnsi="Arial" w:cs="Arial"/>
          <w:color w:val="000000"/>
          <w:sz w:val="26"/>
          <w:szCs w:val="26"/>
        </w:rPr>
      </w:pPr>
      <w:r>
        <w:rPr>
          <w:rFonts w:ascii="Arial" w:eastAsia="Times New Roman" w:hAnsi="Arial" w:cs="Arial"/>
          <w:color w:val="000000"/>
          <w:sz w:val="26"/>
          <w:szCs w:val="26"/>
        </w:rPr>
        <w:t xml:space="preserve">Lo que </w:t>
      </w:r>
      <w:r w:rsidR="004E4448">
        <w:rPr>
          <w:rFonts w:ascii="Arial" w:eastAsia="Times New Roman" w:hAnsi="Arial" w:cs="Arial"/>
          <w:color w:val="000000"/>
          <w:sz w:val="26"/>
          <w:szCs w:val="26"/>
        </w:rPr>
        <w:t>lleva a</w:t>
      </w:r>
      <w:r>
        <w:rPr>
          <w:rFonts w:ascii="Arial" w:eastAsia="Times New Roman" w:hAnsi="Arial" w:cs="Arial"/>
          <w:color w:val="000000"/>
          <w:sz w:val="26"/>
          <w:szCs w:val="26"/>
        </w:rPr>
        <w:t xml:space="preserve"> concluir que </w:t>
      </w:r>
      <w:r w:rsidR="00A32F43">
        <w:rPr>
          <w:rFonts w:ascii="Arial" w:eastAsia="Times New Roman" w:hAnsi="Arial" w:cs="Arial"/>
          <w:color w:val="000000"/>
          <w:sz w:val="26"/>
          <w:szCs w:val="26"/>
        </w:rPr>
        <w:t xml:space="preserve">la Primera Instancia incurrió en error al </w:t>
      </w:r>
      <w:r>
        <w:rPr>
          <w:rFonts w:ascii="Arial" w:eastAsia="Times New Roman" w:hAnsi="Arial" w:cs="Arial"/>
          <w:color w:val="000000"/>
          <w:sz w:val="26"/>
          <w:szCs w:val="26"/>
        </w:rPr>
        <w:t xml:space="preserve">haber citado </w:t>
      </w:r>
      <w:r w:rsidR="00A32F43">
        <w:rPr>
          <w:rFonts w:ascii="Arial" w:eastAsia="Times New Roman" w:hAnsi="Arial" w:cs="Arial"/>
          <w:color w:val="000000"/>
          <w:sz w:val="26"/>
          <w:szCs w:val="26"/>
        </w:rPr>
        <w:t xml:space="preserve">el artículo 40, fracciones II, II, IV y XI,  </w:t>
      </w:r>
      <w:r w:rsidR="00A545DD">
        <w:rPr>
          <w:rFonts w:ascii="Arial" w:eastAsia="Times New Roman" w:hAnsi="Arial" w:cs="Arial"/>
          <w:color w:val="000000"/>
          <w:sz w:val="26"/>
          <w:szCs w:val="26"/>
        </w:rPr>
        <w:t>en lugar de</w:t>
      </w:r>
      <w:r w:rsidR="00A32F43">
        <w:rPr>
          <w:rFonts w:ascii="Arial" w:eastAsia="Times New Roman" w:hAnsi="Arial" w:cs="Arial"/>
          <w:color w:val="000000"/>
          <w:sz w:val="26"/>
          <w:szCs w:val="26"/>
        </w:rPr>
        <w:t xml:space="preserve">l 36 </w:t>
      </w:r>
      <w:r w:rsidR="00A32F43">
        <w:rPr>
          <w:rFonts w:ascii="Arial" w:eastAsiaTheme="minorHAnsi" w:hAnsi="Arial" w:cs="Arial"/>
          <w:sz w:val="26"/>
          <w:szCs w:val="26"/>
          <w:lang w:val="es-ES" w:eastAsia="en-US"/>
        </w:rPr>
        <w:t xml:space="preserve">fracciones II, III, IV, y XI del Reglamento </w:t>
      </w:r>
      <w:r w:rsidR="00A32F43" w:rsidRPr="008E1E9E">
        <w:rPr>
          <w:rFonts w:ascii="Arial" w:eastAsia="Times New Roman" w:hAnsi="Arial" w:cs="Arial"/>
          <w:color w:val="000000"/>
          <w:sz w:val="26"/>
          <w:szCs w:val="26"/>
        </w:rPr>
        <w:t>Interno de la Secretaría de la Contraloría y Transparencia Gubernamental del Poder Ejecutivo del Estado de Oaxaca, publicado en el Periódico Oficial del Gobierno del Estado</w:t>
      </w:r>
      <w:r w:rsidR="004E4448">
        <w:rPr>
          <w:rFonts w:ascii="Arial" w:eastAsia="Times New Roman" w:hAnsi="Arial" w:cs="Arial"/>
          <w:color w:val="000000"/>
          <w:sz w:val="26"/>
          <w:szCs w:val="26"/>
        </w:rPr>
        <w:t>,</w:t>
      </w:r>
      <w:r w:rsidR="00A32F43" w:rsidRPr="008E1E9E">
        <w:rPr>
          <w:rFonts w:ascii="Arial" w:eastAsia="Times New Roman" w:hAnsi="Arial" w:cs="Arial"/>
          <w:color w:val="000000"/>
          <w:sz w:val="26"/>
          <w:szCs w:val="26"/>
        </w:rPr>
        <w:t xml:space="preserve"> el dos de febrero de dos mil dieciséis</w:t>
      </w:r>
      <w:r w:rsidR="00A32F43">
        <w:rPr>
          <w:rFonts w:ascii="Arial" w:eastAsia="Times New Roman" w:hAnsi="Arial" w:cs="Arial"/>
          <w:color w:val="000000"/>
          <w:sz w:val="26"/>
          <w:szCs w:val="26"/>
        </w:rPr>
        <w:t>; sin embargo</w:t>
      </w:r>
      <w:r w:rsidR="004E4448">
        <w:rPr>
          <w:rFonts w:ascii="Arial" w:eastAsia="Times New Roman" w:hAnsi="Arial" w:cs="Arial"/>
          <w:color w:val="000000"/>
          <w:sz w:val="26"/>
          <w:szCs w:val="26"/>
        </w:rPr>
        <w:t>,</w:t>
      </w:r>
      <w:r w:rsidR="00A32F43">
        <w:rPr>
          <w:rFonts w:ascii="Arial" w:eastAsia="Times New Roman" w:hAnsi="Arial" w:cs="Arial"/>
          <w:color w:val="000000"/>
          <w:sz w:val="26"/>
          <w:szCs w:val="26"/>
        </w:rPr>
        <w:t xml:space="preserve"> como ya se dijo en líneas precedentes, </w:t>
      </w:r>
      <w:r>
        <w:rPr>
          <w:rFonts w:ascii="Arial" w:eastAsia="Times New Roman" w:hAnsi="Arial" w:cs="Arial"/>
          <w:color w:val="000000"/>
          <w:sz w:val="26"/>
          <w:szCs w:val="26"/>
        </w:rPr>
        <w:t>dicho equívoco</w:t>
      </w:r>
      <w:r w:rsidR="00A32F43">
        <w:rPr>
          <w:rFonts w:ascii="Arial" w:eastAsia="Times New Roman" w:hAnsi="Arial" w:cs="Arial"/>
          <w:color w:val="000000"/>
          <w:sz w:val="26"/>
          <w:szCs w:val="26"/>
        </w:rPr>
        <w:t xml:space="preserve"> no influyó en el fondo del estudio de la nulidad</w:t>
      </w:r>
      <w:r>
        <w:rPr>
          <w:rFonts w:ascii="Arial" w:eastAsia="Times New Roman" w:hAnsi="Arial" w:cs="Arial"/>
          <w:color w:val="000000"/>
          <w:sz w:val="26"/>
          <w:szCs w:val="26"/>
        </w:rPr>
        <w:t>,</w:t>
      </w:r>
      <w:r w:rsidR="00A32F43">
        <w:rPr>
          <w:rFonts w:ascii="Arial" w:eastAsia="Times New Roman" w:hAnsi="Arial" w:cs="Arial"/>
          <w:color w:val="000000"/>
          <w:sz w:val="26"/>
          <w:szCs w:val="26"/>
        </w:rPr>
        <w:t xml:space="preserve"> como tampoco trascendió en el fundamento y en el sentido de la sentencia impugnada, por tratarse solo de un error mecanográfico</w:t>
      </w:r>
      <w:r w:rsidR="00E76191">
        <w:rPr>
          <w:rFonts w:ascii="Arial" w:eastAsia="Times New Roman" w:hAnsi="Arial" w:cs="Arial"/>
          <w:color w:val="000000"/>
          <w:sz w:val="26"/>
          <w:szCs w:val="26"/>
        </w:rPr>
        <w:t xml:space="preserve"> y no de indebida fundamentación de la sentencia en estudio</w:t>
      </w:r>
      <w:r>
        <w:rPr>
          <w:rFonts w:ascii="Arial" w:eastAsia="Times New Roman" w:hAnsi="Arial" w:cs="Arial"/>
          <w:color w:val="000000"/>
          <w:sz w:val="26"/>
          <w:szCs w:val="26"/>
        </w:rPr>
        <w:t>; por tanto,</w:t>
      </w:r>
      <w:r w:rsidR="00A545DD">
        <w:rPr>
          <w:rFonts w:ascii="Arial" w:eastAsia="Times New Roman" w:hAnsi="Arial" w:cs="Arial"/>
          <w:color w:val="000000"/>
          <w:sz w:val="26"/>
          <w:szCs w:val="26"/>
        </w:rPr>
        <w:t xml:space="preserve"> l</w:t>
      </w:r>
      <w:r>
        <w:rPr>
          <w:rFonts w:ascii="Arial" w:eastAsia="Times New Roman" w:hAnsi="Arial" w:cs="Arial"/>
          <w:color w:val="000000"/>
          <w:sz w:val="26"/>
          <w:szCs w:val="26"/>
        </w:rPr>
        <w:t>a inconformidad expuesta por la autoridad recurrente n</w:t>
      </w:r>
      <w:r w:rsidR="00A545DD">
        <w:rPr>
          <w:rFonts w:ascii="Arial" w:eastAsia="Times New Roman" w:hAnsi="Arial" w:cs="Arial"/>
          <w:color w:val="000000"/>
          <w:sz w:val="26"/>
          <w:szCs w:val="26"/>
        </w:rPr>
        <w:t xml:space="preserve">o es suficiente para combatir el criterio vertido por la </w:t>
      </w:r>
      <w:r w:rsidR="00A545DD" w:rsidRPr="00257567">
        <w:rPr>
          <w:rFonts w:ascii="Arial" w:eastAsia="Times New Roman" w:hAnsi="Arial" w:cs="Arial"/>
          <w:color w:val="000000"/>
          <w:sz w:val="26"/>
          <w:szCs w:val="26"/>
        </w:rPr>
        <w:t xml:space="preserve">Sala Unitaria en la </w:t>
      </w:r>
      <w:r w:rsidR="00A545DD" w:rsidRPr="00257567">
        <w:rPr>
          <w:rFonts w:ascii="Arial" w:eastAsia="Times New Roman" w:hAnsi="Arial" w:cs="Arial"/>
          <w:color w:val="000000"/>
          <w:sz w:val="26"/>
          <w:szCs w:val="26"/>
        </w:rPr>
        <w:lastRenderedPageBreak/>
        <w:t>sentencia alzada</w:t>
      </w:r>
      <w:r w:rsidR="00E76191">
        <w:rPr>
          <w:rFonts w:ascii="Arial" w:eastAsia="Times New Roman" w:hAnsi="Arial" w:cs="Arial"/>
          <w:color w:val="000000"/>
          <w:sz w:val="26"/>
          <w:szCs w:val="26"/>
        </w:rPr>
        <w:t xml:space="preserve">. De ahí </w:t>
      </w:r>
      <w:r w:rsidR="00AA4513">
        <w:rPr>
          <w:rFonts w:ascii="Arial" w:eastAsia="Times New Roman" w:hAnsi="Arial" w:cs="Arial"/>
          <w:color w:val="000000"/>
          <w:sz w:val="26"/>
          <w:szCs w:val="26"/>
        </w:rPr>
        <w:t xml:space="preserve">lo </w:t>
      </w:r>
      <w:r w:rsidR="002C19DF">
        <w:rPr>
          <w:rFonts w:ascii="Arial" w:eastAsia="Times New Roman" w:hAnsi="Arial" w:cs="Arial"/>
          <w:b/>
          <w:sz w:val="26"/>
          <w:szCs w:val="26"/>
        </w:rPr>
        <w:t>fundado pero</w:t>
      </w:r>
      <w:r w:rsidR="002C19DF" w:rsidRPr="007724F2">
        <w:rPr>
          <w:rFonts w:ascii="Arial" w:eastAsia="Times New Roman" w:hAnsi="Arial" w:cs="Arial"/>
          <w:b/>
          <w:sz w:val="26"/>
          <w:szCs w:val="26"/>
        </w:rPr>
        <w:t xml:space="preserve"> inoperante</w:t>
      </w:r>
      <w:r w:rsidR="002C19DF">
        <w:rPr>
          <w:rFonts w:ascii="Arial" w:eastAsia="Times New Roman" w:hAnsi="Arial" w:cs="Arial"/>
          <w:color w:val="000000"/>
          <w:sz w:val="26"/>
          <w:szCs w:val="26"/>
        </w:rPr>
        <w:t xml:space="preserve"> </w:t>
      </w:r>
      <w:r w:rsidR="00AA4513">
        <w:rPr>
          <w:rFonts w:ascii="Arial" w:eastAsia="Times New Roman" w:hAnsi="Arial" w:cs="Arial"/>
          <w:color w:val="000000"/>
          <w:sz w:val="26"/>
          <w:szCs w:val="26"/>
        </w:rPr>
        <w:t>del agravio expuesto</w:t>
      </w:r>
      <w:r w:rsidR="00E76191">
        <w:rPr>
          <w:rFonts w:ascii="Arial" w:eastAsia="Times New Roman" w:hAnsi="Arial" w:cs="Arial"/>
          <w:color w:val="000000"/>
          <w:sz w:val="26"/>
          <w:szCs w:val="26"/>
        </w:rPr>
        <w:t xml:space="preserve">. </w:t>
      </w:r>
      <w:r w:rsidR="00887365">
        <w:rPr>
          <w:rFonts w:ascii="Arial" w:eastAsia="Times New Roman" w:hAnsi="Arial" w:cs="Arial"/>
          <w:color w:val="000000"/>
          <w:sz w:val="26"/>
          <w:szCs w:val="26"/>
        </w:rPr>
        <w:t xml:space="preserve">- - - - - - - - - - - - - - - - - - - - - - - - - - - - - - - - - - - - - - - - - - - - - </w:t>
      </w:r>
    </w:p>
    <w:p w14:paraId="6E38A767" w14:textId="67FC440E" w:rsidR="00B9485D" w:rsidRPr="00B9485D" w:rsidRDefault="007724F2" w:rsidP="007724F2">
      <w:pPr>
        <w:spacing w:line="360" w:lineRule="auto"/>
        <w:ind w:firstLine="709"/>
        <w:jc w:val="both"/>
        <w:rPr>
          <w:rFonts w:ascii="Calibri" w:eastAsia="Times New Roman" w:hAnsi="Calibri" w:cs="Calibri"/>
          <w:color w:val="212529"/>
          <w:sz w:val="26"/>
          <w:szCs w:val="26"/>
        </w:rPr>
      </w:pPr>
      <w:r>
        <w:rPr>
          <w:rFonts w:ascii="Arial" w:eastAsia="Times New Roman" w:hAnsi="Arial" w:cs="Arial"/>
          <w:color w:val="000000"/>
          <w:sz w:val="26"/>
          <w:szCs w:val="26"/>
        </w:rPr>
        <w:t xml:space="preserve">Al respecto es aplicable por similitud jurídica, la jurisprudencia en materia común, número VI. 2o. J/132, con número de registro digital 222357, de la Octava Época, emitida por los Tribunales Colegiados de Circuito; publicada en el Semanario Judicial de la Federación, en el Tomo VII, Junio de 1991, visible a página 139, de rubro y texto siguientes: </w:t>
      </w:r>
      <w:r w:rsidR="00B93E2D">
        <w:rPr>
          <w:rFonts w:ascii="Arial" w:eastAsia="Times New Roman" w:hAnsi="Arial" w:cs="Arial"/>
          <w:color w:val="000000"/>
          <w:sz w:val="26"/>
          <w:szCs w:val="26"/>
        </w:rPr>
        <w:t xml:space="preserve">- - - - - - - - - - - - - - - - - - - - - - - - - - - - - - - - - - - - - - - - - - - - </w:t>
      </w:r>
    </w:p>
    <w:p w14:paraId="690F7699" w14:textId="28C88598" w:rsidR="00B9485D" w:rsidRPr="00467A20" w:rsidRDefault="00B9485D" w:rsidP="00B9485D">
      <w:pPr>
        <w:shd w:val="clear" w:color="auto" w:fill="FFFFFF"/>
        <w:spacing w:before="100" w:beforeAutospacing="1" w:after="100" w:afterAutospacing="1" w:line="240" w:lineRule="auto"/>
        <w:ind w:left="567" w:right="616"/>
        <w:jc w:val="both"/>
        <w:rPr>
          <w:rFonts w:ascii="Arial" w:eastAsia="Times New Roman" w:hAnsi="Arial" w:cs="Arial"/>
          <w:i/>
          <w:iCs/>
          <w:color w:val="212529"/>
          <w:sz w:val="24"/>
          <w:szCs w:val="24"/>
        </w:rPr>
      </w:pPr>
      <w:r w:rsidRPr="00467A20">
        <w:rPr>
          <w:rFonts w:ascii="Arial" w:eastAsia="Times New Roman" w:hAnsi="Arial" w:cs="Arial"/>
          <w:b/>
          <w:bCs/>
          <w:i/>
          <w:iCs/>
          <w:sz w:val="24"/>
          <w:szCs w:val="24"/>
        </w:rPr>
        <w:t xml:space="preserve">“AGRAVIOS EN LA REVISION, FUNDADOS PERO INOPERANTES. </w:t>
      </w:r>
      <w:r w:rsidRPr="00467A20">
        <w:rPr>
          <w:rFonts w:ascii="Arial" w:eastAsia="Times New Roman" w:hAnsi="Arial" w:cs="Arial"/>
          <w:i/>
          <w:iCs/>
          <w:sz w:val="24"/>
          <w:szCs w:val="24"/>
        </w:rPr>
        <w:t>Si del estudio que en el recurso de revisión se hace de un agravio se llega a la conclusión de que es fundado, pero de su análisis se advierte claramente que por diversas razones que ven al fondo de la cuestión omitida, es insuficiente en sí mismo para resolver el asunto favorablemente a los intereses del recurrente, dicho agravio, aunque fundado, debe declararse inoperante.”</w:t>
      </w:r>
    </w:p>
    <w:p w14:paraId="37A07B90" w14:textId="6A59BB02" w:rsidR="009D4CB7" w:rsidRDefault="006C6363" w:rsidP="00AA4698">
      <w:pPr>
        <w:spacing w:line="360" w:lineRule="auto"/>
        <w:ind w:firstLine="709"/>
        <w:jc w:val="both"/>
        <w:rPr>
          <w:rFonts w:ascii="Arial" w:eastAsiaTheme="minorHAnsi" w:hAnsi="Arial" w:cs="Arial"/>
          <w:sz w:val="26"/>
          <w:szCs w:val="26"/>
          <w:lang w:val="es-ES" w:eastAsia="en-US"/>
        </w:rPr>
      </w:pPr>
      <w:r w:rsidRPr="00CD40C9">
        <w:rPr>
          <w:rFonts w:ascii="Arial" w:eastAsiaTheme="minorHAnsi" w:hAnsi="Arial" w:cs="Arial"/>
          <w:bCs/>
          <w:sz w:val="26"/>
          <w:szCs w:val="26"/>
          <w:lang w:val="es-ES" w:eastAsia="en-US"/>
        </w:rPr>
        <w:t>Se continúa con el análisis de los agravios del recurrente quien refiere</w:t>
      </w:r>
      <w:r>
        <w:rPr>
          <w:rFonts w:ascii="Arial" w:eastAsiaTheme="minorHAnsi" w:hAnsi="Arial" w:cs="Arial"/>
          <w:b/>
          <w:sz w:val="26"/>
          <w:szCs w:val="26"/>
          <w:lang w:val="es-ES" w:eastAsia="en-US"/>
        </w:rPr>
        <w:t xml:space="preserve"> </w:t>
      </w:r>
      <w:r w:rsidR="009D4CB7">
        <w:rPr>
          <w:rFonts w:ascii="Arial" w:eastAsiaTheme="minorHAnsi" w:hAnsi="Arial" w:cs="Arial"/>
          <w:sz w:val="26"/>
          <w:szCs w:val="26"/>
          <w:lang w:val="es-ES" w:eastAsia="en-US"/>
        </w:rPr>
        <w:t xml:space="preserve">que uno de los actos impugnados por su contraparte fue el acuerdo de inicio del procedimiento de responsabilidad administrativa disciplinaria, de fecha dieciséis de agosto de dos mil diecisiete, dictado en el expediente número 46/RA/-B/2016, al considerar que la autoridad que lo emitió no es la competente </w:t>
      </w:r>
      <w:r w:rsidR="002410E9">
        <w:rPr>
          <w:rFonts w:ascii="Arial" w:eastAsiaTheme="minorHAnsi" w:hAnsi="Arial" w:cs="Arial"/>
          <w:sz w:val="26"/>
          <w:szCs w:val="26"/>
          <w:lang w:val="es-ES" w:eastAsia="en-US"/>
        </w:rPr>
        <w:t xml:space="preserve">para ello; sin embargo el artículo 60 de la Ley de Responsabilidades de los Servidores Públicos del Estado y Municipios de Oaxaca, establece que </w:t>
      </w:r>
      <w:r w:rsidR="00E32B44">
        <w:rPr>
          <w:rFonts w:ascii="Arial" w:eastAsiaTheme="minorHAnsi" w:hAnsi="Arial" w:cs="Arial"/>
          <w:sz w:val="26"/>
          <w:szCs w:val="26"/>
          <w:lang w:val="es-ES" w:eastAsia="en-US"/>
        </w:rPr>
        <w:t>en todo lo rel</w:t>
      </w:r>
      <w:r w:rsidR="001F1D40">
        <w:rPr>
          <w:rFonts w:ascii="Arial" w:eastAsiaTheme="minorHAnsi" w:hAnsi="Arial" w:cs="Arial"/>
          <w:sz w:val="26"/>
          <w:szCs w:val="26"/>
          <w:lang w:val="es-ES" w:eastAsia="en-US"/>
        </w:rPr>
        <w:t>a</w:t>
      </w:r>
      <w:r w:rsidR="00E32B44">
        <w:rPr>
          <w:rFonts w:ascii="Arial" w:eastAsiaTheme="minorHAnsi" w:hAnsi="Arial" w:cs="Arial"/>
          <w:sz w:val="26"/>
          <w:szCs w:val="26"/>
          <w:lang w:val="es-ES" w:eastAsia="en-US"/>
        </w:rPr>
        <w:t>cionado al procedimiento, ofrecimiento y valoración de pruebas, se ap</w:t>
      </w:r>
      <w:r w:rsidR="00455FD0">
        <w:rPr>
          <w:rFonts w:ascii="Arial" w:eastAsiaTheme="minorHAnsi" w:hAnsi="Arial" w:cs="Arial"/>
          <w:sz w:val="26"/>
          <w:szCs w:val="26"/>
          <w:lang w:val="es-ES" w:eastAsia="en-US"/>
        </w:rPr>
        <w:t>l</w:t>
      </w:r>
      <w:r w:rsidR="00E32B44">
        <w:rPr>
          <w:rFonts w:ascii="Arial" w:eastAsiaTheme="minorHAnsi" w:hAnsi="Arial" w:cs="Arial"/>
          <w:sz w:val="26"/>
          <w:szCs w:val="26"/>
          <w:lang w:val="es-ES" w:eastAsia="en-US"/>
        </w:rPr>
        <w:t>ica</w:t>
      </w:r>
      <w:r w:rsidR="00455FD0">
        <w:rPr>
          <w:rFonts w:ascii="Arial" w:eastAsiaTheme="minorHAnsi" w:hAnsi="Arial" w:cs="Arial"/>
          <w:sz w:val="26"/>
          <w:szCs w:val="26"/>
          <w:lang w:val="es-ES" w:eastAsia="en-US"/>
        </w:rPr>
        <w:t xml:space="preserve"> </w:t>
      </w:r>
      <w:r w:rsidR="00E32B44">
        <w:rPr>
          <w:rFonts w:ascii="Arial" w:eastAsiaTheme="minorHAnsi" w:hAnsi="Arial" w:cs="Arial"/>
          <w:sz w:val="26"/>
          <w:szCs w:val="26"/>
          <w:lang w:val="es-ES" w:eastAsia="en-US"/>
        </w:rPr>
        <w:t xml:space="preserve">supletoriamente el </w:t>
      </w:r>
      <w:r w:rsidR="002410E9">
        <w:rPr>
          <w:rFonts w:ascii="Arial" w:eastAsiaTheme="minorHAnsi" w:hAnsi="Arial" w:cs="Arial"/>
          <w:sz w:val="26"/>
          <w:szCs w:val="26"/>
          <w:lang w:val="es-ES" w:eastAsia="en-US"/>
        </w:rPr>
        <w:t>Código de Procedimientos Civiles para el Estado de O</w:t>
      </w:r>
      <w:r w:rsidR="00E32B44">
        <w:rPr>
          <w:rFonts w:ascii="Arial" w:eastAsiaTheme="minorHAnsi" w:hAnsi="Arial" w:cs="Arial"/>
          <w:sz w:val="26"/>
          <w:szCs w:val="26"/>
          <w:lang w:val="es-ES" w:eastAsia="en-US"/>
        </w:rPr>
        <w:t>axaca;</w:t>
      </w:r>
      <w:r w:rsidR="00455FD0">
        <w:rPr>
          <w:rFonts w:ascii="Arial" w:eastAsiaTheme="minorHAnsi" w:hAnsi="Arial" w:cs="Arial"/>
          <w:sz w:val="26"/>
          <w:szCs w:val="26"/>
          <w:lang w:val="es-ES" w:eastAsia="en-US"/>
        </w:rPr>
        <w:t xml:space="preserve"> por tanto, la parte actora, debió hacer valer en el momento procesal oportuno el incidente correspondiente, en contra del acuerdo de inicio de procedimiento de responsabilidad administrativa disciplinaria, de fecha dieciséis de agosto de dos mil diecisiete, dictado en el expediente número 46</w:t>
      </w:r>
      <w:r w:rsidR="00374BD3">
        <w:rPr>
          <w:rFonts w:ascii="Arial" w:eastAsiaTheme="minorHAnsi" w:hAnsi="Arial" w:cs="Arial"/>
          <w:sz w:val="26"/>
          <w:szCs w:val="26"/>
          <w:lang w:val="es-ES" w:eastAsia="en-US"/>
        </w:rPr>
        <w:t>/</w:t>
      </w:r>
      <w:r w:rsidR="00455FD0">
        <w:rPr>
          <w:rFonts w:ascii="Arial" w:eastAsiaTheme="minorHAnsi" w:hAnsi="Arial" w:cs="Arial"/>
          <w:sz w:val="26"/>
          <w:szCs w:val="26"/>
          <w:lang w:val="es-ES" w:eastAsia="en-US"/>
        </w:rPr>
        <w:t>RA/-B/2016, de conformidad con lo dispuesto por los art</w:t>
      </w:r>
      <w:r w:rsidR="0042501F">
        <w:rPr>
          <w:rFonts w:ascii="Arial" w:eastAsiaTheme="minorHAnsi" w:hAnsi="Arial" w:cs="Arial"/>
          <w:sz w:val="26"/>
          <w:szCs w:val="26"/>
          <w:lang w:val="es-ES" w:eastAsia="en-US"/>
        </w:rPr>
        <w:t>ículos 35 y 36 del Código de Procedimientos Civiles para el Estado de Oaxaca</w:t>
      </w:r>
      <w:r w:rsidR="00597848">
        <w:rPr>
          <w:rFonts w:ascii="Arial" w:eastAsiaTheme="minorHAnsi" w:hAnsi="Arial" w:cs="Arial"/>
          <w:sz w:val="26"/>
          <w:szCs w:val="26"/>
          <w:lang w:val="es-ES" w:eastAsia="en-US"/>
        </w:rPr>
        <w:t>; como no hizo valer en tiempo y forma el incidente de mérito, debe declarar la revocación de la sentencia recurrida.</w:t>
      </w:r>
      <w:r w:rsidR="00467A20">
        <w:rPr>
          <w:rFonts w:ascii="Arial" w:eastAsiaTheme="minorHAnsi" w:hAnsi="Arial" w:cs="Arial"/>
          <w:sz w:val="26"/>
          <w:szCs w:val="26"/>
          <w:lang w:val="es-ES" w:eastAsia="en-US"/>
        </w:rPr>
        <w:t xml:space="preserve"> </w:t>
      </w:r>
      <w:r w:rsidR="00467A20">
        <w:rPr>
          <w:rFonts w:ascii="Arial" w:eastAsia="Times New Roman" w:hAnsi="Arial" w:cs="Arial"/>
          <w:color w:val="000000"/>
          <w:sz w:val="26"/>
          <w:szCs w:val="26"/>
        </w:rPr>
        <w:t xml:space="preserve">- - - - - - - - - - - - - - - - - - - - - - - - - - - - - - - - - - - - - - - - - - - - - </w:t>
      </w:r>
    </w:p>
    <w:p w14:paraId="55CF6839" w14:textId="730F37CB" w:rsidR="00D43799" w:rsidRDefault="001F1D40" w:rsidP="00FC702E">
      <w:pPr>
        <w:spacing w:line="360" w:lineRule="auto"/>
        <w:ind w:firstLine="709"/>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 xml:space="preserve">Es </w:t>
      </w:r>
      <w:r w:rsidR="002C19DF" w:rsidRPr="001F1D40">
        <w:rPr>
          <w:rFonts w:ascii="Arial" w:eastAsiaTheme="minorHAnsi" w:hAnsi="Arial" w:cs="Arial"/>
          <w:b/>
          <w:sz w:val="26"/>
          <w:szCs w:val="26"/>
          <w:lang w:val="es-ES" w:eastAsia="en-US"/>
        </w:rPr>
        <w:t>in</w:t>
      </w:r>
      <w:r w:rsidR="002C19DF">
        <w:rPr>
          <w:rFonts w:ascii="Arial" w:eastAsiaTheme="minorHAnsi" w:hAnsi="Arial" w:cs="Arial"/>
          <w:b/>
          <w:sz w:val="26"/>
          <w:szCs w:val="26"/>
          <w:lang w:val="es-ES" w:eastAsia="en-US"/>
        </w:rPr>
        <w:t>operante</w:t>
      </w:r>
      <w:r w:rsidR="001F2E49">
        <w:rPr>
          <w:rFonts w:ascii="Arial" w:eastAsiaTheme="minorHAnsi" w:hAnsi="Arial" w:cs="Arial"/>
          <w:b/>
          <w:sz w:val="26"/>
          <w:szCs w:val="26"/>
          <w:lang w:val="es-ES" w:eastAsia="en-US"/>
        </w:rPr>
        <w:t xml:space="preserve"> </w:t>
      </w:r>
      <w:r>
        <w:rPr>
          <w:rFonts w:ascii="Arial" w:eastAsiaTheme="minorHAnsi" w:hAnsi="Arial" w:cs="Arial"/>
          <w:sz w:val="26"/>
          <w:szCs w:val="26"/>
          <w:lang w:val="es-ES" w:eastAsia="en-US"/>
        </w:rPr>
        <w:t xml:space="preserve">el agravio anterior, debido a que el recurrente </w:t>
      </w:r>
      <w:r w:rsidR="0093246F">
        <w:rPr>
          <w:rFonts w:ascii="Arial" w:eastAsiaTheme="minorHAnsi" w:hAnsi="Arial" w:cs="Arial"/>
          <w:sz w:val="26"/>
          <w:szCs w:val="26"/>
          <w:lang w:val="es-ES" w:eastAsia="en-US"/>
        </w:rPr>
        <w:t>manifiesta</w:t>
      </w:r>
      <w:r w:rsidR="003C0C56">
        <w:rPr>
          <w:rFonts w:ascii="Arial" w:eastAsiaTheme="minorHAnsi" w:hAnsi="Arial" w:cs="Arial"/>
          <w:sz w:val="26"/>
          <w:szCs w:val="26"/>
          <w:lang w:val="es-ES" w:eastAsia="en-US"/>
        </w:rPr>
        <w:t xml:space="preserve"> defensa en contra de lo que él </w:t>
      </w:r>
      <w:r w:rsidR="003C0C56" w:rsidRPr="000C5DA1">
        <w:rPr>
          <w:rFonts w:ascii="Arial" w:eastAsiaTheme="minorHAnsi" w:hAnsi="Arial" w:cs="Arial"/>
          <w:sz w:val="26"/>
          <w:szCs w:val="26"/>
          <w:lang w:val="es-ES" w:eastAsia="en-US"/>
        </w:rPr>
        <w:t xml:space="preserve">mismo </w:t>
      </w:r>
      <w:r w:rsidR="001F2E49" w:rsidRPr="000C5DA1">
        <w:rPr>
          <w:rFonts w:ascii="Arial" w:eastAsiaTheme="minorHAnsi" w:hAnsi="Arial" w:cs="Arial"/>
          <w:sz w:val="26"/>
          <w:szCs w:val="26"/>
          <w:lang w:val="es-ES" w:eastAsia="en-US"/>
        </w:rPr>
        <w:t xml:space="preserve">aludió </w:t>
      </w:r>
      <w:r w:rsidR="003C0C56" w:rsidRPr="000C5DA1">
        <w:rPr>
          <w:rFonts w:ascii="Arial" w:eastAsiaTheme="minorHAnsi" w:hAnsi="Arial" w:cs="Arial"/>
          <w:sz w:val="26"/>
          <w:szCs w:val="26"/>
          <w:lang w:val="es-ES" w:eastAsia="en-US"/>
        </w:rPr>
        <w:t xml:space="preserve">como uno de </w:t>
      </w:r>
      <w:r w:rsidR="008C6B5E" w:rsidRPr="000C5DA1">
        <w:rPr>
          <w:rFonts w:ascii="Arial" w:eastAsiaTheme="minorHAnsi" w:hAnsi="Arial" w:cs="Arial"/>
          <w:sz w:val="26"/>
          <w:szCs w:val="26"/>
          <w:lang w:val="es-ES" w:eastAsia="en-US"/>
        </w:rPr>
        <w:t xml:space="preserve">los </w:t>
      </w:r>
      <w:r w:rsidR="003C0C56" w:rsidRPr="000C5DA1">
        <w:rPr>
          <w:rFonts w:ascii="Arial" w:eastAsiaTheme="minorHAnsi" w:hAnsi="Arial" w:cs="Arial"/>
          <w:sz w:val="26"/>
          <w:szCs w:val="26"/>
          <w:lang w:val="es-ES" w:eastAsia="en-US"/>
        </w:rPr>
        <w:t xml:space="preserve">actos impugnados, refiriéndose al </w:t>
      </w:r>
      <w:r w:rsidR="00DA0327" w:rsidRPr="000C5DA1">
        <w:rPr>
          <w:rFonts w:ascii="Arial" w:eastAsiaTheme="minorHAnsi" w:hAnsi="Arial" w:cs="Arial"/>
          <w:sz w:val="26"/>
          <w:szCs w:val="26"/>
          <w:lang w:val="es-ES" w:eastAsia="en-US"/>
        </w:rPr>
        <w:t xml:space="preserve">acuerdo del </w:t>
      </w:r>
      <w:r w:rsidR="003C0C56" w:rsidRPr="000C5DA1">
        <w:rPr>
          <w:rFonts w:ascii="Arial" w:eastAsiaTheme="minorHAnsi" w:hAnsi="Arial" w:cs="Arial"/>
          <w:sz w:val="26"/>
          <w:szCs w:val="26"/>
          <w:lang w:val="es-ES" w:eastAsia="en-US"/>
        </w:rPr>
        <w:t>inicio del procedimiento de responsabilidad administrativa disciplinaria,</w:t>
      </w:r>
      <w:r w:rsidR="003C0C56">
        <w:rPr>
          <w:rFonts w:ascii="Arial" w:eastAsiaTheme="minorHAnsi" w:hAnsi="Arial" w:cs="Arial"/>
          <w:sz w:val="26"/>
          <w:szCs w:val="26"/>
          <w:lang w:val="es-ES" w:eastAsia="en-US"/>
        </w:rPr>
        <w:t xml:space="preserve"> de fecha dieciséis de </w:t>
      </w:r>
      <w:r w:rsidR="003C0C56">
        <w:rPr>
          <w:rFonts w:ascii="Arial" w:eastAsiaTheme="minorHAnsi" w:hAnsi="Arial" w:cs="Arial"/>
          <w:sz w:val="26"/>
          <w:szCs w:val="26"/>
          <w:lang w:val="es-ES" w:eastAsia="en-US"/>
        </w:rPr>
        <w:lastRenderedPageBreak/>
        <w:t xml:space="preserve">agosto de dos mil diecisiete, dictado en el </w:t>
      </w:r>
      <w:r w:rsidR="0093246F">
        <w:rPr>
          <w:rFonts w:ascii="Arial" w:eastAsiaTheme="minorHAnsi" w:hAnsi="Arial" w:cs="Arial"/>
          <w:sz w:val="26"/>
          <w:szCs w:val="26"/>
          <w:lang w:val="es-ES" w:eastAsia="en-US"/>
        </w:rPr>
        <w:t>expediente número 46/RA/-B/2016;</w:t>
      </w:r>
      <w:r w:rsidR="003C0C56">
        <w:rPr>
          <w:rFonts w:ascii="Arial" w:eastAsiaTheme="minorHAnsi" w:hAnsi="Arial" w:cs="Arial"/>
          <w:sz w:val="26"/>
          <w:szCs w:val="26"/>
          <w:lang w:val="es-ES" w:eastAsia="en-US"/>
        </w:rPr>
        <w:t xml:space="preserve"> </w:t>
      </w:r>
      <w:r w:rsidR="00F65CBB">
        <w:rPr>
          <w:rFonts w:ascii="Arial" w:eastAsiaTheme="minorHAnsi" w:hAnsi="Arial" w:cs="Arial"/>
          <w:sz w:val="26"/>
          <w:szCs w:val="26"/>
          <w:lang w:val="es-ES" w:eastAsia="en-US"/>
        </w:rPr>
        <w:t xml:space="preserve">argumento que debió hacer valer </w:t>
      </w:r>
      <w:r w:rsidR="006A7628">
        <w:rPr>
          <w:rFonts w:ascii="Arial" w:eastAsiaTheme="minorHAnsi" w:hAnsi="Arial" w:cs="Arial"/>
          <w:sz w:val="26"/>
          <w:szCs w:val="26"/>
          <w:lang w:val="es-ES" w:eastAsia="en-US"/>
        </w:rPr>
        <w:t>su representada en el momento procesal oportuno</w:t>
      </w:r>
      <w:r w:rsidR="0093246F">
        <w:rPr>
          <w:rFonts w:ascii="Arial" w:eastAsiaTheme="minorHAnsi" w:hAnsi="Arial" w:cs="Arial"/>
          <w:sz w:val="26"/>
          <w:szCs w:val="26"/>
          <w:lang w:val="es-ES" w:eastAsia="en-US"/>
        </w:rPr>
        <w:t>,</w:t>
      </w:r>
      <w:r w:rsidR="006A7628">
        <w:rPr>
          <w:rFonts w:ascii="Arial" w:eastAsiaTheme="minorHAnsi" w:hAnsi="Arial" w:cs="Arial"/>
          <w:sz w:val="26"/>
          <w:szCs w:val="26"/>
          <w:lang w:val="es-ES" w:eastAsia="en-US"/>
        </w:rPr>
        <w:t xml:space="preserve"> es decir, al </w:t>
      </w:r>
      <w:r w:rsidR="00F65CBB">
        <w:rPr>
          <w:rFonts w:ascii="Arial" w:eastAsiaTheme="minorHAnsi" w:hAnsi="Arial" w:cs="Arial"/>
          <w:sz w:val="26"/>
          <w:szCs w:val="26"/>
          <w:lang w:val="es-ES" w:eastAsia="en-US"/>
        </w:rPr>
        <w:t>contestar la</w:t>
      </w:r>
      <w:r w:rsidR="006A7628">
        <w:rPr>
          <w:rFonts w:ascii="Arial" w:eastAsiaTheme="minorHAnsi" w:hAnsi="Arial" w:cs="Arial"/>
          <w:sz w:val="26"/>
          <w:szCs w:val="26"/>
          <w:lang w:val="es-ES" w:eastAsia="en-US"/>
        </w:rPr>
        <w:t xml:space="preserve"> demanda</w:t>
      </w:r>
      <w:r w:rsidR="00F65CBB">
        <w:rPr>
          <w:rFonts w:ascii="Arial" w:eastAsiaTheme="minorHAnsi" w:hAnsi="Arial" w:cs="Arial"/>
          <w:sz w:val="26"/>
          <w:szCs w:val="26"/>
          <w:lang w:val="es-ES" w:eastAsia="en-US"/>
        </w:rPr>
        <w:t xml:space="preserve"> </w:t>
      </w:r>
      <w:r w:rsidR="0093246F">
        <w:rPr>
          <w:rFonts w:ascii="Arial" w:eastAsiaTheme="minorHAnsi" w:hAnsi="Arial" w:cs="Arial"/>
          <w:sz w:val="26"/>
          <w:szCs w:val="26"/>
          <w:lang w:val="es-ES" w:eastAsia="en-US"/>
        </w:rPr>
        <w:t xml:space="preserve">en el </w:t>
      </w:r>
      <w:r w:rsidR="002D4D54">
        <w:rPr>
          <w:rFonts w:ascii="Arial" w:eastAsiaTheme="minorHAnsi" w:hAnsi="Arial" w:cs="Arial"/>
          <w:sz w:val="26"/>
          <w:szCs w:val="26"/>
          <w:lang w:val="es-ES" w:eastAsia="en-US"/>
        </w:rPr>
        <w:t>J</w:t>
      </w:r>
      <w:r w:rsidR="0093246F">
        <w:rPr>
          <w:rFonts w:ascii="Arial" w:eastAsiaTheme="minorHAnsi" w:hAnsi="Arial" w:cs="Arial"/>
          <w:sz w:val="26"/>
          <w:szCs w:val="26"/>
          <w:lang w:val="es-ES" w:eastAsia="en-US"/>
        </w:rPr>
        <w:t xml:space="preserve">uicio de </w:t>
      </w:r>
      <w:r w:rsidR="002D4D54">
        <w:rPr>
          <w:rFonts w:ascii="Arial" w:eastAsiaTheme="minorHAnsi" w:hAnsi="Arial" w:cs="Arial"/>
          <w:sz w:val="26"/>
          <w:szCs w:val="26"/>
          <w:lang w:val="es-ES" w:eastAsia="en-US"/>
        </w:rPr>
        <w:t>N</w:t>
      </w:r>
      <w:r w:rsidR="0093246F">
        <w:rPr>
          <w:rFonts w:ascii="Arial" w:eastAsiaTheme="minorHAnsi" w:hAnsi="Arial" w:cs="Arial"/>
          <w:sz w:val="26"/>
          <w:szCs w:val="26"/>
          <w:lang w:val="es-ES" w:eastAsia="en-US"/>
        </w:rPr>
        <w:t xml:space="preserve">ulidad </w:t>
      </w:r>
      <w:r w:rsidR="00F65CBB">
        <w:rPr>
          <w:rFonts w:ascii="Arial" w:eastAsiaTheme="minorHAnsi" w:hAnsi="Arial" w:cs="Arial"/>
          <w:sz w:val="26"/>
          <w:szCs w:val="26"/>
          <w:lang w:val="es-ES" w:eastAsia="en-US"/>
        </w:rPr>
        <w:t xml:space="preserve">y no en el </w:t>
      </w:r>
      <w:r w:rsidR="002D4D54">
        <w:rPr>
          <w:rFonts w:ascii="Arial" w:eastAsiaTheme="minorHAnsi" w:hAnsi="Arial" w:cs="Arial"/>
          <w:sz w:val="26"/>
          <w:szCs w:val="26"/>
          <w:lang w:val="es-ES" w:eastAsia="en-US"/>
        </w:rPr>
        <w:t>R</w:t>
      </w:r>
      <w:r w:rsidR="006A7628">
        <w:rPr>
          <w:rFonts w:ascii="Arial" w:eastAsiaTheme="minorHAnsi" w:hAnsi="Arial" w:cs="Arial"/>
          <w:sz w:val="26"/>
          <w:szCs w:val="26"/>
          <w:lang w:val="es-ES" w:eastAsia="en-US"/>
        </w:rPr>
        <w:t xml:space="preserve">ecurso de </w:t>
      </w:r>
      <w:r w:rsidR="002D4D54">
        <w:rPr>
          <w:rFonts w:ascii="Arial" w:eastAsiaTheme="minorHAnsi" w:hAnsi="Arial" w:cs="Arial"/>
          <w:sz w:val="26"/>
          <w:szCs w:val="26"/>
          <w:lang w:val="es-ES" w:eastAsia="en-US"/>
        </w:rPr>
        <w:t>R</w:t>
      </w:r>
      <w:r w:rsidR="006A7628">
        <w:rPr>
          <w:rFonts w:ascii="Arial" w:eastAsiaTheme="minorHAnsi" w:hAnsi="Arial" w:cs="Arial"/>
          <w:sz w:val="26"/>
          <w:szCs w:val="26"/>
          <w:lang w:val="es-ES" w:eastAsia="en-US"/>
        </w:rPr>
        <w:t xml:space="preserve">evisión </w:t>
      </w:r>
      <w:r w:rsidR="00F65CBB">
        <w:rPr>
          <w:rFonts w:ascii="Arial" w:eastAsiaTheme="minorHAnsi" w:hAnsi="Arial" w:cs="Arial"/>
          <w:sz w:val="26"/>
          <w:szCs w:val="26"/>
          <w:lang w:val="es-ES" w:eastAsia="en-US"/>
        </w:rPr>
        <w:t>que interpuso</w:t>
      </w:r>
      <w:r w:rsidR="0093246F">
        <w:rPr>
          <w:rFonts w:ascii="Arial" w:eastAsiaTheme="minorHAnsi" w:hAnsi="Arial" w:cs="Arial"/>
          <w:sz w:val="26"/>
          <w:szCs w:val="26"/>
          <w:lang w:val="es-ES" w:eastAsia="en-US"/>
        </w:rPr>
        <w:t xml:space="preserve">; </w:t>
      </w:r>
      <w:r w:rsidR="00B8104A">
        <w:rPr>
          <w:rFonts w:ascii="Arial" w:eastAsiaTheme="minorHAnsi" w:hAnsi="Arial" w:cs="Arial"/>
          <w:sz w:val="26"/>
          <w:szCs w:val="26"/>
          <w:lang w:val="es-ES" w:eastAsia="en-US"/>
        </w:rPr>
        <w:t xml:space="preserve">por ello, lo expuesto </w:t>
      </w:r>
      <w:r w:rsidR="00FC702E">
        <w:rPr>
          <w:rFonts w:ascii="Arial" w:eastAsiaTheme="minorHAnsi" w:hAnsi="Arial" w:cs="Arial"/>
          <w:sz w:val="26"/>
          <w:szCs w:val="26"/>
          <w:lang w:val="es-ES" w:eastAsia="en-US"/>
        </w:rPr>
        <w:t xml:space="preserve">en </w:t>
      </w:r>
      <w:r w:rsidR="00B8104A">
        <w:rPr>
          <w:rFonts w:ascii="Arial" w:eastAsiaTheme="minorHAnsi" w:hAnsi="Arial" w:cs="Arial"/>
          <w:sz w:val="26"/>
          <w:szCs w:val="26"/>
          <w:lang w:val="es-ES" w:eastAsia="en-US"/>
        </w:rPr>
        <w:t xml:space="preserve">su </w:t>
      </w:r>
      <w:r w:rsidR="00FC702E">
        <w:rPr>
          <w:rFonts w:ascii="Arial" w:eastAsiaTheme="minorHAnsi" w:hAnsi="Arial" w:cs="Arial"/>
          <w:sz w:val="26"/>
          <w:szCs w:val="26"/>
          <w:lang w:val="es-ES" w:eastAsia="en-US"/>
        </w:rPr>
        <w:t xml:space="preserve">agravio se torna novedoso </w:t>
      </w:r>
      <w:r w:rsidR="00B8104A">
        <w:rPr>
          <w:rFonts w:ascii="Arial" w:eastAsiaTheme="minorHAnsi" w:hAnsi="Arial" w:cs="Arial"/>
          <w:sz w:val="26"/>
          <w:szCs w:val="26"/>
          <w:lang w:val="es-ES" w:eastAsia="en-US"/>
        </w:rPr>
        <w:t>por n</w:t>
      </w:r>
      <w:r w:rsidR="00FC702E">
        <w:rPr>
          <w:rFonts w:ascii="Arial" w:eastAsiaTheme="minorHAnsi" w:hAnsi="Arial" w:cs="Arial"/>
          <w:sz w:val="26"/>
          <w:szCs w:val="26"/>
          <w:lang w:val="es-ES" w:eastAsia="en-US"/>
        </w:rPr>
        <w:t>o h</w:t>
      </w:r>
      <w:r w:rsidR="00B8104A">
        <w:rPr>
          <w:rFonts w:ascii="Arial" w:eastAsiaTheme="minorHAnsi" w:hAnsi="Arial" w:cs="Arial"/>
          <w:sz w:val="26"/>
          <w:szCs w:val="26"/>
          <w:lang w:val="es-ES" w:eastAsia="en-US"/>
        </w:rPr>
        <w:t xml:space="preserve">aber formado parte de la Litis, </w:t>
      </w:r>
      <w:r w:rsidR="00FC702E">
        <w:rPr>
          <w:rFonts w:ascii="Arial" w:eastAsiaTheme="minorHAnsi" w:hAnsi="Arial" w:cs="Arial"/>
          <w:sz w:val="26"/>
          <w:szCs w:val="26"/>
          <w:lang w:val="es-ES" w:eastAsia="en-US"/>
        </w:rPr>
        <w:t xml:space="preserve">de atenderlo se atentaría contra el principio de congruencia, aunado al hecho de que su argumento </w:t>
      </w:r>
      <w:r w:rsidR="0093246F">
        <w:rPr>
          <w:rFonts w:ascii="Arial" w:eastAsiaTheme="minorHAnsi" w:hAnsi="Arial" w:cs="Arial"/>
          <w:sz w:val="26"/>
          <w:szCs w:val="26"/>
          <w:lang w:val="es-ES" w:eastAsia="en-US"/>
        </w:rPr>
        <w:t xml:space="preserve">no tiende a desvirtuar las consideraciones  establecidas </w:t>
      </w:r>
      <w:r w:rsidR="00FC702E">
        <w:rPr>
          <w:rFonts w:ascii="Arial" w:eastAsiaTheme="minorHAnsi" w:hAnsi="Arial" w:cs="Arial"/>
          <w:sz w:val="26"/>
          <w:szCs w:val="26"/>
          <w:lang w:val="es-ES" w:eastAsia="en-US"/>
        </w:rPr>
        <w:t xml:space="preserve">por la Primera Instancia </w:t>
      </w:r>
      <w:r w:rsidR="0093246F">
        <w:rPr>
          <w:rFonts w:ascii="Arial" w:eastAsiaTheme="minorHAnsi" w:hAnsi="Arial" w:cs="Arial"/>
          <w:sz w:val="26"/>
          <w:szCs w:val="26"/>
          <w:lang w:val="es-ES" w:eastAsia="en-US"/>
        </w:rPr>
        <w:t>en la sentencia recurrida</w:t>
      </w:r>
      <w:r w:rsidR="00FC702E">
        <w:rPr>
          <w:rFonts w:ascii="Arial" w:eastAsiaTheme="minorHAnsi" w:hAnsi="Arial" w:cs="Arial"/>
          <w:sz w:val="26"/>
          <w:szCs w:val="26"/>
          <w:lang w:val="es-ES" w:eastAsia="en-US"/>
        </w:rPr>
        <w:t xml:space="preserve">. </w:t>
      </w:r>
      <w:r w:rsidR="00B8104A">
        <w:rPr>
          <w:rFonts w:ascii="Arial" w:eastAsia="Times New Roman" w:hAnsi="Arial" w:cs="Arial"/>
          <w:color w:val="000000"/>
          <w:sz w:val="26"/>
          <w:szCs w:val="26"/>
        </w:rPr>
        <w:t xml:space="preserve">De ahí lo </w:t>
      </w:r>
      <w:r w:rsidR="002C19DF" w:rsidRPr="007724F2">
        <w:rPr>
          <w:rFonts w:ascii="Arial" w:eastAsia="Times New Roman" w:hAnsi="Arial" w:cs="Arial"/>
          <w:b/>
          <w:sz w:val="26"/>
          <w:szCs w:val="26"/>
        </w:rPr>
        <w:t>inoperante</w:t>
      </w:r>
      <w:r w:rsidR="00B8104A">
        <w:rPr>
          <w:rFonts w:ascii="Arial" w:eastAsia="Times New Roman" w:hAnsi="Arial" w:cs="Arial"/>
          <w:color w:val="000000"/>
          <w:sz w:val="26"/>
          <w:szCs w:val="26"/>
        </w:rPr>
        <w:t xml:space="preserve"> del agravio expuesto.</w:t>
      </w:r>
      <w:r w:rsidR="00757ED6">
        <w:rPr>
          <w:rFonts w:ascii="Arial" w:eastAsia="Times New Roman" w:hAnsi="Arial" w:cs="Arial"/>
          <w:color w:val="000000"/>
          <w:sz w:val="26"/>
          <w:szCs w:val="26"/>
        </w:rPr>
        <w:t xml:space="preserve"> - - - - - - - - - - - - - </w:t>
      </w:r>
    </w:p>
    <w:p w14:paraId="7D8DE431" w14:textId="0992AD85" w:rsidR="00426828" w:rsidRPr="00426828" w:rsidRDefault="00D43799" w:rsidP="00B92133">
      <w:pPr>
        <w:spacing w:line="360" w:lineRule="auto"/>
        <w:ind w:firstLine="709"/>
        <w:jc w:val="both"/>
        <w:rPr>
          <w:rFonts w:ascii="Calibri" w:eastAsia="Times New Roman" w:hAnsi="Calibri" w:cs="Calibri"/>
          <w:color w:val="212529"/>
          <w:sz w:val="26"/>
          <w:szCs w:val="26"/>
        </w:rPr>
      </w:pPr>
      <w:r>
        <w:rPr>
          <w:rFonts w:ascii="Arial" w:eastAsiaTheme="minorHAnsi" w:hAnsi="Arial" w:cs="Arial"/>
          <w:sz w:val="26"/>
          <w:szCs w:val="26"/>
          <w:lang w:val="es-ES" w:eastAsia="en-US"/>
        </w:rPr>
        <w:t xml:space="preserve">Siendo aplicable al caso </w:t>
      </w:r>
      <w:r w:rsidR="00B92133">
        <w:rPr>
          <w:rFonts w:ascii="Arial" w:eastAsiaTheme="minorHAnsi" w:hAnsi="Arial" w:cs="Arial"/>
          <w:sz w:val="26"/>
          <w:szCs w:val="26"/>
          <w:lang w:val="es-ES" w:eastAsia="en-US"/>
        </w:rPr>
        <w:t xml:space="preserve">la jurisprudencia en materia administrativa, número VIII.3o. J/24, con número de registro digital 169757, de la Novena Época, emitida por los tribunales Colegiados de Circuito, publicada en el Semanario Judicial de la Federación y su Gaceta; en el Tomo XXVII, Mayo de 2008, visible a página 819, de rubro y texto siguientes: </w:t>
      </w:r>
      <w:r w:rsidR="002D4D54">
        <w:rPr>
          <w:rFonts w:ascii="Arial" w:eastAsia="Times New Roman" w:hAnsi="Arial" w:cs="Arial"/>
          <w:color w:val="000000"/>
          <w:sz w:val="26"/>
          <w:szCs w:val="26"/>
        </w:rPr>
        <w:t xml:space="preserve">- - - - - - - - - - - - - - - - - - - - - - - - - - - - - - - - - - - - - - - </w:t>
      </w:r>
    </w:p>
    <w:p w14:paraId="6792F944" w14:textId="17A1E4E8" w:rsidR="00426828" w:rsidRPr="00685EEE" w:rsidRDefault="00426828" w:rsidP="00FD2772">
      <w:pPr>
        <w:shd w:val="clear" w:color="auto" w:fill="FFFFFF"/>
        <w:spacing w:before="100" w:beforeAutospacing="1" w:after="100" w:afterAutospacing="1" w:line="240" w:lineRule="auto"/>
        <w:ind w:left="567" w:right="616"/>
        <w:jc w:val="both"/>
        <w:rPr>
          <w:rFonts w:ascii="Arial" w:eastAsia="Times New Roman" w:hAnsi="Arial" w:cs="Arial"/>
          <w:i/>
          <w:iCs/>
          <w:color w:val="212529"/>
          <w:sz w:val="24"/>
          <w:szCs w:val="24"/>
        </w:rPr>
      </w:pPr>
      <w:r w:rsidRPr="00685EEE">
        <w:rPr>
          <w:rFonts w:ascii="Arial" w:eastAsia="Times New Roman" w:hAnsi="Arial" w:cs="Arial"/>
          <w:b/>
          <w:bCs/>
          <w:i/>
          <w:iCs/>
          <w:sz w:val="24"/>
          <w:szCs w:val="24"/>
        </w:rPr>
        <w:t xml:space="preserve">“AGRAVIOS INOPERANTES EN LA REVISIÓN FISCAL. LO SON AQUELLOS QUE INTRODUCEN ARGUMENTOS DE FONDO NO PROPUESTOS EN LA CONTESTACIÓN A LA DEMANDA DE NULIDAD. </w:t>
      </w:r>
      <w:r w:rsidRPr="00685EEE">
        <w:rPr>
          <w:rFonts w:ascii="Arial" w:eastAsia="Times New Roman" w:hAnsi="Arial" w:cs="Arial"/>
          <w:i/>
          <w:iCs/>
          <w:sz w:val="24"/>
          <w:szCs w:val="24"/>
        </w:rPr>
        <w:t>Los argumentos de fondo que se esgrimen en los agravios y que no se hicieron valer en la contestación a la demanda de nulidad ante la Sala del Tribunal Federal de Justicia Fiscal y Administrativa que dictó la sentencia, no deben ser tomados en consideración en la revisión fiscal. Lo anterior con base en el principio de congruencia, consistente en que las resoluciones judiciales deben ajustarse a lo planteado por las partes en la demanda, en su ampliación si la hubo, y en la contestación a una y otra, sin añadir cuestiones jurídicas no propuestas en forma oportuna por aquéllas; por lo que resulta inadmisible que en el recurso de revisión fiscal interpuesto contra la sentencia de nulidad se atiendan argumentos no expuestos ante la Sala resolutora.”</w:t>
      </w:r>
      <w:r w:rsidR="00685EEE">
        <w:rPr>
          <w:rFonts w:ascii="Arial" w:eastAsia="Times New Roman" w:hAnsi="Arial" w:cs="Arial"/>
          <w:i/>
          <w:iCs/>
          <w:sz w:val="24"/>
          <w:szCs w:val="24"/>
        </w:rPr>
        <w:t xml:space="preserve"> </w:t>
      </w:r>
      <w:r w:rsidR="00685EEE">
        <w:rPr>
          <w:rFonts w:ascii="Arial" w:eastAsia="Times New Roman" w:hAnsi="Arial" w:cs="Arial"/>
          <w:color w:val="000000"/>
          <w:sz w:val="26"/>
          <w:szCs w:val="26"/>
        </w:rPr>
        <w:t xml:space="preserve">- - - - - - - - - - - - - - - - - - - - - - - - - - - - - - - - </w:t>
      </w:r>
    </w:p>
    <w:p w14:paraId="140B0222" w14:textId="197BD389" w:rsidR="00426828" w:rsidRDefault="00FC702E" w:rsidP="00FC702E">
      <w:pPr>
        <w:shd w:val="clear" w:color="auto" w:fill="FFFFFF"/>
        <w:spacing w:after="0" w:line="360" w:lineRule="auto"/>
        <w:ind w:firstLine="567"/>
        <w:jc w:val="both"/>
        <w:rPr>
          <w:rFonts w:ascii="Calibri" w:eastAsia="Times New Roman" w:hAnsi="Calibri" w:cs="Calibri"/>
          <w:b/>
          <w:bCs/>
          <w:color w:val="212529"/>
          <w:sz w:val="26"/>
          <w:szCs w:val="26"/>
        </w:rPr>
      </w:pPr>
      <w:r>
        <w:rPr>
          <w:rFonts w:ascii="Arial" w:eastAsiaTheme="minorHAnsi" w:hAnsi="Arial" w:cs="Arial"/>
          <w:sz w:val="26"/>
          <w:szCs w:val="26"/>
          <w:lang w:val="es-ES" w:eastAsia="en-US"/>
        </w:rPr>
        <w:t>Así como la jurisprudencia en materia común, número 2a./J. 18/2004 (10a.), con número de registro digital 2005820, de la D</w:t>
      </w:r>
      <w:r w:rsidR="002C19DF">
        <w:rPr>
          <w:rFonts w:ascii="Arial" w:eastAsiaTheme="minorHAnsi" w:hAnsi="Arial" w:cs="Arial"/>
          <w:sz w:val="26"/>
          <w:szCs w:val="26"/>
          <w:lang w:val="es-ES" w:eastAsia="en-US"/>
        </w:rPr>
        <w:t>é</w:t>
      </w:r>
      <w:r>
        <w:rPr>
          <w:rFonts w:ascii="Arial" w:eastAsiaTheme="minorHAnsi" w:hAnsi="Arial" w:cs="Arial"/>
          <w:sz w:val="26"/>
          <w:szCs w:val="26"/>
          <w:lang w:val="es-ES" w:eastAsia="en-US"/>
        </w:rPr>
        <w:t xml:space="preserve">cima Época, emitida por la Segunda Sala de la Suprema Corte de Justicia de la Nación, publicada en </w:t>
      </w:r>
      <w:r w:rsidR="00840B76">
        <w:rPr>
          <w:rFonts w:ascii="Arial" w:eastAsiaTheme="minorHAnsi" w:hAnsi="Arial" w:cs="Arial"/>
          <w:sz w:val="26"/>
          <w:szCs w:val="26"/>
          <w:lang w:val="es-ES" w:eastAsia="en-US"/>
        </w:rPr>
        <w:t>la Gaceta del Semanario Judicial de la Federación</w:t>
      </w:r>
      <w:r>
        <w:rPr>
          <w:rFonts w:ascii="Arial" w:eastAsiaTheme="minorHAnsi" w:hAnsi="Arial" w:cs="Arial"/>
          <w:sz w:val="26"/>
          <w:szCs w:val="26"/>
          <w:lang w:val="es-ES" w:eastAsia="en-US"/>
        </w:rPr>
        <w:t xml:space="preserve">; en el </w:t>
      </w:r>
      <w:r w:rsidR="00840B76">
        <w:rPr>
          <w:rFonts w:ascii="Arial" w:eastAsiaTheme="minorHAnsi" w:hAnsi="Arial" w:cs="Arial"/>
          <w:sz w:val="26"/>
          <w:szCs w:val="26"/>
          <w:lang w:val="es-ES" w:eastAsia="en-US"/>
        </w:rPr>
        <w:t>Libro 4, de Marzo de 2014</w:t>
      </w:r>
      <w:r>
        <w:rPr>
          <w:rFonts w:ascii="Arial" w:eastAsiaTheme="minorHAnsi" w:hAnsi="Arial" w:cs="Arial"/>
          <w:sz w:val="26"/>
          <w:szCs w:val="26"/>
          <w:lang w:val="es-ES" w:eastAsia="en-US"/>
        </w:rPr>
        <w:t>,</w:t>
      </w:r>
      <w:r w:rsidR="00840B76">
        <w:rPr>
          <w:rFonts w:ascii="Arial" w:eastAsiaTheme="minorHAnsi" w:hAnsi="Arial" w:cs="Arial"/>
          <w:sz w:val="26"/>
          <w:szCs w:val="26"/>
          <w:lang w:val="es-ES" w:eastAsia="en-US"/>
        </w:rPr>
        <w:t xml:space="preserve"> Tomo I, </w:t>
      </w:r>
      <w:r>
        <w:rPr>
          <w:rFonts w:ascii="Arial" w:eastAsiaTheme="minorHAnsi" w:hAnsi="Arial" w:cs="Arial"/>
          <w:sz w:val="26"/>
          <w:szCs w:val="26"/>
          <w:lang w:val="es-ES" w:eastAsia="en-US"/>
        </w:rPr>
        <w:t xml:space="preserve">visible a página </w:t>
      </w:r>
      <w:r w:rsidR="00840B76">
        <w:rPr>
          <w:rFonts w:ascii="Arial" w:eastAsiaTheme="minorHAnsi" w:hAnsi="Arial" w:cs="Arial"/>
          <w:sz w:val="26"/>
          <w:szCs w:val="26"/>
          <w:lang w:val="es-ES" w:eastAsia="en-US"/>
        </w:rPr>
        <w:t>750</w:t>
      </w:r>
      <w:r>
        <w:rPr>
          <w:rFonts w:ascii="Arial" w:eastAsiaTheme="minorHAnsi" w:hAnsi="Arial" w:cs="Arial"/>
          <w:sz w:val="26"/>
          <w:szCs w:val="26"/>
          <w:lang w:val="es-ES" w:eastAsia="en-US"/>
        </w:rPr>
        <w:t>, de rubro y texto siguientes:</w:t>
      </w:r>
      <w:r w:rsidR="000B7459">
        <w:rPr>
          <w:rFonts w:ascii="Arial" w:eastAsiaTheme="minorHAnsi" w:hAnsi="Arial" w:cs="Arial"/>
          <w:sz w:val="26"/>
          <w:szCs w:val="26"/>
          <w:lang w:val="es-ES" w:eastAsia="en-US"/>
        </w:rPr>
        <w:t xml:space="preserve"> </w:t>
      </w:r>
      <w:r w:rsidR="000B7459">
        <w:rPr>
          <w:rFonts w:ascii="Arial" w:eastAsia="Times New Roman" w:hAnsi="Arial" w:cs="Arial"/>
          <w:color w:val="000000"/>
          <w:sz w:val="26"/>
          <w:szCs w:val="26"/>
        </w:rPr>
        <w:t xml:space="preserve">- - - - - - - - - - - - - - - - - - - - - - - - - - - - - </w:t>
      </w:r>
    </w:p>
    <w:p w14:paraId="164CC9CC" w14:textId="76C6FABB" w:rsidR="00A94B1A" w:rsidRPr="00791FB1" w:rsidRDefault="00840B76" w:rsidP="00840B76">
      <w:pPr>
        <w:shd w:val="clear" w:color="auto" w:fill="FFFFFF"/>
        <w:spacing w:before="100" w:beforeAutospacing="1" w:after="100" w:afterAutospacing="1" w:line="240" w:lineRule="auto"/>
        <w:ind w:left="567" w:right="616"/>
        <w:jc w:val="both"/>
        <w:rPr>
          <w:rFonts w:ascii="Arial" w:eastAsia="Times New Roman" w:hAnsi="Arial" w:cs="Arial"/>
          <w:i/>
          <w:iCs/>
          <w:sz w:val="24"/>
          <w:szCs w:val="24"/>
        </w:rPr>
      </w:pPr>
      <w:r w:rsidRPr="00791FB1">
        <w:rPr>
          <w:rFonts w:ascii="Arial" w:eastAsia="Times New Roman" w:hAnsi="Arial" w:cs="Arial"/>
          <w:b/>
          <w:bCs/>
          <w:i/>
          <w:iCs/>
          <w:sz w:val="24"/>
          <w:szCs w:val="24"/>
        </w:rPr>
        <w:t>“</w:t>
      </w:r>
      <w:r w:rsidR="00A94B1A" w:rsidRPr="00791FB1">
        <w:rPr>
          <w:rFonts w:ascii="Arial" w:eastAsia="Times New Roman" w:hAnsi="Arial" w:cs="Arial"/>
          <w:b/>
          <w:bCs/>
          <w:i/>
          <w:iCs/>
          <w:sz w:val="24"/>
          <w:szCs w:val="24"/>
        </w:rPr>
        <w:t xml:space="preserve">AMPARO DIRECTO EN REVISIÓN. SON INOPERANTES LOS AGRAVIOS QUE SE REFIEREN A CUESTIONES NOVEDOSAS NO INVOCADAS EN LA DEMANDA DE AMPARO, CUANDO EL TRIBUNAL COLEGIADO DE CIRCUITO OMITE EL ESTUDIO DEL PLANTEAMIENTO DE CONSTITUCIONALIDAD. </w:t>
      </w:r>
      <w:r w:rsidR="00A94B1A" w:rsidRPr="00791FB1">
        <w:rPr>
          <w:rFonts w:ascii="Arial" w:eastAsia="Times New Roman" w:hAnsi="Arial" w:cs="Arial"/>
          <w:i/>
          <w:iCs/>
          <w:sz w:val="24"/>
          <w:szCs w:val="24"/>
        </w:rPr>
        <w:t xml:space="preserve">Cuando el Tribunal Colegiado de Circuito que conoció del juicio de amparo omite el estudio del planteamiento de constitucionalidad en la sentencia y se surten los </w:t>
      </w:r>
      <w:r w:rsidR="00A94B1A" w:rsidRPr="00791FB1">
        <w:rPr>
          <w:rFonts w:ascii="Arial" w:eastAsia="Times New Roman" w:hAnsi="Arial" w:cs="Arial"/>
          <w:i/>
          <w:iCs/>
          <w:sz w:val="24"/>
          <w:szCs w:val="24"/>
        </w:rPr>
        <w:lastRenderedPageBreak/>
        <w:t xml:space="preserve">demás requisitos para la procedencia del recurso de revisión, su materia se circunscribe al análisis de ese planteamiento a la luz de lo que hizo valer el quejoso en su demanda de amparo. Por tanto, los agravios en los que se introducen cuestiones novedosas son inoperantes, pues si lo planteado en éstos se estudiara, implicaría abrir una nueva instancia que brindaría al quejoso una oportunidad adicional para hacer valer argumentos diversos a los propuestos en su concepto de violación, lo que es contrario a la técnica y a la naturaleza </w:t>
      </w:r>
      <w:proofErr w:type="spellStart"/>
      <w:r w:rsidR="00A94B1A" w:rsidRPr="00791FB1">
        <w:rPr>
          <w:rFonts w:ascii="Arial" w:eastAsia="Times New Roman" w:hAnsi="Arial" w:cs="Arial"/>
          <w:i/>
          <w:iCs/>
          <w:sz w:val="24"/>
          <w:szCs w:val="24"/>
        </w:rPr>
        <w:t>uniinstancial</w:t>
      </w:r>
      <w:proofErr w:type="spellEnd"/>
      <w:r w:rsidR="00A94B1A" w:rsidRPr="00791FB1">
        <w:rPr>
          <w:rFonts w:ascii="Arial" w:eastAsia="Times New Roman" w:hAnsi="Arial" w:cs="Arial"/>
          <w:i/>
          <w:iCs/>
          <w:sz w:val="24"/>
          <w:szCs w:val="24"/>
        </w:rPr>
        <w:t xml:space="preserve"> del juicio de amparo directo.</w:t>
      </w:r>
      <w:r w:rsidRPr="00791FB1">
        <w:rPr>
          <w:rFonts w:ascii="Arial" w:eastAsia="Times New Roman" w:hAnsi="Arial" w:cs="Arial"/>
          <w:i/>
          <w:iCs/>
          <w:sz w:val="24"/>
          <w:szCs w:val="24"/>
        </w:rPr>
        <w:t>”</w:t>
      </w:r>
    </w:p>
    <w:p w14:paraId="4BD20765" w14:textId="0F73AEFF" w:rsidR="00597848" w:rsidRDefault="00CD40C9" w:rsidP="00AA4698">
      <w:pPr>
        <w:spacing w:line="360" w:lineRule="auto"/>
        <w:ind w:firstLine="709"/>
        <w:jc w:val="both"/>
        <w:rPr>
          <w:rFonts w:ascii="Arial" w:eastAsiaTheme="minorHAnsi" w:hAnsi="Arial" w:cs="Arial"/>
          <w:sz w:val="26"/>
          <w:szCs w:val="26"/>
          <w:lang w:val="es-ES" w:eastAsia="en-US"/>
        </w:rPr>
      </w:pPr>
      <w:r w:rsidRPr="00CD40C9">
        <w:rPr>
          <w:rFonts w:ascii="Arial" w:eastAsiaTheme="minorHAnsi" w:hAnsi="Arial" w:cs="Arial"/>
          <w:bCs/>
          <w:sz w:val="26"/>
          <w:szCs w:val="26"/>
          <w:lang w:val="es-ES" w:eastAsia="en-US"/>
        </w:rPr>
        <w:t>En otro agravio,</w:t>
      </w:r>
      <w:r>
        <w:rPr>
          <w:rFonts w:ascii="Arial" w:eastAsiaTheme="minorHAnsi" w:hAnsi="Arial" w:cs="Arial"/>
          <w:b/>
          <w:sz w:val="26"/>
          <w:szCs w:val="26"/>
          <w:lang w:val="es-ES" w:eastAsia="en-US"/>
        </w:rPr>
        <w:t xml:space="preserve"> </w:t>
      </w:r>
      <w:r w:rsidR="004F4570" w:rsidRPr="00851B27">
        <w:rPr>
          <w:rFonts w:ascii="Arial" w:eastAsiaTheme="minorHAnsi" w:hAnsi="Arial" w:cs="Arial"/>
          <w:sz w:val="26"/>
          <w:szCs w:val="26"/>
          <w:lang w:val="es-ES" w:eastAsia="en-US"/>
        </w:rPr>
        <w:t>recurrente</w:t>
      </w:r>
      <w:r w:rsidR="004F4570">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 xml:space="preserve">alega </w:t>
      </w:r>
      <w:r w:rsidR="004F4570">
        <w:rPr>
          <w:rFonts w:ascii="Arial" w:eastAsiaTheme="minorHAnsi" w:hAnsi="Arial" w:cs="Arial"/>
          <w:sz w:val="26"/>
          <w:szCs w:val="26"/>
          <w:lang w:val="es-ES" w:eastAsia="en-US"/>
        </w:rPr>
        <w:t xml:space="preserve">que se debe declarar la legalidad de la facultad del Director de Responsabilidades y Situación Patrimonial de la Secretaría que representa, relativa a admitir el inicio del procedimiento de responsabilidad administrativa, </w:t>
      </w:r>
      <w:r w:rsidR="002B1795">
        <w:rPr>
          <w:rFonts w:ascii="Arial" w:eastAsiaTheme="minorHAnsi" w:hAnsi="Arial" w:cs="Arial"/>
          <w:sz w:val="26"/>
          <w:szCs w:val="26"/>
          <w:lang w:val="es-ES" w:eastAsia="en-US"/>
        </w:rPr>
        <w:t>en virtud de que los preceptos señalados en el primer punto de los resultandos del acuerdo de inicio de responsabilidad administrativa disciplinaria</w:t>
      </w:r>
      <w:r w:rsidR="00FC2329">
        <w:rPr>
          <w:rFonts w:ascii="Arial" w:eastAsiaTheme="minorHAnsi" w:hAnsi="Arial" w:cs="Arial"/>
          <w:sz w:val="26"/>
          <w:szCs w:val="26"/>
          <w:lang w:val="es-ES" w:eastAsia="en-US"/>
        </w:rPr>
        <w:t xml:space="preserve">, </w:t>
      </w:r>
      <w:r w:rsidR="002B1795">
        <w:rPr>
          <w:rFonts w:ascii="Arial" w:eastAsiaTheme="minorHAnsi" w:hAnsi="Arial" w:cs="Arial"/>
          <w:sz w:val="26"/>
          <w:szCs w:val="26"/>
          <w:lang w:val="es-ES" w:eastAsia="en-US"/>
        </w:rPr>
        <w:t xml:space="preserve">por encontrarse </w:t>
      </w:r>
      <w:r w:rsidR="005B1849">
        <w:rPr>
          <w:rFonts w:ascii="Arial" w:eastAsiaTheme="minorHAnsi" w:hAnsi="Arial" w:cs="Arial"/>
          <w:sz w:val="26"/>
          <w:szCs w:val="26"/>
          <w:lang w:val="es-ES" w:eastAsia="en-US"/>
        </w:rPr>
        <w:t xml:space="preserve">debidamente fundado y motivado, </w:t>
      </w:r>
      <w:r w:rsidR="009850EC">
        <w:rPr>
          <w:rFonts w:ascii="Arial" w:eastAsiaTheme="minorHAnsi" w:hAnsi="Arial" w:cs="Arial"/>
          <w:sz w:val="26"/>
          <w:szCs w:val="26"/>
          <w:lang w:val="es-ES" w:eastAsia="en-US"/>
        </w:rPr>
        <w:t xml:space="preserve">en contra de su contraparte quien se ostentó con el cargo de Secretario de la Secretaría de Finanzas del Gobierno del Estado de Oaxaca, </w:t>
      </w:r>
      <w:r w:rsidR="00875A3D">
        <w:rPr>
          <w:rFonts w:ascii="Arial" w:eastAsiaTheme="minorHAnsi" w:hAnsi="Arial" w:cs="Arial"/>
          <w:sz w:val="26"/>
          <w:szCs w:val="26"/>
          <w:lang w:val="es-ES" w:eastAsia="en-US"/>
        </w:rPr>
        <w:t>toda vez que de los artículos que invocó relativos a su competencia, existe una concatenada relación entre los artículos 36, fracción VI y 40 fracciones II, III,</w:t>
      </w:r>
      <w:r w:rsidR="00AA4513">
        <w:rPr>
          <w:rFonts w:ascii="Arial" w:eastAsiaTheme="minorHAnsi" w:hAnsi="Arial" w:cs="Arial"/>
          <w:sz w:val="26"/>
          <w:szCs w:val="26"/>
          <w:lang w:val="es-ES" w:eastAsia="en-US"/>
        </w:rPr>
        <w:t xml:space="preserve"> </w:t>
      </w:r>
      <w:r w:rsidR="00875A3D">
        <w:rPr>
          <w:rFonts w:ascii="Arial" w:eastAsiaTheme="minorHAnsi" w:hAnsi="Arial" w:cs="Arial"/>
          <w:sz w:val="26"/>
          <w:szCs w:val="26"/>
          <w:lang w:val="es-ES" w:eastAsia="en-US"/>
        </w:rPr>
        <w:t>IV y XI del Reglamento Interno de la Secretaría de la Contraloría y Transparencia Gubernamental del Poder Ejecutivo del Estado de Oaxaca; tan es así que no existe contradicción jurídica entre dichos artículos,  ya que están enfocados a iniciar, conocer y resolver procedimientos administrativos disciplinarios</w:t>
      </w:r>
      <w:r w:rsidR="0033628E">
        <w:rPr>
          <w:rFonts w:ascii="Arial" w:eastAsiaTheme="minorHAnsi" w:hAnsi="Arial" w:cs="Arial"/>
          <w:sz w:val="26"/>
          <w:szCs w:val="26"/>
          <w:lang w:val="es-ES" w:eastAsia="en-US"/>
        </w:rPr>
        <w:t>, dando certeza jurídica y legalidad a todas las actuaciones de la autoridad que  representa.</w:t>
      </w:r>
      <w:r w:rsidR="00204305">
        <w:rPr>
          <w:rFonts w:ascii="Arial" w:eastAsiaTheme="minorHAnsi" w:hAnsi="Arial" w:cs="Arial"/>
          <w:sz w:val="26"/>
          <w:szCs w:val="26"/>
          <w:lang w:val="es-ES" w:eastAsia="en-US"/>
        </w:rPr>
        <w:t xml:space="preserve"> </w:t>
      </w:r>
      <w:r w:rsidR="00204305">
        <w:rPr>
          <w:rFonts w:ascii="Arial" w:eastAsia="Times New Roman" w:hAnsi="Arial" w:cs="Arial"/>
          <w:color w:val="000000"/>
          <w:sz w:val="26"/>
          <w:szCs w:val="26"/>
        </w:rPr>
        <w:t xml:space="preserve">- - - - - - - - - - - - - - - - - - - - - - - - - - - - - </w:t>
      </w:r>
    </w:p>
    <w:p w14:paraId="473A2DD2" w14:textId="658FCB23" w:rsidR="003C2677" w:rsidRPr="006C6363" w:rsidRDefault="00B27825" w:rsidP="00AA4698">
      <w:pPr>
        <w:spacing w:line="360" w:lineRule="auto"/>
        <w:ind w:firstLine="709"/>
        <w:jc w:val="both"/>
        <w:rPr>
          <w:rFonts w:ascii="Arial" w:hAnsi="Arial" w:cs="Arial"/>
          <w:color w:val="000000"/>
          <w:sz w:val="26"/>
          <w:szCs w:val="26"/>
        </w:rPr>
      </w:pPr>
      <w:r w:rsidRPr="00B27825">
        <w:rPr>
          <w:rFonts w:ascii="Arial" w:hAnsi="Arial" w:cs="Arial"/>
          <w:bCs/>
          <w:color w:val="000000"/>
          <w:sz w:val="26"/>
          <w:szCs w:val="26"/>
        </w:rPr>
        <w:t>Es</w:t>
      </w:r>
      <w:r w:rsidR="00CB7FBD" w:rsidRPr="00B27825">
        <w:rPr>
          <w:rFonts w:ascii="Arial" w:hAnsi="Arial" w:cs="Arial"/>
          <w:bCs/>
          <w:color w:val="000000"/>
          <w:sz w:val="26"/>
          <w:szCs w:val="26"/>
        </w:rPr>
        <w:t xml:space="preserve"> </w:t>
      </w:r>
      <w:r w:rsidR="00446215" w:rsidRPr="00B27825">
        <w:rPr>
          <w:rFonts w:ascii="Arial" w:hAnsi="Arial" w:cs="Arial"/>
          <w:b/>
          <w:color w:val="000000"/>
          <w:sz w:val="26"/>
          <w:szCs w:val="26"/>
        </w:rPr>
        <w:t>inoperante</w:t>
      </w:r>
      <w:r w:rsidR="00CB7FBD" w:rsidRPr="00B27825">
        <w:rPr>
          <w:rFonts w:ascii="Arial" w:hAnsi="Arial" w:cs="Arial"/>
          <w:b/>
          <w:color w:val="000000"/>
          <w:sz w:val="26"/>
          <w:szCs w:val="26"/>
        </w:rPr>
        <w:t xml:space="preserve"> </w:t>
      </w:r>
      <w:r w:rsidR="00D56685">
        <w:rPr>
          <w:rFonts w:ascii="Arial" w:hAnsi="Arial" w:cs="Arial"/>
          <w:bCs/>
          <w:color w:val="000000"/>
          <w:sz w:val="26"/>
          <w:szCs w:val="26"/>
        </w:rPr>
        <w:t>el agravio descrito</w:t>
      </w:r>
      <w:r w:rsidR="00CB7FBD" w:rsidRPr="00B27825">
        <w:rPr>
          <w:rFonts w:ascii="Arial" w:hAnsi="Arial" w:cs="Arial"/>
          <w:bCs/>
          <w:color w:val="000000"/>
          <w:sz w:val="26"/>
          <w:szCs w:val="26"/>
        </w:rPr>
        <w:t>,</w:t>
      </w:r>
      <w:r w:rsidR="00D56685">
        <w:rPr>
          <w:rFonts w:ascii="Arial" w:hAnsi="Arial" w:cs="Arial"/>
          <w:bCs/>
          <w:color w:val="000000"/>
          <w:sz w:val="26"/>
          <w:szCs w:val="26"/>
        </w:rPr>
        <w:t xml:space="preserve"> debido </w:t>
      </w:r>
      <w:r w:rsidR="008C6B5E">
        <w:rPr>
          <w:rFonts w:ascii="Arial" w:hAnsi="Arial" w:cs="Arial"/>
          <w:bCs/>
          <w:color w:val="000000"/>
          <w:sz w:val="26"/>
          <w:szCs w:val="26"/>
        </w:rPr>
        <w:t xml:space="preserve">a </w:t>
      </w:r>
      <w:r w:rsidR="00D56685">
        <w:rPr>
          <w:rFonts w:ascii="Arial" w:hAnsi="Arial" w:cs="Arial"/>
          <w:bCs/>
          <w:color w:val="000000"/>
          <w:sz w:val="26"/>
          <w:szCs w:val="26"/>
        </w:rPr>
        <w:t>que</w:t>
      </w:r>
      <w:r w:rsidR="003C2677" w:rsidRPr="00B27825">
        <w:rPr>
          <w:rFonts w:ascii="Arial" w:hAnsi="Arial" w:cs="Arial"/>
          <w:bCs/>
          <w:color w:val="000000"/>
          <w:sz w:val="26"/>
          <w:szCs w:val="26"/>
        </w:rPr>
        <w:t xml:space="preserve"> </w:t>
      </w:r>
      <w:r w:rsidR="00D56685">
        <w:rPr>
          <w:rFonts w:ascii="Arial" w:hAnsi="Arial" w:cs="Arial"/>
          <w:bCs/>
          <w:sz w:val="26"/>
          <w:szCs w:val="26"/>
        </w:rPr>
        <w:t xml:space="preserve">el recurrente con sus manifestaciones </w:t>
      </w:r>
      <w:r w:rsidR="00D56685">
        <w:rPr>
          <w:rFonts w:ascii="Arial" w:hAnsi="Arial"/>
          <w:color w:val="000000"/>
          <w:sz w:val="26"/>
          <w:szCs w:val="26"/>
        </w:rPr>
        <w:t xml:space="preserve">no refuta los razonamientos vertidos por </w:t>
      </w:r>
      <w:r w:rsidR="004D6524">
        <w:rPr>
          <w:rFonts w:ascii="Arial" w:hAnsi="Arial"/>
          <w:color w:val="000000"/>
          <w:sz w:val="26"/>
          <w:szCs w:val="26"/>
        </w:rPr>
        <w:t xml:space="preserve">la Juzgadora </w:t>
      </w:r>
      <w:r w:rsidR="00D56685">
        <w:rPr>
          <w:rFonts w:ascii="Arial" w:hAnsi="Arial"/>
          <w:color w:val="000000"/>
          <w:sz w:val="26"/>
          <w:szCs w:val="26"/>
        </w:rPr>
        <w:t xml:space="preserve">en el considerando </w:t>
      </w:r>
      <w:r w:rsidR="004D6524">
        <w:rPr>
          <w:rFonts w:ascii="Arial" w:hAnsi="Arial"/>
          <w:color w:val="000000"/>
          <w:sz w:val="26"/>
          <w:szCs w:val="26"/>
        </w:rPr>
        <w:t xml:space="preserve">sexto en el que </w:t>
      </w:r>
      <w:r w:rsidR="00D56685">
        <w:rPr>
          <w:rFonts w:ascii="Arial" w:hAnsi="Arial"/>
          <w:color w:val="000000"/>
          <w:sz w:val="26"/>
          <w:szCs w:val="26"/>
        </w:rPr>
        <w:t xml:space="preserve">se fundó y motivó la determinación </w:t>
      </w:r>
      <w:r w:rsidR="00D56685" w:rsidRPr="004D6524">
        <w:rPr>
          <w:rFonts w:ascii="Arial" w:hAnsi="Arial"/>
          <w:color w:val="000000"/>
          <w:sz w:val="26"/>
          <w:szCs w:val="26"/>
        </w:rPr>
        <w:t>final del juicio</w:t>
      </w:r>
      <w:r w:rsidR="00D56685">
        <w:rPr>
          <w:rFonts w:ascii="Arial" w:hAnsi="Arial"/>
          <w:color w:val="000000"/>
          <w:sz w:val="26"/>
          <w:szCs w:val="26"/>
        </w:rPr>
        <w:t xml:space="preserve">, </w:t>
      </w:r>
      <w:r w:rsidR="00487CD3">
        <w:rPr>
          <w:rFonts w:ascii="Arial" w:hAnsi="Arial"/>
          <w:color w:val="000000"/>
          <w:sz w:val="26"/>
          <w:szCs w:val="26"/>
        </w:rPr>
        <w:t>siendo menester que expusiera</w:t>
      </w:r>
      <w:r w:rsidR="004D6524">
        <w:rPr>
          <w:rFonts w:ascii="Arial" w:hAnsi="Arial"/>
          <w:color w:val="000000"/>
          <w:sz w:val="26"/>
          <w:szCs w:val="26"/>
        </w:rPr>
        <w:t xml:space="preserve"> </w:t>
      </w:r>
      <w:r w:rsidR="00D56685">
        <w:rPr>
          <w:rFonts w:ascii="Arial" w:hAnsi="Arial"/>
          <w:color w:val="000000"/>
          <w:sz w:val="26"/>
          <w:szCs w:val="26"/>
        </w:rPr>
        <w:t xml:space="preserve">razonamientos lógico jurídicos </w:t>
      </w:r>
      <w:r w:rsidR="00487CD3">
        <w:rPr>
          <w:rFonts w:ascii="Arial" w:hAnsi="Arial"/>
          <w:color w:val="000000"/>
          <w:sz w:val="26"/>
          <w:szCs w:val="26"/>
        </w:rPr>
        <w:t xml:space="preserve">tendentes a </w:t>
      </w:r>
      <w:r w:rsidR="00D56685">
        <w:rPr>
          <w:rFonts w:ascii="Arial" w:hAnsi="Arial"/>
          <w:color w:val="000000"/>
          <w:sz w:val="26"/>
          <w:szCs w:val="26"/>
        </w:rPr>
        <w:t>destru</w:t>
      </w:r>
      <w:r w:rsidR="00487CD3">
        <w:rPr>
          <w:rFonts w:ascii="Arial" w:hAnsi="Arial"/>
          <w:color w:val="000000"/>
          <w:sz w:val="26"/>
          <w:szCs w:val="26"/>
        </w:rPr>
        <w:t xml:space="preserve">ir </w:t>
      </w:r>
      <w:r w:rsidR="00D56685">
        <w:rPr>
          <w:rFonts w:ascii="Arial" w:hAnsi="Arial"/>
          <w:color w:val="000000"/>
          <w:sz w:val="26"/>
          <w:szCs w:val="26"/>
        </w:rPr>
        <w:t xml:space="preserve">las consideraciones fundamentales en que se sustenta el fallo alzado, </w:t>
      </w:r>
      <w:r w:rsidR="00487CD3">
        <w:rPr>
          <w:rFonts w:ascii="Arial" w:hAnsi="Arial"/>
          <w:color w:val="000000"/>
          <w:sz w:val="26"/>
          <w:szCs w:val="26"/>
        </w:rPr>
        <w:t xml:space="preserve">o evidenciar la </w:t>
      </w:r>
      <w:r w:rsidR="00D56685">
        <w:rPr>
          <w:rFonts w:ascii="Arial" w:hAnsi="Arial"/>
          <w:color w:val="000000"/>
          <w:sz w:val="26"/>
          <w:szCs w:val="26"/>
        </w:rPr>
        <w:t xml:space="preserve">ilegalidad en la que hubiera incurrido la </w:t>
      </w:r>
      <w:r w:rsidR="00B8104A">
        <w:rPr>
          <w:rFonts w:ascii="Arial" w:hAnsi="Arial"/>
          <w:color w:val="000000"/>
          <w:sz w:val="26"/>
          <w:szCs w:val="26"/>
        </w:rPr>
        <w:t>Sala Instructora</w:t>
      </w:r>
      <w:r w:rsidR="00487CD3">
        <w:rPr>
          <w:rFonts w:ascii="Arial" w:hAnsi="Arial"/>
          <w:color w:val="000000"/>
          <w:sz w:val="26"/>
          <w:szCs w:val="26"/>
        </w:rPr>
        <w:t xml:space="preserve"> para declarar la </w:t>
      </w:r>
      <w:r w:rsidR="00446215" w:rsidRPr="00446215">
        <w:rPr>
          <w:rFonts w:ascii="Arial" w:eastAsia="Times New Roman" w:hAnsi="Arial" w:cs="Arial"/>
          <w:color w:val="000000"/>
          <w:sz w:val="26"/>
          <w:szCs w:val="26"/>
        </w:rPr>
        <w:t>nulidad</w:t>
      </w:r>
      <w:r w:rsidR="00487CD3" w:rsidRPr="00487CD3">
        <w:rPr>
          <w:rFonts w:ascii="Arial" w:eastAsia="Times New Roman" w:hAnsi="Arial" w:cs="Arial"/>
          <w:b/>
          <w:bCs/>
          <w:color w:val="000000"/>
          <w:sz w:val="26"/>
          <w:szCs w:val="26"/>
        </w:rPr>
        <w:t xml:space="preserve"> </w:t>
      </w:r>
      <w:r w:rsidR="00B8104A" w:rsidRPr="00B8104A">
        <w:rPr>
          <w:rFonts w:ascii="Arial" w:eastAsia="Times New Roman" w:hAnsi="Arial" w:cs="Arial"/>
          <w:color w:val="000000"/>
          <w:sz w:val="26"/>
          <w:szCs w:val="26"/>
        </w:rPr>
        <w:t>del acuerdo dictado con</w:t>
      </w:r>
      <w:r w:rsidR="00B8104A">
        <w:rPr>
          <w:rFonts w:ascii="Arial" w:eastAsia="Times New Roman" w:hAnsi="Arial" w:cs="Arial"/>
          <w:color w:val="000000"/>
          <w:sz w:val="26"/>
          <w:szCs w:val="26"/>
        </w:rPr>
        <w:t xml:space="preserve"> </w:t>
      </w:r>
      <w:r w:rsidR="00487CD3">
        <w:rPr>
          <w:rFonts w:ascii="Arial" w:eastAsia="Times New Roman" w:hAnsi="Arial" w:cs="Arial"/>
          <w:color w:val="000000"/>
          <w:sz w:val="26"/>
          <w:szCs w:val="26"/>
        </w:rPr>
        <w:t>f</w:t>
      </w:r>
      <w:r w:rsidR="00487CD3" w:rsidRPr="00487CD3">
        <w:rPr>
          <w:rFonts w:ascii="Arial" w:eastAsia="Times New Roman" w:hAnsi="Arial" w:cs="Arial"/>
          <w:color w:val="000000"/>
          <w:sz w:val="26"/>
          <w:szCs w:val="26"/>
        </w:rPr>
        <w:t>echa dieciséis de agosto de dos mil</w:t>
      </w:r>
      <w:r w:rsidR="00B8104A">
        <w:rPr>
          <w:rFonts w:ascii="Arial" w:eastAsia="Times New Roman" w:hAnsi="Arial" w:cs="Arial"/>
          <w:color w:val="000000"/>
          <w:sz w:val="26"/>
          <w:szCs w:val="26"/>
        </w:rPr>
        <w:t xml:space="preserve"> diecisiete, </w:t>
      </w:r>
      <w:r w:rsidR="00487CD3" w:rsidRPr="009E749E">
        <w:rPr>
          <w:rFonts w:ascii="Arial" w:eastAsia="Times New Roman" w:hAnsi="Arial" w:cs="Arial"/>
          <w:color w:val="000000"/>
          <w:sz w:val="26"/>
          <w:szCs w:val="26"/>
        </w:rPr>
        <w:t>por el Director</w:t>
      </w:r>
      <w:r w:rsidR="00487CD3" w:rsidRPr="00487CD3">
        <w:rPr>
          <w:rFonts w:ascii="Arial" w:eastAsia="Times New Roman" w:hAnsi="Arial" w:cs="Arial"/>
          <w:color w:val="000000"/>
          <w:sz w:val="26"/>
          <w:szCs w:val="26"/>
        </w:rPr>
        <w:t xml:space="preserve"> de Responsabilidades y Situación Patrimonial de la Secretaría de la Contraloría</w:t>
      </w:r>
      <w:r w:rsidR="00B8104A">
        <w:rPr>
          <w:rFonts w:ascii="Arial" w:eastAsia="Times New Roman" w:hAnsi="Arial" w:cs="Arial"/>
          <w:color w:val="000000"/>
          <w:sz w:val="26"/>
          <w:szCs w:val="26"/>
        </w:rPr>
        <w:t xml:space="preserve"> y Transparencia Gubernamental - </w:t>
      </w:r>
      <w:r w:rsidR="00487CD3" w:rsidRPr="00487CD3">
        <w:rPr>
          <w:rFonts w:ascii="Arial" w:eastAsia="Times New Roman" w:hAnsi="Arial" w:cs="Arial"/>
          <w:color w:val="000000"/>
          <w:sz w:val="26"/>
          <w:szCs w:val="26"/>
        </w:rPr>
        <w:t xml:space="preserve">así como de todas las actuaciones llevadas a cabo en los expedientes administrativos número 46/RA-B/2016, y 07/RR/2018, del índice de la Secretaría de la Contraloría y Transparencia Gubernamental, lo que incluye el registro de la sanción impuesta al actor (de haberse efectuado la misma), </w:t>
      </w:r>
      <w:r w:rsidR="00446215" w:rsidRPr="00446215">
        <w:rPr>
          <w:rFonts w:ascii="Arial" w:eastAsia="Times New Roman" w:hAnsi="Arial" w:cs="Arial"/>
          <w:color w:val="000000"/>
          <w:sz w:val="26"/>
          <w:szCs w:val="26"/>
        </w:rPr>
        <w:t>para el efecto</w:t>
      </w:r>
      <w:r w:rsidR="00446215" w:rsidRPr="00487CD3">
        <w:rPr>
          <w:rFonts w:ascii="Arial" w:eastAsia="Times New Roman" w:hAnsi="Arial" w:cs="Arial"/>
          <w:b/>
          <w:bCs/>
          <w:color w:val="000000"/>
          <w:sz w:val="26"/>
          <w:szCs w:val="26"/>
        </w:rPr>
        <w:t xml:space="preserve"> </w:t>
      </w:r>
      <w:r w:rsidR="00487CD3" w:rsidRPr="00487CD3">
        <w:rPr>
          <w:rFonts w:ascii="Arial" w:eastAsia="Times New Roman" w:hAnsi="Arial" w:cs="Arial"/>
          <w:color w:val="000000"/>
          <w:sz w:val="26"/>
          <w:szCs w:val="26"/>
        </w:rPr>
        <w:t xml:space="preserve">de que el Director de Procedimientos Jurídicos </w:t>
      </w:r>
      <w:r w:rsidR="00487CD3" w:rsidRPr="00487CD3">
        <w:rPr>
          <w:rFonts w:ascii="Arial" w:eastAsia="Times New Roman" w:hAnsi="Arial" w:cs="Arial"/>
          <w:color w:val="000000"/>
          <w:sz w:val="26"/>
          <w:szCs w:val="26"/>
        </w:rPr>
        <w:lastRenderedPageBreak/>
        <w:t>de la Secretaría de la Contraloría y Transparencia Gubernamental, dicte un acuerdo en el que remita a la autoridad administrativa competente, el memorándum número SCT/SRT/DRSP/IQD</w:t>
      </w:r>
      <w:r w:rsidR="00402A5D">
        <w:rPr>
          <w:rFonts w:ascii="Arial" w:eastAsia="Times New Roman" w:hAnsi="Arial" w:cs="Arial"/>
          <w:color w:val="000000"/>
          <w:sz w:val="26"/>
          <w:szCs w:val="26"/>
        </w:rPr>
        <w:t>-</w:t>
      </w:r>
      <w:r w:rsidR="00487CD3" w:rsidRPr="00487CD3">
        <w:rPr>
          <w:rFonts w:ascii="Arial" w:eastAsia="Times New Roman" w:hAnsi="Arial" w:cs="Arial"/>
          <w:color w:val="000000"/>
          <w:sz w:val="26"/>
          <w:szCs w:val="26"/>
        </w:rPr>
        <w:t>A/273/2016, de fecha diecisiete de octubre de dos m</w:t>
      </w:r>
      <w:r w:rsidR="00487CD3" w:rsidRPr="00622066">
        <w:rPr>
          <w:rFonts w:ascii="Arial" w:eastAsia="Times New Roman" w:hAnsi="Arial" w:cs="Arial"/>
          <w:color w:val="000000"/>
          <w:sz w:val="26"/>
          <w:szCs w:val="26"/>
        </w:rPr>
        <w:t>il dieciséis</w:t>
      </w:r>
      <w:r w:rsidR="00B8104A" w:rsidRPr="00622066">
        <w:rPr>
          <w:rFonts w:ascii="Arial" w:eastAsia="Times New Roman" w:hAnsi="Arial" w:cs="Arial"/>
          <w:color w:val="000000"/>
          <w:sz w:val="26"/>
          <w:szCs w:val="26"/>
        </w:rPr>
        <w:t xml:space="preserve"> </w:t>
      </w:r>
      <w:r w:rsidR="00487CD3" w:rsidRPr="00622066">
        <w:rPr>
          <w:rFonts w:ascii="Arial" w:eastAsia="Times New Roman" w:hAnsi="Arial" w:cs="Arial"/>
          <w:color w:val="000000"/>
          <w:sz w:val="26"/>
          <w:szCs w:val="26"/>
        </w:rPr>
        <w:t>-;</w:t>
      </w:r>
      <w:r w:rsidR="00AA4513">
        <w:rPr>
          <w:rFonts w:ascii="Arial" w:eastAsia="Times New Roman" w:hAnsi="Arial" w:cs="Arial"/>
          <w:color w:val="000000"/>
          <w:sz w:val="26"/>
          <w:szCs w:val="26"/>
        </w:rPr>
        <w:t xml:space="preserve"> </w:t>
      </w:r>
      <w:r w:rsidR="003A60BD">
        <w:rPr>
          <w:rFonts w:ascii="Arial" w:eastAsia="Times New Roman" w:hAnsi="Arial" w:cs="Arial"/>
          <w:color w:val="000000"/>
          <w:sz w:val="26"/>
          <w:szCs w:val="26"/>
        </w:rPr>
        <w:t xml:space="preserve">determinación que el recurrente </w:t>
      </w:r>
      <w:r w:rsidR="000A7F5B">
        <w:rPr>
          <w:rFonts w:ascii="Arial" w:eastAsia="Times New Roman" w:hAnsi="Arial" w:cs="Arial"/>
          <w:color w:val="000000"/>
          <w:sz w:val="26"/>
          <w:szCs w:val="26"/>
        </w:rPr>
        <w:t xml:space="preserve">tuvo oportunidad de combatir </w:t>
      </w:r>
      <w:r w:rsidR="00B8104A">
        <w:rPr>
          <w:rFonts w:ascii="Arial" w:eastAsia="Times New Roman" w:hAnsi="Arial" w:cs="Arial"/>
          <w:color w:val="000000"/>
          <w:sz w:val="26"/>
          <w:szCs w:val="26"/>
        </w:rPr>
        <w:t xml:space="preserve">con </w:t>
      </w:r>
      <w:r w:rsidR="000A7F5B">
        <w:rPr>
          <w:rFonts w:ascii="Arial" w:eastAsia="Times New Roman" w:hAnsi="Arial" w:cs="Arial"/>
          <w:color w:val="000000"/>
          <w:sz w:val="26"/>
          <w:szCs w:val="26"/>
        </w:rPr>
        <w:t xml:space="preserve">el </w:t>
      </w:r>
      <w:r w:rsidR="00980659">
        <w:rPr>
          <w:rFonts w:ascii="Arial" w:eastAsia="Times New Roman" w:hAnsi="Arial" w:cs="Arial"/>
          <w:color w:val="000000"/>
          <w:sz w:val="26"/>
          <w:szCs w:val="26"/>
        </w:rPr>
        <w:t>medio de impugnación que interpuso,</w:t>
      </w:r>
      <w:r w:rsidR="000A7F5B">
        <w:rPr>
          <w:rFonts w:ascii="Arial" w:eastAsia="Times New Roman" w:hAnsi="Arial" w:cs="Arial"/>
          <w:color w:val="000000"/>
          <w:sz w:val="26"/>
          <w:szCs w:val="26"/>
        </w:rPr>
        <w:t xml:space="preserve"> sin que lo hiciera</w:t>
      </w:r>
      <w:r w:rsidR="00446215">
        <w:rPr>
          <w:rFonts w:ascii="Arial" w:eastAsia="Times New Roman" w:hAnsi="Arial" w:cs="Arial"/>
          <w:color w:val="000000"/>
          <w:sz w:val="26"/>
          <w:szCs w:val="26"/>
        </w:rPr>
        <w:t xml:space="preserve">. </w:t>
      </w:r>
      <w:r w:rsidR="006C6363">
        <w:rPr>
          <w:rFonts w:ascii="Arial" w:eastAsia="Times New Roman" w:hAnsi="Arial" w:cs="Arial"/>
          <w:color w:val="000000"/>
          <w:sz w:val="26"/>
          <w:szCs w:val="26"/>
        </w:rPr>
        <w:t xml:space="preserve">De ahí lo </w:t>
      </w:r>
      <w:r w:rsidR="006C6363">
        <w:rPr>
          <w:rFonts w:ascii="Arial" w:eastAsia="Times New Roman" w:hAnsi="Arial" w:cs="Arial"/>
          <w:b/>
          <w:bCs/>
          <w:color w:val="000000"/>
          <w:sz w:val="26"/>
          <w:szCs w:val="26"/>
        </w:rPr>
        <w:t>inoperante</w:t>
      </w:r>
      <w:r w:rsidR="006C6363">
        <w:rPr>
          <w:rFonts w:ascii="Arial" w:eastAsia="Times New Roman" w:hAnsi="Arial" w:cs="Arial"/>
          <w:color w:val="000000"/>
          <w:sz w:val="26"/>
          <w:szCs w:val="26"/>
        </w:rPr>
        <w:t xml:space="preserve"> del agravio expuesto.</w:t>
      </w:r>
      <w:r w:rsidR="00204305">
        <w:rPr>
          <w:rFonts w:ascii="Arial" w:eastAsia="Times New Roman" w:hAnsi="Arial" w:cs="Arial"/>
          <w:color w:val="000000"/>
          <w:sz w:val="26"/>
          <w:szCs w:val="26"/>
        </w:rPr>
        <w:t xml:space="preserve"> - - - - - - - - - - - - - - - - - - - - - - - - - - - - - - - - - - - - - - - - - - - - - </w:t>
      </w:r>
    </w:p>
    <w:p w14:paraId="1BEAB88E" w14:textId="0B747913" w:rsidR="00F13955" w:rsidRPr="00B27825" w:rsidRDefault="00F13955" w:rsidP="00F13955">
      <w:pPr>
        <w:shd w:val="clear" w:color="auto" w:fill="FFFFFF"/>
        <w:spacing w:after="0" w:line="360" w:lineRule="auto"/>
        <w:ind w:firstLine="567"/>
        <w:jc w:val="both"/>
        <w:rPr>
          <w:rFonts w:ascii="Arial" w:hAnsi="Arial" w:cs="Arial"/>
          <w:bCs/>
          <w:color w:val="000000"/>
          <w:sz w:val="26"/>
          <w:szCs w:val="26"/>
        </w:rPr>
      </w:pPr>
      <w:r w:rsidRPr="00B27825">
        <w:rPr>
          <w:rFonts w:ascii="Arial" w:hAnsi="Arial" w:cs="Arial"/>
          <w:bCs/>
          <w:color w:val="000000"/>
          <w:sz w:val="26"/>
          <w:szCs w:val="26"/>
        </w:rPr>
        <w:t xml:space="preserve">Siendo aplicable al caso la jurisprudencia en materia común, número </w:t>
      </w:r>
      <w:r w:rsidR="000A7F5B">
        <w:rPr>
          <w:rFonts w:ascii="Arial" w:hAnsi="Arial" w:cs="Arial"/>
          <w:bCs/>
          <w:color w:val="000000"/>
          <w:sz w:val="26"/>
          <w:szCs w:val="26"/>
        </w:rPr>
        <w:t>I</w:t>
      </w:r>
      <w:r w:rsidR="0056494D">
        <w:rPr>
          <w:rFonts w:ascii="Arial" w:hAnsi="Arial" w:cs="Arial"/>
          <w:bCs/>
          <w:color w:val="000000"/>
          <w:sz w:val="26"/>
          <w:szCs w:val="26"/>
        </w:rPr>
        <w:t>.1</w:t>
      </w:r>
      <w:r w:rsidR="000A7F5B">
        <w:rPr>
          <w:rFonts w:ascii="Arial" w:hAnsi="Arial" w:cs="Arial"/>
          <w:bCs/>
          <w:color w:val="000000"/>
          <w:sz w:val="26"/>
          <w:szCs w:val="26"/>
        </w:rPr>
        <w:t>1o.</w:t>
      </w:r>
      <w:r w:rsidR="0056494D">
        <w:rPr>
          <w:rFonts w:ascii="Arial" w:hAnsi="Arial" w:cs="Arial"/>
          <w:bCs/>
          <w:color w:val="000000"/>
          <w:sz w:val="26"/>
          <w:szCs w:val="26"/>
        </w:rPr>
        <w:t>C.</w:t>
      </w:r>
      <w:r w:rsidR="000A7F5B">
        <w:rPr>
          <w:rFonts w:ascii="Arial" w:hAnsi="Arial" w:cs="Arial"/>
          <w:bCs/>
          <w:color w:val="000000"/>
          <w:sz w:val="26"/>
          <w:szCs w:val="26"/>
        </w:rPr>
        <w:t xml:space="preserve"> </w:t>
      </w:r>
      <w:r w:rsidRPr="00B27825">
        <w:rPr>
          <w:rFonts w:ascii="Arial" w:eastAsia="Times New Roman" w:hAnsi="Arial" w:cs="Arial"/>
          <w:color w:val="212529"/>
          <w:sz w:val="26"/>
          <w:szCs w:val="26"/>
        </w:rPr>
        <w:t>J</w:t>
      </w:r>
      <w:r w:rsidR="000A7F5B">
        <w:rPr>
          <w:rFonts w:ascii="Arial" w:eastAsia="Times New Roman" w:hAnsi="Arial" w:cs="Arial"/>
          <w:color w:val="212529"/>
          <w:sz w:val="26"/>
          <w:szCs w:val="26"/>
        </w:rPr>
        <w:t>/</w:t>
      </w:r>
      <w:r w:rsidR="0056494D">
        <w:rPr>
          <w:rFonts w:ascii="Arial" w:eastAsia="Times New Roman" w:hAnsi="Arial" w:cs="Arial"/>
          <w:color w:val="212529"/>
          <w:sz w:val="26"/>
          <w:szCs w:val="26"/>
        </w:rPr>
        <w:t>5</w:t>
      </w:r>
      <w:r w:rsidRPr="00B27825">
        <w:rPr>
          <w:rFonts w:ascii="Arial" w:hAnsi="Arial" w:cs="Arial"/>
          <w:bCs/>
          <w:color w:val="000000"/>
          <w:sz w:val="26"/>
          <w:szCs w:val="26"/>
        </w:rPr>
        <w:t xml:space="preserve">, con número de registro digital </w:t>
      </w:r>
      <w:r w:rsidR="0056494D">
        <w:rPr>
          <w:rFonts w:ascii="Arial" w:hAnsi="Arial" w:cs="Arial"/>
          <w:bCs/>
          <w:color w:val="000000"/>
          <w:sz w:val="26"/>
          <w:szCs w:val="26"/>
        </w:rPr>
        <w:t>176045</w:t>
      </w:r>
      <w:r w:rsidRPr="00B27825">
        <w:rPr>
          <w:rFonts w:ascii="Arial" w:hAnsi="Arial" w:cs="Arial"/>
          <w:bCs/>
          <w:color w:val="000000"/>
          <w:sz w:val="26"/>
          <w:szCs w:val="26"/>
        </w:rPr>
        <w:t xml:space="preserve">, de la </w:t>
      </w:r>
      <w:r w:rsidR="0056494D">
        <w:rPr>
          <w:rFonts w:ascii="Arial" w:hAnsi="Arial" w:cs="Arial"/>
          <w:bCs/>
          <w:color w:val="000000"/>
          <w:sz w:val="26"/>
          <w:szCs w:val="26"/>
        </w:rPr>
        <w:t xml:space="preserve">Novena </w:t>
      </w:r>
      <w:r w:rsidRPr="00B27825">
        <w:rPr>
          <w:rFonts w:ascii="Arial" w:eastAsia="Times New Roman" w:hAnsi="Arial" w:cs="Arial"/>
          <w:color w:val="212529"/>
          <w:sz w:val="26"/>
          <w:szCs w:val="26"/>
        </w:rPr>
        <w:t>Época</w:t>
      </w:r>
      <w:r w:rsidRPr="00B27825">
        <w:rPr>
          <w:rFonts w:ascii="Arial" w:hAnsi="Arial" w:cs="Arial"/>
          <w:bCs/>
          <w:color w:val="000000"/>
          <w:sz w:val="26"/>
          <w:szCs w:val="26"/>
        </w:rPr>
        <w:t>, emitido por l</w:t>
      </w:r>
      <w:r w:rsidR="000A7F5B">
        <w:rPr>
          <w:rFonts w:ascii="Arial" w:hAnsi="Arial" w:cs="Arial"/>
          <w:bCs/>
          <w:color w:val="000000"/>
          <w:sz w:val="26"/>
          <w:szCs w:val="26"/>
        </w:rPr>
        <w:t xml:space="preserve">os Tribunales Colegiados de Circuito; </w:t>
      </w:r>
      <w:r w:rsidRPr="00B27825">
        <w:rPr>
          <w:rFonts w:ascii="Arial" w:hAnsi="Arial" w:cs="Arial"/>
          <w:bCs/>
          <w:color w:val="000000"/>
          <w:sz w:val="26"/>
          <w:szCs w:val="26"/>
        </w:rPr>
        <w:t xml:space="preserve">publicada en el </w:t>
      </w:r>
      <w:r w:rsidRPr="00B27825">
        <w:rPr>
          <w:rFonts w:ascii="Arial" w:eastAsia="Times New Roman" w:hAnsi="Arial" w:cs="Arial"/>
          <w:color w:val="212529"/>
          <w:sz w:val="26"/>
          <w:szCs w:val="26"/>
        </w:rPr>
        <w:t>Sema</w:t>
      </w:r>
      <w:r w:rsidR="000A7F5B">
        <w:rPr>
          <w:rFonts w:ascii="Arial" w:eastAsia="Times New Roman" w:hAnsi="Arial" w:cs="Arial"/>
          <w:color w:val="212529"/>
          <w:sz w:val="26"/>
          <w:szCs w:val="26"/>
        </w:rPr>
        <w:t>nario Judicial de la Federación</w:t>
      </w:r>
      <w:r w:rsidR="0056494D">
        <w:rPr>
          <w:rFonts w:ascii="Arial" w:eastAsia="Times New Roman" w:hAnsi="Arial" w:cs="Arial"/>
          <w:color w:val="212529"/>
          <w:sz w:val="26"/>
          <w:szCs w:val="26"/>
        </w:rPr>
        <w:t xml:space="preserve"> y su Gaceta</w:t>
      </w:r>
      <w:r w:rsidRPr="00B27825">
        <w:rPr>
          <w:rFonts w:ascii="Arial" w:hAnsi="Arial" w:cs="Arial"/>
          <w:bCs/>
          <w:color w:val="000000"/>
          <w:sz w:val="26"/>
          <w:szCs w:val="26"/>
        </w:rPr>
        <w:t xml:space="preserve">, en el </w:t>
      </w:r>
      <w:r w:rsidRPr="00B27825">
        <w:rPr>
          <w:rFonts w:ascii="Arial" w:eastAsia="Times New Roman" w:hAnsi="Arial" w:cs="Arial"/>
          <w:color w:val="212529"/>
          <w:sz w:val="26"/>
          <w:szCs w:val="26"/>
        </w:rPr>
        <w:t xml:space="preserve">Tomo </w:t>
      </w:r>
      <w:r w:rsidR="0056494D">
        <w:rPr>
          <w:rFonts w:ascii="Arial" w:eastAsia="Times New Roman" w:hAnsi="Arial" w:cs="Arial"/>
          <w:color w:val="212529"/>
          <w:sz w:val="26"/>
          <w:szCs w:val="26"/>
        </w:rPr>
        <w:t>X</w:t>
      </w:r>
      <w:r w:rsidRPr="00B27825">
        <w:rPr>
          <w:rFonts w:ascii="Arial" w:eastAsia="Times New Roman" w:hAnsi="Arial" w:cs="Arial"/>
          <w:color w:val="212529"/>
          <w:sz w:val="26"/>
          <w:szCs w:val="26"/>
        </w:rPr>
        <w:t>X</w:t>
      </w:r>
      <w:r w:rsidR="0056494D">
        <w:rPr>
          <w:rFonts w:ascii="Arial" w:eastAsia="Times New Roman" w:hAnsi="Arial" w:cs="Arial"/>
          <w:color w:val="212529"/>
          <w:sz w:val="26"/>
          <w:szCs w:val="26"/>
        </w:rPr>
        <w:t>III</w:t>
      </w:r>
      <w:r w:rsidRPr="00B27825">
        <w:rPr>
          <w:rFonts w:ascii="Arial" w:eastAsia="Times New Roman" w:hAnsi="Arial" w:cs="Arial"/>
          <w:color w:val="212529"/>
          <w:sz w:val="26"/>
          <w:szCs w:val="26"/>
        </w:rPr>
        <w:t xml:space="preserve">, de </w:t>
      </w:r>
      <w:r w:rsidR="000A7F5B">
        <w:rPr>
          <w:rFonts w:ascii="Arial" w:eastAsia="Times New Roman" w:hAnsi="Arial" w:cs="Arial"/>
          <w:color w:val="212529"/>
          <w:sz w:val="26"/>
          <w:szCs w:val="26"/>
        </w:rPr>
        <w:t xml:space="preserve">Febrero </w:t>
      </w:r>
      <w:r w:rsidRPr="00B27825">
        <w:rPr>
          <w:rFonts w:ascii="Arial" w:eastAsia="Times New Roman" w:hAnsi="Arial" w:cs="Arial"/>
          <w:color w:val="212529"/>
          <w:sz w:val="26"/>
          <w:szCs w:val="26"/>
        </w:rPr>
        <w:t xml:space="preserve">de </w:t>
      </w:r>
      <w:r w:rsidR="0056494D">
        <w:rPr>
          <w:rFonts w:ascii="Arial" w:eastAsia="Times New Roman" w:hAnsi="Arial" w:cs="Arial"/>
          <w:color w:val="212529"/>
          <w:sz w:val="26"/>
          <w:szCs w:val="26"/>
        </w:rPr>
        <w:t>2006</w:t>
      </w:r>
      <w:r w:rsidRPr="00B27825">
        <w:rPr>
          <w:rFonts w:ascii="Arial" w:eastAsia="Times New Roman" w:hAnsi="Arial" w:cs="Arial"/>
          <w:color w:val="212529"/>
          <w:sz w:val="26"/>
          <w:szCs w:val="26"/>
        </w:rPr>
        <w:t xml:space="preserve">, visible a página </w:t>
      </w:r>
      <w:r w:rsidR="0056494D">
        <w:rPr>
          <w:rFonts w:ascii="Arial" w:eastAsia="Times New Roman" w:hAnsi="Arial" w:cs="Arial"/>
          <w:color w:val="212529"/>
          <w:sz w:val="26"/>
          <w:szCs w:val="26"/>
        </w:rPr>
        <w:t>1600</w:t>
      </w:r>
      <w:r w:rsidRPr="00B27825">
        <w:rPr>
          <w:rFonts w:ascii="Arial" w:hAnsi="Arial" w:cs="Arial"/>
          <w:bCs/>
          <w:color w:val="000000"/>
          <w:sz w:val="26"/>
          <w:szCs w:val="26"/>
        </w:rPr>
        <w:t>, de rubro y texto siguientes:</w:t>
      </w:r>
      <w:r w:rsidR="002B0DB5">
        <w:rPr>
          <w:rFonts w:ascii="Arial" w:hAnsi="Arial" w:cs="Arial"/>
          <w:bCs/>
          <w:color w:val="000000"/>
          <w:sz w:val="26"/>
          <w:szCs w:val="26"/>
        </w:rPr>
        <w:t xml:space="preserve">- </w:t>
      </w:r>
    </w:p>
    <w:p w14:paraId="1F50AC48" w14:textId="6A48597F" w:rsidR="0056494D" w:rsidRPr="002D61CD" w:rsidRDefault="0056494D" w:rsidP="0056494D">
      <w:pPr>
        <w:pStyle w:val="NormalWeb"/>
        <w:shd w:val="clear" w:color="auto" w:fill="FFFFFF"/>
        <w:ind w:left="567" w:right="616"/>
        <w:jc w:val="both"/>
        <w:rPr>
          <w:rFonts w:ascii="Arial" w:hAnsi="Arial" w:cs="Arial"/>
          <w:i/>
          <w:iCs/>
        </w:rPr>
      </w:pPr>
      <w:r w:rsidRPr="002D61CD">
        <w:rPr>
          <w:rFonts w:ascii="Arial" w:hAnsi="Arial" w:cs="Arial"/>
          <w:b/>
          <w:bCs/>
          <w:i/>
          <w:iCs/>
        </w:rPr>
        <w:t xml:space="preserve">“AGRAVIOS INOPERANTES EN LA REVISIÓN. LO SON LAS SIMPLES EXPRESIONES GENÉRICAS Y ABSTRACTAS CUANDO NO PROCEDE LA SUPLENCIA DE LA QUEJA DEFICIENTE. </w:t>
      </w:r>
      <w:r w:rsidRPr="002D61CD">
        <w:rPr>
          <w:rFonts w:ascii="Arial" w:hAnsi="Arial" w:cs="Arial"/>
          <w:i/>
          <w:iCs/>
        </w:rPr>
        <w:t>Si no se está en el caso de suplir la deficiencia de los agravios en términos del artículo </w:t>
      </w:r>
      <w:hyperlink r:id="rId8" w:history="1">
        <w:r w:rsidRPr="002D61CD">
          <w:rPr>
            <w:rStyle w:val="Hipervnculo"/>
            <w:rFonts w:ascii="Arial" w:hAnsi="Arial" w:cs="Arial"/>
            <w:bCs/>
            <w:i/>
            <w:iCs/>
            <w:color w:val="auto"/>
            <w:u w:val="none"/>
          </w:rPr>
          <w:t>76 Bis, fracción VI, de la Ley de Amparo</w:t>
        </w:r>
      </w:hyperlink>
      <w:r w:rsidRPr="002D61CD">
        <w:rPr>
          <w:rFonts w:ascii="Arial" w:hAnsi="Arial" w:cs="Arial"/>
          <w:i/>
          <w:iCs/>
        </w:rPr>
        <w:t>, no basta que el recurrente exprese sus agravios en forma genérica y abstracta, es decir, que se concrete a hacer simples aseveraciones para que el Tribunal Colegiado emprenda el examen de la legalidad de la resolución recurrida 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002D61CD">
        <w:rPr>
          <w:rFonts w:ascii="Arial" w:hAnsi="Arial" w:cs="Arial"/>
          <w:i/>
          <w:iCs/>
        </w:rPr>
        <w:t xml:space="preserve"> </w:t>
      </w:r>
      <w:r w:rsidR="002D61CD">
        <w:rPr>
          <w:rFonts w:ascii="Arial" w:hAnsi="Arial" w:cs="Arial"/>
          <w:color w:val="000000"/>
          <w:sz w:val="26"/>
          <w:szCs w:val="26"/>
        </w:rPr>
        <w:t xml:space="preserve">- - - - - - - - - - - - - - - - - - - - </w:t>
      </w:r>
    </w:p>
    <w:p w14:paraId="58690753" w14:textId="3F8FA65D" w:rsidR="00ED58A7" w:rsidRDefault="00CD40C9" w:rsidP="00ED58A7">
      <w:pPr>
        <w:shd w:val="clear" w:color="auto" w:fill="FFFFFF"/>
        <w:spacing w:line="360" w:lineRule="auto"/>
        <w:ind w:firstLine="567"/>
        <w:jc w:val="both"/>
        <w:rPr>
          <w:rFonts w:ascii="Arial" w:eastAsiaTheme="minorHAnsi" w:hAnsi="Arial" w:cs="Arial"/>
          <w:sz w:val="26"/>
          <w:szCs w:val="26"/>
          <w:lang w:val="es-ES" w:eastAsia="en-US"/>
        </w:rPr>
      </w:pPr>
      <w:r>
        <w:rPr>
          <w:rFonts w:ascii="Arial" w:eastAsiaTheme="minorHAnsi" w:hAnsi="Arial" w:cs="Arial"/>
          <w:b/>
          <w:bCs/>
          <w:sz w:val="26"/>
          <w:szCs w:val="26"/>
          <w:lang w:eastAsia="en-US"/>
        </w:rPr>
        <w:t xml:space="preserve">QUINTO. </w:t>
      </w:r>
      <w:r w:rsidR="00ED58A7">
        <w:rPr>
          <w:rFonts w:ascii="Arial" w:eastAsiaTheme="minorHAnsi" w:hAnsi="Arial" w:cs="Arial"/>
          <w:sz w:val="26"/>
          <w:szCs w:val="26"/>
          <w:lang w:val="es-ES" w:eastAsia="en-US"/>
        </w:rPr>
        <w:t>En seguida, se analizan los agravios expuestos por el segundo recurrente, quien argu</w:t>
      </w:r>
      <w:r w:rsidR="00ED58A7" w:rsidRPr="001630B1">
        <w:rPr>
          <w:rFonts w:ascii="Arial" w:eastAsiaTheme="minorHAnsi" w:hAnsi="Arial" w:cs="Arial"/>
          <w:sz w:val="26"/>
          <w:szCs w:val="26"/>
          <w:lang w:val="es-ES" w:eastAsia="en-US"/>
        </w:rPr>
        <w:t>ye</w:t>
      </w:r>
      <w:r w:rsidR="00ED58A7" w:rsidRPr="001D5C32">
        <w:rPr>
          <w:rFonts w:ascii="Arial" w:eastAsiaTheme="minorHAnsi" w:hAnsi="Arial" w:cs="Arial"/>
          <w:sz w:val="26"/>
          <w:szCs w:val="26"/>
          <w:lang w:val="es-ES" w:eastAsia="en-US"/>
        </w:rPr>
        <w:t xml:space="preserve"> </w:t>
      </w:r>
      <w:r w:rsidR="007C72F1">
        <w:rPr>
          <w:rFonts w:ascii="Arial" w:eastAsiaTheme="minorHAnsi" w:hAnsi="Arial" w:cs="Arial"/>
          <w:sz w:val="26"/>
          <w:szCs w:val="26"/>
          <w:lang w:val="es-ES" w:eastAsia="en-US"/>
        </w:rPr>
        <w:t xml:space="preserve">que a su consideración, </w:t>
      </w:r>
      <w:r w:rsidR="00ED58A7">
        <w:rPr>
          <w:rFonts w:ascii="Arial" w:eastAsiaTheme="minorHAnsi" w:hAnsi="Arial" w:cs="Arial"/>
          <w:sz w:val="26"/>
          <w:szCs w:val="26"/>
          <w:lang w:val="es-ES" w:eastAsia="en-US"/>
        </w:rPr>
        <w:t xml:space="preserve">debe revocarse la sentencia recurrida y declarar su nulidad lisa y llana en observancia a lo dispuesto por los artículos 1, 14, 16 y 17, de la Constitución Política de los Estados Unidos Mexicanos, 17, fracción I, 18, fracción I, 208, fracción I, 209 y demás relativos y aplicables de la Ley de Procedimiento y Justicia Administrativa para el Estado de Oaxaca; porque considera que el artículo 18, fracción I, de la Ley de Procedimiento y Justicia Administrativa para el Estado de Oaxaca, establece que el acto emitido por funcionario incompetente implica su  nulidad lisa y llana; por tanto, es indiscutible que en la sentencia recurrida se declaró la incompetencia del Director emisor del acuerdo de inicio del procedimiento administrativo tramitado en su contra, declarándose la nulidad del mismo; sin embargo, debió declarar la nulidad lisa y llana y no para efectos, pues la ley y la jurisprudencia </w:t>
      </w:r>
      <w:r w:rsidR="00ED58A7">
        <w:rPr>
          <w:rFonts w:ascii="Arial" w:eastAsiaTheme="minorHAnsi" w:hAnsi="Arial" w:cs="Arial"/>
          <w:sz w:val="26"/>
          <w:szCs w:val="26"/>
          <w:lang w:val="es-ES" w:eastAsia="en-US"/>
        </w:rPr>
        <w:lastRenderedPageBreak/>
        <w:t>obligatoria emitida por el Poder Judicial de la Federación, son concretas al determinar que el acto emitido por autoridad incompetente produce la nulidad lisa y llana del mismo y de todos los actos que de él deriven, y en su caso deben ser nulas</w:t>
      </w:r>
      <w:r w:rsidR="00027E6C">
        <w:rPr>
          <w:rFonts w:ascii="Arial" w:eastAsiaTheme="minorHAnsi" w:hAnsi="Arial" w:cs="Arial"/>
          <w:sz w:val="26"/>
          <w:szCs w:val="26"/>
          <w:lang w:val="es-ES" w:eastAsia="en-US"/>
        </w:rPr>
        <w:t>,</w:t>
      </w:r>
      <w:r w:rsidR="00ED58A7">
        <w:rPr>
          <w:rFonts w:ascii="Arial" w:eastAsiaTheme="minorHAnsi" w:hAnsi="Arial" w:cs="Arial"/>
          <w:sz w:val="26"/>
          <w:szCs w:val="26"/>
          <w:lang w:val="es-ES" w:eastAsia="en-US"/>
        </w:rPr>
        <w:t xml:space="preserve"> lisa y llanamente las resoluciones que impugna, por ser producto de un acto emitido por el Director de Responsabilidades y Situación Patrimonial.</w:t>
      </w:r>
      <w:r w:rsidR="00DA3F4B">
        <w:rPr>
          <w:rFonts w:ascii="Arial" w:eastAsiaTheme="minorHAnsi" w:hAnsi="Arial" w:cs="Arial"/>
          <w:sz w:val="26"/>
          <w:szCs w:val="26"/>
          <w:lang w:val="es-ES" w:eastAsia="en-US"/>
        </w:rPr>
        <w:t xml:space="preserve"> </w:t>
      </w:r>
      <w:r w:rsidR="00DA3F4B">
        <w:rPr>
          <w:rFonts w:ascii="Arial" w:eastAsia="Times New Roman" w:hAnsi="Arial" w:cs="Arial"/>
          <w:color w:val="000000"/>
          <w:sz w:val="26"/>
          <w:szCs w:val="26"/>
        </w:rPr>
        <w:t xml:space="preserve">- - - - - - - - - - - - - - - - - - - - - </w:t>
      </w:r>
    </w:p>
    <w:p w14:paraId="0DD34064" w14:textId="3DD376C6" w:rsidR="00ED58A7" w:rsidRDefault="00ED58A7" w:rsidP="003962DE">
      <w:pPr>
        <w:spacing w:line="360" w:lineRule="auto"/>
        <w:ind w:firstLine="709"/>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 xml:space="preserve">Es </w:t>
      </w:r>
      <w:r w:rsidR="003962DE" w:rsidRPr="001F1D40">
        <w:rPr>
          <w:rFonts w:ascii="Arial" w:eastAsiaTheme="minorHAnsi" w:hAnsi="Arial" w:cs="Arial"/>
          <w:b/>
          <w:sz w:val="26"/>
          <w:szCs w:val="26"/>
          <w:lang w:val="es-ES" w:eastAsia="en-US"/>
        </w:rPr>
        <w:t>fundado</w:t>
      </w:r>
      <w:r w:rsidRPr="001F1D40">
        <w:rPr>
          <w:rFonts w:ascii="Arial" w:eastAsiaTheme="minorHAnsi" w:hAnsi="Arial" w:cs="Arial"/>
          <w:b/>
          <w:sz w:val="26"/>
          <w:szCs w:val="26"/>
          <w:lang w:val="es-ES" w:eastAsia="en-US"/>
        </w:rPr>
        <w:t xml:space="preserve"> </w:t>
      </w:r>
      <w:r>
        <w:rPr>
          <w:rFonts w:ascii="Arial" w:eastAsiaTheme="minorHAnsi" w:hAnsi="Arial" w:cs="Arial"/>
          <w:sz w:val="26"/>
          <w:szCs w:val="26"/>
          <w:lang w:val="es-ES" w:eastAsia="en-US"/>
        </w:rPr>
        <w:t xml:space="preserve">el agravio expuesto, </w:t>
      </w:r>
      <w:r>
        <w:rPr>
          <w:rFonts w:ascii="Arial" w:hAnsi="Arial" w:cs="Arial"/>
          <w:bCs/>
          <w:sz w:val="26"/>
          <w:szCs w:val="26"/>
        </w:rPr>
        <w:t xml:space="preserve">en razón </w:t>
      </w:r>
      <w:r w:rsidR="003962DE">
        <w:rPr>
          <w:rFonts w:ascii="Arial" w:hAnsi="Arial" w:cs="Arial"/>
          <w:bCs/>
          <w:sz w:val="26"/>
          <w:szCs w:val="26"/>
        </w:rPr>
        <w:t xml:space="preserve">de </w:t>
      </w:r>
      <w:r>
        <w:rPr>
          <w:rFonts w:ascii="Arial" w:hAnsi="Arial" w:cs="Arial"/>
          <w:bCs/>
          <w:sz w:val="26"/>
          <w:szCs w:val="26"/>
        </w:rPr>
        <w:t>que</w:t>
      </w:r>
      <w:r w:rsidR="003962DE">
        <w:rPr>
          <w:rFonts w:ascii="Arial" w:hAnsi="Arial" w:cs="Arial"/>
          <w:bCs/>
          <w:sz w:val="26"/>
          <w:szCs w:val="26"/>
        </w:rPr>
        <w:t>, en el co</w:t>
      </w:r>
      <w:r>
        <w:rPr>
          <w:rFonts w:ascii="Arial" w:hAnsi="Arial" w:cs="Arial"/>
          <w:sz w:val="26"/>
          <w:szCs w:val="26"/>
        </w:rPr>
        <w:t>nsiderando sexto de la sentencia impugnada,</w:t>
      </w:r>
      <w:r w:rsidR="003962DE">
        <w:rPr>
          <w:rFonts w:ascii="Arial" w:hAnsi="Arial" w:cs="Arial"/>
          <w:sz w:val="26"/>
          <w:szCs w:val="26"/>
        </w:rPr>
        <w:t xml:space="preserve"> transcrita anteriormente, </w:t>
      </w:r>
      <w:r w:rsidR="00A252C7">
        <w:rPr>
          <w:rFonts w:ascii="Arial" w:hAnsi="Arial" w:cs="Arial"/>
          <w:sz w:val="26"/>
          <w:szCs w:val="26"/>
        </w:rPr>
        <w:t xml:space="preserve">se advierte que </w:t>
      </w:r>
      <w:r w:rsidR="003962DE">
        <w:rPr>
          <w:rFonts w:ascii="Arial" w:hAnsi="Arial" w:cs="Arial"/>
          <w:sz w:val="26"/>
          <w:szCs w:val="26"/>
        </w:rPr>
        <w:t xml:space="preserve">la Primera Instancia </w:t>
      </w:r>
      <w:r>
        <w:rPr>
          <w:rFonts w:ascii="Arial" w:eastAsiaTheme="minorHAnsi" w:hAnsi="Arial" w:cs="Arial"/>
          <w:sz w:val="26"/>
          <w:szCs w:val="26"/>
          <w:lang w:val="es-ES" w:eastAsia="en-US"/>
        </w:rPr>
        <w:t>se abocó al estudio del tercer concepto de impugnación hecho valer por la parte actora en su escrito de demanda, por el cual, la Juzgadora detectó violaciones en el procedimiento administrativo de responsabilidad disciplinaria número 46/RA/-B/2016, tramitado por la Secretaría de la Contraloría y Transparencia Gubernamental, en contra del actor, hoy recurrente, debido</w:t>
      </w:r>
      <w:r w:rsidR="00A252C7">
        <w:rPr>
          <w:rFonts w:ascii="Arial" w:eastAsiaTheme="minorHAnsi" w:hAnsi="Arial" w:cs="Arial"/>
          <w:sz w:val="26"/>
          <w:szCs w:val="26"/>
          <w:lang w:val="es-ES" w:eastAsia="en-US"/>
        </w:rPr>
        <w:t xml:space="preserve"> a</w:t>
      </w:r>
      <w:r>
        <w:rPr>
          <w:rFonts w:ascii="Arial" w:eastAsiaTheme="minorHAnsi" w:hAnsi="Arial" w:cs="Arial"/>
          <w:sz w:val="26"/>
          <w:szCs w:val="26"/>
          <w:lang w:val="es-ES" w:eastAsia="en-US"/>
        </w:rPr>
        <w:t xml:space="preserve"> que la parte demandada, Director de Responsabilidades y Situación Patrimonial de la Secretaría de la Contraloría y Transparencia Gubernamental, no era la autoridad competente para dictar el acuerdo de dieciséis de agosto de dos mil diecisiete, con el </w:t>
      </w:r>
      <w:r w:rsidR="00A252C7">
        <w:rPr>
          <w:rFonts w:ascii="Arial" w:eastAsiaTheme="minorHAnsi" w:hAnsi="Arial" w:cs="Arial"/>
          <w:sz w:val="26"/>
          <w:szCs w:val="26"/>
          <w:lang w:val="es-ES" w:eastAsia="en-US"/>
        </w:rPr>
        <w:t xml:space="preserve">que </w:t>
      </w:r>
      <w:r>
        <w:rPr>
          <w:rFonts w:ascii="Arial" w:eastAsiaTheme="minorHAnsi" w:hAnsi="Arial" w:cs="Arial"/>
          <w:sz w:val="26"/>
          <w:szCs w:val="26"/>
          <w:lang w:val="es-ES" w:eastAsia="en-US"/>
        </w:rPr>
        <w:t>inici</w:t>
      </w:r>
      <w:r w:rsidR="00A252C7">
        <w:rPr>
          <w:rFonts w:ascii="Arial" w:eastAsiaTheme="minorHAnsi" w:hAnsi="Arial" w:cs="Arial"/>
          <w:sz w:val="26"/>
          <w:szCs w:val="26"/>
          <w:lang w:val="es-ES" w:eastAsia="en-US"/>
        </w:rPr>
        <w:t>ó</w:t>
      </w:r>
      <w:r>
        <w:rPr>
          <w:rFonts w:ascii="Arial" w:eastAsiaTheme="minorHAnsi" w:hAnsi="Arial" w:cs="Arial"/>
          <w:sz w:val="26"/>
          <w:szCs w:val="26"/>
          <w:lang w:val="es-ES" w:eastAsia="en-US"/>
        </w:rPr>
        <w:t xml:space="preserve"> del citado  procedimiento de responsabilidad</w:t>
      </w:r>
      <w:r w:rsidR="00A252C7">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 xml:space="preserve">por el cual determinó declarar su nulidad </w:t>
      </w:r>
      <w:r w:rsidRPr="00F21E73">
        <w:rPr>
          <w:rFonts w:ascii="Arial" w:eastAsiaTheme="minorHAnsi" w:hAnsi="Arial" w:cs="Arial"/>
          <w:sz w:val="26"/>
          <w:szCs w:val="26"/>
          <w:lang w:val="es-ES" w:eastAsia="en-US"/>
        </w:rPr>
        <w:t>para el efecto de que el Director de</w:t>
      </w:r>
      <w:r>
        <w:rPr>
          <w:rFonts w:ascii="Arial" w:eastAsiaTheme="minorHAnsi" w:hAnsi="Arial" w:cs="Arial"/>
          <w:sz w:val="26"/>
          <w:szCs w:val="26"/>
          <w:lang w:val="es-ES" w:eastAsia="en-US"/>
        </w:rPr>
        <w:t xml:space="preserve"> Procedimientos Jurídicos de la Secretaría de Contraloría y Transparencia Gubernamental, dicte otro acuerdo en el que remita a la autoridad administrativa competente, el memorándum número ACT/SRT/DRSP/IQD-A/273/2016, de dieciséis de octubre de dos mil dieciséis, emitido por el Jefe del Departamento de Investigación de Queja y Denuncias “A”, adscrito a la Dirección de  Responsabilidad Patrimonial de la Secretaría de la Contraloría y Transparencia  Gubernamental, y con plenitud de jurisdicción, quien resulte competente  acuerde iniciar o no, el procedimiento administrativo disciplinario en contra del actor, hoy revisionista. </w:t>
      </w:r>
      <w:r w:rsidR="00027E6C">
        <w:rPr>
          <w:rFonts w:ascii="Arial" w:eastAsia="Times New Roman" w:hAnsi="Arial" w:cs="Arial"/>
          <w:color w:val="000000"/>
          <w:sz w:val="26"/>
          <w:szCs w:val="26"/>
        </w:rPr>
        <w:t xml:space="preserve">- - - - - - - - - - - - - - - - - </w:t>
      </w:r>
    </w:p>
    <w:p w14:paraId="7C59FCC3" w14:textId="3EC19B7C" w:rsidR="00ED58A7" w:rsidRPr="00A05222" w:rsidRDefault="00ED58A7" w:rsidP="00ED58A7">
      <w:pPr>
        <w:tabs>
          <w:tab w:val="left" w:pos="3828"/>
        </w:tabs>
        <w:spacing w:before="240" w:line="360" w:lineRule="auto"/>
        <w:ind w:firstLine="709"/>
        <w:jc w:val="both"/>
      </w:pPr>
      <w:r>
        <w:rPr>
          <w:rFonts w:ascii="Arial" w:eastAsiaTheme="minorHAnsi" w:hAnsi="Arial" w:cs="Arial"/>
          <w:sz w:val="26"/>
          <w:szCs w:val="26"/>
          <w:lang w:val="es-ES" w:eastAsia="en-US"/>
        </w:rPr>
        <w:t>Sin embargo, la determinación final de la Primera Sala fue indebid</w:t>
      </w:r>
      <w:r w:rsidR="008C6B5E">
        <w:rPr>
          <w:rFonts w:ascii="Arial" w:eastAsiaTheme="minorHAnsi" w:hAnsi="Arial" w:cs="Arial"/>
          <w:sz w:val="26"/>
          <w:szCs w:val="26"/>
          <w:lang w:val="es-ES" w:eastAsia="en-US"/>
        </w:rPr>
        <w:t>a</w:t>
      </w:r>
      <w:r>
        <w:rPr>
          <w:rFonts w:ascii="Arial" w:eastAsiaTheme="minorHAnsi" w:hAnsi="Arial" w:cs="Arial"/>
          <w:sz w:val="26"/>
          <w:szCs w:val="26"/>
          <w:lang w:val="es-ES" w:eastAsia="en-US"/>
        </w:rPr>
        <w:t>, tomando en cuenta que se contradijo al mencionar en su conclusión lo siguiente:</w:t>
      </w:r>
      <w:r w:rsidR="00A05222">
        <w:rPr>
          <w:rFonts w:ascii="Arial" w:eastAsiaTheme="minorHAnsi" w:hAnsi="Arial" w:cs="Arial"/>
          <w:sz w:val="26"/>
          <w:szCs w:val="26"/>
          <w:lang w:val="es-ES" w:eastAsia="en-US"/>
        </w:rPr>
        <w:t xml:space="preserve"> </w:t>
      </w:r>
      <w:r w:rsidR="00A05222">
        <w:rPr>
          <w:rFonts w:ascii="Arial" w:eastAsia="Times New Roman" w:hAnsi="Arial" w:cs="Arial"/>
          <w:color w:val="000000"/>
          <w:sz w:val="26"/>
          <w:szCs w:val="26"/>
        </w:rPr>
        <w:t xml:space="preserve">- - - - - - - - - - - - - - - - - - - - - - - - - - - - - - - -- - - </w:t>
      </w:r>
    </w:p>
    <w:p w14:paraId="2342CD23" w14:textId="77777777" w:rsidR="00ED58A7" w:rsidRPr="000D5CB9" w:rsidRDefault="00ED58A7" w:rsidP="00ED58A7">
      <w:pPr>
        <w:tabs>
          <w:tab w:val="left" w:pos="3828"/>
        </w:tabs>
        <w:spacing w:before="240" w:line="360" w:lineRule="auto"/>
        <w:ind w:firstLine="709"/>
        <w:jc w:val="both"/>
        <w:rPr>
          <w:rFonts w:ascii="Arial" w:eastAsiaTheme="minorHAnsi" w:hAnsi="Arial" w:cs="Arial"/>
          <w:i/>
          <w:iCs/>
          <w:sz w:val="24"/>
          <w:szCs w:val="24"/>
          <w:lang w:val="es-ES" w:eastAsia="en-US"/>
        </w:rPr>
      </w:pPr>
      <w:r w:rsidRPr="000D5CB9">
        <w:rPr>
          <w:rFonts w:ascii="Arial" w:eastAsiaTheme="minorHAnsi" w:hAnsi="Arial" w:cs="Arial"/>
          <w:i/>
          <w:iCs/>
          <w:sz w:val="24"/>
          <w:szCs w:val="24"/>
          <w:lang w:val="es-ES" w:eastAsia="en-US"/>
        </w:rPr>
        <w:t xml:space="preserve">“… </w:t>
      </w:r>
      <w:r w:rsidRPr="000D5CB9">
        <w:rPr>
          <w:rFonts w:ascii="Arial" w:eastAsia="Times New Roman" w:hAnsi="Arial" w:cs="Arial"/>
          <w:b/>
          <w:bCs/>
          <w:i/>
          <w:iCs/>
          <w:color w:val="000000"/>
          <w:sz w:val="24"/>
          <w:szCs w:val="24"/>
        </w:rPr>
        <w:t xml:space="preserve">se declara la NULIDAD </w:t>
      </w:r>
      <w:r w:rsidRPr="000D5CB9">
        <w:rPr>
          <w:rFonts w:ascii="Arial" w:eastAsia="Times New Roman" w:hAnsi="Arial" w:cs="Arial"/>
          <w:i/>
          <w:iCs/>
          <w:color w:val="000000"/>
          <w:sz w:val="24"/>
          <w:szCs w:val="24"/>
        </w:rPr>
        <w:t xml:space="preserve">del acuerdo dictado con fecha dieciséis de agosto de dos mil diecisiete (16/08/2017), por el Director de Responsabilidades y Situación Patrimonial de la Secretaría de la Contraloría y Transparencia Gubernamental, en el Expediente (sic) administrativo 46/RA-B/2016, </w:t>
      </w:r>
      <w:r w:rsidRPr="000D5CB9">
        <w:rPr>
          <w:rFonts w:ascii="Arial" w:eastAsia="Times New Roman" w:hAnsi="Arial" w:cs="Arial"/>
          <w:i/>
          <w:iCs/>
          <w:color w:val="000000"/>
          <w:sz w:val="24"/>
          <w:szCs w:val="24"/>
          <w:u w:val="single"/>
        </w:rPr>
        <w:t xml:space="preserve">y toda vez que ha sido criterio de la Corte, que si un acto o diligencia </w:t>
      </w:r>
      <w:r w:rsidRPr="000D5CB9">
        <w:rPr>
          <w:rFonts w:ascii="Arial" w:eastAsia="Times New Roman" w:hAnsi="Arial" w:cs="Arial"/>
          <w:i/>
          <w:iCs/>
          <w:color w:val="000000"/>
          <w:sz w:val="24"/>
          <w:szCs w:val="24"/>
          <w:u w:val="single"/>
        </w:rPr>
        <w:lastRenderedPageBreak/>
        <w:t>de la autoridad está viciado y resulta inconstitucional, todos los actos derivados de él, o que se apoyen en él, o que de alguna forma estén condicionados por él, resultan también inconstitucionales por su origen,</w:t>
      </w:r>
      <w:r w:rsidRPr="000D5CB9">
        <w:rPr>
          <w:rFonts w:ascii="Arial" w:eastAsia="Times New Roman" w:hAnsi="Arial" w:cs="Arial"/>
          <w:i/>
          <w:iCs/>
          <w:color w:val="000000"/>
          <w:sz w:val="24"/>
          <w:szCs w:val="24"/>
        </w:rPr>
        <w:t xml:space="preserve"> como consecuencia de lo anterior, </w:t>
      </w:r>
      <w:r w:rsidRPr="000D5CB9">
        <w:rPr>
          <w:rFonts w:ascii="Arial" w:eastAsia="Times New Roman" w:hAnsi="Arial" w:cs="Arial"/>
          <w:b/>
          <w:bCs/>
          <w:i/>
          <w:iCs/>
          <w:color w:val="000000"/>
          <w:sz w:val="24"/>
          <w:szCs w:val="24"/>
        </w:rPr>
        <w:t xml:space="preserve">se declara la NULIDAD </w:t>
      </w:r>
      <w:r w:rsidRPr="000D5CB9">
        <w:rPr>
          <w:rFonts w:ascii="Arial" w:eastAsia="Times New Roman" w:hAnsi="Arial" w:cs="Arial"/>
          <w:i/>
          <w:iCs/>
          <w:color w:val="000000"/>
          <w:sz w:val="24"/>
          <w:szCs w:val="24"/>
        </w:rPr>
        <w:t xml:space="preserve">de todas las actuaciones llevadas a cabo en los expedientes administrativos números 46/RA-B/2016, y 07/RR/2018, del índice de la Secretaría de la Contraloría y Transparencia Gubernamental, lo que incluye el registro de la sanción impuesta al actor (de haberse efectuado la misma), lo anterior </w:t>
      </w:r>
      <w:r w:rsidRPr="000D5CB9">
        <w:rPr>
          <w:rFonts w:ascii="Arial" w:eastAsia="Times New Roman" w:hAnsi="Arial" w:cs="Arial"/>
          <w:b/>
          <w:bCs/>
          <w:i/>
          <w:iCs/>
          <w:color w:val="000000"/>
          <w:sz w:val="24"/>
          <w:szCs w:val="24"/>
        </w:rPr>
        <w:t xml:space="preserve">para el efecto </w:t>
      </w:r>
      <w:r w:rsidRPr="000D5CB9">
        <w:rPr>
          <w:rFonts w:ascii="Arial" w:eastAsia="Times New Roman" w:hAnsi="Arial" w:cs="Arial"/>
          <w:i/>
          <w:iCs/>
          <w:color w:val="000000"/>
          <w:sz w:val="24"/>
          <w:szCs w:val="24"/>
        </w:rPr>
        <w:t>de que…” (Lo subrayado es propio)</w:t>
      </w:r>
    </w:p>
    <w:p w14:paraId="54C47AC6" w14:textId="50262CFF" w:rsidR="00ED58A7" w:rsidRDefault="00ED58A7" w:rsidP="00ED58A7">
      <w:pPr>
        <w:tabs>
          <w:tab w:val="left" w:pos="3828"/>
        </w:tabs>
        <w:spacing w:before="240" w:line="360" w:lineRule="auto"/>
        <w:ind w:firstLine="709"/>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Si bien la Sala Instructora estuvo en lo correcto en el estudio de la competencia del Director de Responsabilidades y Situación Patrimonial,</w:t>
      </w:r>
      <w:r w:rsidRPr="00356F27">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 xml:space="preserve">de la Secretaría de la Contraloría y Transparencia Gubernamental,  para concluir que éste no tiene facultades para emitir el acuerdo de inicio de dieciséis de agosto de dos mil diecisiete, en el  procedimiento administrativo de responsabilidad disciplinaria en contra del hoy recurrente, que dio lugar a </w:t>
      </w:r>
      <w:r w:rsidRPr="00F31B10">
        <w:rPr>
          <w:rFonts w:ascii="Arial" w:eastAsiaTheme="minorHAnsi" w:hAnsi="Arial" w:cs="Arial"/>
          <w:sz w:val="26"/>
          <w:szCs w:val="26"/>
          <w:lang w:val="es-ES" w:eastAsia="en-US"/>
        </w:rPr>
        <w:t>declarar a su nulidad;</w:t>
      </w:r>
      <w:r>
        <w:rPr>
          <w:rFonts w:ascii="Arial" w:eastAsiaTheme="minorHAnsi" w:hAnsi="Arial" w:cs="Arial"/>
          <w:sz w:val="26"/>
          <w:szCs w:val="26"/>
          <w:lang w:val="es-ES" w:eastAsia="en-US"/>
        </w:rPr>
        <w:t xml:space="preserve"> el error de la Primera Instancia radica en la declaración de los efectos jurídicos de la nulidad decretada, pues en la conclusión arriba transcrita, la Instructora textualmente mencionó que ha sido criterio de la Corte, que si un acto o diligencia de la autoridad está viciado y resulta inconstitucional,</w:t>
      </w:r>
      <w:r w:rsidRPr="003D6508">
        <w:rPr>
          <w:rFonts w:ascii="Arial" w:eastAsiaTheme="minorHAnsi" w:hAnsi="Arial" w:cs="Arial"/>
          <w:sz w:val="26"/>
          <w:szCs w:val="26"/>
          <w:lang w:val="es-ES" w:eastAsia="en-US"/>
        </w:rPr>
        <w:t xml:space="preserve"> </w:t>
      </w:r>
      <w:r w:rsidRPr="003D6508">
        <w:rPr>
          <w:rFonts w:ascii="Arial" w:eastAsia="Times New Roman" w:hAnsi="Arial" w:cs="Arial"/>
          <w:color w:val="000000"/>
          <w:sz w:val="26"/>
          <w:szCs w:val="26"/>
        </w:rPr>
        <w:t>todos los actos derivados de él</w:t>
      </w:r>
      <w:r w:rsidR="00A252C7">
        <w:rPr>
          <w:rFonts w:ascii="Arial" w:eastAsia="Times New Roman" w:hAnsi="Arial" w:cs="Arial"/>
          <w:color w:val="000000"/>
          <w:sz w:val="26"/>
          <w:szCs w:val="26"/>
        </w:rPr>
        <w:t xml:space="preserve"> </w:t>
      </w:r>
      <w:r w:rsidRPr="003D6508">
        <w:rPr>
          <w:rFonts w:ascii="Arial" w:eastAsia="Times New Roman" w:hAnsi="Arial" w:cs="Arial"/>
          <w:color w:val="000000"/>
          <w:sz w:val="26"/>
          <w:szCs w:val="26"/>
        </w:rPr>
        <w:t>o que se apoyen en él, o que de alguna forma estén condicionados por él, resultan también inconstitucionales por su origen</w:t>
      </w:r>
      <w:r>
        <w:rPr>
          <w:rFonts w:ascii="Arial" w:eastAsiaTheme="minorHAnsi" w:hAnsi="Arial" w:cs="Arial"/>
          <w:sz w:val="26"/>
          <w:szCs w:val="26"/>
          <w:lang w:val="es-ES" w:eastAsia="en-US"/>
        </w:rPr>
        <w:t xml:space="preserve">; como en el presente caso, el acuerdo </w:t>
      </w:r>
      <w:r w:rsidR="00A252C7">
        <w:rPr>
          <w:rFonts w:ascii="Arial" w:eastAsiaTheme="minorHAnsi" w:hAnsi="Arial" w:cs="Arial"/>
          <w:sz w:val="26"/>
          <w:szCs w:val="26"/>
          <w:lang w:val="es-ES" w:eastAsia="en-US"/>
        </w:rPr>
        <w:t xml:space="preserve">de dieciséis de agosto de dos mil diecisiete, </w:t>
      </w:r>
      <w:r>
        <w:rPr>
          <w:rFonts w:ascii="Arial" w:eastAsiaTheme="minorHAnsi" w:hAnsi="Arial" w:cs="Arial"/>
          <w:sz w:val="26"/>
          <w:szCs w:val="26"/>
          <w:lang w:val="es-ES" w:eastAsia="en-US"/>
        </w:rPr>
        <w:t xml:space="preserve">que originó el procedimiento de responsabilidad disciplinaria, formulado por el Director de </w:t>
      </w:r>
      <w:r w:rsidRPr="000B0D60">
        <w:rPr>
          <w:rFonts w:ascii="Arial" w:eastAsiaTheme="minorHAnsi" w:hAnsi="Arial" w:cs="Arial"/>
          <w:sz w:val="26"/>
          <w:szCs w:val="26"/>
          <w:lang w:val="es-ES" w:eastAsia="en-US"/>
        </w:rPr>
        <w:t>Responsabilidades y Situación Patrimonial de la Secretaría de la Contraloría y Transparencia Gubernamental</w:t>
      </w:r>
      <w:r w:rsidR="00A252C7">
        <w:rPr>
          <w:rFonts w:ascii="Arial" w:eastAsiaTheme="minorHAnsi" w:hAnsi="Arial" w:cs="Arial"/>
          <w:sz w:val="26"/>
          <w:szCs w:val="26"/>
          <w:lang w:val="es-ES" w:eastAsia="en-US"/>
        </w:rPr>
        <w:t>;</w:t>
      </w:r>
      <w:r>
        <w:rPr>
          <w:rFonts w:ascii="Arial" w:eastAsiaTheme="minorHAnsi" w:hAnsi="Arial" w:cs="Arial"/>
          <w:sz w:val="26"/>
          <w:szCs w:val="26"/>
          <w:lang w:val="es-ES" w:eastAsia="en-US"/>
        </w:rPr>
        <w:t xml:space="preserve"> fue declarado nulo por haberlo emitido éste sin tener competencia para dictarlo, lo que se traduce como </w:t>
      </w:r>
      <w:r w:rsidR="00A252C7">
        <w:rPr>
          <w:rFonts w:ascii="Arial" w:eastAsiaTheme="minorHAnsi" w:hAnsi="Arial" w:cs="Arial"/>
          <w:sz w:val="26"/>
          <w:szCs w:val="26"/>
          <w:lang w:val="es-ES" w:eastAsia="en-US"/>
        </w:rPr>
        <w:t xml:space="preserve">un </w:t>
      </w:r>
      <w:r>
        <w:rPr>
          <w:rFonts w:ascii="Arial" w:eastAsiaTheme="minorHAnsi" w:hAnsi="Arial" w:cs="Arial"/>
          <w:sz w:val="26"/>
          <w:szCs w:val="26"/>
          <w:lang w:val="es-ES" w:eastAsia="en-US"/>
        </w:rPr>
        <w:t>vicio ostensible y particularmente grave, detectado mediante el estudio del fondo del juicio de nulidad; por tanto, el acto de autoridad impugnado,</w:t>
      </w:r>
      <w:r w:rsidRPr="00493EC6">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al ser ilegal de origen</w:t>
      </w:r>
      <w:r w:rsidR="00A252C7">
        <w:rPr>
          <w:rFonts w:ascii="Arial" w:eastAsiaTheme="minorHAnsi" w:hAnsi="Arial" w:cs="Arial"/>
          <w:sz w:val="26"/>
          <w:szCs w:val="26"/>
          <w:lang w:val="es-ES" w:eastAsia="en-US"/>
        </w:rPr>
        <w:t>,</w:t>
      </w:r>
      <w:r>
        <w:rPr>
          <w:rFonts w:ascii="Arial" w:eastAsiaTheme="minorHAnsi" w:hAnsi="Arial" w:cs="Arial"/>
          <w:sz w:val="26"/>
          <w:szCs w:val="26"/>
          <w:lang w:val="es-ES" w:eastAsia="en-US"/>
        </w:rPr>
        <w:t xml:space="preserve"> debido a la incompetencia del servidor público que lo emitió, carece de efectos jurídicos; por ende, </w:t>
      </w:r>
      <w:r>
        <w:rPr>
          <w:rFonts w:ascii="Arial" w:eastAsia="Times New Roman" w:hAnsi="Arial" w:cs="Arial"/>
          <w:color w:val="000000"/>
          <w:sz w:val="26"/>
          <w:szCs w:val="26"/>
        </w:rPr>
        <w:t xml:space="preserve">la declaración de nulidad decretada en la sentencia recurrida debió ser </w:t>
      </w:r>
      <w:r>
        <w:rPr>
          <w:rFonts w:ascii="Arial" w:eastAsiaTheme="minorHAnsi" w:hAnsi="Arial" w:cs="Arial"/>
          <w:sz w:val="26"/>
          <w:szCs w:val="26"/>
          <w:lang w:val="es-ES" w:eastAsia="en-US"/>
        </w:rPr>
        <w:t xml:space="preserve">lisa y llana y no para los efectos que indebidamente ordenó la Instructora, </w:t>
      </w:r>
      <w:r w:rsidR="00C308AA">
        <w:rPr>
          <w:rFonts w:ascii="Arial" w:eastAsiaTheme="minorHAnsi" w:hAnsi="Arial" w:cs="Arial"/>
          <w:sz w:val="26"/>
          <w:szCs w:val="26"/>
          <w:lang w:val="es-ES" w:eastAsia="en-US"/>
        </w:rPr>
        <w:t xml:space="preserve">ya que, </w:t>
      </w:r>
      <w:r w:rsidR="00A252C7">
        <w:rPr>
          <w:rFonts w:ascii="Arial" w:eastAsiaTheme="minorHAnsi" w:hAnsi="Arial" w:cs="Arial"/>
          <w:sz w:val="26"/>
          <w:szCs w:val="26"/>
          <w:lang w:val="es-ES" w:eastAsia="en-US"/>
        </w:rPr>
        <w:t xml:space="preserve">de </w:t>
      </w:r>
      <w:r>
        <w:rPr>
          <w:rFonts w:ascii="Arial" w:eastAsiaTheme="minorHAnsi" w:hAnsi="Arial" w:cs="Arial"/>
          <w:sz w:val="26"/>
          <w:szCs w:val="26"/>
          <w:lang w:val="es-ES" w:eastAsia="en-US"/>
        </w:rPr>
        <w:t xml:space="preserve">permitir a la autoridad demandada que componga la ilegalidad de su acto en la forma como lo resolvió, no </w:t>
      </w:r>
      <w:r w:rsidR="00C308AA">
        <w:rPr>
          <w:rFonts w:ascii="Arial" w:eastAsiaTheme="minorHAnsi" w:hAnsi="Arial" w:cs="Arial"/>
          <w:sz w:val="26"/>
          <w:szCs w:val="26"/>
          <w:lang w:val="es-ES" w:eastAsia="en-US"/>
        </w:rPr>
        <w:t xml:space="preserve">sería </w:t>
      </w:r>
      <w:r>
        <w:rPr>
          <w:rFonts w:ascii="Arial" w:eastAsiaTheme="minorHAnsi" w:hAnsi="Arial" w:cs="Arial"/>
          <w:sz w:val="26"/>
          <w:szCs w:val="26"/>
          <w:lang w:val="es-ES" w:eastAsia="en-US"/>
        </w:rPr>
        <w:t xml:space="preserve">congruente con </w:t>
      </w:r>
      <w:r w:rsidR="00C308AA">
        <w:rPr>
          <w:rFonts w:ascii="Arial" w:eastAsiaTheme="minorHAnsi" w:hAnsi="Arial" w:cs="Arial"/>
          <w:sz w:val="26"/>
          <w:szCs w:val="26"/>
          <w:lang w:val="es-ES" w:eastAsia="en-US"/>
        </w:rPr>
        <w:t xml:space="preserve">el </w:t>
      </w:r>
      <w:r>
        <w:rPr>
          <w:rFonts w:ascii="Arial" w:eastAsiaTheme="minorHAnsi" w:hAnsi="Arial" w:cs="Arial"/>
          <w:sz w:val="26"/>
          <w:szCs w:val="26"/>
          <w:lang w:val="es-ES" w:eastAsia="en-US"/>
        </w:rPr>
        <w:t>análisis de fondo que la llevó a concluir la nulidad del acto de autoridad al resolver el juicio de nulidad.</w:t>
      </w:r>
      <w:r w:rsidR="00ED2080" w:rsidRPr="00ED2080">
        <w:rPr>
          <w:rFonts w:ascii="Arial" w:eastAsia="Times New Roman" w:hAnsi="Arial" w:cs="Arial"/>
          <w:color w:val="000000"/>
          <w:sz w:val="26"/>
          <w:szCs w:val="26"/>
        </w:rPr>
        <w:t xml:space="preserve"> </w:t>
      </w:r>
      <w:r w:rsidR="00ED2080">
        <w:rPr>
          <w:rFonts w:ascii="Arial" w:eastAsia="Times New Roman" w:hAnsi="Arial" w:cs="Arial"/>
          <w:color w:val="000000"/>
          <w:sz w:val="26"/>
          <w:szCs w:val="26"/>
        </w:rPr>
        <w:t xml:space="preserve">- - - - - - - - - - - - - - - - - - - - - - - - - - - - - - - - - - - - - - - - - - - - - - </w:t>
      </w:r>
    </w:p>
    <w:p w14:paraId="10A6ED93" w14:textId="7BD6A652" w:rsidR="00ED58A7" w:rsidRDefault="00ED58A7" w:rsidP="00ED58A7">
      <w:pPr>
        <w:tabs>
          <w:tab w:val="left" w:pos="3828"/>
        </w:tabs>
        <w:spacing w:before="240" w:line="360" w:lineRule="auto"/>
        <w:ind w:firstLine="709"/>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lastRenderedPageBreak/>
        <w:t xml:space="preserve">Por lo anterior, se advierte que la Sala Instructora no cumplió su obligación de analizar el concepto de impugnación hecho valer por la parte actora para concederle la protección más amplia contra la autoridad demandada, y que, por dicha omisión de estudio, trasgredió los principios de congruencia, exhaustividad, completitud y de mayor beneficio en favor del hoy recurrente, protegidos por el artículo 17 de la Constitución Política de los Estados Unidos Mexicanos, dejándolo además, en estado de indefensión por no permitirle el acceso efectivo a la justicia. De ahí lo </w:t>
      </w:r>
      <w:r w:rsidR="00C308AA" w:rsidRPr="00DF1345">
        <w:rPr>
          <w:rFonts w:ascii="Arial" w:eastAsiaTheme="minorHAnsi" w:hAnsi="Arial" w:cs="Arial"/>
          <w:b/>
          <w:sz w:val="26"/>
          <w:szCs w:val="26"/>
          <w:lang w:val="es-ES" w:eastAsia="en-US"/>
        </w:rPr>
        <w:t>fundado</w:t>
      </w:r>
      <w:r>
        <w:rPr>
          <w:rFonts w:ascii="Arial" w:eastAsiaTheme="minorHAnsi" w:hAnsi="Arial" w:cs="Arial"/>
          <w:sz w:val="26"/>
          <w:szCs w:val="26"/>
          <w:lang w:val="es-ES" w:eastAsia="en-US"/>
        </w:rPr>
        <w:t xml:space="preserve"> del agravio expuesto.</w:t>
      </w:r>
      <w:r w:rsidR="008E2A3F">
        <w:rPr>
          <w:rFonts w:ascii="Arial" w:eastAsiaTheme="minorHAnsi" w:hAnsi="Arial" w:cs="Arial"/>
          <w:sz w:val="26"/>
          <w:szCs w:val="26"/>
          <w:lang w:val="es-ES" w:eastAsia="en-US"/>
        </w:rPr>
        <w:t xml:space="preserve"> </w:t>
      </w:r>
      <w:r w:rsidR="008E2A3F">
        <w:rPr>
          <w:rFonts w:ascii="Arial" w:eastAsia="Times New Roman" w:hAnsi="Arial" w:cs="Arial"/>
          <w:color w:val="000000"/>
          <w:sz w:val="26"/>
          <w:szCs w:val="26"/>
        </w:rPr>
        <w:t xml:space="preserve">- - - - - - - - - - - - - - - </w:t>
      </w:r>
    </w:p>
    <w:p w14:paraId="6EF4EC9A" w14:textId="597D9405" w:rsidR="00ED58A7" w:rsidRDefault="00ED58A7" w:rsidP="00ED58A7">
      <w:pPr>
        <w:tabs>
          <w:tab w:val="left" w:pos="3828"/>
        </w:tabs>
        <w:spacing w:before="240" w:line="360" w:lineRule="auto"/>
        <w:ind w:firstLine="709"/>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 xml:space="preserve"> Resulta aplicable al caso, la jurisprudencia en materia administrativa número XVI.1o.A.T. J/9, con número de registro digital 166717, de la Novena Época, emitida por los Tribunales Colegiados de Circuito, publicada en el Semanario Judicial de la Federación y su Gaceta, en el Tomo XXX, de Agosto de 2009, visible a página 1275, de rubro y texto siguientes:</w:t>
      </w:r>
      <w:r w:rsidR="00BE37C5">
        <w:rPr>
          <w:rFonts w:ascii="Arial" w:eastAsiaTheme="minorHAnsi" w:hAnsi="Arial" w:cs="Arial"/>
          <w:sz w:val="26"/>
          <w:szCs w:val="26"/>
          <w:lang w:val="es-ES" w:eastAsia="en-US"/>
        </w:rPr>
        <w:t xml:space="preserve"> </w:t>
      </w:r>
      <w:r w:rsidR="00BE37C5">
        <w:rPr>
          <w:rFonts w:ascii="Arial" w:eastAsia="Times New Roman" w:hAnsi="Arial" w:cs="Arial"/>
          <w:color w:val="000000"/>
          <w:sz w:val="26"/>
          <w:szCs w:val="26"/>
        </w:rPr>
        <w:t xml:space="preserve">- - - - - - - - - - - - - - - - - - - - - - - - - - - - - - - - - - -  </w:t>
      </w:r>
    </w:p>
    <w:p w14:paraId="4525C5BC" w14:textId="40153041" w:rsidR="00ED58A7" w:rsidRPr="00B47492" w:rsidRDefault="00ED58A7" w:rsidP="00ED58A7">
      <w:pPr>
        <w:pStyle w:val="NormalWeb"/>
        <w:shd w:val="clear" w:color="auto" w:fill="FFFFFF"/>
        <w:ind w:left="567" w:right="616"/>
        <w:jc w:val="both"/>
        <w:rPr>
          <w:rFonts w:ascii="Arial" w:eastAsiaTheme="minorHAnsi" w:hAnsi="Arial" w:cs="Arial"/>
          <w:i/>
          <w:iCs/>
          <w:lang w:val="es-ES" w:eastAsia="en-US"/>
        </w:rPr>
      </w:pPr>
      <w:r w:rsidRPr="00B47492">
        <w:rPr>
          <w:rFonts w:ascii="Arial" w:hAnsi="Arial" w:cs="Arial"/>
          <w:b/>
          <w:bCs/>
          <w:i/>
          <w:iCs/>
        </w:rPr>
        <w:t xml:space="preserve">“CONCEPTOS DE ANULACIÓN EN EL JUICIO CONTENCIOSO ADMINISTRATIVO. ES PREFERENTE EL ESTUDIO DE AQUELLOS QUE CONDUZCAN A DECLARAR LA NULIDAD LISA Y LLANA DEL ACTO IMPUGNADO POR REPRESENTAR UN MAYOR BENEFICIO PARA EL ACTOR (LEGISLACIÓN DEL ESTADO DE GUANAJUATO). </w:t>
      </w:r>
      <w:r w:rsidRPr="00B47492">
        <w:rPr>
          <w:rFonts w:ascii="Arial" w:hAnsi="Arial" w:cs="Arial"/>
          <w:i/>
          <w:iCs/>
        </w:rPr>
        <w:t>El artículo </w:t>
      </w:r>
      <w:hyperlink r:id="rId9" w:history="1">
        <w:r w:rsidRPr="00B47492">
          <w:rPr>
            <w:rStyle w:val="Hipervnculo"/>
            <w:rFonts w:ascii="Arial" w:hAnsi="Arial" w:cs="Arial"/>
            <w:bCs/>
            <w:i/>
            <w:iCs/>
            <w:color w:val="auto"/>
            <w:u w:val="none"/>
          </w:rPr>
          <w:t>17 constitucional</w:t>
        </w:r>
      </w:hyperlink>
      <w:r w:rsidRPr="00B47492">
        <w:rPr>
          <w:rFonts w:ascii="Arial" w:hAnsi="Arial" w:cs="Arial"/>
          <w:i/>
          <w:iCs/>
        </w:rPr>
        <w:t>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10" w:history="1">
        <w:r w:rsidRPr="00B47492">
          <w:rPr>
            <w:rStyle w:val="Hipervnculo"/>
            <w:rFonts w:ascii="Arial" w:hAnsi="Arial" w:cs="Arial"/>
            <w:bCs/>
            <w:i/>
            <w:iCs/>
            <w:color w:val="auto"/>
            <w:u w:val="none"/>
          </w:rPr>
          <w:t>87 y 89, fracción I, de la Ley de Justicia Administrativa del Estado de Guanajuato</w:t>
        </w:r>
      </w:hyperlink>
      <w:r w:rsidRPr="00B47492">
        <w:rPr>
          <w:rFonts w:ascii="Arial" w:hAnsi="Arial" w:cs="Arial"/>
          <w:i/>
          <w:iCs/>
        </w:rPr>
        <w:t>,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r w:rsidR="00B47492">
        <w:rPr>
          <w:rFonts w:ascii="Arial" w:hAnsi="Arial" w:cs="Arial"/>
          <w:i/>
          <w:iCs/>
        </w:rPr>
        <w:t xml:space="preserve"> </w:t>
      </w:r>
      <w:r w:rsidR="00B47492">
        <w:rPr>
          <w:rFonts w:ascii="Arial" w:hAnsi="Arial" w:cs="Arial"/>
          <w:color w:val="000000"/>
          <w:sz w:val="26"/>
          <w:szCs w:val="26"/>
        </w:rPr>
        <w:t xml:space="preserve">- - - - - - - - - - - - - - - - - - - - - - - - - - - - - - - - - - - - - - </w:t>
      </w:r>
    </w:p>
    <w:p w14:paraId="551F8574" w14:textId="2D639A61" w:rsidR="00ED58A7" w:rsidRDefault="00ED58A7" w:rsidP="00ED58A7">
      <w:pPr>
        <w:tabs>
          <w:tab w:val="left" w:pos="3828"/>
        </w:tabs>
        <w:spacing w:line="360" w:lineRule="auto"/>
        <w:ind w:firstLine="709"/>
        <w:jc w:val="both"/>
        <w:rPr>
          <w:rFonts w:ascii="Arial" w:eastAsiaTheme="minorHAnsi" w:hAnsi="Arial" w:cs="Arial"/>
          <w:sz w:val="24"/>
          <w:szCs w:val="24"/>
          <w:lang w:val="es-ES" w:eastAsia="en-US"/>
        </w:rPr>
      </w:pPr>
      <w:r>
        <w:rPr>
          <w:rFonts w:ascii="Arial" w:eastAsiaTheme="minorHAnsi" w:hAnsi="Arial" w:cs="Arial"/>
          <w:sz w:val="26"/>
          <w:szCs w:val="26"/>
          <w:lang w:val="es-ES" w:eastAsia="en-US"/>
        </w:rPr>
        <w:t>Así como</w:t>
      </w:r>
      <w:r w:rsidRPr="006C2864">
        <w:rPr>
          <w:rFonts w:ascii="Arial" w:eastAsiaTheme="minorHAnsi" w:hAnsi="Arial" w:cs="Arial"/>
          <w:sz w:val="26"/>
          <w:szCs w:val="26"/>
          <w:lang w:val="es-ES" w:eastAsia="en-US"/>
        </w:rPr>
        <w:t xml:space="preserve"> la jurisprudencia </w:t>
      </w:r>
      <w:r>
        <w:rPr>
          <w:rFonts w:ascii="Arial" w:eastAsiaTheme="minorHAnsi" w:hAnsi="Arial" w:cs="Arial"/>
          <w:sz w:val="26"/>
          <w:szCs w:val="26"/>
          <w:lang w:val="es-ES" w:eastAsia="en-US"/>
        </w:rPr>
        <w:t xml:space="preserve">en materia administrativa, número I.7o.A. J/31, con número de registro digital 176913, de la Novena Época, emitida por los Tribunales Colegiados de Circuito, </w:t>
      </w:r>
      <w:r w:rsidRPr="006C2864">
        <w:rPr>
          <w:rFonts w:ascii="Arial" w:eastAsiaTheme="minorHAnsi" w:hAnsi="Arial" w:cs="Arial"/>
          <w:sz w:val="26"/>
          <w:szCs w:val="26"/>
          <w:lang w:val="es-ES" w:eastAsia="en-US"/>
        </w:rPr>
        <w:t xml:space="preserve">publicada en </w:t>
      </w:r>
      <w:r>
        <w:rPr>
          <w:rFonts w:ascii="Arial" w:eastAsiaTheme="minorHAnsi" w:hAnsi="Arial" w:cs="Arial"/>
          <w:sz w:val="26"/>
          <w:szCs w:val="26"/>
          <w:lang w:val="es-ES" w:eastAsia="en-US"/>
        </w:rPr>
        <w:t xml:space="preserve">el </w:t>
      </w:r>
      <w:r>
        <w:rPr>
          <w:rFonts w:ascii="Arial" w:eastAsiaTheme="minorHAnsi" w:hAnsi="Arial" w:cs="Arial"/>
          <w:sz w:val="26"/>
          <w:szCs w:val="26"/>
          <w:lang w:val="es-ES" w:eastAsia="en-US"/>
        </w:rPr>
        <w:lastRenderedPageBreak/>
        <w:t>Semanario Judicial de la Federación y su  Gaceta</w:t>
      </w:r>
      <w:r w:rsidRPr="006C2864">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en el Tomo XXII, de Octubre de 2005, visible a página 2212,</w:t>
      </w:r>
      <w:r w:rsidRPr="006C2864">
        <w:rPr>
          <w:rFonts w:ascii="Arial" w:eastAsiaTheme="minorHAnsi" w:hAnsi="Arial" w:cs="Arial"/>
          <w:sz w:val="26"/>
          <w:szCs w:val="26"/>
          <w:lang w:val="es-ES" w:eastAsia="en-US"/>
        </w:rPr>
        <w:t xml:space="preserve"> de rubro y texto siguiente</w:t>
      </w:r>
      <w:r>
        <w:rPr>
          <w:rFonts w:ascii="Arial" w:eastAsiaTheme="minorHAnsi" w:hAnsi="Arial" w:cs="Arial"/>
          <w:sz w:val="26"/>
          <w:szCs w:val="26"/>
          <w:lang w:val="es-ES" w:eastAsia="en-US"/>
        </w:rPr>
        <w:t>s</w:t>
      </w:r>
      <w:r w:rsidRPr="006C2864">
        <w:rPr>
          <w:rFonts w:ascii="Arial" w:eastAsiaTheme="minorHAnsi" w:hAnsi="Arial" w:cs="Arial"/>
          <w:sz w:val="26"/>
          <w:szCs w:val="26"/>
          <w:lang w:val="es-ES" w:eastAsia="en-US"/>
        </w:rPr>
        <w:t>:</w:t>
      </w:r>
      <w:r w:rsidRPr="00AA4698">
        <w:rPr>
          <w:rFonts w:ascii="Arial" w:eastAsiaTheme="minorHAnsi" w:hAnsi="Arial" w:cs="Arial"/>
          <w:sz w:val="24"/>
          <w:szCs w:val="24"/>
          <w:lang w:val="es-ES" w:eastAsia="en-US"/>
        </w:rPr>
        <w:t xml:space="preserve"> </w:t>
      </w:r>
      <w:r w:rsidR="00275B5A">
        <w:rPr>
          <w:rFonts w:ascii="Arial" w:eastAsiaTheme="minorHAnsi" w:hAnsi="Arial" w:cs="Arial"/>
          <w:sz w:val="24"/>
          <w:szCs w:val="24"/>
          <w:lang w:val="es-ES" w:eastAsia="en-US"/>
        </w:rPr>
        <w:t xml:space="preserve">- - - </w:t>
      </w:r>
    </w:p>
    <w:p w14:paraId="354F89E9" w14:textId="6ACE109A" w:rsidR="00ED58A7" w:rsidRPr="000B5B19" w:rsidRDefault="00ED58A7" w:rsidP="00ED58A7">
      <w:pPr>
        <w:pStyle w:val="NormalWeb"/>
        <w:shd w:val="clear" w:color="auto" w:fill="FFFFFF"/>
        <w:ind w:left="567" w:right="616"/>
        <w:jc w:val="both"/>
        <w:rPr>
          <w:rFonts w:ascii="Arial" w:hAnsi="Arial" w:cs="Arial"/>
          <w:i/>
          <w:iCs/>
        </w:rPr>
      </w:pPr>
      <w:r w:rsidRPr="000B5B19">
        <w:rPr>
          <w:rFonts w:ascii="Arial" w:hAnsi="Arial" w:cs="Arial"/>
          <w:b/>
          <w:bCs/>
          <w:i/>
          <w:iCs/>
        </w:rPr>
        <w:t xml:space="preserve">“NULIDAD. REGLAS PARA SU DETERMINACIÓN EN EL JUICIO CONTENCIOSO ADMINISTRATIVO EN EL DISTRITO FEDERAL. </w:t>
      </w:r>
      <w:r w:rsidRPr="000B5B19">
        <w:rPr>
          <w:rFonts w:ascii="Arial" w:hAnsi="Arial" w:cs="Arial"/>
          <w:i/>
          <w:iCs/>
        </w:rPr>
        <w:t>Los artículos </w:t>
      </w:r>
      <w:hyperlink r:id="rId11" w:history="1">
        <w:r w:rsidRPr="000B5B19">
          <w:rPr>
            <w:rStyle w:val="Hipervnculo"/>
            <w:rFonts w:ascii="Arial" w:hAnsi="Arial" w:cs="Arial"/>
            <w:bCs/>
            <w:i/>
            <w:iCs/>
            <w:color w:val="auto"/>
            <w:u w:val="none"/>
          </w:rPr>
          <w:t>80 a 82 de la Ley del Tribunal de lo Contencioso Administrativo del Distrito Federal</w:t>
        </w:r>
      </w:hyperlink>
      <w:r w:rsidRPr="000B5B19">
        <w:rPr>
          <w:rFonts w:ascii="Arial" w:hAnsi="Arial" w:cs="Arial"/>
          <w:i/>
          <w:iCs/>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w:t>
      </w:r>
      <w:r w:rsidRPr="000B5B19">
        <w:rPr>
          <w:rFonts w:ascii="Arial" w:hAnsi="Arial" w:cs="Arial"/>
          <w:i/>
          <w:iCs/>
          <w:u w:val="single"/>
        </w:rPr>
        <w:t xml:space="preserve">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w:t>
      </w:r>
      <w:r w:rsidRPr="000B5B19">
        <w:rPr>
          <w:rFonts w:ascii="Arial" w:hAnsi="Arial" w:cs="Arial"/>
          <w:i/>
          <w:iCs/>
        </w:rPr>
        <w:t>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 (Lo subrayado es propio)</w:t>
      </w:r>
      <w:r w:rsidR="000B5B19">
        <w:rPr>
          <w:rFonts w:ascii="Arial" w:hAnsi="Arial" w:cs="Arial"/>
          <w:i/>
          <w:iCs/>
        </w:rPr>
        <w:t xml:space="preserve">. </w:t>
      </w:r>
      <w:r w:rsidR="000B5B19">
        <w:rPr>
          <w:rFonts w:ascii="Arial" w:hAnsi="Arial" w:cs="Arial"/>
          <w:color w:val="000000"/>
          <w:sz w:val="26"/>
          <w:szCs w:val="26"/>
        </w:rPr>
        <w:t xml:space="preserve">- - - - - - - - - - - - - - - - - - - - - - - - - - - </w:t>
      </w:r>
    </w:p>
    <w:p w14:paraId="476A7028" w14:textId="04111D4E" w:rsidR="00ED58A7" w:rsidRDefault="00C308AA" w:rsidP="00ED58A7">
      <w:pPr>
        <w:tabs>
          <w:tab w:val="left" w:pos="3828"/>
        </w:tabs>
        <w:spacing w:line="360" w:lineRule="auto"/>
        <w:ind w:firstLine="709"/>
        <w:jc w:val="both"/>
        <w:rPr>
          <w:rFonts w:ascii="Arial" w:hAnsi="Arial" w:cs="Arial"/>
          <w:sz w:val="26"/>
          <w:szCs w:val="26"/>
        </w:rPr>
      </w:pPr>
      <w:r>
        <w:rPr>
          <w:rFonts w:ascii="Arial" w:eastAsiaTheme="minorHAnsi" w:hAnsi="Arial" w:cs="Arial"/>
          <w:b/>
          <w:sz w:val="26"/>
          <w:szCs w:val="26"/>
          <w:lang w:val="es-ES" w:eastAsia="en-US"/>
        </w:rPr>
        <w:t>SEX</w:t>
      </w:r>
      <w:r w:rsidR="00ED58A7">
        <w:rPr>
          <w:rFonts w:ascii="Arial" w:eastAsiaTheme="minorHAnsi" w:hAnsi="Arial" w:cs="Arial"/>
          <w:b/>
          <w:sz w:val="26"/>
          <w:szCs w:val="26"/>
          <w:lang w:val="es-ES" w:eastAsia="en-US"/>
        </w:rPr>
        <w:t xml:space="preserve">TO. </w:t>
      </w:r>
      <w:r w:rsidR="00ED58A7">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Tomando en consideración que debe ser reparado el agravio expuesto, irrogado por la Primera Instancia;</w:t>
      </w:r>
      <w:r w:rsidR="00ED58A7">
        <w:rPr>
          <w:rFonts w:ascii="Arial" w:eastAsiaTheme="minorHAnsi" w:hAnsi="Arial" w:cs="Arial"/>
          <w:sz w:val="26"/>
          <w:szCs w:val="26"/>
          <w:lang w:val="es-ES" w:eastAsia="en-US"/>
        </w:rPr>
        <w:t xml:space="preserve"> no obstante que </w:t>
      </w:r>
      <w:r>
        <w:rPr>
          <w:rFonts w:ascii="Arial" w:eastAsiaTheme="minorHAnsi" w:hAnsi="Arial" w:cs="Arial"/>
          <w:sz w:val="26"/>
          <w:szCs w:val="26"/>
          <w:lang w:val="es-ES" w:eastAsia="en-US"/>
        </w:rPr>
        <w:t>ya se</w:t>
      </w:r>
      <w:r w:rsidR="00ED58A7" w:rsidRPr="00AA4698">
        <w:rPr>
          <w:rFonts w:ascii="Arial" w:eastAsiaTheme="minorHAnsi" w:hAnsi="Arial" w:cs="Arial"/>
          <w:sz w:val="26"/>
          <w:szCs w:val="26"/>
          <w:lang w:val="es-ES" w:eastAsia="en-US"/>
        </w:rPr>
        <w:t xml:space="preserve"> pronunció respecto al fondo del asunto en </w:t>
      </w:r>
      <w:r w:rsidR="00ED58A7" w:rsidRPr="00315E55">
        <w:rPr>
          <w:rFonts w:ascii="Arial" w:eastAsiaTheme="minorHAnsi" w:hAnsi="Arial" w:cs="Arial"/>
          <w:b/>
          <w:bCs/>
          <w:sz w:val="26"/>
          <w:szCs w:val="26"/>
          <w:lang w:val="es-ES" w:eastAsia="en-US"/>
        </w:rPr>
        <w:t xml:space="preserve">los términos en que lo hizo; </w:t>
      </w:r>
      <w:r w:rsidRPr="00315E55">
        <w:rPr>
          <w:rFonts w:ascii="Arial" w:eastAsiaTheme="minorHAnsi" w:hAnsi="Arial" w:cs="Arial"/>
          <w:b/>
          <w:bCs/>
          <w:sz w:val="26"/>
          <w:szCs w:val="26"/>
          <w:lang w:val="es-ES" w:eastAsia="en-US"/>
        </w:rPr>
        <w:t>en consecuencia</w:t>
      </w:r>
      <w:r>
        <w:rPr>
          <w:rFonts w:ascii="Arial" w:eastAsiaTheme="minorHAnsi" w:hAnsi="Arial" w:cs="Arial"/>
          <w:sz w:val="26"/>
          <w:szCs w:val="26"/>
          <w:lang w:val="es-ES" w:eastAsia="en-US"/>
        </w:rPr>
        <w:t xml:space="preserve">, </w:t>
      </w:r>
      <w:r w:rsidR="00ED58A7">
        <w:rPr>
          <w:rFonts w:ascii="Arial" w:eastAsiaTheme="minorHAnsi" w:hAnsi="Arial" w:cs="Arial"/>
          <w:sz w:val="26"/>
          <w:szCs w:val="26"/>
          <w:lang w:val="es-ES" w:eastAsia="en-US"/>
        </w:rPr>
        <w:t xml:space="preserve">esta </w:t>
      </w:r>
      <w:r w:rsidR="00ED58A7" w:rsidRPr="00773C9E">
        <w:rPr>
          <w:rFonts w:ascii="Arial" w:eastAsiaTheme="minorHAnsi" w:hAnsi="Arial" w:cs="Arial"/>
          <w:sz w:val="26"/>
          <w:szCs w:val="26"/>
          <w:lang w:val="es-ES" w:eastAsia="en-US"/>
        </w:rPr>
        <w:t>S</w:t>
      </w:r>
      <w:r w:rsidR="00ED58A7" w:rsidRPr="00AA4698">
        <w:rPr>
          <w:rFonts w:ascii="Arial" w:eastAsiaTheme="minorHAnsi" w:hAnsi="Arial" w:cs="Arial"/>
          <w:sz w:val="26"/>
          <w:szCs w:val="26"/>
          <w:lang w:val="es-ES" w:eastAsia="en-US"/>
        </w:rPr>
        <w:t xml:space="preserve">ala </w:t>
      </w:r>
      <w:r w:rsidR="00ED58A7" w:rsidRPr="00773C9E">
        <w:rPr>
          <w:rFonts w:ascii="Arial" w:eastAsiaTheme="minorHAnsi" w:hAnsi="Arial" w:cs="Arial"/>
          <w:sz w:val="26"/>
          <w:szCs w:val="26"/>
          <w:lang w:val="es-ES" w:eastAsia="en-US"/>
        </w:rPr>
        <w:t>S</w:t>
      </w:r>
      <w:r w:rsidR="00ED58A7" w:rsidRPr="00AA4698">
        <w:rPr>
          <w:rFonts w:ascii="Arial" w:eastAsiaTheme="minorHAnsi" w:hAnsi="Arial" w:cs="Arial"/>
          <w:sz w:val="26"/>
          <w:szCs w:val="26"/>
          <w:lang w:val="es-ES" w:eastAsia="en-US"/>
        </w:rPr>
        <w:t xml:space="preserve">uperior </w:t>
      </w:r>
      <w:r w:rsidR="00ED58A7" w:rsidRPr="00AA4698">
        <w:rPr>
          <w:rFonts w:ascii="Arial" w:eastAsiaTheme="minorHAnsi" w:hAnsi="Arial" w:cs="Arial"/>
          <w:b/>
          <w:sz w:val="26"/>
          <w:szCs w:val="26"/>
          <w:lang w:val="es-ES" w:eastAsia="en-US"/>
        </w:rPr>
        <w:t>REASUM</w:t>
      </w:r>
      <w:r>
        <w:rPr>
          <w:rFonts w:ascii="Arial" w:eastAsiaTheme="minorHAnsi" w:hAnsi="Arial" w:cs="Arial"/>
          <w:b/>
          <w:sz w:val="26"/>
          <w:szCs w:val="26"/>
          <w:lang w:val="es-ES" w:eastAsia="en-US"/>
        </w:rPr>
        <w:t>E</w:t>
      </w:r>
      <w:r w:rsidR="00ED58A7" w:rsidRPr="00AA4698">
        <w:rPr>
          <w:rFonts w:ascii="Arial" w:eastAsiaTheme="minorHAnsi" w:hAnsi="Arial" w:cs="Arial"/>
          <w:b/>
          <w:sz w:val="26"/>
          <w:szCs w:val="26"/>
          <w:lang w:val="es-ES" w:eastAsia="en-US"/>
        </w:rPr>
        <w:t xml:space="preserve"> JURISDICCIÓN</w:t>
      </w:r>
      <w:r w:rsidR="00ED58A7" w:rsidRPr="00AA4698">
        <w:rPr>
          <w:rFonts w:ascii="Arial" w:eastAsiaTheme="minorHAnsi" w:hAnsi="Arial" w:cs="Arial"/>
          <w:sz w:val="26"/>
          <w:szCs w:val="26"/>
          <w:lang w:val="es-ES" w:eastAsia="en-US"/>
        </w:rPr>
        <w:t xml:space="preserve">, </w:t>
      </w:r>
      <w:r w:rsidR="00ED58A7" w:rsidRPr="00FE1F9D">
        <w:rPr>
          <w:rFonts w:ascii="Arial" w:eastAsiaTheme="minorHAnsi" w:hAnsi="Arial" w:cs="Arial"/>
          <w:sz w:val="26"/>
          <w:szCs w:val="26"/>
          <w:u w:val="single"/>
          <w:lang w:val="es-ES" w:eastAsia="en-US"/>
        </w:rPr>
        <w:t xml:space="preserve">para pronunciarse únicamente </w:t>
      </w:r>
      <w:r w:rsidRPr="00FE1F9D">
        <w:rPr>
          <w:rFonts w:ascii="Arial" w:eastAsiaTheme="minorHAnsi" w:hAnsi="Arial" w:cs="Arial"/>
          <w:sz w:val="26"/>
          <w:szCs w:val="26"/>
          <w:u w:val="single"/>
          <w:lang w:val="es-ES" w:eastAsia="en-US"/>
        </w:rPr>
        <w:t xml:space="preserve">con relación a </w:t>
      </w:r>
      <w:r w:rsidR="00ED58A7" w:rsidRPr="00FE1F9D">
        <w:rPr>
          <w:rFonts w:ascii="Arial" w:eastAsiaTheme="minorHAnsi" w:hAnsi="Arial" w:cs="Arial"/>
          <w:sz w:val="26"/>
          <w:szCs w:val="26"/>
          <w:u w:val="single"/>
          <w:lang w:val="es-ES" w:eastAsia="en-US"/>
        </w:rPr>
        <w:t xml:space="preserve">la consecuencia jurídica de la nulidad del acto de autoridad decretada, </w:t>
      </w:r>
      <w:r w:rsidR="00ED58A7" w:rsidRPr="00FE1F9D">
        <w:rPr>
          <w:rFonts w:ascii="Arial" w:hAnsi="Arial" w:cs="Arial"/>
          <w:sz w:val="26"/>
          <w:szCs w:val="26"/>
          <w:u w:val="single"/>
        </w:rPr>
        <w:t>dejando intocadas las consideraciones vertidas en la sentencia</w:t>
      </w:r>
      <w:r w:rsidRPr="00FE1F9D">
        <w:rPr>
          <w:rFonts w:ascii="Arial" w:hAnsi="Arial" w:cs="Arial"/>
          <w:sz w:val="26"/>
          <w:szCs w:val="26"/>
          <w:u w:val="single"/>
        </w:rPr>
        <w:t>,</w:t>
      </w:r>
      <w:r w:rsidR="00ED58A7" w:rsidRPr="00FE1F9D">
        <w:rPr>
          <w:rFonts w:ascii="Arial" w:hAnsi="Arial" w:cs="Arial"/>
          <w:sz w:val="26"/>
          <w:szCs w:val="26"/>
          <w:u w:val="single"/>
        </w:rPr>
        <w:t xml:space="preserve"> por la Sala Unitaria</w:t>
      </w:r>
      <w:r w:rsidRPr="00FE1F9D">
        <w:rPr>
          <w:rFonts w:ascii="Arial" w:hAnsi="Arial" w:cs="Arial"/>
          <w:sz w:val="26"/>
          <w:szCs w:val="26"/>
          <w:u w:val="single"/>
        </w:rPr>
        <w:t>,</w:t>
      </w:r>
      <w:r w:rsidR="00ED58A7" w:rsidRPr="00FE1F9D">
        <w:rPr>
          <w:rFonts w:ascii="Arial" w:hAnsi="Arial" w:cs="Arial"/>
          <w:sz w:val="26"/>
          <w:szCs w:val="26"/>
          <w:u w:val="single"/>
        </w:rPr>
        <w:t xml:space="preserve"> respecto al análisis de la nulidad declarada.</w:t>
      </w:r>
      <w:r w:rsidR="00D86BA2">
        <w:rPr>
          <w:rFonts w:ascii="Arial" w:hAnsi="Arial" w:cs="Arial"/>
          <w:sz w:val="26"/>
          <w:szCs w:val="26"/>
          <w:u w:val="single"/>
        </w:rPr>
        <w:t xml:space="preserve"> </w:t>
      </w:r>
      <w:r w:rsidR="00D86BA2">
        <w:rPr>
          <w:rFonts w:ascii="Arial" w:eastAsia="Times New Roman" w:hAnsi="Arial" w:cs="Arial"/>
          <w:color w:val="000000"/>
          <w:sz w:val="26"/>
          <w:szCs w:val="26"/>
        </w:rPr>
        <w:t>- - - - - - - - - -</w:t>
      </w:r>
    </w:p>
    <w:p w14:paraId="595D976E" w14:textId="39E7E4FA" w:rsidR="00ED58A7" w:rsidRDefault="00ED58A7" w:rsidP="00ED58A7">
      <w:pPr>
        <w:tabs>
          <w:tab w:val="left" w:pos="3828"/>
        </w:tabs>
        <w:spacing w:line="360" w:lineRule="auto"/>
        <w:ind w:firstLine="709"/>
        <w:jc w:val="both"/>
        <w:rPr>
          <w:rFonts w:ascii="Arial" w:eastAsia="Times New Roman" w:hAnsi="Arial" w:cs="Arial"/>
          <w:color w:val="000000"/>
          <w:sz w:val="26"/>
          <w:szCs w:val="26"/>
        </w:rPr>
      </w:pPr>
      <w:r>
        <w:rPr>
          <w:rFonts w:ascii="Arial" w:hAnsi="Arial" w:cs="Arial"/>
          <w:sz w:val="26"/>
          <w:szCs w:val="26"/>
        </w:rPr>
        <w:t xml:space="preserve">Ahora bien, la Sexta Sala Unitaria de Primera Instancia declaró nulo </w:t>
      </w:r>
      <w:r>
        <w:rPr>
          <w:rFonts w:ascii="Arial" w:eastAsiaTheme="minorHAnsi" w:hAnsi="Arial" w:cs="Arial"/>
          <w:sz w:val="26"/>
          <w:szCs w:val="26"/>
          <w:lang w:val="es-ES" w:eastAsia="en-US"/>
        </w:rPr>
        <w:t xml:space="preserve">el acto administrativo, consistente en el acuerdo de inicio del </w:t>
      </w:r>
      <w:r>
        <w:rPr>
          <w:rFonts w:ascii="Arial" w:eastAsiaTheme="minorHAnsi" w:hAnsi="Arial" w:cs="Arial"/>
          <w:sz w:val="26"/>
          <w:szCs w:val="26"/>
          <w:lang w:val="es-ES" w:eastAsia="en-US"/>
        </w:rPr>
        <w:lastRenderedPageBreak/>
        <w:t xml:space="preserve">procedimiento de responsabilidad disciplinaria instaurado en contra del actor, </w:t>
      </w:r>
      <w:r w:rsidR="006418B6">
        <w:rPr>
          <w:rFonts w:ascii="Arial" w:eastAsiaTheme="minorHAnsi" w:hAnsi="Arial" w:cs="Arial"/>
          <w:sz w:val="26"/>
          <w:szCs w:val="26"/>
          <w:lang w:val="es-ES" w:eastAsia="en-US"/>
        </w:rPr>
        <w:t>el</w:t>
      </w:r>
      <w:r>
        <w:rPr>
          <w:rFonts w:ascii="Arial" w:eastAsiaTheme="minorHAnsi" w:hAnsi="Arial" w:cs="Arial"/>
          <w:sz w:val="26"/>
          <w:szCs w:val="26"/>
          <w:lang w:val="es-ES" w:eastAsia="en-US"/>
        </w:rPr>
        <w:t xml:space="preserve"> dieciséis de agosto de dos mil diecisiete, por haber</w:t>
      </w:r>
      <w:r w:rsidR="006418B6">
        <w:rPr>
          <w:rFonts w:ascii="Arial" w:eastAsiaTheme="minorHAnsi" w:hAnsi="Arial" w:cs="Arial"/>
          <w:sz w:val="26"/>
          <w:szCs w:val="26"/>
          <w:lang w:val="es-ES" w:eastAsia="en-US"/>
        </w:rPr>
        <w:t xml:space="preserve">lo </w:t>
      </w:r>
      <w:r>
        <w:rPr>
          <w:rFonts w:ascii="Arial" w:eastAsiaTheme="minorHAnsi" w:hAnsi="Arial" w:cs="Arial"/>
          <w:sz w:val="26"/>
          <w:szCs w:val="26"/>
          <w:lang w:val="es-ES" w:eastAsia="en-US"/>
        </w:rPr>
        <w:t xml:space="preserve">emitido el Director de Responsabilidades y Situación Patrimonial de la Secretaría de la Contraloría y Transparencia Gubernamental, quien no tenía competencia para dictar </w:t>
      </w:r>
      <w:r w:rsidR="006418B6">
        <w:rPr>
          <w:rFonts w:ascii="Arial" w:eastAsiaTheme="minorHAnsi" w:hAnsi="Arial" w:cs="Arial"/>
          <w:sz w:val="26"/>
          <w:szCs w:val="26"/>
          <w:lang w:val="es-ES" w:eastAsia="en-US"/>
        </w:rPr>
        <w:t>ese</w:t>
      </w:r>
      <w:r>
        <w:rPr>
          <w:rFonts w:ascii="Arial" w:eastAsiaTheme="minorHAnsi" w:hAnsi="Arial" w:cs="Arial"/>
          <w:sz w:val="26"/>
          <w:szCs w:val="26"/>
          <w:lang w:val="es-ES" w:eastAsia="en-US"/>
        </w:rPr>
        <w:t xml:space="preserve"> acuerdo, lo cual constituye un vicio de fondo que conlleva a que éste carezca de valor jurídico</w:t>
      </w:r>
      <w:r w:rsidR="006418B6">
        <w:rPr>
          <w:rFonts w:ascii="Arial" w:eastAsiaTheme="minorHAnsi" w:hAnsi="Arial" w:cs="Arial"/>
          <w:sz w:val="26"/>
          <w:szCs w:val="26"/>
          <w:lang w:val="es-ES" w:eastAsia="en-US"/>
        </w:rPr>
        <w:t>;</w:t>
      </w:r>
      <w:r>
        <w:rPr>
          <w:rFonts w:ascii="Arial" w:eastAsiaTheme="minorHAnsi" w:hAnsi="Arial" w:cs="Arial"/>
          <w:sz w:val="26"/>
          <w:szCs w:val="26"/>
          <w:lang w:val="es-ES" w:eastAsia="en-US"/>
        </w:rPr>
        <w:t xml:space="preserve"> por consiguiente,</w:t>
      </w:r>
      <w:r>
        <w:rPr>
          <w:rFonts w:ascii="Arial" w:eastAsia="Times New Roman" w:hAnsi="Arial" w:cs="Arial"/>
          <w:color w:val="000000"/>
          <w:sz w:val="26"/>
          <w:szCs w:val="26"/>
        </w:rPr>
        <w:t xml:space="preserve"> la declaración de nulidad del acto de autoridad debe ser absoluta</w:t>
      </w:r>
      <w:r w:rsidR="00FE1F9D">
        <w:rPr>
          <w:rFonts w:ascii="Arial" w:eastAsia="Times New Roman" w:hAnsi="Arial" w:cs="Arial"/>
          <w:color w:val="000000"/>
          <w:sz w:val="26"/>
          <w:szCs w:val="26"/>
        </w:rPr>
        <w:t xml:space="preserve">; </w:t>
      </w:r>
      <w:r>
        <w:rPr>
          <w:rFonts w:ascii="Arial" w:eastAsia="Times New Roman" w:hAnsi="Arial" w:cs="Arial"/>
          <w:color w:val="000000"/>
          <w:sz w:val="26"/>
          <w:szCs w:val="26"/>
        </w:rPr>
        <w:t xml:space="preserve">es decir, </w:t>
      </w:r>
      <w:r>
        <w:rPr>
          <w:rFonts w:ascii="Arial" w:eastAsiaTheme="minorHAnsi" w:hAnsi="Arial" w:cs="Arial"/>
          <w:sz w:val="26"/>
          <w:szCs w:val="26"/>
          <w:lang w:val="es-ES" w:eastAsia="en-US"/>
        </w:rPr>
        <w:t>lisa y llana</w:t>
      </w:r>
      <w:r w:rsidR="00FE1F9D">
        <w:rPr>
          <w:rFonts w:ascii="Arial" w:eastAsiaTheme="minorHAnsi" w:hAnsi="Arial" w:cs="Arial"/>
          <w:sz w:val="26"/>
          <w:szCs w:val="26"/>
          <w:lang w:val="es-ES" w:eastAsia="en-US"/>
        </w:rPr>
        <w:t>,</w:t>
      </w:r>
      <w:r>
        <w:rPr>
          <w:rFonts w:ascii="Arial" w:eastAsiaTheme="minorHAnsi" w:hAnsi="Arial" w:cs="Arial"/>
          <w:sz w:val="26"/>
          <w:szCs w:val="26"/>
          <w:lang w:val="es-ES" w:eastAsia="en-US"/>
        </w:rPr>
        <w:t xml:space="preserve"> p</w:t>
      </w:r>
      <w:r w:rsidR="00FE1F9D">
        <w:rPr>
          <w:rFonts w:ascii="Arial" w:eastAsiaTheme="minorHAnsi" w:hAnsi="Arial" w:cs="Arial"/>
          <w:sz w:val="26"/>
          <w:szCs w:val="26"/>
          <w:lang w:val="es-ES" w:eastAsia="en-US"/>
        </w:rPr>
        <w:t xml:space="preserve">ara que quede sin efectos jurídicos </w:t>
      </w:r>
      <w:r>
        <w:rPr>
          <w:rFonts w:ascii="Arial" w:eastAsiaTheme="minorHAnsi" w:hAnsi="Arial" w:cs="Arial"/>
          <w:sz w:val="26"/>
          <w:szCs w:val="26"/>
          <w:lang w:val="es-ES" w:eastAsia="en-US"/>
        </w:rPr>
        <w:t>lo derivado del acuerdo de inicio del procedimiento administrativo de responsabilidad disciplinaria número 46/RA/-B/2016, tramitado por la Secretaría de la Contraloría y Transparencia Gubernamental, en contra del actor</w:t>
      </w:r>
      <w:r w:rsidR="00FE1F9D">
        <w:rPr>
          <w:rFonts w:ascii="Arial" w:eastAsiaTheme="minorHAnsi" w:hAnsi="Arial" w:cs="Arial"/>
          <w:sz w:val="26"/>
          <w:szCs w:val="26"/>
          <w:lang w:val="es-ES" w:eastAsia="en-US"/>
        </w:rPr>
        <w:t>;</w:t>
      </w:r>
      <w:r>
        <w:rPr>
          <w:rFonts w:ascii="Arial" w:eastAsiaTheme="minorHAnsi" w:hAnsi="Arial" w:cs="Arial"/>
          <w:sz w:val="26"/>
          <w:szCs w:val="26"/>
          <w:lang w:val="es-ES" w:eastAsia="en-US"/>
        </w:rPr>
        <w:t xml:space="preserve"> consistente en </w:t>
      </w:r>
      <w:r w:rsidRPr="00C351B0">
        <w:rPr>
          <w:rFonts w:ascii="Arial" w:eastAsia="Times New Roman" w:hAnsi="Arial" w:cs="Arial"/>
          <w:color w:val="000000"/>
          <w:sz w:val="26"/>
          <w:szCs w:val="26"/>
        </w:rPr>
        <w:t xml:space="preserve">todas las actuaciones </w:t>
      </w:r>
      <w:r>
        <w:rPr>
          <w:rFonts w:ascii="Arial" w:eastAsia="Times New Roman" w:hAnsi="Arial" w:cs="Arial"/>
          <w:color w:val="000000"/>
          <w:sz w:val="26"/>
          <w:szCs w:val="26"/>
        </w:rPr>
        <w:t>realizadas a partir de la remisión del memorándum número</w:t>
      </w:r>
      <w:r w:rsidR="00571356">
        <w:rPr>
          <w:rFonts w:ascii="Arial" w:eastAsia="Times New Roman" w:hAnsi="Arial" w:cs="Arial"/>
          <w:color w:val="000000"/>
          <w:sz w:val="26"/>
          <w:szCs w:val="26"/>
        </w:rPr>
        <w:t xml:space="preserve"> </w:t>
      </w:r>
      <w:r w:rsidRPr="000E1407">
        <w:rPr>
          <w:rFonts w:ascii="Arial" w:eastAsia="Times New Roman" w:hAnsi="Arial" w:cs="Arial"/>
          <w:color w:val="000000"/>
          <w:sz w:val="26"/>
          <w:szCs w:val="26"/>
        </w:rPr>
        <w:t>SCT/SRT/DRSP/IQD</w:t>
      </w:r>
      <w:r w:rsidR="00402A5D">
        <w:rPr>
          <w:rFonts w:ascii="Arial" w:eastAsia="Times New Roman" w:hAnsi="Arial" w:cs="Arial"/>
          <w:color w:val="000000"/>
          <w:sz w:val="26"/>
          <w:szCs w:val="26"/>
        </w:rPr>
        <w:t>-</w:t>
      </w:r>
      <w:r w:rsidRPr="000E1407">
        <w:rPr>
          <w:rFonts w:ascii="Arial" w:eastAsia="Times New Roman" w:hAnsi="Arial" w:cs="Arial"/>
          <w:color w:val="000000"/>
          <w:sz w:val="26"/>
          <w:szCs w:val="26"/>
        </w:rPr>
        <w:t xml:space="preserve">A/273/2016, de diecisiete de octubre de dos mil dieciséis, </w:t>
      </w:r>
      <w:r w:rsidRPr="0044442E">
        <w:rPr>
          <w:rFonts w:ascii="Arial" w:eastAsia="Times New Roman" w:hAnsi="Arial" w:cs="Arial"/>
          <w:color w:val="000000"/>
          <w:sz w:val="26"/>
          <w:szCs w:val="26"/>
        </w:rPr>
        <w:t>emitido por el Jefe del Departamento de Investigación de Queja y Denuncias “A”, adscrit</w:t>
      </w:r>
      <w:r>
        <w:rPr>
          <w:rFonts w:ascii="Arial" w:eastAsia="Times New Roman" w:hAnsi="Arial" w:cs="Arial"/>
          <w:color w:val="000000"/>
          <w:sz w:val="26"/>
          <w:szCs w:val="26"/>
        </w:rPr>
        <w:t>o</w:t>
      </w:r>
      <w:r w:rsidRPr="0044442E">
        <w:rPr>
          <w:rFonts w:ascii="Arial" w:eastAsia="Times New Roman" w:hAnsi="Arial" w:cs="Arial"/>
          <w:color w:val="000000"/>
          <w:sz w:val="26"/>
          <w:szCs w:val="26"/>
        </w:rPr>
        <w:t xml:space="preserve"> a la Dirección de Responsabilidades y Situación Patrimonial de la Secretaria de la Contraloría y Transparencia Gubernamental</w:t>
      </w:r>
      <w:r w:rsidR="00FE1F9D">
        <w:rPr>
          <w:rFonts w:ascii="Arial" w:eastAsia="Times New Roman" w:hAnsi="Arial" w:cs="Arial"/>
          <w:color w:val="000000"/>
          <w:sz w:val="26"/>
          <w:szCs w:val="26"/>
        </w:rPr>
        <w:t xml:space="preserve">; </w:t>
      </w:r>
      <w:r w:rsidRPr="00C351B0">
        <w:rPr>
          <w:rFonts w:ascii="Arial" w:eastAsia="Times New Roman" w:hAnsi="Arial" w:cs="Arial"/>
          <w:color w:val="000000"/>
          <w:sz w:val="26"/>
          <w:szCs w:val="26"/>
        </w:rPr>
        <w:t xml:space="preserve">en </w:t>
      </w:r>
      <w:r>
        <w:rPr>
          <w:rFonts w:ascii="Arial" w:eastAsia="Times New Roman" w:hAnsi="Arial" w:cs="Arial"/>
          <w:color w:val="000000"/>
          <w:sz w:val="26"/>
          <w:szCs w:val="26"/>
        </w:rPr>
        <w:t>el</w:t>
      </w:r>
      <w:r w:rsidRPr="00C351B0">
        <w:rPr>
          <w:rFonts w:ascii="Arial" w:eastAsia="Times New Roman" w:hAnsi="Arial" w:cs="Arial"/>
          <w:color w:val="000000"/>
          <w:sz w:val="26"/>
          <w:szCs w:val="26"/>
        </w:rPr>
        <w:t xml:space="preserve"> expediente administrativo número 46/RA-B/2016, </w:t>
      </w:r>
      <w:r>
        <w:rPr>
          <w:rFonts w:ascii="Arial" w:eastAsia="Times New Roman" w:hAnsi="Arial" w:cs="Arial"/>
          <w:color w:val="000000"/>
          <w:sz w:val="26"/>
          <w:szCs w:val="26"/>
        </w:rPr>
        <w:t xml:space="preserve">así como en el recurso de revocación correspondiente número </w:t>
      </w:r>
      <w:r w:rsidRPr="00C351B0">
        <w:rPr>
          <w:rFonts w:ascii="Arial" w:eastAsia="Times New Roman" w:hAnsi="Arial" w:cs="Arial"/>
          <w:color w:val="000000"/>
          <w:sz w:val="26"/>
          <w:szCs w:val="26"/>
        </w:rPr>
        <w:t xml:space="preserve">07/RR/2018, del índice de la Secretaría </w:t>
      </w:r>
      <w:r>
        <w:rPr>
          <w:rFonts w:ascii="Arial" w:eastAsia="Times New Roman" w:hAnsi="Arial" w:cs="Arial"/>
          <w:color w:val="000000"/>
          <w:sz w:val="26"/>
          <w:szCs w:val="26"/>
        </w:rPr>
        <w:t>mencionada</w:t>
      </w:r>
      <w:r w:rsidRPr="00C351B0">
        <w:rPr>
          <w:rFonts w:ascii="Arial" w:eastAsia="Times New Roman" w:hAnsi="Arial" w:cs="Arial"/>
          <w:color w:val="000000"/>
          <w:sz w:val="26"/>
          <w:szCs w:val="26"/>
        </w:rPr>
        <w:t>,</w:t>
      </w:r>
      <w:r>
        <w:rPr>
          <w:rFonts w:ascii="Arial" w:eastAsia="Times New Roman" w:hAnsi="Arial" w:cs="Arial"/>
          <w:color w:val="000000"/>
          <w:sz w:val="26"/>
          <w:szCs w:val="26"/>
        </w:rPr>
        <w:t xml:space="preserve"> </w:t>
      </w:r>
      <w:r w:rsidRPr="00C351B0">
        <w:rPr>
          <w:rFonts w:ascii="Arial" w:eastAsia="Times New Roman" w:hAnsi="Arial" w:cs="Arial"/>
          <w:color w:val="000000"/>
          <w:sz w:val="26"/>
          <w:szCs w:val="26"/>
        </w:rPr>
        <w:t xml:space="preserve"> </w:t>
      </w:r>
      <w:r>
        <w:rPr>
          <w:rFonts w:ascii="Arial" w:eastAsia="Times New Roman" w:hAnsi="Arial" w:cs="Arial"/>
          <w:color w:val="000000"/>
          <w:sz w:val="26"/>
          <w:szCs w:val="26"/>
        </w:rPr>
        <w:t xml:space="preserve">incluido el </w:t>
      </w:r>
      <w:r w:rsidRPr="00C351B0">
        <w:rPr>
          <w:rFonts w:ascii="Arial" w:eastAsia="Times New Roman" w:hAnsi="Arial" w:cs="Arial"/>
          <w:color w:val="000000"/>
          <w:sz w:val="26"/>
          <w:szCs w:val="26"/>
        </w:rPr>
        <w:t>registro de la sanción impuesta al actor</w:t>
      </w:r>
      <w:r>
        <w:rPr>
          <w:rFonts w:ascii="Arial" w:eastAsia="Times New Roman" w:hAnsi="Arial" w:cs="Arial"/>
          <w:color w:val="000000"/>
          <w:sz w:val="26"/>
          <w:szCs w:val="26"/>
        </w:rPr>
        <w:t>, por carecer de validez jurídica.</w:t>
      </w:r>
      <w:r w:rsidR="00DA507A">
        <w:rPr>
          <w:rFonts w:ascii="Arial" w:eastAsia="Times New Roman" w:hAnsi="Arial" w:cs="Arial"/>
          <w:color w:val="000000"/>
          <w:sz w:val="26"/>
          <w:szCs w:val="26"/>
        </w:rPr>
        <w:t xml:space="preserve"> - - - - - - - - - - - - - - - - - - - - - - - - - </w:t>
      </w:r>
    </w:p>
    <w:p w14:paraId="76873C30" w14:textId="7E1C868B" w:rsidR="00ED58A7" w:rsidRDefault="00ED58A7" w:rsidP="00ED58A7">
      <w:pPr>
        <w:tabs>
          <w:tab w:val="left" w:pos="3828"/>
        </w:tabs>
        <w:spacing w:before="240" w:line="360" w:lineRule="auto"/>
        <w:ind w:firstLine="709"/>
        <w:jc w:val="both"/>
        <w:rPr>
          <w:rFonts w:ascii="Calibri" w:hAnsi="Calibri" w:cs="Calibri"/>
          <w:color w:val="212529"/>
          <w:sz w:val="26"/>
          <w:szCs w:val="26"/>
        </w:rPr>
      </w:pPr>
      <w:r w:rsidRPr="006C2864">
        <w:rPr>
          <w:rFonts w:ascii="Arial" w:eastAsiaTheme="minorHAnsi" w:hAnsi="Arial" w:cs="Arial"/>
          <w:sz w:val="26"/>
          <w:szCs w:val="26"/>
          <w:lang w:val="es-ES" w:eastAsia="en-US"/>
        </w:rPr>
        <w:t>Sirve de apoyo a lo anterior</w:t>
      </w:r>
      <w:r>
        <w:rPr>
          <w:rFonts w:ascii="Arial" w:eastAsiaTheme="minorHAnsi" w:hAnsi="Arial" w:cs="Arial"/>
          <w:sz w:val="26"/>
          <w:szCs w:val="26"/>
          <w:lang w:val="es-ES" w:eastAsia="en-US"/>
        </w:rPr>
        <w:t>, la jurisprudencia en materia administrativa, número VIII.2o. J/44, con número de registro digital 174597, de la Novena Época, emitida por los Tribunales Colegiados de Circuito, publicada en el Semanario Judicial de la Federación y su Gaceta, en el Tomo XXIV, Julio de 2006, visible a página 1087, de rubro y texto siguientes:</w:t>
      </w:r>
      <w:r w:rsidR="00CF4808">
        <w:rPr>
          <w:rFonts w:ascii="Arial" w:eastAsiaTheme="minorHAnsi" w:hAnsi="Arial" w:cs="Arial"/>
          <w:sz w:val="26"/>
          <w:szCs w:val="26"/>
          <w:lang w:val="es-ES" w:eastAsia="en-US"/>
        </w:rPr>
        <w:t xml:space="preserve"> </w:t>
      </w:r>
      <w:r w:rsidR="00CF4808">
        <w:rPr>
          <w:rFonts w:ascii="Arial" w:eastAsia="Times New Roman" w:hAnsi="Arial" w:cs="Arial"/>
          <w:color w:val="000000"/>
          <w:sz w:val="26"/>
          <w:szCs w:val="26"/>
        </w:rPr>
        <w:t xml:space="preserve">- - - - - - - - - - - - - - - - - - - - - - - - - - - - - - - - - - - - - - - </w:t>
      </w:r>
    </w:p>
    <w:p w14:paraId="3D1CE67D" w14:textId="2531276C" w:rsidR="00ED58A7" w:rsidRPr="004A1B79" w:rsidRDefault="00ED58A7" w:rsidP="00ED58A7">
      <w:pPr>
        <w:pStyle w:val="NormalWeb"/>
        <w:shd w:val="clear" w:color="auto" w:fill="FFFFFF"/>
        <w:ind w:left="567" w:right="616"/>
        <w:jc w:val="both"/>
        <w:rPr>
          <w:rFonts w:ascii="Calibri" w:hAnsi="Calibri" w:cs="Calibri"/>
          <w:sz w:val="22"/>
          <w:szCs w:val="22"/>
        </w:rPr>
      </w:pPr>
      <w:r w:rsidRPr="00FA5888">
        <w:rPr>
          <w:rFonts w:ascii="Arial" w:hAnsi="Arial" w:cs="Arial"/>
          <w:b/>
          <w:bCs/>
          <w:i/>
          <w:iCs/>
        </w:rPr>
        <w:t xml:space="preserve">“SENTENCIAS DEL TRIBUNAL FEDERAL DE JUSTICIA FISCAL Y ADMINISTRATIVA. SUS EFECTOS CUANDO LA AUTORIDAD OMITE FUNDAR SU COMPETENCIA Y CUANDO DEL ESTUDIO DE FONDO SE ADVIERTE QUE CARECE DE ELLA. </w:t>
      </w:r>
      <w:r w:rsidRPr="00FA5888">
        <w:rPr>
          <w:rFonts w:ascii="Arial" w:hAnsi="Arial" w:cs="Arial"/>
          <w:i/>
          <w:iCs/>
        </w:rPr>
        <w:t>La omisión de fundar la competencia de una autoridad, constituye una violación formal en términos del artículo </w:t>
      </w:r>
      <w:hyperlink r:id="rId12" w:history="1">
        <w:r w:rsidRPr="00FA5888">
          <w:rPr>
            <w:rStyle w:val="Hipervnculo"/>
            <w:rFonts w:ascii="Arial" w:hAnsi="Arial" w:cs="Arial"/>
            <w:bCs/>
            <w:i/>
            <w:iCs/>
            <w:color w:val="auto"/>
            <w:u w:val="none"/>
          </w:rPr>
          <w:t>16 constitucional</w:t>
        </w:r>
      </w:hyperlink>
      <w:r w:rsidRPr="00FA5888">
        <w:rPr>
          <w:rFonts w:ascii="Arial" w:hAnsi="Arial" w:cs="Arial"/>
          <w:i/>
          <w:iCs/>
        </w:rPr>
        <w:t>, que impide el estudio de fondo del asunto; en consecuencia, cuando en los actos de autoridad no se expresan, como parte de la formalidad consagrada en dicho precepto de la Ley Fundamental, el carácter con que se suscribe y el dispositivo, acuerdo o decreto que otorgue tal legitimación, debe declararse la nulidad para efectos de modificar el acto impugnado o dictar uno nuevo que lo sustituya, en el que se subsane el vicio formal apuntado, según lo dispuesto por los artículos </w:t>
      </w:r>
      <w:hyperlink r:id="rId13" w:history="1">
        <w:r w:rsidRPr="00FA5888">
          <w:rPr>
            <w:rStyle w:val="Hipervnculo"/>
            <w:rFonts w:ascii="Arial" w:hAnsi="Arial" w:cs="Arial"/>
            <w:bCs/>
            <w:i/>
            <w:iCs/>
            <w:color w:val="auto"/>
            <w:u w:val="none"/>
          </w:rPr>
          <w:t>238, fracción II y 239, fracción III, in fine, del Código Fiscal de la Federación</w:t>
        </w:r>
      </w:hyperlink>
      <w:r w:rsidRPr="00FA5888">
        <w:rPr>
          <w:rFonts w:ascii="Arial" w:hAnsi="Arial" w:cs="Arial"/>
          <w:i/>
          <w:iCs/>
        </w:rPr>
        <w:t xml:space="preserve">, vigentes hasta el 31 de diciembre de 2005; pero no podrá dictarse </w:t>
      </w:r>
      <w:r w:rsidRPr="00FA5888">
        <w:rPr>
          <w:rFonts w:ascii="Arial" w:hAnsi="Arial" w:cs="Arial"/>
          <w:i/>
          <w:iCs/>
        </w:rPr>
        <w:lastRenderedPageBreak/>
        <w:t xml:space="preserve">la nulidad lisa y llana del acto, pues no se hizo el examen de fondo del asunto y, además, porque la emisión de una nueva resolución que purgue los vicios formales evidenciados, es una atribución propia de la autoridad que deriva de la ley. </w:t>
      </w:r>
      <w:r w:rsidRPr="00FA5888">
        <w:rPr>
          <w:rFonts w:ascii="Arial" w:hAnsi="Arial" w:cs="Arial"/>
          <w:i/>
          <w:iCs/>
          <w:u w:val="single"/>
        </w:rPr>
        <w:t>Cosa muy distinta es el caso en que, habiendo fundado la autoridad su competencia, del análisis respectivo se advierta que es incompetente, ya que ello implica un estudio de fondo y, en tal caso, la nulidad de la resolución debe ser lisa y llana, en virtud de que, ante la incompetencia del funcionario emisor de dicha resolución, ésta carece de valor jurídico,</w:t>
      </w:r>
      <w:r w:rsidRPr="00FA5888">
        <w:rPr>
          <w:rFonts w:ascii="Arial" w:hAnsi="Arial" w:cs="Arial"/>
          <w:i/>
          <w:iCs/>
        </w:rPr>
        <w:t xml:space="preserve"> pero dicha nulidad (lisa y llana), no impide que la autoridad competente, en uso de sus atribuciones legales, pueda dictar una nueva resolución o bien llevar a cabo un nuevo procedimiento.” (Lo subrayado es propio)</w:t>
      </w:r>
      <w:r w:rsidR="00FA5888">
        <w:rPr>
          <w:rFonts w:ascii="Arial" w:hAnsi="Arial" w:cs="Arial"/>
          <w:i/>
          <w:iCs/>
        </w:rPr>
        <w:t xml:space="preserve">. - - - - - - - - - - - - - - - - - - </w:t>
      </w:r>
    </w:p>
    <w:p w14:paraId="18C3165D" w14:textId="247E6BAF" w:rsidR="00ED58A7" w:rsidRDefault="00ED58A7" w:rsidP="00ED58A7">
      <w:pPr>
        <w:tabs>
          <w:tab w:val="left" w:pos="3828"/>
        </w:tabs>
        <w:spacing w:line="360" w:lineRule="auto"/>
        <w:ind w:firstLine="709"/>
        <w:jc w:val="both"/>
        <w:rPr>
          <w:rFonts w:ascii="Arial" w:eastAsiaTheme="minorHAnsi" w:hAnsi="Arial" w:cs="Arial"/>
          <w:sz w:val="24"/>
          <w:szCs w:val="24"/>
          <w:lang w:val="es-ES" w:eastAsia="en-US"/>
        </w:rPr>
      </w:pPr>
      <w:r>
        <w:rPr>
          <w:rFonts w:ascii="Arial" w:eastAsiaTheme="minorHAnsi" w:hAnsi="Arial" w:cs="Arial"/>
          <w:sz w:val="26"/>
          <w:szCs w:val="26"/>
          <w:lang w:val="es-ES" w:eastAsia="en-US"/>
        </w:rPr>
        <w:t xml:space="preserve">Así como la tesis en materia administrativa número P. XXXIV/2007, con número de registro digital 170684, de la Novena época, emitida por el Pleno de la Suprema Corte de Justicia de la Nación, </w:t>
      </w:r>
      <w:r w:rsidRPr="006C2864">
        <w:rPr>
          <w:rFonts w:ascii="Arial" w:eastAsiaTheme="minorHAnsi" w:hAnsi="Arial" w:cs="Arial"/>
          <w:sz w:val="26"/>
          <w:szCs w:val="26"/>
          <w:lang w:val="es-ES" w:eastAsia="en-US"/>
        </w:rPr>
        <w:t xml:space="preserve">publicada en </w:t>
      </w:r>
      <w:r>
        <w:rPr>
          <w:rFonts w:ascii="Arial" w:eastAsiaTheme="minorHAnsi" w:hAnsi="Arial" w:cs="Arial"/>
          <w:sz w:val="26"/>
          <w:szCs w:val="26"/>
          <w:lang w:val="es-ES" w:eastAsia="en-US"/>
        </w:rPr>
        <w:t>el Semanario Judicial de la Federación y su Gaceta</w:t>
      </w:r>
      <w:r w:rsidRPr="006C2864">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en el Tomo XXVI, de Diciembre de 2007, visible a página 26,</w:t>
      </w:r>
      <w:r w:rsidRPr="006C2864">
        <w:rPr>
          <w:rFonts w:ascii="Arial" w:eastAsiaTheme="minorHAnsi" w:hAnsi="Arial" w:cs="Arial"/>
          <w:sz w:val="26"/>
          <w:szCs w:val="26"/>
          <w:lang w:val="es-ES" w:eastAsia="en-US"/>
        </w:rPr>
        <w:t xml:space="preserve"> de rubro y texto siguiente</w:t>
      </w:r>
      <w:r>
        <w:rPr>
          <w:rFonts w:ascii="Arial" w:eastAsiaTheme="minorHAnsi" w:hAnsi="Arial" w:cs="Arial"/>
          <w:sz w:val="26"/>
          <w:szCs w:val="26"/>
          <w:lang w:val="es-ES" w:eastAsia="en-US"/>
        </w:rPr>
        <w:t>s</w:t>
      </w:r>
      <w:r w:rsidRPr="006C2864">
        <w:rPr>
          <w:rFonts w:ascii="Arial" w:eastAsiaTheme="minorHAnsi" w:hAnsi="Arial" w:cs="Arial"/>
          <w:sz w:val="26"/>
          <w:szCs w:val="26"/>
          <w:lang w:val="es-ES" w:eastAsia="en-US"/>
        </w:rPr>
        <w:t>:</w:t>
      </w:r>
      <w:r w:rsidR="004F00C4">
        <w:rPr>
          <w:rFonts w:ascii="Arial" w:eastAsiaTheme="minorHAnsi" w:hAnsi="Arial" w:cs="Arial"/>
          <w:sz w:val="26"/>
          <w:szCs w:val="26"/>
          <w:lang w:val="es-ES" w:eastAsia="en-US"/>
        </w:rPr>
        <w:t xml:space="preserve"> </w:t>
      </w:r>
      <w:r w:rsidR="004F00C4">
        <w:rPr>
          <w:rFonts w:ascii="Arial" w:eastAsia="Times New Roman" w:hAnsi="Arial" w:cs="Arial"/>
          <w:color w:val="000000"/>
          <w:sz w:val="26"/>
          <w:szCs w:val="26"/>
        </w:rPr>
        <w:t xml:space="preserve">- - - - - - - - - - - - - - - - - - - - - - - - - - - - - - - - - - - </w:t>
      </w:r>
    </w:p>
    <w:p w14:paraId="0F3DB62B" w14:textId="2872C9C4" w:rsidR="00ED58A7" w:rsidRPr="00BB7AF0" w:rsidRDefault="00ED58A7" w:rsidP="00ED58A7">
      <w:pPr>
        <w:shd w:val="clear" w:color="auto" w:fill="FFFFFF"/>
        <w:spacing w:before="100" w:beforeAutospacing="1" w:after="100" w:afterAutospacing="1" w:line="240" w:lineRule="auto"/>
        <w:ind w:left="567" w:right="616"/>
        <w:jc w:val="both"/>
        <w:rPr>
          <w:rFonts w:ascii="Arial" w:eastAsia="Times New Roman" w:hAnsi="Arial" w:cs="Arial"/>
          <w:i/>
          <w:iCs/>
          <w:sz w:val="24"/>
          <w:szCs w:val="24"/>
        </w:rPr>
      </w:pPr>
      <w:r w:rsidRPr="00BB7AF0">
        <w:rPr>
          <w:rFonts w:ascii="Arial" w:eastAsia="Times New Roman" w:hAnsi="Arial" w:cs="Arial"/>
          <w:b/>
          <w:bCs/>
          <w:i/>
          <w:iCs/>
          <w:sz w:val="24"/>
          <w:szCs w:val="24"/>
        </w:rPr>
        <w:t xml:space="preserve">“NULIDAD ABSOLUTA Y NULIDAD PARA EFECTOS EN EL JUICIO CONTENCIOSO ADMINISTRATIVO. SU ALCANCE DEPENDE DE LA NATURALEZA DE LA RESOLUCIÓN ANULADA Y DE LOS VICIOS QUE ORIGINARON LA ANULACIÓN. </w:t>
      </w:r>
      <w:r w:rsidRPr="00BB7AF0">
        <w:rPr>
          <w:rFonts w:ascii="Arial" w:eastAsia="Times New Roman" w:hAnsi="Arial" w:cs="Arial"/>
          <w:i/>
          <w:iCs/>
          <w:sz w:val="24"/>
          <w:szCs w:val="24"/>
        </w:rPr>
        <w:t xml:space="preserve">La nulidad, entendida en un sentido amplio, es la consecuencia de una declaración jurisdiccional que priva de todo valor a los actos carentes de los requisitos de forma o fondo que marca la ley o que se han originado en un procedimiento viciado. </w:t>
      </w:r>
      <w:r w:rsidRPr="00BB7AF0">
        <w:rPr>
          <w:rFonts w:ascii="Arial" w:eastAsia="Times New Roman" w:hAnsi="Arial" w:cs="Arial"/>
          <w:i/>
          <w:iCs/>
          <w:sz w:val="24"/>
          <w:szCs w:val="24"/>
          <w:u w:val="single"/>
        </w:rPr>
        <w:t>Ahora bien, la ley contempla dos clases de nulidad: la absoluta, calificada en la práctica jurisdiccional como lisa y llana, que puede deberse a vicios de fondo, forma, procedimiento o, incluso, a la falta de competencia,</w:t>
      </w:r>
      <w:r w:rsidRPr="00BB7AF0">
        <w:rPr>
          <w:rFonts w:ascii="Arial" w:eastAsia="Times New Roman" w:hAnsi="Arial" w:cs="Arial"/>
          <w:i/>
          <w:iCs/>
          <w:sz w:val="24"/>
          <w:szCs w:val="24"/>
        </w:rPr>
        <w:t xml:space="preserve"> y la nulidad para efectos, que normalmente ocurre en los casos en que el fallo impugnado se emitió al resolver un recurso administrativo; si se violó el procedimiento la resolución debe anularse, la autoridad quedará vinculada a subsanar la irregularidad procesal y a emitir una nueva; cuando el motivo de la nulidad fue una deficiencia formal, por ejemplo, la ausencia de fundamentación y motivación, la autoridad queda constreñida a dictar una nueva resolución fundada y motivada. En esa virtud, la nulidad lisa y llana coincide con la nulidad para efectos en la aniquilación total, la desaparición en el orden jurídico de la resolución o acto impugnado, independientemente de la causa específica que haya originado ese pronunciamiento, pero también existen diferencias, según sea la causa de anulación, por ejemplo, en la nulidad lisa y llana la resolución o acto quedan 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w:t>
      </w:r>
      <w:r w:rsidRPr="00BB7AF0">
        <w:rPr>
          <w:rFonts w:ascii="Arial" w:eastAsia="Times New Roman" w:hAnsi="Arial" w:cs="Arial"/>
          <w:i/>
          <w:iCs/>
          <w:sz w:val="24"/>
          <w:szCs w:val="24"/>
        </w:rPr>
        <w:lastRenderedPageBreak/>
        <w:t>nueva resolución, pues ya existirá cosa juzgada sobre los problemas de fondo debatidos.”</w:t>
      </w:r>
      <w:r w:rsidRPr="00BB7AF0">
        <w:rPr>
          <w:rFonts w:ascii="Arial" w:hAnsi="Arial" w:cs="Arial"/>
          <w:i/>
          <w:iCs/>
          <w:sz w:val="24"/>
          <w:szCs w:val="24"/>
        </w:rPr>
        <w:t xml:space="preserve"> (Lo subrayado es propio)</w:t>
      </w:r>
      <w:r w:rsidR="00BB7AF0">
        <w:rPr>
          <w:rFonts w:ascii="Arial" w:hAnsi="Arial" w:cs="Arial"/>
          <w:i/>
          <w:iCs/>
          <w:sz w:val="24"/>
          <w:szCs w:val="24"/>
        </w:rPr>
        <w:t xml:space="preserve">. - - - - - - </w:t>
      </w:r>
    </w:p>
    <w:p w14:paraId="4D8254EE" w14:textId="7094E262" w:rsidR="00ED58A7" w:rsidRDefault="0072392D" w:rsidP="00ED58A7">
      <w:pPr>
        <w:tabs>
          <w:tab w:val="left" w:pos="3828"/>
        </w:tabs>
        <w:spacing w:line="360" w:lineRule="auto"/>
        <w:ind w:firstLine="709"/>
        <w:jc w:val="both"/>
        <w:rPr>
          <w:rFonts w:ascii="Arial" w:eastAsia="Times New Roman" w:hAnsi="Arial" w:cs="Arial"/>
          <w:color w:val="000000"/>
          <w:sz w:val="26"/>
          <w:szCs w:val="26"/>
        </w:rPr>
      </w:pPr>
      <w:r>
        <w:rPr>
          <w:rFonts w:ascii="Arial" w:eastAsia="Times New Roman" w:hAnsi="Arial" w:cs="Arial"/>
          <w:color w:val="000000"/>
          <w:sz w:val="26"/>
          <w:szCs w:val="26"/>
        </w:rPr>
        <w:t>En virtud de lo anterior, la sentencia impugnada debe ser modificada, en el sentido de que la consecuencia jurídica de la nulidad del acto impugnado decretada debe ser absoluta y no para efectos como lo determinó la Primera Instancia; p</w:t>
      </w:r>
      <w:proofErr w:type="spellStart"/>
      <w:r w:rsidR="00FE1F9D">
        <w:rPr>
          <w:rFonts w:ascii="Arial" w:eastAsiaTheme="minorHAnsi" w:hAnsi="Arial" w:cs="Arial"/>
          <w:sz w:val="26"/>
          <w:szCs w:val="26"/>
          <w:lang w:val="es-ES" w:eastAsia="en-US"/>
        </w:rPr>
        <w:t>or</w:t>
      </w:r>
      <w:proofErr w:type="spellEnd"/>
      <w:r w:rsidR="00FE1F9D">
        <w:rPr>
          <w:rFonts w:ascii="Arial" w:eastAsiaTheme="minorHAnsi" w:hAnsi="Arial" w:cs="Arial"/>
          <w:sz w:val="26"/>
          <w:szCs w:val="26"/>
          <w:lang w:val="es-ES" w:eastAsia="en-US"/>
        </w:rPr>
        <w:t xml:space="preserve"> tanto, </w:t>
      </w:r>
      <w:r w:rsidR="00ED58A7">
        <w:rPr>
          <w:rFonts w:ascii="Arial" w:eastAsiaTheme="minorHAnsi" w:hAnsi="Arial" w:cs="Arial"/>
          <w:sz w:val="26"/>
          <w:szCs w:val="26"/>
          <w:lang w:val="es-ES" w:eastAsia="en-US"/>
        </w:rPr>
        <w:t xml:space="preserve">es procedente </w:t>
      </w:r>
      <w:r w:rsidR="00ED58A7" w:rsidRPr="00AA4698">
        <w:rPr>
          <w:rFonts w:ascii="Arial" w:eastAsiaTheme="minorHAnsi" w:hAnsi="Arial" w:cs="Arial"/>
          <w:sz w:val="26"/>
          <w:szCs w:val="26"/>
          <w:lang w:val="es-ES" w:eastAsia="en-US"/>
        </w:rPr>
        <w:t xml:space="preserve">declarar </w:t>
      </w:r>
      <w:bookmarkStart w:id="2" w:name="_Hlk81560034"/>
      <w:r w:rsidR="00ED58A7">
        <w:rPr>
          <w:rFonts w:ascii="Arial" w:eastAsiaTheme="minorHAnsi" w:hAnsi="Arial" w:cs="Arial"/>
          <w:sz w:val="26"/>
          <w:szCs w:val="26"/>
          <w:lang w:val="es-ES" w:eastAsia="en-US"/>
        </w:rPr>
        <w:t xml:space="preserve">la </w:t>
      </w:r>
      <w:r w:rsidR="00FE1F9D" w:rsidRPr="00AA4698">
        <w:rPr>
          <w:rFonts w:ascii="Arial" w:eastAsiaTheme="minorHAnsi" w:hAnsi="Arial" w:cs="Arial"/>
          <w:b/>
          <w:sz w:val="26"/>
          <w:szCs w:val="26"/>
          <w:lang w:val="es-ES" w:eastAsia="en-US"/>
        </w:rPr>
        <w:t>nulidad</w:t>
      </w:r>
      <w:r w:rsidR="00FE1F9D">
        <w:rPr>
          <w:rFonts w:ascii="Arial" w:eastAsiaTheme="minorHAnsi" w:hAnsi="Arial" w:cs="Arial"/>
          <w:b/>
          <w:sz w:val="26"/>
          <w:szCs w:val="26"/>
          <w:lang w:val="es-ES" w:eastAsia="en-US"/>
        </w:rPr>
        <w:t xml:space="preserve"> lisa y llana </w:t>
      </w:r>
      <w:r w:rsidR="00ED58A7" w:rsidRPr="00C351B0">
        <w:rPr>
          <w:rFonts w:ascii="Arial" w:eastAsia="Times New Roman" w:hAnsi="Arial" w:cs="Arial"/>
          <w:color w:val="000000"/>
          <w:sz w:val="26"/>
          <w:szCs w:val="26"/>
        </w:rPr>
        <w:t xml:space="preserve">del acuerdo dictado </w:t>
      </w:r>
      <w:r w:rsidR="00FE1F9D">
        <w:rPr>
          <w:rFonts w:ascii="Arial" w:eastAsia="Times New Roman" w:hAnsi="Arial" w:cs="Arial"/>
          <w:color w:val="000000"/>
          <w:sz w:val="26"/>
          <w:szCs w:val="26"/>
        </w:rPr>
        <w:t xml:space="preserve">el </w:t>
      </w:r>
      <w:r w:rsidR="00ED58A7" w:rsidRPr="00C351B0">
        <w:rPr>
          <w:rFonts w:ascii="Arial" w:eastAsia="Times New Roman" w:hAnsi="Arial" w:cs="Arial"/>
          <w:color w:val="000000"/>
          <w:sz w:val="26"/>
          <w:szCs w:val="26"/>
        </w:rPr>
        <w:t>dieciséis de agosto de dos mil diecisiete, por el Director de Responsabilidades y Situación Patrimonial de la Secretaría de la Contraloría y Transparencia Gubernamental</w:t>
      </w:r>
      <w:r>
        <w:rPr>
          <w:rFonts w:ascii="Arial" w:eastAsia="Times New Roman" w:hAnsi="Arial" w:cs="Arial"/>
          <w:color w:val="000000"/>
          <w:sz w:val="26"/>
          <w:szCs w:val="26"/>
        </w:rPr>
        <w:t>;</w:t>
      </w:r>
      <w:r w:rsidR="00ED58A7" w:rsidRPr="00C351B0">
        <w:rPr>
          <w:rFonts w:ascii="Arial" w:eastAsia="Times New Roman" w:hAnsi="Arial" w:cs="Arial"/>
          <w:color w:val="000000"/>
          <w:sz w:val="26"/>
          <w:szCs w:val="26"/>
        </w:rPr>
        <w:t xml:space="preserve"> </w:t>
      </w:r>
      <w:r w:rsidR="00ED58A7">
        <w:rPr>
          <w:rFonts w:ascii="Arial" w:eastAsiaTheme="minorHAnsi" w:hAnsi="Arial" w:cs="Arial"/>
          <w:sz w:val="26"/>
          <w:szCs w:val="26"/>
          <w:lang w:val="es-ES" w:eastAsia="en-US"/>
        </w:rPr>
        <w:t>por no ser la autoridad competente para emitir</w:t>
      </w:r>
      <w:r w:rsidR="00EE742A">
        <w:rPr>
          <w:rFonts w:ascii="Arial" w:eastAsiaTheme="minorHAnsi" w:hAnsi="Arial" w:cs="Arial"/>
          <w:sz w:val="26"/>
          <w:szCs w:val="26"/>
          <w:lang w:val="es-ES" w:eastAsia="en-US"/>
        </w:rPr>
        <w:t>lo</w:t>
      </w:r>
      <w:r w:rsidR="00ED58A7">
        <w:rPr>
          <w:rFonts w:ascii="Arial" w:eastAsiaTheme="minorHAnsi" w:hAnsi="Arial" w:cs="Arial"/>
          <w:sz w:val="26"/>
          <w:szCs w:val="26"/>
          <w:lang w:val="es-ES" w:eastAsia="en-US"/>
        </w:rPr>
        <w:t xml:space="preserve">; </w:t>
      </w:r>
      <w:r w:rsidR="00FE1F9D">
        <w:rPr>
          <w:rFonts w:ascii="Arial" w:eastAsiaTheme="minorHAnsi" w:hAnsi="Arial" w:cs="Arial"/>
          <w:sz w:val="26"/>
          <w:szCs w:val="26"/>
          <w:lang w:val="es-ES" w:eastAsia="en-US"/>
        </w:rPr>
        <w:t xml:space="preserve">razón por la que deben </w:t>
      </w:r>
      <w:r w:rsidR="00ED58A7">
        <w:rPr>
          <w:rFonts w:ascii="Arial" w:eastAsiaTheme="minorHAnsi" w:hAnsi="Arial" w:cs="Arial"/>
          <w:sz w:val="26"/>
          <w:szCs w:val="26"/>
          <w:lang w:val="es-ES" w:eastAsia="en-US"/>
        </w:rPr>
        <w:t xml:space="preserve">quedar sin efectos </w:t>
      </w:r>
      <w:r w:rsidR="00ED58A7" w:rsidRPr="00C351B0">
        <w:rPr>
          <w:rFonts w:ascii="Arial" w:eastAsia="Times New Roman" w:hAnsi="Arial" w:cs="Arial"/>
          <w:color w:val="000000"/>
          <w:sz w:val="26"/>
          <w:szCs w:val="26"/>
        </w:rPr>
        <w:t xml:space="preserve">todas las actuaciones </w:t>
      </w:r>
      <w:r w:rsidR="00ED58A7">
        <w:rPr>
          <w:rFonts w:ascii="Arial" w:eastAsia="Times New Roman" w:hAnsi="Arial" w:cs="Arial"/>
          <w:color w:val="000000"/>
          <w:sz w:val="26"/>
          <w:szCs w:val="26"/>
        </w:rPr>
        <w:t xml:space="preserve">realizadas </w:t>
      </w:r>
      <w:r w:rsidR="00ED58A7" w:rsidRPr="00C351B0">
        <w:rPr>
          <w:rFonts w:ascii="Arial" w:eastAsia="Times New Roman" w:hAnsi="Arial" w:cs="Arial"/>
          <w:color w:val="000000"/>
          <w:sz w:val="26"/>
          <w:szCs w:val="26"/>
        </w:rPr>
        <w:t xml:space="preserve">en </w:t>
      </w:r>
      <w:r w:rsidR="00ED58A7">
        <w:rPr>
          <w:rFonts w:ascii="Arial" w:eastAsia="Times New Roman" w:hAnsi="Arial" w:cs="Arial"/>
          <w:color w:val="000000"/>
          <w:sz w:val="26"/>
          <w:szCs w:val="26"/>
        </w:rPr>
        <w:t>el</w:t>
      </w:r>
      <w:r w:rsidR="00ED58A7" w:rsidRPr="00C351B0">
        <w:rPr>
          <w:rFonts w:ascii="Arial" w:eastAsia="Times New Roman" w:hAnsi="Arial" w:cs="Arial"/>
          <w:color w:val="000000"/>
          <w:sz w:val="26"/>
          <w:szCs w:val="26"/>
        </w:rPr>
        <w:t xml:space="preserve"> expediente administrativo número 46/RA-B/2016, </w:t>
      </w:r>
      <w:r w:rsidR="00ED58A7">
        <w:rPr>
          <w:rFonts w:ascii="Arial" w:eastAsia="Times New Roman" w:hAnsi="Arial" w:cs="Arial"/>
          <w:color w:val="000000"/>
          <w:sz w:val="26"/>
          <w:szCs w:val="26"/>
        </w:rPr>
        <w:t xml:space="preserve">así como en el recurso de revocación correspondiente número </w:t>
      </w:r>
      <w:r w:rsidR="00ED58A7" w:rsidRPr="00C351B0">
        <w:rPr>
          <w:rFonts w:ascii="Arial" w:eastAsia="Times New Roman" w:hAnsi="Arial" w:cs="Arial"/>
          <w:color w:val="000000"/>
          <w:sz w:val="26"/>
          <w:szCs w:val="26"/>
        </w:rPr>
        <w:t xml:space="preserve">07/RR/2018, del índice de </w:t>
      </w:r>
      <w:r w:rsidR="00FE1F9D">
        <w:rPr>
          <w:rFonts w:ascii="Arial" w:eastAsia="Times New Roman" w:hAnsi="Arial" w:cs="Arial"/>
          <w:color w:val="000000"/>
          <w:sz w:val="26"/>
          <w:szCs w:val="26"/>
        </w:rPr>
        <w:t xml:space="preserve">esa </w:t>
      </w:r>
      <w:r w:rsidR="00ED58A7" w:rsidRPr="00C351B0">
        <w:rPr>
          <w:rFonts w:ascii="Arial" w:eastAsia="Times New Roman" w:hAnsi="Arial" w:cs="Arial"/>
          <w:color w:val="000000"/>
          <w:sz w:val="26"/>
          <w:szCs w:val="26"/>
        </w:rPr>
        <w:t>Secretaría,</w:t>
      </w:r>
      <w:r w:rsidR="00ED58A7">
        <w:rPr>
          <w:rFonts w:ascii="Arial" w:eastAsia="Times New Roman" w:hAnsi="Arial" w:cs="Arial"/>
          <w:color w:val="000000"/>
          <w:sz w:val="26"/>
          <w:szCs w:val="26"/>
        </w:rPr>
        <w:t xml:space="preserve"> incluido el </w:t>
      </w:r>
      <w:r w:rsidR="00ED58A7" w:rsidRPr="00C351B0">
        <w:rPr>
          <w:rFonts w:ascii="Arial" w:eastAsia="Times New Roman" w:hAnsi="Arial" w:cs="Arial"/>
          <w:color w:val="000000"/>
          <w:sz w:val="26"/>
          <w:szCs w:val="26"/>
        </w:rPr>
        <w:t>registro de la sanción impuesta al actor</w:t>
      </w:r>
      <w:r w:rsidR="00ED58A7">
        <w:rPr>
          <w:rFonts w:ascii="Arial" w:eastAsia="Times New Roman" w:hAnsi="Arial" w:cs="Arial"/>
          <w:color w:val="000000"/>
          <w:sz w:val="26"/>
          <w:szCs w:val="26"/>
        </w:rPr>
        <w:t>, por carecer de validez jurídica</w:t>
      </w:r>
      <w:r w:rsidR="00FE1F9D">
        <w:rPr>
          <w:rFonts w:ascii="Arial" w:eastAsia="Times New Roman" w:hAnsi="Arial" w:cs="Arial"/>
          <w:color w:val="000000"/>
          <w:sz w:val="26"/>
          <w:szCs w:val="26"/>
        </w:rPr>
        <w:t>.</w:t>
      </w:r>
      <w:r w:rsidR="008C0C0D">
        <w:rPr>
          <w:rFonts w:ascii="Arial" w:eastAsia="Times New Roman" w:hAnsi="Arial" w:cs="Arial"/>
          <w:color w:val="000000"/>
          <w:sz w:val="26"/>
          <w:szCs w:val="26"/>
        </w:rPr>
        <w:t xml:space="preserve"> - - - - - - - - - - - - - - - - - - - - - - - - - - - - - - </w:t>
      </w:r>
    </w:p>
    <w:p w14:paraId="3CEA5050" w14:textId="00CC7E66" w:rsidR="00D9282B" w:rsidRPr="00665EA0" w:rsidRDefault="00D9282B" w:rsidP="00D9282B">
      <w:pPr>
        <w:pStyle w:val="Sinespaciado"/>
        <w:spacing w:after="120" w:line="360" w:lineRule="auto"/>
        <w:ind w:right="51" w:firstLine="709"/>
        <w:jc w:val="both"/>
        <w:rPr>
          <w:rFonts w:ascii="Arial" w:hAnsi="Arial" w:cs="Arial"/>
          <w:sz w:val="26"/>
          <w:szCs w:val="26"/>
        </w:rPr>
      </w:pPr>
      <w:r w:rsidRPr="00665EA0">
        <w:rPr>
          <w:rFonts w:ascii="Arial" w:eastAsia="Calibri" w:hAnsi="Arial" w:cs="Arial"/>
          <w:sz w:val="26"/>
          <w:szCs w:val="26"/>
        </w:rPr>
        <w:t xml:space="preserve">Por último, resulta oportuno exhortar a la </w:t>
      </w:r>
      <w:r w:rsidRPr="00F3778C">
        <w:rPr>
          <w:rFonts w:ascii="Arial" w:eastAsia="Calibri" w:hAnsi="Arial" w:cs="Arial"/>
          <w:sz w:val="26"/>
          <w:szCs w:val="26"/>
        </w:rPr>
        <w:t>Cuarta Sala Unitaria</w:t>
      </w:r>
      <w:r w:rsidRPr="00665EA0">
        <w:rPr>
          <w:rFonts w:ascii="Arial" w:eastAsia="Calibri" w:hAnsi="Arial" w:cs="Arial"/>
          <w:sz w:val="26"/>
          <w:szCs w:val="26"/>
        </w:rPr>
        <w:t xml:space="preserve"> de Primera Instancia, para que en lo sucesivo sustancie de manera pronta los recursos de revisión interpuestos ante su Sala, en contra de actos dictados por su autoridad; ya que de las constancias que conforman los recursos de revisión analizados, se advierte que fueron interpuestos por los recurrentes el trece y diecisiete de marzo de dos mil veinte, y una vez sustanciados conforme a lo establecido en el artículo 207 de la Ley de Justicia Administrativa para el Estado de Oaxaca, fueron remitidos a la Secretaría General de Acuerdos de este Tribunal, para turnar a la Sala Superior para su resolución el veintinueve de abril de dos mil veintiuno, transcurriendo ciento veintidós días </w:t>
      </w:r>
      <w:r w:rsidRPr="00665EA0">
        <w:rPr>
          <w:rFonts w:ascii="Arial" w:hAnsi="Arial" w:cs="Arial"/>
          <w:sz w:val="26"/>
          <w:szCs w:val="26"/>
        </w:rPr>
        <w:t xml:space="preserve">(cuatro meses con siete días) </w:t>
      </w:r>
      <w:r w:rsidRPr="00665EA0">
        <w:rPr>
          <w:rFonts w:ascii="Arial" w:eastAsia="Calibri" w:hAnsi="Arial" w:cs="Arial"/>
          <w:sz w:val="26"/>
          <w:szCs w:val="26"/>
        </w:rPr>
        <w:t>para su substanciación, lo que da como resultado, el retraso a la impartición de justicia y una franca violación a lo previsto en el artículo 17 de la Constitución Política de los Estados Unidos Mexicanos.</w:t>
      </w:r>
      <w:r w:rsidR="00514EE7">
        <w:rPr>
          <w:rFonts w:ascii="Arial" w:eastAsia="Calibri" w:hAnsi="Arial" w:cs="Arial"/>
          <w:sz w:val="26"/>
          <w:szCs w:val="26"/>
        </w:rPr>
        <w:t xml:space="preserve"> - - - - - </w:t>
      </w:r>
    </w:p>
    <w:bookmarkEnd w:id="2"/>
    <w:p w14:paraId="1C0108FA" w14:textId="69D0FB03" w:rsidR="00ED58A7" w:rsidRPr="00AA4698" w:rsidRDefault="00C5182C" w:rsidP="00ED58A7">
      <w:pPr>
        <w:tabs>
          <w:tab w:val="left" w:pos="3828"/>
        </w:tabs>
        <w:spacing w:line="360" w:lineRule="auto"/>
        <w:ind w:firstLine="709"/>
        <w:jc w:val="both"/>
        <w:rPr>
          <w:rFonts w:ascii="Arial" w:eastAsiaTheme="minorHAnsi" w:hAnsi="Arial" w:cs="Arial"/>
          <w:sz w:val="26"/>
          <w:szCs w:val="26"/>
          <w:lang w:eastAsia="en-US"/>
        </w:rPr>
      </w:pPr>
      <w:r>
        <w:rPr>
          <w:rFonts w:ascii="Arial" w:eastAsiaTheme="minorHAnsi" w:hAnsi="Arial" w:cs="Arial"/>
          <w:sz w:val="26"/>
          <w:szCs w:val="26"/>
          <w:lang w:eastAsia="en-US"/>
        </w:rPr>
        <w:t>A</w:t>
      </w:r>
      <w:r w:rsidR="00ED58A7">
        <w:rPr>
          <w:rFonts w:ascii="Arial" w:eastAsiaTheme="minorHAnsi" w:hAnsi="Arial" w:cs="Arial"/>
          <w:sz w:val="26"/>
          <w:szCs w:val="26"/>
          <w:lang w:eastAsia="en-US"/>
        </w:rPr>
        <w:t xml:space="preserve">nte lo </w:t>
      </w:r>
      <w:r w:rsidR="007F74EA">
        <w:rPr>
          <w:rFonts w:ascii="Arial" w:eastAsiaTheme="minorHAnsi" w:hAnsi="Arial" w:cs="Arial"/>
          <w:b/>
          <w:bCs/>
          <w:sz w:val="26"/>
          <w:szCs w:val="26"/>
          <w:lang w:eastAsia="en-US"/>
        </w:rPr>
        <w:t>inoperante</w:t>
      </w:r>
      <w:r w:rsidR="007F74EA">
        <w:rPr>
          <w:rFonts w:ascii="Arial" w:eastAsiaTheme="minorHAnsi" w:hAnsi="Arial" w:cs="Arial"/>
          <w:sz w:val="26"/>
          <w:szCs w:val="26"/>
          <w:lang w:eastAsia="en-US"/>
        </w:rPr>
        <w:t xml:space="preserve"> de los agravios expresados por el primer inconforme, y lo </w:t>
      </w:r>
      <w:r w:rsidR="007F74EA">
        <w:rPr>
          <w:rFonts w:ascii="Arial" w:eastAsiaTheme="minorHAnsi" w:hAnsi="Arial" w:cs="Arial"/>
          <w:b/>
          <w:bCs/>
          <w:sz w:val="26"/>
          <w:szCs w:val="26"/>
          <w:lang w:eastAsia="en-US"/>
        </w:rPr>
        <w:t>f</w:t>
      </w:r>
      <w:r w:rsidR="00FE1F9D" w:rsidRPr="008F241C">
        <w:rPr>
          <w:rFonts w:ascii="Arial" w:eastAsiaTheme="minorHAnsi" w:hAnsi="Arial" w:cs="Arial"/>
          <w:b/>
          <w:bCs/>
          <w:sz w:val="26"/>
          <w:szCs w:val="26"/>
          <w:lang w:eastAsia="en-US"/>
        </w:rPr>
        <w:t>undado</w:t>
      </w:r>
      <w:r w:rsidR="00ED58A7">
        <w:rPr>
          <w:rFonts w:ascii="Arial" w:eastAsiaTheme="minorHAnsi" w:hAnsi="Arial" w:cs="Arial"/>
          <w:sz w:val="26"/>
          <w:szCs w:val="26"/>
          <w:lang w:eastAsia="en-US"/>
        </w:rPr>
        <w:t xml:space="preserve"> del agravio expuesto por el </w:t>
      </w:r>
      <w:r w:rsidR="007F74EA">
        <w:rPr>
          <w:rFonts w:ascii="Arial" w:eastAsiaTheme="minorHAnsi" w:hAnsi="Arial" w:cs="Arial"/>
          <w:sz w:val="26"/>
          <w:szCs w:val="26"/>
          <w:lang w:eastAsia="en-US"/>
        </w:rPr>
        <w:t xml:space="preserve">segundo </w:t>
      </w:r>
      <w:r w:rsidR="00ED58A7">
        <w:rPr>
          <w:rFonts w:ascii="Arial" w:eastAsiaTheme="minorHAnsi" w:hAnsi="Arial" w:cs="Arial"/>
          <w:sz w:val="26"/>
          <w:szCs w:val="26"/>
          <w:lang w:eastAsia="en-US"/>
        </w:rPr>
        <w:t xml:space="preserve">recurrente, </w:t>
      </w:r>
      <w:r w:rsidR="00ED58A7" w:rsidRPr="00AA4698">
        <w:rPr>
          <w:rFonts w:ascii="Arial" w:eastAsiaTheme="minorHAnsi" w:hAnsi="Arial" w:cs="Arial"/>
          <w:sz w:val="26"/>
          <w:szCs w:val="26"/>
          <w:lang w:eastAsia="en-US"/>
        </w:rPr>
        <w:t xml:space="preserve">lo procedente es </w:t>
      </w:r>
      <w:r w:rsidR="00FE1F9D">
        <w:rPr>
          <w:rFonts w:ascii="Arial" w:eastAsiaTheme="minorHAnsi" w:hAnsi="Arial" w:cs="Arial"/>
          <w:b/>
          <w:color w:val="000000"/>
          <w:sz w:val="26"/>
          <w:szCs w:val="26"/>
          <w:lang w:eastAsia="en-US"/>
        </w:rPr>
        <w:t>modificar</w:t>
      </w:r>
      <w:r w:rsidR="00ED58A7" w:rsidRPr="00AA4698">
        <w:rPr>
          <w:rFonts w:ascii="Arial" w:eastAsiaTheme="minorHAnsi" w:hAnsi="Arial" w:cs="Arial"/>
          <w:color w:val="000000"/>
          <w:sz w:val="26"/>
          <w:szCs w:val="26"/>
          <w:lang w:eastAsia="en-US"/>
        </w:rPr>
        <w:t xml:space="preserve"> la sentencia sujeta a revisión, en los términos precisados </w:t>
      </w:r>
      <w:r w:rsidR="007F74EA">
        <w:rPr>
          <w:rFonts w:ascii="Arial" w:eastAsiaTheme="minorHAnsi" w:hAnsi="Arial" w:cs="Arial"/>
          <w:color w:val="000000"/>
          <w:sz w:val="26"/>
          <w:szCs w:val="26"/>
          <w:lang w:eastAsia="en-US"/>
        </w:rPr>
        <w:t xml:space="preserve">en el considerando que antecede, en consecuencia, </w:t>
      </w:r>
      <w:r w:rsidR="00ED58A7" w:rsidRPr="00AA4698">
        <w:rPr>
          <w:rFonts w:ascii="Arial" w:eastAsiaTheme="minorHAnsi" w:hAnsi="Arial" w:cs="Arial"/>
          <w:sz w:val="26"/>
          <w:szCs w:val="26"/>
          <w:lang w:eastAsia="en-US"/>
        </w:rPr>
        <w:t>con fundamento en lo dispuesto por los artículos 2</w:t>
      </w:r>
      <w:r w:rsidR="00ED58A7">
        <w:rPr>
          <w:rFonts w:ascii="Arial" w:eastAsiaTheme="minorHAnsi" w:hAnsi="Arial" w:cs="Arial"/>
          <w:sz w:val="26"/>
          <w:szCs w:val="26"/>
          <w:lang w:eastAsia="en-US"/>
        </w:rPr>
        <w:t>37 y 23</w:t>
      </w:r>
      <w:r w:rsidR="00ED58A7" w:rsidRPr="00AA4698">
        <w:rPr>
          <w:rFonts w:ascii="Arial" w:eastAsiaTheme="minorHAnsi" w:hAnsi="Arial" w:cs="Arial"/>
          <w:sz w:val="26"/>
          <w:szCs w:val="26"/>
          <w:lang w:eastAsia="en-US"/>
        </w:rPr>
        <w:t xml:space="preserve">8 de la Ley de </w:t>
      </w:r>
      <w:r w:rsidR="00ED58A7">
        <w:rPr>
          <w:rFonts w:ascii="Arial" w:eastAsiaTheme="minorHAnsi" w:hAnsi="Arial" w:cs="Arial"/>
          <w:sz w:val="26"/>
          <w:szCs w:val="26"/>
          <w:lang w:eastAsia="en-US"/>
        </w:rPr>
        <w:t xml:space="preserve">Procedimiento y </w:t>
      </w:r>
      <w:r w:rsidR="00ED58A7" w:rsidRPr="00AA4698">
        <w:rPr>
          <w:rFonts w:ascii="Arial" w:eastAsiaTheme="minorHAnsi" w:hAnsi="Arial" w:cs="Arial"/>
          <w:sz w:val="26"/>
          <w:szCs w:val="26"/>
          <w:lang w:eastAsia="en-US"/>
        </w:rPr>
        <w:t>Justicia Administrativa para el Estado de Oaxaca, se:</w:t>
      </w:r>
      <w:r w:rsidR="006345A3">
        <w:rPr>
          <w:rFonts w:ascii="Arial" w:eastAsiaTheme="minorHAnsi" w:hAnsi="Arial" w:cs="Arial"/>
          <w:sz w:val="26"/>
          <w:szCs w:val="26"/>
          <w:lang w:eastAsia="en-US"/>
        </w:rPr>
        <w:t xml:space="preserve"> </w:t>
      </w:r>
      <w:r w:rsidR="006345A3">
        <w:rPr>
          <w:rFonts w:ascii="Arial" w:eastAsia="Times New Roman" w:hAnsi="Arial" w:cs="Arial"/>
          <w:color w:val="000000"/>
          <w:sz w:val="26"/>
          <w:szCs w:val="26"/>
        </w:rPr>
        <w:t xml:space="preserve">- - - - - - - - - - - - - - - - - - - - - - - - - - - - - - - - - - - - - - - - - </w:t>
      </w:r>
    </w:p>
    <w:p w14:paraId="6EC2227A" w14:textId="77777777" w:rsidR="00ED58A7" w:rsidRPr="00AA4698" w:rsidRDefault="00ED58A7" w:rsidP="00ED58A7">
      <w:pPr>
        <w:keepNext/>
        <w:keepLines/>
        <w:spacing w:after="0" w:line="360" w:lineRule="auto"/>
        <w:jc w:val="center"/>
        <w:outlineLvl w:val="0"/>
        <w:rPr>
          <w:rFonts w:ascii="Arial" w:eastAsiaTheme="majorEastAsia" w:hAnsi="Arial" w:cs="Arial"/>
          <w:b/>
          <w:bCs/>
          <w:sz w:val="26"/>
          <w:szCs w:val="26"/>
          <w:lang w:eastAsia="en-US"/>
        </w:rPr>
      </w:pPr>
      <w:r w:rsidRPr="00AA4698">
        <w:rPr>
          <w:rFonts w:ascii="Arial" w:eastAsiaTheme="majorEastAsia" w:hAnsi="Arial" w:cs="Arial"/>
          <w:b/>
          <w:bCs/>
          <w:sz w:val="26"/>
          <w:szCs w:val="26"/>
          <w:lang w:eastAsia="en-US"/>
        </w:rPr>
        <w:lastRenderedPageBreak/>
        <w:t>R E S U E L V E</w:t>
      </w:r>
    </w:p>
    <w:p w14:paraId="28B1A359" w14:textId="592E98B9" w:rsidR="00ED58A7" w:rsidRPr="00AA4698" w:rsidRDefault="00ED58A7" w:rsidP="00ED58A7">
      <w:pPr>
        <w:spacing w:before="240" w:line="360" w:lineRule="auto"/>
        <w:ind w:firstLine="709"/>
        <w:jc w:val="both"/>
        <w:rPr>
          <w:rFonts w:ascii="Arial" w:eastAsiaTheme="minorHAnsi" w:hAnsi="Arial" w:cs="Arial"/>
          <w:b/>
          <w:sz w:val="26"/>
          <w:szCs w:val="26"/>
          <w:lang w:eastAsia="en-US"/>
        </w:rPr>
      </w:pPr>
      <w:r w:rsidRPr="00AA4698">
        <w:rPr>
          <w:rFonts w:ascii="Arial" w:eastAsiaTheme="minorHAnsi" w:hAnsi="Arial" w:cs="Arial"/>
          <w:b/>
          <w:sz w:val="26"/>
          <w:szCs w:val="26"/>
          <w:lang w:eastAsia="en-US"/>
        </w:rPr>
        <w:t xml:space="preserve">PRIMERO. </w:t>
      </w:r>
      <w:r>
        <w:rPr>
          <w:rFonts w:ascii="Arial" w:eastAsiaTheme="minorHAnsi" w:hAnsi="Arial" w:cs="Arial"/>
          <w:sz w:val="26"/>
          <w:szCs w:val="26"/>
          <w:lang w:eastAsia="en-US"/>
        </w:rPr>
        <w:t xml:space="preserve">Se </w:t>
      </w:r>
      <w:r w:rsidRPr="00105DF8">
        <w:rPr>
          <w:rFonts w:ascii="Arial" w:eastAsiaTheme="minorHAnsi" w:hAnsi="Arial" w:cs="Arial"/>
          <w:b/>
          <w:sz w:val="26"/>
          <w:szCs w:val="26"/>
          <w:lang w:eastAsia="en-US"/>
        </w:rPr>
        <w:t>MODIFI</w:t>
      </w:r>
      <w:r w:rsidRPr="00AA4698">
        <w:rPr>
          <w:rFonts w:ascii="Arial" w:eastAsiaTheme="minorHAnsi" w:hAnsi="Arial" w:cs="Arial"/>
          <w:b/>
          <w:sz w:val="26"/>
          <w:szCs w:val="26"/>
          <w:lang w:eastAsia="en-US"/>
        </w:rPr>
        <w:t xml:space="preserve">CA </w:t>
      </w:r>
      <w:r w:rsidRPr="00AA4698">
        <w:rPr>
          <w:rFonts w:ascii="Arial" w:eastAsiaTheme="minorHAnsi" w:hAnsi="Arial" w:cs="Arial"/>
          <w:sz w:val="26"/>
          <w:szCs w:val="26"/>
          <w:lang w:val="es-ES" w:eastAsia="en-US"/>
        </w:rPr>
        <w:t xml:space="preserve">la </w:t>
      </w:r>
      <w:r w:rsidRPr="005F3C73">
        <w:rPr>
          <w:rFonts w:ascii="Arial" w:eastAsiaTheme="minorHAnsi" w:hAnsi="Arial" w:cs="Arial"/>
          <w:sz w:val="26"/>
          <w:szCs w:val="26"/>
          <w:lang w:val="es-ES" w:eastAsia="en-US"/>
        </w:rPr>
        <w:t>sentencia alzada,</w:t>
      </w:r>
      <w:r w:rsidRPr="00AA4698">
        <w:rPr>
          <w:rFonts w:ascii="Arial" w:eastAsiaTheme="minorHAnsi" w:hAnsi="Arial" w:cs="Arial"/>
          <w:b/>
          <w:bCs/>
          <w:color w:val="000000"/>
          <w:sz w:val="26"/>
          <w:szCs w:val="26"/>
          <w:lang w:val="es-ES" w:eastAsia="en-US"/>
        </w:rPr>
        <w:t xml:space="preserve"> </w:t>
      </w:r>
      <w:r w:rsidRPr="00AA4698">
        <w:rPr>
          <w:rFonts w:ascii="Arial" w:eastAsiaTheme="minorHAnsi" w:hAnsi="Arial" w:cs="Arial"/>
          <w:bCs/>
          <w:color w:val="000000"/>
          <w:sz w:val="26"/>
          <w:szCs w:val="26"/>
          <w:lang w:val="es-ES" w:eastAsia="en-US"/>
        </w:rPr>
        <w:t xml:space="preserve">por las razones expuestas en el considerando </w:t>
      </w:r>
      <w:r w:rsidR="00EE742A">
        <w:rPr>
          <w:rFonts w:ascii="Arial" w:eastAsiaTheme="minorHAnsi" w:hAnsi="Arial" w:cs="Arial"/>
          <w:bCs/>
          <w:color w:val="000000"/>
          <w:sz w:val="26"/>
          <w:szCs w:val="26"/>
          <w:lang w:val="es-ES" w:eastAsia="en-US"/>
        </w:rPr>
        <w:t>sexto</w:t>
      </w:r>
      <w:r w:rsidRPr="00AA4698">
        <w:rPr>
          <w:rFonts w:ascii="Arial" w:eastAsiaTheme="minorHAnsi" w:hAnsi="Arial" w:cs="Arial"/>
          <w:b/>
          <w:bCs/>
          <w:color w:val="000000"/>
          <w:sz w:val="26"/>
          <w:szCs w:val="26"/>
          <w:lang w:val="es-ES" w:eastAsia="en-US"/>
        </w:rPr>
        <w:t xml:space="preserve">. </w:t>
      </w:r>
      <w:r w:rsidRPr="00AA4698">
        <w:rPr>
          <w:rFonts w:ascii="Arial" w:eastAsiaTheme="minorHAnsi" w:hAnsi="Arial" w:cs="Arial"/>
          <w:sz w:val="26"/>
          <w:szCs w:val="26"/>
          <w:lang w:val="es-ES" w:eastAsia="en-US"/>
        </w:rPr>
        <w:t>- - - - - - - - - - - - - - - - - - - - - -</w:t>
      </w:r>
      <w:r w:rsidR="00EE742A">
        <w:rPr>
          <w:rFonts w:ascii="Arial" w:eastAsiaTheme="minorHAnsi" w:hAnsi="Arial" w:cs="Arial"/>
          <w:sz w:val="26"/>
          <w:szCs w:val="26"/>
          <w:lang w:val="es-ES" w:eastAsia="en-US"/>
        </w:rPr>
        <w:t xml:space="preserve"> - - - </w:t>
      </w:r>
    </w:p>
    <w:p w14:paraId="41D45F14" w14:textId="64C7340D" w:rsidR="00ED58A7" w:rsidRDefault="00ED58A7" w:rsidP="00ED58A7">
      <w:pPr>
        <w:tabs>
          <w:tab w:val="left" w:pos="3828"/>
        </w:tabs>
        <w:spacing w:line="360" w:lineRule="auto"/>
        <w:ind w:firstLine="709"/>
        <w:jc w:val="both"/>
        <w:rPr>
          <w:rFonts w:ascii="Arial" w:eastAsia="Times New Roman" w:hAnsi="Arial" w:cs="Arial"/>
          <w:color w:val="000000"/>
          <w:sz w:val="26"/>
          <w:szCs w:val="26"/>
        </w:rPr>
      </w:pPr>
      <w:r w:rsidRPr="000C0BC2">
        <w:rPr>
          <w:rFonts w:ascii="Arial" w:eastAsiaTheme="minorHAnsi" w:hAnsi="Arial" w:cs="Arial"/>
          <w:b/>
          <w:sz w:val="26"/>
          <w:szCs w:val="26"/>
          <w:lang w:val="es-ES" w:eastAsia="en-US"/>
        </w:rPr>
        <w:t xml:space="preserve">SEGUNDO. </w:t>
      </w:r>
      <w:r w:rsidRPr="00C351B0">
        <w:rPr>
          <w:rFonts w:ascii="Arial" w:eastAsiaTheme="minorHAnsi" w:hAnsi="Arial" w:cs="Arial"/>
          <w:sz w:val="26"/>
          <w:szCs w:val="26"/>
          <w:lang w:eastAsia="en-US"/>
        </w:rPr>
        <w:t xml:space="preserve">Se declara </w:t>
      </w:r>
      <w:r>
        <w:rPr>
          <w:rFonts w:ascii="Arial" w:eastAsiaTheme="minorHAnsi" w:hAnsi="Arial" w:cs="Arial"/>
          <w:sz w:val="26"/>
          <w:szCs w:val="26"/>
          <w:lang w:val="es-ES" w:eastAsia="en-US"/>
        </w:rPr>
        <w:t xml:space="preserve">la </w:t>
      </w:r>
      <w:r w:rsidRPr="00AA4698">
        <w:rPr>
          <w:rFonts w:ascii="Arial" w:eastAsiaTheme="minorHAnsi" w:hAnsi="Arial" w:cs="Arial"/>
          <w:b/>
          <w:sz w:val="26"/>
          <w:szCs w:val="26"/>
          <w:lang w:val="es-ES" w:eastAsia="en-US"/>
        </w:rPr>
        <w:t>NULIDAD</w:t>
      </w:r>
      <w:r>
        <w:rPr>
          <w:rFonts w:ascii="Arial" w:eastAsiaTheme="minorHAnsi" w:hAnsi="Arial" w:cs="Arial"/>
          <w:b/>
          <w:sz w:val="26"/>
          <w:szCs w:val="26"/>
          <w:lang w:val="es-ES" w:eastAsia="en-US"/>
        </w:rPr>
        <w:t xml:space="preserve"> LISA Y LLANA </w:t>
      </w:r>
      <w:r w:rsidRPr="00C351B0">
        <w:rPr>
          <w:rFonts w:ascii="Arial" w:eastAsia="Times New Roman" w:hAnsi="Arial" w:cs="Arial"/>
          <w:color w:val="000000"/>
          <w:sz w:val="26"/>
          <w:szCs w:val="26"/>
        </w:rPr>
        <w:t xml:space="preserve">del acuerdo dictado </w:t>
      </w:r>
      <w:r w:rsidR="00EE742A">
        <w:rPr>
          <w:rFonts w:ascii="Arial" w:eastAsia="Times New Roman" w:hAnsi="Arial" w:cs="Arial"/>
          <w:color w:val="000000"/>
          <w:sz w:val="26"/>
          <w:szCs w:val="26"/>
        </w:rPr>
        <w:t>el</w:t>
      </w:r>
      <w:r w:rsidRPr="00C351B0">
        <w:rPr>
          <w:rFonts w:ascii="Arial" w:eastAsia="Times New Roman" w:hAnsi="Arial" w:cs="Arial"/>
          <w:color w:val="000000"/>
          <w:sz w:val="26"/>
          <w:szCs w:val="26"/>
        </w:rPr>
        <w:t xml:space="preserve"> dieciséis de agosto de dos mil diecisiete, por el Director de Responsabilidades y Situación Patrimonial de la Secretaría de la Contraloría y Transparencia Gubernamental</w:t>
      </w:r>
      <w:r w:rsidR="00EE742A">
        <w:rPr>
          <w:rFonts w:ascii="Arial" w:eastAsia="Times New Roman" w:hAnsi="Arial" w:cs="Arial"/>
          <w:color w:val="000000"/>
          <w:sz w:val="26"/>
          <w:szCs w:val="26"/>
        </w:rPr>
        <w:t xml:space="preserve">; </w:t>
      </w:r>
      <w:r>
        <w:rPr>
          <w:rFonts w:ascii="Arial" w:eastAsiaTheme="minorHAnsi" w:hAnsi="Arial" w:cs="Arial"/>
          <w:sz w:val="26"/>
          <w:szCs w:val="26"/>
          <w:lang w:val="es-ES" w:eastAsia="en-US"/>
        </w:rPr>
        <w:t>por no ser la autoridad competente para emitir</w:t>
      </w:r>
      <w:r w:rsidR="00EE742A">
        <w:rPr>
          <w:rFonts w:ascii="Arial" w:eastAsiaTheme="minorHAnsi" w:hAnsi="Arial" w:cs="Arial"/>
          <w:sz w:val="26"/>
          <w:szCs w:val="26"/>
          <w:lang w:val="es-ES" w:eastAsia="en-US"/>
        </w:rPr>
        <w:t>l</w:t>
      </w:r>
      <w:r>
        <w:rPr>
          <w:rFonts w:ascii="Arial" w:eastAsiaTheme="minorHAnsi" w:hAnsi="Arial" w:cs="Arial"/>
          <w:sz w:val="26"/>
          <w:szCs w:val="26"/>
          <w:lang w:val="es-ES" w:eastAsia="en-US"/>
        </w:rPr>
        <w:t xml:space="preserve">o; debiendo quedar sin efectos </w:t>
      </w:r>
      <w:r w:rsidRPr="00C351B0">
        <w:rPr>
          <w:rFonts w:ascii="Arial" w:eastAsia="Times New Roman" w:hAnsi="Arial" w:cs="Arial"/>
          <w:color w:val="000000"/>
          <w:sz w:val="26"/>
          <w:szCs w:val="26"/>
        </w:rPr>
        <w:t xml:space="preserve">todas las actuaciones </w:t>
      </w:r>
      <w:r>
        <w:rPr>
          <w:rFonts w:ascii="Arial" w:eastAsia="Times New Roman" w:hAnsi="Arial" w:cs="Arial"/>
          <w:color w:val="000000"/>
          <w:sz w:val="26"/>
          <w:szCs w:val="26"/>
        </w:rPr>
        <w:t xml:space="preserve">realizadas </w:t>
      </w:r>
      <w:r w:rsidRPr="00C351B0">
        <w:rPr>
          <w:rFonts w:ascii="Arial" w:eastAsia="Times New Roman" w:hAnsi="Arial" w:cs="Arial"/>
          <w:color w:val="000000"/>
          <w:sz w:val="26"/>
          <w:szCs w:val="26"/>
        </w:rPr>
        <w:t xml:space="preserve">en </w:t>
      </w:r>
      <w:r>
        <w:rPr>
          <w:rFonts w:ascii="Arial" w:eastAsia="Times New Roman" w:hAnsi="Arial" w:cs="Arial"/>
          <w:color w:val="000000"/>
          <w:sz w:val="26"/>
          <w:szCs w:val="26"/>
        </w:rPr>
        <w:t>el</w:t>
      </w:r>
      <w:r w:rsidRPr="00C351B0">
        <w:rPr>
          <w:rFonts w:ascii="Arial" w:eastAsia="Times New Roman" w:hAnsi="Arial" w:cs="Arial"/>
          <w:color w:val="000000"/>
          <w:sz w:val="26"/>
          <w:szCs w:val="26"/>
        </w:rPr>
        <w:t xml:space="preserve"> expediente administrativo número 46/RA-B/2016, </w:t>
      </w:r>
      <w:r>
        <w:rPr>
          <w:rFonts w:ascii="Arial" w:eastAsia="Times New Roman" w:hAnsi="Arial" w:cs="Arial"/>
          <w:color w:val="000000"/>
          <w:sz w:val="26"/>
          <w:szCs w:val="26"/>
        </w:rPr>
        <w:t xml:space="preserve">así como en el recurso de revocación correspondiente número </w:t>
      </w:r>
      <w:r w:rsidRPr="00C351B0">
        <w:rPr>
          <w:rFonts w:ascii="Arial" w:eastAsia="Times New Roman" w:hAnsi="Arial" w:cs="Arial"/>
          <w:color w:val="000000"/>
          <w:sz w:val="26"/>
          <w:szCs w:val="26"/>
        </w:rPr>
        <w:t xml:space="preserve">07/RR/2018, del índice de la Secretaría </w:t>
      </w:r>
      <w:r>
        <w:rPr>
          <w:rFonts w:ascii="Arial" w:eastAsia="Times New Roman" w:hAnsi="Arial" w:cs="Arial"/>
          <w:color w:val="000000"/>
          <w:sz w:val="26"/>
          <w:szCs w:val="26"/>
        </w:rPr>
        <w:t>mencionada</w:t>
      </w:r>
      <w:r w:rsidRPr="00C351B0">
        <w:rPr>
          <w:rFonts w:ascii="Arial" w:eastAsia="Times New Roman" w:hAnsi="Arial" w:cs="Arial"/>
          <w:color w:val="000000"/>
          <w:sz w:val="26"/>
          <w:szCs w:val="26"/>
        </w:rPr>
        <w:t>,</w:t>
      </w:r>
      <w:r>
        <w:rPr>
          <w:rFonts w:ascii="Arial" w:eastAsia="Times New Roman" w:hAnsi="Arial" w:cs="Arial"/>
          <w:color w:val="000000"/>
          <w:sz w:val="26"/>
          <w:szCs w:val="26"/>
        </w:rPr>
        <w:t xml:space="preserve"> </w:t>
      </w:r>
      <w:r w:rsidRPr="00C351B0">
        <w:rPr>
          <w:rFonts w:ascii="Arial" w:eastAsia="Times New Roman" w:hAnsi="Arial" w:cs="Arial"/>
          <w:color w:val="000000"/>
          <w:sz w:val="26"/>
          <w:szCs w:val="26"/>
        </w:rPr>
        <w:t xml:space="preserve"> </w:t>
      </w:r>
      <w:r>
        <w:rPr>
          <w:rFonts w:ascii="Arial" w:eastAsia="Times New Roman" w:hAnsi="Arial" w:cs="Arial"/>
          <w:color w:val="000000"/>
          <w:sz w:val="26"/>
          <w:szCs w:val="26"/>
        </w:rPr>
        <w:t xml:space="preserve">incluido el </w:t>
      </w:r>
      <w:r w:rsidRPr="00C351B0">
        <w:rPr>
          <w:rFonts w:ascii="Arial" w:eastAsia="Times New Roman" w:hAnsi="Arial" w:cs="Arial"/>
          <w:color w:val="000000"/>
          <w:sz w:val="26"/>
          <w:szCs w:val="26"/>
        </w:rPr>
        <w:t>registro de la sanción impuesta al actor</w:t>
      </w:r>
      <w:r>
        <w:rPr>
          <w:rFonts w:ascii="Arial" w:eastAsia="Times New Roman" w:hAnsi="Arial" w:cs="Arial"/>
          <w:color w:val="000000"/>
          <w:sz w:val="26"/>
          <w:szCs w:val="26"/>
        </w:rPr>
        <w:t xml:space="preserve">, por carecer de validez jurídica. - - - - - </w:t>
      </w:r>
      <w:r w:rsidR="00EE742A">
        <w:rPr>
          <w:rFonts w:ascii="Arial" w:eastAsia="Times New Roman" w:hAnsi="Arial" w:cs="Arial"/>
          <w:color w:val="000000"/>
          <w:sz w:val="26"/>
          <w:szCs w:val="26"/>
        </w:rPr>
        <w:t xml:space="preserve">- </w:t>
      </w:r>
    </w:p>
    <w:p w14:paraId="22DAD05A" w14:textId="377FD2E7" w:rsidR="00D02C37" w:rsidRDefault="00D02C37" w:rsidP="00D02C37">
      <w:pPr>
        <w:spacing w:before="120" w:after="0" w:line="360" w:lineRule="auto"/>
        <w:ind w:firstLine="709"/>
        <w:jc w:val="both"/>
        <w:rPr>
          <w:rFonts w:ascii="Arial" w:hAnsi="Arial" w:cs="Arial"/>
          <w:sz w:val="26"/>
          <w:szCs w:val="26"/>
        </w:rPr>
      </w:pPr>
      <w:r>
        <w:rPr>
          <w:rFonts w:ascii="Arial" w:hAnsi="Arial" w:cs="Arial"/>
          <w:b/>
          <w:sz w:val="26"/>
          <w:szCs w:val="26"/>
        </w:rPr>
        <w:t>TERCERO</w:t>
      </w:r>
      <w:r w:rsidRPr="001E435C">
        <w:rPr>
          <w:rFonts w:ascii="Arial" w:hAnsi="Arial" w:cs="Arial"/>
          <w:sz w:val="26"/>
          <w:szCs w:val="26"/>
        </w:rPr>
        <w:t>.</w:t>
      </w:r>
      <w:r w:rsidRPr="006C5AD9">
        <w:rPr>
          <w:rFonts w:ascii="Arial" w:hAnsi="Arial" w:cs="Arial"/>
          <w:sz w:val="26"/>
          <w:szCs w:val="26"/>
        </w:rPr>
        <w:t xml:space="preserve"> </w:t>
      </w:r>
      <w:r>
        <w:rPr>
          <w:rFonts w:ascii="Arial" w:hAnsi="Arial" w:cs="Arial"/>
          <w:sz w:val="26"/>
          <w:szCs w:val="26"/>
        </w:rPr>
        <w:t xml:space="preserve">Glósese </w:t>
      </w:r>
      <w:r w:rsidRPr="00894AC8">
        <w:rPr>
          <w:rFonts w:ascii="Arial" w:hAnsi="Arial" w:cs="Arial"/>
          <w:sz w:val="26"/>
          <w:szCs w:val="26"/>
        </w:rPr>
        <w:t>copia certificada de la presente resol</w:t>
      </w:r>
      <w:r>
        <w:rPr>
          <w:rFonts w:ascii="Arial" w:hAnsi="Arial" w:cs="Arial"/>
          <w:sz w:val="26"/>
          <w:szCs w:val="26"/>
        </w:rPr>
        <w:t xml:space="preserve">ución al recurso de revisión 0154/2020, para los efectos legales correspondientes. - - - - - - - - - - - - - - - - - - - - - - - - - - - - - - - - - - - - - - - </w:t>
      </w:r>
    </w:p>
    <w:p w14:paraId="4924C65E" w14:textId="2284E982" w:rsidR="00D02C37" w:rsidRPr="00D02C37" w:rsidRDefault="00D02C37" w:rsidP="00D02C37">
      <w:pPr>
        <w:widowControl w:val="0"/>
        <w:tabs>
          <w:tab w:val="left" w:pos="7938"/>
        </w:tabs>
        <w:spacing w:before="120" w:after="0" w:line="360" w:lineRule="auto"/>
        <w:ind w:right="17" w:firstLine="709"/>
        <w:jc w:val="both"/>
        <w:rPr>
          <w:rFonts w:ascii="Arial" w:hAnsi="Arial" w:cs="Arial"/>
          <w:sz w:val="26"/>
          <w:szCs w:val="26"/>
        </w:rPr>
      </w:pPr>
      <w:r>
        <w:rPr>
          <w:rFonts w:ascii="Arial" w:hAnsi="Arial" w:cs="Arial"/>
          <w:b/>
          <w:sz w:val="26"/>
          <w:szCs w:val="26"/>
        </w:rPr>
        <w:t>CUARTO</w:t>
      </w:r>
      <w:r w:rsidRPr="006C5AD9">
        <w:rPr>
          <w:rFonts w:ascii="Arial" w:hAnsi="Arial" w:cs="Arial"/>
          <w:b/>
          <w:sz w:val="26"/>
          <w:szCs w:val="26"/>
        </w:rPr>
        <w:t>.</w:t>
      </w:r>
      <w:r>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Pr>
          <w:rFonts w:ascii="Arial" w:hAnsi="Arial" w:cs="Arial"/>
          <w:sz w:val="26"/>
          <w:szCs w:val="26"/>
        </w:rPr>
        <w:t xml:space="preserve">Sexta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revisión como asunto concluido. - - - </w:t>
      </w:r>
    </w:p>
    <w:p w14:paraId="0E9758A2" w14:textId="477A7B22" w:rsidR="00006059" w:rsidRDefault="00036F65" w:rsidP="00006059">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006059">
        <w:rPr>
          <w:rFonts w:ascii="Arial" w:hAnsi="Arial" w:cs="Arial"/>
          <w:sz w:val="26"/>
          <w:szCs w:val="26"/>
        </w:rPr>
        <w:t>Por unanimidad de votos, lo resolvieron y firmaron los Magistrados integrantes de la Sala Superior, Manuel Velasco Alcántara</w:t>
      </w:r>
      <w:r w:rsidR="004206EB">
        <w:rPr>
          <w:rFonts w:ascii="Arial" w:hAnsi="Arial" w:cs="Arial"/>
          <w:sz w:val="26"/>
          <w:szCs w:val="26"/>
        </w:rPr>
        <w:t xml:space="preserve"> </w:t>
      </w:r>
      <w:r w:rsidR="004206EB">
        <w:rPr>
          <w:rFonts w:ascii="Arial" w:hAnsi="Arial" w:cs="Arial"/>
          <w:b/>
          <w:bCs/>
          <w:sz w:val="26"/>
          <w:szCs w:val="26"/>
        </w:rPr>
        <w:t>(ponente)</w:t>
      </w:r>
      <w:r w:rsidR="004206EB">
        <w:rPr>
          <w:rFonts w:ascii="Arial" w:hAnsi="Arial" w:cs="Arial"/>
          <w:sz w:val="26"/>
          <w:szCs w:val="26"/>
        </w:rPr>
        <w:t xml:space="preserve">, </w:t>
      </w:r>
      <w:r w:rsidR="00006059">
        <w:rPr>
          <w:rFonts w:ascii="Arial" w:hAnsi="Arial" w:cs="Arial"/>
          <w:sz w:val="26"/>
          <w:szCs w:val="26"/>
        </w:rPr>
        <w:t xml:space="preserve"> Abraham Santiago Soriano Gloria del Carmen Camacho Meza y Paulo José Luis Tapia Palacios, con excusa aprobada del Magistrado Raúl Palomares Palomino para conocer, discutir y resolver en la presente resolución, quienes actúan con el Licenciado Juan Edy García Coronado, Secretario General de Acuerdos de este Tribunal, que autoriza y da fe. - - - - - - - - - - - - - - - - -  - - - - - - - - - - - - - - - - - - - - - - -</w:t>
      </w:r>
    </w:p>
    <w:p w14:paraId="5F30050F" w14:textId="77777777" w:rsidR="00006059" w:rsidRPr="00F801FF" w:rsidRDefault="00006059" w:rsidP="00006059">
      <w:pPr>
        <w:spacing w:after="0" w:line="360" w:lineRule="auto"/>
        <w:ind w:right="51"/>
        <w:jc w:val="both"/>
        <w:rPr>
          <w:rFonts w:ascii="Arial" w:eastAsiaTheme="minorHAnsi" w:hAnsi="Arial" w:cs="Arial"/>
          <w:color w:val="000000" w:themeColor="text1"/>
          <w:sz w:val="26"/>
          <w:szCs w:val="26"/>
          <w:lang w:eastAsia="en-US"/>
        </w:rPr>
      </w:pPr>
    </w:p>
    <w:p w14:paraId="19D13D7F" w14:textId="77777777" w:rsidR="00006059" w:rsidRDefault="00006059" w:rsidP="00006059">
      <w:pPr>
        <w:pStyle w:val="Sinespaciado"/>
        <w:rPr>
          <w:rFonts w:ascii="Arial" w:hAnsi="Arial" w:cs="Arial"/>
          <w:sz w:val="26"/>
          <w:szCs w:val="26"/>
        </w:rPr>
      </w:pPr>
    </w:p>
    <w:p w14:paraId="0B30E9F0" w14:textId="77777777" w:rsidR="00006059" w:rsidRDefault="00006059" w:rsidP="00006059">
      <w:pPr>
        <w:pStyle w:val="Sinespaciado"/>
        <w:rPr>
          <w:rFonts w:ascii="Arial" w:hAnsi="Arial" w:cs="Arial"/>
          <w:sz w:val="26"/>
          <w:szCs w:val="26"/>
        </w:rPr>
      </w:pPr>
    </w:p>
    <w:p w14:paraId="6E8B4386" w14:textId="77777777" w:rsidR="00006059" w:rsidRDefault="00006059" w:rsidP="00006059">
      <w:pPr>
        <w:pStyle w:val="Sinespaciado"/>
        <w:jc w:val="center"/>
        <w:rPr>
          <w:rFonts w:ascii="Arial" w:hAnsi="Arial" w:cs="Arial"/>
          <w:sz w:val="26"/>
          <w:szCs w:val="26"/>
        </w:rPr>
      </w:pPr>
    </w:p>
    <w:p w14:paraId="6FAA5361" w14:textId="77777777" w:rsidR="00006059" w:rsidRDefault="00006059" w:rsidP="00006059">
      <w:pPr>
        <w:pStyle w:val="Sinespaciado"/>
        <w:jc w:val="center"/>
        <w:rPr>
          <w:rFonts w:ascii="Arial" w:hAnsi="Arial" w:cs="Arial"/>
          <w:sz w:val="26"/>
          <w:szCs w:val="26"/>
        </w:rPr>
      </w:pPr>
      <w:r>
        <w:rPr>
          <w:rFonts w:ascii="Arial" w:hAnsi="Arial" w:cs="Arial"/>
          <w:sz w:val="26"/>
          <w:szCs w:val="26"/>
        </w:rPr>
        <w:t>MAGISTRADO MANUEL VELASCO ALCÁNTARA</w:t>
      </w:r>
    </w:p>
    <w:p w14:paraId="744D990F" w14:textId="77777777" w:rsidR="00006059" w:rsidRDefault="00006059" w:rsidP="00006059">
      <w:pPr>
        <w:pStyle w:val="Sinespaciado"/>
        <w:jc w:val="center"/>
        <w:rPr>
          <w:rFonts w:ascii="Arial" w:hAnsi="Arial" w:cs="Arial"/>
          <w:sz w:val="26"/>
          <w:szCs w:val="26"/>
        </w:rPr>
      </w:pPr>
      <w:r>
        <w:rPr>
          <w:rFonts w:ascii="Arial" w:hAnsi="Arial" w:cs="Arial"/>
          <w:sz w:val="26"/>
          <w:szCs w:val="26"/>
        </w:rPr>
        <w:t>PRESIDENTE</w:t>
      </w:r>
    </w:p>
    <w:p w14:paraId="5FF5D925" w14:textId="77777777" w:rsidR="00006059" w:rsidRDefault="00006059" w:rsidP="00006059">
      <w:pPr>
        <w:tabs>
          <w:tab w:val="center" w:pos="4135"/>
          <w:tab w:val="left" w:pos="7515"/>
        </w:tabs>
        <w:spacing w:line="360" w:lineRule="auto"/>
        <w:jc w:val="center"/>
        <w:rPr>
          <w:rFonts w:ascii="Arial" w:hAnsi="Arial" w:cs="Arial"/>
          <w:b/>
          <w:bCs/>
          <w:sz w:val="18"/>
          <w:szCs w:val="18"/>
        </w:rPr>
      </w:pPr>
    </w:p>
    <w:p w14:paraId="759854A7" w14:textId="77777777" w:rsidR="00006059" w:rsidRDefault="00006059" w:rsidP="00006059">
      <w:pPr>
        <w:tabs>
          <w:tab w:val="center" w:pos="4135"/>
          <w:tab w:val="left" w:pos="7515"/>
        </w:tabs>
        <w:spacing w:line="360" w:lineRule="auto"/>
        <w:rPr>
          <w:rFonts w:ascii="Arial" w:hAnsi="Arial" w:cs="Arial"/>
          <w:sz w:val="26"/>
          <w:szCs w:val="26"/>
        </w:rPr>
      </w:pPr>
    </w:p>
    <w:p w14:paraId="6FF4804E" w14:textId="77777777" w:rsidR="00006059" w:rsidRDefault="00006059" w:rsidP="00006059">
      <w:pPr>
        <w:tabs>
          <w:tab w:val="center" w:pos="4135"/>
          <w:tab w:val="left" w:pos="7515"/>
        </w:tabs>
        <w:spacing w:line="360" w:lineRule="auto"/>
        <w:rPr>
          <w:rFonts w:ascii="Arial" w:hAnsi="Arial" w:cs="Arial"/>
          <w:sz w:val="26"/>
          <w:szCs w:val="26"/>
        </w:rPr>
      </w:pPr>
    </w:p>
    <w:p w14:paraId="11EB1112" w14:textId="77777777" w:rsidR="00006059" w:rsidRDefault="00006059" w:rsidP="00006059">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01FAA633" w14:textId="508EC6AF" w:rsidR="00006059" w:rsidRPr="00006059" w:rsidRDefault="00006059" w:rsidP="00006059">
      <w:pPr>
        <w:tabs>
          <w:tab w:val="center" w:pos="4135"/>
          <w:tab w:val="left" w:pos="7515"/>
        </w:tabs>
        <w:spacing w:line="360" w:lineRule="auto"/>
        <w:rPr>
          <w:rFonts w:ascii="Arial" w:hAnsi="Arial" w:cs="Arial"/>
          <w:b/>
          <w:bCs/>
          <w:sz w:val="20"/>
          <w:szCs w:val="20"/>
        </w:rPr>
      </w:pPr>
      <w:r w:rsidRPr="00006059">
        <w:rPr>
          <w:rFonts w:ascii="Arial" w:hAnsi="Arial" w:cs="Arial"/>
          <w:b/>
          <w:bCs/>
          <w:sz w:val="20"/>
          <w:szCs w:val="20"/>
        </w:rPr>
        <w:lastRenderedPageBreak/>
        <w:t>LAS PRESENTES FIRMAS CORRESPONDEN AL RECURSO DE REVISIÓN 0153/2020.</w:t>
      </w:r>
    </w:p>
    <w:p w14:paraId="07C6B105" w14:textId="77777777" w:rsidR="00006059" w:rsidRDefault="00006059" w:rsidP="00006059">
      <w:pPr>
        <w:tabs>
          <w:tab w:val="center" w:pos="4135"/>
          <w:tab w:val="left" w:pos="7515"/>
        </w:tabs>
        <w:spacing w:line="360" w:lineRule="auto"/>
        <w:jc w:val="center"/>
        <w:rPr>
          <w:rFonts w:ascii="Arial" w:hAnsi="Arial" w:cs="Arial"/>
          <w:sz w:val="26"/>
          <w:szCs w:val="26"/>
        </w:rPr>
      </w:pPr>
    </w:p>
    <w:p w14:paraId="6C81D306" w14:textId="5C13B4F8" w:rsidR="00006059" w:rsidRDefault="00006059" w:rsidP="00006059">
      <w:pPr>
        <w:tabs>
          <w:tab w:val="center" w:pos="4135"/>
          <w:tab w:val="left" w:pos="7515"/>
        </w:tabs>
        <w:spacing w:line="360" w:lineRule="auto"/>
        <w:jc w:val="center"/>
        <w:rPr>
          <w:rFonts w:ascii="Arial" w:hAnsi="Arial" w:cs="Arial"/>
          <w:sz w:val="26"/>
          <w:szCs w:val="26"/>
        </w:rPr>
      </w:pPr>
    </w:p>
    <w:p w14:paraId="68F3FC51" w14:textId="732390FB" w:rsidR="00006059" w:rsidRDefault="00006059" w:rsidP="00006059">
      <w:pPr>
        <w:tabs>
          <w:tab w:val="center" w:pos="4135"/>
          <w:tab w:val="left" w:pos="7515"/>
        </w:tabs>
        <w:spacing w:line="360" w:lineRule="auto"/>
        <w:jc w:val="center"/>
        <w:rPr>
          <w:rFonts w:ascii="Arial" w:hAnsi="Arial" w:cs="Arial"/>
          <w:sz w:val="26"/>
          <w:szCs w:val="26"/>
        </w:rPr>
      </w:pPr>
    </w:p>
    <w:p w14:paraId="367DDA0E" w14:textId="77777777" w:rsidR="00006059" w:rsidRDefault="00006059" w:rsidP="00006059">
      <w:pPr>
        <w:tabs>
          <w:tab w:val="center" w:pos="4135"/>
          <w:tab w:val="left" w:pos="7515"/>
        </w:tabs>
        <w:spacing w:line="360" w:lineRule="auto"/>
        <w:jc w:val="center"/>
        <w:rPr>
          <w:rFonts w:ascii="Arial" w:hAnsi="Arial" w:cs="Arial"/>
          <w:sz w:val="26"/>
          <w:szCs w:val="26"/>
        </w:rPr>
      </w:pPr>
    </w:p>
    <w:p w14:paraId="4B898594" w14:textId="77777777" w:rsidR="00006059" w:rsidRDefault="00006059" w:rsidP="00006059">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5D66BC9" w14:textId="77777777" w:rsidR="00006059" w:rsidRDefault="00006059" w:rsidP="00006059">
      <w:pPr>
        <w:tabs>
          <w:tab w:val="left" w:pos="1925"/>
          <w:tab w:val="center" w:pos="4135"/>
        </w:tabs>
        <w:rPr>
          <w:rFonts w:ascii="Arial" w:hAnsi="Arial" w:cs="Arial"/>
          <w:sz w:val="26"/>
          <w:szCs w:val="26"/>
        </w:rPr>
      </w:pPr>
    </w:p>
    <w:p w14:paraId="3DF1E2E0" w14:textId="15232215" w:rsidR="00006059" w:rsidRDefault="00006059" w:rsidP="00006059">
      <w:pPr>
        <w:tabs>
          <w:tab w:val="left" w:pos="1925"/>
          <w:tab w:val="center" w:pos="4135"/>
        </w:tabs>
        <w:jc w:val="center"/>
        <w:rPr>
          <w:rFonts w:ascii="Arial" w:hAnsi="Arial" w:cs="Arial"/>
          <w:sz w:val="26"/>
          <w:szCs w:val="26"/>
        </w:rPr>
      </w:pPr>
    </w:p>
    <w:p w14:paraId="7FDF2EAE" w14:textId="77777777" w:rsidR="00006059" w:rsidRDefault="00006059" w:rsidP="00006059">
      <w:pPr>
        <w:tabs>
          <w:tab w:val="left" w:pos="1925"/>
          <w:tab w:val="center" w:pos="4135"/>
        </w:tabs>
        <w:jc w:val="center"/>
        <w:rPr>
          <w:rFonts w:ascii="Arial" w:hAnsi="Arial" w:cs="Arial"/>
          <w:sz w:val="26"/>
          <w:szCs w:val="26"/>
        </w:rPr>
      </w:pPr>
    </w:p>
    <w:p w14:paraId="039971BD" w14:textId="77777777" w:rsidR="00006059" w:rsidRDefault="00006059" w:rsidP="00006059">
      <w:pPr>
        <w:tabs>
          <w:tab w:val="left" w:pos="1925"/>
          <w:tab w:val="center" w:pos="4135"/>
        </w:tabs>
        <w:jc w:val="center"/>
        <w:rPr>
          <w:rFonts w:ascii="Arial" w:hAnsi="Arial" w:cs="Arial"/>
          <w:sz w:val="26"/>
          <w:szCs w:val="26"/>
        </w:rPr>
      </w:pPr>
    </w:p>
    <w:p w14:paraId="30AD0247" w14:textId="77777777" w:rsidR="00006059" w:rsidRDefault="00006059" w:rsidP="00006059">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783D347B" w14:textId="300ECC1D" w:rsidR="00006059" w:rsidRDefault="00006059" w:rsidP="00006059">
      <w:pPr>
        <w:tabs>
          <w:tab w:val="left" w:pos="1925"/>
          <w:tab w:val="center" w:pos="4135"/>
        </w:tabs>
        <w:rPr>
          <w:rFonts w:ascii="Arial" w:hAnsi="Arial" w:cs="Arial"/>
          <w:sz w:val="26"/>
          <w:szCs w:val="26"/>
        </w:rPr>
      </w:pPr>
    </w:p>
    <w:p w14:paraId="42B93499" w14:textId="77777777" w:rsidR="00006059" w:rsidRDefault="00006059" w:rsidP="00006059">
      <w:pPr>
        <w:tabs>
          <w:tab w:val="left" w:pos="1925"/>
          <w:tab w:val="center" w:pos="4135"/>
        </w:tabs>
        <w:rPr>
          <w:rFonts w:ascii="Arial" w:hAnsi="Arial" w:cs="Arial"/>
          <w:sz w:val="26"/>
          <w:szCs w:val="26"/>
        </w:rPr>
      </w:pPr>
    </w:p>
    <w:p w14:paraId="5F1358F4" w14:textId="77777777" w:rsidR="00006059" w:rsidRDefault="00006059" w:rsidP="00006059">
      <w:pPr>
        <w:tabs>
          <w:tab w:val="left" w:pos="1925"/>
          <w:tab w:val="center" w:pos="4135"/>
        </w:tabs>
        <w:jc w:val="center"/>
        <w:rPr>
          <w:rFonts w:ascii="Arial" w:hAnsi="Arial" w:cs="Arial"/>
          <w:sz w:val="26"/>
          <w:szCs w:val="26"/>
        </w:rPr>
      </w:pPr>
    </w:p>
    <w:p w14:paraId="044875AA" w14:textId="77777777" w:rsidR="00006059" w:rsidRDefault="00006059" w:rsidP="00006059">
      <w:pPr>
        <w:pStyle w:val="Sinespaciado"/>
        <w:jc w:val="center"/>
        <w:rPr>
          <w:rFonts w:ascii="Arial" w:hAnsi="Arial" w:cs="Arial"/>
          <w:sz w:val="26"/>
          <w:szCs w:val="26"/>
        </w:rPr>
      </w:pPr>
      <w:r>
        <w:rPr>
          <w:rFonts w:ascii="Arial" w:hAnsi="Arial" w:cs="Arial"/>
          <w:sz w:val="26"/>
          <w:szCs w:val="26"/>
        </w:rPr>
        <w:t>LICENCIADO JUAN EDY GARCÍA CORONADO</w:t>
      </w:r>
    </w:p>
    <w:p w14:paraId="6AD6B93F" w14:textId="77777777" w:rsidR="00006059" w:rsidRDefault="00006059" w:rsidP="00006059">
      <w:pPr>
        <w:pStyle w:val="Sinespaciado"/>
        <w:jc w:val="center"/>
        <w:rPr>
          <w:rFonts w:ascii="Arial" w:hAnsi="Arial" w:cs="Arial"/>
          <w:sz w:val="26"/>
          <w:szCs w:val="26"/>
        </w:rPr>
      </w:pPr>
      <w:r>
        <w:rPr>
          <w:rFonts w:ascii="Arial" w:hAnsi="Arial" w:cs="Arial"/>
          <w:sz w:val="26"/>
          <w:szCs w:val="26"/>
        </w:rPr>
        <w:t>SECRETARIO GENERAL DE ACUERDOS</w:t>
      </w:r>
    </w:p>
    <w:p w14:paraId="17B33A4E" w14:textId="77777777" w:rsidR="00446215" w:rsidRDefault="00446215" w:rsidP="00006059">
      <w:pPr>
        <w:widowControl w:val="0"/>
        <w:tabs>
          <w:tab w:val="left" w:pos="7938"/>
          <w:tab w:val="left" w:pos="8222"/>
        </w:tabs>
        <w:spacing w:before="120" w:after="100" w:afterAutospacing="1" w:line="360" w:lineRule="auto"/>
        <w:ind w:right="49"/>
        <w:jc w:val="both"/>
        <w:rPr>
          <w:rFonts w:ascii="Arial" w:eastAsiaTheme="minorHAnsi" w:hAnsi="Arial" w:cs="Arial"/>
          <w:sz w:val="26"/>
          <w:szCs w:val="26"/>
          <w:lang w:eastAsia="en-US"/>
        </w:rPr>
      </w:pPr>
    </w:p>
    <w:sectPr w:rsidR="00446215" w:rsidSect="00243957">
      <w:headerReference w:type="even" r:id="rId14"/>
      <w:headerReference w:type="default" r:id="rId15"/>
      <w:footerReference w:type="default" r:id="rId16"/>
      <w:headerReference w:type="first" r:id="rId17"/>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D49DF6" w14:textId="77777777" w:rsidR="002B1F8D" w:rsidRDefault="002B1F8D">
      <w:pPr>
        <w:spacing w:after="0" w:line="240" w:lineRule="auto"/>
      </w:pPr>
      <w:r>
        <w:separator/>
      </w:r>
    </w:p>
  </w:endnote>
  <w:endnote w:type="continuationSeparator" w:id="0">
    <w:p w14:paraId="4E103200" w14:textId="77777777" w:rsidR="002B1F8D" w:rsidRDefault="002B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B92133" w:rsidRDefault="00B92133">
    <w:pPr>
      <w:pStyle w:val="Piedepgina"/>
      <w:jc w:val="center"/>
    </w:pPr>
  </w:p>
  <w:p w14:paraId="195FF414" w14:textId="77777777" w:rsidR="00B92133" w:rsidRDefault="00B9213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113448" w14:textId="77777777" w:rsidR="002B1F8D" w:rsidRDefault="002B1F8D">
      <w:pPr>
        <w:spacing w:after="0" w:line="240" w:lineRule="auto"/>
      </w:pPr>
      <w:r>
        <w:separator/>
      </w:r>
    </w:p>
  </w:footnote>
  <w:footnote w:type="continuationSeparator" w:id="0">
    <w:p w14:paraId="7A5A5067" w14:textId="77777777" w:rsidR="002B1F8D" w:rsidRDefault="002B1F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B92133" w:rsidRDefault="000F18E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B92133">
          <w:fldChar w:fldCharType="begin"/>
        </w:r>
        <w:r w:rsidR="00B92133">
          <w:instrText>PAGE   \* MERGEFORMAT</w:instrText>
        </w:r>
        <w:r w:rsidR="00B92133">
          <w:fldChar w:fldCharType="separate"/>
        </w:r>
        <w:r w:rsidRPr="000F18ED">
          <w:rPr>
            <w:noProof/>
            <w:lang w:val="es-ES"/>
          </w:rPr>
          <w:t>20</w:t>
        </w:r>
        <w:r w:rsidR="00B92133">
          <w:fldChar w:fldCharType="end"/>
        </w:r>
      </w:p>
    </w:sdtContent>
  </w:sdt>
  <w:p w14:paraId="0E68208C" w14:textId="77777777" w:rsidR="00B92133" w:rsidRDefault="00B9213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B92133" w:rsidRDefault="000F18E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B92133">
          <w:fldChar w:fldCharType="begin"/>
        </w:r>
        <w:r w:rsidR="00B92133">
          <w:instrText>PAGE   \* MERGEFORMAT</w:instrText>
        </w:r>
        <w:r w:rsidR="00B92133">
          <w:fldChar w:fldCharType="separate"/>
        </w:r>
        <w:r w:rsidRPr="000F18ED">
          <w:rPr>
            <w:noProof/>
            <w:lang w:val="es-ES"/>
          </w:rPr>
          <w:t>21</w:t>
        </w:r>
        <w:r w:rsidR="00B92133">
          <w:fldChar w:fldCharType="end"/>
        </w:r>
      </w:sdtContent>
    </w:sdt>
  </w:p>
  <w:p w14:paraId="51E22156" w14:textId="78C081E3" w:rsidR="00B92133" w:rsidRDefault="00B92133"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B92133" w:rsidRDefault="000F18E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C335AE3"/>
    <w:multiLevelType w:val="hybridMultilevel"/>
    <w:tmpl w:val="1A2205D4"/>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6AC"/>
    <w:rsid w:val="00005B69"/>
    <w:rsid w:val="00005BCB"/>
    <w:rsid w:val="00005EA0"/>
    <w:rsid w:val="00006059"/>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3F4"/>
    <w:rsid w:val="000174F5"/>
    <w:rsid w:val="00020680"/>
    <w:rsid w:val="00020D86"/>
    <w:rsid w:val="00021989"/>
    <w:rsid w:val="00021B04"/>
    <w:rsid w:val="00021C5F"/>
    <w:rsid w:val="00022BBC"/>
    <w:rsid w:val="00023F33"/>
    <w:rsid w:val="00024545"/>
    <w:rsid w:val="00025BEB"/>
    <w:rsid w:val="000262A2"/>
    <w:rsid w:val="000264DD"/>
    <w:rsid w:val="00026C11"/>
    <w:rsid w:val="000278F9"/>
    <w:rsid w:val="00027E6C"/>
    <w:rsid w:val="000306D4"/>
    <w:rsid w:val="00030BAF"/>
    <w:rsid w:val="000324B9"/>
    <w:rsid w:val="000329BA"/>
    <w:rsid w:val="00032D83"/>
    <w:rsid w:val="000330FB"/>
    <w:rsid w:val="000338EE"/>
    <w:rsid w:val="00034F3F"/>
    <w:rsid w:val="0003629C"/>
    <w:rsid w:val="00036809"/>
    <w:rsid w:val="00036823"/>
    <w:rsid w:val="000369AF"/>
    <w:rsid w:val="00036F65"/>
    <w:rsid w:val="00037279"/>
    <w:rsid w:val="00037443"/>
    <w:rsid w:val="00037843"/>
    <w:rsid w:val="00037C6A"/>
    <w:rsid w:val="00040C69"/>
    <w:rsid w:val="000419E9"/>
    <w:rsid w:val="00041EAA"/>
    <w:rsid w:val="00042473"/>
    <w:rsid w:val="00043077"/>
    <w:rsid w:val="00043CC5"/>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AD1"/>
    <w:rsid w:val="00067B5A"/>
    <w:rsid w:val="00070777"/>
    <w:rsid w:val="00070AA4"/>
    <w:rsid w:val="000719DB"/>
    <w:rsid w:val="00071C6F"/>
    <w:rsid w:val="00071E8C"/>
    <w:rsid w:val="00071F15"/>
    <w:rsid w:val="000728B9"/>
    <w:rsid w:val="000737BF"/>
    <w:rsid w:val="00074A23"/>
    <w:rsid w:val="00074C62"/>
    <w:rsid w:val="000755A5"/>
    <w:rsid w:val="000756DE"/>
    <w:rsid w:val="00076647"/>
    <w:rsid w:val="00076CEA"/>
    <w:rsid w:val="00077661"/>
    <w:rsid w:val="00077DFD"/>
    <w:rsid w:val="000806A1"/>
    <w:rsid w:val="00080A85"/>
    <w:rsid w:val="0008122B"/>
    <w:rsid w:val="0008141F"/>
    <w:rsid w:val="00083375"/>
    <w:rsid w:val="000846CA"/>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F5B"/>
    <w:rsid w:val="000B01A0"/>
    <w:rsid w:val="000B0351"/>
    <w:rsid w:val="000B03B9"/>
    <w:rsid w:val="000B0431"/>
    <w:rsid w:val="000B1A06"/>
    <w:rsid w:val="000B1F22"/>
    <w:rsid w:val="000B227E"/>
    <w:rsid w:val="000B2866"/>
    <w:rsid w:val="000B31B3"/>
    <w:rsid w:val="000B35EE"/>
    <w:rsid w:val="000B36E5"/>
    <w:rsid w:val="000B39C8"/>
    <w:rsid w:val="000B3B3B"/>
    <w:rsid w:val="000B40FA"/>
    <w:rsid w:val="000B5281"/>
    <w:rsid w:val="000B584E"/>
    <w:rsid w:val="000B5B19"/>
    <w:rsid w:val="000B5EC8"/>
    <w:rsid w:val="000B5FE3"/>
    <w:rsid w:val="000B6295"/>
    <w:rsid w:val="000B674B"/>
    <w:rsid w:val="000B6B86"/>
    <w:rsid w:val="000B6EF2"/>
    <w:rsid w:val="000B71FE"/>
    <w:rsid w:val="000B7459"/>
    <w:rsid w:val="000B77B4"/>
    <w:rsid w:val="000B7A3A"/>
    <w:rsid w:val="000C02A9"/>
    <w:rsid w:val="000C0569"/>
    <w:rsid w:val="000C1E6B"/>
    <w:rsid w:val="000C238B"/>
    <w:rsid w:val="000C2764"/>
    <w:rsid w:val="000C3DC9"/>
    <w:rsid w:val="000C4139"/>
    <w:rsid w:val="000C47B5"/>
    <w:rsid w:val="000C5414"/>
    <w:rsid w:val="000C5BCE"/>
    <w:rsid w:val="000C5DA1"/>
    <w:rsid w:val="000C5DC1"/>
    <w:rsid w:val="000C6670"/>
    <w:rsid w:val="000D04BF"/>
    <w:rsid w:val="000D153E"/>
    <w:rsid w:val="000D170C"/>
    <w:rsid w:val="000D1CF0"/>
    <w:rsid w:val="000D2A1F"/>
    <w:rsid w:val="000D3E85"/>
    <w:rsid w:val="000D42B5"/>
    <w:rsid w:val="000D4AFE"/>
    <w:rsid w:val="000D5397"/>
    <w:rsid w:val="000D558F"/>
    <w:rsid w:val="000D5746"/>
    <w:rsid w:val="000D5CB9"/>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18ED"/>
    <w:rsid w:val="000F2020"/>
    <w:rsid w:val="000F2949"/>
    <w:rsid w:val="000F2B5A"/>
    <w:rsid w:val="000F2D32"/>
    <w:rsid w:val="000F4347"/>
    <w:rsid w:val="000F50E8"/>
    <w:rsid w:val="000F54B0"/>
    <w:rsid w:val="000F5C41"/>
    <w:rsid w:val="000F5DE0"/>
    <w:rsid w:val="000F62C3"/>
    <w:rsid w:val="000F75AF"/>
    <w:rsid w:val="000F77DE"/>
    <w:rsid w:val="000F786E"/>
    <w:rsid w:val="001002F5"/>
    <w:rsid w:val="00101609"/>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A05"/>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52"/>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8B2"/>
    <w:rsid w:val="00194B7B"/>
    <w:rsid w:val="00194C44"/>
    <w:rsid w:val="001951A3"/>
    <w:rsid w:val="00195583"/>
    <w:rsid w:val="001A0745"/>
    <w:rsid w:val="001A1302"/>
    <w:rsid w:val="001A16CC"/>
    <w:rsid w:val="001A18E1"/>
    <w:rsid w:val="001A2144"/>
    <w:rsid w:val="001A2FDB"/>
    <w:rsid w:val="001A3755"/>
    <w:rsid w:val="001A4127"/>
    <w:rsid w:val="001A4E1C"/>
    <w:rsid w:val="001A554E"/>
    <w:rsid w:val="001A652D"/>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C2C"/>
    <w:rsid w:val="001C7EC3"/>
    <w:rsid w:val="001D07F6"/>
    <w:rsid w:val="001D0DCF"/>
    <w:rsid w:val="001D13D4"/>
    <w:rsid w:val="001D31A6"/>
    <w:rsid w:val="001D3B81"/>
    <w:rsid w:val="001D3E9A"/>
    <w:rsid w:val="001D40CC"/>
    <w:rsid w:val="001D4D61"/>
    <w:rsid w:val="001D4D8C"/>
    <w:rsid w:val="001D5282"/>
    <w:rsid w:val="001D529D"/>
    <w:rsid w:val="001D577C"/>
    <w:rsid w:val="001D5C32"/>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1D40"/>
    <w:rsid w:val="001F2154"/>
    <w:rsid w:val="001F287C"/>
    <w:rsid w:val="001F2D73"/>
    <w:rsid w:val="001F2E49"/>
    <w:rsid w:val="001F3B0B"/>
    <w:rsid w:val="001F5050"/>
    <w:rsid w:val="001F625A"/>
    <w:rsid w:val="001F6B28"/>
    <w:rsid w:val="001F6C56"/>
    <w:rsid w:val="001F72DF"/>
    <w:rsid w:val="001F77D0"/>
    <w:rsid w:val="002010A9"/>
    <w:rsid w:val="00201769"/>
    <w:rsid w:val="0020247E"/>
    <w:rsid w:val="002025FD"/>
    <w:rsid w:val="00203FD3"/>
    <w:rsid w:val="00204305"/>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0E9"/>
    <w:rsid w:val="0024189D"/>
    <w:rsid w:val="00241BC3"/>
    <w:rsid w:val="00241C7D"/>
    <w:rsid w:val="00241F55"/>
    <w:rsid w:val="00242699"/>
    <w:rsid w:val="002434A0"/>
    <w:rsid w:val="00243566"/>
    <w:rsid w:val="002437EB"/>
    <w:rsid w:val="00243957"/>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6BE"/>
    <w:rsid w:val="00250E2D"/>
    <w:rsid w:val="00252528"/>
    <w:rsid w:val="002530F3"/>
    <w:rsid w:val="00253130"/>
    <w:rsid w:val="00253A1C"/>
    <w:rsid w:val="002541B3"/>
    <w:rsid w:val="00256B3C"/>
    <w:rsid w:val="00256E7D"/>
    <w:rsid w:val="00256F27"/>
    <w:rsid w:val="00257567"/>
    <w:rsid w:val="00257816"/>
    <w:rsid w:val="00257C5E"/>
    <w:rsid w:val="00257E00"/>
    <w:rsid w:val="00260293"/>
    <w:rsid w:val="00260433"/>
    <w:rsid w:val="0026116F"/>
    <w:rsid w:val="002617F9"/>
    <w:rsid w:val="00262666"/>
    <w:rsid w:val="00262D7C"/>
    <w:rsid w:val="00263560"/>
    <w:rsid w:val="00263720"/>
    <w:rsid w:val="00265161"/>
    <w:rsid w:val="00265F1B"/>
    <w:rsid w:val="002665A2"/>
    <w:rsid w:val="00267221"/>
    <w:rsid w:val="00270087"/>
    <w:rsid w:val="00270831"/>
    <w:rsid w:val="0027275E"/>
    <w:rsid w:val="00272A7D"/>
    <w:rsid w:val="00273171"/>
    <w:rsid w:val="00273378"/>
    <w:rsid w:val="002748AA"/>
    <w:rsid w:val="00275418"/>
    <w:rsid w:val="00275B5A"/>
    <w:rsid w:val="002805AC"/>
    <w:rsid w:val="00280919"/>
    <w:rsid w:val="00281661"/>
    <w:rsid w:val="00282C81"/>
    <w:rsid w:val="00283B3F"/>
    <w:rsid w:val="002841EE"/>
    <w:rsid w:val="002844AF"/>
    <w:rsid w:val="00284891"/>
    <w:rsid w:val="00284F91"/>
    <w:rsid w:val="00285B3A"/>
    <w:rsid w:val="00285C95"/>
    <w:rsid w:val="00286C13"/>
    <w:rsid w:val="00286D80"/>
    <w:rsid w:val="00287888"/>
    <w:rsid w:val="002909D0"/>
    <w:rsid w:val="00291333"/>
    <w:rsid w:val="00291341"/>
    <w:rsid w:val="002926B1"/>
    <w:rsid w:val="00292CA5"/>
    <w:rsid w:val="00293B1D"/>
    <w:rsid w:val="00293D63"/>
    <w:rsid w:val="00293E41"/>
    <w:rsid w:val="00296748"/>
    <w:rsid w:val="0029713B"/>
    <w:rsid w:val="00297173"/>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0DB5"/>
    <w:rsid w:val="002B1795"/>
    <w:rsid w:val="002B1C2A"/>
    <w:rsid w:val="002B1F8D"/>
    <w:rsid w:val="002B2706"/>
    <w:rsid w:val="002B3BA3"/>
    <w:rsid w:val="002B4040"/>
    <w:rsid w:val="002B5C09"/>
    <w:rsid w:val="002B5C82"/>
    <w:rsid w:val="002B6893"/>
    <w:rsid w:val="002B6B9D"/>
    <w:rsid w:val="002B6C19"/>
    <w:rsid w:val="002B6D0D"/>
    <w:rsid w:val="002B79C4"/>
    <w:rsid w:val="002C01BF"/>
    <w:rsid w:val="002C06FE"/>
    <w:rsid w:val="002C19DF"/>
    <w:rsid w:val="002C2259"/>
    <w:rsid w:val="002C3470"/>
    <w:rsid w:val="002C348A"/>
    <w:rsid w:val="002C41D3"/>
    <w:rsid w:val="002C4419"/>
    <w:rsid w:val="002C4824"/>
    <w:rsid w:val="002C509D"/>
    <w:rsid w:val="002C5540"/>
    <w:rsid w:val="002C62F6"/>
    <w:rsid w:val="002C6CED"/>
    <w:rsid w:val="002C6F55"/>
    <w:rsid w:val="002C7628"/>
    <w:rsid w:val="002D0290"/>
    <w:rsid w:val="002D0C9B"/>
    <w:rsid w:val="002D1979"/>
    <w:rsid w:val="002D268B"/>
    <w:rsid w:val="002D2CEE"/>
    <w:rsid w:val="002D3701"/>
    <w:rsid w:val="002D3CF1"/>
    <w:rsid w:val="002D3F79"/>
    <w:rsid w:val="002D413F"/>
    <w:rsid w:val="002D4B99"/>
    <w:rsid w:val="002D4D54"/>
    <w:rsid w:val="002D5C65"/>
    <w:rsid w:val="002D61CD"/>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6E2"/>
    <w:rsid w:val="00311708"/>
    <w:rsid w:val="00311BB1"/>
    <w:rsid w:val="00312470"/>
    <w:rsid w:val="0031285C"/>
    <w:rsid w:val="00313A44"/>
    <w:rsid w:val="003150CD"/>
    <w:rsid w:val="003154AB"/>
    <w:rsid w:val="003155CF"/>
    <w:rsid w:val="00315BA3"/>
    <w:rsid w:val="00315E55"/>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1AE1"/>
    <w:rsid w:val="00333962"/>
    <w:rsid w:val="00333B62"/>
    <w:rsid w:val="00333D4A"/>
    <w:rsid w:val="00333E45"/>
    <w:rsid w:val="003342D1"/>
    <w:rsid w:val="00334A65"/>
    <w:rsid w:val="0033606E"/>
    <w:rsid w:val="0033628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4BD3"/>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6C"/>
    <w:rsid w:val="00390CDE"/>
    <w:rsid w:val="00392B20"/>
    <w:rsid w:val="00394516"/>
    <w:rsid w:val="003961E1"/>
    <w:rsid w:val="003962DE"/>
    <w:rsid w:val="003974F9"/>
    <w:rsid w:val="003A089A"/>
    <w:rsid w:val="003A0AA1"/>
    <w:rsid w:val="003A0FE5"/>
    <w:rsid w:val="003A24EC"/>
    <w:rsid w:val="003A3EA0"/>
    <w:rsid w:val="003A60BD"/>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C56"/>
    <w:rsid w:val="003C0DF1"/>
    <w:rsid w:val="003C1936"/>
    <w:rsid w:val="003C2677"/>
    <w:rsid w:val="003C268F"/>
    <w:rsid w:val="003C32DC"/>
    <w:rsid w:val="003C32FC"/>
    <w:rsid w:val="003C42AD"/>
    <w:rsid w:val="003C4C9F"/>
    <w:rsid w:val="003C5D9D"/>
    <w:rsid w:val="003C7036"/>
    <w:rsid w:val="003C7781"/>
    <w:rsid w:val="003C7783"/>
    <w:rsid w:val="003C7FA5"/>
    <w:rsid w:val="003D0C96"/>
    <w:rsid w:val="003D1CAA"/>
    <w:rsid w:val="003D3617"/>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5E"/>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2A5D"/>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06EB"/>
    <w:rsid w:val="004211BE"/>
    <w:rsid w:val="0042205F"/>
    <w:rsid w:val="00423C26"/>
    <w:rsid w:val="00423E43"/>
    <w:rsid w:val="00424839"/>
    <w:rsid w:val="00424D35"/>
    <w:rsid w:val="00424DEB"/>
    <w:rsid w:val="0042501F"/>
    <w:rsid w:val="004256FF"/>
    <w:rsid w:val="004258D6"/>
    <w:rsid w:val="004264F9"/>
    <w:rsid w:val="00426777"/>
    <w:rsid w:val="00426828"/>
    <w:rsid w:val="00427031"/>
    <w:rsid w:val="00427142"/>
    <w:rsid w:val="00427899"/>
    <w:rsid w:val="00427DBB"/>
    <w:rsid w:val="00427FBB"/>
    <w:rsid w:val="00430399"/>
    <w:rsid w:val="00430E42"/>
    <w:rsid w:val="0043209C"/>
    <w:rsid w:val="004322A6"/>
    <w:rsid w:val="00433351"/>
    <w:rsid w:val="0043389E"/>
    <w:rsid w:val="004340BA"/>
    <w:rsid w:val="004348C5"/>
    <w:rsid w:val="00436B6F"/>
    <w:rsid w:val="00437D5A"/>
    <w:rsid w:val="0044044F"/>
    <w:rsid w:val="00441DE8"/>
    <w:rsid w:val="00442F67"/>
    <w:rsid w:val="00442FBB"/>
    <w:rsid w:val="00443487"/>
    <w:rsid w:val="0044467E"/>
    <w:rsid w:val="0044496C"/>
    <w:rsid w:val="00444F46"/>
    <w:rsid w:val="0044520F"/>
    <w:rsid w:val="00446215"/>
    <w:rsid w:val="004468EC"/>
    <w:rsid w:val="00446A05"/>
    <w:rsid w:val="00446B69"/>
    <w:rsid w:val="004502C5"/>
    <w:rsid w:val="004509CE"/>
    <w:rsid w:val="004515BE"/>
    <w:rsid w:val="00452B43"/>
    <w:rsid w:val="00454957"/>
    <w:rsid w:val="004557F7"/>
    <w:rsid w:val="00455A62"/>
    <w:rsid w:val="00455FD0"/>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67A20"/>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87CD3"/>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3948"/>
    <w:rsid w:val="004B4654"/>
    <w:rsid w:val="004B5540"/>
    <w:rsid w:val="004B5F62"/>
    <w:rsid w:val="004B6800"/>
    <w:rsid w:val="004B69CB"/>
    <w:rsid w:val="004B6B98"/>
    <w:rsid w:val="004B6F3C"/>
    <w:rsid w:val="004B748E"/>
    <w:rsid w:val="004B7C5E"/>
    <w:rsid w:val="004C0245"/>
    <w:rsid w:val="004C05E4"/>
    <w:rsid w:val="004C1578"/>
    <w:rsid w:val="004C1927"/>
    <w:rsid w:val="004C2276"/>
    <w:rsid w:val="004C3A42"/>
    <w:rsid w:val="004C4721"/>
    <w:rsid w:val="004C4B13"/>
    <w:rsid w:val="004C4B5E"/>
    <w:rsid w:val="004C5064"/>
    <w:rsid w:val="004C513B"/>
    <w:rsid w:val="004C54F2"/>
    <w:rsid w:val="004C6187"/>
    <w:rsid w:val="004C62A2"/>
    <w:rsid w:val="004C643F"/>
    <w:rsid w:val="004C64A2"/>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524"/>
    <w:rsid w:val="004D66F7"/>
    <w:rsid w:val="004D79AB"/>
    <w:rsid w:val="004E0DB7"/>
    <w:rsid w:val="004E13BA"/>
    <w:rsid w:val="004E1A6E"/>
    <w:rsid w:val="004E1B12"/>
    <w:rsid w:val="004E32FC"/>
    <w:rsid w:val="004E3E15"/>
    <w:rsid w:val="004E4448"/>
    <w:rsid w:val="004E4A63"/>
    <w:rsid w:val="004E531A"/>
    <w:rsid w:val="004E6061"/>
    <w:rsid w:val="004E6502"/>
    <w:rsid w:val="004E744E"/>
    <w:rsid w:val="004F00C4"/>
    <w:rsid w:val="004F026D"/>
    <w:rsid w:val="004F0402"/>
    <w:rsid w:val="004F07B7"/>
    <w:rsid w:val="004F12C9"/>
    <w:rsid w:val="004F1B13"/>
    <w:rsid w:val="004F28AC"/>
    <w:rsid w:val="004F2A92"/>
    <w:rsid w:val="004F2E5D"/>
    <w:rsid w:val="004F2E7C"/>
    <w:rsid w:val="004F3219"/>
    <w:rsid w:val="004F421C"/>
    <w:rsid w:val="004F4289"/>
    <w:rsid w:val="004F4570"/>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EE7"/>
    <w:rsid w:val="00515288"/>
    <w:rsid w:val="00515B21"/>
    <w:rsid w:val="00515CF2"/>
    <w:rsid w:val="00516107"/>
    <w:rsid w:val="00517079"/>
    <w:rsid w:val="00520023"/>
    <w:rsid w:val="005201C4"/>
    <w:rsid w:val="00520569"/>
    <w:rsid w:val="005212AE"/>
    <w:rsid w:val="005215C4"/>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410"/>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494D"/>
    <w:rsid w:val="0056508D"/>
    <w:rsid w:val="00567CCF"/>
    <w:rsid w:val="00570608"/>
    <w:rsid w:val="005707BD"/>
    <w:rsid w:val="00570A3B"/>
    <w:rsid w:val="00571356"/>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388C"/>
    <w:rsid w:val="00584BAB"/>
    <w:rsid w:val="00584EFB"/>
    <w:rsid w:val="0058621D"/>
    <w:rsid w:val="00586D72"/>
    <w:rsid w:val="00586E4F"/>
    <w:rsid w:val="00587330"/>
    <w:rsid w:val="00587984"/>
    <w:rsid w:val="00587A84"/>
    <w:rsid w:val="005903A8"/>
    <w:rsid w:val="00590AF7"/>
    <w:rsid w:val="005918E4"/>
    <w:rsid w:val="00592073"/>
    <w:rsid w:val="00592360"/>
    <w:rsid w:val="00593333"/>
    <w:rsid w:val="005960D3"/>
    <w:rsid w:val="00596858"/>
    <w:rsid w:val="005973A7"/>
    <w:rsid w:val="00597848"/>
    <w:rsid w:val="005A0825"/>
    <w:rsid w:val="005A09A3"/>
    <w:rsid w:val="005A1FEE"/>
    <w:rsid w:val="005A273F"/>
    <w:rsid w:val="005A3583"/>
    <w:rsid w:val="005A3848"/>
    <w:rsid w:val="005A4118"/>
    <w:rsid w:val="005A453F"/>
    <w:rsid w:val="005A493F"/>
    <w:rsid w:val="005A5227"/>
    <w:rsid w:val="005A6A9E"/>
    <w:rsid w:val="005A752F"/>
    <w:rsid w:val="005B1849"/>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3C73"/>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066"/>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5A3"/>
    <w:rsid w:val="00634EF5"/>
    <w:rsid w:val="00636401"/>
    <w:rsid w:val="00636905"/>
    <w:rsid w:val="00636A93"/>
    <w:rsid w:val="0063772A"/>
    <w:rsid w:val="006418B6"/>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B79"/>
    <w:rsid w:val="00647D90"/>
    <w:rsid w:val="006502D1"/>
    <w:rsid w:val="006504FE"/>
    <w:rsid w:val="00651275"/>
    <w:rsid w:val="006514E9"/>
    <w:rsid w:val="0065228A"/>
    <w:rsid w:val="00652C24"/>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5EA0"/>
    <w:rsid w:val="0066701C"/>
    <w:rsid w:val="006671D4"/>
    <w:rsid w:val="0066750D"/>
    <w:rsid w:val="00667F2F"/>
    <w:rsid w:val="00671338"/>
    <w:rsid w:val="00672CE0"/>
    <w:rsid w:val="00672F8D"/>
    <w:rsid w:val="006730DE"/>
    <w:rsid w:val="006730F3"/>
    <w:rsid w:val="00673B33"/>
    <w:rsid w:val="006747AB"/>
    <w:rsid w:val="006750D1"/>
    <w:rsid w:val="00676465"/>
    <w:rsid w:val="006766AC"/>
    <w:rsid w:val="006775C4"/>
    <w:rsid w:val="0068056E"/>
    <w:rsid w:val="00681A3D"/>
    <w:rsid w:val="00681AC1"/>
    <w:rsid w:val="00681EE7"/>
    <w:rsid w:val="00682165"/>
    <w:rsid w:val="00683178"/>
    <w:rsid w:val="0068325D"/>
    <w:rsid w:val="00684F50"/>
    <w:rsid w:val="00685785"/>
    <w:rsid w:val="00685EEE"/>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05A"/>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A7628"/>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363"/>
    <w:rsid w:val="006C671F"/>
    <w:rsid w:val="006C6CBA"/>
    <w:rsid w:val="006C6F3C"/>
    <w:rsid w:val="006C6FB7"/>
    <w:rsid w:val="006D007C"/>
    <w:rsid w:val="006D06F5"/>
    <w:rsid w:val="006D120B"/>
    <w:rsid w:val="006D1DB2"/>
    <w:rsid w:val="006D3FF8"/>
    <w:rsid w:val="006D428F"/>
    <w:rsid w:val="006D54E1"/>
    <w:rsid w:val="006D5A11"/>
    <w:rsid w:val="006D668F"/>
    <w:rsid w:val="006E0283"/>
    <w:rsid w:val="006E0406"/>
    <w:rsid w:val="006E09D6"/>
    <w:rsid w:val="006E1695"/>
    <w:rsid w:val="006E197B"/>
    <w:rsid w:val="006E1AC8"/>
    <w:rsid w:val="006E22C9"/>
    <w:rsid w:val="006E2B27"/>
    <w:rsid w:val="006E58AF"/>
    <w:rsid w:val="006E698C"/>
    <w:rsid w:val="006E6A36"/>
    <w:rsid w:val="006E6F42"/>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20D"/>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92D"/>
    <w:rsid w:val="00723EC1"/>
    <w:rsid w:val="00724552"/>
    <w:rsid w:val="00724C1C"/>
    <w:rsid w:val="00726483"/>
    <w:rsid w:val="00727C09"/>
    <w:rsid w:val="00727D9C"/>
    <w:rsid w:val="00730089"/>
    <w:rsid w:val="00730250"/>
    <w:rsid w:val="00730453"/>
    <w:rsid w:val="00730F8E"/>
    <w:rsid w:val="0073182F"/>
    <w:rsid w:val="0073212F"/>
    <w:rsid w:val="007324A9"/>
    <w:rsid w:val="007332CB"/>
    <w:rsid w:val="00734300"/>
    <w:rsid w:val="0073439D"/>
    <w:rsid w:val="00734795"/>
    <w:rsid w:val="00736F71"/>
    <w:rsid w:val="00740D93"/>
    <w:rsid w:val="00742298"/>
    <w:rsid w:val="007426D1"/>
    <w:rsid w:val="00743E50"/>
    <w:rsid w:val="00743F9C"/>
    <w:rsid w:val="00744BFA"/>
    <w:rsid w:val="00744DC2"/>
    <w:rsid w:val="00744E48"/>
    <w:rsid w:val="00744EED"/>
    <w:rsid w:val="00746015"/>
    <w:rsid w:val="00746730"/>
    <w:rsid w:val="00751760"/>
    <w:rsid w:val="00751950"/>
    <w:rsid w:val="00752C85"/>
    <w:rsid w:val="00752CFC"/>
    <w:rsid w:val="00753C7F"/>
    <w:rsid w:val="007562AF"/>
    <w:rsid w:val="00756771"/>
    <w:rsid w:val="00756A0B"/>
    <w:rsid w:val="00757070"/>
    <w:rsid w:val="0075716B"/>
    <w:rsid w:val="00757251"/>
    <w:rsid w:val="007573A2"/>
    <w:rsid w:val="00757BFC"/>
    <w:rsid w:val="00757ED6"/>
    <w:rsid w:val="00757FD7"/>
    <w:rsid w:val="00760108"/>
    <w:rsid w:val="00760AB6"/>
    <w:rsid w:val="00760DD6"/>
    <w:rsid w:val="00761447"/>
    <w:rsid w:val="007622DC"/>
    <w:rsid w:val="00762460"/>
    <w:rsid w:val="00762B99"/>
    <w:rsid w:val="00764A94"/>
    <w:rsid w:val="007656A2"/>
    <w:rsid w:val="00766389"/>
    <w:rsid w:val="0076757C"/>
    <w:rsid w:val="007677CD"/>
    <w:rsid w:val="00767FE0"/>
    <w:rsid w:val="00770340"/>
    <w:rsid w:val="00770536"/>
    <w:rsid w:val="00770AC5"/>
    <w:rsid w:val="007711A1"/>
    <w:rsid w:val="00771AF2"/>
    <w:rsid w:val="007722CF"/>
    <w:rsid w:val="007724F2"/>
    <w:rsid w:val="00772E06"/>
    <w:rsid w:val="00773C44"/>
    <w:rsid w:val="00773C9E"/>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1FB1"/>
    <w:rsid w:val="007927EC"/>
    <w:rsid w:val="00792937"/>
    <w:rsid w:val="00792E46"/>
    <w:rsid w:val="00792E5F"/>
    <w:rsid w:val="00793C07"/>
    <w:rsid w:val="00795A12"/>
    <w:rsid w:val="00796315"/>
    <w:rsid w:val="00796538"/>
    <w:rsid w:val="00796AB8"/>
    <w:rsid w:val="00796CE5"/>
    <w:rsid w:val="007A0749"/>
    <w:rsid w:val="007A0C87"/>
    <w:rsid w:val="007A0DD5"/>
    <w:rsid w:val="007A1877"/>
    <w:rsid w:val="007A1A79"/>
    <w:rsid w:val="007A367E"/>
    <w:rsid w:val="007A3681"/>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2F1"/>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4EA"/>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929"/>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B76"/>
    <w:rsid w:val="00840C89"/>
    <w:rsid w:val="0084114B"/>
    <w:rsid w:val="00842756"/>
    <w:rsid w:val="008430AD"/>
    <w:rsid w:val="008433AE"/>
    <w:rsid w:val="0084355F"/>
    <w:rsid w:val="00843D17"/>
    <w:rsid w:val="00845F6C"/>
    <w:rsid w:val="0084615D"/>
    <w:rsid w:val="0084703C"/>
    <w:rsid w:val="008473A8"/>
    <w:rsid w:val="00847424"/>
    <w:rsid w:val="00847B25"/>
    <w:rsid w:val="00850259"/>
    <w:rsid w:val="008504C8"/>
    <w:rsid w:val="00851000"/>
    <w:rsid w:val="00851789"/>
    <w:rsid w:val="00851B27"/>
    <w:rsid w:val="00854886"/>
    <w:rsid w:val="00855029"/>
    <w:rsid w:val="0085507C"/>
    <w:rsid w:val="0085563E"/>
    <w:rsid w:val="008601DA"/>
    <w:rsid w:val="00861653"/>
    <w:rsid w:val="00861978"/>
    <w:rsid w:val="008625C0"/>
    <w:rsid w:val="00863418"/>
    <w:rsid w:val="008634C5"/>
    <w:rsid w:val="00863AA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5A3D"/>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365"/>
    <w:rsid w:val="00887B04"/>
    <w:rsid w:val="00890833"/>
    <w:rsid w:val="00890BC5"/>
    <w:rsid w:val="00890E9C"/>
    <w:rsid w:val="00891864"/>
    <w:rsid w:val="00892668"/>
    <w:rsid w:val="008927FE"/>
    <w:rsid w:val="00893B24"/>
    <w:rsid w:val="00894002"/>
    <w:rsid w:val="008946EA"/>
    <w:rsid w:val="00894A6C"/>
    <w:rsid w:val="00894D4A"/>
    <w:rsid w:val="008951D4"/>
    <w:rsid w:val="0089545F"/>
    <w:rsid w:val="0089557F"/>
    <w:rsid w:val="008959BA"/>
    <w:rsid w:val="00895E9E"/>
    <w:rsid w:val="00896821"/>
    <w:rsid w:val="00896F48"/>
    <w:rsid w:val="008A0BA3"/>
    <w:rsid w:val="008A12C7"/>
    <w:rsid w:val="008A23DD"/>
    <w:rsid w:val="008A249E"/>
    <w:rsid w:val="008A24E8"/>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0C0D"/>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B5E"/>
    <w:rsid w:val="008C7C52"/>
    <w:rsid w:val="008D1236"/>
    <w:rsid w:val="008D1EDE"/>
    <w:rsid w:val="008D32AD"/>
    <w:rsid w:val="008D3620"/>
    <w:rsid w:val="008D458F"/>
    <w:rsid w:val="008D485B"/>
    <w:rsid w:val="008D52D9"/>
    <w:rsid w:val="008D6772"/>
    <w:rsid w:val="008D7AC6"/>
    <w:rsid w:val="008D7AD1"/>
    <w:rsid w:val="008E02E6"/>
    <w:rsid w:val="008E08A8"/>
    <w:rsid w:val="008E0B04"/>
    <w:rsid w:val="008E15B5"/>
    <w:rsid w:val="008E1E9E"/>
    <w:rsid w:val="008E2A3F"/>
    <w:rsid w:val="008E2B42"/>
    <w:rsid w:val="008E350D"/>
    <w:rsid w:val="008E3B36"/>
    <w:rsid w:val="008E3CEC"/>
    <w:rsid w:val="008E480F"/>
    <w:rsid w:val="008E4A67"/>
    <w:rsid w:val="008E61B5"/>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7725"/>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46F"/>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091"/>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059"/>
    <w:rsid w:val="00954F7D"/>
    <w:rsid w:val="00955095"/>
    <w:rsid w:val="00955D30"/>
    <w:rsid w:val="00956727"/>
    <w:rsid w:val="009574AE"/>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0659"/>
    <w:rsid w:val="009818A2"/>
    <w:rsid w:val="009829E2"/>
    <w:rsid w:val="00983525"/>
    <w:rsid w:val="009844CE"/>
    <w:rsid w:val="00984590"/>
    <w:rsid w:val="00984F92"/>
    <w:rsid w:val="00984FB7"/>
    <w:rsid w:val="009850EC"/>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7D2E"/>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4CB7"/>
    <w:rsid w:val="009D5068"/>
    <w:rsid w:val="009D5281"/>
    <w:rsid w:val="009D5AC5"/>
    <w:rsid w:val="009D5D6A"/>
    <w:rsid w:val="009D6566"/>
    <w:rsid w:val="009D6EC6"/>
    <w:rsid w:val="009D7058"/>
    <w:rsid w:val="009D76EB"/>
    <w:rsid w:val="009D7E4B"/>
    <w:rsid w:val="009D7F9A"/>
    <w:rsid w:val="009E0336"/>
    <w:rsid w:val="009E0D0D"/>
    <w:rsid w:val="009E10EC"/>
    <w:rsid w:val="009E10F6"/>
    <w:rsid w:val="009E1628"/>
    <w:rsid w:val="009E2B95"/>
    <w:rsid w:val="009E2F5D"/>
    <w:rsid w:val="009E34FA"/>
    <w:rsid w:val="009E3D69"/>
    <w:rsid w:val="009E3DB9"/>
    <w:rsid w:val="009E4B0C"/>
    <w:rsid w:val="009E4B72"/>
    <w:rsid w:val="009E646B"/>
    <w:rsid w:val="009E749E"/>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222"/>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2C7"/>
    <w:rsid w:val="00A257A4"/>
    <w:rsid w:val="00A258BB"/>
    <w:rsid w:val="00A27138"/>
    <w:rsid w:val="00A3083A"/>
    <w:rsid w:val="00A30D30"/>
    <w:rsid w:val="00A31158"/>
    <w:rsid w:val="00A3215A"/>
    <w:rsid w:val="00A32881"/>
    <w:rsid w:val="00A32F43"/>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5D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66E08"/>
    <w:rsid w:val="00A67C2D"/>
    <w:rsid w:val="00A703F5"/>
    <w:rsid w:val="00A71119"/>
    <w:rsid w:val="00A72E3D"/>
    <w:rsid w:val="00A72EE1"/>
    <w:rsid w:val="00A73379"/>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B1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4513"/>
    <w:rsid w:val="00AA4698"/>
    <w:rsid w:val="00AA493F"/>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B6A21"/>
    <w:rsid w:val="00AC00B1"/>
    <w:rsid w:val="00AC0229"/>
    <w:rsid w:val="00AC12CF"/>
    <w:rsid w:val="00AC154D"/>
    <w:rsid w:val="00AC2548"/>
    <w:rsid w:val="00AC3C32"/>
    <w:rsid w:val="00AC3DB8"/>
    <w:rsid w:val="00AD089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77D"/>
    <w:rsid w:val="00B03ACC"/>
    <w:rsid w:val="00B04123"/>
    <w:rsid w:val="00B049EC"/>
    <w:rsid w:val="00B04B6B"/>
    <w:rsid w:val="00B04DD6"/>
    <w:rsid w:val="00B050D6"/>
    <w:rsid w:val="00B0768C"/>
    <w:rsid w:val="00B10264"/>
    <w:rsid w:val="00B1212B"/>
    <w:rsid w:val="00B125A0"/>
    <w:rsid w:val="00B13177"/>
    <w:rsid w:val="00B13E8D"/>
    <w:rsid w:val="00B144CF"/>
    <w:rsid w:val="00B15852"/>
    <w:rsid w:val="00B161B4"/>
    <w:rsid w:val="00B16301"/>
    <w:rsid w:val="00B16887"/>
    <w:rsid w:val="00B176C8"/>
    <w:rsid w:val="00B20379"/>
    <w:rsid w:val="00B205D9"/>
    <w:rsid w:val="00B2074B"/>
    <w:rsid w:val="00B211BD"/>
    <w:rsid w:val="00B21544"/>
    <w:rsid w:val="00B21AB1"/>
    <w:rsid w:val="00B228FA"/>
    <w:rsid w:val="00B2361C"/>
    <w:rsid w:val="00B23719"/>
    <w:rsid w:val="00B244E2"/>
    <w:rsid w:val="00B2459C"/>
    <w:rsid w:val="00B25FA6"/>
    <w:rsid w:val="00B26009"/>
    <w:rsid w:val="00B26215"/>
    <w:rsid w:val="00B26918"/>
    <w:rsid w:val="00B26C44"/>
    <w:rsid w:val="00B27702"/>
    <w:rsid w:val="00B27825"/>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7492"/>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57EDF"/>
    <w:rsid w:val="00B60E54"/>
    <w:rsid w:val="00B6152A"/>
    <w:rsid w:val="00B61A36"/>
    <w:rsid w:val="00B6219D"/>
    <w:rsid w:val="00B62B0D"/>
    <w:rsid w:val="00B62CB7"/>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04A"/>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133"/>
    <w:rsid w:val="00B923B6"/>
    <w:rsid w:val="00B9293A"/>
    <w:rsid w:val="00B93021"/>
    <w:rsid w:val="00B93BE3"/>
    <w:rsid w:val="00B93E2D"/>
    <w:rsid w:val="00B9485D"/>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B7AF0"/>
    <w:rsid w:val="00BC0108"/>
    <w:rsid w:val="00BC04B9"/>
    <w:rsid w:val="00BC088B"/>
    <w:rsid w:val="00BC1305"/>
    <w:rsid w:val="00BC2587"/>
    <w:rsid w:val="00BC342A"/>
    <w:rsid w:val="00BC40F2"/>
    <w:rsid w:val="00BC45CE"/>
    <w:rsid w:val="00BC4F3D"/>
    <w:rsid w:val="00BC64CE"/>
    <w:rsid w:val="00BC68AD"/>
    <w:rsid w:val="00BC6A10"/>
    <w:rsid w:val="00BC7112"/>
    <w:rsid w:val="00BD0C00"/>
    <w:rsid w:val="00BD0DA0"/>
    <w:rsid w:val="00BD1F9D"/>
    <w:rsid w:val="00BD3693"/>
    <w:rsid w:val="00BD438C"/>
    <w:rsid w:val="00BD492B"/>
    <w:rsid w:val="00BD4F9A"/>
    <w:rsid w:val="00BD5E19"/>
    <w:rsid w:val="00BD6D4E"/>
    <w:rsid w:val="00BD71F1"/>
    <w:rsid w:val="00BD74CF"/>
    <w:rsid w:val="00BD7FDD"/>
    <w:rsid w:val="00BE1BBE"/>
    <w:rsid w:val="00BE2C9F"/>
    <w:rsid w:val="00BE36D5"/>
    <w:rsid w:val="00BE37C5"/>
    <w:rsid w:val="00BE4FDC"/>
    <w:rsid w:val="00BE5762"/>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2A0F"/>
    <w:rsid w:val="00C13E95"/>
    <w:rsid w:val="00C14A18"/>
    <w:rsid w:val="00C14B07"/>
    <w:rsid w:val="00C14BF5"/>
    <w:rsid w:val="00C14D5F"/>
    <w:rsid w:val="00C15877"/>
    <w:rsid w:val="00C15ADE"/>
    <w:rsid w:val="00C15B7A"/>
    <w:rsid w:val="00C165C5"/>
    <w:rsid w:val="00C167F2"/>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8AA"/>
    <w:rsid w:val="00C31200"/>
    <w:rsid w:val="00C31A08"/>
    <w:rsid w:val="00C31BE7"/>
    <w:rsid w:val="00C32229"/>
    <w:rsid w:val="00C32DE7"/>
    <w:rsid w:val="00C32F73"/>
    <w:rsid w:val="00C32FD3"/>
    <w:rsid w:val="00C341CB"/>
    <w:rsid w:val="00C352F5"/>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182C"/>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232"/>
    <w:rsid w:val="00C65B9B"/>
    <w:rsid w:val="00C67249"/>
    <w:rsid w:val="00C67698"/>
    <w:rsid w:val="00C70952"/>
    <w:rsid w:val="00C70B81"/>
    <w:rsid w:val="00C71426"/>
    <w:rsid w:val="00C724E4"/>
    <w:rsid w:val="00C732D8"/>
    <w:rsid w:val="00C7377B"/>
    <w:rsid w:val="00C737D7"/>
    <w:rsid w:val="00C73886"/>
    <w:rsid w:val="00C73BEE"/>
    <w:rsid w:val="00C73DC4"/>
    <w:rsid w:val="00C74D41"/>
    <w:rsid w:val="00C756FD"/>
    <w:rsid w:val="00C75775"/>
    <w:rsid w:val="00C75C57"/>
    <w:rsid w:val="00C76261"/>
    <w:rsid w:val="00C76DB8"/>
    <w:rsid w:val="00C76E4E"/>
    <w:rsid w:val="00C80261"/>
    <w:rsid w:val="00C808D5"/>
    <w:rsid w:val="00C810FC"/>
    <w:rsid w:val="00C82FF6"/>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1A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B7FBD"/>
    <w:rsid w:val="00CC0FC3"/>
    <w:rsid w:val="00CC1406"/>
    <w:rsid w:val="00CC154C"/>
    <w:rsid w:val="00CC1DB2"/>
    <w:rsid w:val="00CC367C"/>
    <w:rsid w:val="00CC3C71"/>
    <w:rsid w:val="00CC3FEE"/>
    <w:rsid w:val="00CC416D"/>
    <w:rsid w:val="00CC45E5"/>
    <w:rsid w:val="00CC466F"/>
    <w:rsid w:val="00CC55E8"/>
    <w:rsid w:val="00CC5DF0"/>
    <w:rsid w:val="00CC6184"/>
    <w:rsid w:val="00CC71C6"/>
    <w:rsid w:val="00CC7E7D"/>
    <w:rsid w:val="00CD0968"/>
    <w:rsid w:val="00CD1491"/>
    <w:rsid w:val="00CD2580"/>
    <w:rsid w:val="00CD3739"/>
    <w:rsid w:val="00CD3AE0"/>
    <w:rsid w:val="00CD3B16"/>
    <w:rsid w:val="00CD3FCD"/>
    <w:rsid w:val="00CD40C9"/>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808"/>
    <w:rsid w:val="00CF4A6D"/>
    <w:rsid w:val="00CF593F"/>
    <w:rsid w:val="00CF5B89"/>
    <w:rsid w:val="00CF6510"/>
    <w:rsid w:val="00CF65E5"/>
    <w:rsid w:val="00CF66B8"/>
    <w:rsid w:val="00CF6971"/>
    <w:rsid w:val="00CF6D04"/>
    <w:rsid w:val="00CF7290"/>
    <w:rsid w:val="00CF7327"/>
    <w:rsid w:val="00CF779F"/>
    <w:rsid w:val="00CF7C57"/>
    <w:rsid w:val="00D000D1"/>
    <w:rsid w:val="00D0041D"/>
    <w:rsid w:val="00D0074A"/>
    <w:rsid w:val="00D00AC1"/>
    <w:rsid w:val="00D0124D"/>
    <w:rsid w:val="00D0267B"/>
    <w:rsid w:val="00D02C37"/>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53BC"/>
    <w:rsid w:val="00D16547"/>
    <w:rsid w:val="00D20368"/>
    <w:rsid w:val="00D209D8"/>
    <w:rsid w:val="00D20B6C"/>
    <w:rsid w:val="00D20DAB"/>
    <w:rsid w:val="00D2186C"/>
    <w:rsid w:val="00D239A5"/>
    <w:rsid w:val="00D24260"/>
    <w:rsid w:val="00D2457A"/>
    <w:rsid w:val="00D25024"/>
    <w:rsid w:val="00D25A36"/>
    <w:rsid w:val="00D25B4B"/>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3799"/>
    <w:rsid w:val="00D44BD1"/>
    <w:rsid w:val="00D45359"/>
    <w:rsid w:val="00D47AB6"/>
    <w:rsid w:val="00D507D9"/>
    <w:rsid w:val="00D50BC3"/>
    <w:rsid w:val="00D52E63"/>
    <w:rsid w:val="00D53E86"/>
    <w:rsid w:val="00D545A8"/>
    <w:rsid w:val="00D548A5"/>
    <w:rsid w:val="00D548E5"/>
    <w:rsid w:val="00D55BD9"/>
    <w:rsid w:val="00D56163"/>
    <w:rsid w:val="00D56685"/>
    <w:rsid w:val="00D566F5"/>
    <w:rsid w:val="00D56BF3"/>
    <w:rsid w:val="00D60503"/>
    <w:rsid w:val="00D62605"/>
    <w:rsid w:val="00D63073"/>
    <w:rsid w:val="00D6362A"/>
    <w:rsid w:val="00D63DA5"/>
    <w:rsid w:val="00D641C8"/>
    <w:rsid w:val="00D64B3A"/>
    <w:rsid w:val="00D64D09"/>
    <w:rsid w:val="00D6587E"/>
    <w:rsid w:val="00D65C48"/>
    <w:rsid w:val="00D67174"/>
    <w:rsid w:val="00D67C48"/>
    <w:rsid w:val="00D70CA3"/>
    <w:rsid w:val="00D718E2"/>
    <w:rsid w:val="00D719E5"/>
    <w:rsid w:val="00D72097"/>
    <w:rsid w:val="00D73167"/>
    <w:rsid w:val="00D7322F"/>
    <w:rsid w:val="00D73481"/>
    <w:rsid w:val="00D73532"/>
    <w:rsid w:val="00D73C07"/>
    <w:rsid w:val="00D743AB"/>
    <w:rsid w:val="00D74799"/>
    <w:rsid w:val="00D74FDC"/>
    <w:rsid w:val="00D7536B"/>
    <w:rsid w:val="00D75AD5"/>
    <w:rsid w:val="00D81033"/>
    <w:rsid w:val="00D81136"/>
    <w:rsid w:val="00D81438"/>
    <w:rsid w:val="00D81C8E"/>
    <w:rsid w:val="00D82C07"/>
    <w:rsid w:val="00D82CE9"/>
    <w:rsid w:val="00D8317A"/>
    <w:rsid w:val="00D84AEE"/>
    <w:rsid w:val="00D8502A"/>
    <w:rsid w:val="00D850ED"/>
    <w:rsid w:val="00D85A67"/>
    <w:rsid w:val="00D85E53"/>
    <w:rsid w:val="00D865D9"/>
    <w:rsid w:val="00D86B99"/>
    <w:rsid w:val="00D86BA2"/>
    <w:rsid w:val="00D9154A"/>
    <w:rsid w:val="00D923F4"/>
    <w:rsid w:val="00D9282B"/>
    <w:rsid w:val="00D93271"/>
    <w:rsid w:val="00D93F15"/>
    <w:rsid w:val="00D9475D"/>
    <w:rsid w:val="00D96319"/>
    <w:rsid w:val="00D9777F"/>
    <w:rsid w:val="00DA020A"/>
    <w:rsid w:val="00DA0327"/>
    <w:rsid w:val="00DA07B6"/>
    <w:rsid w:val="00DA0CA2"/>
    <w:rsid w:val="00DA158D"/>
    <w:rsid w:val="00DA1D14"/>
    <w:rsid w:val="00DA3B52"/>
    <w:rsid w:val="00DA3F4B"/>
    <w:rsid w:val="00DA4151"/>
    <w:rsid w:val="00DA4B87"/>
    <w:rsid w:val="00DA507A"/>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D00"/>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47F"/>
    <w:rsid w:val="00DD6784"/>
    <w:rsid w:val="00DD7A5E"/>
    <w:rsid w:val="00DD7A78"/>
    <w:rsid w:val="00DE00F6"/>
    <w:rsid w:val="00DE1132"/>
    <w:rsid w:val="00DE1E31"/>
    <w:rsid w:val="00DE2C26"/>
    <w:rsid w:val="00DE2CFB"/>
    <w:rsid w:val="00DE414D"/>
    <w:rsid w:val="00DE4E2C"/>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0632"/>
    <w:rsid w:val="00E311CE"/>
    <w:rsid w:val="00E31D2B"/>
    <w:rsid w:val="00E31E30"/>
    <w:rsid w:val="00E31E40"/>
    <w:rsid w:val="00E32B44"/>
    <w:rsid w:val="00E33520"/>
    <w:rsid w:val="00E33741"/>
    <w:rsid w:val="00E33D3D"/>
    <w:rsid w:val="00E35557"/>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2B2C"/>
    <w:rsid w:val="00E540CA"/>
    <w:rsid w:val="00E54462"/>
    <w:rsid w:val="00E54583"/>
    <w:rsid w:val="00E55F46"/>
    <w:rsid w:val="00E5633C"/>
    <w:rsid w:val="00E56E97"/>
    <w:rsid w:val="00E56EE4"/>
    <w:rsid w:val="00E60A17"/>
    <w:rsid w:val="00E6139B"/>
    <w:rsid w:val="00E621FE"/>
    <w:rsid w:val="00E62CBA"/>
    <w:rsid w:val="00E648F7"/>
    <w:rsid w:val="00E64CC9"/>
    <w:rsid w:val="00E65E40"/>
    <w:rsid w:val="00E6690D"/>
    <w:rsid w:val="00E67861"/>
    <w:rsid w:val="00E67D3C"/>
    <w:rsid w:val="00E702B9"/>
    <w:rsid w:val="00E71269"/>
    <w:rsid w:val="00E71D05"/>
    <w:rsid w:val="00E71EAE"/>
    <w:rsid w:val="00E75146"/>
    <w:rsid w:val="00E755AB"/>
    <w:rsid w:val="00E75B19"/>
    <w:rsid w:val="00E75BB5"/>
    <w:rsid w:val="00E76191"/>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A37"/>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36E"/>
    <w:rsid w:val="00EC6864"/>
    <w:rsid w:val="00EC6A8E"/>
    <w:rsid w:val="00EC6B14"/>
    <w:rsid w:val="00EC6BCB"/>
    <w:rsid w:val="00EC729C"/>
    <w:rsid w:val="00EC7AAA"/>
    <w:rsid w:val="00ED0365"/>
    <w:rsid w:val="00ED073E"/>
    <w:rsid w:val="00ED0BF4"/>
    <w:rsid w:val="00ED0E71"/>
    <w:rsid w:val="00ED18EC"/>
    <w:rsid w:val="00ED2080"/>
    <w:rsid w:val="00ED2378"/>
    <w:rsid w:val="00ED29A6"/>
    <w:rsid w:val="00ED35F3"/>
    <w:rsid w:val="00ED3C6C"/>
    <w:rsid w:val="00ED525B"/>
    <w:rsid w:val="00ED5337"/>
    <w:rsid w:val="00ED58A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42A"/>
    <w:rsid w:val="00EE7B44"/>
    <w:rsid w:val="00EE7D04"/>
    <w:rsid w:val="00EE7FB9"/>
    <w:rsid w:val="00EF09AC"/>
    <w:rsid w:val="00EF14D1"/>
    <w:rsid w:val="00EF1DD2"/>
    <w:rsid w:val="00EF58F2"/>
    <w:rsid w:val="00EF60C8"/>
    <w:rsid w:val="00EF6733"/>
    <w:rsid w:val="00EF6AD7"/>
    <w:rsid w:val="00F0006E"/>
    <w:rsid w:val="00F0055B"/>
    <w:rsid w:val="00F006A9"/>
    <w:rsid w:val="00F009EB"/>
    <w:rsid w:val="00F017FB"/>
    <w:rsid w:val="00F01F7A"/>
    <w:rsid w:val="00F02736"/>
    <w:rsid w:val="00F02A35"/>
    <w:rsid w:val="00F02DE0"/>
    <w:rsid w:val="00F030A2"/>
    <w:rsid w:val="00F0344E"/>
    <w:rsid w:val="00F03930"/>
    <w:rsid w:val="00F042A7"/>
    <w:rsid w:val="00F04DD4"/>
    <w:rsid w:val="00F053FC"/>
    <w:rsid w:val="00F05564"/>
    <w:rsid w:val="00F06302"/>
    <w:rsid w:val="00F070D0"/>
    <w:rsid w:val="00F079CC"/>
    <w:rsid w:val="00F11C46"/>
    <w:rsid w:val="00F13509"/>
    <w:rsid w:val="00F1360C"/>
    <w:rsid w:val="00F1390D"/>
    <w:rsid w:val="00F13955"/>
    <w:rsid w:val="00F151EA"/>
    <w:rsid w:val="00F15595"/>
    <w:rsid w:val="00F156A1"/>
    <w:rsid w:val="00F168E1"/>
    <w:rsid w:val="00F17DAB"/>
    <w:rsid w:val="00F208B7"/>
    <w:rsid w:val="00F20B24"/>
    <w:rsid w:val="00F21368"/>
    <w:rsid w:val="00F21A7E"/>
    <w:rsid w:val="00F21E73"/>
    <w:rsid w:val="00F224D7"/>
    <w:rsid w:val="00F226DE"/>
    <w:rsid w:val="00F227F6"/>
    <w:rsid w:val="00F22851"/>
    <w:rsid w:val="00F24944"/>
    <w:rsid w:val="00F24EE4"/>
    <w:rsid w:val="00F2516C"/>
    <w:rsid w:val="00F2560A"/>
    <w:rsid w:val="00F25B7F"/>
    <w:rsid w:val="00F2644C"/>
    <w:rsid w:val="00F268D3"/>
    <w:rsid w:val="00F26992"/>
    <w:rsid w:val="00F26F0E"/>
    <w:rsid w:val="00F2789C"/>
    <w:rsid w:val="00F310A3"/>
    <w:rsid w:val="00F31B10"/>
    <w:rsid w:val="00F31B8A"/>
    <w:rsid w:val="00F31FDD"/>
    <w:rsid w:val="00F323A8"/>
    <w:rsid w:val="00F334EB"/>
    <w:rsid w:val="00F34104"/>
    <w:rsid w:val="00F34DC1"/>
    <w:rsid w:val="00F34DEA"/>
    <w:rsid w:val="00F35DBE"/>
    <w:rsid w:val="00F36B23"/>
    <w:rsid w:val="00F370C9"/>
    <w:rsid w:val="00F37101"/>
    <w:rsid w:val="00F3778C"/>
    <w:rsid w:val="00F377CE"/>
    <w:rsid w:val="00F40094"/>
    <w:rsid w:val="00F405C7"/>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5AE"/>
    <w:rsid w:val="00F64795"/>
    <w:rsid w:val="00F64C5A"/>
    <w:rsid w:val="00F65CBB"/>
    <w:rsid w:val="00F66D81"/>
    <w:rsid w:val="00F67C3E"/>
    <w:rsid w:val="00F70281"/>
    <w:rsid w:val="00F707C2"/>
    <w:rsid w:val="00F707EE"/>
    <w:rsid w:val="00F710EA"/>
    <w:rsid w:val="00F73249"/>
    <w:rsid w:val="00F73BC3"/>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BF4"/>
    <w:rsid w:val="00FA5829"/>
    <w:rsid w:val="00FA5888"/>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329"/>
    <w:rsid w:val="00FC2C91"/>
    <w:rsid w:val="00FC3459"/>
    <w:rsid w:val="00FC387F"/>
    <w:rsid w:val="00FC4C6D"/>
    <w:rsid w:val="00FC4DC2"/>
    <w:rsid w:val="00FC5311"/>
    <w:rsid w:val="00FC6C11"/>
    <w:rsid w:val="00FC702E"/>
    <w:rsid w:val="00FC7940"/>
    <w:rsid w:val="00FC7B46"/>
    <w:rsid w:val="00FC7B74"/>
    <w:rsid w:val="00FD0CFA"/>
    <w:rsid w:val="00FD0D1E"/>
    <w:rsid w:val="00FD1C01"/>
    <w:rsid w:val="00FD1CE7"/>
    <w:rsid w:val="00FD1D4B"/>
    <w:rsid w:val="00FD1F76"/>
    <w:rsid w:val="00FD230C"/>
    <w:rsid w:val="00FD2772"/>
    <w:rsid w:val="00FD30CD"/>
    <w:rsid w:val="00FD40D5"/>
    <w:rsid w:val="00FD4636"/>
    <w:rsid w:val="00FD46BA"/>
    <w:rsid w:val="00FD4915"/>
    <w:rsid w:val="00FD4F18"/>
    <w:rsid w:val="00FD5D4A"/>
    <w:rsid w:val="00FD6B5B"/>
    <w:rsid w:val="00FE05FC"/>
    <w:rsid w:val="00FE0693"/>
    <w:rsid w:val="00FE086E"/>
    <w:rsid w:val="00FE0AF4"/>
    <w:rsid w:val="00FE127F"/>
    <w:rsid w:val="00FE1F9D"/>
    <w:rsid w:val="00FE27EE"/>
    <w:rsid w:val="00FE30E1"/>
    <w:rsid w:val="00FE4F59"/>
    <w:rsid w:val="00FE520C"/>
    <w:rsid w:val="00FE65C5"/>
    <w:rsid w:val="00FE6DA0"/>
    <w:rsid w:val="00FF0C49"/>
    <w:rsid w:val="00FF0FDB"/>
    <w:rsid w:val="00FF1282"/>
    <w:rsid w:val="00FF1339"/>
    <w:rsid w:val="00FF1682"/>
    <w:rsid w:val="00FF33D3"/>
    <w:rsid w:val="00FF3D4D"/>
    <w:rsid w:val="00FF479B"/>
    <w:rsid w:val="00FF5100"/>
    <w:rsid w:val="00FF5C53"/>
    <w:rsid w:val="00FF5D3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apple-tab-span">
    <w:name w:val="apple-tab-span"/>
    <w:basedOn w:val="Fuentedeprrafopredeter"/>
    <w:rsid w:val="00BD7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5072664">
      <w:bodyDiv w:val="1"/>
      <w:marLeft w:val="0"/>
      <w:marRight w:val="0"/>
      <w:marTop w:val="0"/>
      <w:marBottom w:val="0"/>
      <w:divBdr>
        <w:top w:val="none" w:sz="0" w:space="0" w:color="auto"/>
        <w:left w:val="none" w:sz="0" w:space="0" w:color="auto"/>
        <w:bottom w:val="none" w:sz="0" w:space="0" w:color="auto"/>
        <w:right w:val="none" w:sz="0" w:space="0" w:color="auto"/>
      </w:divBdr>
      <w:divsChild>
        <w:div w:id="1754083642">
          <w:marLeft w:val="0"/>
          <w:marRight w:val="0"/>
          <w:marTop w:val="0"/>
          <w:marBottom w:val="0"/>
          <w:divBdr>
            <w:top w:val="none" w:sz="0" w:space="0" w:color="auto"/>
            <w:left w:val="none" w:sz="0" w:space="0" w:color="auto"/>
            <w:bottom w:val="none" w:sz="0" w:space="0" w:color="auto"/>
            <w:right w:val="none" w:sz="0" w:space="0" w:color="auto"/>
          </w:divBdr>
          <w:divsChild>
            <w:div w:id="1637300984">
              <w:marLeft w:val="0"/>
              <w:marRight w:val="0"/>
              <w:marTop w:val="0"/>
              <w:marBottom w:val="0"/>
              <w:divBdr>
                <w:top w:val="none" w:sz="0" w:space="0" w:color="auto"/>
                <w:left w:val="none" w:sz="0" w:space="0" w:color="auto"/>
                <w:bottom w:val="none" w:sz="0" w:space="0" w:color="auto"/>
                <w:right w:val="none" w:sz="0" w:space="0" w:color="auto"/>
              </w:divBdr>
            </w:div>
          </w:divsChild>
        </w:div>
        <w:div w:id="1133091">
          <w:marLeft w:val="0"/>
          <w:marRight w:val="0"/>
          <w:marTop w:val="0"/>
          <w:marBottom w:val="0"/>
          <w:divBdr>
            <w:top w:val="none" w:sz="0" w:space="0" w:color="auto"/>
            <w:left w:val="none" w:sz="0" w:space="0" w:color="auto"/>
            <w:bottom w:val="none" w:sz="0" w:space="0" w:color="auto"/>
            <w:right w:val="none" w:sz="0" w:space="0" w:color="auto"/>
          </w:divBdr>
          <w:divsChild>
            <w:div w:id="456994891">
              <w:marLeft w:val="0"/>
              <w:marRight w:val="0"/>
              <w:marTop w:val="0"/>
              <w:marBottom w:val="0"/>
              <w:divBdr>
                <w:top w:val="none" w:sz="0" w:space="0" w:color="auto"/>
                <w:left w:val="none" w:sz="0" w:space="0" w:color="auto"/>
                <w:bottom w:val="none" w:sz="0" w:space="0" w:color="auto"/>
                <w:right w:val="none" w:sz="0" w:space="0" w:color="auto"/>
              </w:divBdr>
            </w:div>
            <w:div w:id="1109936996">
              <w:marLeft w:val="0"/>
              <w:marRight w:val="0"/>
              <w:marTop w:val="0"/>
              <w:marBottom w:val="0"/>
              <w:divBdr>
                <w:top w:val="none" w:sz="0" w:space="0" w:color="auto"/>
                <w:left w:val="none" w:sz="0" w:space="0" w:color="auto"/>
                <w:bottom w:val="none" w:sz="0" w:space="0" w:color="auto"/>
                <w:right w:val="none" w:sz="0" w:space="0" w:color="auto"/>
              </w:divBdr>
            </w:div>
            <w:div w:id="1685088767">
              <w:marLeft w:val="0"/>
              <w:marRight w:val="0"/>
              <w:marTop w:val="0"/>
              <w:marBottom w:val="0"/>
              <w:divBdr>
                <w:top w:val="none" w:sz="0" w:space="0" w:color="auto"/>
                <w:left w:val="none" w:sz="0" w:space="0" w:color="auto"/>
                <w:bottom w:val="none" w:sz="0" w:space="0" w:color="auto"/>
                <w:right w:val="none" w:sz="0" w:space="0" w:color="auto"/>
              </w:divBdr>
            </w:div>
          </w:divsChild>
        </w:div>
        <w:div w:id="505560832">
          <w:marLeft w:val="0"/>
          <w:marRight w:val="0"/>
          <w:marTop w:val="0"/>
          <w:marBottom w:val="0"/>
          <w:divBdr>
            <w:top w:val="none" w:sz="0" w:space="0" w:color="auto"/>
            <w:left w:val="none" w:sz="0" w:space="0" w:color="auto"/>
            <w:bottom w:val="none" w:sz="0" w:space="0" w:color="auto"/>
            <w:right w:val="none" w:sz="0" w:space="0" w:color="auto"/>
          </w:divBdr>
          <w:divsChild>
            <w:div w:id="1277786590">
              <w:marLeft w:val="0"/>
              <w:marRight w:val="0"/>
              <w:marTop w:val="0"/>
              <w:marBottom w:val="0"/>
              <w:divBdr>
                <w:top w:val="none" w:sz="0" w:space="0" w:color="auto"/>
                <w:left w:val="none" w:sz="0" w:space="0" w:color="auto"/>
                <w:bottom w:val="none" w:sz="0" w:space="0" w:color="auto"/>
                <w:right w:val="none" w:sz="0" w:space="0" w:color="auto"/>
              </w:divBdr>
            </w:div>
            <w:div w:id="1786196218">
              <w:marLeft w:val="0"/>
              <w:marRight w:val="0"/>
              <w:marTop w:val="0"/>
              <w:marBottom w:val="0"/>
              <w:divBdr>
                <w:top w:val="none" w:sz="0" w:space="0" w:color="auto"/>
                <w:left w:val="none" w:sz="0" w:space="0" w:color="auto"/>
                <w:bottom w:val="none" w:sz="0" w:space="0" w:color="auto"/>
                <w:right w:val="none" w:sz="0" w:space="0" w:color="auto"/>
              </w:divBdr>
            </w:div>
            <w:div w:id="2047871998">
              <w:marLeft w:val="0"/>
              <w:marRight w:val="0"/>
              <w:marTop w:val="0"/>
              <w:marBottom w:val="0"/>
              <w:divBdr>
                <w:top w:val="none" w:sz="0" w:space="0" w:color="auto"/>
                <w:left w:val="none" w:sz="0" w:space="0" w:color="auto"/>
                <w:bottom w:val="none" w:sz="0" w:space="0" w:color="auto"/>
                <w:right w:val="none" w:sz="0" w:space="0" w:color="auto"/>
              </w:divBdr>
            </w:div>
          </w:divsChild>
        </w:div>
        <w:div w:id="1955625006">
          <w:marLeft w:val="0"/>
          <w:marRight w:val="0"/>
          <w:marTop w:val="0"/>
          <w:marBottom w:val="0"/>
          <w:divBdr>
            <w:top w:val="none" w:sz="0" w:space="0" w:color="auto"/>
            <w:left w:val="none" w:sz="0" w:space="0" w:color="auto"/>
            <w:bottom w:val="none" w:sz="0" w:space="0" w:color="auto"/>
            <w:right w:val="none" w:sz="0" w:space="0" w:color="auto"/>
          </w:divBdr>
        </w:div>
        <w:div w:id="494541659">
          <w:marLeft w:val="0"/>
          <w:marRight w:val="0"/>
          <w:marTop w:val="0"/>
          <w:marBottom w:val="0"/>
          <w:divBdr>
            <w:top w:val="none" w:sz="0" w:space="0" w:color="auto"/>
            <w:left w:val="none" w:sz="0" w:space="0" w:color="auto"/>
            <w:bottom w:val="none" w:sz="0" w:space="0" w:color="auto"/>
            <w:right w:val="none" w:sz="0" w:space="0" w:color="auto"/>
          </w:divBdr>
        </w:div>
      </w:divsChild>
    </w:div>
    <w:div w:id="164977303">
      <w:bodyDiv w:val="1"/>
      <w:marLeft w:val="0"/>
      <w:marRight w:val="0"/>
      <w:marTop w:val="0"/>
      <w:marBottom w:val="0"/>
      <w:divBdr>
        <w:top w:val="none" w:sz="0" w:space="0" w:color="auto"/>
        <w:left w:val="none" w:sz="0" w:space="0" w:color="auto"/>
        <w:bottom w:val="none" w:sz="0" w:space="0" w:color="auto"/>
        <w:right w:val="none" w:sz="0" w:space="0" w:color="auto"/>
      </w:divBdr>
      <w:divsChild>
        <w:div w:id="1914389257">
          <w:marLeft w:val="0"/>
          <w:marRight w:val="0"/>
          <w:marTop w:val="0"/>
          <w:marBottom w:val="0"/>
          <w:divBdr>
            <w:top w:val="none" w:sz="0" w:space="0" w:color="auto"/>
            <w:left w:val="none" w:sz="0" w:space="0" w:color="auto"/>
            <w:bottom w:val="none" w:sz="0" w:space="0" w:color="auto"/>
            <w:right w:val="none" w:sz="0" w:space="0" w:color="auto"/>
          </w:divBdr>
          <w:divsChild>
            <w:div w:id="2056852237">
              <w:marLeft w:val="0"/>
              <w:marRight w:val="0"/>
              <w:marTop w:val="0"/>
              <w:marBottom w:val="0"/>
              <w:divBdr>
                <w:top w:val="none" w:sz="0" w:space="0" w:color="auto"/>
                <w:left w:val="none" w:sz="0" w:space="0" w:color="auto"/>
                <w:bottom w:val="none" w:sz="0" w:space="0" w:color="auto"/>
                <w:right w:val="none" w:sz="0" w:space="0" w:color="auto"/>
              </w:divBdr>
            </w:div>
          </w:divsChild>
        </w:div>
        <w:div w:id="1241403756">
          <w:marLeft w:val="0"/>
          <w:marRight w:val="0"/>
          <w:marTop w:val="0"/>
          <w:marBottom w:val="0"/>
          <w:divBdr>
            <w:top w:val="none" w:sz="0" w:space="0" w:color="auto"/>
            <w:left w:val="none" w:sz="0" w:space="0" w:color="auto"/>
            <w:bottom w:val="none" w:sz="0" w:space="0" w:color="auto"/>
            <w:right w:val="none" w:sz="0" w:space="0" w:color="auto"/>
          </w:divBdr>
          <w:divsChild>
            <w:div w:id="1398866822">
              <w:marLeft w:val="0"/>
              <w:marRight w:val="0"/>
              <w:marTop w:val="0"/>
              <w:marBottom w:val="0"/>
              <w:divBdr>
                <w:top w:val="none" w:sz="0" w:space="0" w:color="auto"/>
                <w:left w:val="none" w:sz="0" w:space="0" w:color="auto"/>
                <w:bottom w:val="none" w:sz="0" w:space="0" w:color="auto"/>
                <w:right w:val="none" w:sz="0" w:space="0" w:color="auto"/>
              </w:divBdr>
            </w:div>
            <w:div w:id="1093042010">
              <w:marLeft w:val="0"/>
              <w:marRight w:val="0"/>
              <w:marTop w:val="0"/>
              <w:marBottom w:val="0"/>
              <w:divBdr>
                <w:top w:val="none" w:sz="0" w:space="0" w:color="auto"/>
                <w:left w:val="none" w:sz="0" w:space="0" w:color="auto"/>
                <w:bottom w:val="none" w:sz="0" w:space="0" w:color="auto"/>
                <w:right w:val="none" w:sz="0" w:space="0" w:color="auto"/>
              </w:divBdr>
            </w:div>
            <w:div w:id="1206329471">
              <w:marLeft w:val="0"/>
              <w:marRight w:val="0"/>
              <w:marTop w:val="0"/>
              <w:marBottom w:val="0"/>
              <w:divBdr>
                <w:top w:val="none" w:sz="0" w:space="0" w:color="auto"/>
                <w:left w:val="none" w:sz="0" w:space="0" w:color="auto"/>
                <w:bottom w:val="none" w:sz="0" w:space="0" w:color="auto"/>
                <w:right w:val="none" w:sz="0" w:space="0" w:color="auto"/>
              </w:divBdr>
            </w:div>
          </w:divsChild>
        </w:div>
        <w:div w:id="2049142234">
          <w:marLeft w:val="0"/>
          <w:marRight w:val="0"/>
          <w:marTop w:val="0"/>
          <w:marBottom w:val="0"/>
          <w:divBdr>
            <w:top w:val="none" w:sz="0" w:space="0" w:color="auto"/>
            <w:left w:val="none" w:sz="0" w:space="0" w:color="auto"/>
            <w:bottom w:val="none" w:sz="0" w:space="0" w:color="auto"/>
            <w:right w:val="none" w:sz="0" w:space="0" w:color="auto"/>
          </w:divBdr>
          <w:divsChild>
            <w:div w:id="1291017218">
              <w:marLeft w:val="0"/>
              <w:marRight w:val="0"/>
              <w:marTop w:val="0"/>
              <w:marBottom w:val="0"/>
              <w:divBdr>
                <w:top w:val="none" w:sz="0" w:space="0" w:color="auto"/>
                <w:left w:val="none" w:sz="0" w:space="0" w:color="auto"/>
                <w:bottom w:val="none" w:sz="0" w:space="0" w:color="auto"/>
                <w:right w:val="none" w:sz="0" w:space="0" w:color="auto"/>
              </w:divBdr>
            </w:div>
            <w:div w:id="1712992387">
              <w:marLeft w:val="0"/>
              <w:marRight w:val="0"/>
              <w:marTop w:val="0"/>
              <w:marBottom w:val="0"/>
              <w:divBdr>
                <w:top w:val="none" w:sz="0" w:space="0" w:color="auto"/>
                <w:left w:val="none" w:sz="0" w:space="0" w:color="auto"/>
                <w:bottom w:val="none" w:sz="0" w:space="0" w:color="auto"/>
                <w:right w:val="none" w:sz="0" w:space="0" w:color="auto"/>
              </w:divBdr>
            </w:div>
            <w:div w:id="789713391">
              <w:marLeft w:val="0"/>
              <w:marRight w:val="0"/>
              <w:marTop w:val="0"/>
              <w:marBottom w:val="0"/>
              <w:divBdr>
                <w:top w:val="none" w:sz="0" w:space="0" w:color="auto"/>
                <w:left w:val="none" w:sz="0" w:space="0" w:color="auto"/>
                <w:bottom w:val="none" w:sz="0" w:space="0" w:color="auto"/>
                <w:right w:val="none" w:sz="0" w:space="0" w:color="auto"/>
              </w:divBdr>
            </w:div>
          </w:divsChild>
        </w:div>
        <w:div w:id="1998028331">
          <w:marLeft w:val="0"/>
          <w:marRight w:val="0"/>
          <w:marTop w:val="0"/>
          <w:marBottom w:val="0"/>
          <w:divBdr>
            <w:top w:val="none" w:sz="0" w:space="0" w:color="auto"/>
            <w:left w:val="none" w:sz="0" w:space="0" w:color="auto"/>
            <w:bottom w:val="none" w:sz="0" w:space="0" w:color="auto"/>
            <w:right w:val="none" w:sz="0" w:space="0" w:color="auto"/>
          </w:divBdr>
        </w:div>
        <w:div w:id="1688750429">
          <w:marLeft w:val="0"/>
          <w:marRight w:val="0"/>
          <w:marTop w:val="0"/>
          <w:marBottom w:val="0"/>
          <w:divBdr>
            <w:top w:val="none" w:sz="0" w:space="0" w:color="auto"/>
            <w:left w:val="none" w:sz="0" w:space="0" w:color="auto"/>
            <w:bottom w:val="none" w:sz="0" w:space="0" w:color="auto"/>
            <w:right w:val="none" w:sz="0" w:space="0" w:color="auto"/>
          </w:divBdr>
        </w:div>
      </w:divsChild>
    </w:div>
    <w:div w:id="325329357">
      <w:bodyDiv w:val="1"/>
      <w:marLeft w:val="0"/>
      <w:marRight w:val="0"/>
      <w:marTop w:val="0"/>
      <w:marBottom w:val="0"/>
      <w:divBdr>
        <w:top w:val="none" w:sz="0" w:space="0" w:color="auto"/>
        <w:left w:val="none" w:sz="0" w:space="0" w:color="auto"/>
        <w:bottom w:val="none" w:sz="0" w:space="0" w:color="auto"/>
        <w:right w:val="none" w:sz="0" w:space="0" w:color="auto"/>
      </w:divBdr>
      <w:divsChild>
        <w:div w:id="236550664">
          <w:marLeft w:val="0"/>
          <w:marRight w:val="0"/>
          <w:marTop w:val="0"/>
          <w:marBottom w:val="0"/>
          <w:divBdr>
            <w:top w:val="none" w:sz="0" w:space="0" w:color="auto"/>
            <w:left w:val="none" w:sz="0" w:space="0" w:color="auto"/>
            <w:bottom w:val="none" w:sz="0" w:space="0" w:color="auto"/>
            <w:right w:val="none" w:sz="0" w:space="0" w:color="auto"/>
          </w:divBdr>
          <w:divsChild>
            <w:div w:id="1190528564">
              <w:marLeft w:val="0"/>
              <w:marRight w:val="0"/>
              <w:marTop w:val="0"/>
              <w:marBottom w:val="0"/>
              <w:divBdr>
                <w:top w:val="none" w:sz="0" w:space="0" w:color="auto"/>
                <w:left w:val="none" w:sz="0" w:space="0" w:color="auto"/>
                <w:bottom w:val="none" w:sz="0" w:space="0" w:color="auto"/>
                <w:right w:val="none" w:sz="0" w:space="0" w:color="auto"/>
              </w:divBdr>
            </w:div>
          </w:divsChild>
        </w:div>
        <w:div w:id="45182914">
          <w:marLeft w:val="0"/>
          <w:marRight w:val="0"/>
          <w:marTop w:val="0"/>
          <w:marBottom w:val="0"/>
          <w:divBdr>
            <w:top w:val="none" w:sz="0" w:space="0" w:color="auto"/>
            <w:left w:val="none" w:sz="0" w:space="0" w:color="auto"/>
            <w:bottom w:val="none" w:sz="0" w:space="0" w:color="auto"/>
            <w:right w:val="none" w:sz="0" w:space="0" w:color="auto"/>
          </w:divBdr>
          <w:divsChild>
            <w:div w:id="942499129">
              <w:marLeft w:val="0"/>
              <w:marRight w:val="0"/>
              <w:marTop w:val="0"/>
              <w:marBottom w:val="0"/>
              <w:divBdr>
                <w:top w:val="none" w:sz="0" w:space="0" w:color="auto"/>
                <w:left w:val="none" w:sz="0" w:space="0" w:color="auto"/>
                <w:bottom w:val="none" w:sz="0" w:space="0" w:color="auto"/>
                <w:right w:val="none" w:sz="0" w:space="0" w:color="auto"/>
              </w:divBdr>
            </w:div>
            <w:div w:id="1607273786">
              <w:marLeft w:val="0"/>
              <w:marRight w:val="0"/>
              <w:marTop w:val="0"/>
              <w:marBottom w:val="0"/>
              <w:divBdr>
                <w:top w:val="none" w:sz="0" w:space="0" w:color="auto"/>
                <w:left w:val="none" w:sz="0" w:space="0" w:color="auto"/>
                <w:bottom w:val="none" w:sz="0" w:space="0" w:color="auto"/>
                <w:right w:val="none" w:sz="0" w:space="0" w:color="auto"/>
              </w:divBdr>
            </w:div>
            <w:div w:id="148713215">
              <w:marLeft w:val="0"/>
              <w:marRight w:val="0"/>
              <w:marTop w:val="0"/>
              <w:marBottom w:val="0"/>
              <w:divBdr>
                <w:top w:val="none" w:sz="0" w:space="0" w:color="auto"/>
                <w:left w:val="none" w:sz="0" w:space="0" w:color="auto"/>
                <w:bottom w:val="none" w:sz="0" w:space="0" w:color="auto"/>
                <w:right w:val="none" w:sz="0" w:space="0" w:color="auto"/>
              </w:divBdr>
            </w:div>
          </w:divsChild>
        </w:div>
        <w:div w:id="1958294506">
          <w:marLeft w:val="0"/>
          <w:marRight w:val="0"/>
          <w:marTop w:val="0"/>
          <w:marBottom w:val="0"/>
          <w:divBdr>
            <w:top w:val="none" w:sz="0" w:space="0" w:color="auto"/>
            <w:left w:val="none" w:sz="0" w:space="0" w:color="auto"/>
            <w:bottom w:val="none" w:sz="0" w:space="0" w:color="auto"/>
            <w:right w:val="none" w:sz="0" w:space="0" w:color="auto"/>
          </w:divBdr>
          <w:divsChild>
            <w:div w:id="245501957">
              <w:marLeft w:val="0"/>
              <w:marRight w:val="0"/>
              <w:marTop w:val="0"/>
              <w:marBottom w:val="0"/>
              <w:divBdr>
                <w:top w:val="none" w:sz="0" w:space="0" w:color="auto"/>
                <w:left w:val="none" w:sz="0" w:space="0" w:color="auto"/>
                <w:bottom w:val="none" w:sz="0" w:space="0" w:color="auto"/>
                <w:right w:val="none" w:sz="0" w:space="0" w:color="auto"/>
              </w:divBdr>
            </w:div>
            <w:div w:id="670183008">
              <w:marLeft w:val="0"/>
              <w:marRight w:val="0"/>
              <w:marTop w:val="0"/>
              <w:marBottom w:val="0"/>
              <w:divBdr>
                <w:top w:val="none" w:sz="0" w:space="0" w:color="auto"/>
                <w:left w:val="none" w:sz="0" w:space="0" w:color="auto"/>
                <w:bottom w:val="none" w:sz="0" w:space="0" w:color="auto"/>
                <w:right w:val="none" w:sz="0" w:space="0" w:color="auto"/>
              </w:divBdr>
            </w:div>
            <w:div w:id="963997700">
              <w:marLeft w:val="0"/>
              <w:marRight w:val="0"/>
              <w:marTop w:val="0"/>
              <w:marBottom w:val="0"/>
              <w:divBdr>
                <w:top w:val="none" w:sz="0" w:space="0" w:color="auto"/>
                <w:left w:val="none" w:sz="0" w:space="0" w:color="auto"/>
                <w:bottom w:val="none" w:sz="0" w:space="0" w:color="auto"/>
                <w:right w:val="none" w:sz="0" w:space="0" w:color="auto"/>
              </w:divBdr>
            </w:div>
          </w:divsChild>
        </w:div>
        <w:div w:id="999389117">
          <w:marLeft w:val="0"/>
          <w:marRight w:val="0"/>
          <w:marTop w:val="0"/>
          <w:marBottom w:val="0"/>
          <w:divBdr>
            <w:top w:val="none" w:sz="0" w:space="0" w:color="auto"/>
            <w:left w:val="none" w:sz="0" w:space="0" w:color="auto"/>
            <w:bottom w:val="none" w:sz="0" w:space="0" w:color="auto"/>
            <w:right w:val="none" w:sz="0" w:space="0" w:color="auto"/>
          </w:divBdr>
        </w:div>
        <w:div w:id="747314465">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19354978">
      <w:bodyDiv w:val="1"/>
      <w:marLeft w:val="0"/>
      <w:marRight w:val="0"/>
      <w:marTop w:val="0"/>
      <w:marBottom w:val="0"/>
      <w:divBdr>
        <w:top w:val="none" w:sz="0" w:space="0" w:color="auto"/>
        <w:left w:val="none" w:sz="0" w:space="0" w:color="auto"/>
        <w:bottom w:val="none" w:sz="0" w:space="0" w:color="auto"/>
        <w:right w:val="none" w:sz="0" w:space="0" w:color="auto"/>
      </w:divBdr>
    </w:div>
    <w:div w:id="889533166">
      <w:bodyDiv w:val="1"/>
      <w:marLeft w:val="0"/>
      <w:marRight w:val="0"/>
      <w:marTop w:val="0"/>
      <w:marBottom w:val="0"/>
      <w:divBdr>
        <w:top w:val="none" w:sz="0" w:space="0" w:color="auto"/>
        <w:left w:val="none" w:sz="0" w:space="0" w:color="auto"/>
        <w:bottom w:val="none" w:sz="0" w:space="0" w:color="auto"/>
        <w:right w:val="none" w:sz="0" w:space="0" w:color="auto"/>
      </w:divBdr>
      <w:divsChild>
        <w:div w:id="1080446229">
          <w:marLeft w:val="0"/>
          <w:marRight w:val="0"/>
          <w:marTop w:val="0"/>
          <w:marBottom w:val="0"/>
          <w:divBdr>
            <w:top w:val="none" w:sz="0" w:space="0" w:color="auto"/>
            <w:left w:val="none" w:sz="0" w:space="0" w:color="auto"/>
            <w:bottom w:val="none" w:sz="0" w:space="0" w:color="auto"/>
            <w:right w:val="none" w:sz="0" w:space="0" w:color="auto"/>
          </w:divBdr>
          <w:divsChild>
            <w:div w:id="274943543">
              <w:marLeft w:val="0"/>
              <w:marRight w:val="0"/>
              <w:marTop w:val="0"/>
              <w:marBottom w:val="0"/>
              <w:divBdr>
                <w:top w:val="none" w:sz="0" w:space="0" w:color="auto"/>
                <w:left w:val="none" w:sz="0" w:space="0" w:color="auto"/>
                <w:bottom w:val="none" w:sz="0" w:space="0" w:color="auto"/>
                <w:right w:val="none" w:sz="0" w:space="0" w:color="auto"/>
              </w:divBdr>
            </w:div>
          </w:divsChild>
        </w:div>
        <w:div w:id="522792318">
          <w:marLeft w:val="0"/>
          <w:marRight w:val="0"/>
          <w:marTop w:val="0"/>
          <w:marBottom w:val="0"/>
          <w:divBdr>
            <w:top w:val="none" w:sz="0" w:space="0" w:color="auto"/>
            <w:left w:val="none" w:sz="0" w:space="0" w:color="auto"/>
            <w:bottom w:val="none" w:sz="0" w:space="0" w:color="auto"/>
            <w:right w:val="none" w:sz="0" w:space="0" w:color="auto"/>
          </w:divBdr>
          <w:divsChild>
            <w:div w:id="1285621083">
              <w:marLeft w:val="0"/>
              <w:marRight w:val="0"/>
              <w:marTop w:val="0"/>
              <w:marBottom w:val="0"/>
              <w:divBdr>
                <w:top w:val="none" w:sz="0" w:space="0" w:color="auto"/>
                <w:left w:val="none" w:sz="0" w:space="0" w:color="auto"/>
                <w:bottom w:val="none" w:sz="0" w:space="0" w:color="auto"/>
                <w:right w:val="none" w:sz="0" w:space="0" w:color="auto"/>
              </w:divBdr>
            </w:div>
            <w:div w:id="252395325">
              <w:marLeft w:val="0"/>
              <w:marRight w:val="0"/>
              <w:marTop w:val="0"/>
              <w:marBottom w:val="0"/>
              <w:divBdr>
                <w:top w:val="none" w:sz="0" w:space="0" w:color="auto"/>
                <w:left w:val="none" w:sz="0" w:space="0" w:color="auto"/>
                <w:bottom w:val="none" w:sz="0" w:space="0" w:color="auto"/>
                <w:right w:val="none" w:sz="0" w:space="0" w:color="auto"/>
              </w:divBdr>
            </w:div>
            <w:div w:id="864363233">
              <w:marLeft w:val="0"/>
              <w:marRight w:val="0"/>
              <w:marTop w:val="0"/>
              <w:marBottom w:val="0"/>
              <w:divBdr>
                <w:top w:val="none" w:sz="0" w:space="0" w:color="auto"/>
                <w:left w:val="none" w:sz="0" w:space="0" w:color="auto"/>
                <w:bottom w:val="none" w:sz="0" w:space="0" w:color="auto"/>
                <w:right w:val="none" w:sz="0" w:space="0" w:color="auto"/>
              </w:divBdr>
            </w:div>
          </w:divsChild>
        </w:div>
        <w:div w:id="1951887190">
          <w:marLeft w:val="0"/>
          <w:marRight w:val="0"/>
          <w:marTop w:val="0"/>
          <w:marBottom w:val="0"/>
          <w:divBdr>
            <w:top w:val="none" w:sz="0" w:space="0" w:color="auto"/>
            <w:left w:val="none" w:sz="0" w:space="0" w:color="auto"/>
            <w:bottom w:val="none" w:sz="0" w:space="0" w:color="auto"/>
            <w:right w:val="none" w:sz="0" w:space="0" w:color="auto"/>
          </w:divBdr>
          <w:divsChild>
            <w:div w:id="1566179755">
              <w:marLeft w:val="0"/>
              <w:marRight w:val="0"/>
              <w:marTop w:val="0"/>
              <w:marBottom w:val="0"/>
              <w:divBdr>
                <w:top w:val="none" w:sz="0" w:space="0" w:color="auto"/>
                <w:left w:val="none" w:sz="0" w:space="0" w:color="auto"/>
                <w:bottom w:val="none" w:sz="0" w:space="0" w:color="auto"/>
                <w:right w:val="none" w:sz="0" w:space="0" w:color="auto"/>
              </w:divBdr>
            </w:div>
            <w:div w:id="12154119">
              <w:marLeft w:val="0"/>
              <w:marRight w:val="0"/>
              <w:marTop w:val="0"/>
              <w:marBottom w:val="0"/>
              <w:divBdr>
                <w:top w:val="none" w:sz="0" w:space="0" w:color="auto"/>
                <w:left w:val="none" w:sz="0" w:space="0" w:color="auto"/>
                <w:bottom w:val="none" w:sz="0" w:space="0" w:color="auto"/>
                <w:right w:val="none" w:sz="0" w:space="0" w:color="auto"/>
              </w:divBdr>
            </w:div>
            <w:div w:id="866672780">
              <w:marLeft w:val="0"/>
              <w:marRight w:val="0"/>
              <w:marTop w:val="0"/>
              <w:marBottom w:val="0"/>
              <w:divBdr>
                <w:top w:val="none" w:sz="0" w:space="0" w:color="auto"/>
                <w:left w:val="none" w:sz="0" w:space="0" w:color="auto"/>
                <w:bottom w:val="none" w:sz="0" w:space="0" w:color="auto"/>
                <w:right w:val="none" w:sz="0" w:space="0" w:color="auto"/>
              </w:divBdr>
            </w:div>
          </w:divsChild>
        </w:div>
        <w:div w:id="1748460842">
          <w:marLeft w:val="0"/>
          <w:marRight w:val="0"/>
          <w:marTop w:val="0"/>
          <w:marBottom w:val="0"/>
          <w:divBdr>
            <w:top w:val="none" w:sz="0" w:space="0" w:color="auto"/>
            <w:left w:val="none" w:sz="0" w:space="0" w:color="auto"/>
            <w:bottom w:val="none" w:sz="0" w:space="0" w:color="auto"/>
            <w:right w:val="none" w:sz="0" w:space="0" w:color="auto"/>
          </w:divBdr>
        </w:div>
        <w:div w:id="331377850">
          <w:marLeft w:val="0"/>
          <w:marRight w:val="0"/>
          <w:marTop w:val="0"/>
          <w:marBottom w:val="0"/>
          <w:divBdr>
            <w:top w:val="none" w:sz="0" w:space="0" w:color="auto"/>
            <w:left w:val="none" w:sz="0" w:space="0" w:color="auto"/>
            <w:bottom w:val="none" w:sz="0" w:space="0" w:color="auto"/>
            <w:right w:val="none" w:sz="0" w:space="0" w:color="auto"/>
          </w:divBdr>
        </w:div>
      </w:divsChild>
    </w:div>
    <w:div w:id="960962931">
      <w:bodyDiv w:val="1"/>
      <w:marLeft w:val="0"/>
      <w:marRight w:val="0"/>
      <w:marTop w:val="0"/>
      <w:marBottom w:val="0"/>
      <w:divBdr>
        <w:top w:val="none" w:sz="0" w:space="0" w:color="auto"/>
        <w:left w:val="none" w:sz="0" w:space="0" w:color="auto"/>
        <w:bottom w:val="none" w:sz="0" w:space="0" w:color="auto"/>
        <w:right w:val="none" w:sz="0" w:space="0" w:color="auto"/>
      </w:divBdr>
    </w:div>
    <w:div w:id="1008219110">
      <w:bodyDiv w:val="1"/>
      <w:marLeft w:val="0"/>
      <w:marRight w:val="0"/>
      <w:marTop w:val="0"/>
      <w:marBottom w:val="0"/>
      <w:divBdr>
        <w:top w:val="none" w:sz="0" w:space="0" w:color="auto"/>
        <w:left w:val="none" w:sz="0" w:space="0" w:color="auto"/>
        <w:bottom w:val="none" w:sz="0" w:space="0" w:color="auto"/>
        <w:right w:val="none" w:sz="0" w:space="0" w:color="auto"/>
      </w:divBdr>
      <w:divsChild>
        <w:div w:id="903569614">
          <w:marLeft w:val="0"/>
          <w:marRight w:val="0"/>
          <w:marTop w:val="0"/>
          <w:marBottom w:val="0"/>
          <w:divBdr>
            <w:top w:val="none" w:sz="0" w:space="0" w:color="auto"/>
            <w:left w:val="none" w:sz="0" w:space="0" w:color="auto"/>
            <w:bottom w:val="none" w:sz="0" w:space="0" w:color="auto"/>
            <w:right w:val="none" w:sz="0" w:space="0" w:color="auto"/>
          </w:divBdr>
          <w:divsChild>
            <w:div w:id="1361080476">
              <w:marLeft w:val="0"/>
              <w:marRight w:val="0"/>
              <w:marTop w:val="0"/>
              <w:marBottom w:val="0"/>
              <w:divBdr>
                <w:top w:val="none" w:sz="0" w:space="0" w:color="auto"/>
                <w:left w:val="none" w:sz="0" w:space="0" w:color="auto"/>
                <w:bottom w:val="none" w:sz="0" w:space="0" w:color="auto"/>
                <w:right w:val="none" w:sz="0" w:space="0" w:color="auto"/>
              </w:divBdr>
            </w:div>
          </w:divsChild>
        </w:div>
        <w:div w:id="892928330">
          <w:marLeft w:val="0"/>
          <w:marRight w:val="0"/>
          <w:marTop w:val="0"/>
          <w:marBottom w:val="0"/>
          <w:divBdr>
            <w:top w:val="none" w:sz="0" w:space="0" w:color="auto"/>
            <w:left w:val="none" w:sz="0" w:space="0" w:color="auto"/>
            <w:bottom w:val="none" w:sz="0" w:space="0" w:color="auto"/>
            <w:right w:val="none" w:sz="0" w:space="0" w:color="auto"/>
          </w:divBdr>
          <w:divsChild>
            <w:div w:id="1397318426">
              <w:marLeft w:val="0"/>
              <w:marRight w:val="0"/>
              <w:marTop w:val="0"/>
              <w:marBottom w:val="0"/>
              <w:divBdr>
                <w:top w:val="none" w:sz="0" w:space="0" w:color="auto"/>
                <w:left w:val="none" w:sz="0" w:space="0" w:color="auto"/>
                <w:bottom w:val="none" w:sz="0" w:space="0" w:color="auto"/>
                <w:right w:val="none" w:sz="0" w:space="0" w:color="auto"/>
              </w:divBdr>
            </w:div>
            <w:div w:id="9528976">
              <w:marLeft w:val="0"/>
              <w:marRight w:val="0"/>
              <w:marTop w:val="0"/>
              <w:marBottom w:val="0"/>
              <w:divBdr>
                <w:top w:val="none" w:sz="0" w:space="0" w:color="auto"/>
                <w:left w:val="none" w:sz="0" w:space="0" w:color="auto"/>
                <w:bottom w:val="none" w:sz="0" w:space="0" w:color="auto"/>
                <w:right w:val="none" w:sz="0" w:space="0" w:color="auto"/>
              </w:divBdr>
            </w:div>
            <w:div w:id="1492330196">
              <w:marLeft w:val="0"/>
              <w:marRight w:val="0"/>
              <w:marTop w:val="0"/>
              <w:marBottom w:val="0"/>
              <w:divBdr>
                <w:top w:val="none" w:sz="0" w:space="0" w:color="auto"/>
                <w:left w:val="none" w:sz="0" w:space="0" w:color="auto"/>
                <w:bottom w:val="none" w:sz="0" w:space="0" w:color="auto"/>
                <w:right w:val="none" w:sz="0" w:space="0" w:color="auto"/>
              </w:divBdr>
            </w:div>
          </w:divsChild>
        </w:div>
        <w:div w:id="1185828883">
          <w:marLeft w:val="0"/>
          <w:marRight w:val="0"/>
          <w:marTop w:val="0"/>
          <w:marBottom w:val="0"/>
          <w:divBdr>
            <w:top w:val="none" w:sz="0" w:space="0" w:color="auto"/>
            <w:left w:val="none" w:sz="0" w:space="0" w:color="auto"/>
            <w:bottom w:val="none" w:sz="0" w:space="0" w:color="auto"/>
            <w:right w:val="none" w:sz="0" w:space="0" w:color="auto"/>
          </w:divBdr>
          <w:divsChild>
            <w:div w:id="183448220">
              <w:marLeft w:val="0"/>
              <w:marRight w:val="0"/>
              <w:marTop w:val="0"/>
              <w:marBottom w:val="0"/>
              <w:divBdr>
                <w:top w:val="none" w:sz="0" w:space="0" w:color="auto"/>
                <w:left w:val="none" w:sz="0" w:space="0" w:color="auto"/>
                <w:bottom w:val="none" w:sz="0" w:space="0" w:color="auto"/>
                <w:right w:val="none" w:sz="0" w:space="0" w:color="auto"/>
              </w:divBdr>
            </w:div>
            <w:div w:id="394358251">
              <w:marLeft w:val="0"/>
              <w:marRight w:val="0"/>
              <w:marTop w:val="0"/>
              <w:marBottom w:val="0"/>
              <w:divBdr>
                <w:top w:val="none" w:sz="0" w:space="0" w:color="auto"/>
                <w:left w:val="none" w:sz="0" w:space="0" w:color="auto"/>
                <w:bottom w:val="none" w:sz="0" w:space="0" w:color="auto"/>
                <w:right w:val="none" w:sz="0" w:space="0" w:color="auto"/>
              </w:divBdr>
            </w:div>
            <w:div w:id="1785079656">
              <w:marLeft w:val="0"/>
              <w:marRight w:val="0"/>
              <w:marTop w:val="0"/>
              <w:marBottom w:val="0"/>
              <w:divBdr>
                <w:top w:val="none" w:sz="0" w:space="0" w:color="auto"/>
                <w:left w:val="none" w:sz="0" w:space="0" w:color="auto"/>
                <w:bottom w:val="none" w:sz="0" w:space="0" w:color="auto"/>
                <w:right w:val="none" w:sz="0" w:space="0" w:color="auto"/>
              </w:divBdr>
            </w:div>
          </w:divsChild>
        </w:div>
        <w:div w:id="337537237">
          <w:marLeft w:val="0"/>
          <w:marRight w:val="0"/>
          <w:marTop w:val="0"/>
          <w:marBottom w:val="0"/>
          <w:divBdr>
            <w:top w:val="none" w:sz="0" w:space="0" w:color="auto"/>
            <w:left w:val="none" w:sz="0" w:space="0" w:color="auto"/>
            <w:bottom w:val="none" w:sz="0" w:space="0" w:color="auto"/>
            <w:right w:val="none" w:sz="0" w:space="0" w:color="auto"/>
          </w:divBdr>
        </w:div>
        <w:div w:id="1688755922">
          <w:marLeft w:val="0"/>
          <w:marRight w:val="0"/>
          <w:marTop w:val="0"/>
          <w:marBottom w:val="0"/>
          <w:divBdr>
            <w:top w:val="none" w:sz="0" w:space="0" w:color="auto"/>
            <w:left w:val="none" w:sz="0" w:space="0" w:color="auto"/>
            <w:bottom w:val="none" w:sz="0" w:space="0" w:color="auto"/>
            <w:right w:val="none" w:sz="0" w:space="0" w:color="auto"/>
          </w:divBdr>
        </w:div>
      </w:divsChild>
    </w:div>
    <w:div w:id="1194734146">
      <w:bodyDiv w:val="1"/>
      <w:marLeft w:val="0"/>
      <w:marRight w:val="0"/>
      <w:marTop w:val="0"/>
      <w:marBottom w:val="0"/>
      <w:divBdr>
        <w:top w:val="none" w:sz="0" w:space="0" w:color="auto"/>
        <w:left w:val="none" w:sz="0" w:space="0" w:color="auto"/>
        <w:bottom w:val="none" w:sz="0" w:space="0" w:color="auto"/>
        <w:right w:val="none" w:sz="0" w:space="0" w:color="auto"/>
      </w:divBdr>
      <w:divsChild>
        <w:div w:id="978531343">
          <w:marLeft w:val="0"/>
          <w:marRight w:val="0"/>
          <w:marTop w:val="0"/>
          <w:marBottom w:val="0"/>
          <w:divBdr>
            <w:top w:val="none" w:sz="0" w:space="0" w:color="auto"/>
            <w:left w:val="none" w:sz="0" w:space="0" w:color="auto"/>
            <w:bottom w:val="none" w:sz="0" w:space="0" w:color="auto"/>
            <w:right w:val="none" w:sz="0" w:space="0" w:color="auto"/>
          </w:divBdr>
          <w:divsChild>
            <w:div w:id="471216493">
              <w:marLeft w:val="0"/>
              <w:marRight w:val="0"/>
              <w:marTop w:val="0"/>
              <w:marBottom w:val="0"/>
              <w:divBdr>
                <w:top w:val="none" w:sz="0" w:space="0" w:color="auto"/>
                <w:left w:val="none" w:sz="0" w:space="0" w:color="auto"/>
                <w:bottom w:val="none" w:sz="0" w:space="0" w:color="auto"/>
                <w:right w:val="none" w:sz="0" w:space="0" w:color="auto"/>
              </w:divBdr>
            </w:div>
          </w:divsChild>
        </w:div>
        <w:div w:id="64647918">
          <w:marLeft w:val="0"/>
          <w:marRight w:val="0"/>
          <w:marTop w:val="0"/>
          <w:marBottom w:val="0"/>
          <w:divBdr>
            <w:top w:val="none" w:sz="0" w:space="0" w:color="auto"/>
            <w:left w:val="none" w:sz="0" w:space="0" w:color="auto"/>
            <w:bottom w:val="none" w:sz="0" w:space="0" w:color="auto"/>
            <w:right w:val="none" w:sz="0" w:space="0" w:color="auto"/>
          </w:divBdr>
          <w:divsChild>
            <w:div w:id="1149323052">
              <w:marLeft w:val="0"/>
              <w:marRight w:val="0"/>
              <w:marTop w:val="0"/>
              <w:marBottom w:val="0"/>
              <w:divBdr>
                <w:top w:val="none" w:sz="0" w:space="0" w:color="auto"/>
                <w:left w:val="none" w:sz="0" w:space="0" w:color="auto"/>
                <w:bottom w:val="none" w:sz="0" w:space="0" w:color="auto"/>
                <w:right w:val="none" w:sz="0" w:space="0" w:color="auto"/>
              </w:divBdr>
            </w:div>
            <w:div w:id="1903251332">
              <w:marLeft w:val="0"/>
              <w:marRight w:val="0"/>
              <w:marTop w:val="0"/>
              <w:marBottom w:val="0"/>
              <w:divBdr>
                <w:top w:val="none" w:sz="0" w:space="0" w:color="auto"/>
                <w:left w:val="none" w:sz="0" w:space="0" w:color="auto"/>
                <w:bottom w:val="none" w:sz="0" w:space="0" w:color="auto"/>
                <w:right w:val="none" w:sz="0" w:space="0" w:color="auto"/>
              </w:divBdr>
            </w:div>
            <w:div w:id="326445159">
              <w:marLeft w:val="0"/>
              <w:marRight w:val="0"/>
              <w:marTop w:val="0"/>
              <w:marBottom w:val="0"/>
              <w:divBdr>
                <w:top w:val="none" w:sz="0" w:space="0" w:color="auto"/>
                <w:left w:val="none" w:sz="0" w:space="0" w:color="auto"/>
                <w:bottom w:val="none" w:sz="0" w:space="0" w:color="auto"/>
                <w:right w:val="none" w:sz="0" w:space="0" w:color="auto"/>
              </w:divBdr>
            </w:div>
          </w:divsChild>
        </w:div>
        <w:div w:id="744643876">
          <w:marLeft w:val="0"/>
          <w:marRight w:val="0"/>
          <w:marTop w:val="0"/>
          <w:marBottom w:val="0"/>
          <w:divBdr>
            <w:top w:val="none" w:sz="0" w:space="0" w:color="auto"/>
            <w:left w:val="none" w:sz="0" w:space="0" w:color="auto"/>
            <w:bottom w:val="none" w:sz="0" w:space="0" w:color="auto"/>
            <w:right w:val="none" w:sz="0" w:space="0" w:color="auto"/>
          </w:divBdr>
          <w:divsChild>
            <w:div w:id="836845977">
              <w:marLeft w:val="0"/>
              <w:marRight w:val="0"/>
              <w:marTop w:val="0"/>
              <w:marBottom w:val="0"/>
              <w:divBdr>
                <w:top w:val="none" w:sz="0" w:space="0" w:color="auto"/>
                <w:left w:val="none" w:sz="0" w:space="0" w:color="auto"/>
                <w:bottom w:val="none" w:sz="0" w:space="0" w:color="auto"/>
                <w:right w:val="none" w:sz="0" w:space="0" w:color="auto"/>
              </w:divBdr>
            </w:div>
            <w:div w:id="398986073">
              <w:marLeft w:val="0"/>
              <w:marRight w:val="0"/>
              <w:marTop w:val="0"/>
              <w:marBottom w:val="0"/>
              <w:divBdr>
                <w:top w:val="none" w:sz="0" w:space="0" w:color="auto"/>
                <w:left w:val="none" w:sz="0" w:space="0" w:color="auto"/>
                <w:bottom w:val="none" w:sz="0" w:space="0" w:color="auto"/>
                <w:right w:val="none" w:sz="0" w:space="0" w:color="auto"/>
              </w:divBdr>
            </w:div>
            <w:div w:id="1453405182">
              <w:marLeft w:val="0"/>
              <w:marRight w:val="0"/>
              <w:marTop w:val="0"/>
              <w:marBottom w:val="0"/>
              <w:divBdr>
                <w:top w:val="none" w:sz="0" w:space="0" w:color="auto"/>
                <w:left w:val="none" w:sz="0" w:space="0" w:color="auto"/>
                <w:bottom w:val="none" w:sz="0" w:space="0" w:color="auto"/>
                <w:right w:val="none" w:sz="0" w:space="0" w:color="auto"/>
              </w:divBdr>
            </w:div>
          </w:divsChild>
        </w:div>
        <w:div w:id="1204294451">
          <w:marLeft w:val="0"/>
          <w:marRight w:val="0"/>
          <w:marTop w:val="0"/>
          <w:marBottom w:val="0"/>
          <w:divBdr>
            <w:top w:val="none" w:sz="0" w:space="0" w:color="auto"/>
            <w:left w:val="none" w:sz="0" w:space="0" w:color="auto"/>
            <w:bottom w:val="none" w:sz="0" w:space="0" w:color="auto"/>
            <w:right w:val="none" w:sz="0" w:space="0" w:color="auto"/>
          </w:divBdr>
        </w:div>
        <w:div w:id="386339189">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0972077">
      <w:bodyDiv w:val="1"/>
      <w:marLeft w:val="0"/>
      <w:marRight w:val="0"/>
      <w:marTop w:val="0"/>
      <w:marBottom w:val="0"/>
      <w:divBdr>
        <w:top w:val="none" w:sz="0" w:space="0" w:color="auto"/>
        <w:left w:val="none" w:sz="0" w:space="0" w:color="auto"/>
        <w:bottom w:val="none" w:sz="0" w:space="0" w:color="auto"/>
        <w:right w:val="none" w:sz="0" w:space="0" w:color="auto"/>
      </w:divBdr>
      <w:divsChild>
        <w:div w:id="1440679130">
          <w:marLeft w:val="0"/>
          <w:marRight w:val="0"/>
          <w:marTop w:val="0"/>
          <w:marBottom w:val="0"/>
          <w:divBdr>
            <w:top w:val="none" w:sz="0" w:space="0" w:color="auto"/>
            <w:left w:val="none" w:sz="0" w:space="0" w:color="auto"/>
            <w:bottom w:val="none" w:sz="0" w:space="0" w:color="auto"/>
            <w:right w:val="none" w:sz="0" w:space="0" w:color="auto"/>
          </w:divBdr>
          <w:divsChild>
            <w:div w:id="1941987370">
              <w:marLeft w:val="0"/>
              <w:marRight w:val="0"/>
              <w:marTop w:val="0"/>
              <w:marBottom w:val="0"/>
              <w:divBdr>
                <w:top w:val="none" w:sz="0" w:space="0" w:color="auto"/>
                <w:left w:val="none" w:sz="0" w:space="0" w:color="auto"/>
                <w:bottom w:val="none" w:sz="0" w:space="0" w:color="auto"/>
                <w:right w:val="none" w:sz="0" w:space="0" w:color="auto"/>
              </w:divBdr>
            </w:div>
          </w:divsChild>
        </w:div>
        <w:div w:id="1444113503">
          <w:marLeft w:val="0"/>
          <w:marRight w:val="0"/>
          <w:marTop w:val="0"/>
          <w:marBottom w:val="0"/>
          <w:divBdr>
            <w:top w:val="none" w:sz="0" w:space="0" w:color="auto"/>
            <w:left w:val="none" w:sz="0" w:space="0" w:color="auto"/>
            <w:bottom w:val="none" w:sz="0" w:space="0" w:color="auto"/>
            <w:right w:val="none" w:sz="0" w:space="0" w:color="auto"/>
          </w:divBdr>
          <w:divsChild>
            <w:div w:id="756637396">
              <w:marLeft w:val="0"/>
              <w:marRight w:val="0"/>
              <w:marTop w:val="0"/>
              <w:marBottom w:val="0"/>
              <w:divBdr>
                <w:top w:val="none" w:sz="0" w:space="0" w:color="auto"/>
                <w:left w:val="none" w:sz="0" w:space="0" w:color="auto"/>
                <w:bottom w:val="none" w:sz="0" w:space="0" w:color="auto"/>
                <w:right w:val="none" w:sz="0" w:space="0" w:color="auto"/>
              </w:divBdr>
            </w:div>
            <w:div w:id="3476734">
              <w:marLeft w:val="0"/>
              <w:marRight w:val="0"/>
              <w:marTop w:val="0"/>
              <w:marBottom w:val="0"/>
              <w:divBdr>
                <w:top w:val="none" w:sz="0" w:space="0" w:color="auto"/>
                <w:left w:val="none" w:sz="0" w:space="0" w:color="auto"/>
                <w:bottom w:val="none" w:sz="0" w:space="0" w:color="auto"/>
                <w:right w:val="none" w:sz="0" w:space="0" w:color="auto"/>
              </w:divBdr>
            </w:div>
            <w:div w:id="10255434">
              <w:marLeft w:val="0"/>
              <w:marRight w:val="0"/>
              <w:marTop w:val="0"/>
              <w:marBottom w:val="0"/>
              <w:divBdr>
                <w:top w:val="none" w:sz="0" w:space="0" w:color="auto"/>
                <w:left w:val="none" w:sz="0" w:space="0" w:color="auto"/>
                <w:bottom w:val="none" w:sz="0" w:space="0" w:color="auto"/>
                <w:right w:val="none" w:sz="0" w:space="0" w:color="auto"/>
              </w:divBdr>
            </w:div>
          </w:divsChild>
        </w:div>
        <w:div w:id="462382576">
          <w:marLeft w:val="0"/>
          <w:marRight w:val="0"/>
          <w:marTop w:val="0"/>
          <w:marBottom w:val="0"/>
          <w:divBdr>
            <w:top w:val="none" w:sz="0" w:space="0" w:color="auto"/>
            <w:left w:val="none" w:sz="0" w:space="0" w:color="auto"/>
            <w:bottom w:val="none" w:sz="0" w:space="0" w:color="auto"/>
            <w:right w:val="none" w:sz="0" w:space="0" w:color="auto"/>
          </w:divBdr>
          <w:divsChild>
            <w:div w:id="783033917">
              <w:marLeft w:val="0"/>
              <w:marRight w:val="0"/>
              <w:marTop w:val="0"/>
              <w:marBottom w:val="0"/>
              <w:divBdr>
                <w:top w:val="none" w:sz="0" w:space="0" w:color="auto"/>
                <w:left w:val="none" w:sz="0" w:space="0" w:color="auto"/>
                <w:bottom w:val="none" w:sz="0" w:space="0" w:color="auto"/>
                <w:right w:val="none" w:sz="0" w:space="0" w:color="auto"/>
              </w:divBdr>
            </w:div>
            <w:div w:id="1995134364">
              <w:marLeft w:val="0"/>
              <w:marRight w:val="0"/>
              <w:marTop w:val="0"/>
              <w:marBottom w:val="0"/>
              <w:divBdr>
                <w:top w:val="none" w:sz="0" w:space="0" w:color="auto"/>
                <w:left w:val="none" w:sz="0" w:space="0" w:color="auto"/>
                <w:bottom w:val="none" w:sz="0" w:space="0" w:color="auto"/>
                <w:right w:val="none" w:sz="0" w:space="0" w:color="auto"/>
              </w:divBdr>
            </w:div>
            <w:div w:id="1439792114">
              <w:marLeft w:val="0"/>
              <w:marRight w:val="0"/>
              <w:marTop w:val="0"/>
              <w:marBottom w:val="0"/>
              <w:divBdr>
                <w:top w:val="none" w:sz="0" w:space="0" w:color="auto"/>
                <w:left w:val="none" w:sz="0" w:space="0" w:color="auto"/>
                <w:bottom w:val="none" w:sz="0" w:space="0" w:color="auto"/>
                <w:right w:val="none" w:sz="0" w:space="0" w:color="auto"/>
              </w:divBdr>
            </w:div>
          </w:divsChild>
        </w:div>
        <w:div w:id="1464226937">
          <w:marLeft w:val="0"/>
          <w:marRight w:val="0"/>
          <w:marTop w:val="0"/>
          <w:marBottom w:val="0"/>
          <w:divBdr>
            <w:top w:val="none" w:sz="0" w:space="0" w:color="auto"/>
            <w:left w:val="none" w:sz="0" w:space="0" w:color="auto"/>
            <w:bottom w:val="none" w:sz="0" w:space="0" w:color="auto"/>
            <w:right w:val="none" w:sz="0" w:space="0" w:color="auto"/>
          </w:divBdr>
        </w:div>
        <w:div w:id="1491867728">
          <w:marLeft w:val="0"/>
          <w:marRight w:val="0"/>
          <w:marTop w:val="0"/>
          <w:marBottom w:val="0"/>
          <w:divBdr>
            <w:top w:val="none" w:sz="0" w:space="0" w:color="auto"/>
            <w:left w:val="none" w:sz="0" w:space="0" w:color="auto"/>
            <w:bottom w:val="none" w:sz="0" w:space="0" w:color="auto"/>
            <w:right w:val="none" w:sz="0" w:space="0" w:color="auto"/>
          </w:divBdr>
        </w:div>
      </w:divsChild>
    </w:div>
    <w:div w:id="1492409537">
      <w:bodyDiv w:val="1"/>
      <w:marLeft w:val="0"/>
      <w:marRight w:val="0"/>
      <w:marTop w:val="0"/>
      <w:marBottom w:val="0"/>
      <w:divBdr>
        <w:top w:val="none" w:sz="0" w:space="0" w:color="auto"/>
        <w:left w:val="none" w:sz="0" w:space="0" w:color="auto"/>
        <w:bottom w:val="none" w:sz="0" w:space="0" w:color="auto"/>
        <w:right w:val="none" w:sz="0" w:space="0" w:color="auto"/>
      </w:divBdr>
      <w:divsChild>
        <w:div w:id="1936671450">
          <w:marLeft w:val="0"/>
          <w:marRight w:val="0"/>
          <w:marTop w:val="0"/>
          <w:marBottom w:val="0"/>
          <w:divBdr>
            <w:top w:val="none" w:sz="0" w:space="0" w:color="auto"/>
            <w:left w:val="none" w:sz="0" w:space="0" w:color="auto"/>
            <w:bottom w:val="none" w:sz="0" w:space="0" w:color="auto"/>
            <w:right w:val="none" w:sz="0" w:space="0" w:color="auto"/>
          </w:divBdr>
          <w:divsChild>
            <w:div w:id="1019504403">
              <w:marLeft w:val="0"/>
              <w:marRight w:val="0"/>
              <w:marTop w:val="0"/>
              <w:marBottom w:val="0"/>
              <w:divBdr>
                <w:top w:val="none" w:sz="0" w:space="0" w:color="auto"/>
                <w:left w:val="none" w:sz="0" w:space="0" w:color="auto"/>
                <w:bottom w:val="none" w:sz="0" w:space="0" w:color="auto"/>
                <w:right w:val="none" w:sz="0" w:space="0" w:color="auto"/>
              </w:divBdr>
            </w:div>
          </w:divsChild>
        </w:div>
        <w:div w:id="362752266">
          <w:marLeft w:val="0"/>
          <w:marRight w:val="0"/>
          <w:marTop w:val="0"/>
          <w:marBottom w:val="0"/>
          <w:divBdr>
            <w:top w:val="none" w:sz="0" w:space="0" w:color="auto"/>
            <w:left w:val="none" w:sz="0" w:space="0" w:color="auto"/>
            <w:bottom w:val="none" w:sz="0" w:space="0" w:color="auto"/>
            <w:right w:val="none" w:sz="0" w:space="0" w:color="auto"/>
          </w:divBdr>
          <w:divsChild>
            <w:div w:id="938563277">
              <w:marLeft w:val="0"/>
              <w:marRight w:val="0"/>
              <w:marTop w:val="0"/>
              <w:marBottom w:val="0"/>
              <w:divBdr>
                <w:top w:val="none" w:sz="0" w:space="0" w:color="auto"/>
                <w:left w:val="none" w:sz="0" w:space="0" w:color="auto"/>
                <w:bottom w:val="none" w:sz="0" w:space="0" w:color="auto"/>
                <w:right w:val="none" w:sz="0" w:space="0" w:color="auto"/>
              </w:divBdr>
            </w:div>
            <w:div w:id="612707897">
              <w:marLeft w:val="0"/>
              <w:marRight w:val="0"/>
              <w:marTop w:val="0"/>
              <w:marBottom w:val="0"/>
              <w:divBdr>
                <w:top w:val="none" w:sz="0" w:space="0" w:color="auto"/>
                <w:left w:val="none" w:sz="0" w:space="0" w:color="auto"/>
                <w:bottom w:val="none" w:sz="0" w:space="0" w:color="auto"/>
                <w:right w:val="none" w:sz="0" w:space="0" w:color="auto"/>
              </w:divBdr>
            </w:div>
            <w:div w:id="1596862314">
              <w:marLeft w:val="0"/>
              <w:marRight w:val="0"/>
              <w:marTop w:val="0"/>
              <w:marBottom w:val="0"/>
              <w:divBdr>
                <w:top w:val="none" w:sz="0" w:space="0" w:color="auto"/>
                <w:left w:val="none" w:sz="0" w:space="0" w:color="auto"/>
                <w:bottom w:val="none" w:sz="0" w:space="0" w:color="auto"/>
                <w:right w:val="none" w:sz="0" w:space="0" w:color="auto"/>
              </w:divBdr>
            </w:div>
          </w:divsChild>
        </w:div>
        <w:div w:id="26495008">
          <w:marLeft w:val="0"/>
          <w:marRight w:val="0"/>
          <w:marTop w:val="0"/>
          <w:marBottom w:val="0"/>
          <w:divBdr>
            <w:top w:val="none" w:sz="0" w:space="0" w:color="auto"/>
            <w:left w:val="none" w:sz="0" w:space="0" w:color="auto"/>
            <w:bottom w:val="none" w:sz="0" w:space="0" w:color="auto"/>
            <w:right w:val="none" w:sz="0" w:space="0" w:color="auto"/>
          </w:divBdr>
          <w:divsChild>
            <w:div w:id="2037847746">
              <w:marLeft w:val="0"/>
              <w:marRight w:val="0"/>
              <w:marTop w:val="0"/>
              <w:marBottom w:val="0"/>
              <w:divBdr>
                <w:top w:val="none" w:sz="0" w:space="0" w:color="auto"/>
                <w:left w:val="none" w:sz="0" w:space="0" w:color="auto"/>
                <w:bottom w:val="none" w:sz="0" w:space="0" w:color="auto"/>
                <w:right w:val="none" w:sz="0" w:space="0" w:color="auto"/>
              </w:divBdr>
            </w:div>
            <w:div w:id="840580387">
              <w:marLeft w:val="0"/>
              <w:marRight w:val="0"/>
              <w:marTop w:val="0"/>
              <w:marBottom w:val="0"/>
              <w:divBdr>
                <w:top w:val="none" w:sz="0" w:space="0" w:color="auto"/>
                <w:left w:val="none" w:sz="0" w:space="0" w:color="auto"/>
                <w:bottom w:val="none" w:sz="0" w:space="0" w:color="auto"/>
                <w:right w:val="none" w:sz="0" w:space="0" w:color="auto"/>
              </w:divBdr>
            </w:div>
            <w:div w:id="319310413">
              <w:marLeft w:val="0"/>
              <w:marRight w:val="0"/>
              <w:marTop w:val="0"/>
              <w:marBottom w:val="0"/>
              <w:divBdr>
                <w:top w:val="none" w:sz="0" w:space="0" w:color="auto"/>
                <w:left w:val="none" w:sz="0" w:space="0" w:color="auto"/>
                <w:bottom w:val="none" w:sz="0" w:space="0" w:color="auto"/>
                <w:right w:val="none" w:sz="0" w:space="0" w:color="auto"/>
              </w:divBdr>
            </w:div>
          </w:divsChild>
        </w:div>
        <w:div w:id="314917643">
          <w:marLeft w:val="0"/>
          <w:marRight w:val="0"/>
          <w:marTop w:val="0"/>
          <w:marBottom w:val="0"/>
          <w:divBdr>
            <w:top w:val="none" w:sz="0" w:space="0" w:color="auto"/>
            <w:left w:val="none" w:sz="0" w:space="0" w:color="auto"/>
            <w:bottom w:val="none" w:sz="0" w:space="0" w:color="auto"/>
            <w:right w:val="none" w:sz="0" w:space="0" w:color="auto"/>
          </w:divBdr>
        </w:div>
        <w:div w:id="703091733">
          <w:marLeft w:val="0"/>
          <w:marRight w:val="0"/>
          <w:marTop w:val="0"/>
          <w:marBottom w:val="0"/>
          <w:divBdr>
            <w:top w:val="none" w:sz="0" w:space="0" w:color="auto"/>
            <w:left w:val="none" w:sz="0" w:space="0" w:color="auto"/>
            <w:bottom w:val="none" w:sz="0" w:space="0" w:color="auto"/>
            <w:right w:val="none" w:sz="0" w:space="0" w:color="auto"/>
          </w:divBdr>
        </w:div>
      </w:divsChild>
    </w:div>
    <w:div w:id="1915384661">
      <w:bodyDiv w:val="1"/>
      <w:marLeft w:val="0"/>
      <w:marRight w:val="0"/>
      <w:marTop w:val="0"/>
      <w:marBottom w:val="0"/>
      <w:divBdr>
        <w:top w:val="none" w:sz="0" w:space="0" w:color="auto"/>
        <w:left w:val="none" w:sz="0" w:space="0" w:color="auto"/>
        <w:bottom w:val="none" w:sz="0" w:space="0" w:color="auto"/>
        <w:right w:val="none" w:sz="0" w:space="0" w:color="auto"/>
      </w:divBdr>
      <w:divsChild>
        <w:div w:id="958606778">
          <w:marLeft w:val="0"/>
          <w:marRight w:val="0"/>
          <w:marTop w:val="0"/>
          <w:marBottom w:val="0"/>
          <w:divBdr>
            <w:top w:val="none" w:sz="0" w:space="0" w:color="auto"/>
            <w:left w:val="none" w:sz="0" w:space="0" w:color="auto"/>
            <w:bottom w:val="none" w:sz="0" w:space="0" w:color="auto"/>
            <w:right w:val="none" w:sz="0" w:space="0" w:color="auto"/>
          </w:divBdr>
          <w:divsChild>
            <w:div w:id="318733145">
              <w:marLeft w:val="0"/>
              <w:marRight w:val="0"/>
              <w:marTop w:val="0"/>
              <w:marBottom w:val="0"/>
              <w:divBdr>
                <w:top w:val="none" w:sz="0" w:space="0" w:color="auto"/>
                <w:left w:val="none" w:sz="0" w:space="0" w:color="auto"/>
                <w:bottom w:val="none" w:sz="0" w:space="0" w:color="auto"/>
                <w:right w:val="none" w:sz="0" w:space="0" w:color="auto"/>
              </w:divBdr>
            </w:div>
          </w:divsChild>
        </w:div>
        <w:div w:id="1750078743">
          <w:marLeft w:val="0"/>
          <w:marRight w:val="0"/>
          <w:marTop w:val="0"/>
          <w:marBottom w:val="0"/>
          <w:divBdr>
            <w:top w:val="none" w:sz="0" w:space="0" w:color="auto"/>
            <w:left w:val="none" w:sz="0" w:space="0" w:color="auto"/>
            <w:bottom w:val="none" w:sz="0" w:space="0" w:color="auto"/>
            <w:right w:val="none" w:sz="0" w:space="0" w:color="auto"/>
          </w:divBdr>
          <w:divsChild>
            <w:div w:id="1218318793">
              <w:marLeft w:val="0"/>
              <w:marRight w:val="0"/>
              <w:marTop w:val="0"/>
              <w:marBottom w:val="0"/>
              <w:divBdr>
                <w:top w:val="none" w:sz="0" w:space="0" w:color="auto"/>
                <w:left w:val="none" w:sz="0" w:space="0" w:color="auto"/>
                <w:bottom w:val="none" w:sz="0" w:space="0" w:color="auto"/>
                <w:right w:val="none" w:sz="0" w:space="0" w:color="auto"/>
              </w:divBdr>
            </w:div>
            <w:div w:id="1643534799">
              <w:marLeft w:val="0"/>
              <w:marRight w:val="0"/>
              <w:marTop w:val="0"/>
              <w:marBottom w:val="0"/>
              <w:divBdr>
                <w:top w:val="none" w:sz="0" w:space="0" w:color="auto"/>
                <w:left w:val="none" w:sz="0" w:space="0" w:color="auto"/>
                <w:bottom w:val="none" w:sz="0" w:space="0" w:color="auto"/>
                <w:right w:val="none" w:sz="0" w:space="0" w:color="auto"/>
              </w:divBdr>
            </w:div>
            <w:div w:id="1936480051">
              <w:marLeft w:val="0"/>
              <w:marRight w:val="0"/>
              <w:marTop w:val="0"/>
              <w:marBottom w:val="0"/>
              <w:divBdr>
                <w:top w:val="none" w:sz="0" w:space="0" w:color="auto"/>
                <w:left w:val="none" w:sz="0" w:space="0" w:color="auto"/>
                <w:bottom w:val="none" w:sz="0" w:space="0" w:color="auto"/>
                <w:right w:val="none" w:sz="0" w:space="0" w:color="auto"/>
              </w:divBdr>
            </w:div>
          </w:divsChild>
        </w:div>
        <w:div w:id="1875649996">
          <w:marLeft w:val="0"/>
          <w:marRight w:val="0"/>
          <w:marTop w:val="0"/>
          <w:marBottom w:val="0"/>
          <w:divBdr>
            <w:top w:val="none" w:sz="0" w:space="0" w:color="auto"/>
            <w:left w:val="none" w:sz="0" w:space="0" w:color="auto"/>
            <w:bottom w:val="none" w:sz="0" w:space="0" w:color="auto"/>
            <w:right w:val="none" w:sz="0" w:space="0" w:color="auto"/>
          </w:divBdr>
          <w:divsChild>
            <w:div w:id="379482371">
              <w:marLeft w:val="0"/>
              <w:marRight w:val="0"/>
              <w:marTop w:val="0"/>
              <w:marBottom w:val="0"/>
              <w:divBdr>
                <w:top w:val="none" w:sz="0" w:space="0" w:color="auto"/>
                <w:left w:val="none" w:sz="0" w:space="0" w:color="auto"/>
                <w:bottom w:val="none" w:sz="0" w:space="0" w:color="auto"/>
                <w:right w:val="none" w:sz="0" w:space="0" w:color="auto"/>
              </w:divBdr>
            </w:div>
            <w:div w:id="783184930">
              <w:marLeft w:val="0"/>
              <w:marRight w:val="0"/>
              <w:marTop w:val="0"/>
              <w:marBottom w:val="0"/>
              <w:divBdr>
                <w:top w:val="none" w:sz="0" w:space="0" w:color="auto"/>
                <w:left w:val="none" w:sz="0" w:space="0" w:color="auto"/>
                <w:bottom w:val="none" w:sz="0" w:space="0" w:color="auto"/>
                <w:right w:val="none" w:sz="0" w:space="0" w:color="auto"/>
              </w:divBdr>
            </w:div>
            <w:div w:id="1929998603">
              <w:marLeft w:val="0"/>
              <w:marRight w:val="0"/>
              <w:marTop w:val="0"/>
              <w:marBottom w:val="0"/>
              <w:divBdr>
                <w:top w:val="none" w:sz="0" w:space="0" w:color="auto"/>
                <w:left w:val="none" w:sz="0" w:space="0" w:color="auto"/>
                <w:bottom w:val="none" w:sz="0" w:space="0" w:color="auto"/>
                <w:right w:val="none" w:sz="0" w:space="0" w:color="auto"/>
              </w:divBdr>
            </w:div>
          </w:divsChild>
        </w:div>
        <w:div w:id="68619707">
          <w:marLeft w:val="0"/>
          <w:marRight w:val="0"/>
          <w:marTop w:val="0"/>
          <w:marBottom w:val="0"/>
          <w:divBdr>
            <w:top w:val="none" w:sz="0" w:space="0" w:color="auto"/>
            <w:left w:val="none" w:sz="0" w:space="0" w:color="auto"/>
            <w:bottom w:val="none" w:sz="0" w:space="0" w:color="auto"/>
            <w:right w:val="none" w:sz="0" w:space="0" w:color="auto"/>
          </w:divBdr>
        </w:div>
        <w:div w:id="1092120854">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1989287204">
      <w:bodyDiv w:val="1"/>
      <w:marLeft w:val="0"/>
      <w:marRight w:val="0"/>
      <w:marTop w:val="0"/>
      <w:marBottom w:val="0"/>
      <w:divBdr>
        <w:top w:val="none" w:sz="0" w:space="0" w:color="auto"/>
        <w:left w:val="none" w:sz="0" w:space="0" w:color="auto"/>
        <w:bottom w:val="none" w:sz="0" w:space="0" w:color="auto"/>
        <w:right w:val="none" w:sz="0" w:space="0" w:color="auto"/>
      </w:divBdr>
    </w:div>
    <w:div w:id="2091734057">
      <w:bodyDiv w:val="1"/>
      <w:marLeft w:val="0"/>
      <w:marRight w:val="0"/>
      <w:marTop w:val="0"/>
      <w:marBottom w:val="0"/>
      <w:divBdr>
        <w:top w:val="none" w:sz="0" w:space="0" w:color="auto"/>
        <w:left w:val="none" w:sz="0" w:space="0" w:color="auto"/>
        <w:bottom w:val="none" w:sz="0" w:space="0" w:color="auto"/>
        <w:right w:val="none" w:sz="0" w:space="0" w:color="auto"/>
      </w:divBdr>
      <w:divsChild>
        <w:div w:id="954024916">
          <w:marLeft w:val="0"/>
          <w:marRight w:val="0"/>
          <w:marTop w:val="0"/>
          <w:marBottom w:val="0"/>
          <w:divBdr>
            <w:top w:val="none" w:sz="0" w:space="0" w:color="auto"/>
            <w:left w:val="none" w:sz="0" w:space="0" w:color="auto"/>
            <w:bottom w:val="none" w:sz="0" w:space="0" w:color="auto"/>
            <w:right w:val="none" w:sz="0" w:space="0" w:color="auto"/>
          </w:divBdr>
          <w:divsChild>
            <w:div w:id="860121751">
              <w:marLeft w:val="0"/>
              <w:marRight w:val="0"/>
              <w:marTop w:val="0"/>
              <w:marBottom w:val="0"/>
              <w:divBdr>
                <w:top w:val="none" w:sz="0" w:space="0" w:color="auto"/>
                <w:left w:val="none" w:sz="0" w:space="0" w:color="auto"/>
                <w:bottom w:val="none" w:sz="0" w:space="0" w:color="auto"/>
                <w:right w:val="none" w:sz="0" w:space="0" w:color="auto"/>
              </w:divBdr>
            </w:div>
          </w:divsChild>
        </w:div>
        <w:div w:id="1632322348">
          <w:marLeft w:val="0"/>
          <w:marRight w:val="0"/>
          <w:marTop w:val="0"/>
          <w:marBottom w:val="0"/>
          <w:divBdr>
            <w:top w:val="none" w:sz="0" w:space="0" w:color="auto"/>
            <w:left w:val="none" w:sz="0" w:space="0" w:color="auto"/>
            <w:bottom w:val="none" w:sz="0" w:space="0" w:color="auto"/>
            <w:right w:val="none" w:sz="0" w:space="0" w:color="auto"/>
          </w:divBdr>
          <w:divsChild>
            <w:div w:id="747581432">
              <w:marLeft w:val="0"/>
              <w:marRight w:val="0"/>
              <w:marTop w:val="0"/>
              <w:marBottom w:val="0"/>
              <w:divBdr>
                <w:top w:val="none" w:sz="0" w:space="0" w:color="auto"/>
                <w:left w:val="none" w:sz="0" w:space="0" w:color="auto"/>
                <w:bottom w:val="none" w:sz="0" w:space="0" w:color="auto"/>
                <w:right w:val="none" w:sz="0" w:space="0" w:color="auto"/>
              </w:divBdr>
            </w:div>
            <w:div w:id="1145505858">
              <w:marLeft w:val="0"/>
              <w:marRight w:val="0"/>
              <w:marTop w:val="0"/>
              <w:marBottom w:val="0"/>
              <w:divBdr>
                <w:top w:val="none" w:sz="0" w:space="0" w:color="auto"/>
                <w:left w:val="none" w:sz="0" w:space="0" w:color="auto"/>
                <w:bottom w:val="none" w:sz="0" w:space="0" w:color="auto"/>
                <w:right w:val="none" w:sz="0" w:space="0" w:color="auto"/>
              </w:divBdr>
            </w:div>
            <w:div w:id="1526822572">
              <w:marLeft w:val="0"/>
              <w:marRight w:val="0"/>
              <w:marTop w:val="0"/>
              <w:marBottom w:val="0"/>
              <w:divBdr>
                <w:top w:val="none" w:sz="0" w:space="0" w:color="auto"/>
                <w:left w:val="none" w:sz="0" w:space="0" w:color="auto"/>
                <w:bottom w:val="none" w:sz="0" w:space="0" w:color="auto"/>
                <w:right w:val="none" w:sz="0" w:space="0" w:color="auto"/>
              </w:divBdr>
            </w:div>
          </w:divsChild>
        </w:div>
        <w:div w:id="192810284">
          <w:marLeft w:val="0"/>
          <w:marRight w:val="0"/>
          <w:marTop w:val="0"/>
          <w:marBottom w:val="0"/>
          <w:divBdr>
            <w:top w:val="none" w:sz="0" w:space="0" w:color="auto"/>
            <w:left w:val="none" w:sz="0" w:space="0" w:color="auto"/>
            <w:bottom w:val="none" w:sz="0" w:space="0" w:color="auto"/>
            <w:right w:val="none" w:sz="0" w:space="0" w:color="auto"/>
          </w:divBdr>
          <w:divsChild>
            <w:div w:id="2073188389">
              <w:marLeft w:val="0"/>
              <w:marRight w:val="0"/>
              <w:marTop w:val="0"/>
              <w:marBottom w:val="0"/>
              <w:divBdr>
                <w:top w:val="none" w:sz="0" w:space="0" w:color="auto"/>
                <w:left w:val="none" w:sz="0" w:space="0" w:color="auto"/>
                <w:bottom w:val="none" w:sz="0" w:space="0" w:color="auto"/>
                <w:right w:val="none" w:sz="0" w:space="0" w:color="auto"/>
              </w:divBdr>
            </w:div>
            <w:div w:id="879319002">
              <w:marLeft w:val="0"/>
              <w:marRight w:val="0"/>
              <w:marTop w:val="0"/>
              <w:marBottom w:val="0"/>
              <w:divBdr>
                <w:top w:val="none" w:sz="0" w:space="0" w:color="auto"/>
                <w:left w:val="none" w:sz="0" w:space="0" w:color="auto"/>
                <w:bottom w:val="none" w:sz="0" w:space="0" w:color="auto"/>
                <w:right w:val="none" w:sz="0" w:space="0" w:color="auto"/>
              </w:divBdr>
            </w:div>
            <w:div w:id="1640382442">
              <w:marLeft w:val="0"/>
              <w:marRight w:val="0"/>
              <w:marTop w:val="0"/>
              <w:marBottom w:val="0"/>
              <w:divBdr>
                <w:top w:val="none" w:sz="0" w:space="0" w:color="auto"/>
                <w:left w:val="none" w:sz="0" w:space="0" w:color="auto"/>
                <w:bottom w:val="none" w:sz="0" w:space="0" w:color="auto"/>
                <w:right w:val="none" w:sz="0" w:space="0" w:color="auto"/>
              </w:divBdr>
            </w:div>
          </w:divsChild>
        </w:div>
        <w:div w:id="1436748259">
          <w:marLeft w:val="0"/>
          <w:marRight w:val="0"/>
          <w:marTop w:val="0"/>
          <w:marBottom w:val="0"/>
          <w:divBdr>
            <w:top w:val="none" w:sz="0" w:space="0" w:color="auto"/>
            <w:left w:val="none" w:sz="0" w:space="0" w:color="auto"/>
            <w:bottom w:val="none" w:sz="0" w:space="0" w:color="auto"/>
            <w:right w:val="none" w:sz="0" w:space="0" w:color="auto"/>
          </w:divBdr>
        </w:div>
        <w:div w:id="1366129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javascript:void(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8C9CB-A20E-4D44-B4C8-8A642C5B6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23</Pages>
  <Words>9569</Words>
  <Characters>52631</Characters>
  <Application>Microsoft Office Word</Application>
  <DocSecurity>0</DocSecurity>
  <Lines>438</Lines>
  <Paragraphs>124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62076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88</cp:revision>
  <cp:lastPrinted>2021-09-03T15:52:00Z</cp:lastPrinted>
  <dcterms:created xsi:type="dcterms:W3CDTF">2021-11-04T21:38:00Z</dcterms:created>
  <dcterms:modified xsi:type="dcterms:W3CDTF">2022-02-08T19:28:00Z</dcterms:modified>
</cp:coreProperties>
</file>