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8CB4FA" w14:textId="77777777" w:rsidR="00B57362" w:rsidRDefault="00B57362"/>
    <w:tbl>
      <w:tblPr>
        <w:tblpPr w:leftFromText="141" w:rightFromText="141" w:vertAnchor="text" w:horzAnchor="margin" w:tblpXSpec="right" w:tblpY="-885"/>
        <w:tblW w:w="6912" w:type="dxa"/>
        <w:tblLayout w:type="fixed"/>
        <w:tblLook w:val="04A0" w:firstRow="1" w:lastRow="0" w:firstColumn="1" w:lastColumn="0" w:noHBand="0" w:noVBand="1"/>
      </w:tblPr>
      <w:tblGrid>
        <w:gridCol w:w="2518"/>
        <w:gridCol w:w="4385"/>
        <w:gridCol w:w="9"/>
      </w:tblGrid>
      <w:tr w:rsidR="00B57362" w:rsidRPr="00B133DA" w14:paraId="7B0E0A68" w14:textId="77777777" w:rsidTr="00D312C3">
        <w:trPr>
          <w:gridAfter w:val="1"/>
          <w:wAfter w:w="9" w:type="dxa"/>
          <w:trHeight w:val="845"/>
        </w:trPr>
        <w:tc>
          <w:tcPr>
            <w:tcW w:w="6903" w:type="dxa"/>
            <w:gridSpan w:val="2"/>
          </w:tcPr>
          <w:p w14:paraId="49B4882D" w14:textId="77777777" w:rsidR="00B57362" w:rsidRPr="008A692A" w:rsidRDefault="00B57362" w:rsidP="002006C9">
            <w:pPr>
              <w:tabs>
                <w:tab w:val="center" w:pos="4419"/>
                <w:tab w:val="right" w:pos="8838"/>
              </w:tabs>
              <w:spacing w:after="0"/>
              <w:ind w:right="-118" w:firstLine="19"/>
              <w:jc w:val="both"/>
              <w:rPr>
                <w:rFonts w:ascii="Arial" w:hAnsi="Arial" w:cs="Arial"/>
                <w:b/>
              </w:rPr>
            </w:pPr>
            <w:r w:rsidRPr="008A692A">
              <w:rPr>
                <w:rFonts w:ascii="Arial" w:hAnsi="Arial" w:cs="Arial"/>
                <w:b/>
              </w:rPr>
              <w:t xml:space="preserve">CUARTA SALA UNITARIA DE PRIMERA INSTANCIA DEL TRIBUNAL DE JUSTICIA ADMINISTRATIVA PARA EL ESTADO DE OAXACA </w:t>
            </w:r>
          </w:p>
          <w:p w14:paraId="2DD90E80" w14:textId="77777777" w:rsidR="00B57362" w:rsidRPr="008A692A" w:rsidRDefault="00B57362" w:rsidP="002006C9">
            <w:pPr>
              <w:tabs>
                <w:tab w:val="center" w:pos="4419"/>
                <w:tab w:val="right" w:pos="8838"/>
              </w:tabs>
              <w:suppressAutoHyphens/>
              <w:spacing w:after="0" w:line="100" w:lineRule="atLeast"/>
              <w:ind w:right="51"/>
              <w:jc w:val="both"/>
              <w:rPr>
                <w:rFonts w:ascii="Arial" w:eastAsia="Times New Roman" w:hAnsi="Arial" w:cs="Arial"/>
                <w:iCs/>
                <w:kern w:val="2"/>
                <w:lang w:val="es-ES_tradnl" w:eastAsia="es-ES"/>
              </w:rPr>
            </w:pPr>
          </w:p>
        </w:tc>
      </w:tr>
      <w:tr w:rsidR="00B57362" w:rsidRPr="00B133DA" w14:paraId="00504C94" w14:textId="77777777" w:rsidTr="00D312C3">
        <w:trPr>
          <w:trHeight w:val="201"/>
        </w:trPr>
        <w:tc>
          <w:tcPr>
            <w:tcW w:w="2518" w:type="dxa"/>
            <w:hideMark/>
          </w:tcPr>
          <w:p w14:paraId="64B223AD" w14:textId="77777777" w:rsidR="00B57362" w:rsidRPr="008A692A" w:rsidRDefault="00B57362" w:rsidP="002006C9">
            <w:pPr>
              <w:pStyle w:val="Sinespaciado"/>
              <w:rPr>
                <w:rFonts w:ascii="Arial" w:hAnsi="Arial" w:cs="Arial"/>
                <w:b/>
                <w:lang w:val="es-ES_tradnl" w:eastAsia="es-ES"/>
              </w:rPr>
            </w:pPr>
            <w:r w:rsidRPr="008A692A">
              <w:rPr>
                <w:rFonts w:ascii="Arial" w:hAnsi="Arial" w:cs="Arial"/>
                <w:b/>
                <w:lang w:val="es-ES_tradnl" w:eastAsia="es-ES"/>
              </w:rPr>
              <w:t>JUICIO DE NULIDAD:</w:t>
            </w:r>
          </w:p>
        </w:tc>
        <w:tc>
          <w:tcPr>
            <w:tcW w:w="4394" w:type="dxa"/>
            <w:gridSpan w:val="2"/>
            <w:hideMark/>
          </w:tcPr>
          <w:p w14:paraId="210F9345" w14:textId="1565299F" w:rsidR="00B57362" w:rsidRPr="008A692A" w:rsidRDefault="00B57362" w:rsidP="002006C9">
            <w:pPr>
              <w:pStyle w:val="Sinespaciado"/>
              <w:rPr>
                <w:rFonts w:ascii="Arial" w:hAnsi="Arial" w:cs="Arial"/>
                <w:b/>
                <w:bCs/>
                <w:lang w:val="es-ES_tradnl" w:eastAsia="es-ES"/>
              </w:rPr>
            </w:pPr>
            <w:r w:rsidRPr="008A692A">
              <w:rPr>
                <w:rFonts w:ascii="Arial" w:hAnsi="Arial" w:cs="Arial"/>
                <w:b/>
                <w:bCs/>
                <w:lang w:val="es-ES_tradnl" w:eastAsia="es-ES"/>
              </w:rPr>
              <w:t>01</w:t>
            </w:r>
            <w:r>
              <w:rPr>
                <w:rFonts w:ascii="Arial" w:hAnsi="Arial" w:cs="Arial"/>
                <w:b/>
                <w:bCs/>
                <w:lang w:val="es-ES_tradnl" w:eastAsia="es-ES"/>
              </w:rPr>
              <w:t>61</w:t>
            </w:r>
            <w:r w:rsidRPr="008A692A">
              <w:rPr>
                <w:rFonts w:ascii="Arial" w:hAnsi="Arial" w:cs="Arial"/>
                <w:b/>
                <w:bCs/>
                <w:lang w:val="es-ES_tradnl" w:eastAsia="es-ES"/>
              </w:rPr>
              <w:t>/20</w:t>
            </w:r>
            <w:r>
              <w:rPr>
                <w:rFonts w:ascii="Arial" w:hAnsi="Arial" w:cs="Arial"/>
                <w:b/>
                <w:bCs/>
                <w:lang w:val="es-ES_tradnl" w:eastAsia="es-ES"/>
              </w:rPr>
              <w:t>20</w:t>
            </w:r>
          </w:p>
          <w:p w14:paraId="6D91755C" w14:textId="77777777" w:rsidR="00B57362" w:rsidRPr="008A692A" w:rsidRDefault="00B57362" w:rsidP="002006C9">
            <w:pPr>
              <w:pStyle w:val="Sinespaciado"/>
              <w:rPr>
                <w:rFonts w:ascii="Arial" w:hAnsi="Arial" w:cs="Arial"/>
                <w:bCs/>
                <w:lang w:val="es-ES_tradnl" w:eastAsia="es-ES"/>
              </w:rPr>
            </w:pPr>
          </w:p>
        </w:tc>
      </w:tr>
      <w:tr w:rsidR="00B57362" w:rsidRPr="00B133DA" w14:paraId="57F24E46" w14:textId="77777777" w:rsidTr="00D312C3">
        <w:trPr>
          <w:trHeight w:val="201"/>
        </w:trPr>
        <w:tc>
          <w:tcPr>
            <w:tcW w:w="2518" w:type="dxa"/>
          </w:tcPr>
          <w:p w14:paraId="23966A83" w14:textId="77777777" w:rsidR="00B57362" w:rsidRPr="008A692A" w:rsidRDefault="00B57362" w:rsidP="002006C9">
            <w:pPr>
              <w:pStyle w:val="Sinespaciado"/>
              <w:rPr>
                <w:rFonts w:ascii="Arial" w:hAnsi="Arial" w:cs="Arial"/>
                <w:b/>
                <w:lang w:val="es-ES_tradnl" w:eastAsia="es-ES"/>
              </w:rPr>
            </w:pPr>
          </w:p>
        </w:tc>
        <w:tc>
          <w:tcPr>
            <w:tcW w:w="4394" w:type="dxa"/>
            <w:gridSpan w:val="2"/>
          </w:tcPr>
          <w:p w14:paraId="5C80E587" w14:textId="77777777" w:rsidR="00B57362" w:rsidRPr="008A692A" w:rsidRDefault="00B57362" w:rsidP="002006C9">
            <w:pPr>
              <w:pStyle w:val="Sinespaciado"/>
              <w:rPr>
                <w:rFonts w:ascii="Arial" w:hAnsi="Arial" w:cs="Arial"/>
                <w:b/>
                <w:bCs/>
                <w:lang w:val="es-ES_tradnl" w:eastAsia="es-ES"/>
              </w:rPr>
            </w:pPr>
          </w:p>
        </w:tc>
      </w:tr>
      <w:tr w:rsidR="00B57362" w:rsidRPr="00B133DA" w14:paraId="772A3FB9" w14:textId="77777777" w:rsidTr="00D312C3">
        <w:trPr>
          <w:trHeight w:val="96"/>
        </w:trPr>
        <w:tc>
          <w:tcPr>
            <w:tcW w:w="2518" w:type="dxa"/>
            <w:hideMark/>
          </w:tcPr>
          <w:p w14:paraId="05B1B24B" w14:textId="77777777" w:rsidR="00B57362" w:rsidRPr="008A692A" w:rsidRDefault="00B57362" w:rsidP="002006C9">
            <w:pPr>
              <w:pStyle w:val="Sinespaciado"/>
              <w:rPr>
                <w:rFonts w:ascii="Arial" w:hAnsi="Arial" w:cs="Arial"/>
                <w:b/>
                <w:lang w:val="es-ES_tradnl" w:eastAsia="es-ES"/>
              </w:rPr>
            </w:pPr>
            <w:r w:rsidRPr="008A692A">
              <w:rPr>
                <w:rFonts w:ascii="Arial" w:hAnsi="Arial" w:cs="Arial"/>
                <w:b/>
                <w:lang w:val="es-ES_tradnl" w:eastAsia="es-ES"/>
              </w:rPr>
              <w:t>ACTOR:</w:t>
            </w:r>
          </w:p>
        </w:tc>
        <w:tc>
          <w:tcPr>
            <w:tcW w:w="4394" w:type="dxa"/>
            <w:gridSpan w:val="2"/>
            <w:hideMark/>
          </w:tcPr>
          <w:p w14:paraId="0D119914" w14:textId="757D5159" w:rsidR="00B57362" w:rsidRPr="008A692A" w:rsidRDefault="00280779" w:rsidP="00D312C3">
            <w:pPr>
              <w:pStyle w:val="Sinespaciado"/>
              <w:rPr>
                <w:rFonts w:ascii="Arial" w:hAnsi="Arial" w:cs="Arial"/>
                <w:bCs/>
                <w:lang w:val="es-ES_tradnl" w:eastAsia="es-ES"/>
              </w:rPr>
            </w:pPr>
            <w:r>
              <w:rPr>
                <w:rFonts w:ascii="Arial" w:eastAsia="Times New Roman" w:hAnsi="Arial" w:cs="Arial"/>
                <w:bCs/>
                <w:iCs/>
                <w:caps/>
                <w:kern w:val="2"/>
                <w:sz w:val="24"/>
                <w:szCs w:val="24"/>
                <w:lang w:val="es-ES_tradnl" w:eastAsia="es-ES"/>
              </w:rPr>
              <w:t>**********</w:t>
            </w:r>
          </w:p>
        </w:tc>
      </w:tr>
      <w:tr w:rsidR="00B57362" w:rsidRPr="00B133DA" w14:paraId="7FAFCC5A" w14:textId="77777777" w:rsidTr="00D312C3">
        <w:trPr>
          <w:trHeight w:val="1245"/>
        </w:trPr>
        <w:tc>
          <w:tcPr>
            <w:tcW w:w="2518" w:type="dxa"/>
          </w:tcPr>
          <w:p w14:paraId="2ADB8389" w14:textId="77777777" w:rsidR="00B57362" w:rsidRPr="008A692A" w:rsidRDefault="00B57362" w:rsidP="002006C9">
            <w:pPr>
              <w:pStyle w:val="Sinespaciado"/>
              <w:rPr>
                <w:rFonts w:ascii="Arial" w:hAnsi="Arial" w:cs="Arial"/>
                <w:b/>
                <w:bCs/>
                <w:lang w:val="es-ES_tradnl" w:eastAsia="es-ES"/>
              </w:rPr>
            </w:pPr>
          </w:p>
          <w:p w14:paraId="4251E4D4" w14:textId="77777777" w:rsidR="00B57362" w:rsidRPr="008A692A" w:rsidRDefault="00B57362" w:rsidP="002006C9">
            <w:pPr>
              <w:pStyle w:val="Sinespaciado"/>
              <w:rPr>
                <w:rFonts w:ascii="Arial" w:hAnsi="Arial" w:cs="Arial"/>
                <w:b/>
                <w:bCs/>
                <w:lang w:val="es-ES_tradnl" w:eastAsia="es-ES"/>
              </w:rPr>
            </w:pPr>
            <w:r w:rsidRPr="008A692A">
              <w:rPr>
                <w:rFonts w:ascii="Arial" w:hAnsi="Arial" w:cs="Arial"/>
                <w:b/>
                <w:bCs/>
                <w:lang w:val="es-ES_tradnl" w:eastAsia="es-ES"/>
              </w:rPr>
              <w:t>DEMANDADO:</w:t>
            </w:r>
          </w:p>
          <w:p w14:paraId="5AC46C7C" w14:textId="77777777" w:rsidR="00B57362" w:rsidRPr="008A692A" w:rsidRDefault="00B57362" w:rsidP="002006C9">
            <w:pPr>
              <w:pStyle w:val="Sinespaciado"/>
              <w:rPr>
                <w:rFonts w:ascii="Arial" w:hAnsi="Arial" w:cs="Arial"/>
                <w:b/>
                <w:bCs/>
                <w:lang w:val="es-ES_tradnl" w:eastAsia="es-ES"/>
              </w:rPr>
            </w:pPr>
          </w:p>
          <w:p w14:paraId="3C82B839" w14:textId="77777777" w:rsidR="00B57362" w:rsidRPr="008A692A" w:rsidRDefault="00B57362" w:rsidP="002006C9">
            <w:pPr>
              <w:pStyle w:val="Sinespaciado"/>
              <w:rPr>
                <w:rFonts w:ascii="Arial" w:hAnsi="Arial" w:cs="Arial"/>
                <w:b/>
                <w:bCs/>
                <w:lang w:val="es-ES_tradnl" w:eastAsia="es-ES"/>
              </w:rPr>
            </w:pPr>
          </w:p>
          <w:p w14:paraId="6BE8F0A4" w14:textId="77777777" w:rsidR="00B57362" w:rsidRPr="008A692A" w:rsidRDefault="00B57362" w:rsidP="002006C9">
            <w:pPr>
              <w:pStyle w:val="Sinespaciado"/>
              <w:rPr>
                <w:rFonts w:ascii="Arial" w:hAnsi="Arial" w:cs="Arial"/>
                <w:b/>
                <w:bCs/>
                <w:lang w:val="es-ES_tradnl" w:eastAsia="es-ES"/>
              </w:rPr>
            </w:pPr>
          </w:p>
          <w:p w14:paraId="69384509" w14:textId="2EBD47EE" w:rsidR="00D312C3" w:rsidRDefault="00D312C3" w:rsidP="002006C9">
            <w:pPr>
              <w:pStyle w:val="Sinespaciado"/>
              <w:rPr>
                <w:rFonts w:ascii="Arial" w:hAnsi="Arial" w:cs="Arial"/>
                <w:b/>
                <w:bCs/>
                <w:lang w:val="es-ES_tradnl" w:eastAsia="es-ES"/>
              </w:rPr>
            </w:pPr>
            <w:r>
              <w:rPr>
                <w:rFonts w:ascii="Arial" w:hAnsi="Arial" w:cs="Arial"/>
                <w:b/>
                <w:bCs/>
                <w:lang w:val="es-ES_tradnl" w:eastAsia="es-ES"/>
              </w:rPr>
              <w:t>MAGISTRADA:</w:t>
            </w:r>
          </w:p>
          <w:p w14:paraId="3589ACB0" w14:textId="77777777" w:rsidR="00D312C3" w:rsidRDefault="00D312C3" w:rsidP="002006C9">
            <w:pPr>
              <w:pStyle w:val="Sinespaciado"/>
              <w:rPr>
                <w:rFonts w:ascii="Arial" w:hAnsi="Arial" w:cs="Arial"/>
                <w:b/>
                <w:bCs/>
                <w:lang w:val="es-ES_tradnl" w:eastAsia="es-ES"/>
              </w:rPr>
            </w:pPr>
          </w:p>
          <w:p w14:paraId="7DB2B134" w14:textId="77777777" w:rsidR="00D312C3" w:rsidRDefault="00D312C3" w:rsidP="002006C9">
            <w:pPr>
              <w:pStyle w:val="Sinespaciado"/>
              <w:rPr>
                <w:rFonts w:ascii="Arial" w:hAnsi="Arial" w:cs="Arial"/>
                <w:b/>
                <w:bCs/>
                <w:lang w:val="es-ES_tradnl" w:eastAsia="es-ES"/>
              </w:rPr>
            </w:pPr>
          </w:p>
          <w:p w14:paraId="4B450CDA" w14:textId="77777777" w:rsidR="00D312C3" w:rsidRDefault="00D312C3" w:rsidP="002006C9">
            <w:pPr>
              <w:pStyle w:val="Sinespaciado"/>
              <w:rPr>
                <w:rFonts w:ascii="Arial" w:hAnsi="Arial" w:cs="Arial"/>
                <w:b/>
                <w:bCs/>
                <w:lang w:val="es-ES_tradnl" w:eastAsia="es-ES"/>
              </w:rPr>
            </w:pPr>
          </w:p>
          <w:p w14:paraId="6680AC43" w14:textId="77777777" w:rsidR="00B57362" w:rsidRPr="008A692A" w:rsidRDefault="00B57362" w:rsidP="002006C9">
            <w:pPr>
              <w:pStyle w:val="Sinespaciado"/>
              <w:rPr>
                <w:rFonts w:ascii="Arial" w:hAnsi="Arial" w:cs="Arial"/>
                <w:b/>
                <w:bCs/>
                <w:lang w:val="es-ES_tradnl" w:eastAsia="es-ES"/>
              </w:rPr>
            </w:pPr>
            <w:r w:rsidRPr="008A692A">
              <w:rPr>
                <w:rFonts w:ascii="Arial" w:hAnsi="Arial" w:cs="Arial"/>
                <w:b/>
                <w:bCs/>
                <w:lang w:val="es-ES_tradnl" w:eastAsia="es-ES"/>
              </w:rPr>
              <w:t>SECRETARIA:</w:t>
            </w:r>
          </w:p>
          <w:p w14:paraId="715D7DFF" w14:textId="77777777" w:rsidR="00B57362" w:rsidRPr="008A692A" w:rsidRDefault="00B57362" w:rsidP="002006C9">
            <w:pPr>
              <w:pStyle w:val="Sinespaciado"/>
              <w:rPr>
                <w:rFonts w:ascii="Arial" w:hAnsi="Arial" w:cs="Arial"/>
                <w:b/>
                <w:lang w:val="es-ES_tradnl" w:eastAsia="es-ES"/>
              </w:rPr>
            </w:pPr>
          </w:p>
        </w:tc>
        <w:tc>
          <w:tcPr>
            <w:tcW w:w="4394" w:type="dxa"/>
            <w:gridSpan w:val="2"/>
          </w:tcPr>
          <w:p w14:paraId="2AB7A2EA" w14:textId="77777777" w:rsidR="00B57362" w:rsidRPr="008A692A" w:rsidRDefault="00B57362" w:rsidP="002006C9">
            <w:pPr>
              <w:pStyle w:val="Sinespaciado"/>
              <w:rPr>
                <w:rFonts w:ascii="Arial" w:hAnsi="Arial" w:cs="Arial"/>
                <w:bCs/>
                <w:lang w:val="es-ES_tradnl" w:eastAsia="es-ES"/>
              </w:rPr>
            </w:pPr>
          </w:p>
          <w:p w14:paraId="61F1A779" w14:textId="32405637" w:rsidR="00B57362" w:rsidRPr="008A692A" w:rsidRDefault="00B57362" w:rsidP="002006C9">
            <w:pPr>
              <w:pStyle w:val="Sinespaciado"/>
              <w:jc w:val="both"/>
              <w:rPr>
                <w:rFonts w:ascii="Arial" w:hAnsi="Arial" w:cs="Arial"/>
                <w:bCs/>
                <w:lang w:val="es-ES_tradnl" w:eastAsia="es-ES"/>
              </w:rPr>
            </w:pPr>
            <w:r>
              <w:rPr>
                <w:rFonts w:ascii="Arial" w:hAnsi="Arial" w:cs="Arial"/>
                <w:bCs/>
                <w:lang w:val="es-ES_tradnl" w:eastAsia="es-ES"/>
              </w:rPr>
              <w:t>PRESIDENTE</w:t>
            </w:r>
            <w:r w:rsidRPr="008A692A">
              <w:rPr>
                <w:rFonts w:ascii="Arial" w:hAnsi="Arial" w:cs="Arial"/>
                <w:bCs/>
                <w:lang w:val="es-ES_tradnl" w:eastAsia="es-ES"/>
              </w:rPr>
              <w:t xml:space="preserve"> MUNICIPAL</w:t>
            </w:r>
            <w:r>
              <w:rPr>
                <w:rFonts w:ascii="Arial" w:hAnsi="Arial" w:cs="Arial"/>
                <w:bCs/>
                <w:lang w:val="es-ES_tradnl" w:eastAsia="es-ES"/>
              </w:rPr>
              <w:t xml:space="preserve"> DEL H. AYUNTAMIENTO</w:t>
            </w:r>
            <w:r w:rsidRPr="008A692A">
              <w:rPr>
                <w:rFonts w:ascii="Arial" w:hAnsi="Arial" w:cs="Arial"/>
                <w:bCs/>
                <w:lang w:val="es-ES_tradnl" w:eastAsia="es-ES"/>
              </w:rPr>
              <w:t xml:space="preserve"> DE MUNICIPIO DE </w:t>
            </w:r>
            <w:r w:rsidR="002E22CB">
              <w:rPr>
                <w:rFonts w:ascii="Arial" w:hAnsi="Arial" w:cs="Arial"/>
                <w:bCs/>
                <w:lang w:val="es-ES_tradnl" w:eastAsia="es-ES"/>
              </w:rPr>
              <w:t>SALINA CRUZ, OAXACA</w:t>
            </w:r>
          </w:p>
          <w:p w14:paraId="0EB2BD34" w14:textId="77777777" w:rsidR="00B57362" w:rsidRPr="008A692A" w:rsidRDefault="00B57362" w:rsidP="002006C9">
            <w:pPr>
              <w:pStyle w:val="Sinespaciado"/>
              <w:rPr>
                <w:rFonts w:ascii="Arial" w:hAnsi="Arial" w:cs="Arial"/>
                <w:bCs/>
                <w:lang w:val="es-ES_tradnl" w:eastAsia="es-ES"/>
              </w:rPr>
            </w:pPr>
          </w:p>
          <w:p w14:paraId="2E7D5140" w14:textId="77777777" w:rsidR="00D312C3" w:rsidRDefault="00D312C3" w:rsidP="002006C9">
            <w:pPr>
              <w:pStyle w:val="Sinespaciado"/>
              <w:jc w:val="both"/>
              <w:rPr>
                <w:rFonts w:ascii="Arial" w:hAnsi="Arial" w:cs="Arial"/>
                <w:bCs/>
                <w:lang w:val="es-ES_tradnl" w:eastAsia="es-ES"/>
              </w:rPr>
            </w:pPr>
            <w:r>
              <w:rPr>
                <w:rFonts w:ascii="Arial" w:hAnsi="Arial" w:cs="Arial"/>
                <w:bCs/>
                <w:lang w:val="es-ES_tradnl" w:eastAsia="es-ES"/>
              </w:rPr>
              <w:t>LICENCIADA ALEJANDRA GEORGINA VILLACAÑA ABASCAL</w:t>
            </w:r>
          </w:p>
          <w:p w14:paraId="385D6A7D" w14:textId="77777777" w:rsidR="00D312C3" w:rsidRDefault="00D312C3" w:rsidP="002006C9">
            <w:pPr>
              <w:pStyle w:val="Sinespaciado"/>
              <w:jc w:val="both"/>
              <w:rPr>
                <w:rFonts w:ascii="Arial" w:hAnsi="Arial" w:cs="Arial"/>
                <w:bCs/>
                <w:lang w:val="es-ES_tradnl" w:eastAsia="es-ES"/>
              </w:rPr>
            </w:pPr>
          </w:p>
          <w:p w14:paraId="7A112B1C" w14:textId="73FFE727" w:rsidR="00B57362" w:rsidRPr="008A692A" w:rsidRDefault="00B57362" w:rsidP="00D312C3">
            <w:pPr>
              <w:pStyle w:val="Sinespaciado"/>
              <w:jc w:val="both"/>
              <w:rPr>
                <w:rFonts w:ascii="Arial" w:hAnsi="Arial" w:cs="Arial"/>
                <w:bCs/>
                <w:lang w:val="es-ES_tradnl" w:eastAsia="es-ES"/>
              </w:rPr>
            </w:pPr>
            <w:r w:rsidRPr="008A692A">
              <w:rPr>
                <w:rFonts w:ascii="Arial" w:hAnsi="Arial" w:cs="Arial"/>
                <w:bCs/>
                <w:lang w:val="es-ES_tradnl" w:eastAsia="es-ES"/>
              </w:rPr>
              <w:t>LIC</w:t>
            </w:r>
            <w:r w:rsidR="00D312C3">
              <w:rPr>
                <w:rFonts w:ascii="Arial" w:hAnsi="Arial" w:cs="Arial"/>
                <w:bCs/>
                <w:lang w:val="es-ES_tradnl" w:eastAsia="es-ES"/>
              </w:rPr>
              <w:t>ENCIADA</w:t>
            </w:r>
            <w:r w:rsidRPr="008A692A">
              <w:rPr>
                <w:rFonts w:ascii="Arial" w:hAnsi="Arial" w:cs="Arial"/>
                <w:bCs/>
                <w:lang w:val="es-ES_tradnl" w:eastAsia="es-ES"/>
              </w:rPr>
              <w:t xml:space="preserve"> MONSERRAT GARCÍA ALTAMIRANO</w:t>
            </w:r>
          </w:p>
        </w:tc>
      </w:tr>
    </w:tbl>
    <w:p w14:paraId="1F60B082" w14:textId="18A2CB49" w:rsidR="00B57362" w:rsidRDefault="00B57362" w:rsidP="00684FC4">
      <w:pPr>
        <w:spacing w:after="0" w:line="360" w:lineRule="auto"/>
        <w:jc w:val="both"/>
        <w:rPr>
          <w:rFonts w:ascii="Arial" w:hAnsi="Arial" w:cs="Arial"/>
          <w:b/>
          <w:sz w:val="24"/>
          <w:szCs w:val="24"/>
        </w:rPr>
      </w:pPr>
    </w:p>
    <w:p w14:paraId="14FC093C" w14:textId="77777777" w:rsidR="00B57362" w:rsidRDefault="00B57362" w:rsidP="00684FC4">
      <w:pPr>
        <w:spacing w:after="0" w:line="360" w:lineRule="auto"/>
        <w:jc w:val="both"/>
        <w:rPr>
          <w:rFonts w:ascii="Arial" w:hAnsi="Arial" w:cs="Arial"/>
          <w:b/>
          <w:sz w:val="24"/>
          <w:szCs w:val="24"/>
        </w:rPr>
      </w:pPr>
    </w:p>
    <w:p w14:paraId="6D36F391" w14:textId="77777777" w:rsidR="00B57362" w:rsidRDefault="00B57362" w:rsidP="00684FC4">
      <w:pPr>
        <w:spacing w:after="0" w:line="360" w:lineRule="auto"/>
        <w:jc w:val="both"/>
        <w:rPr>
          <w:rFonts w:ascii="Arial" w:hAnsi="Arial" w:cs="Arial"/>
          <w:b/>
          <w:sz w:val="24"/>
          <w:szCs w:val="24"/>
        </w:rPr>
      </w:pPr>
    </w:p>
    <w:p w14:paraId="394510E8" w14:textId="77777777" w:rsidR="00B57362" w:rsidRDefault="00B57362" w:rsidP="00684FC4">
      <w:pPr>
        <w:spacing w:after="0" w:line="360" w:lineRule="auto"/>
        <w:jc w:val="both"/>
        <w:rPr>
          <w:rFonts w:ascii="Arial" w:hAnsi="Arial" w:cs="Arial"/>
          <w:b/>
          <w:sz w:val="24"/>
          <w:szCs w:val="24"/>
        </w:rPr>
      </w:pPr>
    </w:p>
    <w:p w14:paraId="6D71943F" w14:textId="77777777" w:rsidR="00B57362" w:rsidRDefault="00B57362" w:rsidP="00684FC4">
      <w:pPr>
        <w:spacing w:after="0" w:line="360" w:lineRule="auto"/>
        <w:jc w:val="both"/>
        <w:rPr>
          <w:rFonts w:ascii="Arial" w:hAnsi="Arial" w:cs="Arial"/>
          <w:b/>
          <w:sz w:val="24"/>
          <w:szCs w:val="24"/>
        </w:rPr>
      </w:pPr>
    </w:p>
    <w:p w14:paraId="79635CA3" w14:textId="77777777" w:rsidR="00B57362" w:rsidRDefault="00B57362" w:rsidP="00684FC4">
      <w:pPr>
        <w:spacing w:after="0" w:line="360" w:lineRule="auto"/>
        <w:jc w:val="both"/>
        <w:rPr>
          <w:rFonts w:ascii="Arial" w:hAnsi="Arial" w:cs="Arial"/>
          <w:b/>
          <w:sz w:val="24"/>
          <w:szCs w:val="24"/>
        </w:rPr>
      </w:pPr>
    </w:p>
    <w:p w14:paraId="5237A209" w14:textId="77777777" w:rsidR="00B57362" w:rsidRDefault="00B57362" w:rsidP="00684FC4">
      <w:pPr>
        <w:spacing w:after="0" w:line="360" w:lineRule="auto"/>
        <w:jc w:val="both"/>
        <w:rPr>
          <w:rFonts w:ascii="Arial" w:hAnsi="Arial" w:cs="Arial"/>
          <w:b/>
          <w:sz w:val="24"/>
          <w:szCs w:val="24"/>
        </w:rPr>
      </w:pPr>
    </w:p>
    <w:p w14:paraId="0B192592" w14:textId="77777777" w:rsidR="00B57362" w:rsidRDefault="00B57362" w:rsidP="00684FC4">
      <w:pPr>
        <w:spacing w:after="0" w:line="360" w:lineRule="auto"/>
        <w:jc w:val="both"/>
        <w:rPr>
          <w:rFonts w:ascii="Arial" w:hAnsi="Arial" w:cs="Arial"/>
          <w:b/>
          <w:sz w:val="24"/>
          <w:szCs w:val="24"/>
        </w:rPr>
      </w:pPr>
    </w:p>
    <w:p w14:paraId="78B7C1A4" w14:textId="77777777" w:rsidR="00B57362" w:rsidRDefault="00B57362" w:rsidP="00684FC4">
      <w:pPr>
        <w:spacing w:after="0" w:line="360" w:lineRule="auto"/>
        <w:jc w:val="both"/>
        <w:rPr>
          <w:rFonts w:ascii="Arial" w:hAnsi="Arial" w:cs="Arial"/>
          <w:b/>
          <w:sz w:val="24"/>
          <w:szCs w:val="24"/>
        </w:rPr>
      </w:pPr>
    </w:p>
    <w:p w14:paraId="330AF5DE" w14:textId="77777777" w:rsidR="00D312C3" w:rsidRDefault="00D312C3" w:rsidP="00684FC4">
      <w:pPr>
        <w:spacing w:after="0" w:line="360" w:lineRule="auto"/>
        <w:jc w:val="both"/>
        <w:rPr>
          <w:rFonts w:ascii="Arial" w:hAnsi="Arial" w:cs="Arial"/>
          <w:b/>
          <w:sz w:val="24"/>
          <w:szCs w:val="24"/>
        </w:rPr>
      </w:pPr>
    </w:p>
    <w:p w14:paraId="6B5EE364" w14:textId="0E5430C8" w:rsidR="00684FC4" w:rsidRPr="00CE4DDA" w:rsidRDefault="00141D1E" w:rsidP="00684FC4">
      <w:pPr>
        <w:spacing w:after="0" w:line="360" w:lineRule="auto"/>
        <w:jc w:val="both"/>
        <w:rPr>
          <w:rFonts w:ascii="Arial" w:hAnsi="Arial" w:cs="Arial"/>
          <w:sz w:val="24"/>
          <w:szCs w:val="24"/>
        </w:rPr>
      </w:pPr>
      <w:r w:rsidRPr="00CE4DDA">
        <w:rPr>
          <w:rFonts w:ascii="Arial" w:hAnsi="Arial" w:cs="Arial"/>
          <w:b/>
          <w:sz w:val="24"/>
          <w:szCs w:val="24"/>
        </w:rPr>
        <w:t>OAXACA DE JUÁREZ</w:t>
      </w:r>
      <w:r w:rsidR="00A823D1" w:rsidRPr="00CE4DDA">
        <w:rPr>
          <w:rFonts w:ascii="Arial" w:hAnsi="Arial" w:cs="Arial"/>
          <w:b/>
          <w:sz w:val="24"/>
          <w:szCs w:val="24"/>
        </w:rPr>
        <w:t>, OAXACA</w:t>
      </w:r>
      <w:r w:rsidR="002E22CB">
        <w:rPr>
          <w:rFonts w:ascii="Arial" w:hAnsi="Arial" w:cs="Arial"/>
          <w:b/>
          <w:sz w:val="24"/>
          <w:szCs w:val="24"/>
        </w:rPr>
        <w:t>;</w:t>
      </w:r>
      <w:r w:rsidR="00A823D1" w:rsidRPr="00CE4DDA">
        <w:rPr>
          <w:rFonts w:ascii="Arial" w:hAnsi="Arial" w:cs="Arial"/>
          <w:b/>
          <w:sz w:val="24"/>
          <w:szCs w:val="24"/>
        </w:rPr>
        <w:t xml:space="preserve"> A </w:t>
      </w:r>
      <w:r w:rsidR="002E22CB" w:rsidRPr="008626BF">
        <w:rPr>
          <w:rFonts w:ascii="Arial" w:hAnsi="Arial" w:cs="Arial"/>
          <w:b/>
          <w:sz w:val="24"/>
          <w:szCs w:val="24"/>
        </w:rPr>
        <w:t>NUEVE</w:t>
      </w:r>
      <w:r w:rsidR="008A6F81" w:rsidRPr="008626BF">
        <w:rPr>
          <w:rFonts w:ascii="Arial" w:hAnsi="Arial" w:cs="Arial"/>
          <w:b/>
          <w:sz w:val="24"/>
          <w:szCs w:val="24"/>
        </w:rPr>
        <w:t xml:space="preserve"> DE </w:t>
      </w:r>
      <w:r w:rsidR="002E22CB" w:rsidRPr="008626BF">
        <w:rPr>
          <w:rFonts w:ascii="Arial" w:hAnsi="Arial" w:cs="Arial"/>
          <w:b/>
          <w:sz w:val="24"/>
          <w:szCs w:val="24"/>
        </w:rPr>
        <w:t>DICIEMBRE</w:t>
      </w:r>
      <w:r w:rsidR="008A6F81" w:rsidRPr="008626BF">
        <w:rPr>
          <w:rFonts w:ascii="Arial" w:hAnsi="Arial" w:cs="Arial"/>
          <w:b/>
          <w:sz w:val="24"/>
          <w:szCs w:val="24"/>
        </w:rPr>
        <w:t xml:space="preserve"> </w:t>
      </w:r>
      <w:r w:rsidRPr="008626BF">
        <w:rPr>
          <w:rFonts w:ascii="Arial" w:hAnsi="Arial" w:cs="Arial"/>
          <w:b/>
          <w:sz w:val="24"/>
          <w:szCs w:val="24"/>
        </w:rPr>
        <w:t xml:space="preserve">DE </w:t>
      </w:r>
      <w:r w:rsidR="00D312C3">
        <w:rPr>
          <w:rFonts w:ascii="Arial" w:hAnsi="Arial" w:cs="Arial"/>
          <w:b/>
          <w:sz w:val="24"/>
          <w:szCs w:val="24"/>
        </w:rPr>
        <w:t xml:space="preserve">DOS </w:t>
      </w:r>
      <w:r w:rsidRPr="008626BF">
        <w:rPr>
          <w:rFonts w:ascii="Arial" w:hAnsi="Arial" w:cs="Arial"/>
          <w:b/>
          <w:sz w:val="24"/>
          <w:szCs w:val="24"/>
        </w:rPr>
        <w:t xml:space="preserve">MIL </w:t>
      </w:r>
      <w:r w:rsidR="002E22CB" w:rsidRPr="008626BF">
        <w:rPr>
          <w:rFonts w:ascii="Arial" w:hAnsi="Arial" w:cs="Arial"/>
          <w:b/>
          <w:sz w:val="24"/>
          <w:szCs w:val="24"/>
        </w:rPr>
        <w:t>VEINTIUNO</w:t>
      </w:r>
      <w:r w:rsidR="00A823D1" w:rsidRPr="008626BF">
        <w:rPr>
          <w:rFonts w:ascii="Arial" w:hAnsi="Arial" w:cs="Arial"/>
          <w:b/>
          <w:sz w:val="24"/>
          <w:szCs w:val="24"/>
        </w:rPr>
        <w:t>.</w:t>
      </w:r>
      <w:r w:rsidR="003210BE" w:rsidRPr="00CE4DDA">
        <w:rPr>
          <w:rFonts w:ascii="Arial" w:hAnsi="Arial" w:cs="Arial"/>
          <w:sz w:val="24"/>
          <w:szCs w:val="24"/>
        </w:rPr>
        <w:t xml:space="preserve"> - - - </w:t>
      </w:r>
      <w:r w:rsidRPr="00CE4DDA">
        <w:rPr>
          <w:rFonts w:ascii="Arial" w:hAnsi="Arial" w:cs="Arial"/>
          <w:sz w:val="24"/>
          <w:szCs w:val="24"/>
        </w:rPr>
        <w:t xml:space="preserve">- - - - - - - - - - - - - - - - - - - - - - - - - - - - - - - </w:t>
      </w:r>
      <w:r w:rsidR="00E77771" w:rsidRPr="00CE4DDA">
        <w:rPr>
          <w:rFonts w:ascii="Arial" w:hAnsi="Arial" w:cs="Arial"/>
          <w:sz w:val="24"/>
          <w:szCs w:val="24"/>
        </w:rPr>
        <w:t xml:space="preserve">- - - - </w:t>
      </w:r>
      <w:r w:rsidR="008A6F81" w:rsidRPr="00CE4DDA">
        <w:rPr>
          <w:rFonts w:ascii="Arial" w:hAnsi="Arial" w:cs="Arial"/>
          <w:sz w:val="24"/>
          <w:szCs w:val="24"/>
        </w:rPr>
        <w:t>- - - -</w:t>
      </w:r>
    </w:p>
    <w:p w14:paraId="4F41AE66" w14:textId="0632D153" w:rsidR="009D7854" w:rsidRPr="00CE4DDA" w:rsidRDefault="009D7854" w:rsidP="00B64448">
      <w:pPr>
        <w:spacing w:line="360" w:lineRule="auto"/>
        <w:ind w:firstLine="708"/>
        <w:jc w:val="both"/>
        <w:rPr>
          <w:rFonts w:ascii="Arial" w:eastAsia="Times New Roman" w:hAnsi="Arial" w:cs="Arial"/>
          <w:b/>
          <w:bCs/>
          <w:sz w:val="24"/>
          <w:szCs w:val="24"/>
          <w:lang w:eastAsia="es-ES"/>
        </w:rPr>
      </w:pPr>
      <w:r w:rsidRPr="00CE4DDA">
        <w:rPr>
          <w:rFonts w:ascii="Arial" w:eastAsia="Times New Roman" w:hAnsi="Arial" w:cs="Arial"/>
          <w:b/>
          <w:bCs/>
          <w:sz w:val="24"/>
          <w:szCs w:val="24"/>
          <w:lang w:eastAsia="es-ES"/>
        </w:rPr>
        <w:t>VISTOS</w:t>
      </w:r>
      <w:r w:rsidRPr="00CE4DDA">
        <w:rPr>
          <w:rFonts w:ascii="Arial" w:eastAsia="Times New Roman" w:hAnsi="Arial" w:cs="Arial"/>
          <w:bCs/>
          <w:sz w:val="24"/>
          <w:szCs w:val="24"/>
          <w:lang w:eastAsia="es-ES"/>
        </w:rPr>
        <w:t>,</w:t>
      </w:r>
      <w:r w:rsidRPr="00CE4DDA">
        <w:rPr>
          <w:rFonts w:ascii="Arial" w:eastAsia="Times New Roman" w:hAnsi="Arial" w:cs="Arial"/>
          <w:sz w:val="24"/>
          <w:szCs w:val="24"/>
          <w:lang w:eastAsia="es-ES"/>
        </w:rPr>
        <w:t xml:space="preserve"> para resolver los</w:t>
      </w:r>
      <w:r w:rsidR="001672E6" w:rsidRPr="00CE4DDA">
        <w:rPr>
          <w:rFonts w:ascii="Arial" w:eastAsia="Times New Roman" w:hAnsi="Arial" w:cs="Arial"/>
          <w:sz w:val="24"/>
          <w:szCs w:val="24"/>
          <w:lang w:eastAsia="es-ES"/>
        </w:rPr>
        <w:t xml:space="preserve"> autos del juicio de nulidad </w:t>
      </w:r>
      <w:r w:rsidRPr="00CE4DDA">
        <w:rPr>
          <w:rFonts w:ascii="Arial" w:eastAsia="Times New Roman" w:hAnsi="Arial" w:cs="Arial"/>
          <w:sz w:val="24"/>
          <w:szCs w:val="24"/>
          <w:lang w:eastAsia="es-ES"/>
        </w:rPr>
        <w:t xml:space="preserve">número </w:t>
      </w:r>
      <w:r w:rsidR="0021259C">
        <w:rPr>
          <w:rFonts w:ascii="Arial" w:eastAsia="Times New Roman" w:hAnsi="Arial" w:cs="Arial"/>
          <w:b/>
          <w:bCs/>
          <w:iCs/>
          <w:caps/>
          <w:kern w:val="2"/>
          <w:sz w:val="24"/>
          <w:szCs w:val="24"/>
          <w:lang w:val="es-ES_tradnl" w:eastAsia="es-ES"/>
        </w:rPr>
        <w:t>0161</w:t>
      </w:r>
      <w:r w:rsidR="00EA6CE7" w:rsidRPr="00CE4DDA">
        <w:rPr>
          <w:rFonts w:ascii="Arial" w:eastAsia="Times New Roman" w:hAnsi="Arial" w:cs="Arial"/>
          <w:b/>
          <w:bCs/>
          <w:iCs/>
          <w:caps/>
          <w:kern w:val="2"/>
          <w:sz w:val="24"/>
          <w:szCs w:val="24"/>
          <w:lang w:val="es-ES_tradnl" w:eastAsia="es-ES"/>
        </w:rPr>
        <w:t>/20</w:t>
      </w:r>
      <w:r w:rsidR="0021259C">
        <w:rPr>
          <w:rFonts w:ascii="Arial" w:eastAsia="Times New Roman" w:hAnsi="Arial" w:cs="Arial"/>
          <w:b/>
          <w:bCs/>
          <w:iCs/>
          <w:caps/>
          <w:kern w:val="2"/>
          <w:sz w:val="24"/>
          <w:szCs w:val="24"/>
          <w:lang w:val="es-ES_tradnl" w:eastAsia="es-ES"/>
        </w:rPr>
        <w:t>20</w:t>
      </w:r>
      <w:r w:rsidRPr="00CE4DDA">
        <w:rPr>
          <w:rFonts w:ascii="Arial" w:eastAsia="Times New Roman" w:hAnsi="Arial" w:cs="Arial"/>
          <w:sz w:val="24"/>
          <w:szCs w:val="24"/>
          <w:lang w:eastAsia="es-ES"/>
        </w:rPr>
        <w:t>,</w:t>
      </w:r>
      <w:r w:rsidRPr="00CE4DDA">
        <w:rPr>
          <w:rFonts w:ascii="Arial" w:eastAsia="Times New Roman" w:hAnsi="Arial" w:cs="Arial"/>
          <w:b/>
          <w:sz w:val="24"/>
          <w:szCs w:val="24"/>
          <w:lang w:eastAsia="es-ES"/>
        </w:rPr>
        <w:t xml:space="preserve"> </w:t>
      </w:r>
      <w:r w:rsidRPr="00CE4DDA">
        <w:rPr>
          <w:rFonts w:ascii="Arial" w:eastAsia="Times New Roman" w:hAnsi="Arial" w:cs="Arial"/>
          <w:sz w:val="24"/>
          <w:szCs w:val="24"/>
          <w:lang w:eastAsia="es-ES"/>
        </w:rPr>
        <w:t>promovido por</w:t>
      </w:r>
      <w:r w:rsidR="001672E6" w:rsidRPr="00CE4DDA">
        <w:rPr>
          <w:rFonts w:ascii="Arial" w:eastAsia="Times New Roman" w:hAnsi="Arial" w:cs="Arial"/>
          <w:b/>
          <w:sz w:val="24"/>
          <w:szCs w:val="24"/>
          <w:lang w:eastAsia="es-ES"/>
        </w:rPr>
        <w:t xml:space="preserve"> </w:t>
      </w:r>
      <w:r w:rsidR="00B64448">
        <w:rPr>
          <w:rFonts w:ascii="Arial" w:eastAsia="Times New Roman" w:hAnsi="Arial" w:cs="Arial"/>
          <w:bCs/>
          <w:iCs/>
          <w:caps/>
          <w:kern w:val="2"/>
          <w:sz w:val="24"/>
          <w:szCs w:val="24"/>
          <w:lang w:val="es-ES_tradnl" w:eastAsia="es-ES"/>
        </w:rPr>
        <w:t xml:space="preserve">********** </w:t>
      </w:r>
      <w:r w:rsidRPr="00CE4DDA">
        <w:rPr>
          <w:rFonts w:ascii="Arial" w:eastAsia="Times New Roman" w:hAnsi="Arial" w:cs="Arial"/>
          <w:sz w:val="24"/>
          <w:szCs w:val="24"/>
          <w:lang w:eastAsia="es-ES"/>
        </w:rPr>
        <w:t>en contra de</w:t>
      </w:r>
      <w:r w:rsidR="00141D1E" w:rsidRPr="00CE4DDA">
        <w:rPr>
          <w:rFonts w:ascii="Arial" w:eastAsia="Times New Roman" w:hAnsi="Arial" w:cs="Arial"/>
          <w:sz w:val="24"/>
          <w:szCs w:val="24"/>
          <w:lang w:eastAsia="es-ES"/>
        </w:rPr>
        <w:t>l</w:t>
      </w:r>
      <w:r w:rsidR="001672E6" w:rsidRPr="00CE4DDA">
        <w:rPr>
          <w:rFonts w:ascii="Arial" w:hAnsi="Arial" w:cs="Arial"/>
          <w:b/>
          <w:sz w:val="24"/>
          <w:szCs w:val="24"/>
        </w:rPr>
        <w:t xml:space="preserve"> </w:t>
      </w:r>
      <w:r w:rsidR="0021259C">
        <w:rPr>
          <w:rFonts w:ascii="Arial" w:hAnsi="Arial" w:cs="Arial"/>
          <w:b/>
          <w:sz w:val="24"/>
          <w:szCs w:val="24"/>
        </w:rPr>
        <w:t>PRESIDENTE</w:t>
      </w:r>
      <w:r w:rsidR="001672E6" w:rsidRPr="00CE4DDA">
        <w:rPr>
          <w:rFonts w:ascii="Arial" w:hAnsi="Arial" w:cs="Arial"/>
          <w:b/>
          <w:sz w:val="24"/>
          <w:szCs w:val="24"/>
        </w:rPr>
        <w:t xml:space="preserve"> MUNICIPAL DEL </w:t>
      </w:r>
      <w:r w:rsidR="00C12FD2">
        <w:rPr>
          <w:rFonts w:ascii="Arial" w:hAnsi="Arial" w:cs="Arial"/>
          <w:b/>
          <w:sz w:val="24"/>
          <w:szCs w:val="24"/>
        </w:rPr>
        <w:t xml:space="preserve">HONORABLE </w:t>
      </w:r>
      <w:r w:rsidR="001672E6" w:rsidRPr="00CE4DDA">
        <w:rPr>
          <w:rFonts w:ascii="Arial" w:hAnsi="Arial" w:cs="Arial"/>
          <w:b/>
          <w:sz w:val="24"/>
          <w:szCs w:val="24"/>
        </w:rPr>
        <w:t>AYUNTAMIENTO CONSTITUCIONAL DE SALINA CRUZ, TEHUANTEPEC, OAXACA</w:t>
      </w:r>
      <w:r w:rsidR="001F5385" w:rsidRPr="00CE4DDA">
        <w:rPr>
          <w:rFonts w:ascii="Arial" w:eastAsia="Times New Roman" w:hAnsi="Arial" w:cs="Arial"/>
          <w:bCs/>
          <w:sz w:val="24"/>
          <w:szCs w:val="24"/>
          <w:lang w:eastAsia="es-ES"/>
        </w:rPr>
        <w:t xml:space="preserve">, </w:t>
      </w:r>
      <w:r w:rsidR="0096111C" w:rsidRPr="00CE4DDA">
        <w:rPr>
          <w:rFonts w:ascii="Arial" w:eastAsia="Times New Roman" w:hAnsi="Arial" w:cs="Arial"/>
          <w:bCs/>
          <w:sz w:val="24"/>
          <w:szCs w:val="24"/>
          <w:lang w:eastAsia="es-ES"/>
        </w:rPr>
        <w:t>y</w:t>
      </w:r>
      <w:r w:rsidRPr="00CE4DDA">
        <w:rPr>
          <w:rFonts w:ascii="Arial" w:eastAsia="Times New Roman" w:hAnsi="Arial" w:cs="Arial"/>
          <w:bCs/>
          <w:sz w:val="24"/>
          <w:szCs w:val="24"/>
          <w:lang w:eastAsia="es-ES"/>
        </w:rPr>
        <w:t xml:space="preserve">; </w:t>
      </w:r>
      <w:r w:rsidR="001672E6" w:rsidRPr="00CE4DDA">
        <w:rPr>
          <w:rFonts w:ascii="Arial" w:eastAsia="Times New Roman" w:hAnsi="Arial" w:cs="Arial"/>
          <w:bCs/>
          <w:sz w:val="24"/>
          <w:szCs w:val="24"/>
          <w:lang w:eastAsia="es-ES"/>
        </w:rPr>
        <w:t xml:space="preserve">- - </w:t>
      </w:r>
      <w:r w:rsidR="0073365D">
        <w:rPr>
          <w:rFonts w:ascii="Arial" w:eastAsia="Times New Roman" w:hAnsi="Arial" w:cs="Arial"/>
          <w:bCs/>
          <w:sz w:val="24"/>
          <w:szCs w:val="24"/>
          <w:lang w:eastAsia="es-ES"/>
        </w:rPr>
        <w:t xml:space="preserve">- - - - - - - - - - - - - - - </w:t>
      </w:r>
    </w:p>
    <w:p w14:paraId="25CC6EB3" w14:textId="77777777" w:rsidR="009D7854" w:rsidRPr="00CE4DDA" w:rsidRDefault="009D7854" w:rsidP="009D7854">
      <w:pPr>
        <w:widowControl w:val="0"/>
        <w:spacing w:after="0" w:line="360" w:lineRule="auto"/>
        <w:ind w:right="51"/>
        <w:jc w:val="center"/>
        <w:rPr>
          <w:rFonts w:ascii="Arial" w:eastAsia="Times New Roman" w:hAnsi="Arial" w:cs="Arial"/>
          <w:b/>
          <w:bCs/>
          <w:sz w:val="24"/>
          <w:szCs w:val="24"/>
          <w:lang w:val="es-ES" w:eastAsia="es-ES"/>
        </w:rPr>
      </w:pPr>
      <w:r w:rsidRPr="00CE4DDA">
        <w:rPr>
          <w:rFonts w:ascii="Arial" w:eastAsia="Times New Roman" w:hAnsi="Arial" w:cs="Arial"/>
          <w:b/>
          <w:bCs/>
          <w:sz w:val="24"/>
          <w:szCs w:val="24"/>
          <w:lang w:val="es-ES" w:eastAsia="es-ES"/>
        </w:rPr>
        <w:t>R E S U L T A N D O:</w:t>
      </w:r>
    </w:p>
    <w:p w14:paraId="2EBF953B" w14:textId="770D0456" w:rsidR="001F404D" w:rsidRPr="00CE4DDA" w:rsidRDefault="001F404D" w:rsidP="00D22983">
      <w:pPr>
        <w:tabs>
          <w:tab w:val="left" w:pos="7371"/>
        </w:tabs>
        <w:spacing w:after="0" w:line="240" w:lineRule="auto"/>
        <w:ind w:right="51"/>
        <w:jc w:val="both"/>
        <w:rPr>
          <w:rFonts w:ascii="Arial" w:eastAsia="Times New Roman" w:hAnsi="Arial" w:cs="Arial"/>
          <w:b/>
          <w:bCs/>
          <w:sz w:val="24"/>
          <w:szCs w:val="24"/>
          <w:lang w:val="es-ES" w:eastAsia="es-ES"/>
        </w:rPr>
      </w:pPr>
    </w:p>
    <w:p w14:paraId="43E9C250" w14:textId="2CC6F991" w:rsidR="00A72669" w:rsidRDefault="001F404D" w:rsidP="00AB607A">
      <w:pPr>
        <w:spacing w:after="0" w:line="360" w:lineRule="auto"/>
        <w:ind w:right="51"/>
        <w:jc w:val="both"/>
        <w:rPr>
          <w:rFonts w:ascii="Arial" w:hAnsi="Arial" w:cs="Arial"/>
          <w:bCs/>
          <w:sz w:val="24"/>
          <w:szCs w:val="24"/>
          <w:lang w:val="es-ES"/>
        </w:rPr>
      </w:pPr>
      <w:r w:rsidRPr="00CE4DDA">
        <w:rPr>
          <w:rFonts w:ascii="Arial" w:eastAsia="Times New Roman" w:hAnsi="Arial" w:cs="Arial"/>
          <w:b/>
          <w:bCs/>
          <w:sz w:val="24"/>
          <w:szCs w:val="24"/>
          <w:lang w:val="es-ES" w:eastAsia="es-ES"/>
        </w:rPr>
        <w:tab/>
      </w:r>
      <w:r w:rsidR="00C20E79" w:rsidRPr="00CE4DDA">
        <w:rPr>
          <w:rFonts w:ascii="Arial" w:eastAsia="Times New Roman" w:hAnsi="Arial" w:cs="Arial"/>
          <w:b/>
          <w:bCs/>
          <w:sz w:val="24"/>
          <w:szCs w:val="24"/>
          <w:lang w:val="es-ES" w:eastAsia="es-ES"/>
        </w:rPr>
        <w:t>PRIMERO.</w:t>
      </w:r>
      <w:r w:rsidR="009D7854" w:rsidRPr="002C50EB">
        <w:rPr>
          <w:rFonts w:ascii="Arial" w:eastAsia="Times New Roman" w:hAnsi="Arial" w:cs="Arial"/>
          <w:sz w:val="24"/>
          <w:szCs w:val="24"/>
          <w:lang w:val="es-ES" w:eastAsia="es-ES"/>
        </w:rPr>
        <w:t xml:space="preserve"> </w:t>
      </w:r>
      <w:r w:rsidR="002C50EB" w:rsidRPr="002C50EB">
        <w:rPr>
          <w:rFonts w:ascii="Arial" w:eastAsia="Times New Roman" w:hAnsi="Arial" w:cs="Arial"/>
          <w:sz w:val="24"/>
          <w:szCs w:val="24"/>
          <w:lang w:val="es-ES" w:eastAsia="es-ES"/>
        </w:rPr>
        <w:t>Por</w:t>
      </w:r>
      <w:r w:rsidR="002C50EB">
        <w:rPr>
          <w:rFonts w:ascii="Arial" w:eastAsia="Times New Roman" w:hAnsi="Arial" w:cs="Arial"/>
          <w:bCs/>
          <w:sz w:val="24"/>
          <w:szCs w:val="24"/>
          <w:lang w:val="es-ES" w:eastAsia="es-ES"/>
        </w:rPr>
        <w:t xml:space="preserve"> auto de cuatro de noviembre de dos mil veinte</w:t>
      </w:r>
      <w:r w:rsidR="005F5954" w:rsidRPr="00CE4DDA">
        <w:rPr>
          <w:rFonts w:ascii="Arial" w:eastAsia="Times New Roman" w:hAnsi="Arial" w:cs="Arial"/>
          <w:bCs/>
          <w:sz w:val="24"/>
          <w:szCs w:val="24"/>
          <w:lang w:val="es-ES" w:eastAsia="es-ES"/>
        </w:rPr>
        <w:t xml:space="preserve">, </w:t>
      </w:r>
      <w:r w:rsidR="00E3415F">
        <w:rPr>
          <w:rFonts w:ascii="Arial" w:eastAsia="Times New Roman" w:hAnsi="Arial" w:cs="Arial"/>
          <w:bCs/>
          <w:sz w:val="24"/>
          <w:szCs w:val="24"/>
          <w:lang w:val="es-ES" w:eastAsia="es-ES"/>
        </w:rPr>
        <w:t xml:space="preserve">se reservó </w:t>
      </w:r>
      <w:r w:rsidR="00966099">
        <w:rPr>
          <w:rFonts w:ascii="Arial" w:eastAsia="Times New Roman" w:hAnsi="Arial" w:cs="Arial"/>
          <w:bCs/>
          <w:sz w:val="24"/>
          <w:szCs w:val="24"/>
          <w:lang w:val="es-ES" w:eastAsia="es-ES"/>
        </w:rPr>
        <w:t xml:space="preserve">acordar </w:t>
      </w:r>
      <w:r w:rsidR="00E3415F">
        <w:rPr>
          <w:rFonts w:ascii="Arial" w:eastAsia="Times New Roman" w:hAnsi="Arial" w:cs="Arial"/>
          <w:bCs/>
          <w:sz w:val="24"/>
          <w:szCs w:val="24"/>
          <w:lang w:val="es-ES" w:eastAsia="es-ES"/>
        </w:rPr>
        <w:t xml:space="preserve">la admisión de demanda de la parte actora </w:t>
      </w:r>
      <w:r w:rsidR="00B64448">
        <w:rPr>
          <w:rFonts w:ascii="Arial" w:eastAsia="Times New Roman" w:hAnsi="Arial" w:cs="Arial"/>
          <w:bCs/>
          <w:iCs/>
          <w:caps/>
          <w:kern w:val="2"/>
          <w:sz w:val="24"/>
          <w:szCs w:val="24"/>
          <w:lang w:val="es-ES_tradnl" w:eastAsia="es-ES"/>
        </w:rPr>
        <w:t xml:space="preserve">********** </w:t>
      </w:r>
      <w:r w:rsidR="00B02127">
        <w:rPr>
          <w:rFonts w:ascii="Arial" w:eastAsia="Times New Roman" w:hAnsi="Arial" w:cs="Arial"/>
          <w:bCs/>
          <w:sz w:val="24"/>
          <w:szCs w:val="24"/>
          <w:lang w:val="es-ES" w:eastAsia="es-ES"/>
        </w:rPr>
        <w:t xml:space="preserve">quien </w:t>
      </w:r>
      <w:r w:rsidR="00966099">
        <w:rPr>
          <w:rFonts w:ascii="Arial" w:eastAsia="Times New Roman" w:hAnsi="Arial" w:cs="Arial"/>
          <w:bCs/>
          <w:sz w:val="24"/>
          <w:szCs w:val="24"/>
          <w:lang w:val="es-ES" w:eastAsia="es-ES"/>
        </w:rPr>
        <w:t xml:space="preserve">demandó </w:t>
      </w:r>
      <w:r w:rsidR="00B02127">
        <w:rPr>
          <w:rFonts w:ascii="Arial" w:eastAsia="Times New Roman" w:hAnsi="Arial" w:cs="Arial"/>
          <w:bCs/>
          <w:sz w:val="24"/>
          <w:szCs w:val="24"/>
          <w:lang w:val="es-ES" w:eastAsia="es-ES"/>
        </w:rPr>
        <w:t xml:space="preserve">la nulidad de la resolución contenida en el oficio número </w:t>
      </w:r>
      <w:r w:rsidR="00B64448">
        <w:rPr>
          <w:rFonts w:ascii="Arial" w:eastAsia="Times New Roman" w:hAnsi="Arial" w:cs="Arial"/>
          <w:bCs/>
          <w:iCs/>
          <w:caps/>
          <w:kern w:val="2"/>
          <w:sz w:val="24"/>
          <w:szCs w:val="24"/>
          <w:lang w:val="es-ES_tradnl" w:eastAsia="es-ES"/>
        </w:rPr>
        <w:t>**********</w:t>
      </w:r>
      <w:r w:rsidR="00B02127">
        <w:rPr>
          <w:rFonts w:ascii="Arial" w:eastAsia="Times New Roman" w:hAnsi="Arial" w:cs="Arial"/>
          <w:bCs/>
          <w:sz w:val="24"/>
          <w:szCs w:val="24"/>
          <w:lang w:val="es-ES" w:eastAsia="es-ES"/>
        </w:rPr>
        <w:t>, de catorce de septiembre de</w:t>
      </w:r>
      <w:r w:rsidR="001E714D">
        <w:rPr>
          <w:rFonts w:ascii="Arial" w:eastAsia="Times New Roman" w:hAnsi="Arial" w:cs="Arial"/>
          <w:bCs/>
          <w:sz w:val="24"/>
          <w:szCs w:val="24"/>
          <w:lang w:val="es-ES" w:eastAsia="es-ES"/>
        </w:rPr>
        <w:t xml:space="preserve"> dos mil veinte</w:t>
      </w:r>
      <w:r w:rsidR="00B02127">
        <w:rPr>
          <w:rFonts w:ascii="Arial" w:eastAsia="Times New Roman" w:hAnsi="Arial" w:cs="Arial"/>
          <w:bCs/>
          <w:sz w:val="24"/>
          <w:szCs w:val="24"/>
          <w:lang w:val="es-ES" w:eastAsia="es-ES"/>
        </w:rPr>
        <w:t xml:space="preserve">, </w:t>
      </w:r>
      <w:r w:rsidR="00966099">
        <w:rPr>
          <w:rFonts w:ascii="Arial" w:eastAsia="Times New Roman" w:hAnsi="Arial" w:cs="Arial"/>
          <w:bCs/>
          <w:sz w:val="24"/>
          <w:szCs w:val="24"/>
          <w:lang w:val="es-ES" w:eastAsia="es-ES"/>
        </w:rPr>
        <w:t xml:space="preserve">emitido </w:t>
      </w:r>
      <w:r w:rsidR="00B02127">
        <w:rPr>
          <w:rFonts w:ascii="Arial" w:eastAsia="Times New Roman" w:hAnsi="Arial" w:cs="Arial"/>
          <w:bCs/>
          <w:sz w:val="24"/>
          <w:szCs w:val="24"/>
          <w:lang w:val="es-ES" w:eastAsia="es-ES"/>
        </w:rPr>
        <w:t>por el Presidente Municipal del Ayuntamiento de Salina Cruz, Oaxaca</w:t>
      </w:r>
      <w:r w:rsidR="00966099">
        <w:rPr>
          <w:rFonts w:ascii="Arial" w:eastAsia="Times New Roman" w:hAnsi="Arial" w:cs="Arial"/>
          <w:bCs/>
          <w:sz w:val="24"/>
          <w:szCs w:val="24"/>
          <w:lang w:val="es-ES" w:eastAsia="es-ES"/>
        </w:rPr>
        <w:t xml:space="preserve"> y para efecto de evitar sentencias contradictorias, se ordenó: </w:t>
      </w:r>
      <w:r w:rsidR="00AB607A">
        <w:rPr>
          <w:rFonts w:ascii="Arial" w:eastAsia="Times New Roman" w:hAnsi="Arial" w:cs="Arial"/>
          <w:bCs/>
          <w:sz w:val="24"/>
          <w:szCs w:val="24"/>
          <w:lang w:val="es-ES" w:eastAsia="es-ES"/>
        </w:rPr>
        <w:t xml:space="preserve">a) </w:t>
      </w:r>
      <w:r w:rsidR="00344084" w:rsidRPr="009E73A7">
        <w:rPr>
          <w:rFonts w:ascii="Arial" w:hAnsi="Arial" w:cs="Arial"/>
          <w:bCs/>
          <w:sz w:val="24"/>
          <w:szCs w:val="24"/>
          <w:lang w:val="es-ES"/>
        </w:rPr>
        <w:t>G</w:t>
      </w:r>
      <w:r w:rsidR="00C5119A" w:rsidRPr="009E73A7">
        <w:rPr>
          <w:rFonts w:ascii="Arial" w:hAnsi="Arial" w:cs="Arial"/>
          <w:bCs/>
          <w:sz w:val="24"/>
          <w:szCs w:val="24"/>
          <w:lang w:val="es-ES"/>
        </w:rPr>
        <w:t>irar oficio</w:t>
      </w:r>
      <w:r w:rsidR="003F1175">
        <w:rPr>
          <w:rFonts w:ascii="Arial" w:hAnsi="Arial" w:cs="Arial"/>
          <w:bCs/>
          <w:sz w:val="24"/>
          <w:szCs w:val="24"/>
          <w:lang w:val="es-ES"/>
        </w:rPr>
        <w:t xml:space="preserve"> </w:t>
      </w:r>
      <w:r w:rsidR="00C5119A" w:rsidRPr="009E73A7">
        <w:rPr>
          <w:rFonts w:ascii="Arial" w:hAnsi="Arial" w:cs="Arial"/>
          <w:bCs/>
          <w:sz w:val="24"/>
          <w:szCs w:val="24"/>
          <w:lang w:val="es-ES"/>
        </w:rPr>
        <w:t>al Secretario General de Acuerdos de este Tribunal</w:t>
      </w:r>
      <w:r w:rsidR="00344084" w:rsidRPr="009E73A7">
        <w:rPr>
          <w:rFonts w:ascii="Arial" w:hAnsi="Arial" w:cs="Arial"/>
          <w:bCs/>
          <w:sz w:val="24"/>
          <w:szCs w:val="24"/>
          <w:lang w:val="es-ES"/>
        </w:rPr>
        <w:t xml:space="preserve"> para que remit</w:t>
      </w:r>
      <w:r w:rsidR="00966099">
        <w:rPr>
          <w:rFonts w:ascii="Arial" w:hAnsi="Arial" w:cs="Arial"/>
          <w:bCs/>
          <w:sz w:val="24"/>
          <w:szCs w:val="24"/>
          <w:lang w:val="es-ES"/>
        </w:rPr>
        <w:t>iera</w:t>
      </w:r>
      <w:r w:rsidR="00344084" w:rsidRPr="009E73A7">
        <w:rPr>
          <w:rFonts w:ascii="Arial" w:hAnsi="Arial" w:cs="Arial"/>
          <w:bCs/>
          <w:sz w:val="24"/>
          <w:szCs w:val="24"/>
          <w:lang w:val="es-ES"/>
        </w:rPr>
        <w:t xml:space="preserve"> el expediente </w:t>
      </w:r>
      <w:r w:rsidR="00966099">
        <w:rPr>
          <w:rFonts w:ascii="Arial" w:hAnsi="Arial" w:cs="Arial"/>
          <w:bCs/>
          <w:sz w:val="24"/>
          <w:szCs w:val="24"/>
          <w:lang w:val="es-ES"/>
        </w:rPr>
        <w:t xml:space="preserve">principal </w:t>
      </w:r>
      <w:r w:rsidR="00B64448">
        <w:rPr>
          <w:rFonts w:ascii="Arial" w:eastAsia="Times New Roman" w:hAnsi="Arial" w:cs="Arial"/>
          <w:bCs/>
          <w:iCs/>
          <w:caps/>
          <w:kern w:val="2"/>
          <w:sz w:val="24"/>
          <w:szCs w:val="24"/>
          <w:lang w:val="es-ES_tradnl" w:eastAsia="es-ES"/>
        </w:rPr>
        <w:t>**********</w:t>
      </w:r>
      <w:r w:rsidR="00966099">
        <w:rPr>
          <w:rFonts w:ascii="Arial" w:hAnsi="Arial" w:cs="Arial"/>
          <w:bCs/>
          <w:sz w:val="24"/>
          <w:szCs w:val="24"/>
          <w:lang w:val="es-ES"/>
        </w:rPr>
        <w:t xml:space="preserve">; </w:t>
      </w:r>
      <w:r w:rsidR="00AB607A">
        <w:rPr>
          <w:rFonts w:ascii="Arial" w:hAnsi="Arial" w:cs="Arial"/>
          <w:bCs/>
          <w:sz w:val="24"/>
          <w:szCs w:val="24"/>
          <w:lang w:val="es-ES"/>
        </w:rPr>
        <w:t xml:space="preserve">b) </w:t>
      </w:r>
      <w:r w:rsidR="009E73A7">
        <w:rPr>
          <w:rFonts w:ascii="Arial" w:hAnsi="Arial" w:cs="Arial"/>
          <w:bCs/>
          <w:sz w:val="24"/>
          <w:szCs w:val="24"/>
          <w:lang w:val="es-ES"/>
        </w:rPr>
        <w:t xml:space="preserve">Requerir el auxilio del Magistrado Titular de la Segunda Sala Unitaria de este Tribunal, </w:t>
      </w:r>
      <w:r w:rsidR="00A72669">
        <w:rPr>
          <w:rFonts w:ascii="Arial" w:hAnsi="Arial" w:cs="Arial"/>
          <w:bCs/>
          <w:sz w:val="24"/>
          <w:szCs w:val="24"/>
          <w:lang w:val="es-ES"/>
        </w:rPr>
        <w:t>para que informara</w:t>
      </w:r>
      <w:r w:rsidR="009E73A7">
        <w:rPr>
          <w:rFonts w:ascii="Arial" w:hAnsi="Arial" w:cs="Arial"/>
          <w:bCs/>
          <w:sz w:val="24"/>
          <w:szCs w:val="24"/>
          <w:lang w:val="es-ES"/>
        </w:rPr>
        <w:t xml:space="preserve"> el estado actual que guarda</w:t>
      </w:r>
      <w:r w:rsidR="00A72669">
        <w:rPr>
          <w:rFonts w:ascii="Arial" w:hAnsi="Arial" w:cs="Arial"/>
          <w:bCs/>
          <w:sz w:val="24"/>
          <w:szCs w:val="24"/>
          <w:lang w:val="es-ES"/>
        </w:rPr>
        <w:t>ba</w:t>
      </w:r>
      <w:r w:rsidR="009E73A7">
        <w:rPr>
          <w:rFonts w:ascii="Arial" w:hAnsi="Arial" w:cs="Arial"/>
          <w:bCs/>
          <w:sz w:val="24"/>
          <w:szCs w:val="24"/>
          <w:lang w:val="es-ES"/>
        </w:rPr>
        <w:t xml:space="preserve"> el juicio de </w:t>
      </w:r>
      <w:r w:rsidR="00A72669">
        <w:rPr>
          <w:rFonts w:ascii="Arial" w:hAnsi="Arial" w:cs="Arial"/>
          <w:bCs/>
          <w:sz w:val="24"/>
          <w:szCs w:val="24"/>
          <w:lang w:val="es-ES"/>
        </w:rPr>
        <w:t xml:space="preserve">nulidad </w:t>
      </w:r>
      <w:r w:rsidR="00B64448">
        <w:rPr>
          <w:rFonts w:ascii="Arial" w:eastAsia="Times New Roman" w:hAnsi="Arial" w:cs="Arial"/>
          <w:bCs/>
          <w:iCs/>
          <w:caps/>
          <w:kern w:val="2"/>
          <w:sz w:val="24"/>
          <w:szCs w:val="24"/>
          <w:lang w:val="es-ES_tradnl" w:eastAsia="es-ES"/>
        </w:rPr>
        <w:t>**********</w:t>
      </w:r>
      <w:r w:rsidR="00A72669">
        <w:rPr>
          <w:rFonts w:ascii="Arial" w:hAnsi="Arial" w:cs="Arial"/>
          <w:bCs/>
          <w:sz w:val="24"/>
          <w:szCs w:val="24"/>
          <w:lang w:val="es-ES"/>
        </w:rPr>
        <w:t>, de su índice</w:t>
      </w:r>
      <w:r w:rsidR="00AB607A">
        <w:rPr>
          <w:rFonts w:ascii="Arial" w:hAnsi="Arial" w:cs="Arial"/>
          <w:bCs/>
          <w:sz w:val="24"/>
          <w:szCs w:val="24"/>
          <w:lang w:val="es-ES"/>
        </w:rPr>
        <w:t xml:space="preserve">; c) </w:t>
      </w:r>
      <w:r w:rsidR="009C6784">
        <w:rPr>
          <w:rFonts w:ascii="Arial" w:hAnsi="Arial" w:cs="Arial"/>
          <w:bCs/>
          <w:sz w:val="24"/>
          <w:szCs w:val="24"/>
          <w:lang w:val="es-ES"/>
        </w:rPr>
        <w:t>Requerir el auxilio de la Secretaria encargada de la Quinta Sala Unitaria de</w:t>
      </w:r>
      <w:r w:rsidR="00A72669">
        <w:rPr>
          <w:rFonts w:ascii="Arial" w:hAnsi="Arial" w:cs="Arial"/>
          <w:bCs/>
          <w:sz w:val="24"/>
          <w:szCs w:val="24"/>
          <w:lang w:val="es-ES"/>
        </w:rPr>
        <w:t xml:space="preserve"> este Tribunal, para que informara</w:t>
      </w:r>
      <w:r w:rsidR="009C6784">
        <w:rPr>
          <w:rFonts w:ascii="Arial" w:hAnsi="Arial" w:cs="Arial"/>
          <w:bCs/>
          <w:sz w:val="24"/>
          <w:szCs w:val="24"/>
          <w:lang w:val="es-ES"/>
        </w:rPr>
        <w:t xml:space="preserve"> el estado actual que guarda</w:t>
      </w:r>
      <w:r w:rsidR="00A72669">
        <w:rPr>
          <w:rFonts w:ascii="Arial" w:hAnsi="Arial" w:cs="Arial"/>
          <w:bCs/>
          <w:sz w:val="24"/>
          <w:szCs w:val="24"/>
          <w:lang w:val="es-ES"/>
        </w:rPr>
        <w:t>ba</w:t>
      </w:r>
      <w:r w:rsidR="009C6784">
        <w:rPr>
          <w:rFonts w:ascii="Arial" w:hAnsi="Arial" w:cs="Arial"/>
          <w:bCs/>
          <w:sz w:val="24"/>
          <w:szCs w:val="24"/>
          <w:lang w:val="es-ES"/>
        </w:rPr>
        <w:t xml:space="preserve"> el juicio de nulidad </w:t>
      </w:r>
      <w:r w:rsidR="00B64448">
        <w:rPr>
          <w:rFonts w:ascii="Arial" w:eastAsia="Times New Roman" w:hAnsi="Arial" w:cs="Arial"/>
          <w:bCs/>
          <w:iCs/>
          <w:caps/>
          <w:kern w:val="2"/>
          <w:sz w:val="24"/>
          <w:szCs w:val="24"/>
          <w:lang w:val="es-ES_tradnl" w:eastAsia="es-ES"/>
        </w:rPr>
        <w:t xml:space="preserve">********** </w:t>
      </w:r>
      <w:r w:rsidR="009C6784">
        <w:rPr>
          <w:rFonts w:ascii="Arial" w:hAnsi="Arial" w:cs="Arial"/>
          <w:bCs/>
          <w:sz w:val="24"/>
          <w:szCs w:val="24"/>
          <w:lang w:val="es-ES"/>
        </w:rPr>
        <w:t>de su índice</w:t>
      </w:r>
      <w:r w:rsidR="00A72669">
        <w:rPr>
          <w:rFonts w:ascii="Arial" w:hAnsi="Arial" w:cs="Arial"/>
          <w:bCs/>
          <w:sz w:val="24"/>
          <w:szCs w:val="24"/>
          <w:lang w:val="es-ES"/>
        </w:rPr>
        <w:t>, así mismo se ordenó a la actora cumplir con ciertas prevenciones, apercibida que para el caso de no hacerlo se desecharía la prueba documental de su parte (fojas 92 y 93).</w:t>
      </w:r>
    </w:p>
    <w:p w14:paraId="704DEBB1" w14:textId="4CCF7895" w:rsidR="00CD7DA2" w:rsidRDefault="00A72669" w:rsidP="00CD7DA2">
      <w:pPr>
        <w:spacing w:line="360" w:lineRule="auto"/>
        <w:ind w:right="51" w:firstLine="567"/>
        <w:jc w:val="both"/>
        <w:rPr>
          <w:rFonts w:ascii="Arial" w:eastAsia="Arial" w:hAnsi="Arial" w:cs="Arial"/>
          <w:b/>
          <w:sz w:val="24"/>
          <w:szCs w:val="24"/>
        </w:rPr>
      </w:pPr>
      <w:r>
        <w:rPr>
          <w:rFonts w:ascii="Arial" w:hAnsi="Arial" w:cs="Arial"/>
          <w:bCs/>
          <w:sz w:val="24"/>
          <w:szCs w:val="24"/>
          <w:lang w:val="es-ES"/>
        </w:rPr>
        <w:tab/>
      </w:r>
      <w:r w:rsidR="00ED17C9" w:rsidRPr="00CE4DDA">
        <w:rPr>
          <w:rFonts w:ascii="Arial" w:eastAsia="Times New Roman" w:hAnsi="Arial" w:cs="Arial"/>
          <w:b/>
          <w:sz w:val="24"/>
          <w:szCs w:val="24"/>
          <w:lang w:val="es-ES" w:eastAsia="es-ES"/>
        </w:rPr>
        <w:t>SEGUNDO.</w:t>
      </w:r>
      <w:r w:rsidR="00ED17C9" w:rsidRPr="00CE4DDA">
        <w:rPr>
          <w:rFonts w:ascii="Arial" w:eastAsia="Times New Roman" w:hAnsi="Arial" w:cs="Arial"/>
          <w:sz w:val="24"/>
          <w:szCs w:val="24"/>
          <w:lang w:val="es-ES" w:eastAsia="es-ES"/>
        </w:rPr>
        <w:t xml:space="preserve"> </w:t>
      </w:r>
      <w:r w:rsidR="003B5AAA" w:rsidRPr="00CE4DDA">
        <w:rPr>
          <w:rFonts w:ascii="Arial" w:eastAsia="Times New Roman" w:hAnsi="Arial" w:cs="Arial"/>
          <w:bCs/>
          <w:sz w:val="24"/>
          <w:szCs w:val="24"/>
          <w:lang w:val="es-ES" w:eastAsia="es-ES"/>
        </w:rPr>
        <w:t xml:space="preserve">Por auto de </w:t>
      </w:r>
      <w:r w:rsidR="000F5F5C">
        <w:rPr>
          <w:rFonts w:ascii="Arial" w:eastAsia="Times New Roman" w:hAnsi="Arial" w:cs="Arial"/>
          <w:bCs/>
          <w:sz w:val="24"/>
          <w:szCs w:val="24"/>
          <w:lang w:val="es-ES" w:eastAsia="es-ES"/>
        </w:rPr>
        <w:t xml:space="preserve">fecha </w:t>
      </w:r>
      <w:r w:rsidR="00CD0EDB">
        <w:rPr>
          <w:rFonts w:ascii="Arial" w:eastAsia="Times New Roman" w:hAnsi="Arial" w:cs="Arial"/>
          <w:bCs/>
          <w:sz w:val="24"/>
          <w:szCs w:val="24"/>
          <w:lang w:val="es-ES" w:eastAsia="es-ES"/>
        </w:rPr>
        <w:t>veinticuatro</w:t>
      </w:r>
      <w:r w:rsidR="008A47F9" w:rsidRPr="00CE4DDA">
        <w:rPr>
          <w:rFonts w:ascii="Arial" w:eastAsia="Times New Roman" w:hAnsi="Arial" w:cs="Arial"/>
          <w:bCs/>
          <w:sz w:val="24"/>
          <w:szCs w:val="24"/>
          <w:lang w:val="es-ES" w:eastAsia="es-ES"/>
        </w:rPr>
        <w:t xml:space="preserve"> </w:t>
      </w:r>
      <w:r w:rsidR="00525C6A" w:rsidRPr="00CE4DDA">
        <w:rPr>
          <w:rFonts w:ascii="Arial" w:eastAsia="Times New Roman" w:hAnsi="Arial" w:cs="Arial"/>
          <w:bCs/>
          <w:sz w:val="24"/>
          <w:szCs w:val="24"/>
          <w:lang w:val="es-ES" w:eastAsia="es-ES"/>
        </w:rPr>
        <w:t xml:space="preserve">de </w:t>
      </w:r>
      <w:r w:rsidR="00CD0EDB">
        <w:rPr>
          <w:rFonts w:ascii="Arial" w:eastAsia="Times New Roman" w:hAnsi="Arial" w:cs="Arial"/>
          <w:bCs/>
          <w:sz w:val="24"/>
          <w:szCs w:val="24"/>
          <w:lang w:val="es-ES" w:eastAsia="es-ES"/>
        </w:rPr>
        <w:t>mayo</w:t>
      </w:r>
      <w:r w:rsidR="00525C6A" w:rsidRPr="00CE4DDA">
        <w:rPr>
          <w:rFonts w:ascii="Arial" w:eastAsia="Times New Roman" w:hAnsi="Arial" w:cs="Arial"/>
          <w:bCs/>
          <w:sz w:val="24"/>
          <w:szCs w:val="24"/>
          <w:lang w:val="es-ES" w:eastAsia="es-ES"/>
        </w:rPr>
        <w:t xml:space="preserve"> de dos mil </w:t>
      </w:r>
      <w:r w:rsidR="00CD0EDB">
        <w:rPr>
          <w:rFonts w:ascii="Arial" w:eastAsia="Times New Roman" w:hAnsi="Arial" w:cs="Arial"/>
          <w:bCs/>
          <w:sz w:val="24"/>
          <w:szCs w:val="24"/>
          <w:lang w:val="es-ES" w:eastAsia="es-ES"/>
        </w:rPr>
        <w:t>veintiuno</w:t>
      </w:r>
      <w:r w:rsidR="003B5AAA" w:rsidRPr="00CE4DDA">
        <w:rPr>
          <w:rFonts w:ascii="Arial" w:eastAsia="Times New Roman" w:hAnsi="Arial" w:cs="Arial"/>
          <w:bCs/>
          <w:sz w:val="24"/>
          <w:szCs w:val="24"/>
          <w:lang w:val="es-ES" w:eastAsia="es-ES"/>
        </w:rPr>
        <w:t xml:space="preserve">, </w:t>
      </w:r>
      <w:r w:rsidR="00626835">
        <w:rPr>
          <w:rFonts w:ascii="Arial" w:eastAsia="Times New Roman" w:hAnsi="Arial" w:cs="Arial"/>
          <w:bCs/>
          <w:sz w:val="24"/>
          <w:szCs w:val="24"/>
          <w:lang w:val="es-ES" w:eastAsia="es-ES"/>
        </w:rPr>
        <w:t xml:space="preserve">se tuvo </w:t>
      </w:r>
      <w:r w:rsidR="00C55743">
        <w:rPr>
          <w:rFonts w:ascii="Arial" w:eastAsia="Times New Roman" w:hAnsi="Arial" w:cs="Arial"/>
          <w:bCs/>
          <w:sz w:val="24"/>
          <w:szCs w:val="24"/>
          <w:lang w:val="es-ES" w:eastAsia="es-ES"/>
        </w:rPr>
        <w:t xml:space="preserve">al Secretario General de Acuerdos y al Secretario de Acuerdos de la Segunda Sala Unitaria, </w:t>
      </w:r>
      <w:r w:rsidR="007C5A8C">
        <w:rPr>
          <w:rFonts w:ascii="Arial" w:eastAsia="Times New Roman" w:hAnsi="Arial" w:cs="Arial"/>
          <w:bCs/>
          <w:sz w:val="24"/>
          <w:szCs w:val="24"/>
          <w:lang w:val="es-ES" w:eastAsia="es-ES"/>
        </w:rPr>
        <w:t xml:space="preserve">ambos de este Tribunal, </w:t>
      </w:r>
      <w:r w:rsidR="00626835">
        <w:rPr>
          <w:rFonts w:ascii="Arial" w:eastAsia="Times New Roman" w:hAnsi="Arial" w:cs="Arial"/>
          <w:bCs/>
          <w:sz w:val="24"/>
          <w:szCs w:val="24"/>
          <w:lang w:val="es-ES" w:eastAsia="es-ES"/>
        </w:rPr>
        <w:t>dando cumplimiento al requerimiento</w:t>
      </w:r>
      <w:r w:rsidR="007C5A8C">
        <w:rPr>
          <w:rFonts w:ascii="Arial" w:eastAsia="Times New Roman" w:hAnsi="Arial" w:cs="Arial"/>
          <w:bCs/>
          <w:sz w:val="24"/>
          <w:szCs w:val="24"/>
          <w:lang w:val="es-ES" w:eastAsia="es-ES"/>
        </w:rPr>
        <w:t xml:space="preserve"> efectuado, por lo que </w:t>
      </w:r>
      <w:r w:rsidR="00CD7DA2" w:rsidRPr="007C5A8C">
        <w:rPr>
          <w:rFonts w:ascii="Arial" w:eastAsia="Arial" w:hAnsi="Arial" w:cs="Arial"/>
          <w:b/>
          <w:sz w:val="24"/>
          <w:szCs w:val="24"/>
        </w:rPr>
        <w:t>se</w:t>
      </w:r>
      <w:r w:rsidR="00CD7DA2">
        <w:rPr>
          <w:rFonts w:ascii="Arial" w:eastAsia="Arial" w:hAnsi="Arial" w:cs="Arial"/>
          <w:sz w:val="24"/>
          <w:szCs w:val="24"/>
        </w:rPr>
        <w:t xml:space="preserve"> </w:t>
      </w:r>
      <w:r w:rsidR="00CD7DA2">
        <w:rPr>
          <w:rFonts w:ascii="Arial" w:eastAsia="Arial" w:hAnsi="Arial" w:cs="Arial"/>
          <w:b/>
          <w:sz w:val="24"/>
          <w:szCs w:val="24"/>
        </w:rPr>
        <w:t xml:space="preserve">admitió </w:t>
      </w:r>
      <w:r w:rsidR="00CD7DA2">
        <w:rPr>
          <w:rFonts w:ascii="Arial" w:eastAsia="Arial" w:hAnsi="Arial" w:cs="Arial"/>
          <w:sz w:val="24"/>
          <w:szCs w:val="24"/>
        </w:rPr>
        <w:t xml:space="preserve">a trámite la demanda de nulidad interpuesta por </w:t>
      </w:r>
      <w:r w:rsidR="00B64448">
        <w:rPr>
          <w:rFonts w:ascii="Arial" w:eastAsia="Times New Roman" w:hAnsi="Arial" w:cs="Arial"/>
          <w:bCs/>
          <w:iCs/>
          <w:caps/>
          <w:kern w:val="2"/>
          <w:sz w:val="24"/>
          <w:szCs w:val="24"/>
          <w:lang w:val="es-ES_tradnl" w:eastAsia="es-ES"/>
        </w:rPr>
        <w:t>**********</w:t>
      </w:r>
      <w:r w:rsidR="006A558A">
        <w:rPr>
          <w:rFonts w:ascii="Arial" w:eastAsia="Times New Roman" w:hAnsi="Arial" w:cs="Arial"/>
          <w:bCs/>
          <w:sz w:val="24"/>
          <w:szCs w:val="24"/>
          <w:lang w:val="es-ES" w:eastAsia="es-ES"/>
        </w:rPr>
        <w:t xml:space="preserve"> </w:t>
      </w:r>
      <w:r w:rsidR="00CD7DA2">
        <w:rPr>
          <w:rFonts w:ascii="Arial" w:eastAsia="Arial" w:hAnsi="Arial" w:cs="Arial"/>
          <w:sz w:val="24"/>
          <w:szCs w:val="24"/>
        </w:rPr>
        <w:t xml:space="preserve">ordenándose notificar, emplazar y correr traslado a la </w:t>
      </w:r>
      <w:r w:rsidR="00CD7DA2" w:rsidRPr="006A558A">
        <w:rPr>
          <w:rFonts w:ascii="Arial" w:eastAsia="Arial" w:hAnsi="Arial" w:cs="Arial"/>
          <w:sz w:val="24"/>
          <w:szCs w:val="24"/>
        </w:rPr>
        <w:t xml:space="preserve">autoridad demandada, para que dentro del término de ley la contestara, apercibida que para el caso de no hacerlo se </w:t>
      </w:r>
      <w:r w:rsidR="00CD7DA2" w:rsidRPr="006A558A">
        <w:rPr>
          <w:rFonts w:ascii="Arial" w:eastAsia="Arial" w:hAnsi="Arial" w:cs="Arial"/>
          <w:sz w:val="24"/>
          <w:szCs w:val="24"/>
        </w:rPr>
        <w:lastRenderedPageBreak/>
        <w:t xml:space="preserve">declararía precluido su </w:t>
      </w:r>
      <w:r w:rsidR="00CD7DA2">
        <w:rPr>
          <w:rFonts w:ascii="Arial" w:eastAsia="Arial" w:hAnsi="Arial" w:cs="Arial"/>
          <w:sz w:val="24"/>
          <w:szCs w:val="24"/>
        </w:rPr>
        <w:t xml:space="preserve">derecho y se le tendría contestando la demanda en sentido afirmativo, salvo prueba en contrario (fojas </w:t>
      </w:r>
      <w:r w:rsidR="006A558A">
        <w:rPr>
          <w:rFonts w:ascii="Arial" w:eastAsia="Arial" w:hAnsi="Arial" w:cs="Arial"/>
          <w:sz w:val="24"/>
          <w:szCs w:val="24"/>
        </w:rPr>
        <w:t>173 y 174</w:t>
      </w:r>
      <w:r w:rsidR="00CD7DA2">
        <w:rPr>
          <w:rFonts w:ascii="Arial" w:eastAsia="Arial" w:hAnsi="Arial" w:cs="Arial"/>
          <w:sz w:val="24"/>
          <w:szCs w:val="24"/>
        </w:rPr>
        <w:t>).</w:t>
      </w:r>
    </w:p>
    <w:p w14:paraId="14A299BF" w14:textId="3B68C751" w:rsidR="003B1FE6" w:rsidRDefault="003B5AAA" w:rsidP="00CE4DDA">
      <w:pPr>
        <w:spacing w:after="0" w:line="360" w:lineRule="auto"/>
        <w:ind w:right="51" w:firstLine="567"/>
        <w:jc w:val="both"/>
        <w:rPr>
          <w:rFonts w:ascii="Arial" w:eastAsia="Times New Roman" w:hAnsi="Arial" w:cs="Arial"/>
          <w:bCs/>
          <w:sz w:val="24"/>
          <w:szCs w:val="24"/>
          <w:lang w:val="es-ES_tradnl" w:eastAsia="es-ES"/>
        </w:rPr>
      </w:pPr>
      <w:r w:rsidRPr="00CE4DDA">
        <w:rPr>
          <w:rFonts w:ascii="Arial" w:eastAsia="Times New Roman" w:hAnsi="Arial" w:cs="Arial"/>
          <w:b/>
          <w:sz w:val="24"/>
          <w:szCs w:val="24"/>
          <w:lang w:val="es-ES" w:eastAsia="es-ES"/>
        </w:rPr>
        <w:t>TERCERO.</w:t>
      </w:r>
      <w:r w:rsidR="00CE2BCF" w:rsidRPr="00CE4DDA">
        <w:rPr>
          <w:rFonts w:ascii="Arial" w:eastAsia="Times New Roman" w:hAnsi="Arial" w:cs="Arial"/>
          <w:sz w:val="24"/>
          <w:szCs w:val="24"/>
          <w:lang w:val="es-ES" w:eastAsia="es-ES"/>
        </w:rPr>
        <w:t xml:space="preserve"> </w:t>
      </w:r>
      <w:r w:rsidR="00374FC5" w:rsidRPr="00CE4DDA">
        <w:rPr>
          <w:rFonts w:ascii="Arial" w:eastAsia="Times New Roman" w:hAnsi="Arial" w:cs="Arial"/>
          <w:sz w:val="24"/>
          <w:szCs w:val="24"/>
          <w:lang w:val="es-ES" w:eastAsia="es-ES"/>
        </w:rPr>
        <w:t xml:space="preserve">Por auto de </w:t>
      </w:r>
      <w:r w:rsidR="006A529C">
        <w:rPr>
          <w:rFonts w:ascii="Arial" w:eastAsia="Times New Roman" w:hAnsi="Arial" w:cs="Arial"/>
          <w:sz w:val="24"/>
          <w:szCs w:val="24"/>
          <w:lang w:val="es-ES" w:eastAsia="es-ES"/>
        </w:rPr>
        <w:t xml:space="preserve">fecha ocho de octubre de dos mil veintiuno, </w:t>
      </w:r>
      <w:r w:rsidR="00FA4CCE">
        <w:rPr>
          <w:rFonts w:ascii="Arial" w:eastAsia="Times New Roman" w:hAnsi="Arial" w:cs="Arial"/>
          <w:sz w:val="24"/>
          <w:szCs w:val="24"/>
          <w:lang w:val="es-ES" w:eastAsia="es-ES"/>
        </w:rPr>
        <w:t xml:space="preserve">se tuvo a la autoridad </w:t>
      </w:r>
      <w:r w:rsidR="00750821">
        <w:rPr>
          <w:rFonts w:ascii="Arial" w:eastAsia="Times New Roman" w:hAnsi="Arial" w:cs="Arial"/>
          <w:sz w:val="24"/>
          <w:szCs w:val="24"/>
          <w:lang w:val="es-ES" w:eastAsia="es-ES"/>
        </w:rPr>
        <w:t xml:space="preserve">demandada </w:t>
      </w:r>
      <w:r w:rsidR="00EC79E0">
        <w:rPr>
          <w:rFonts w:ascii="Arial" w:eastAsia="Times New Roman" w:hAnsi="Arial" w:cs="Arial"/>
          <w:bCs/>
          <w:sz w:val="24"/>
          <w:szCs w:val="24"/>
          <w:lang w:val="es-ES_tradnl" w:eastAsia="es-ES"/>
        </w:rPr>
        <w:t xml:space="preserve">contestando </w:t>
      </w:r>
      <w:r w:rsidR="00AE779C">
        <w:rPr>
          <w:rFonts w:ascii="Arial" w:eastAsia="Times New Roman" w:hAnsi="Arial" w:cs="Arial"/>
          <w:bCs/>
          <w:sz w:val="24"/>
          <w:szCs w:val="24"/>
          <w:lang w:val="es-ES_tradnl" w:eastAsia="es-ES"/>
        </w:rPr>
        <w:t xml:space="preserve">en sentido afirmativo </w:t>
      </w:r>
      <w:r w:rsidR="00FE3A8F">
        <w:rPr>
          <w:rFonts w:ascii="Arial" w:eastAsia="Times New Roman" w:hAnsi="Arial" w:cs="Arial"/>
          <w:bCs/>
          <w:sz w:val="24"/>
          <w:szCs w:val="24"/>
          <w:lang w:val="es-ES_tradnl" w:eastAsia="es-ES"/>
        </w:rPr>
        <w:t>la demanda de nulidad, al no obrar constancia alguna de su contestación, por lo que se fijó hora y fecha para la celebración de la audiencia de ley (foja 179).</w:t>
      </w:r>
    </w:p>
    <w:p w14:paraId="2D0486A3" w14:textId="709CD1DA" w:rsidR="00376E74" w:rsidRDefault="0009272C" w:rsidP="00A5064F">
      <w:pPr>
        <w:spacing w:after="0" w:line="360" w:lineRule="auto"/>
        <w:ind w:right="51" w:firstLine="567"/>
        <w:jc w:val="both"/>
        <w:rPr>
          <w:rFonts w:ascii="Arial" w:eastAsia="Times New Roman" w:hAnsi="Arial" w:cs="Arial"/>
          <w:sz w:val="24"/>
          <w:szCs w:val="24"/>
          <w:lang w:val="es-ES_tradnl" w:eastAsia="es-ES"/>
        </w:rPr>
      </w:pPr>
      <w:r w:rsidRPr="00CE4DDA">
        <w:rPr>
          <w:rFonts w:ascii="Arial" w:eastAsia="Times New Roman" w:hAnsi="Arial" w:cs="Arial"/>
          <w:b/>
          <w:sz w:val="24"/>
          <w:szCs w:val="24"/>
          <w:lang w:val="es-ES" w:eastAsia="es-ES"/>
        </w:rPr>
        <w:t>CUARTO</w:t>
      </w:r>
      <w:r w:rsidRPr="00CE4DDA">
        <w:rPr>
          <w:rFonts w:ascii="Arial" w:eastAsia="Times New Roman" w:hAnsi="Arial" w:cs="Arial"/>
          <w:sz w:val="24"/>
          <w:szCs w:val="24"/>
          <w:lang w:val="es-ES" w:eastAsia="es-ES"/>
        </w:rPr>
        <w:t>.</w:t>
      </w:r>
      <w:r w:rsidR="00D53028" w:rsidRPr="00CE4DDA">
        <w:rPr>
          <w:rFonts w:ascii="Arial" w:eastAsia="Times New Roman" w:hAnsi="Arial" w:cs="Arial"/>
          <w:sz w:val="24"/>
          <w:szCs w:val="24"/>
          <w:lang w:val="es-ES_tradnl" w:eastAsia="es-ES"/>
        </w:rPr>
        <w:t xml:space="preserve"> </w:t>
      </w:r>
      <w:r w:rsidR="009466AF" w:rsidRPr="009466AF">
        <w:rPr>
          <w:rFonts w:ascii="Arial" w:eastAsia="Times New Roman" w:hAnsi="Arial" w:cs="Arial"/>
          <w:sz w:val="24"/>
          <w:szCs w:val="24"/>
          <w:lang w:val="es-ES_tradnl" w:eastAsia="es-ES"/>
        </w:rPr>
        <w:t xml:space="preserve">El </w:t>
      </w:r>
      <w:r w:rsidR="009466AF">
        <w:rPr>
          <w:rFonts w:ascii="Arial" w:eastAsia="Times New Roman" w:hAnsi="Arial" w:cs="Arial"/>
          <w:sz w:val="24"/>
          <w:szCs w:val="24"/>
          <w:lang w:val="es-ES_tradnl" w:eastAsia="es-ES"/>
        </w:rPr>
        <w:t>dos</w:t>
      </w:r>
      <w:r w:rsidR="009466AF" w:rsidRPr="009466AF">
        <w:rPr>
          <w:rFonts w:ascii="Arial" w:eastAsia="Times New Roman" w:hAnsi="Arial" w:cs="Arial"/>
          <w:sz w:val="24"/>
          <w:szCs w:val="24"/>
          <w:lang w:val="es-ES_tradnl" w:eastAsia="es-ES"/>
        </w:rPr>
        <w:t xml:space="preserve"> de diciembre de dos mil veintiuno, se declar</w:t>
      </w:r>
      <w:r w:rsidR="009466AF">
        <w:rPr>
          <w:rFonts w:ascii="Arial" w:eastAsia="Times New Roman" w:hAnsi="Arial" w:cs="Arial"/>
          <w:sz w:val="24"/>
          <w:szCs w:val="24"/>
          <w:lang w:val="es-ES_tradnl" w:eastAsia="es-ES"/>
        </w:rPr>
        <w:t>ó</w:t>
      </w:r>
      <w:r w:rsidR="009466AF" w:rsidRPr="009466AF">
        <w:rPr>
          <w:rFonts w:ascii="Arial" w:eastAsia="Times New Roman" w:hAnsi="Arial" w:cs="Arial"/>
          <w:sz w:val="24"/>
          <w:szCs w:val="24"/>
          <w:lang w:eastAsia="es-ES"/>
        </w:rPr>
        <w:t xml:space="preserve"> abierta la audiencia de Ley,</w:t>
      </w:r>
      <w:r w:rsidR="009466AF" w:rsidRPr="009466AF">
        <w:rPr>
          <w:rFonts w:ascii="Arial" w:eastAsia="Times New Roman" w:hAnsi="Arial" w:cs="Arial"/>
          <w:b/>
          <w:sz w:val="24"/>
          <w:szCs w:val="24"/>
          <w:lang w:eastAsia="es-ES"/>
        </w:rPr>
        <w:t xml:space="preserve"> </w:t>
      </w:r>
      <w:r w:rsidR="009466AF" w:rsidRPr="009466AF">
        <w:rPr>
          <w:rFonts w:ascii="Arial" w:eastAsia="Times New Roman" w:hAnsi="Arial" w:cs="Arial"/>
          <w:sz w:val="24"/>
          <w:szCs w:val="24"/>
          <w:lang w:eastAsia="es-ES"/>
        </w:rPr>
        <w:t xml:space="preserve">en la que no comparecieron las partes ni persona alguna que legalmente las representara, </w:t>
      </w:r>
      <w:r w:rsidR="009466AF">
        <w:rPr>
          <w:rFonts w:ascii="Arial" w:eastAsia="Times New Roman" w:hAnsi="Arial" w:cs="Arial"/>
          <w:sz w:val="24"/>
          <w:szCs w:val="24"/>
          <w:lang w:eastAsia="es-ES"/>
        </w:rPr>
        <w:t xml:space="preserve">únicamente </w:t>
      </w:r>
      <w:r w:rsidR="009466AF" w:rsidRPr="009466AF">
        <w:rPr>
          <w:rFonts w:ascii="Arial" w:eastAsia="Times New Roman" w:hAnsi="Arial" w:cs="Arial"/>
          <w:sz w:val="24"/>
          <w:szCs w:val="24"/>
          <w:lang w:eastAsia="es-ES"/>
        </w:rPr>
        <w:t>la parte</w:t>
      </w:r>
      <w:r w:rsidR="009466AF">
        <w:rPr>
          <w:rFonts w:ascii="Arial" w:eastAsia="Times New Roman" w:hAnsi="Arial" w:cs="Arial"/>
          <w:sz w:val="24"/>
          <w:szCs w:val="24"/>
          <w:lang w:eastAsia="es-ES"/>
        </w:rPr>
        <w:t xml:space="preserve"> actora</w:t>
      </w:r>
      <w:r w:rsidR="009466AF" w:rsidRPr="009466AF">
        <w:rPr>
          <w:rFonts w:ascii="Arial" w:eastAsia="Times New Roman" w:hAnsi="Arial" w:cs="Arial"/>
          <w:sz w:val="24"/>
          <w:szCs w:val="24"/>
          <w:lang w:eastAsia="es-ES"/>
        </w:rPr>
        <w:t xml:space="preserve"> formul</w:t>
      </w:r>
      <w:r w:rsidR="009466AF">
        <w:rPr>
          <w:rFonts w:ascii="Arial" w:eastAsia="Times New Roman" w:hAnsi="Arial" w:cs="Arial"/>
          <w:sz w:val="24"/>
          <w:szCs w:val="24"/>
          <w:lang w:eastAsia="es-ES"/>
        </w:rPr>
        <w:t>ó</w:t>
      </w:r>
      <w:r w:rsidR="009466AF" w:rsidRPr="009466AF">
        <w:rPr>
          <w:rFonts w:ascii="Arial" w:eastAsia="Times New Roman" w:hAnsi="Arial" w:cs="Arial"/>
          <w:sz w:val="24"/>
          <w:szCs w:val="24"/>
          <w:lang w:eastAsia="es-ES"/>
        </w:rPr>
        <w:t xml:space="preserve"> alegatos y se les citó </w:t>
      </w:r>
      <w:r w:rsidR="009466AF" w:rsidRPr="009466AF">
        <w:rPr>
          <w:rFonts w:ascii="Arial" w:eastAsia="Times New Roman" w:hAnsi="Arial" w:cs="Arial"/>
          <w:sz w:val="24"/>
          <w:szCs w:val="24"/>
          <w:lang w:val="es-ES_tradnl" w:eastAsia="es-ES"/>
        </w:rPr>
        <w:t>para oír sentencia, misma que ahora se dicta en términos del artículo 205</w:t>
      </w:r>
      <w:r w:rsidR="00AC5902">
        <w:rPr>
          <w:rFonts w:ascii="Arial" w:eastAsia="Times New Roman" w:hAnsi="Arial" w:cs="Arial"/>
          <w:sz w:val="24"/>
          <w:szCs w:val="24"/>
          <w:lang w:val="es-ES_tradnl" w:eastAsia="es-ES"/>
        </w:rPr>
        <w:t>,</w:t>
      </w:r>
      <w:r w:rsidR="009466AF" w:rsidRPr="009466AF">
        <w:rPr>
          <w:rFonts w:ascii="Arial" w:eastAsia="Times New Roman" w:hAnsi="Arial" w:cs="Arial"/>
          <w:sz w:val="24"/>
          <w:szCs w:val="24"/>
          <w:lang w:val="es-ES_tradnl" w:eastAsia="es-ES"/>
        </w:rPr>
        <w:t xml:space="preserve"> de la Ley de Procedimiento y Justicia Administrativa para el Estado</w:t>
      </w:r>
      <w:r w:rsidR="00122E6B">
        <w:rPr>
          <w:rFonts w:ascii="Arial" w:eastAsia="Times New Roman" w:hAnsi="Arial" w:cs="Arial"/>
          <w:sz w:val="24"/>
          <w:szCs w:val="24"/>
          <w:lang w:val="es-ES_tradnl" w:eastAsia="es-ES"/>
        </w:rPr>
        <w:t xml:space="preserve"> de Oaxaca.</w:t>
      </w:r>
    </w:p>
    <w:p w14:paraId="21ADE313" w14:textId="77777777" w:rsidR="00A5064F" w:rsidRPr="00CE4DDA" w:rsidRDefault="00A5064F" w:rsidP="00A5064F">
      <w:pPr>
        <w:spacing w:after="0" w:line="360" w:lineRule="auto"/>
        <w:ind w:right="51" w:firstLine="567"/>
        <w:jc w:val="both"/>
        <w:rPr>
          <w:rFonts w:ascii="Arial" w:eastAsia="Times New Roman" w:hAnsi="Arial" w:cs="Arial"/>
          <w:sz w:val="24"/>
          <w:szCs w:val="24"/>
          <w:lang w:val="es-ES_tradnl" w:eastAsia="es-ES"/>
        </w:rPr>
      </w:pPr>
    </w:p>
    <w:p w14:paraId="09036180" w14:textId="77777777" w:rsidR="009D7854" w:rsidRPr="00CE4DDA" w:rsidRDefault="009D7854" w:rsidP="009D7854">
      <w:pPr>
        <w:spacing w:after="0" w:line="360" w:lineRule="auto"/>
        <w:ind w:right="51"/>
        <w:jc w:val="center"/>
        <w:rPr>
          <w:rFonts w:ascii="Arial" w:eastAsia="Times New Roman" w:hAnsi="Arial" w:cs="Arial"/>
          <w:b/>
          <w:bCs/>
          <w:sz w:val="24"/>
          <w:szCs w:val="24"/>
          <w:lang w:val="es-ES_tradnl" w:eastAsia="es-ES"/>
        </w:rPr>
      </w:pPr>
      <w:r w:rsidRPr="00CE4DDA">
        <w:rPr>
          <w:rFonts w:ascii="Arial" w:eastAsia="Times New Roman" w:hAnsi="Arial" w:cs="Arial"/>
          <w:b/>
          <w:bCs/>
          <w:sz w:val="24"/>
          <w:szCs w:val="24"/>
          <w:lang w:val="es-ES_tradnl" w:eastAsia="es-ES"/>
        </w:rPr>
        <w:t>C O N S I D E R A N D O:</w:t>
      </w:r>
    </w:p>
    <w:p w14:paraId="61C01169" w14:textId="77777777" w:rsidR="009D7854" w:rsidRPr="00CE4DDA" w:rsidRDefault="009D7854" w:rsidP="009D7854">
      <w:pPr>
        <w:spacing w:after="0" w:line="360" w:lineRule="auto"/>
        <w:ind w:right="51"/>
        <w:jc w:val="center"/>
        <w:rPr>
          <w:rFonts w:ascii="Arial" w:eastAsia="Times New Roman" w:hAnsi="Arial" w:cs="Arial"/>
          <w:b/>
          <w:bCs/>
          <w:sz w:val="24"/>
          <w:szCs w:val="24"/>
          <w:lang w:val="es-ES_tradnl" w:eastAsia="es-ES"/>
        </w:rPr>
      </w:pPr>
    </w:p>
    <w:p w14:paraId="316916CB" w14:textId="51825DA0" w:rsidR="008E7C43" w:rsidRPr="00451184" w:rsidRDefault="00511C9B" w:rsidP="00451184">
      <w:pPr>
        <w:spacing w:after="0" w:line="360" w:lineRule="auto"/>
        <w:ind w:right="49"/>
        <w:jc w:val="both"/>
        <w:rPr>
          <w:rFonts w:ascii="Arial" w:eastAsia="Times New Roman" w:hAnsi="Arial" w:cs="Arial"/>
          <w:sz w:val="24"/>
          <w:szCs w:val="24"/>
          <w:lang w:val="es-ES_tradnl" w:eastAsia="es-ES"/>
        </w:rPr>
      </w:pPr>
      <w:r w:rsidRPr="00CE4DDA">
        <w:rPr>
          <w:rFonts w:ascii="Arial" w:eastAsia="Times New Roman" w:hAnsi="Arial" w:cs="Arial"/>
          <w:b/>
          <w:sz w:val="24"/>
          <w:szCs w:val="24"/>
          <w:lang w:val="es-ES_tradnl" w:eastAsia="es-ES"/>
        </w:rPr>
        <w:t>PRIMERO</w:t>
      </w:r>
      <w:r w:rsidRPr="00CE4DDA">
        <w:rPr>
          <w:rFonts w:ascii="Arial" w:eastAsia="Times New Roman" w:hAnsi="Arial" w:cs="Arial"/>
          <w:b/>
          <w:color w:val="000000"/>
          <w:sz w:val="24"/>
          <w:szCs w:val="24"/>
          <w:lang w:val="es-ES_tradnl" w:eastAsia="es-ES"/>
        </w:rPr>
        <w:t xml:space="preserve">. </w:t>
      </w:r>
      <w:r w:rsidR="00E14AF4" w:rsidRPr="00CE4DDA">
        <w:rPr>
          <w:rFonts w:ascii="Arial" w:eastAsia="Times New Roman" w:hAnsi="Arial" w:cs="Arial"/>
          <w:b/>
          <w:color w:val="000000"/>
          <w:sz w:val="24"/>
          <w:szCs w:val="24"/>
          <w:lang w:val="es-ES_tradnl" w:eastAsia="es-ES"/>
        </w:rPr>
        <w:t xml:space="preserve">Competencia. </w:t>
      </w:r>
      <w:r w:rsidR="008E7C43" w:rsidRPr="00451184">
        <w:rPr>
          <w:rFonts w:ascii="Arial" w:eastAsia="Times New Roman" w:hAnsi="Arial" w:cs="Arial"/>
          <w:sz w:val="24"/>
          <w:szCs w:val="24"/>
          <w:lang w:val="es-ES_tradnl" w:eastAsia="es-ES"/>
        </w:rPr>
        <w:t>Esta Cuarta Sala Unitaria de Primera Instancia del Tribunal de Justicia Administrativa del Estado, es competente para conocer y resolver el presente juicio de nulidad promovido en contra de un acto atribuido a una autoridad administrativa de carácter municipal, de conformidad con lo dispuesto por el artículo 116 fracción V de la Constitución Política de los Estados Unidos Mexicanos, 114 QUÁTER, de 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2068E5E7" w14:textId="279C34AD" w:rsidR="00511C9B" w:rsidRPr="00CE4DDA" w:rsidRDefault="00511C9B" w:rsidP="00511C9B">
      <w:pPr>
        <w:spacing w:after="0" w:line="360" w:lineRule="auto"/>
        <w:ind w:right="49" w:firstLine="567"/>
        <w:jc w:val="both"/>
        <w:rPr>
          <w:rFonts w:ascii="Arial" w:eastAsia="Times New Roman" w:hAnsi="Arial" w:cs="Arial"/>
          <w:bCs/>
          <w:sz w:val="24"/>
          <w:szCs w:val="24"/>
          <w:lang w:val="es-ES" w:eastAsia="es-ES"/>
        </w:rPr>
      </w:pPr>
    </w:p>
    <w:p w14:paraId="63E134F4" w14:textId="416BFF1B" w:rsidR="00360DAD" w:rsidRPr="00502B8B" w:rsidRDefault="00511C9B" w:rsidP="00572CB2">
      <w:pPr>
        <w:pStyle w:val="Textoindependienteprimerasangra"/>
        <w:spacing w:after="0" w:line="360" w:lineRule="auto"/>
        <w:ind w:firstLine="567"/>
        <w:jc w:val="both"/>
        <w:rPr>
          <w:rFonts w:ascii="Arial" w:eastAsia="Times New Roman" w:hAnsi="Arial" w:cs="Arial"/>
          <w:sz w:val="24"/>
          <w:szCs w:val="24"/>
          <w:lang w:val="es-ES_tradnl" w:eastAsia="es-ES"/>
        </w:rPr>
      </w:pPr>
      <w:r w:rsidRPr="00CE4DDA">
        <w:rPr>
          <w:rFonts w:ascii="Arial" w:eastAsia="Times New Roman" w:hAnsi="Arial" w:cs="Arial"/>
          <w:b/>
          <w:bCs/>
          <w:sz w:val="24"/>
          <w:szCs w:val="24"/>
          <w:lang w:val="es-ES_tradnl" w:eastAsia="es-ES"/>
        </w:rPr>
        <w:t>SEGUNDO</w:t>
      </w:r>
      <w:r w:rsidRPr="00CE4DDA">
        <w:rPr>
          <w:rFonts w:ascii="Arial" w:eastAsia="Times New Roman" w:hAnsi="Arial" w:cs="Arial"/>
          <w:bCs/>
          <w:sz w:val="24"/>
          <w:szCs w:val="24"/>
          <w:lang w:val="es-ES_tradnl" w:eastAsia="es-ES"/>
        </w:rPr>
        <w:t>.</w:t>
      </w:r>
      <w:r w:rsidRPr="00CE4DDA">
        <w:rPr>
          <w:rFonts w:ascii="Arial" w:eastAsia="Times New Roman" w:hAnsi="Arial" w:cs="Arial"/>
          <w:sz w:val="24"/>
          <w:szCs w:val="24"/>
          <w:lang w:val="es-ES_tradnl" w:eastAsia="es-ES"/>
        </w:rPr>
        <w:t xml:space="preserve"> </w:t>
      </w:r>
      <w:r w:rsidRPr="00CE4DDA">
        <w:rPr>
          <w:rFonts w:ascii="Arial" w:eastAsia="Times New Roman" w:hAnsi="Arial" w:cs="Arial"/>
          <w:b/>
          <w:sz w:val="24"/>
          <w:szCs w:val="24"/>
          <w:lang w:val="es-ES_tradnl" w:eastAsia="es-ES"/>
        </w:rPr>
        <w:t>Personalidad</w:t>
      </w:r>
      <w:r w:rsidRPr="00CE4DDA">
        <w:rPr>
          <w:rFonts w:ascii="Arial" w:eastAsia="Times New Roman" w:hAnsi="Arial" w:cs="Arial"/>
          <w:sz w:val="24"/>
          <w:szCs w:val="24"/>
          <w:lang w:val="es-ES_tradnl" w:eastAsia="es-ES"/>
        </w:rPr>
        <w:t xml:space="preserve">. </w:t>
      </w:r>
      <w:r w:rsidR="00556E3D">
        <w:rPr>
          <w:rFonts w:ascii="Arial" w:eastAsia="Times New Roman" w:hAnsi="Arial" w:cs="Arial"/>
          <w:sz w:val="24"/>
          <w:szCs w:val="24"/>
          <w:lang w:val="es-ES_tradnl" w:eastAsia="es-ES"/>
        </w:rPr>
        <w:t>L</w:t>
      </w:r>
      <w:r w:rsidR="000F2554" w:rsidRPr="00CE4DDA">
        <w:rPr>
          <w:rFonts w:ascii="Arial" w:eastAsia="Times New Roman" w:hAnsi="Arial" w:cs="Arial"/>
          <w:bCs/>
          <w:sz w:val="24"/>
          <w:szCs w:val="24"/>
          <w:lang w:val="es-ES" w:eastAsia="es-ES"/>
        </w:rPr>
        <w:t xml:space="preserve">a personalidad </w:t>
      </w:r>
      <w:r w:rsidR="00B82B0D" w:rsidRPr="00CE4DDA">
        <w:rPr>
          <w:rFonts w:ascii="Arial" w:eastAsia="Times New Roman" w:hAnsi="Arial" w:cs="Arial"/>
          <w:bCs/>
          <w:sz w:val="24"/>
          <w:szCs w:val="24"/>
          <w:lang w:val="es-ES" w:eastAsia="es-ES"/>
        </w:rPr>
        <w:t xml:space="preserve">de </w:t>
      </w:r>
      <w:r w:rsidR="00556E3D">
        <w:rPr>
          <w:rFonts w:ascii="Arial" w:eastAsia="Times New Roman" w:hAnsi="Arial" w:cs="Arial"/>
          <w:bCs/>
          <w:sz w:val="24"/>
          <w:szCs w:val="24"/>
          <w:lang w:val="es-ES" w:eastAsia="es-ES"/>
        </w:rPr>
        <w:t>la parte actora la ostenta la licenciada</w:t>
      </w:r>
      <w:r w:rsidR="00B64448">
        <w:rPr>
          <w:rFonts w:ascii="Arial" w:eastAsia="Times New Roman" w:hAnsi="Arial" w:cs="Arial"/>
          <w:bCs/>
          <w:sz w:val="24"/>
          <w:szCs w:val="24"/>
          <w:lang w:val="es-ES" w:eastAsia="es-ES"/>
        </w:rPr>
        <w:t xml:space="preserve"> </w:t>
      </w:r>
      <w:r w:rsidR="00B64448">
        <w:rPr>
          <w:rFonts w:ascii="Arial" w:eastAsia="Times New Roman" w:hAnsi="Arial" w:cs="Arial"/>
          <w:bCs/>
          <w:iCs/>
          <w:caps/>
          <w:kern w:val="2"/>
          <w:sz w:val="24"/>
          <w:szCs w:val="24"/>
          <w:lang w:val="es-ES_tradnl" w:eastAsia="es-ES"/>
        </w:rPr>
        <w:t>**********</w:t>
      </w:r>
      <w:r w:rsidR="00556E3D">
        <w:rPr>
          <w:rFonts w:ascii="Arial" w:eastAsia="Times New Roman" w:hAnsi="Arial" w:cs="Arial"/>
          <w:bCs/>
          <w:sz w:val="24"/>
          <w:szCs w:val="24"/>
          <w:lang w:val="es-ES" w:eastAsia="es-ES"/>
        </w:rPr>
        <w:t xml:space="preserve">, </w:t>
      </w:r>
      <w:r w:rsidR="004B7517">
        <w:rPr>
          <w:rFonts w:ascii="Arial" w:eastAsia="Times New Roman" w:hAnsi="Arial" w:cs="Arial"/>
          <w:bCs/>
          <w:sz w:val="24"/>
          <w:szCs w:val="24"/>
          <w:lang w:val="es-ES" w:eastAsia="es-ES"/>
        </w:rPr>
        <w:t>exhibida</w:t>
      </w:r>
      <w:r w:rsidR="00556E3D">
        <w:rPr>
          <w:rFonts w:ascii="Arial" w:eastAsia="Times New Roman" w:hAnsi="Arial" w:cs="Arial"/>
          <w:bCs/>
          <w:sz w:val="24"/>
          <w:szCs w:val="24"/>
          <w:lang w:val="es-ES" w:eastAsia="es-ES"/>
        </w:rPr>
        <w:t xml:space="preserve"> </w:t>
      </w:r>
      <w:r w:rsidR="00B82B0D" w:rsidRPr="00CE4DDA">
        <w:rPr>
          <w:rFonts w:ascii="Arial" w:eastAsia="Times New Roman" w:hAnsi="Arial" w:cs="Arial"/>
          <w:bCs/>
          <w:sz w:val="24"/>
          <w:szCs w:val="24"/>
          <w:lang w:val="es-ES" w:eastAsia="es-ES"/>
        </w:rPr>
        <w:t xml:space="preserve">con la copia certificada </w:t>
      </w:r>
      <w:r w:rsidR="00556E3D">
        <w:rPr>
          <w:rFonts w:ascii="Arial" w:eastAsia="Times New Roman" w:hAnsi="Arial" w:cs="Arial"/>
          <w:bCs/>
          <w:sz w:val="24"/>
          <w:szCs w:val="24"/>
          <w:lang w:val="es-ES" w:eastAsia="es-ES"/>
        </w:rPr>
        <w:t>del instrumento público</w:t>
      </w:r>
      <w:r w:rsidR="00820C76">
        <w:rPr>
          <w:rFonts w:ascii="Arial" w:eastAsia="Times New Roman" w:hAnsi="Arial" w:cs="Arial"/>
          <w:bCs/>
          <w:sz w:val="24"/>
          <w:szCs w:val="24"/>
          <w:lang w:val="es-ES" w:eastAsia="es-ES"/>
        </w:rPr>
        <w:t xml:space="preserve"> </w:t>
      </w:r>
      <w:r w:rsidR="00B64448">
        <w:rPr>
          <w:rFonts w:ascii="Arial" w:eastAsia="Times New Roman" w:hAnsi="Arial" w:cs="Arial"/>
          <w:bCs/>
          <w:iCs/>
          <w:caps/>
          <w:kern w:val="2"/>
          <w:sz w:val="24"/>
          <w:szCs w:val="24"/>
          <w:lang w:val="es-ES_tradnl" w:eastAsia="es-ES"/>
        </w:rPr>
        <w:t xml:space="preserve">********** </w:t>
      </w:r>
      <w:r w:rsidR="00820C76">
        <w:rPr>
          <w:rFonts w:ascii="Arial" w:eastAsia="Times New Roman" w:hAnsi="Arial" w:cs="Arial"/>
          <w:bCs/>
          <w:sz w:val="24"/>
          <w:szCs w:val="24"/>
          <w:lang w:val="es-ES" w:eastAsia="es-ES"/>
        </w:rPr>
        <w:t>de</w:t>
      </w:r>
      <w:r w:rsidR="00D24AC5">
        <w:rPr>
          <w:rFonts w:ascii="Arial" w:eastAsia="Times New Roman" w:hAnsi="Arial" w:cs="Arial"/>
          <w:bCs/>
          <w:sz w:val="24"/>
          <w:szCs w:val="24"/>
          <w:lang w:val="es-ES" w:eastAsia="es-ES"/>
        </w:rPr>
        <w:t xml:space="preserve"> fecha</w:t>
      </w:r>
      <w:r w:rsidR="00820C76">
        <w:rPr>
          <w:rFonts w:ascii="Arial" w:eastAsia="Times New Roman" w:hAnsi="Arial" w:cs="Arial"/>
          <w:bCs/>
          <w:sz w:val="24"/>
          <w:szCs w:val="24"/>
          <w:lang w:val="es-ES" w:eastAsia="es-ES"/>
        </w:rPr>
        <w:t xml:space="preserve"> 10 de junio de 2016, </w:t>
      </w:r>
      <w:r w:rsidR="00B82B0D" w:rsidRPr="00CE4DDA">
        <w:rPr>
          <w:rFonts w:ascii="Arial" w:eastAsia="Times New Roman" w:hAnsi="Arial" w:cs="Arial"/>
          <w:bCs/>
          <w:sz w:val="24"/>
          <w:szCs w:val="24"/>
          <w:lang w:val="es-ES" w:eastAsia="es-ES"/>
        </w:rPr>
        <w:t xml:space="preserve">por Notario Público número </w:t>
      </w:r>
      <w:r w:rsidR="00B64448">
        <w:rPr>
          <w:rFonts w:ascii="Arial" w:eastAsia="Times New Roman" w:hAnsi="Arial" w:cs="Arial"/>
          <w:bCs/>
          <w:iCs/>
          <w:caps/>
          <w:kern w:val="2"/>
          <w:sz w:val="24"/>
          <w:szCs w:val="24"/>
          <w:lang w:val="es-ES_tradnl" w:eastAsia="es-ES"/>
        </w:rPr>
        <w:t>**********</w:t>
      </w:r>
      <w:r w:rsidR="00B82B0D" w:rsidRPr="00CE4DDA">
        <w:rPr>
          <w:rFonts w:ascii="Arial" w:eastAsia="Times New Roman" w:hAnsi="Arial" w:cs="Arial"/>
          <w:bCs/>
          <w:sz w:val="24"/>
          <w:szCs w:val="24"/>
          <w:lang w:val="es-ES" w:eastAsia="es-ES"/>
        </w:rPr>
        <w:t xml:space="preserve"> </w:t>
      </w:r>
      <w:r w:rsidR="00820C76">
        <w:rPr>
          <w:rFonts w:ascii="Arial" w:eastAsia="Times New Roman" w:hAnsi="Arial" w:cs="Arial"/>
          <w:bCs/>
          <w:sz w:val="24"/>
          <w:szCs w:val="24"/>
          <w:lang w:val="es-ES" w:eastAsia="es-ES"/>
        </w:rPr>
        <w:t>de la ciudad de México</w:t>
      </w:r>
      <w:r w:rsidR="004B7517">
        <w:rPr>
          <w:rFonts w:ascii="Arial" w:eastAsia="Times New Roman" w:hAnsi="Arial" w:cs="Arial"/>
          <w:bCs/>
          <w:sz w:val="24"/>
          <w:szCs w:val="24"/>
          <w:lang w:val="es-ES" w:eastAsia="es-ES"/>
        </w:rPr>
        <w:t>, por lo que</w:t>
      </w:r>
      <w:r w:rsidR="002D4C01" w:rsidRPr="00CE4DDA">
        <w:rPr>
          <w:rFonts w:ascii="Arial" w:eastAsia="Times New Roman" w:hAnsi="Arial" w:cs="Arial"/>
          <w:bCs/>
          <w:sz w:val="24"/>
          <w:szCs w:val="24"/>
          <w:lang w:val="es-ES" w:eastAsia="es-ES"/>
        </w:rPr>
        <w:t xml:space="preserve"> l</w:t>
      </w:r>
      <w:r w:rsidR="009605FD" w:rsidRPr="00CE4DDA">
        <w:rPr>
          <w:rFonts w:ascii="Arial" w:eastAsia="Times New Roman" w:hAnsi="Arial" w:cs="Arial"/>
          <w:sz w:val="24"/>
          <w:szCs w:val="24"/>
          <w:lang w:val="es-ES_tradnl" w:eastAsia="es-ES"/>
        </w:rPr>
        <w:t xml:space="preserve">a personalidad </w:t>
      </w:r>
      <w:r w:rsidR="002D4C01" w:rsidRPr="00CE4DDA">
        <w:rPr>
          <w:rFonts w:ascii="Arial" w:eastAsia="Times New Roman" w:hAnsi="Arial" w:cs="Arial"/>
          <w:sz w:val="24"/>
          <w:szCs w:val="24"/>
          <w:lang w:val="es-ES_tradnl" w:eastAsia="es-ES"/>
        </w:rPr>
        <w:t>de la</w:t>
      </w:r>
      <w:r w:rsidR="00F050A3" w:rsidRPr="00CE4DDA">
        <w:rPr>
          <w:rFonts w:ascii="Arial" w:eastAsia="Times New Roman" w:hAnsi="Arial" w:cs="Arial"/>
          <w:sz w:val="24"/>
          <w:szCs w:val="24"/>
          <w:lang w:val="es-ES_tradnl" w:eastAsia="es-ES"/>
        </w:rPr>
        <w:t xml:space="preserve"> parte </w:t>
      </w:r>
      <w:r w:rsidR="002D4C01" w:rsidRPr="00CE4DDA">
        <w:rPr>
          <w:rFonts w:ascii="Arial" w:eastAsia="Times New Roman" w:hAnsi="Arial" w:cs="Arial"/>
          <w:sz w:val="24"/>
          <w:szCs w:val="24"/>
          <w:lang w:val="es-ES_tradnl" w:eastAsia="es-ES"/>
        </w:rPr>
        <w:t xml:space="preserve">actora </w:t>
      </w:r>
      <w:r w:rsidR="00F050A3" w:rsidRPr="00CE4DDA">
        <w:rPr>
          <w:rFonts w:ascii="Arial" w:eastAsia="Times New Roman" w:hAnsi="Arial" w:cs="Arial"/>
          <w:sz w:val="24"/>
          <w:szCs w:val="24"/>
          <w:lang w:val="es-ES_tradnl" w:eastAsia="es-ES"/>
        </w:rPr>
        <w:t xml:space="preserve">quedó acreditada en términos del artículo </w:t>
      </w:r>
      <w:r w:rsidR="00360DAD" w:rsidRPr="00360DAD">
        <w:rPr>
          <w:rFonts w:ascii="Arial" w:eastAsia="Times New Roman" w:hAnsi="Arial" w:cs="Arial"/>
          <w:sz w:val="24"/>
          <w:szCs w:val="24"/>
          <w:lang w:val="es-ES_tradnl" w:eastAsia="es-ES"/>
        </w:rPr>
        <w:t>148 de la Ley de Procedimiento y Justicia Administrativa para el Estado de Oaxaca</w:t>
      </w:r>
      <w:r w:rsidR="00907FD0">
        <w:rPr>
          <w:rFonts w:ascii="Arial" w:eastAsia="Times New Roman" w:hAnsi="Arial" w:cs="Arial"/>
          <w:sz w:val="24"/>
          <w:szCs w:val="24"/>
          <w:lang w:val="es-ES_tradnl" w:eastAsia="es-ES"/>
        </w:rPr>
        <w:t xml:space="preserve">; </w:t>
      </w:r>
      <w:r w:rsidR="00C81688" w:rsidRPr="00CE4DDA">
        <w:rPr>
          <w:rFonts w:ascii="Arial" w:eastAsia="Times New Roman" w:hAnsi="Arial" w:cs="Arial"/>
          <w:sz w:val="24"/>
          <w:szCs w:val="24"/>
          <w:lang w:val="es-ES_tradnl" w:eastAsia="es-ES"/>
        </w:rPr>
        <w:t xml:space="preserve">por lo que respecta a </w:t>
      </w:r>
      <w:r w:rsidR="009605FD" w:rsidRPr="00CE4DDA">
        <w:rPr>
          <w:rFonts w:ascii="Arial" w:eastAsia="Times New Roman" w:hAnsi="Arial" w:cs="Arial"/>
          <w:b/>
          <w:sz w:val="24"/>
          <w:szCs w:val="24"/>
          <w:lang w:val="es-ES_tradnl" w:eastAsia="es-ES"/>
        </w:rPr>
        <w:t>la autoridad demandada</w:t>
      </w:r>
      <w:r w:rsidR="009605FD" w:rsidRPr="00CE4DDA">
        <w:rPr>
          <w:rFonts w:ascii="Arial" w:eastAsia="Times New Roman" w:hAnsi="Arial" w:cs="Arial"/>
          <w:sz w:val="24"/>
          <w:szCs w:val="24"/>
          <w:lang w:val="es-ES_tradnl" w:eastAsia="es-ES"/>
        </w:rPr>
        <w:t xml:space="preserve"> </w:t>
      </w:r>
      <w:r w:rsidR="00360DAD">
        <w:rPr>
          <w:rFonts w:ascii="Arial" w:eastAsia="Times New Roman" w:hAnsi="Arial" w:cs="Arial"/>
          <w:sz w:val="24"/>
          <w:szCs w:val="24"/>
          <w:lang w:val="es-ES_tradnl" w:eastAsia="es-ES"/>
        </w:rPr>
        <w:t xml:space="preserve">Presidente </w:t>
      </w:r>
      <w:r w:rsidR="00360DAD">
        <w:rPr>
          <w:rFonts w:ascii="Arial" w:eastAsia="Times New Roman" w:hAnsi="Arial" w:cs="Arial"/>
          <w:sz w:val="24"/>
          <w:szCs w:val="24"/>
          <w:lang w:val="es-ES_tradnl" w:eastAsia="es-ES"/>
        </w:rPr>
        <w:lastRenderedPageBreak/>
        <w:t xml:space="preserve">Municipal del Ayuntamiento </w:t>
      </w:r>
      <w:r w:rsidR="00230819" w:rsidRPr="00CE4DDA">
        <w:rPr>
          <w:rFonts w:ascii="Arial" w:eastAsia="Times New Roman" w:hAnsi="Arial" w:cs="Arial"/>
          <w:sz w:val="24"/>
          <w:szCs w:val="24"/>
          <w:lang w:val="es-ES_tradnl" w:eastAsia="es-ES"/>
        </w:rPr>
        <w:t>de Salina Cruz, Oaxaca,</w:t>
      </w:r>
      <w:r w:rsidR="00572CB2">
        <w:rPr>
          <w:rFonts w:ascii="Arial" w:eastAsia="Times New Roman" w:hAnsi="Arial" w:cs="Arial"/>
          <w:sz w:val="24"/>
          <w:szCs w:val="24"/>
          <w:lang w:val="es-ES_tradnl" w:eastAsia="es-ES"/>
        </w:rPr>
        <w:t xml:space="preserve"> no</w:t>
      </w:r>
      <w:r w:rsidR="00230819" w:rsidRPr="00CE4DDA">
        <w:rPr>
          <w:rFonts w:ascii="Arial" w:eastAsia="Times New Roman" w:hAnsi="Arial" w:cs="Arial"/>
          <w:sz w:val="24"/>
          <w:szCs w:val="24"/>
          <w:lang w:val="es-ES_tradnl" w:eastAsia="es-ES"/>
        </w:rPr>
        <w:t xml:space="preserve"> </w:t>
      </w:r>
      <w:r w:rsidR="00360DAD">
        <w:rPr>
          <w:rFonts w:ascii="Arial" w:eastAsia="Times New Roman" w:hAnsi="Arial" w:cs="Arial"/>
          <w:sz w:val="24"/>
          <w:szCs w:val="24"/>
          <w:lang w:val="es-ES" w:eastAsia="es-ES"/>
        </w:rPr>
        <w:t xml:space="preserve">se encuentra </w:t>
      </w:r>
      <w:r w:rsidR="00360DAD">
        <w:rPr>
          <w:rFonts w:ascii="Arial" w:eastAsia="Times New Roman" w:hAnsi="Arial" w:cs="Arial"/>
          <w:sz w:val="24"/>
          <w:szCs w:val="24"/>
          <w:lang w:val="es-ES_tradnl" w:eastAsia="es-ES"/>
        </w:rPr>
        <w:t xml:space="preserve">acreditada </w:t>
      </w:r>
      <w:r w:rsidR="002D34F7">
        <w:rPr>
          <w:rFonts w:ascii="Arial" w:eastAsia="Times New Roman" w:hAnsi="Arial" w:cs="Arial"/>
          <w:sz w:val="24"/>
          <w:szCs w:val="24"/>
          <w:lang w:val="es-ES_tradnl" w:eastAsia="es-ES"/>
        </w:rPr>
        <w:t xml:space="preserve">ya que se le tuvo contestando en sentido afirmativo la demanda de nulidad. </w:t>
      </w:r>
    </w:p>
    <w:p w14:paraId="5FA16C2A" w14:textId="77777777" w:rsidR="00DC36AE" w:rsidRPr="00B64448" w:rsidRDefault="00DC36AE" w:rsidP="006A1793">
      <w:pPr>
        <w:spacing w:after="0" w:line="360" w:lineRule="auto"/>
        <w:ind w:right="77" w:firstLine="567"/>
        <w:jc w:val="both"/>
        <w:rPr>
          <w:rFonts w:ascii="Arial" w:eastAsia="Times New Roman" w:hAnsi="Arial" w:cs="Arial"/>
          <w:b/>
          <w:sz w:val="24"/>
          <w:szCs w:val="24"/>
          <w:lang w:val="es-ES_tradnl" w:eastAsia="es-ES"/>
        </w:rPr>
      </w:pPr>
    </w:p>
    <w:p w14:paraId="4EBF5FD3" w14:textId="54F812B2" w:rsidR="00B45130" w:rsidRPr="00CE4DDA" w:rsidRDefault="00511C9B" w:rsidP="006A1793">
      <w:pPr>
        <w:spacing w:after="0" w:line="360" w:lineRule="auto"/>
        <w:ind w:right="77" w:firstLine="567"/>
        <w:jc w:val="both"/>
        <w:rPr>
          <w:rFonts w:ascii="Arial" w:eastAsia="Times New Roman" w:hAnsi="Arial" w:cs="Arial"/>
          <w:bCs/>
          <w:sz w:val="24"/>
          <w:szCs w:val="24"/>
          <w:lang w:eastAsia="es-ES"/>
        </w:rPr>
      </w:pPr>
      <w:r w:rsidRPr="00CE4DDA">
        <w:rPr>
          <w:rFonts w:ascii="Arial" w:eastAsia="Times New Roman" w:hAnsi="Arial" w:cs="Arial"/>
          <w:b/>
          <w:sz w:val="24"/>
          <w:szCs w:val="24"/>
          <w:lang w:val="es-ES_tradnl" w:eastAsia="es-ES"/>
        </w:rPr>
        <w:t xml:space="preserve">TERCERO. </w:t>
      </w:r>
      <w:r w:rsidR="006A1793" w:rsidRPr="00CE4DDA">
        <w:rPr>
          <w:rFonts w:ascii="Arial" w:eastAsia="Times New Roman" w:hAnsi="Arial" w:cs="Arial"/>
          <w:b/>
          <w:sz w:val="24"/>
          <w:szCs w:val="24"/>
          <w:lang w:val="es-ES_tradnl" w:eastAsia="es-ES"/>
        </w:rPr>
        <w:t>Causales de</w:t>
      </w:r>
      <w:r w:rsidR="006A1793" w:rsidRPr="00CE4DDA">
        <w:rPr>
          <w:rFonts w:ascii="Arial" w:eastAsia="Times New Roman" w:hAnsi="Arial" w:cs="Arial"/>
          <w:sz w:val="24"/>
          <w:szCs w:val="24"/>
          <w:lang w:val="es-ES_tradnl" w:eastAsia="es-ES"/>
        </w:rPr>
        <w:t xml:space="preserve"> </w:t>
      </w:r>
      <w:r w:rsidR="006A1793" w:rsidRPr="00CE4DDA">
        <w:rPr>
          <w:rFonts w:ascii="Arial" w:eastAsia="Times New Roman" w:hAnsi="Arial" w:cs="Arial"/>
          <w:b/>
          <w:sz w:val="24"/>
          <w:szCs w:val="24"/>
          <w:lang w:val="es-ES_tradnl" w:eastAsia="es-ES"/>
        </w:rPr>
        <w:t>improcedencia y sobreseimiento</w:t>
      </w:r>
      <w:r w:rsidR="006A1793" w:rsidRPr="00CE4DDA">
        <w:rPr>
          <w:rFonts w:ascii="Arial" w:eastAsia="Times New Roman" w:hAnsi="Arial" w:cs="Arial"/>
          <w:sz w:val="24"/>
          <w:szCs w:val="24"/>
          <w:lang w:val="es-ES_tradnl" w:eastAsia="es-ES"/>
        </w:rPr>
        <w:t xml:space="preserve">. </w:t>
      </w:r>
      <w:r w:rsidR="00EC4F32" w:rsidRPr="00CE4DDA">
        <w:rPr>
          <w:rFonts w:ascii="Arial" w:eastAsia="Times New Roman" w:hAnsi="Arial" w:cs="Arial"/>
          <w:sz w:val="24"/>
          <w:szCs w:val="24"/>
          <w:lang w:val="es-ES_tradnl" w:eastAsia="es-ES"/>
        </w:rPr>
        <w:t>P</w:t>
      </w:r>
      <w:r w:rsidR="006A1793" w:rsidRPr="00CE4DDA">
        <w:rPr>
          <w:rFonts w:ascii="Arial" w:eastAsia="Times New Roman" w:hAnsi="Arial" w:cs="Arial"/>
          <w:sz w:val="24"/>
          <w:szCs w:val="24"/>
          <w:lang w:val="es-ES_tradnl" w:eastAsia="es-ES"/>
        </w:rPr>
        <w:t>or ser</w:t>
      </w:r>
      <w:r w:rsidR="006A1793" w:rsidRPr="00CE4DDA">
        <w:rPr>
          <w:rFonts w:ascii="Arial" w:eastAsia="Times New Roman" w:hAnsi="Arial" w:cs="Arial"/>
          <w:b/>
          <w:sz w:val="24"/>
          <w:szCs w:val="24"/>
          <w:lang w:val="es-ES_tradnl" w:eastAsia="es-ES"/>
        </w:rPr>
        <w:t xml:space="preserve"> </w:t>
      </w:r>
      <w:r w:rsidR="006A1793" w:rsidRPr="00CE4DDA">
        <w:rPr>
          <w:rFonts w:ascii="Arial" w:eastAsia="Times New Roman" w:hAnsi="Arial" w:cs="Arial"/>
          <w:sz w:val="24"/>
          <w:szCs w:val="24"/>
          <w:lang w:val="es-ES_tradnl" w:eastAsia="es-ES"/>
        </w:rPr>
        <w:t xml:space="preserve">de orden </w:t>
      </w:r>
      <w:r w:rsidR="002D6E09" w:rsidRPr="00CE4DDA">
        <w:rPr>
          <w:rFonts w:ascii="Arial" w:eastAsia="Times New Roman" w:hAnsi="Arial" w:cs="Arial"/>
          <w:sz w:val="24"/>
          <w:szCs w:val="24"/>
          <w:lang w:val="es-ES_tradnl" w:eastAsia="es-ES"/>
        </w:rPr>
        <w:t xml:space="preserve">público y de estudio preferente </w:t>
      </w:r>
      <w:r w:rsidR="006A1793" w:rsidRPr="00CE4DDA">
        <w:rPr>
          <w:rFonts w:ascii="Arial" w:eastAsia="Times New Roman" w:hAnsi="Arial" w:cs="Arial"/>
          <w:sz w:val="24"/>
          <w:szCs w:val="24"/>
          <w:lang w:val="es-ES_tradnl" w:eastAsia="es-ES"/>
        </w:rPr>
        <w:t xml:space="preserve">esta Sala de oficio las examina, </w:t>
      </w:r>
      <w:r w:rsidR="006A1793" w:rsidRPr="00CE4DDA">
        <w:rPr>
          <w:rFonts w:ascii="Arial" w:eastAsia="Times New Roman" w:hAnsi="Arial" w:cs="Arial"/>
          <w:bCs/>
          <w:sz w:val="24"/>
          <w:szCs w:val="24"/>
          <w:lang w:eastAsia="es-ES"/>
        </w:rPr>
        <w:t xml:space="preserve">ya que de actualizarse las hipótesis normativas, ello impide la resolución del fondo del asunto y deberá decretarse su sobreseimiento, </w:t>
      </w:r>
      <w:r w:rsidR="00E11FA9">
        <w:rPr>
          <w:rFonts w:ascii="Arial" w:eastAsia="Times New Roman" w:hAnsi="Arial" w:cs="Arial"/>
          <w:bCs/>
          <w:sz w:val="24"/>
          <w:szCs w:val="24"/>
          <w:lang w:eastAsia="es-ES"/>
        </w:rPr>
        <w:t>en los términos de los artículos 161 y 162, de la ley de la materia.</w:t>
      </w:r>
    </w:p>
    <w:p w14:paraId="1ECBEFF4" w14:textId="77777777" w:rsidR="006A1793" w:rsidRPr="00CE4DDA" w:rsidRDefault="006A1793" w:rsidP="006A1793">
      <w:pPr>
        <w:spacing w:after="0" w:line="360" w:lineRule="auto"/>
        <w:ind w:right="77" w:firstLine="567"/>
        <w:jc w:val="both"/>
        <w:rPr>
          <w:rFonts w:ascii="Arial" w:eastAsia="Times New Roman" w:hAnsi="Arial" w:cs="Arial"/>
          <w:bCs/>
          <w:sz w:val="24"/>
          <w:szCs w:val="24"/>
          <w:lang w:eastAsia="es-ES"/>
        </w:rPr>
      </w:pPr>
    </w:p>
    <w:p w14:paraId="3C745837" w14:textId="77777777" w:rsidR="00E11FA9" w:rsidRDefault="00E11FA9" w:rsidP="00BE02DB">
      <w:pPr>
        <w:spacing w:after="0" w:line="360" w:lineRule="auto"/>
        <w:ind w:right="141" w:firstLine="567"/>
        <w:jc w:val="both"/>
        <w:rPr>
          <w:rFonts w:ascii="Arial" w:eastAsia="Times New Roman" w:hAnsi="Arial" w:cs="Arial"/>
          <w:b/>
          <w:bCs/>
          <w:sz w:val="24"/>
          <w:szCs w:val="24"/>
          <w:lang w:eastAsia="es-ES"/>
        </w:rPr>
      </w:pPr>
      <w:r>
        <w:rPr>
          <w:rFonts w:ascii="Arial" w:eastAsia="Times New Roman" w:hAnsi="Arial" w:cs="Arial"/>
          <w:bCs/>
          <w:sz w:val="24"/>
          <w:szCs w:val="24"/>
          <w:lang w:eastAsia="es-ES"/>
        </w:rPr>
        <w:t xml:space="preserve">Esta Juzgadora de autos advierte que no actualiza ninguna causal de improcedencia y sobreseimiento, por lo que, </w:t>
      </w:r>
      <w:r>
        <w:rPr>
          <w:rFonts w:ascii="Arial" w:eastAsia="Times New Roman" w:hAnsi="Arial" w:cs="Arial"/>
          <w:b/>
          <w:bCs/>
          <w:sz w:val="24"/>
          <w:szCs w:val="24"/>
          <w:lang w:eastAsia="es-ES"/>
        </w:rPr>
        <w:t>NO SE SOBRESEE EL JUICIO.</w:t>
      </w:r>
    </w:p>
    <w:p w14:paraId="5F8CCD86" w14:textId="77777777" w:rsidR="00313E53" w:rsidRPr="00CE4DDA" w:rsidRDefault="00313E53" w:rsidP="006A1793">
      <w:pPr>
        <w:spacing w:after="0" w:line="360" w:lineRule="auto"/>
        <w:ind w:right="77" w:firstLine="567"/>
        <w:jc w:val="both"/>
        <w:rPr>
          <w:rFonts w:ascii="Arial" w:eastAsia="Times New Roman" w:hAnsi="Arial" w:cs="Arial"/>
          <w:sz w:val="24"/>
          <w:szCs w:val="24"/>
          <w:lang w:eastAsia="es-ES"/>
        </w:rPr>
      </w:pPr>
    </w:p>
    <w:p w14:paraId="111D66E3" w14:textId="35E0E018" w:rsidR="006F535F" w:rsidRDefault="00AC2912" w:rsidP="003B371D">
      <w:pPr>
        <w:spacing w:after="0" w:line="360" w:lineRule="auto"/>
        <w:ind w:firstLine="567"/>
        <w:jc w:val="both"/>
        <w:rPr>
          <w:rFonts w:ascii="Arial" w:eastAsia="Times New Roman" w:hAnsi="Arial" w:cs="Arial"/>
          <w:sz w:val="24"/>
          <w:szCs w:val="24"/>
          <w:lang w:val="es-ES_tradnl" w:eastAsia="es-ES"/>
        </w:rPr>
      </w:pPr>
      <w:r w:rsidRPr="00CE4DDA">
        <w:rPr>
          <w:rFonts w:ascii="Arial" w:hAnsi="Arial" w:cs="Arial"/>
          <w:b/>
          <w:bCs/>
          <w:sz w:val="24"/>
          <w:szCs w:val="24"/>
        </w:rPr>
        <w:t>CUARTO</w:t>
      </w:r>
      <w:r w:rsidR="00FE2B09" w:rsidRPr="00CE4DDA">
        <w:rPr>
          <w:rFonts w:ascii="Arial" w:hAnsi="Arial" w:cs="Arial"/>
          <w:b/>
          <w:bCs/>
          <w:sz w:val="24"/>
          <w:szCs w:val="24"/>
        </w:rPr>
        <w:t>.</w:t>
      </w:r>
      <w:r w:rsidR="004544ED" w:rsidRPr="00CE4DDA">
        <w:rPr>
          <w:rFonts w:ascii="Arial" w:hAnsi="Arial" w:cs="Arial"/>
          <w:b/>
          <w:bCs/>
          <w:sz w:val="24"/>
          <w:szCs w:val="24"/>
        </w:rPr>
        <w:t xml:space="preserve"> </w:t>
      </w:r>
      <w:r w:rsidR="000B2996" w:rsidRPr="00CE4DDA">
        <w:rPr>
          <w:rFonts w:ascii="Arial" w:eastAsia="Times New Roman" w:hAnsi="Arial" w:cs="Arial"/>
          <w:b/>
          <w:sz w:val="24"/>
          <w:szCs w:val="24"/>
          <w:lang w:val="es-ES_tradnl" w:eastAsia="es-ES"/>
        </w:rPr>
        <w:t>La</w:t>
      </w:r>
      <w:r w:rsidR="00E95048" w:rsidRPr="00CE4DDA">
        <w:rPr>
          <w:rFonts w:ascii="Arial" w:eastAsia="Times New Roman" w:hAnsi="Arial" w:cs="Arial"/>
          <w:b/>
          <w:sz w:val="24"/>
          <w:szCs w:val="24"/>
          <w:lang w:val="es-ES_tradnl" w:eastAsia="es-ES"/>
        </w:rPr>
        <w:t xml:space="preserve"> </w:t>
      </w:r>
      <w:r w:rsidR="00303CE2">
        <w:rPr>
          <w:rFonts w:ascii="Arial" w:eastAsia="Times New Roman" w:hAnsi="Arial" w:cs="Arial"/>
          <w:b/>
          <w:sz w:val="24"/>
          <w:szCs w:val="24"/>
          <w:lang w:val="es-ES_tradnl" w:eastAsia="es-ES"/>
        </w:rPr>
        <w:t xml:space="preserve">parte </w:t>
      </w:r>
      <w:r w:rsidR="00E95048" w:rsidRPr="00CE4DDA">
        <w:rPr>
          <w:rFonts w:ascii="Arial" w:eastAsia="Times New Roman" w:hAnsi="Arial" w:cs="Arial"/>
          <w:b/>
          <w:sz w:val="24"/>
          <w:szCs w:val="24"/>
          <w:lang w:val="es-ES_tradnl" w:eastAsia="es-ES"/>
        </w:rPr>
        <w:t>actor</w:t>
      </w:r>
      <w:r w:rsidR="000B2996" w:rsidRPr="00CE4DDA">
        <w:rPr>
          <w:rFonts w:ascii="Arial" w:eastAsia="Times New Roman" w:hAnsi="Arial" w:cs="Arial"/>
          <w:b/>
          <w:sz w:val="24"/>
          <w:szCs w:val="24"/>
          <w:lang w:val="es-ES_tradnl" w:eastAsia="es-ES"/>
        </w:rPr>
        <w:t>a</w:t>
      </w:r>
      <w:r w:rsidR="00E95048" w:rsidRPr="00CE4DDA">
        <w:rPr>
          <w:rFonts w:ascii="Arial" w:eastAsia="Times New Roman" w:hAnsi="Arial" w:cs="Arial"/>
          <w:b/>
          <w:sz w:val="24"/>
          <w:szCs w:val="24"/>
          <w:lang w:val="es-ES_tradnl" w:eastAsia="es-ES"/>
        </w:rPr>
        <w:t xml:space="preserve"> </w:t>
      </w:r>
      <w:r w:rsidR="000B2996" w:rsidRPr="00CE4DDA">
        <w:rPr>
          <w:rFonts w:ascii="Arial" w:eastAsia="Times New Roman" w:hAnsi="Arial" w:cs="Arial"/>
          <w:sz w:val="24"/>
          <w:szCs w:val="24"/>
          <w:lang w:val="es-ES_tradnl" w:eastAsia="es-ES"/>
        </w:rPr>
        <w:t xml:space="preserve">demandó la nulidad </w:t>
      </w:r>
      <w:r w:rsidR="006F535F">
        <w:rPr>
          <w:rFonts w:ascii="Arial" w:eastAsia="Times New Roman" w:hAnsi="Arial" w:cs="Arial"/>
          <w:sz w:val="24"/>
          <w:szCs w:val="24"/>
          <w:lang w:val="es-ES_tradnl" w:eastAsia="es-ES"/>
        </w:rPr>
        <w:t>de la resolución</w:t>
      </w:r>
      <w:r w:rsidR="000B2996" w:rsidRPr="00CE4DDA">
        <w:rPr>
          <w:rFonts w:ascii="Arial" w:eastAsia="Times New Roman" w:hAnsi="Arial" w:cs="Arial"/>
          <w:sz w:val="24"/>
          <w:szCs w:val="24"/>
          <w:lang w:val="es-ES_tradnl" w:eastAsia="es-ES"/>
        </w:rPr>
        <w:t xml:space="preserve"> </w:t>
      </w:r>
      <w:r w:rsidR="003E362A" w:rsidRPr="00CE4DDA">
        <w:rPr>
          <w:rFonts w:ascii="Arial" w:eastAsia="Times New Roman" w:hAnsi="Arial" w:cs="Arial"/>
          <w:sz w:val="24"/>
          <w:szCs w:val="24"/>
          <w:lang w:val="es-ES_tradnl" w:eastAsia="es-ES"/>
        </w:rPr>
        <w:t xml:space="preserve">oficio número </w:t>
      </w:r>
      <w:r w:rsidR="00B64448">
        <w:rPr>
          <w:rFonts w:ascii="Arial" w:eastAsia="Times New Roman" w:hAnsi="Arial" w:cs="Arial"/>
          <w:bCs/>
          <w:iCs/>
          <w:caps/>
          <w:kern w:val="2"/>
          <w:sz w:val="24"/>
          <w:szCs w:val="24"/>
          <w:lang w:val="es-ES_tradnl" w:eastAsia="es-ES"/>
        </w:rPr>
        <w:t>**********</w:t>
      </w:r>
      <w:r w:rsidR="003E362A" w:rsidRPr="00CE4DDA">
        <w:rPr>
          <w:rFonts w:ascii="Arial" w:eastAsia="Times New Roman" w:hAnsi="Arial" w:cs="Arial"/>
          <w:sz w:val="24"/>
          <w:szCs w:val="24"/>
          <w:lang w:val="es-ES_tradnl" w:eastAsia="es-ES"/>
        </w:rPr>
        <w:t xml:space="preserve">, de </w:t>
      </w:r>
      <w:r w:rsidR="00303CE2">
        <w:rPr>
          <w:rFonts w:ascii="Arial" w:eastAsia="Times New Roman" w:hAnsi="Arial" w:cs="Arial"/>
          <w:sz w:val="24"/>
          <w:szCs w:val="24"/>
          <w:lang w:val="es-ES_tradnl" w:eastAsia="es-ES"/>
        </w:rPr>
        <w:t xml:space="preserve">fecha </w:t>
      </w:r>
      <w:r w:rsidR="00660A87">
        <w:rPr>
          <w:rFonts w:ascii="Arial" w:eastAsia="Times New Roman" w:hAnsi="Arial" w:cs="Arial"/>
          <w:sz w:val="24"/>
          <w:szCs w:val="24"/>
          <w:lang w:val="es-ES_tradnl" w:eastAsia="es-ES"/>
        </w:rPr>
        <w:t>catorce</w:t>
      </w:r>
      <w:r w:rsidR="00303CE2">
        <w:rPr>
          <w:rFonts w:ascii="Arial" w:eastAsia="Times New Roman" w:hAnsi="Arial" w:cs="Arial"/>
          <w:sz w:val="24"/>
          <w:szCs w:val="24"/>
          <w:lang w:val="es-ES_tradnl" w:eastAsia="es-ES"/>
        </w:rPr>
        <w:t xml:space="preserve"> de septiembre del año dos mil veinte</w:t>
      </w:r>
      <w:r w:rsidR="003E362A" w:rsidRPr="00CE4DDA">
        <w:rPr>
          <w:rFonts w:ascii="Arial" w:eastAsia="Times New Roman" w:hAnsi="Arial" w:cs="Arial"/>
          <w:sz w:val="24"/>
          <w:szCs w:val="24"/>
          <w:lang w:val="es-ES_tradnl" w:eastAsia="es-ES"/>
        </w:rPr>
        <w:t xml:space="preserve">, emitido por el </w:t>
      </w:r>
      <w:r w:rsidR="00303CE2">
        <w:rPr>
          <w:rFonts w:ascii="Arial" w:eastAsia="Times New Roman" w:hAnsi="Arial" w:cs="Arial"/>
          <w:sz w:val="24"/>
          <w:szCs w:val="24"/>
          <w:lang w:val="es-ES_tradnl" w:eastAsia="es-ES"/>
        </w:rPr>
        <w:t>Presidente</w:t>
      </w:r>
      <w:r w:rsidR="00596EA4" w:rsidRPr="00CE4DDA">
        <w:rPr>
          <w:rFonts w:ascii="Arial" w:eastAsia="Times New Roman" w:hAnsi="Arial" w:cs="Arial"/>
          <w:sz w:val="24"/>
          <w:szCs w:val="24"/>
          <w:lang w:val="es-ES_tradnl" w:eastAsia="es-ES"/>
        </w:rPr>
        <w:t xml:space="preserve"> Municipal </w:t>
      </w:r>
      <w:r w:rsidR="00303CE2">
        <w:rPr>
          <w:rFonts w:ascii="Arial" w:eastAsia="Times New Roman" w:hAnsi="Arial" w:cs="Arial"/>
          <w:sz w:val="24"/>
          <w:szCs w:val="24"/>
          <w:lang w:val="es-ES_tradnl" w:eastAsia="es-ES"/>
        </w:rPr>
        <w:t>del Honorable</w:t>
      </w:r>
      <w:r w:rsidR="00655975">
        <w:rPr>
          <w:rFonts w:ascii="Arial" w:eastAsia="Times New Roman" w:hAnsi="Arial" w:cs="Arial"/>
          <w:sz w:val="24"/>
          <w:szCs w:val="24"/>
          <w:lang w:val="es-ES_tradnl" w:eastAsia="es-ES"/>
        </w:rPr>
        <w:t xml:space="preserve"> Ayuntamiento </w:t>
      </w:r>
      <w:r w:rsidR="00596EA4" w:rsidRPr="00CE4DDA">
        <w:rPr>
          <w:rFonts w:ascii="Arial" w:eastAsia="Times New Roman" w:hAnsi="Arial" w:cs="Arial"/>
          <w:sz w:val="24"/>
          <w:szCs w:val="24"/>
          <w:lang w:val="es-ES_tradnl" w:eastAsia="es-ES"/>
        </w:rPr>
        <w:t xml:space="preserve">de Salina Cruz, Oaxaca, </w:t>
      </w:r>
      <w:r w:rsidR="006F535F">
        <w:rPr>
          <w:rFonts w:ascii="Arial" w:eastAsia="Times New Roman" w:hAnsi="Arial" w:cs="Arial"/>
          <w:sz w:val="24"/>
          <w:szCs w:val="24"/>
          <w:lang w:val="es-ES_tradnl" w:eastAsia="es-ES"/>
        </w:rPr>
        <w:t>mediante</w:t>
      </w:r>
      <w:r w:rsidR="0059151D" w:rsidRPr="00CE4DDA">
        <w:rPr>
          <w:rFonts w:ascii="Arial" w:eastAsia="Times New Roman" w:hAnsi="Arial" w:cs="Arial"/>
          <w:sz w:val="24"/>
          <w:szCs w:val="24"/>
          <w:lang w:val="es-ES_tradnl" w:eastAsia="es-ES"/>
        </w:rPr>
        <w:t xml:space="preserve"> el cual </w:t>
      </w:r>
      <w:r w:rsidR="00655975">
        <w:rPr>
          <w:rFonts w:ascii="Arial" w:eastAsia="Times New Roman" w:hAnsi="Arial" w:cs="Arial"/>
          <w:sz w:val="24"/>
          <w:szCs w:val="24"/>
          <w:lang w:val="es-ES_tradnl" w:eastAsia="es-ES"/>
        </w:rPr>
        <w:t>da cumplimiento a la sentencia</w:t>
      </w:r>
      <w:r w:rsidR="0059151D" w:rsidRPr="00CE4DDA">
        <w:rPr>
          <w:rFonts w:ascii="Arial" w:eastAsia="Times New Roman" w:hAnsi="Arial" w:cs="Arial"/>
          <w:sz w:val="24"/>
          <w:szCs w:val="24"/>
          <w:lang w:val="es-ES_tradnl" w:eastAsia="es-ES"/>
        </w:rPr>
        <w:t xml:space="preserve"> </w:t>
      </w:r>
      <w:r w:rsidR="006F535F">
        <w:rPr>
          <w:rFonts w:ascii="Arial" w:eastAsia="Times New Roman" w:hAnsi="Arial" w:cs="Arial"/>
          <w:sz w:val="24"/>
          <w:szCs w:val="24"/>
          <w:lang w:val="es-ES_tradnl" w:eastAsia="es-ES"/>
        </w:rPr>
        <w:t>recaída en el expediente</w:t>
      </w:r>
      <w:r w:rsidR="003423CB">
        <w:rPr>
          <w:rFonts w:ascii="Arial" w:eastAsia="Times New Roman" w:hAnsi="Arial" w:cs="Arial"/>
          <w:sz w:val="24"/>
          <w:szCs w:val="24"/>
          <w:lang w:val="es-ES_tradnl" w:eastAsia="es-ES"/>
        </w:rPr>
        <w:t xml:space="preserve"> </w:t>
      </w:r>
      <w:r w:rsidR="00B64448">
        <w:rPr>
          <w:rFonts w:ascii="Arial" w:eastAsia="Times New Roman" w:hAnsi="Arial" w:cs="Arial"/>
          <w:bCs/>
          <w:iCs/>
          <w:caps/>
          <w:kern w:val="2"/>
          <w:sz w:val="24"/>
          <w:szCs w:val="24"/>
          <w:lang w:val="es-ES_tradnl" w:eastAsia="es-ES"/>
        </w:rPr>
        <w:t>**********</w:t>
      </w:r>
      <w:r w:rsidR="003423CB">
        <w:rPr>
          <w:rFonts w:ascii="Arial" w:eastAsia="Times New Roman" w:hAnsi="Arial" w:cs="Arial"/>
          <w:sz w:val="24"/>
          <w:szCs w:val="24"/>
          <w:lang w:val="es-ES_tradnl" w:eastAsia="es-ES"/>
        </w:rPr>
        <w:t xml:space="preserve">, del índice de la </w:t>
      </w:r>
      <w:r w:rsidR="00444040">
        <w:rPr>
          <w:rFonts w:ascii="Arial" w:eastAsia="Times New Roman" w:hAnsi="Arial" w:cs="Arial"/>
          <w:sz w:val="24"/>
          <w:szCs w:val="24"/>
          <w:lang w:val="es-ES_tradnl" w:eastAsia="es-ES"/>
        </w:rPr>
        <w:t xml:space="preserve">Quinta Sala Unitaria de Primera Instancia de este Tribunal, en el que refiere la actualización de los estados de cuentas prediales con números </w:t>
      </w:r>
      <w:r w:rsidR="00B64448">
        <w:rPr>
          <w:rFonts w:ascii="Arial" w:eastAsia="Times New Roman" w:hAnsi="Arial" w:cs="Arial"/>
          <w:bCs/>
          <w:iCs/>
          <w:caps/>
          <w:kern w:val="2"/>
          <w:sz w:val="24"/>
          <w:szCs w:val="24"/>
          <w:lang w:val="es-ES_tradnl" w:eastAsia="es-ES"/>
        </w:rPr>
        <w:t>**********</w:t>
      </w:r>
      <w:r w:rsidR="00444040">
        <w:rPr>
          <w:rFonts w:ascii="Arial" w:eastAsia="Times New Roman" w:hAnsi="Arial" w:cs="Arial"/>
          <w:sz w:val="24"/>
          <w:szCs w:val="24"/>
          <w:lang w:val="es-ES_tradnl" w:eastAsia="es-ES"/>
        </w:rPr>
        <w:t xml:space="preserve"> y </w:t>
      </w:r>
      <w:r w:rsidR="00B64448">
        <w:rPr>
          <w:rFonts w:ascii="Arial" w:eastAsia="Times New Roman" w:hAnsi="Arial" w:cs="Arial"/>
          <w:bCs/>
          <w:iCs/>
          <w:caps/>
          <w:kern w:val="2"/>
          <w:sz w:val="24"/>
          <w:szCs w:val="24"/>
          <w:lang w:val="es-ES_tradnl" w:eastAsia="es-ES"/>
        </w:rPr>
        <w:t>**********</w:t>
      </w:r>
      <w:r w:rsidR="00444040">
        <w:rPr>
          <w:rFonts w:ascii="Arial" w:eastAsia="Times New Roman" w:hAnsi="Arial" w:cs="Arial"/>
          <w:sz w:val="24"/>
          <w:szCs w:val="24"/>
          <w:lang w:val="es-ES_tradnl" w:eastAsia="es-ES"/>
        </w:rPr>
        <w:t xml:space="preserve"> pertenecientes a Pemex Transformación Industrial</w:t>
      </w:r>
      <w:r w:rsidR="000F3898">
        <w:rPr>
          <w:rFonts w:ascii="Arial" w:eastAsia="Times New Roman" w:hAnsi="Arial" w:cs="Arial"/>
          <w:sz w:val="24"/>
          <w:szCs w:val="24"/>
          <w:lang w:val="es-ES_tradnl" w:eastAsia="es-ES"/>
        </w:rPr>
        <w:t>, correspondientes a los ejercicios fiscales de los años 2015 al 2020, cuya suma de ambas cuentas prediales es de $13,473,291.03 (trece millones cuatrocientos setenta y tres mil doscientos novena y un pesos 03/100 M.N.)</w:t>
      </w:r>
    </w:p>
    <w:p w14:paraId="6E468B68" w14:textId="77777777" w:rsidR="006F535F" w:rsidRDefault="006F535F" w:rsidP="003B371D">
      <w:pPr>
        <w:spacing w:after="0" w:line="360" w:lineRule="auto"/>
        <w:ind w:firstLine="567"/>
        <w:jc w:val="both"/>
        <w:rPr>
          <w:rFonts w:ascii="Arial" w:eastAsia="Times New Roman" w:hAnsi="Arial" w:cs="Arial"/>
          <w:sz w:val="24"/>
          <w:szCs w:val="24"/>
          <w:lang w:val="es-ES_tradnl" w:eastAsia="es-ES"/>
        </w:rPr>
      </w:pPr>
    </w:p>
    <w:p w14:paraId="2A5FD466" w14:textId="067EBAC7" w:rsidR="009C4E48" w:rsidRPr="00CE4DDA" w:rsidRDefault="00940160" w:rsidP="00236E58">
      <w:pPr>
        <w:spacing w:after="0" w:line="360" w:lineRule="auto"/>
        <w:ind w:right="51" w:firstLine="567"/>
        <w:jc w:val="both"/>
        <w:rPr>
          <w:rFonts w:ascii="Arial" w:hAnsi="Arial" w:cs="Arial"/>
          <w:bCs/>
          <w:sz w:val="24"/>
          <w:szCs w:val="24"/>
        </w:rPr>
      </w:pPr>
      <w:r w:rsidRPr="00CE4DDA">
        <w:rPr>
          <w:rFonts w:ascii="Arial" w:hAnsi="Arial" w:cs="Arial"/>
          <w:bCs/>
          <w:sz w:val="24"/>
          <w:szCs w:val="24"/>
        </w:rPr>
        <w:t>Ofreciendo como pruebas las siguientes:</w:t>
      </w:r>
      <w:r w:rsidR="009C4E48" w:rsidRPr="00CE4DDA">
        <w:rPr>
          <w:rFonts w:ascii="Arial" w:hAnsi="Arial" w:cs="Arial"/>
          <w:bCs/>
          <w:sz w:val="24"/>
          <w:szCs w:val="24"/>
        </w:rPr>
        <w:t xml:space="preserve"> </w:t>
      </w:r>
      <w:r w:rsidR="001D2E32">
        <w:rPr>
          <w:rFonts w:ascii="Arial" w:eastAsia="Times New Roman" w:hAnsi="Arial" w:cs="Arial"/>
          <w:sz w:val="24"/>
          <w:szCs w:val="24"/>
          <w:lang w:val="es-ES_tradnl" w:eastAsia="es-ES"/>
        </w:rPr>
        <w:t xml:space="preserve">1. Documental pública. Consistentes en el original del oficio </w:t>
      </w:r>
      <w:bookmarkStart w:id="0" w:name="_GoBack"/>
      <w:bookmarkEnd w:id="0"/>
      <w:r w:rsidR="001D2E32">
        <w:rPr>
          <w:rFonts w:ascii="Arial" w:eastAsia="Times New Roman" w:hAnsi="Arial" w:cs="Arial"/>
          <w:sz w:val="24"/>
          <w:szCs w:val="24"/>
          <w:lang w:val="es-ES_tradnl" w:eastAsia="es-ES"/>
        </w:rPr>
        <w:t xml:space="preserve">número </w:t>
      </w:r>
      <w:r w:rsidR="00B64448">
        <w:rPr>
          <w:rFonts w:ascii="Arial" w:eastAsia="Times New Roman" w:hAnsi="Arial" w:cs="Arial"/>
          <w:bCs/>
          <w:iCs/>
          <w:caps/>
          <w:kern w:val="2"/>
          <w:sz w:val="24"/>
          <w:szCs w:val="24"/>
          <w:lang w:val="es-ES_tradnl" w:eastAsia="es-ES"/>
        </w:rPr>
        <w:t xml:space="preserve">********** </w:t>
      </w:r>
      <w:r w:rsidR="001D2E32">
        <w:rPr>
          <w:rFonts w:ascii="Arial" w:eastAsia="Times New Roman" w:hAnsi="Arial" w:cs="Arial"/>
          <w:sz w:val="24"/>
          <w:szCs w:val="24"/>
          <w:lang w:val="es-ES_tradnl" w:eastAsia="es-ES"/>
        </w:rPr>
        <w:t xml:space="preserve">de catorce de septiembre de dos mil veinte, emitido por el Presidente Municipal del Honorable Ayuntamiento Constitucional del Municipio de Salina Cruz, Oaxaca; 2. Documental privada. Consistente en la copia simple del acuse de recepción del oficio número </w:t>
      </w:r>
      <w:r w:rsidR="00B64448">
        <w:rPr>
          <w:rFonts w:ascii="Arial" w:eastAsia="Times New Roman" w:hAnsi="Arial" w:cs="Arial"/>
          <w:bCs/>
          <w:iCs/>
          <w:caps/>
          <w:kern w:val="2"/>
          <w:sz w:val="24"/>
          <w:szCs w:val="24"/>
          <w:lang w:val="es-ES_tradnl" w:eastAsia="es-ES"/>
        </w:rPr>
        <w:t>**********</w:t>
      </w:r>
      <w:r w:rsidR="001D2E32">
        <w:rPr>
          <w:rFonts w:ascii="Arial" w:eastAsia="Times New Roman" w:hAnsi="Arial" w:cs="Arial"/>
          <w:sz w:val="24"/>
          <w:szCs w:val="24"/>
          <w:lang w:val="es-ES_tradnl" w:eastAsia="es-ES"/>
        </w:rPr>
        <w:t xml:space="preserve">, de veintiséis de febrero de dos mil dieciséis, con sello de recepción de fecha veintiséis de febrero de dos mil dieciséis; 3. Documenta privada. Consistente en copia simple del oficio número </w:t>
      </w:r>
      <w:r w:rsidR="00B64448">
        <w:rPr>
          <w:rFonts w:ascii="Arial" w:eastAsia="Times New Roman" w:hAnsi="Arial" w:cs="Arial"/>
          <w:bCs/>
          <w:iCs/>
          <w:caps/>
          <w:kern w:val="2"/>
          <w:sz w:val="24"/>
          <w:szCs w:val="24"/>
          <w:lang w:val="es-ES_tradnl" w:eastAsia="es-ES"/>
        </w:rPr>
        <w:t>**********</w:t>
      </w:r>
      <w:r w:rsidR="001D2E32">
        <w:rPr>
          <w:rFonts w:ascii="Arial" w:eastAsia="Times New Roman" w:hAnsi="Arial" w:cs="Arial"/>
          <w:sz w:val="24"/>
          <w:szCs w:val="24"/>
          <w:lang w:val="es-ES_tradnl" w:eastAsia="es-ES"/>
        </w:rPr>
        <w:t xml:space="preserve">, de diecinueve de mayo de dos mil dieciséis, emitido por la entonces Presidenta Municipal de Salina Cruz Oaxaca; 4. Documental Privada. Consistente en copia simple de la sentencia de fecha veintitrés de octubre de dos mil diecisiete, emitida por la Quinta Sala Unitaria de Primera instancia del entonces Tribunal de la Contencioso Administrativo y de Cuentas del Poder Judicial del Estado, en el Expediente </w:t>
      </w:r>
      <w:r w:rsidR="00B64448">
        <w:rPr>
          <w:rFonts w:ascii="Arial" w:eastAsia="Times New Roman" w:hAnsi="Arial" w:cs="Arial"/>
          <w:bCs/>
          <w:iCs/>
          <w:caps/>
          <w:kern w:val="2"/>
          <w:sz w:val="24"/>
          <w:szCs w:val="24"/>
          <w:lang w:val="es-ES_tradnl" w:eastAsia="es-ES"/>
        </w:rPr>
        <w:t>**********</w:t>
      </w:r>
      <w:r w:rsidR="001D2E32">
        <w:rPr>
          <w:rFonts w:ascii="Arial" w:eastAsia="Times New Roman" w:hAnsi="Arial" w:cs="Arial"/>
          <w:sz w:val="24"/>
          <w:szCs w:val="24"/>
          <w:lang w:val="es-ES_tradnl" w:eastAsia="es-ES"/>
        </w:rPr>
        <w:t xml:space="preserve">, de su índice; 5. Documental privada. Consistentes en copias simples de las </w:t>
      </w:r>
      <w:r w:rsidR="001D2E32">
        <w:rPr>
          <w:rFonts w:ascii="Arial" w:eastAsia="Times New Roman" w:hAnsi="Arial" w:cs="Arial"/>
          <w:sz w:val="24"/>
          <w:szCs w:val="24"/>
          <w:lang w:val="es-ES_tradnl" w:eastAsia="es-ES"/>
        </w:rPr>
        <w:lastRenderedPageBreak/>
        <w:t xml:space="preserve">facturas números </w:t>
      </w:r>
      <w:r w:rsidR="00B64448">
        <w:rPr>
          <w:rFonts w:ascii="Arial" w:eastAsia="Times New Roman" w:hAnsi="Arial" w:cs="Arial"/>
          <w:bCs/>
          <w:iCs/>
          <w:caps/>
          <w:kern w:val="2"/>
          <w:sz w:val="24"/>
          <w:szCs w:val="24"/>
          <w:lang w:val="es-ES_tradnl" w:eastAsia="es-ES"/>
        </w:rPr>
        <w:t xml:space="preserve">********** </w:t>
      </w:r>
      <w:r w:rsidR="001D2E32">
        <w:rPr>
          <w:rFonts w:ascii="Arial" w:eastAsia="Times New Roman" w:hAnsi="Arial" w:cs="Arial"/>
          <w:sz w:val="24"/>
          <w:szCs w:val="24"/>
          <w:lang w:val="es-ES_tradnl" w:eastAsia="es-ES"/>
        </w:rPr>
        <w:t xml:space="preserve">y </w:t>
      </w:r>
      <w:r w:rsidR="00B64448">
        <w:rPr>
          <w:rFonts w:ascii="Arial" w:eastAsia="Times New Roman" w:hAnsi="Arial" w:cs="Arial"/>
          <w:bCs/>
          <w:iCs/>
          <w:caps/>
          <w:kern w:val="2"/>
          <w:sz w:val="24"/>
          <w:szCs w:val="24"/>
          <w:lang w:val="es-ES_tradnl" w:eastAsia="es-ES"/>
        </w:rPr>
        <w:t>**********</w:t>
      </w:r>
      <w:r w:rsidR="001D2E32">
        <w:rPr>
          <w:rFonts w:ascii="Arial" w:eastAsia="Times New Roman" w:hAnsi="Arial" w:cs="Arial"/>
          <w:sz w:val="24"/>
          <w:szCs w:val="24"/>
          <w:lang w:val="es-ES_tradnl" w:eastAsia="es-ES"/>
        </w:rPr>
        <w:t xml:space="preserve">, de fechas veinticinco de febrero de dos mil quince, relativas a los pagos realizados por Pemex Transformación Industrial, respecto de las cuentas prediales número </w:t>
      </w:r>
      <w:r w:rsidR="00B64448">
        <w:rPr>
          <w:rFonts w:ascii="Arial" w:eastAsia="Times New Roman" w:hAnsi="Arial" w:cs="Arial"/>
          <w:bCs/>
          <w:iCs/>
          <w:caps/>
          <w:kern w:val="2"/>
          <w:sz w:val="24"/>
          <w:szCs w:val="24"/>
          <w:lang w:val="es-ES_tradnl" w:eastAsia="es-ES"/>
        </w:rPr>
        <w:t>**********</w:t>
      </w:r>
      <w:r w:rsidR="001D2E32">
        <w:rPr>
          <w:rFonts w:ascii="Arial" w:eastAsia="Times New Roman" w:hAnsi="Arial" w:cs="Arial"/>
          <w:sz w:val="24"/>
          <w:szCs w:val="24"/>
          <w:lang w:val="es-ES_tradnl" w:eastAsia="es-ES"/>
        </w:rPr>
        <w:t xml:space="preserve"> y </w:t>
      </w:r>
      <w:r w:rsidR="00B64448">
        <w:rPr>
          <w:rFonts w:ascii="Arial" w:eastAsia="Times New Roman" w:hAnsi="Arial" w:cs="Arial"/>
          <w:bCs/>
          <w:iCs/>
          <w:caps/>
          <w:kern w:val="2"/>
          <w:sz w:val="24"/>
          <w:szCs w:val="24"/>
          <w:lang w:val="es-ES_tradnl" w:eastAsia="es-ES"/>
        </w:rPr>
        <w:t>**********</w:t>
      </w:r>
      <w:r w:rsidR="001D2E32">
        <w:rPr>
          <w:rFonts w:ascii="Arial" w:eastAsia="Times New Roman" w:hAnsi="Arial" w:cs="Arial"/>
          <w:sz w:val="24"/>
          <w:szCs w:val="24"/>
          <w:lang w:val="es-ES_tradnl" w:eastAsia="es-ES"/>
        </w:rPr>
        <w:t>; 6. La instrumental de actuaciones; y 7. La presuncional legal y humana.</w:t>
      </w:r>
    </w:p>
    <w:p w14:paraId="39642120" w14:textId="77777777" w:rsidR="00B81521" w:rsidRPr="00CE4DDA" w:rsidRDefault="00B81521" w:rsidP="006944C4">
      <w:pPr>
        <w:spacing w:after="0" w:line="360" w:lineRule="auto"/>
        <w:ind w:right="51" w:firstLine="567"/>
        <w:jc w:val="both"/>
        <w:rPr>
          <w:rFonts w:ascii="Arial" w:hAnsi="Arial" w:cs="Arial"/>
          <w:bCs/>
          <w:sz w:val="24"/>
          <w:szCs w:val="24"/>
        </w:rPr>
      </w:pPr>
    </w:p>
    <w:p w14:paraId="51579AD2" w14:textId="7F7B1863" w:rsidR="005848DE" w:rsidRDefault="00D03ADC" w:rsidP="00647E43">
      <w:pPr>
        <w:spacing w:after="0" w:line="360" w:lineRule="auto"/>
        <w:ind w:right="51" w:firstLine="567"/>
        <w:jc w:val="both"/>
        <w:rPr>
          <w:rFonts w:ascii="Arial" w:hAnsi="Arial" w:cs="Arial"/>
          <w:bCs/>
          <w:sz w:val="24"/>
          <w:szCs w:val="24"/>
        </w:rPr>
      </w:pPr>
      <w:r w:rsidRPr="00D03ADC">
        <w:rPr>
          <w:rFonts w:ascii="Arial" w:hAnsi="Arial" w:cs="Arial"/>
          <w:sz w:val="24"/>
          <w:szCs w:val="24"/>
        </w:rPr>
        <w:t>Conforme a lo descrito en el Resultando “TERCERO”</w:t>
      </w:r>
      <w:r>
        <w:rPr>
          <w:rFonts w:ascii="Arial" w:hAnsi="Arial" w:cs="Arial"/>
          <w:b/>
          <w:bCs/>
          <w:sz w:val="24"/>
          <w:szCs w:val="24"/>
        </w:rPr>
        <w:t xml:space="preserve"> </w:t>
      </w:r>
      <w:r w:rsidRPr="00D03ADC">
        <w:rPr>
          <w:rFonts w:ascii="Arial" w:hAnsi="Arial" w:cs="Arial"/>
          <w:sz w:val="24"/>
          <w:szCs w:val="24"/>
        </w:rPr>
        <w:t>de la presente actuación,</w:t>
      </w:r>
      <w:r>
        <w:rPr>
          <w:rFonts w:ascii="Arial" w:hAnsi="Arial" w:cs="Arial"/>
          <w:b/>
          <w:bCs/>
          <w:sz w:val="24"/>
          <w:szCs w:val="24"/>
        </w:rPr>
        <w:t xml:space="preserve"> </w:t>
      </w:r>
      <w:r w:rsidR="00660A87">
        <w:rPr>
          <w:rFonts w:ascii="Arial" w:hAnsi="Arial" w:cs="Arial"/>
          <w:bCs/>
          <w:sz w:val="24"/>
          <w:szCs w:val="24"/>
        </w:rPr>
        <w:t xml:space="preserve">la </w:t>
      </w:r>
      <w:r w:rsidR="005848DE" w:rsidRPr="00CA5BC5">
        <w:rPr>
          <w:rFonts w:ascii="Arial" w:hAnsi="Arial" w:cs="Arial"/>
          <w:b/>
          <w:bCs/>
          <w:sz w:val="24"/>
          <w:szCs w:val="24"/>
        </w:rPr>
        <w:t>autoridad demandad</w:t>
      </w:r>
      <w:r>
        <w:rPr>
          <w:rFonts w:ascii="Arial" w:hAnsi="Arial" w:cs="Arial"/>
          <w:b/>
          <w:bCs/>
          <w:sz w:val="24"/>
          <w:szCs w:val="24"/>
        </w:rPr>
        <w:t>a</w:t>
      </w:r>
      <w:r w:rsidR="005848DE">
        <w:rPr>
          <w:rFonts w:ascii="Arial" w:hAnsi="Arial" w:cs="Arial"/>
          <w:bCs/>
          <w:sz w:val="24"/>
          <w:szCs w:val="24"/>
        </w:rPr>
        <w:t xml:space="preserve">, </w:t>
      </w:r>
      <w:r>
        <w:rPr>
          <w:rFonts w:ascii="Arial" w:hAnsi="Arial" w:cs="Arial"/>
          <w:bCs/>
          <w:sz w:val="24"/>
          <w:szCs w:val="24"/>
        </w:rPr>
        <w:t>Presidente Municipal</w:t>
      </w:r>
      <w:r w:rsidR="009660B4">
        <w:rPr>
          <w:rFonts w:ascii="Arial" w:hAnsi="Arial" w:cs="Arial"/>
          <w:bCs/>
          <w:sz w:val="24"/>
          <w:szCs w:val="24"/>
        </w:rPr>
        <w:t xml:space="preserve"> del </w:t>
      </w:r>
      <w:r>
        <w:rPr>
          <w:rFonts w:ascii="Arial" w:hAnsi="Arial" w:cs="Arial"/>
          <w:bCs/>
          <w:sz w:val="24"/>
          <w:szCs w:val="24"/>
        </w:rPr>
        <w:t xml:space="preserve">Honorable Ayuntamiento del </w:t>
      </w:r>
      <w:r w:rsidR="009660B4">
        <w:rPr>
          <w:rFonts w:ascii="Arial" w:hAnsi="Arial" w:cs="Arial"/>
          <w:bCs/>
          <w:sz w:val="24"/>
          <w:szCs w:val="24"/>
        </w:rPr>
        <w:t xml:space="preserve">Municipio de Salina Cruz, Oaxaca, </w:t>
      </w:r>
      <w:r>
        <w:rPr>
          <w:rFonts w:ascii="Arial" w:hAnsi="Arial" w:cs="Arial"/>
          <w:bCs/>
          <w:sz w:val="24"/>
          <w:szCs w:val="24"/>
        </w:rPr>
        <w:t>se le hizo efectivo el apercibimiento decretado por auto de fecha veinticuatro de mayo de dos mil veintiuno, contestando en sentido afirmativo</w:t>
      </w:r>
      <w:r w:rsidR="00C57AA6">
        <w:rPr>
          <w:rFonts w:ascii="Arial" w:hAnsi="Arial" w:cs="Arial"/>
          <w:bCs/>
          <w:sz w:val="24"/>
          <w:szCs w:val="24"/>
        </w:rPr>
        <w:t xml:space="preserve"> la demanda de nulidad entablada en su contra.</w:t>
      </w:r>
      <w:r w:rsidR="008427C7">
        <w:rPr>
          <w:rFonts w:ascii="Arial" w:hAnsi="Arial" w:cs="Arial"/>
          <w:bCs/>
          <w:sz w:val="24"/>
          <w:szCs w:val="24"/>
        </w:rPr>
        <w:t xml:space="preserve"> </w:t>
      </w:r>
    </w:p>
    <w:p w14:paraId="28DB4E18" w14:textId="77777777" w:rsidR="008F748D" w:rsidRDefault="008F748D" w:rsidP="00647E43">
      <w:pPr>
        <w:spacing w:after="0" w:line="360" w:lineRule="auto"/>
        <w:ind w:right="51" w:firstLine="567"/>
        <w:jc w:val="both"/>
        <w:rPr>
          <w:rFonts w:ascii="Arial" w:hAnsi="Arial" w:cs="Arial"/>
          <w:bCs/>
          <w:sz w:val="24"/>
          <w:szCs w:val="24"/>
        </w:rPr>
      </w:pPr>
    </w:p>
    <w:p w14:paraId="0F7D6B3F" w14:textId="074543B3" w:rsidR="005848DE" w:rsidRDefault="00C82EAA" w:rsidP="00647E43">
      <w:pPr>
        <w:spacing w:after="0" w:line="360" w:lineRule="auto"/>
        <w:ind w:right="51" w:firstLine="567"/>
        <w:jc w:val="both"/>
        <w:rPr>
          <w:rFonts w:ascii="Arial" w:hAnsi="Arial" w:cs="Arial"/>
          <w:bCs/>
          <w:i/>
          <w:iCs/>
          <w:sz w:val="24"/>
          <w:szCs w:val="24"/>
        </w:rPr>
      </w:pPr>
      <w:r>
        <w:rPr>
          <w:rFonts w:ascii="Arial" w:hAnsi="Arial" w:cs="Arial"/>
          <w:bCs/>
          <w:sz w:val="24"/>
          <w:szCs w:val="24"/>
        </w:rPr>
        <w:t xml:space="preserve">Por lo que se procede </w:t>
      </w:r>
      <w:r w:rsidR="00600E5B">
        <w:rPr>
          <w:rFonts w:ascii="Arial" w:hAnsi="Arial" w:cs="Arial"/>
          <w:bCs/>
          <w:sz w:val="24"/>
          <w:szCs w:val="24"/>
        </w:rPr>
        <w:t>a analizar la consideración</w:t>
      </w:r>
      <w:r w:rsidR="00AE2A27">
        <w:rPr>
          <w:rFonts w:ascii="Arial" w:hAnsi="Arial" w:cs="Arial"/>
          <w:bCs/>
          <w:sz w:val="24"/>
          <w:szCs w:val="24"/>
        </w:rPr>
        <w:t xml:space="preserve"> contenida en el último párrafo del apartado denominado “VI. HECHOS QUE SUSTENTAN LA IMPUGNACIÓN”,</w:t>
      </w:r>
      <w:r w:rsidR="00600E5B">
        <w:rPr>
          <w:rFonts w:ascii="Arial" w:hAnsi="Arial" w:cs="Arial"/>
          <w:bCs/>
          <w:sz w:val="24"/>
          <w:szCs w:val="24"/>
        </w:rPr>
        <w:t xml:space="preserve"> el primer</w:t>
      </w:r>
      <w:r w:rsidR="00AE2A27">
        <w:rPr>
          <w:rFonts w:ascii="Arial" w:hAnsi="Arial" w:cs="Arial"/>
          <w:bCs/>
          <w:sz w:val="24"/>
          <w:szCs w:val="24"/>
        </w:rPr>
        <w:t>o y segundo</w:t>
      </w:r>
      <w:r w:rsidR="00600E5B">
        <w:rPr>
          <w:rFonts w:ascii="Arial" w:hAnsi="Arial" w:cs="Arial"/>
          <w:bCs/>
          <w:sz w:val="24"/>
          <w:szCs w:val="24"/>
        </w:rPr>
        <w:t xml:space="preserve"> concepto</w:t>
      </w:r>
      <w:r w:rsidR="00AE2A27">
        <w:rPr>
          <w:rFonts w:ascii="Arial" w:hAnsi="Arial" w:cs="Arial"/>
          <w:bCs/>
          <w:sz w:val="24"/>
          <w:szCs w:val="24"/>
        </w:rPr>
        <w:t>s</w:t>
      </w:r>
      <w:r w:rsidR="00600E5B">
        <w:rPr>
          <w:rFonts w:ascii="Arial" w:hAnsi="Arial" w:cs="Arial"/>
          <w:bCs/>
          <w:sz w:val="24"/>
          <w:szCs w:val="24"/>
        </w:rPr>
        <w:t xml:space="preserve"> de impugnación realizado por la actora al expresar: </w:t>
      </w:r>
      <w:r w:rsidR="00600E5B" w:rsidRPr="00610F0F">
        <w:rPr>
          <w:rFonts w:ascii="Arial" w:hAnsi="Arial" w:cs="Arial"/>
          <w:bCs/>
          <w:i/>
          <w:iCs/>
          <w:sz w:val="24"/>
          <w:szCs w:val="24"/>
        </w:rPr>
        <w:t xml:space="preserve">“… la autoridad demandada actúa con total ilegalidad, ya que en principio quien emite el acto reclamado carece de competencia para tal efecto, no funda y motiva el mismo, no se sujeta a las disposiciones relativas al procedimiento administrativo, </w:t>
      </w:r>
      <w:r w:rsidR="00610F0F" w:rsidRPr="00610F0F">
        <w:rPr>
          <w:rFonts w:ascii="Arial" w:hAnsi="Arial" w:cs="Arial"/>
          <w:bCs/>
          <w:i/>
          <w:iCs/>
          <w:sz w:val="24"/>
          <w:szCs w:val="24"/>
        </w:rPr>
        <w:t>…”</w:t>
      </w:r>
    </w:p>
    <w:p w14:paraId="0742CE39" w14:textId="77777777" w:rsidR="00AE2A27" w:rsidRDefault="00AE2A27" w:rsidP="00647E43">
      <w:pPr>
        <w:spacing w:after="0" w:line="360" w:lineRule="auto"/>
        <w:ind w:right="51" w:firstLine="567"/>
        <w:jc w:val="both"/>
        <w:rPr>
          <w:rFonts w:ascii="Arial" w:hAnsi="Arial" w:cs="Arial"/>
          <w:bCs/>
          <w:sz w:val="24"/>
          <w:szCs w:val="24"/>
        </w:rPr>
      </w:pPr>
    </w:p>
    <w:p w14:paraId="4944C8EB" w14:textId="378E995A" w:rsidR="001D2E32" w:rsidRDefault="00610F0F" w:rsidP="00647E43">
      <w:pPr>
        <w:spacing w:after="0" w:line="360" w:lineRule="auto"/>
        <w:ind w:right="51" w:firstLine="567"/>
        <w:jc w:val="both"/>
        <w:rPr>
          <w:rFonts w:ascii="Arial" w:hAnsi="Arial" w:cs="Arial"/>
          <w:bCs/>
          <w:sz w:val="24"/>
          <w:szCs w:val="24"/>
        </w:rPr>
      </w:pPr>
      <w:r>
        <w:rPr>
          <w:rFonts w:ascii="Arial" w:hAnsi="Arial" w:cs="Arial"/>
          <w:bCs/>
          <w:sz w:val="24"/>
          <w:szCs w:val="24"/>
        </w:rPr>
        <w:t xml:space="preserve">“… </w:t>
      </w:r>
      <w:r w:rsidRPr="00610F0F">
        <w:rPr>
          <w:rFonts w:ascii="Arial" w:hAnsi="Arial" w:cs="Arial"/>
          <w:bCs/>
          <w:i/>
          <w:iCs/>
          <w:sz w:val="24"/>
          <w:szCs w:val="24"/>
        </w:rPr>
        <w:t xml:space="preserve">Causa afectación a mi mandante el Oficio </w:t>
      </w:r>
      <w:r w:rsidR="00B64448">
        <w:rPr>
          <w:rFonts w:ascii="Arial" w:eastAsia="Times New Roman" w:hAnsi="Arial" w:cs="Arial"/>
          <w:bCs/>
          <w:iCs/>
          <w:caps/>
          <w:kern w:val="2"/>
          <w:sz w:val="24"/>
          <w:szCs w:val="24"/>
          <w:lang w:val="es-ES_tradnl" w:eastAsia="es-ES"/>
        </w:rPr>
        <w:t>**********</w:t>
      </w:r>
      <w:r w:rsidRPr="00610F0F">
        <w:rPr>
          <w:rFonts w:ascii="Arial" w:hAnsi="Arial" w:cs="Arial"/>
          <w:bCs/>
          <w:i/>
          <w:iCs/>
          <w:sz w:val="24"/>
          <w:szCs w:val="24"/>
        </w:rPr>
        <w:t>, de 14 de septiembre del 2020, toda vez que el mismo fue expedido por una persona que carece de facultades para su emisión y correspondiente firme sin que justifique legalmente su actuación, a través de un precepto que la faculte…”</w:t>
      </w:r>
    </w:p>
    <w:p w14:paraId="233BCF7E" w14:textId="28EE09EB" w:rsidR="001D2E32" w:rsidRDefault="001D2E32" w:rsidP="00647E43">
      <w:pPr>
        <w:spacing w:after="0" w:line="360" w:lineRule="auto"/>
        <w:ind w:right="51" w:firstLine="567"/>
        <w:jc w:val="both"/>
        <w:rPr>
          <w:rFonts w:ascii="Arial" w:hAnsi="Arial" w:cs="Arial"/>
          <w:bCs/>
          <w:sz w:val="24"/>
          <w:szCs w:val="24"/>
        </w:rPr>
      </w:pPr>
    </w:p>
    <w:p w14:paraId="4EFF5277" w14:textId="6B348D28" w:rsidR="00AE2A27" w:rsidRPr="00AE2A27" w:rsidRDefault="00AE2A27" w:rsidP="00647E43">
      <w:pPr>
        <w:spacing w:after="0" w:line="360" w:lineRule="auto"/>
        <w:ind w:right="51" w:firstLine="567"/>
        <w:jc w:val="both"/>
        <w:rPr>
          <w:rFonts w:ascii="Arial" w:hAnsi="Arial" w:cs="Arial"/>
          <w:bCs/>
          <w:i/>
          <w:iCs/>
          <w:sz w:val="24"/>
          <w:szCs w:val="24"/>
        </w:rPr>
      </w:pPr>
      <w:r w:rsidRPr="00AE2A27">
        <w:rPr>
          <w:rFonts w:ascii="Arial" w:hAnsi="Arial" w:cs="Arial"/>
          <w:bCs/>
          <w:i/>
          <w:iCs/>
          <w:sz w:val="24"/>
          <w:szCs w:val="24"/>
        </w:rPr>
        <w:t>“…causa perjuicio la resolución que se impugna a mi representada, ya que la misma no cumple con los requisitos de debida fundamentación y motivación, o bien no son aplicables al concepto de impuestos prediales…”</w:t>
      </w:r>
    </w:p>
    <w:p w14:paraId="6A5644B3" w14:textId="77777777" w:rsidR="00AE2A27" w:rsidRDefault="00AE2A27" w:rsidP="00FE7773">
      <w:pPr>
        <w:tabs>
          <w:tab w:val="left" w:pos="7371"/>
        </w:tabs>
        <w:spacing w:after="0" w:line="360" w:lineRule="auto"/>
        <w:ind w:right="51" w:firstLine="567"/>
        <w:jc w:val="both"/>
        <w:rPr>
          <w:rFonts w:ascii="Arial" w:hAnsi="Arial" w:cs="Arial"/>
          <w:sz w:val="24"/>
          <w:szCs w:val="24"/>
        </w:rPr>
      </w:pPr>
    </w:p>
    <w:p w14:paraId="1F0498AB" w14:textId="194E05E1" w:rsidR="00610F0F" w:rsidRDefault="003A1BB5" w:rsidP="00FE7773">
      <w:pPr>
        <w:tabs>
          <w:tab w:val="left" w:pos="7371"/>
        </w:tabs>
        <w:spacing w:after="0" w:line="360" w:lineRule="auto"/>
        <w:ind w:right="51" w:firstLine="567"/>
        <w:jc w:val="both"/>
        <w:rPr>
          <w:rFonts w:ascii="Arial" w:hAnsi="Arial" w:cs="Arial"/>
          <w:sz w:val="24"/>
          <w:szCs w:val="24"/>
        </w:rPr>
      </w:pPr>
      <w:r w:rsidRPr="00CE4DDA">
        <w:rPr>
          <w:rFonts w:ascii="Arial" w:hAnsi="Arial" w:cs="Arial"/>
          <w:sz w:val="24"/>
          <w:szCs w:val="24"/>
        </w:rPr>
        <w:t xml:space="preserve">Del </w:t>
      </w:r>
      <w:r w:rsidR="005A12E9">
        <w:rPr>
          <w:rFonts w:ascii="Arial" w:hAnsi="Arial" w:cs="Arial"/>
          <w:sz w:val="24"/>
          <w:szCs w:val="24"/>
        </w:rPr>
        <w:t>e</w:t>
      </w:r>
      <w:r w:rsidRPr="00CE4DDA">
        <w:rPr>
          <w:rFonts w:ascii="Arial" w:hAnsi="Arial" w:cs="Arial"/>
          <w:sz w:val="24"/>
          <w:szCs w:val="24"/>
        </w:rPr>
        <w:t>studio de</w:t>
      </w:r>
      <w:r w:rsidR="00610F0F">
        <w:rPr>
          <w:rFonts w:ascii="Arial" w:hAnsi="Arial" w:cs="Arial"/>
          <w:sz w:val="24"/>
          <w:szCs w:val="24"/>
        </w:rPr>
        <w:t xml:space="preserve"> </w:t>
      </w:r>
      <w:r w:rsidRPr="00CE4DDA">
        <w:rPr>
          <w:rFonts w:ascii="Arial" w:hAnsi="Arial" w:cs="Arial"/>
          <w:sz w:val="24"/>
          <w:szCs w:val="24"/>
        </w:rPr>
        <w:t>l</w:t>
      </w:r>
      <w:r w:rsidR="00610F0F">
        <w:rPr>
          <w:rFonts w:ascii="Arial" w:hAnsi="Arial" w:cs="Arial"/>
          <w:sz w:val="24"/>
          <w:szCs w:val="24"/>
        </w:rPr>
        <w:t>o descrito anteriormente</w:t>
      </w:r>
      <w:r w:rsidRPr="00CE4DDA">
        <w:rPr>
          <w:rFonts w:ascii="Arial" w:hAnsi="Arial" w:cs="Arial"/>
          <w:sz w:val="24"/>
          <w:szCs w:val="24"/>
        </w:rPr>
        <w:t xml:space="preserve">, se advierte que la parte actora hace referencia </w:t>
      </w:r>
      <w:r w:rsidR="00CD2DFC" w:rsidRPr="00CE4DDA">
        <w:rPr>
          <w:rFonts w:ascii="Arial" w:hAnsi="Arial" w:cs="Arial"/>
          <w:sz w:val="24"/>
          <w:szCs w:val="24"/>
        </w:rPr>
        <w:t xml:space="preserve">a la </w:t>
      </w:r>
      <w:r w:rsidR="00610F0F">
        <w:rPr>
          <w:rFonts w:ascii="Arial" w:hAnsi="Arial" w:cs="Arial"/>
          <w:sz w:val="24"/>
          <w:szCs w:val="24"/>
        </w:rPr>
        <w:t>falta de competencia de la autoridad demandada en la emisión del acto administrativo que se demanda su nulidad</w:t>
      </w:r>
      <w:r w:rsidR="00AE2A27">
        <w:rPr>
          <w:rFonts w:ascii="Arial" w:hAnsi="Arial" w:cs="Arial"/>
          <w:sz w:val="24"/>
          <w:szCs w:val="24"/>
        </w:rPr>
        <w:t>, así como la ausencia o indebida fundamentación y motivación.</w:t>
      </w:r>
    </w:p>
    <w:p w14:paraId="61443552" w14:textId="77777777" w:rsidR="00AE2A27" w:rsidRDefault="00AE2A27" w:rsidP="00FE7773">
      <w:pPr>
        <w:tabs>
          <w:tab w:val="left" w:pos="7371"/>
        </w:tabs>
        <w:spacing w:after="0" w:line="360" w:lineRule="auto"/>
        <w:ind w:right="51" w:firstLine="567"/>
        <w:jc w:val="both"/>
        <w:rPr>
          <w:rFonts w:ascii="Arial" w:hAnsi="Arial" w:cs="Arial"/>
          <w:sz w:val="24"/>
          <w:szCs w:val="24"/>
        </w:rPr>
      </w:pPr>
    </w:p>
    <w:p w14:paraId="173207F3" w14:textId="2E1FCD5F" w:rsidR="00A714E3" w:rsidRPr="00CE4DDA" w:rsidRDefault="007565D5" w:rsidP="007565D5">
      <w:pPr>
        <w:tabs>
          <w:tab w:val="left" w:pos="8029"/>
        </w:tabs>
        <w:spacing w:after="0" w:line="360" w:lineRule="auto"/>
        <w:ind w:right="51" w:firstLine="567"/>
        <w:jc w:val="both"/>
        <w:rPr>
          <w:rFonts w:ascii="Arial" w:hAnsi="Arial" w:cs="Arial"/>
          <w:sz w:val="24"/>
          <w:szCs w:val="24"/>
        </w:rPr>
      </w:pPr>
      <w:r>
        <w:rPr>
          <w:rFonts w:ascii="Arial" w:hAnsi="Arial" w:cs="Arial"/>
          <w:sz w:val="24"/>
          <w:szCs w:val="24"/>
        </w:rPr>
        <w:t>Con base en ello,</w:t>
      </w:r>
      <w:r w:rsidR="00B56533" w:rsidRPr="00CE4DDA">
        <w:rPr>
          <w:rFonts w:ascii="Arial" w:hAnsi="Arial" w:cs="Arial"/>
          <w:sz w:val="24"/>
          <w:szCs w:val="24"/>
        </w:rPr>
        <w:t xml:space="preserve"> </w:t>
      </w:r>
      <w:r w:rsidR="00CD3E03" w:rsidRPr="00CE4DDA">
        <w:rPr>
          <w:rFonts w:ascii="Arial" w:hAnsi="Arial" w:cs="Arial"/>
          <w:sz w:val="24"/>
          <w:szCs w:val="24"/>
        </w:rPr>
        <w:t>este juzgador por ser preferente</w:t>
      </w:r>
      <w:r w:rsidR="002050BA">
        <w:rPr>
          <w:rFonts w:ascii="Arial" w:hAnsi="Arial" w:cs="Arial"/>
          <w:sz w:val="24"/>
          <w:szCs w:val="24"/>
        </w:rPr>
        <w:t>,</w:t>
      </w:r>
      <w:r w:rsidR="00CD3E03" w:rsidRPr="00CE4DDA">
        <w:rPr>
          <w:rFonts w:ascii="Arial" w:hAnsi="Arial" w:cs="Arial"/>
          <w:sz w:val="24"/>
          <w:szCs w:val="24"/>
        </w:rPr>
        <w:t xml:space="preserve"> de orden público y de análisis oficioso procede analizar la competencia de la autoridad demandada </w:t>
      </w:r>
      <w:r w:rsidR="00A94D02" w:rsidRPr="00CE4DDA">
        <w:rPr>
          <w:rFonts w:ascii="Arial" w:hAnsi="Arial" w:cs="Arial"/>
          <w:sz w:val="24"/>
          <w:szCs w:val="24"/>
        </w:rPr>
        <w:t xml:space="preserve">para la emisión del acto impugnado, </w:t>
      </w:r>
      <w:r w:rsidR="00673C89">
        <w:rPr>
          <w:rFonts w:ascii="Arial" w:hAnsi="Arial" w:cs="Arial"/>
          <w:sz w:val="24"/>
          <w:szCs w:val="24"/>
        </w:rPr>
        <w:t xml:space="preserve">esto, </w:t>
      </w:r>
      <w:r w:rsidR="00A94D02" w:rsidRPr="00CE4DDA">
        <w:rPr>
          <w:rFonts w:ascii="Arial" w:hAnsi="Arial" w:cs="Arial"/>
          <w:sz w:val="24"/>
          <w:szCs w:val="24"/>
        </w:rPr>
        <w:t xml:space="preserve">por ser </w:t>
      </w:r>
      <w:r w:rsidR="00B56533" w:rsidRPr="00CE4DDA">
        <w:rPr>
          <w:rFonts w:ascii="Arial" w:hAnsi="Arial" w:cs="Arial"/>
          <w:sz w:val="24"/>
          <w:szCs w:val="24"/>
        </w:rPr>
        <w:t xml:space="preserve">el primer presupuesto para </w:t>
      </w:r>
      <w:r w:rsidR="00CD3E03" w:rsidRPr="00CE4DDA">
        <w:rPr>
          <w:rFonts w:ascii="Arial" w:hAnsi="Arial" w:cs="Arial"/>
          <w:sz w:val="24"/>
          <w:szCs w:val="24"/>
        </w:rPr>
        <w:t xml:space="preserve">la emisión del acto de molestia. </w:t>
      </w:r>
    </w:p>
    <w:p w14:paraId="7567ADB2" w14:textId="77777777" w:rsidR="000E294A" w:rsidRPr="00CE4DDA" w:rsidRDefault="000E294A" w:rsidP="00FE7773">
      <w:pPr>
        <w:tabs>
          <w:tab w:val="left" w:pos="8029"/>
        </w:tabs>
        <w:spacing w:after="0" w:line="360" w:lineRule="auto"/>
        <w:ind w:right="51" w:firstLine="567"/>
        <w:jc w:val="both"/>
        <w:rPr>
          <w:rFonts w:ascii="Arial" w:hAnsi="Arial" w:cs="Arial"/>
          <w:sz w:val="24"/>
          <w:szCs w:val="24"/>
        </w:rPr>
      </w:pPr>
    </w:p>
    <w:p w14:paraId="257F7D40" w14:textId="120D89EC" w:rsidR="00C939E1" w:rsidRPr="00CE4DDA" w:rsidRDefault="00370DD0" w:rsidP="00370DD0">
      <w:pPr>
        <w:pStyle w:val="Sinespaciado"/>
        <w:spacing w:line="360" w:lineRule="auto"/>
        <w:ind w:firstLine="567"/>
        <w:jc w:val="both"/>
        <w:rPr>
          <w:rFonts w:ascii="Arial" w:hAnsi="Arial" w:cs="Arial"/>
          <w:sz w:val="24"/>
          <w:szCs w:val="24"/>
        </w:rPr>
      </w:pPr>
      <w:r w:rsidRPr="00CE4DDA">
        <w:rPr>
          <w:rFonts w:ascii="Arial" w:eastAsia="Times New Roman" w:hAnsi="Arial" w:cs="Arial"/>
          <w:sz w:val="24"/>
          <w:szCs w:val="24"/>
          <w:lang w:val="es-ES_tradnl" w:eastAsia="es-ES"/>
        </w:rPr>
        <w:lastRenderedPageBreak/>
        <w:t>En el caso es aplicable la J</w:t>
      </w:r>
      <w:r w:rsidR="00C939E1" w:rsidRPr="00CE4DDA">
        <w:rPr>
          <w:rFonts w:ascii="Arial" w:eastAsia="Times New Roman" w:hAnsi="Arial" w:cs="Arial"/>
          <w:sz w:val="24"/>
          <w:szCs w:val="24"/>
          <w:lang w:val="es-ES_tradnl" w:eastAsia="es-ES"/>
        </w:rPr>
        <w:t xml:space="preserve">urisprudencia con número de registro 170827, </w:t>
      </w:r>
      <w:r w:rsidRPr="00CE4DDA">
        <w:rPr>
          <w:rFonts w:ascii="Arial" w:eastAsia="Times New Roman" w:hAnsi="Arial" w:cs="Arial"/>
          <w:sz w:val="24"/>
          <w:szCs w:val="24"/>
          <w:lang w:val="es-ES_tradnl" w:eastAsia="es-ES"/>
        </w:rPr>
        <w:t xml:space="preserve">de la novena época, materia: administrativa, </w:t>
      </w:r>
      <w:r w:rsidR="00C939E1" w:rsidRPr="00CE4DDA">
        <w:rPr>
          <w:rFonts w:ascii="Arial" w:eastAsia="Times New Roman" w:hAnsi="Arial" w:cs="Arial"/>
          <w:sz w:val="24"/>
          <w:szCs w:val="24"/>
          <w:lang w:val="es-ES_tradnl" w:eastAsia="es-ES"/>
        </w:rPr>
        <w:t>sustentada por la Segunda Sala de la Suprema Corte de Justicia</w:t>
      </w:r>
      <w:r w:rsidRPr="00CE4DDA">
        <w:rPr>
          <w:rFonts w:ascii="Arial" w:eastAsia="Times New Roman" w:hAnsi="Arial" w:cs="Arial"/>
          <w:sz w:val="24"/>
          <w:szCs w:val="24"/>
          <w:lang w:val="es-ES_tradnl" w:eastAsia="es-ES"/>
        </w:rPr>
        <w:t xml:space="preserve"> de la Nación, </w:t>
      </w:r>
      <w:r w:rsidRPr="00CE4DDA">
        <w:rPr>
          <w:rFonts w:ascii="Arial" w:hAnsi="Arial" w:cs="Arial"/>
          <w:sz w:val="24"/>
          <w:szCs w:val="24"/>
        </w:rPr>
        <w:t xml:space="preserve">visible en el Semanario Judicial de la Federación y su Gaceta, Tomo XXVI, </w:t>
      </w:r>
      <w:r w:rsidR="00AD7CFD" w:rsidRPr="00CE4DDA">
        <w:rPr>
          <w:rFonts w:ascii="Arial" w:hAnsi="Arial" w:cs="Arial"/>
          <w:sz w:val="24"/>
          <w:szCs w:val="24"/>
        </w:rPr>
        <w:t>diciembre</w:t>
      </w:r>
      <w:r w:rsidRPr="00CE4DDA">
        <w:rPr>
          <w:rFonts w:ascii="Arial" w:hAnsi="Arial" w:cs="Arial"/>
          <w:sz w:val="24"/>
          <w:szCs w:val="24"/>
        </w:rPr>
        <w:t xml:space="preserve"> de 2007, página 154, con el texto y rubro siguientes:</w:t>
      </w:r>
    </w:p>
    <w:p w14:paraId="26F4D632" w14:textId="77777777" w:rsidR="00C939E1" w:rsidRPr="00CE4DDA" w:rsidRDefault="00C939E1" w:rsidP="00FE7773">
      <w:pPr>
        <w:tabs>
          <w:tab w:val="left" w:pos="8029"/>
        </w:tabs>
        <w:spacing w:after="0" w:line="360" w:lineRule="auto"/>
        <w:ind w:right="51" w:firstLine="567"/>
        <w:jc w:val="both"/>
        <w:rPr>
          <w:rFonts w:ascii="Arial" w:hAnsi="Arial" w:cs="Arial"/>
          <w:sz w:val="24"/>
          <w:szCs w:val="24"/>
        </w:rPr>
      </w:pPr>
    </w:p>
    <w:p w14:paraId="19C9FCC1" w14:textId="77777777" w:rsidR="00B56533" w:rsidRPr="00CE4DDA" w:rsidRDefault="00A94D02" w:rsidP="002050BA">
      <w:pPr>
        <w:spacing w:after="0" w:line="240" w:lineRule="auto"/>
        <w:ind w:left="567" w:right="-2"/>
        <w:jc w:val="both"/>
        <w:rPr>
          <w:rFonts w:ascii="Arial" w:hAnsi="Arial" w:cs="Arial"/>
          <w:i/>
          <w:sz w:val="24"/>
          <w:szCs w:val="24"/>
        </w:rPr>
      </w:pPr>
      <w:r w:rsidRPr="00CE4DDA">
        <w:rPr>
          <w:rFonts w:ascii="Arial" w:hAnsi="Arial" w:cs="Arial"/>
          <w:b/>
          <w:i/>
          <w:sz w:val="24"/>
          <w:szCs w:val="24"/>
        </w:rPr>
        <w:t>“</w:t>
      </w:r>
      <w:r w:rsidR="00B56533" w:rsidRPr="00CE4DDA">
        <w:rPr>
          <w:rFonts w:ascii="Arial" w:hAnsi="Arial" w:cs="Arial"/>
          <w:b/>
          <w:i/>
          <w:sz w:val="24"/>
          <w:szCs w:val="24"/>
        </w:rPr>
        <w:t>COMPETENCIA. SU ESTUDIO OFICIOSO RESPECTO DE LA AUTORIDAD DEMANDADA EN EL JUICIO CONTENCIOSO ADMINISTRATIVO, DEBE SER ANALIZADA POR LAS SALAS DEL TRIBUNAL FEDERAL DE JUSTICIA FISCAL Y ADMINISTRATIVA.</w:t>
      </w:r>
      <w:r w:rsidR="00B56533" w:rsidRPr="00CE4DDA">
        <w:rPr>
          <w:rFonts w:ascii="Arial" w:hAnsi="Arial" w:cs="Arial"/>
          <w:i/>
          <w:sz w:val="24"/>
          <w:szCs w:val="24"/>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r w:rsidRPr="00CE4DDA">
        <w:rPr>
          <w:rFonts w:ascii="Arial" w:hAnsi="Arial" w:cs="Arial"/>
          <w:i/>
          <w:sz w:val="24"/>
          <w:szCs w:val="24"/>
        </w:rPr>
        <w:t>”</w:t>
      </w:r>
    </w:p>
    <w:p w14:paraId="74F2419D" w14:textId="77777777" w:rsidR="00A714E3" w:rsidRPr="00CE4DDA" w:rsidRDefault="00A714E3" w:rsidP="00C939E1">
      <w:pPr>
        <w:tabs>
          <w:tab w:val="left" w:pos="8029"/>
        </w:tabs>
        <w:spacing w:after="0" w:line="276" w:lineRule="auto"/>
        <w:ind w:right="51" w:firstLine="567"/>
        <w:jc w:val="both"/>
        <w:rPr>
          <w:rFonts w:ascii="Arial" w:hAnsi="Arial" w:cs="Arial"/>
          <w:i/>
          <w:sz w:val="24"/>
          <w:szCs w:val="24"/>
        </w:rPr>
      </w:pPr>
    </w:p>
    <w:p w14:paraId="2A2ECF11" w14:textId="0F96B0B9" w:rsidR="0051508E" w:rsidRDefault="000E294A" w:rsidP="0051508E">
      <w:pPr>
        <w:spacing w:line="360" w:lineRule="auto"/>
        <w:ind w:firstLine="567"/>
        <w:jc w:val="both"/>
        <w:rPr>
          <w:rFonts w:ascii="Arial" w:hAnsi="Arial" w:cs="Arial"/>
          <w:sz w:val="24"/>
          <w:szCs w:val="24"/>
        </w:rPr>
      </w:pPr>
      <w:r w:rsidRPr="00CE4DDA">
        <w:rPr>
          <w:rFonts w:ascii="Arial" w:hAnsi="Arial" w:cs="Arial"/>
          <w:sz w:val="24"/>
          <w:szCs w:val="24"/>
        </w:rPr>
        <w:t>En cumplimiento a la jurisprudencia citada, é</w:t>
      </w:r>
      <w:r w:rsidR="00370DD0" w:rsidRPr="00CE4DDA">
        <w:rPr>
          <w:rFonts w:ascii="Arial" w:hAnsi="Arial" w:cs="Arial"/>
          <w:sz w:val="24"/>
          <w:szCs w:val="24"/>
        </w:rPr>
        <w:t xml:space="preserve">ste </w:t>
      </w:r>
      <w:r w:rsidR="00DE32DD" w:rsidRPr="00CE4DDA">
        <w:rPr>
          <w:rFonts w:ascii="Arial" w:hAnsi="Arial" w:cs="Arial"/>
          <w:sz w:val="24"/>
          <w:szCs w:val="24"/>
        </w:rPr>
        <w:t xml:space="preserve">órgano </w:t>
      </w:r>
      <w:r w:rsidR="00370DD0" w:rsidRPr="00CE4DDA">
        <w:rPr>
          <w:rFonts w:ascii="Arial" w:hAnsi="Arial" w:cs="Arial"/>
          <w:sz w:val="24"/>
          <w:szCs w:val="24"/>
        </w:rPr>
        <w:t xml:space="preserve">jurisdiccional procede al análisis del acto impugnado, consistente en el oficio número </w:t>
      </w:r>
      <w:r w:rsidR="00933C2E">
        <w:rPr>
          <w:rFonts w:ascii="Arial" w:eastAsia="Times New Roman" w:hAnsi="Arial" w:cs="Arial"/>
          <w:bCs/>
          <w:iCs/>
          <w:caps/>
          <w:kern w:val="2"/>
          <w:sz w:val="24"/>
          <w:szCs w:val="24"/>
          <w:lang w:val="es-ES_tradnl" w:eastAsia="es-ES"/>
        </w:rPr>
        <w:t>**********</w:t>
      </w:r>
      <w:r w:rsidR="00370DD0" w:rsidRPr="00CE4DDA">
        <w:rPr>
          <w:rFonts w:ascii="Arial" w:hAnsi="Arial" w:cs="Arial"/>
          <w:sz w:val="24"/>
          <w:szCs w:val="24"/>
        </w:rPr>
        <w:t>, de</w:t>
      </w:r>
      <w:r w:rsidR="007565D5">
        <w:rPr>
          <w:rFonts w:ascii="Arial" w:hAnsi="Arial" w:cs="Arial"/>
          <w:sz w:val="24"/>
          <w:szCs w:val="24"/>
        </w:rPr>
        <w:t xml:space="preserve"> fecha</w:t>
      </w:r>
      <w:r w:rsidR="00370DD0" w:rsidRPr="00CE4DDA">
        <w:rPr>
          <w:rFonts w:ascii="Arial" w:hAnsi="Arial" w:cs="Arial"/>
          <w:sz w:val="24"/>
          <w:szCs w:val="24"/>
        </w:rPr>
        <w:t xml:space="preserve"> </w:t>
      </w:r>
      <w:r w:rsidR="007565D5">
        <w:rPr>
          <w:rFonts w:ascii="Arial" w:hAnsi="Arial" w:cs="Arial"/>
          <w:sz w:val="24"/>
          <w:szCs w:val="24"/>
        </w:rPr>
        <w:t>14 de septiembre de</w:t>
      </w:r>
      <w:r w:rsidR="00370DD0" w:rsidRPr="00CE4DDA">
        <w:rPr>
          <w:rFonts w:ascii="Arial" w:hAnsi="Arial" w:cs="Arial"/>
          <w:sz w:val="24"/>
          <w:szCs w:val="24"/>
        </w:rPr>
        <w:t xml:space="preserve"> dos mil </w:t>
      </w:r>
      <w:r w:rsidR="007565D5">
        <w:rPr>
          <w:rFonts w:ascii="Arial" w:hAnsi="Arial" w:cs="Arial"/>
          <w:sz w:val="24"/>
          <w:szCs w:val="24"/>
        </w:rPr>
        <w:t>veinte</w:t>
      </w:r>
      <w:r w:rsidR="00370DD0" w:rsidRPr="00CE4DDA">
        <w:rPr>
          <w:rFonts w:ascii="Arial" w:hAnsi="Arial" w:cs="Arial"/>
          <w:sz w:val="24"/>
          <w:szCs w:val="24"/>
        </w:rPr>
        <w:t>, en el que</w:t>
      </w:r>
      <w:r w:rsidRPr="00CE4DDA">
        <w:rPr>
          <w:rFonts w:ascii="Arial" w:hAnsi="Arial" w:cs="Arial"/>
          <w:sz w:val="24"/>
          <w:szCs w:val="24"/>
        </w:rPr>
        <w:t xml:space="preserve"> se aprecia que</w:t>
      </w:r>
      <w:r w:rsidR="00370DD0" w:rsidRPr="00CE4DDA">
        <w:rPr>
          <w:rFonts w:ascii="Arial" w:hAnsi="Arial" w:cs="Arial"/>
          <w:sz w:val="24"/>
          <w:szCs w:val="24"/>
        </w:rPr>
        <w:t xml:space="preserve"> el </w:t>
      </w:r>
      <w:r w:rsidR="007565D5">
        <w:rPr>
          <w:rFonts w:ascii="Arial" w:hAnsi="Arial" w:cs="Arial"/>
          <w:sz w:val="24"/>
          <w:szCs w:val="24"/>
        </w:rPr>
        <w:t>Presidente</w:t>
      </w:r>
      <w:r w:rsidR="00370DD0" w:rsidRPr="00CE4DDA">
        <w:rPr>
          <w:rFonts w:ascii="Arial" w:hAnsi="Arial" w:cs="Arial"/>
          <w:sz w:val="24"/>
          <w:szCs w:val="24"/>
        </w:rPr>
        <w:t xml:space="preserve"> Municipal </w:t>
      </w:r>
      <w:r w:rsidR="007565D5">
        <w:rPr>
          <w:rFonts w:ascii="Arial" w:hAnsi="Arial" w:cs="Arial"/>
          <w:sz w:val="24"/>
          <w:szCs w:val="24"/>
        </w:rPr>
        <w:t xml:space="preserve">del Honorable Ayuntamiento </w:t>
      </w:r>
      <w:r w:rsidR="00370DD0" w:rsidRPr="00CE4DDA">
        <w:rPr>
          <w:rFonts w:ascii="Arial" w:hAnsi="Arial" w:cs="Arial"/>
          <w:sz w:val="24"/>
          <w:szCs w:val="24"/>
        </w:rPr>
        <w:t xml:space="preserve">de Salina Cruz, Oaxaca, fundó su competencia </w:t>
      </w:r>
      <w:r w:rsidR="007565D5">
        <w:rPr>
          <w:rFonts w:ascii="Arial" w:hAnsi="Arial" w:cs="Arial"/>
          <w:sz w:val="24"/>
          <w:szCs w:val="24"/>
        </w:rPr>
        <w:t>inicialmente en el artículo 183 de la Ley de Justicia Administrativa para el Estado de Oaxaca</w:t>
      </w:r>
      <w:r w:rsidR="0051508E">
        <w:rPr>
          <w:rFonts w:ascii="Arial" w:hAnsi="Arial" w:cs="Arial"/>
          <w:sz w:val="24"/>
          <w:szCs w:val="24"/>
        </w:rPr>
        <w:t xml:space="preserve">, la citada Ley fue abrogada al entrar en vigor la Ley de Procedimiento y Justicia Administrativa para el Estado de Oaxaca, que en su artículo transitorio segundo dispone: </w:t>
      </w:r>
    </w:p>
    <w:p w14:paraId="60CA9BB6" w14:textId="77777777" w:rsidR="0051508E" w:rsidRDefault="0051508E" w:rsidP="00AD7CFD">
      <w:pPr>
        <w:spacing w:line="360" w:lineRule="auto"/>
        <w:ind w:left="426" w:right="425"/>
        <w:jc w:val="both"/>
        <w:rPr>
          <w:rFonts w:ascii="Arial" w:hAnsi="Arial" w:cs="Arial"/>
          <w:i/>
          <w:sz w:val="24"/>
          <w:szCs w:val="24"/>
        </w:rPr>
      </w:pPr>
      <w:r>
        <w:rPr>
          <w:rFonts w:ascii="Arial" w:hAnsi="Arial" w:cs="Arial"/>
          <w:b/>
          <w:i/>
          <w:sz w:val="24"/>
          <w:szCs w:val="24"/>
        </w:rPr>
        <w:t>“SEGUNDO.</w:t>
      </w:r>
      <w:r>
        <w:rPr>
          <w:rFonts w:ascii="Arial" w:hAnsi="Arial" w:cs="Arial"/>
          <w:i/>
          <w:sz w:val="24"/>
          <w:szCs w:val="24"/>
        </w:rPr>
        <w:t xml:space="preserve"> La presente Ley entrará en vigor al día siguiente de su publicación en el Periódico Oficial del Gobierno del Estado de Oaxaca.</w:t>
      </w:r>
    </w:p>
    <w:p w14:paraId="04ABEDC3" w14:textId="4C76BD70" w:rsidR="0051508E" w:rsidRDefault="0051508E" w:rsidP="0051508E">
      <w:pPr>
        <w:tabs>
          <w:tab w:val="left" w:pos="8029"/>
        </w:tabs>
        <w:spacing w:after="0" w:line="360" w:lineRule="auto"/>
        <w:ind w:right="51" w:firstLine="567"/>
        <w:jc w:val="both"/>
        <w:rPr>
          <w:rFonts w:ascii="Arial" w:hAnsi="Arial" w:cs="Arial"/>
          <w:sz w:val="24"/>
          <w:szCs w:val="24"/>
        </w:rPr>
      </w:pPr>
      <w:r>
        <w:rPr>
          <w:rFonts w:ascii="Arial" w:hAnsi="Arial" w:cs="Arial"/>
          <w:sz w:val="24"/>
          <w:szCs w:val="24"/>
        </w:rPr>
        <w:t>De lo anterior se advierte, que la Ley de Procedimiento y Justicia Administrativa para el Estado de Oaxaca, fue publicada mediante decreto número 702</w:t>
      </w:r>
      <w:r>
        <w:rPr>
          <w:rFonts w:ascii="Arial" w:eastAsia="Times New Roman" w:hAnsi="Arial" w:cs="Arial"/>
          <w:bCs/>
          <w:sz w:val="24"/>
          <w:szCs w:val="24"/>
          <w:lang w:val="es-ES" w:eastAsia="es-ES"/>
        </w:rPr>
        <w:t xml:space="preserve">, en el Extra del Periódico Oficial del Estado, el veinte de </w:t>
      </w:r>
      <w:r>
        <w:rPr>
          <w:rFonts w:ascii="Arial" w:eastAsia="Times New Roman" w:hAnsi="Arial" w:cs="Arial"/>
          <w:bCs/>
          <w:sz w:val="24"/>
          <w:szCs w:val="24"/>
          <w:lang w:val="es-ES" w:eastAsia="es-ES"/>
        </w:rPr>
        <w:lastRenderedPageBreak/>
        <w:t xml:space="preserve">octubre de dos mil diecisiete, ésta comenzó su vigencia el </w:t>
      </w:r>
      <w:r>
        <w:rPr>
          <w:rFonts w:ascii="Arial" w:eastAsia="Times New Roman" w:hAnsi="Arial" w:cs="Arial"/>
          <w:b/>
          <w:bCs/>
          <w:sz w:val="24"/>
          <w:szCs w:val="24"/>
          <w:lang w:val="es-ES" w:eastAsia="es-ES"/>
        </w:rPr>
        <w:t>veintiuno de octubre de dos mil diecisiete</w:t>
      </w:r>
      <w:r>
        <w:rPr>
          <w:rFonts w:ascii="Arial" w:eastAsia="Times New Roman" w:hAnsi="Arial" w:cs="Arial"/>
          <w:bCs/>
          <w:sz w:val="24"/>
          <w:szCs w:val="24"/>
          <w:lang w:val="es-ES" w:eastAsia="es-ES"/>
        </w:rPr>
        <w:t xml:space="preserve">, como lo señala el artículo transitorio segundo de ésta Ley; es decir, </w:t>
      </w:r>
      <w:r w:rsidRPr="00AF4382">
        <w:rPr>
          <w:rFonts w:ascii="Arial" w:hAnsi="Arial" w:cs="Arial"/>
          <w:sz w:val="24"/>
          <w:szCs w:val="24"/>
        </w:rPr>
        <w:t>la parte demanda</w:t>
      </w:r>
      <w:r w:rsidR="00AF4382">
        <w:rPr>
          <w:rFonts w:ascii="Arial" w:hAnsi="Arial" w:cs="Arial"/>
          <w:sz w:val="24"/>
          <w:szCs w:val="24"/>
        </w:rPr>
        <w:t>da</w:t>
      </w:r>
      <w:r w:rsidRPr="00AF4382">
        <w:rPr>
          <w:rFonts w:ascii="Arial" w:hAnsi="Arial" w:cs="Arial"/>
          <w:sz w:val="24"/>
          <w:szCs w:val="24"/>
        </w:rPr>
        <w:t xml:space="preserve"> fundamentó</w:t>
      </w:r>
      <w:r w:rsidR="00AF4382" w:rsidRPr="00AF4382">
        <w:rPr>
          <w:rFonts w:ascii="Arial" w:hAnsi="Arial" w:cs="Arial"/>
          <w:sz w:val="24"/>
          <w:szCs w:val="24"/>
        </w:rPr>
        <w:t xml:space="preserve"> inicialmente su actuación </w:t>
      </w:r>
      <w:r w:rsidRPr="00AF4382">
        <w:rPr>
          <w:rFonts w:ascii="Arial" w:hAnsi="Arial" w:cs="Arial"/>
          <w:sz w:val="24"/>
          <w:szCs w:val="24"/>
        </w:rPr>
        <w:t xml:space="preserve">en un artículo </w:t>
      </w:r>
      <w:r w:rsidR="00AF4382" w:rsidRPr="00AF4382">
        <w:rPr>
          <w:rFonts w:ascii="Arial" w:hAnsi="Arial" w:cs="Arial"/>
          <w:sz w:val="24"/>
          <w:szCs w:val="24"/>
        </w:rPr>
        <w:t xml:space="preserve">y Ley </w:t>
      </w:r>
      <w:r w:rsidRPr="00AF4382">
        <w:rPr>
          <w:rFonts w:ascii="Arial" w:hAnsi="Arial" w:cs="Arial"/>
          <w:sz w:val="24"/>
          <w:szCs w:val="24"/>
        </w:rPr>
        <w:t>que ya no estaba vigente al momento de la emisión del acto impugnado</w:t>
      </w:r>
      <w:r w:rsidR="00AF4382" w:rsidRPr="00AF4382">
        <w:rPr>
          <w:rFonts w:ascii="Arial" w:hAnsi="Arial" w:cs="Arial"/>
          <w:sz w:val="24"/>
          <w:szCs w:val="24"/>
        </w:rPr>
        <w:t>.</w:t>
      </w:r>
    </w:p>
    <w:p w14:paraId="024E4097" w14:textId="77777777" w:rsidR="00544E22" w:rsidRDefault="00544E22" w:rsidP="0051508E">
      <w:pPr>
        <w:tabs>
          <w:tab w:val="left" w:pos="8029"/>
        </w:tabs>
        <w:spacing w:after="0" w:line="360" w:lineRule="auto"/>
        <w:ind w:right="51" w:firstLine="567"/>
        <w:jc w:val="both"/>
        <w:rPr>
          <w:rFonts w:ascii="Arial" w:hAnsi="Arial" w:cs="Arial"/>
          <w:sz w:val="24"/>
          <w:szCs w:val="24"/>
        </w:rPr>
      </w:pPr>
    </w:p>
    <w:p w14:paraId="794F8422" w14:textId="0F109E9A" w:rsidR="00115B5B" w:rsidRDefault="003F38A4" w:rsidP="00DE32DD">
      <w:pPr>
        <w:tabs>
          <w:tab w:val="left" w:pos="8029"/>
        </w:tabs>
        <w:spacing w:after="0" w:line="360" w:lineRule="auto"/>
        <w:ind w:right="51" w:firstLine="567"/>
        <w:jc w:val="both"/>
        <w:rPr>
          <w:rFonts w:ascii="Arial" w:hAnsi="Arial" w:cs="Arial"/>
          <w:sz w:val="24"/>
          <w:szCs w:val="24"/>
        </w:rPr>
      </w:pPr>
      <w:r w:rsidRPr="00CE4DDA">
        <w:rPr>
          <w:rFonts w:ascii="Arial" w:hAnsi="Arial" w:cs="Arial"/>
          <w:sz w:val="24"/>
          <w:szCs w:val="24"/>
        </w:rPr>
        <w:t xml:space="preserve">En el </w:t>
      </w:r>
      <w:r w:rsidR="001744EE">
        <w:rPr>
          <w:rFonts w:ascii="Arial" w:hAnsi="Arial" w:cs="Arial"/>
          <w:sz w:val="24"/>
          <w:szCs w:val="24"/>
        </w:rPr>
        <w:t>mencionado</w:t>
      </w:r>
      <w:r w:rsidRPr="00CE4DDA">
        <w:rPr>
          <w:rFonts w:ascii="Arial" w:hAnsi="Arial" w:cs="Arial"/>
          <w:sz w:val="24"/>
          <w:szCs w:val="24"/>
        </w:rPr>
        <w:t xml:space="preserve"> oficio también se citan</w:t>
      </w:r>
      <w:r w:rsidR="00AF4382">
        <w:rPr>
          <w:rFonts w:ascii="Arial" w:hAnsi="Arial" w:cs="Arial"/>
          <w:sz w:val="24"/>
          <w:szCs w:val="24"/>
        </w:rPr>
        <w:t>:</w:t>
      </w:r>
      <w:r w:rsidRPr="00CE4DDA">
        <w:rPr>
          <w:rFonts w:ascii="Arial" w:hAnsi="Arial" w:cs="Arial"/>
          <w:sz w:val="24"/>
          <w:szCs w:val="24"/>
        </w:rPr>
        <w:t xml:space="preserve"> </w:t>
      </w:r>
      <w:r w:rsidR="00115B5B">
        <w:rPr>
          <w:rFonts w:ascii="Arial" w:hAnsi="Arial" w:cs="Arial"/>
          <w:sz w:val="24"/>
          <w:szCs w:val="24"/>
        </w:rPr>
        <w:t>E</w:t>
      </w:r>
      <w:r w:rsidR="0056218F" w:rsidRPr="00CE4DDA">
        <w:rPr>
          <w:rFonts w:ascii="Arial" w:hAnsi="Arial" w:cs="Arial"/>
          <w:sz w:val="24"/>
          <w:szCs w:val="24"/>
        </w:rPr>
        <w:t xml:space="preserve">l artículo </w:t>
      </w:r>
      <w:r w:rsidR="00AF4382">
        <w:rPr>
          <w:rFonts w:ascii="Arial" w:hAnsi="Arial" w:cs="Arial"/>
          <w:sz w:val="24"/>
          <w:szCs w:val="24"/>
        </w:rPr>
        <w:t>68 de la Ley Orgánica Municipal del Estado de Oaxaca</w:t>
      </w:r>
      <w:r w:rsidR="00115B5B">
        <w:rPr>
          <w:rFonts w:ascii="Arial" w:hAnsi="Arial" w:cs="Arial"/>
          <w:sz w:val="24"/>
          <w:szCs w:val="24"/>
        </w:rPr>
        <w:t xml:space="preserve">: </w:t>
      </w:r>
    </w:p>
    <w:p w14:paraId="11BCC307" w14:textId="77777777" w:rsidR="00115B5B" w:rsidRDefault="00115B5B" w:rsidP="00DE32DD">
      <w:pPr>
        <w:tabs>
          <w:tab w:val="left" w:pos="8029"/>
        </w:tabs>
        <w:spacing w:after="0" w:line="360" w:lineRule="auto"/>
        <w:ind w:right="51" w:firstLine="567"/>
        <w:jc w:val="both"/>
        <w:rPr>
          <w:rFonts w:ascii="Arial" w:hAnsi="Arial" w:cs="Arial"/>
          <w:sz w:val="24"/>
          <w:szCs w:val="24"/>
        </w:rPr>
      </w:pPr>
    </w:p>
    <w:p w14:paraId="3ED276D6" w14:textId="714AC51B" w:rsidR="00115B5B" w:rsidRPr="00115B5B" w:rsidRDefault="00115B5B" w:rsidP="00DE32DD">
      <w:pPr>
        <w:tabs>
          <w:tab w:val="left" w:pos="8029"/>
        </w:tabs>
        <w:spacing w:after="0" w:line="360" w:lineRule="auto"/>
        <w:ind w:right="51" w:firstLine="567"/>
        <w:jc w:val="both"/>
        <w:rPr>
          <w:rFonts w:ascii="Arial" w:hAnsi="Arial" w:cs="Arial"/>
          <w:i/>
          <w:iCs/>
        </w:rPr>
      </w:pPr>
      <w:r w:rsidRPr="00115B5B">
        <w:rPr>
          <w:rFonts w:ascii="Arial" w:hAnsi="Arial" w:cs="Arial"/>
          <w:i/>
          <w:iCs/>
        </w:rPr>
        <w:t>ARTÍCULO 68.- El Presidente Municipal, es el representante político y responsable directo de la administración pública municipal, encargado de velar por la correcta ejecución de las disposiciones del Ayuntamiento, con las siguientes facultades y obligaciones: I.- Cumplir y hacer cumplir en el Municipio la presente Ley, las leyes y demás disposiciones de orden normativo municipal, así como los ordenamientos estatales y federales en el ámbito de su competencia, y conducir las relaciones del ayuntamiento con los Poderes del Estado, y con los otros ayuntamientos de la entidad; II.- Planear, programar, presupuestar, coordinar y evaluar el desempeño de las unidades administrativas, de la administración pública municipal que se creen por acuerdo del Ayuntamiento en cumplimiento de esta ley; III.- Presentar al órgano Superior de Fiscalización del Estado de Oaxaca, la Cuenta Pública Municipal del año anterior a más tardar el último día hábil del mes de febrero, y en el año que concluya su mandato, conforme a los plazos y procedimientos que se establezcan legalmente</w:t>
      </w:r>
      <w:r>
        <w:rPr>
          <w:rFonts w:ascii="Arial" w:hAnsi="Arial" w:cs="Arial"/>
          <w:i/>
          <w:iCs/>
        </w:rPr>
        <w:t xml:space="preserve">; </w:t>
      </w:r>
      <w:r w:rsidRPr="00115B5B">
        <w:rPr>
          <w:rFonts w:ascii="Arial" w:hAnsi="Arial" w:cs="Arial"/>
          <w:i/>
          <w:iCs/>
        </w:rPr>
        <w:t>IV.- Convocar y presidir con voz y voto de calidad las sesiones del Cabildo y ejecutar los acuerdos y decisiones del mismo; V.- Promulgar y publicar en la gaceta municipal o en el Periódico Oficial del Gobierno del Estado los Bandos de Policía y Gobierno, los reglamentos, circulares y demás disposiciones administrativas de observancia general, dentro de sus respectivas jurisdicciones, así como los planes y programas de desarrollo municipal; publicados que sean remitirlos a los Poderes del Estado y al Archivo General del Estado; VI.- Expedir de manera inmediata los nombramientos de los Agentes Municipales, de Policía y a los Representantes de Núcleos Rurales, una vez obtenido el resultado de la elección; VII.- Asumir la representación jurídica del ayuntamiento en los litigios, a falta de Síndico o cuando el Síndico o Síndicos estén ausentes o impedidos legalmente para ello;</w:t>
      </w:r>
      <w:r w:rsidRPr="00115B5B">
        <w:t xml:space="preserve"> </w:t>
      </w:r>
      <w:r w:rsidRPr="00115B5B">
        <w:rPr>
          <w:rFonts w:ascii="Arial" w:hAnsi="Arial" w:cs="Arial"/>
          <w:i/>
          <w:iCs/>
        </w:rPr>
        <w:t xml:space="preserve">VIII.- Informar a la población en sesión pública y solemne que deberá celebrarse dentro de los primeros quince días del mes de diciembre de cada año, sobre el estado que guarda la administración pública municipal y de las labores realizadas durante el ejercicio. En los Municipios que se rigen por usos y costumbres, los informes a que se refiere esta fracción, se realizarán en las fechas y de acuerdo a la que sus tradiciones determinen; IX.- Proponer al Ayuntamiento los proyectos de Ley de Ingresos y del Presupuesto de Egresos atendiendo a los principios constitucionales de austeridad, planeación, eficiencia, eficacia, economía, transparencia y honradez, así como a los presupuestos realizados por las comisiones, de conformidad con la fracción VII del artículo 55 </w:t>
      </w:r>
      <w:r w:rsidRPr="00115B5B">
        <w:rPr>
          <w:rFonts w:ascii="Arial" w:hAnsi="Arial" w:cs="Arial"/>
          <w:i/>
          <w:iCs/>
        </w:rPr>
        <w:lastRenderedPageBreak/>
        <w:t>de esta Ley y 24 de la Ley de Coordinación Fiscal para el Estado de Oaxaca; X.- Vigilar la recaudación de ingresos en todos los ramos de la administración pública municipal, con apego a lo dispuesto en la Ley de Ingresos Municipales, inspeccionar los fondos de la hacienda pública municipal, supervisar que la inversión de los recursos municipales se hagan con estricto apego al presupuesto de egresos y a las leyes correspondientes y a los principios constitucionales de austeridad, planeación, eficiencia, eficacia, economía, transparencia y honradez, y en su caso, autorizar los estados financieros del Municipio; XI.- Proponer al Ayuntamiento las comisiones en las que deben actuar sus integrantes; XII.- Ejecutar, administrar, vigilar y evaluar la formulación e instrumentos de los planes de desarrollo urbano, la zonificación, la creación de reservas territoriales, el otorgamiento de licencias y permisos para uso de suelo y construcción, así como los mecanismos que se requieran para la adecuada conducción del desarrollo urbano. Las licencias de construcción deberán señalar los requisitos y lineamientos a que deberán sujetarse las construcciones y remodelaciones que se lleven a cabo, así como las reglas a que deban sujetarse las fachadas dentro de los perímetros de las zonas urbanas de cada Municipio. Las nuevas construcciones de edificios que presten servicios al público, deberán realizarse libres de elementos que puedan constituirse como barreras físicas que impidan la accesibilidad, observando las disposiciones marcadas en los ordenamientos aplicables. Las nuevas construcciones o edificaciones, incluyendo las sometidas a rehabilitación, que se realicen dentro de su jurisdicción, deberán contar con dispositivos y accesorios hidráulicos y sanitarios que cumplan con las Normas Oficiales Mexicanas en materia de ahorro del agua. Para la renovación de las licencias para construcciones que presten servicios al público se deberá tomar en cuenta lo establecido en el párrafo anterior y en el lapso en que las instalaciones no sean las adecuadas, se buscará la comodidad y accesibilidad de las personas con discapacidad dentro de los medios existentes. Las obras que se ejecuten sin autorización; que pongan en peligro a los habitantes; o que se realicen en terrenos ubicados en zonas peligrosas o vías públicas se podrán decretar la demolición de los mismos</w:t>
      </w:r>
      <w:r>
        <w:rPr>
          <w:rFonts w:ascii="Arial" w:hAnsi="Arial" w:cs="Arial"/>
          <w:i/>
          <w:iCs/>
        </w:rPr>
        <w:t xml:space="preserve">. </w:t>
      </w:r>
      <w:r w:rsidRPr="00115B5B">
        <w:rPr>
          <w:rFonts w:ascii="Arial" w:hAnsi="Arial" w:cs="Arial"/>
          <w:i/>
          <w:iCs/>
        </w:rPr>
        <w:t>XIII.- Ejecutar, administrar, vigilar y evaluar la formulación e instrumentación de los planes de desarrollo urbano, la zonificación, la creación de reservas territoriales, el otorgamiento de licencias y permisos para uso de suelo y construcción, así como los mecanismos que se requieran para la adecuada conducción del desarrollo urbano;</w:t>
      </w:r>
      <w:r>
        <w:rPr>
          <w:rFonts w:ascii="Arial" w:hAnsi="Arial" w:cs="Arial"/>
          <w:i/>
          <w:iCs/>
        </w:rPr>
        <w:t xml:space="preserve"> </w:t>
      </w:r>
      <w:r w:rsidRPr="00115B5B">
        <w:rPr>
          <w:rFonts w:ascii="Arial" w:hAnsi="Arial" w:cs="Arial"/>
          <w:i/>
          <w:iCs/>
        </w:rPr>
        <w:t xml:space="preserve">XIV.- Elaborar el Plan Municipal de Desarrollo dentro de los seis primeros meses de su administración, así como los programas anuales de obras y servicios públicos y someterlos al Ayuntamiento para su aprobación; XV.- Promover y vigilar la organización e integración del Concejo de Desarrollo Social Municipal; XVI.- Promover la integración del Concejo Municipal de Protección Civil; XVII.- Informar durante las sesiones ordinarias del Ayuntamiento sobre el estado que guarda la administración municipal y del avance de sus programas; XVIII.- Recepcionar los recursos provenientes de los Fondos de Participaciones, Aportaciones, que le corresponda al Municipio, así como los asignados en el Decreto de Presupuesto de Egresos de la Federación, Programas, Convenios o Subsidios Federales, vigilando la </w:t>
      </w:r>
      <w:r w:rsidRPr="00115B5B">
        <w:rPr>
          <w:rFonts w:ascii="Arial" w:hAnsi="Arial" w:cs="Arial"/>
          <w:i/>
          <w:iCs/>
        </w:rPr>
        <w:lastRenderedPageBreak/>
        <w:t>correcta administración de los mismos, así como del patrimonio municipal;</w:t>
      </w:r>
      <w:r>
        <w:rPr>
          <w:rFonts w:ascii="Arial" w:hAnsi="Arial" w:cs="Arial"/>
          <w:i/>
          <w:iCs/>
        </w:rPr>
        <w:t xml:space="preserve"> </w:t>
      </w:r>
      <w:r w:rsidRPr="00115B5B">
        <w:rPr>
          <w:rFonts w:ascii="Arial" w:hAnsi="Arial" w:cs="Arial"/>
          <w:i/>
          <w:iCs/>
        </w:rPr>
        <w:t>XIX.- Expedir licencias, permisos, autorizaciones o refrendos, previa presentación del Registro Federal de Contribuyentes, cuando se trate de funcionamiento o instalación de comercios, diversiones, bailes y espectáculos públicos, previo dictamen de las comisiones respectivas. Tratándose de solicitudes de expedición de licencias para el funcionamiento de cualquier entidad financiera, adicional a lo señalado en el párrafo anterior, el solicitante deberá acompañar a su solicitud la autorización de la Comisión Nacional Bancaria y de Valores. Cuando no se cuente con la autorización de la Comisión antes citada, se negará la expedición de licencia, además de notificar de lo anterior a la Comisión Nacional Bancaria y de Valores para los efectos legales que correspondan.</w:t>
      </w:r>
      <w:r>
        <w:rPr>
          <w:rFonts w:ascii="Arial" w:hAnsi="Arial" w:cs="Arial"/>
          <w:i/>
          <w:iCs/>
        </w:rPr>
        <w:t xml:space="preserve"> </w:t>
      </w:r>
      <w:r w:rsidRPr="00115B5B">
        <w:rPr>
          <w:rFonts w:ascii="Arial" w:hAnsi="Arial" w:cs="Arial"/>
          <w:i/>
          <w:iCs/>
        </w:rPr>
        <w:t>XX.- Expedir licencias a establecimientos que expendan bebidas alcohólicas, las que de concederse tendrán siempre el carácter de temporales, previa autorización del Cabildo y con apego a la Ley Estatal de Salud; XXI.- Resolver sobre las peticiones de los particulares en materia de permisos para el aprovechamiento y comercio en las vías públicas, con aprobación del Cabildo, las que de concederse, tendrán siempre el carácter de temporales y revocables y no serán gratuitas; XXII.- Proponer al Ayuntamiento al Concejal que deba sustituirlo en sus ausencias no mayores de quince días, o en las sesiones ordinarias que le encomiende; XXIII.- Crear en el primer año de su gestión administrativa un organismo que se denominará Comité Municipal del Sistema para el Desarrollo Integral de la Familia, y en las Agencias Municipales se denominará Subcomité Municipal del Sistema para el Desarrollo Integral de la Familia; XXIV.- Visitar periódicamente las Agencias Municipales y de Policía y todos los demás centros de población urbanos, suburbanos y de naturaleza agraria que conformen el territorio municipal, con el objeto de verificar la eficaz prestación de los servicios públicos municipales y recibir las demandas de la población, para proponer al Cabildo las medidas de solución conducentes;</w:t>
      </w:r>
      <w:r>
        <w:rPr>
          <w:rFonts w:ascii="Arial" w:hAnsi="Arial" w:cs="Arial"/>
          <w:i/>
          <w:iCs/>
        </w:rPr>
        <w:t xml:space="preserve"> </w:t>
      </w:r>
      <w:r w:rsidRPr="00115B5B">
        <w:rPr>
          <w:rFonts w:ascii="Arial" w:hAnsi="Arial" w:cs="Arial"/>
          <w:i/>
          <w:iCs/>
        </w:rPr>
        <w:t>XXV.- Desempeñar las funciones de Registro Civil cuando en su ámbito territorial no exista éste, en los términos del Código Civil para el Estado Libre y Soberano de Oaxaca y del reglamento de la materia; XXVI.- Tener bajo su mando, la Policía Preventiva Municipal en los términos del reglamento correspondiente y de conformidad con lo dispuesto en la Constitución Política de los Estados Unidos Mexicanos, la Constitución Política del Estado Libre y Soberano de Oaxaca y las leyes de la materia; XXVII.- Nombrar y remover a los demás servidores de la administración pública municipal, y expedir los nombramientos respectivos; XXVIII.- Ejercer las facultades que le confiere el artículo 12 de la Ley General de Sociedades Cooperativas; XXXI.- Autorizar los documentos de compraventa de ganado y los permisos para degüello; y XXX.- Celebrar acuerdos, contratos o convenios con el Estado por conducto de la Secretaría de Finanzas del Poder Ejecutivo del Estado, instituciones bancarias, entidades financieras, casas comerciales, oficinas postales y otros organismos público-privados, para que auxilien al Municipio en la recaudación de ingresos municipales.</w:t>
      </w:r>
      <w:r>
        <w:rPr>
          <w:rFonts w:ascii="Arial" w:hAnsi="Arial" w:cs="Arial"/>
          <w:i/>
          <w:iCs/>
        </w:rPr>
        <w:t xml:space="preserve"> </w:t>
      </w:r>
      <w:r w:rsidRPr="00115B5B">
        <w:rPr>
          <w:rFonts w:ascii="Arial" w:hAnsi="Arial" w:cs="Arial"/>
          <w:i/>
          <w:iCs/>
        </w:rPr>
        <w:t>XXXI.- Celebrar convenios con autoridades fiscales estatales o municipales para la asistencia en materia de administración y recaudación de contribuciones y aprovechamientos;</w:t>
      </w:r>
      <w:r>
        <w:rPr>
          <w:rFonts w:ascii="Arial" w:hAnsi="Arial" w:cs="Arial"/>
          <w:i/>
          <w:iCs/>
        </w:rPr>
        <w:t xml:space="preserve"> </w:t>
      </w:r>
      <w:r w:rsidRPr="00115B5B">
        <w:rPr>
          <w:rFonts w:ascii="Arial" w:hAnsi="Arial" w:cs="Arial"/>
          <w:i/>
          <w:iCs/>
        </w:rPr>
        <w:t xml:space="preserve">XXXII.- Tramitar y resolver las solicitudes de </w:t>
      </w:r>
      <w:r w:rsidRPr="00115B5B">
        <w:rPr>
          <w:rFonts w:ascii="Arial" w:hAnsi="Arial" w:cs="Arial"/>
          <w:i/>
          <w:iCs/>
        </w:rPr>
        <w:lastRenderedPageBreak/>
        <w:t>aclaración a que se refiere el artículo 34 del Código Fiscal Municipal del Estado de Oaxaca;</w:t>
      </w:r>
      <w:r>
        <w:rPr>
          <w:rFonts w:ascii="Arial" w:hAnsi="Arial" w:cs="Arial"/>
          <w:i/>
          <w:iCs/>
        </w:rPr>
        <w:t xml:space="preserve"> </w:t>
      </w:r>
      <w:r w:rsidRPr="00115B5B">
        <w:rPr>
          <w:rFonts w:ascii="Arial" w:hAnsi="Arial" w:cs="Arial"/>
          <w:i/>
          <w:iCs/>
        </w:rPr>
        <w:t>XXXIII.- Atender los requerimientos de información del Contralor Interno Municipal y de los Comités de contraloría social, los cuales habrán de crearse en el primer año de ejercicio. XXXIV.- Las demás que le señalen las leyes, los bandos de policía y gobierno, los reglamentos, circulares y disposiciones administrativas de observancia general dentro de sus ámbitos territoriales.</w:t>
      </w:r>
    </w:p>
    <w:p w14:paraId="614C067A" w14:textId="62AE0655" w:rsidR="00115B5B" w:rsidRDefault="00115B5B" w:rsidP="00DE32DD">
      <w:pPr>
        <w:tabs>
          <w:tab w:val="left" w:pos="8029"/>
        </w:tabs>
        <w:spacing w:after="0" w:line="360" w:lineRule="auto"/>
        <w:ind w:right="51" w:firstLine="567"/>
        <w:jc w:val="both"/>
        <w:rPr>
          <w:rFonts w:ascii="Arial" w:hAnsi="Arial" w:cs="Arial"/>
          <w:sz w:val="24"/>
          <w:szCs w:val="24"/>
        </w:rPr>
      </w:pPr>
    </w:p>
    <w:p w14:paraId="4935C8C4" w14:textId="4D49C958" w:rsidR="009A269E" w:rsidRDefault="009A269E" w:rsidP="00DE32DD">
      <w:pPr>
        <w:tabs>
          <w:tab w:val="left" w:pos="8029"/>
        </w:tabs>
        <w:spacing w:after="0" w:line="360" w:lineRule="auto"/>
        <w:ind w:right="51" w:firstLine="567"/>
        <w:jc w:val="both"/>
        <w:rPr>
          <w:rFonts w:ascii="Arial" w:hAnsi="Arial" w:cs="Arial"/>
          <w:sz w:val="24"/>
          <w:szCs w:val="24"/>
        </w:rPr>
      </w:pPr>
      <w:r>
        <w:rPr>
          <w:rFonts w:ascii="Arial" w:hAnsi="Arial" w:cs="Arial"/>
          <w:sz w:val="24"/>
          <w:szCs w:val="24"/>
        </w:rPr>
        <w:t>De la lectura de las treinta y cuatro fracciones contenidas en el citado artículo, no se encuentra disposición expresa que determine la competencia y facult</w:t>
      </w:r>
      <w:r w:rsidR="00B91B2C">
        <w:rPr>
          <w:rFonts w:ascii="Arial" w:hAnsi="Arial" w:cs="Arial"/>
          <w:sz w:val="24"/>
          <w:szCs w:val="24"/>
        </w:rPr>
        <w:t>ad</w:t>
      </w:r>
      <w:r>
        <w:rPr>
          <w:rFonts w:ascii="Arial" w:hAnsi="Arial" w:cs="Arial"/>
          <w:sz w:val="24"/>
          <w:szCs w:val="24"/>
        </w:rPr>
        <w:t xml:space="preserve"> </w:t>
      </w:r>
      <w:r w:rsidR="00B91B2C">
        <w:rPr>
          <w:rFonts w:ascii="Arial" w:hAnsi="Arial" w:cs="Arial"/>
          <w:sz w:val="24"/>
          <w:szCs w:val="24"/>
        </w:rPr>
        <w:t>de</w:t>
      </w:r>
      <w:r>
        <w:rPr>
          <w:rFonts w:ascii="Arial" w:hAnsi="Arial" w:cs="Arial"/>
          <w:sz w:val="24"/>
          <w:szCs w:val="24"/>
        </w:rPr>
        <w:t>l Presidente Municipal</w:t>
      </w:r>
      <w:r w:rsidR="00B91B2C">
        <w:rPr>
          <w:rFonts w:ascii="Arial" w:hAnsi="Arial" w:cs="Arial"/>
          <w:sz w:val="24"/>
          <w:szCs w:val="24"/>
        </w:rPr>
        <w:t xml:space="preserve"> para la emisión, determinación y/o actualización de los estados de las cuentas prediales de dicho impuesto.</w:t>
      </w:r>
    </w:p>
    <w:p w14:paraId="6F22DA30" w14:textId="77777777" w:rsidR="00B91B2C" w:rsidRDefault="00B91B2C" w:rsidP="00DE32DD">
      <w:pPr>
        <w:tabs>
          <w:tab w:val="left" w:pos="8029"/>
        </w:tabs>
        <w:spacing w:after="0" w:line="360" w:lineRule="auto"/>
        <w:ind w:right="51" w:firstLine="567"/>
        <w:jc w:val="both"/>
        <w:rPr>
          <w:rFonts w:ascii="Arial" w:hAnsi="Arial" w:cs="Arial"/>
          <w:sz w:val="24"/>
          <w:szCs w:val="24"/>
        </w:rPr>
      </w:pPr>
    </w:p>
    <w:p w14:paraId="3DB6DC12" w14:textId="271965AA" w:rsidR="009A269E" w:rsidRDefault="009A269E" w:rsidP="00DE32DD">
      <w:pPr>
        <w:tabs>
          <w:tab w:val="left" w:pos="8029"/>
        </w:tabs>
        <w:spacing w:after="0" w:line="360" w:lineRule="auto"/>
        <w:ind w:right="51" w:firstLine="567"/>
        <w:jc w:val="both"/>
        <w:rPr>
          <w:rFonts w:ascii="Arial" w:hAnsi="Arial" w:cs="Arial"/>
          <w:sz w:val="24"/>
          <w:szCs w:val="24"/>
        </w:rPr>
      </w:pPr>
      <w:r>
        <w:rPr>
          <w:rFonts w:ascii="Arial" w:hAnsi="Arial" w:cs="Arial"/>
          <w:sz w:val="24"/>
          <w:szCs w:val="24"/>
        </w:rPr>
        <w:t>E</w:t>
      </w:r>
      <w:r w:rsidR="00AF4382">
        <w:rPr>
          <w:rFonts w:ascii="Arial" w:hAnsi="Arial" w:cs="Arial"/>
          <w:sz w:val="24"/>
          <w:szCs w:val="24"/>
        </w:rPr>
        <w:t>l artículo 6 fracción II del Código Fiscal del Municipio de Oaxaca</w:t>
      </w:r>
      <w:r w:rsidR="00B91B2C">
        <w:rPr>
          <w:rFonts w:ascii="Arial" w:hAnsi="Arial" w:cs="Arial"/>
          <w:sz w:val="24"/>
          <w:szCs w:val="24"/>
        </w:rPr>
        <w:t>:</w:t>
      </w:r>
    </w:p>
    <w:p w14:paraId="3C052DCA" w14:textId="56B7EA99" w:rsidR="001A4A23" w:rsidRPr="001A4A23" w:rsidRDefault="001A4A23" w:rsidP="001A4A23">
      <w:pPr>
        <w:rPr>
          <w:rFonts w:ascii="Arial" w:hAnsi="Arial" w:cs="Arial"/>
          <w:i/>
          <w:iCs/>
        </w:rPr>
      </w:pPr>
      <w:r w:rsidRPr="001A4A23">
        <w:rPr>
          <w:rFonts w:ascii="Arial" w:hAnsi="Arial" w:cs="Arial"/>
          <w:i/>
          <w:iCs/>
        </w:rPr>
        <w:t>Artículo 6</w:t>
      </w:r>
      <w:r w:rsidR="006D73B6">
        <w:rPr>
          <w:rFonts w:ascii="Arial" w:hAnsi="Arial" w:cs="Arial"/>
          <w:i/>
          <w:iCs/>
        </w:rPr>
        <w:t>.</w:t>
      </w:r>
      <w:r w:rsidR="00E705B0">
        <w:rPr>
          <w:rFonts w:ascii="Arial" w:hAnsi="Arial" w:cs="Arial"/>
          <w:i/>
          <w:iCs/>
        </w:rPr>
        <w:t xml:space="preserve"> </w:t>
      </w:r>
      <w:r w:rsidRPr="001A4A23">
        <w:rPr>
          <w:rFonts w:ascii="Arial" w:hAnsi="Arial" w:cs="Arial"/>
          <w:i/>
          <w:iCs/>
        </w:rPr>
        <w:t>Son autoridades fiscales municipales para los efectos de este Código y demás disposiciones municipales vigentes, las siguientes:</w:t>
      </w:r>
    </w:p>
    <w:p w14:paraId="2DBA765A" w14:textId="77777777" w:rsidR="001A4A23" w:rsidRPr="001A4A23" w:rsidRDefault="001A4A23" w:rsidP="001A4A23">
      <w:pPr>
        <w:pStyle w:val="NormalWeb"/>
        <w:numPr>
          <w:ilvl w:val="0"/>
          <w:numId w:val="5"/>
        </w:numPr>
        <w:shd w:val="clear" w:color="auto" w:fill="FFFFFF"/>
        <w:spacing w:before="0" w:beforeAutospacing="0" w:after="150" w:afterAutospacing="0" w:line="300" w:lineRule="atLeast"/>
        <w:ind w:left="1095"/>
        <w:rPr>
          <w:rFonts w:ascii="Arial" w:eastAsiaTheme="minorHAnsi" w:hAnsi="Arial" w:cs="Arial"/>
          <w:i/>
          <w:iCs/>
          <w:sz w:val="22"/>
          <w:szCs w:val="22"/>
          <w:lang w:eastAsia="en-US"/>
        </w:rPr>
      </w:pPr>
      <w:r w:rsidRPr="001A4A23">
        <w:rPr>
          <w:rFonts w:ascii="Arial" w:eastAsiaTheme="minorHAnsi" w:hAnsi="Arial" w:cs="Arial"/>
          <w:i/>
          <w:iCs/>
          <w:sz w:val="22"/>
          <w:szCs w:val="22"/>
          <w:lang w:eastAsia="en-US"/>
        </w:rPr>
        <w:t>El Ayuntamiento;</w:t>
      </w:r>
    </w:p>
    <w:p w14:paraId="655B179C" w14:textId="77777777" w:rsidR="001A4A23" w:rsidRPr="001A4A23" w:rsidRDefault="001A4A23" w:rsidP="001A4A23">
      <w:pPr>
        <w:pStyle w:val="NormalWeb"/>
        <w:numPr>
          <w:ilvl w:val="0"/>
          <w:numId w:val="6"/>
        </w:numPr>
        <w:shd w:val="clear" w:color="auto" w:fill="FFFFFF"/>
        <w:spacing w:before="0" w:beforeAutospacing="0" w:after="150" w:afterAutospacing="0" w:line="300" w:lineRule="atLeast"/>
        <w:ind w:left="1095"/>
        <w:rPr>
          <w:rFonts w:ascii="Arial" w:eastAsiaTheme="minorHAnsi" w:hAnsi="Arial" w:cs="Arial"/>
          <w:i/>
          <w:iCs/>
          <w:sz w:val="22"/>
          <w:szCs w:val="22"/>
          <w:lang w:eastAsia="en-US"/>
        </w:rPr>
      </w:pPr>
      <w:r w:rsidRPr="001A4A23">
        <w:rPr>
          <w:rFonts w:ascii="Arial" w:eastAsiaTheme="minorHAnsi" w:hAnsi="Arial" w:cs="Arial"/>
          <w:i/>
          <w:iCs/>
          <w:sz w:val="22"/>
          <w:szCs w:val="22"/>
          <w:lang w:eastAsia="en-US"/>
        </w:rPr>
        <w:t>El Presidente Municipal;</w:t>
      </w:r>
    </w:p>
    <w:p w14:paraId="72A5AF5C" w14:textId="77777777" w:rsidR="001A4A23" w:rsidRPr="001A4A23" w:rsidRDefault="001A4A23" w:rsidP="001A4A23">
      <w:pPr>
        <w:pStyle w:val="NormalWeb"/>
        <w:numPr>
          <w:ilvl w:val="0"/>
          <w:numId w:val="7"/>
        </w:numPr>
        <w:shd w:val="clear" w:color="auto" w:fill="FFFFFF"/>
        <w:spacing w:before="0" w:beforeAutospacing="0" w:after="150" w:afterAutospacing="0" w:line="300" w:lineRule="atLeast"/>
        <w:ind w:left="1095"/>
        <w:jc w:val="both"/>
        <w:rPr>
          <w:rFonts w:ascii="Arial" w:eastAsiaTheme="minorHAnsi" w:hAnsi="Arial" w:cs="Arial"/>
          <w:i/>
          <w:iCs/>
          <w:sz w:val="22"/>
          <w:szCs w:val="22"/>
          <w:lang w:eastAsia="en-US"/>
        </w:rPr>
      </w:pPr>
      <w:r w:rsidRPr="001A4A23">
        <w:rPr>
          <w:rFonts w:ascii="Arial" w:eastAsiaTheme="minorHAnsi" w:hAnsi="Arial" w:cs="Arial"/>
          <w:i/>
          <w:iCs/>
          <w:sz w:val="22"/>
          <w:szCs w:val="22"/>
          <w:lang w:eastAsia="en-US"/>
        </w:rPr>
        <w:t>Tesorero y los Titulares de las áreas administrativas que le estén jerárquicamente subordinadas;</w:t>
      </w:r>
    </w:p>
    <w:p w14:paraId="594547A5" w14:textId="77777777" w:rsidR="001A4A23" w:rsidRPr="001A4A23" w:rsidRDefault="001A4A23" w:rsidP="001A4A23">
      <w:pPr>
        <w:pStyle w:val="NormalWeb"/>
        <w:numPr>
          <w:ilvl w:val="0"/>
          <w:numId w:val="8"/>
        </w:numPr>
        <w:shd w:val="clear" w:color="auto" w:fill="FFFFFF"/>
        <w:spacing w:before="0" w:beforeAutospacing="0" w:after="150" w:afterAutospacing="0" w:line="300" w:lineRule="atLeast"/>
        <w:ind w:left="1095"/>
        <w:jc w:val="both"/>
        <w:rPr>
          <w:rFonts w:ascii="Arial" w:eastAsiaTheme="minorHAnsi" w:hAnsi="Arial" w:cs="Arial"/>
          <w:i/>
          <w:iCs/>
          <w:sz w:val="22"/>
          <w:szCs w:val="22"/>
          <w:lang w:eastAsia="en-US"/>
        </w:rPr>
      </w:pPr>
      <w:r w:rsidRPr="001A4A23">
        <w:rPr>
          <w:rFonts w:ascii="Arial" w:eastAsiaTheme="minorHAnsi" w:hAnsi="Arial" w:cs="Arial"/>
          <w:i/>
          <w:iCs/>
          <w:sz w:val="22"/>
          <w:szCs w:val="22"/>
          <w:lang w:eastAsia="en-US"/>
        </w:rPr>
        <w:t>Los organismos autorizados para la administración y recaudación de ingresos públicos, en el desempeño de dichas funciones, así como los servidores públicos federales y estatales, cuando los Convenios de Colaboración celebrados, así lo prevengan, y</w:t>
      </w:r>
    </w:p>
    <w:p w14:paraId="51DA5C15" w14:textId="77777777" w:rsidR="001A4A23" w:rsidRPr="001A4A23" w:rsidRDefault="001A4A23" w:rsidP="001A4A23">
      <w:pPr>
        <w:pStyle w:val="NormalWeb"/>
        <w:numPr>
          <w:ilvl w:val="0"/>
          <w:numId w:val="9"/>
        </w:numPr>
        <w:shd w:val="clear" w:color="auto" w:fill="FFFFFF"/>
        <w:spacing w:before="0" w:beforeAutospacing="0" w:after="150" w:afterAutospacing="0" w:line="300" w:lineRule="atLeast"/>
        <w:ind w:left="1095"/>
        <w:jc w:val="both"/>
        <w:rPr>
          <w:rFonts w:ascii="Arial" w:eastAsiaTheme="minorHAnsi" w:hAnsi="Arial" w:cs="Arial"/>
          <w:i/>
          <w:iCs/>
          <w:sz w:val="22"/>
          <w:szCs w:val="22"/>
          <w:lang w:eastAsia="en-US"/>
        </w:rPr>
      </w:pPr>
      <w:r w:rsidRPr="001A4A23">
        <w:rPr>
          <w:rFonts w:ascii="Arial" w:eastAsiaTheme="minorHAnsi" w:hAnsi="Arial" w:cs="Arial"/>
          <w:i/>
          <w:iCs/>
          <w:sz w:val="22"/>
          <w:szCs w:val="22"/>
          <w:lang w:eastAsia="en-US"/>
        </w:rPr>
        <w:t>Quienes conforme a las disposiciones legales municipales o convenios de colaboración tengan facultades para administrar ingresos fiscales.</w:t>
      </w:r>
    </w:p>
    <w:p w14:paraId="410B74FC" w14:textId="77777777" w:rsidR="001A4A23" w:rsidRPr="001A4A23" w:rsidRDefault="001A4A23" w:rsidP="001A4A23">
      <w:pPr>
        <w:pStyle w:val="NormalWeb"/>
        <w:shd w:val="clear" w:color="auto" w:fill="FFFFFF"/>
        <w:spacing w:before="0" w:beforeAutospacing="0" w:after="150" w:afterAutospacing="0"/>
        <w:jc w:val="both"/>
        <w:rPr>
          <w:rFonts w:ascii="Arial" w:eastAsiaTheme="minorHAnsi" w:hAnsi="Arial" w:cs="Arial"/>
          <w:i/>
          <w:iCs/>
          <w:sz w:val="22"/>
          <w:szCs w:val="22"/>
          <w:lang w:eastAsia="en-US"/>
        </w:rPr>
      </w:pPr>
      <w:r w:rsidRPr="001A4A23">
        <w:rPr>
          <w:rFonts w:ascii="Arial" w:eastAsiaTheme="minorHAnsi" w:hAnsi="Arial" w:cs="Arial"/>
          <w:i/>
          <w:iCs/>
          <w:sz w:val="22"/>
          <w:szCs w:val="22"/>
          <w:lang w:eastAsia="en-US"/>
        </w:rPr>
        <w:t>Las autoridades fiscales del Municipio podrán coordinarse con las autoridades fiscales estatales, para el mejor cumplimiento de este Código, en cuyo caso se les considerará autoridades fiscales municipales y ejercerán las facultades que expresamente señalen los convenios o acuerdos respectivos en términos de las disposiciones fiscales municipales, por lo que en contra de los actos que realicen, solo procederán los recursos y medios de defensa establecidos en este Código.</w:t>
      </w:r>
    </w:p>
    <w:p w14:paraId="56EF99C3" w14:textId="77777777" w:rsidR="009A269E" w:rsidRDefault="009A269E" w:rsidP="00DE32DD">
      <w:pPr>
        <w:tabs>
          <w:tab w:val="left" w:pos="8029"/>
        </w:tabs>
        <w:spacing w:after="0" w:line="360" w:lineRule="auto"/>
        <w:ind w:right="51" w:firstLine="567"/>
        <w:jc w:val="both"/>
        <w:rPr>
          <w:rFonts w:ascii="Arial" w:hAnsi="Arial" w:cs="Arial"/>
          <w:sz w:val="24"/>
          <w:szCs w:val="24"/>
        </w:rPr>
      </w:pPr>
    </w:p>
    <w:p w14:paraId="01F9E40F" w14:textId="48603D40" w:rsidR="006D73B6" w:rsidRPr="00CE4DDA" w:rsidRDefault="006D73B6" w:rsidP="006D73B6">
      <w:pPr>
        <w:tabs>
          <w:tab w:val="left" w:pos="8029"/>
        </w:tabs>
        <w:spacing w:after="0" w:line="360" w:lineRule="auto"/>
        <w:ind w:right="51" w:firstLine="567"/>
        <w:jc w:val="both"/>
        <w:rPr>
          <w:rFonts w:ascii="Arial" w:hAnsi="Arial" w:cs="Arial"/>
          <w:sz w:val="24"/>
          <w:szCs w:val="24"/>
        </w:rPr>
      </w:pPr>
      <w:r w:rsidRPr="00CE4DDA">
        <w:rPr>
          <w:rFonts w:ascii="Arial" w:hAnsi="Arial" w:cs="Arial"/>
          <w:sz w:val="24"/>
          <w:szCs w:val="24"/>
        </w:rPr>
        <w:t>Del artículo transcrito, se advierte que solamente hace mención de quienes son autoridades fiscales para efecto del Código Fiscal Municipal</w:t>
      </w:r>
      <w:r>
        <w:rPr>
          <w:rFonts w:ascii="Arial" w:hAnsi="Arial" w:cs="Arial"/>
          <w:sz w:val="24"/>
          <w:szCs w:val="24"/>
        </w:rPr>
        <w:t xml:space="preserve"> del Estado de Oaxaca</w:t>
      </w:r>
      <w:r w:rsidRPr="00CE4DDA">
        <w:rPr>
          <w:rFonts w:ascii="Arial" w:hAnsi="Arial" w:cs="Arial"/>
          <w:sz w:val="24"/>
          <w:szCs w:val="24"/>
        </w:rPr>
        <w:t>, sin embargo, no se señala</w:t>
      </w:r>
      <w:r>
        <w:rPr>
          <w:rFonts w:ascii="Arial" w:hAnsi="Arial" w:cs="Arial"/>
          <w:sz w:val="24"/>
          <w:szCs w:val="24"/>
        </w:rPr>
        <w:t>n</w:t>
      </w:r>
      <w:r w:rsidRPr="00CE4DDA">
        <w:rPr>
          <w:rFonts w:ascii="Arial" w:hAnsi="Arial" w:cs="Arial"/>
          <w:sz w:val="24"/>
          <w:szCs w:val="24"/>
        </w:rPr>
        <w:t xml:space="preserve"> las facultades específicas del </w:t>
      </w:r>
      <w:r>
        <w:rPr>
          <w:rFonts w:ascii="Arial" w:hAnsi="Arial" w:cs="Arial"/>
          <w:sz w:val="24"/>
          <w:szCs w:val="24"/>
        </w:rPr>
        <w:t>Presidente</w:t>
      </w:r>
      <w:r w:rsidRPr="00CE4DDA">
        <w:rPr>
          <w:rFonts w:ascii="Arial" w:hAnsi="Arial" w:cs="Arial"/>
          <w:sz w:val="24"/>
          <w:szCs w:val="24"/>
        </w:rPr>
        <w:t xml:space="preserve"> Municipal para </w:t>
      </w:r>
      <w:r>
        <w:rPr>
          <w:rFonts w:ascii="Arial" w:hAnsi="Arial" w:cs="Arial"/>
          <w:sz w:val="24"/>
          <w:szCs w:val="24"/>
        </w:rPr>
        <w:t xml:space="preserve">emitir, </w:t>
      </w:r>
      <w:r w:rsidRPr="00CE4DDA">
        <w:rPr>
          <w:rFonts w:ascii="Arial" w:hAnsi="Arial" w:cs="Arial"/>
          <w:sz w:val="24"/>
          <w:szCs w:val="24"/>
        </w:rPr>
        <w:t>determinar</w:t>
      </w:r>
      <w:r>
        <w:rPr>
          <w:rFonts w:ascii="Arial" w:hAnsi="Arial" w:cs="Arial"/>
          <w:sz w:val="24"/>
          <w:szCs w:val="24"/>
        </w:rPr>
        <w:t>, actualizar,</w:t>
      </w:r>
      <w:r w:rsidR="00933C2E">
        <w:rPr>
          <w:rFonts w:ascii="Arial" w:hAnsi="Arial" w:cs="Arial"/>
          <w:sz w:val="24"/>
          <w:szCs w:val="24"/>
        </w:rPr>
        <w:t xml:space="preserve"> el impuesto predial. </w:t>
      </w:r>
    </w:p>
    <w:p w14:paraId="6AAEBB29" w14:textId="77777777" w:rsidR="006D73B6" w:rsidRDefault="006D73B6" w:rsidP="006D73B6">
      <w:pPr>
        <w:tabs>
          <w:tab w:val="left" w:pos="8029"/>
        </w:tabs>
        <w:spacing w:after="0" w:line="360" w:lineRule="auto"/>
        <w:ind w:right="51" w:firstLine="567"/>
        <w:jc w:val="both"/>
        <w:rPr>
          <w:rFonts w:ascii="Arial" w:hAnsi="Arial" w:cs="Arial"/>
          <w:sz w:val="24"/>
          <w:szCs w:val="24"/>
        </w:rPr>
      </w:pPr>
    </w:p>
    <w:p w14:paraId="088E07B7" w14:textId="1EB50ECE" w:rsidR="006D73B6" w:rsidRDefault="006D73B6" w:rsidP="00DE32DD">
      <w:pPr>
        <w:tabs>
          <w:tab w:val="left" w:pos="8029"/>
        </w:tabs>
        <w:spacing w:after="0" w:line="360" w:lineRule="auto"/>
        <w:ind w:right="51" w:firstLine="567"/>
        <w:jc w:val="both"/>
        <w:rPr>
          <w:rFonts w:ascii="Arial" w:hAnsi="Arial" w:cs="Arial"/>
          <w:sz w:val="24"/>
          <w:szCs w:val="24"/>
        </w:rPr>
      </w:pPr>
      <w:r>
        <w:rPr>
          <w:rFonts w:ascii="Arial" w:hAnsi="Arial" w:cs="Arial"/>
          <w:sz w:val="24"/>
          <w:szCs w:val="24"/>
        </w:rPr>
        <w:t>Y</w:t>
      </w:r>
      <w:r w:rsidR="00AF4382">
        <w:rPr>
          <w:rFonts w:ascii="Arial" w:hAnsi="Arial" w:cs="Arial"/>
          <w:sz w:val="24"/>
          <w:szCs w:val="24"/>
        </w:rPr>
        <w:t xml:space="preserve"> en los artículos </w:t>
      </w:r>
      <w:r w:rsidR="0056218F" w:rsidRPr="00CE4DDA">
        <w:rPr>
          <w:rFonts w:ascii="Arial" w:hAnsi="Arial" w:cs="Arial"/>
          <w:sz w:val="24"/>
          <w:szCs w:val="24"/>
        </w:rPr>
        <w:t>42</w:t>
      </w:r>
      <w:r w:rsidR="00AF4382">
        <w:rPr>
          <w:rFonts w:ascii="Arial" w:hAnsi="Arial" w:cs="Arial"/>
          <w:sz w:val="24"/>
          <w:szCs w:val="24"/>
        </w:rPr>
        <w:t>,</w:t>
      </w:r>
      <w:r w:rsidR="0056218F" w:rsidRPr="00CE4DDA">
        <w:rPr>
          <w:rFonts w:ascii="Arial" w:hAnsi="Arial" w:cs="Arial"/>
          <w:sz w:val="24"/>
          <w:szCs w:val="24"/>
        </w:rPr>
        <w:t xml:space="preserve"> 43, 45 fracción II, 46</w:t>
      </w:r>
      <w:r w:rsidR="00AF4382">
        <w:rPr>
          <w:rFonts w:ascii="Arial" w:hAnsi="Arial" w:cs="Arial"/>
          <w:sz w:val="24"/>
          <w:szCs w:val="24"/>
        </w:rPr>
        <w:t>,</w:t>
      </w:r>
      <w:r w:rsidR="0056218F" w:rsidRPr="00CE4DDA">
        <w:rPr>
          <w:rFonts w:ascii="Arial" w:hAnsi="Arial" w:cs="Arial"/>
          <w:sz w:val="24"/>
          <w:szCs w:val="24"/>
        </w:rPr>
        <w:t xml:space="preserve"> 47, 48, y 64, de la Ley de Ingresos del Municipio de Salina Cruz, Oaxaca, para el ejercicio </w:t>
      </w:r>
      <w:r w:rsidR="00AF4382">
        <w:rPr>
          <w:rFonts w:ascii="Arial" w:hAnsi="Arial" w:cs="Arial"/>
          <w:sz w:val="24"/>
          <w:szCs w:val="24"/>
        </w:rPr>
        <w:t>fiscal 2019 y 2020</w:t>
      </w:r>
      <w:r>
        <w:rPr>
          <w:rFonts w:ascii="Arial" w:hAnsi="Arial" w:cs="Arial"/>
          <w:sz w:val="24"/>
          <w:szCs w:val="24"/>
        </w:rPr>
        <w:t>:</w:t>
      </w:r>
      <w:r w:rsidR="0056218F" w:rsidRPr="00CE4DDA">
        <w:rPr>
          <w:rFonts w:ascii="Arial" w:hAnsi="Arial" w:cs="Arial"/>
          <w:sz w:val="24"/>
          <w:szCs w:val="24"/>
        </w:rPr>
        <w:t xml:space="preserve"> </w:t>
      </w:r>
    </w:p>
    <w:p w14:paraId="37F95718" w14:textId="2305BB58" w:rsidR="006D73B6" w:rsidRDefault="006D73B6" w:rsidP="00DE32DD">
      <w:pPr>
        <w:tabs>
          <w:tab w:val="left" w:pos="8029"/>
        </w:tabs>
        <w:spacing w:after="0" w:line="360" w:lineRule="auto"/>
        <w:ind w:right="51" w:firstLine="567"/>
        <w:jc w:val="both"/>
        <w:rPr>
          <w:rFonts w:ascii="Arial" w:hAnsi="Arial" w:cs="Arial"/>
          <w:sz w:val="24"/>
          <w:szCs w:val="24"/>
        </w:rPr>
      </w:pPr>
    </w:p>
    <w:p w14:paraId="2DF0F5E3" w14:textId="0643B5B6" w:rsidR="006D73B6" w:rsidRDefault="00747661" w:rsidP="006D73B6">
      <w:pPr>
        <w:pStyle w:val="NormalWeb"/>
        <w:shd w:val="clear" w:color="auto" w:fill="FFFFFF"/>
        <w:spacing w:before="0" w:beforeAutospacing="0" w:after="150" w:afterAutospacing="0"/>
        <w:jc w:val="both"/>
        <w:rPr>
          <w:rFonts w:ascii="Arial" w:eastAsiaTheme="minorHAnsi" w:hAnsi="Arial" w:cs="Arial"/>
          <w:i/>
          <w:iCs/>
          <w:sz w:val="22"/>
          <w:szCs w:val="22"/>
          <w:lang w:eastAsia="en-US"/>
        </w:rPr>
      </w:pPr>
      <w:r>
        <w:rPr>
          <w:rFonts w:ascii="Arial" w:eastAsiaTheme="minorHAnsi" w:hAnsi="Arial" w:cs="Arial"/>
          <w:i/>
          <w:iCs/>
          <w:sz w:val="22"/>
          <w:szCs w:val="22"/>
          <w:lang w:eastAsia="en-US"/>
        </w:rPr>
        <w:lastRenderedPageBreak/>
        <w:t>“</w:t>
      </w:r>
      <w:r w:rsidR="006D73B6" w:rsidRPr="006D73B6">
        <w:rPr>
          <w:rFonts w:ascii="Arial" w:eastAsiaTheme="minorHAnsi" w:hAnsi="Arial" w:cs="Arial"/>
          <w:i/>
          <w:iCs/>
          <w:sz w:val="22"/>
          <w:szCs w:val="22"/>
          <w:lang w:eastAsia="en-US"/>
        </w:rPr>
        <w:t>Artículo 42. Son sujetos de este impuesto las personas físicas o morales que realicen o exploten diversiones o espectáculos públicos dentro de la jurisdicción del Municipio.</w:t>
      </w:r>
    </w:p>
    <w:p w14:paraId="4F023D3E" w14:textId="23F44E43" w:rsidR="006D73B6" w:rsidRDefault="006D73B6" w:rsidP="006D73B6">
      <w:pPr>
        <w:pStyle w:val="NormalWeb"/>
        <w:shd w:val="clear" w:color="auto" w:fill="FFFFFF"/>
        <w:spacing w:before="0" w:beforeAutospacing="0" w:after="150" w:afterAutospacing="0"/>
        <w:jc w:val="both"/>
        <w:rPr>
          <w:rFonts w:ascii="Arial" w:eastAsiaTheme="minorHAnsi" w:hAnsi="Arial" w:cs="Arial"/>
          <w:i/>
          <w:iCs/>
          <w:sz w:val="22"/>
          <w:szCs w:val="22"/>
          <w:lang w:eastAsia="en-US"/>
        </w:rPr>
      </w:pPr>
    </w:p>
    <w:p w14:paraId="6E6B38E7" w14:textId="77C9F794" w:rsidR="006D73B6" w:rsidRDefault="006D73B6" w:rsidP="006D73B6">
      <w:pPr>
        <w:pStyle w:val="NormalWeb"/>
        <w:shd w:val="clear" w:color="auto" w:fill="FFFFFF"/>
        <w:spacing w:before="0" w:beforeAutospacing="0" w:after="150" w:afterAutospacing="0"/>
        <w:jc w:val="both"/>
        <w:rPr>
          <w:rFonts w:ascii="Arial" w:eastAsiaTheme="minorHAnsi" w:hAnsi="Arial" w:cs="Arial"/>
          <w:i/>
          <w:iCs/>
          <w:sz w:val="22"/>
          <w:szCs w:val="22"/>
          <w:lang w:eastAsia="en-US"/>
        </w:rPr>
      </w:pPr>
      <w:r w:rsidRPr="006D73B6">
        <w:rPr>
          <w:rFonts w:ascii="Arial" w:eastAsiaTheme="minorHAnsi" w:hAnsi="Arial" w:cs="Arial"/>
          <w:i/>
          <w:iCs/>
          <w:sz w:val="22"/>
          <w:szCs w:val="22"/>
          <w:lang w:eastAsia="en-US"/>
        </w:rPr>
        <w:t>Artículo 43. La base para el pago de este impuesto serán los ingresos brutos que se generen por el pago del boletaje, cuotas, contraseñas o similar que permita la entrada a las diversiones o espectáculos públicos.</w:t>
      </w:r>
    </w:p>
    <w:p w14:paraId="1A2BED17" w14:textId="22335CCE" w:rsidR="006D73B6" w:rsidRDefault="006D73B6" w:rsidP="006D73B6">
      <w:pPr>
        <w:pStyle w:val="NormalWeb"/>
        <w:shd w:val="clear" w:color="auto" w:fill="FFFFFF"/>
        <w:spacing w:before="0" w:beforeAutospacing="0" w:after="150" w:afterAutospacing="0"/>
        <w:jc w:val="both"/>
        <w:rPr>
          <w:rFonts w:ascii="Arial" w:eastAsiaTheme="minorHAnsi" w:hAnsi="Arial" w:cs="Arial"/>
          <w:i/>
          <w:iCs/>
          <w:sz w:val="22"/>
          <w:szCs w:val="22"/>
          <w:lang w:eastAsia="en-US"/>
        </w:rPr>
      </w:pPr>
    </w:p>
    <w:p w14:paraId="277C0F52" w14:textId="3AE9397F" w:rsidR="006D73B6" w:rsidRDefault="006D73B6" w:rsidP="006D73B6">
      <w:pPr>
        <w:pStyle w:val="NormalWeb"/>
        <w:shd w:val="clear" w:color="auto" w:fill="FFFFFF"/>
        <w:spacing w:before="0" w:beforeAutospacing="0" w:after="150" w:afterAutospacing="0"/>
        <w:jc w:val="both"/>
        <w:rPr>
          <w:rFonts w:ascii="Arial" w:eastAsiaTheme="minorHAnsi" w:hAnsi="Arial" w:cs="Arial"/>
          <w:i/>
          <w:iCs/>
          <w:sz w:val="22"/>
          <w:szCs w:val="22"/>
          <w:lang w:eastAsia="en-US"/>
        </w:rPr>
      </w:pPr>
      <w:r w:rsidRPr="006D73B6">
        <w:rPr>
          <w:rFonts w:ascii="Arial" w:eastAsiaTheme="minorHAnsi" w:hAnsi="Arial" w:cs="Arial"/>
          <w:i/>
          <w:iCs/>
          <w:sz w:val="22"/>
          <w:szCs w:val="22"/>
          <w:lang w:eastAsia="en-US"/>
        </w:rPr>
        <w:t>Artículo 45. Tratándose de eventos esporádicos, deberá exhibir antes de iniciar el evento una garantía por el 50% del impuesto por los ingresos estimados ante la Tesorería Municipal por conducto de la Unidad de Ingresos, la totalidad del impuesto deberá ser pagado inmediatamente después de concluida su celebración. En los casos de eventos de permanencia, el pago del impuesto deberá realizarse en forma semanal. Para estos efectos, se consideran: I. Eventos esporádicos, aquellos cuya duración sea inferior a 24 horas; y II. Eventos de permanencia, aquellos cuya duración sea superior a 24 horas. El entero del impuesto causado con motivo de la celebración de eventos calificados como esporádicos, se hará en efectivo, que se entregará al o a los interventores que al efecto designe la Tesorería Municipal; Por cuanto al impuesto derivado de los eventos permanentes, el mismo se enterará en efectivo, el día hábil siguiente al período que se declara, ante la Tesorería Municipal que corresponda al domicilio en que se realice dicho evento.</w:t>
      </w:r>
      <w:r w:rsidRPr="006D73B6">
        <w:rPr>
          <w:rFonts w:asciiTheme="minorHAnsi" w:eastAsiaTheme="minorHAnsi" w:hAnsiTheme="minorHAnsi" w:cstheme="minorBidi"/>
          <w:sz w:val="22"/>
          <w:szCs w:val="22"/>
          <w:lang w:eastAsia="en-US"/>
        </w:rPr>
        <w:t xml:space="preserve"> </w:t>
      </w:r>
      <w:r w:rsidRPr="006D73B6">
        <w:rPr>
          <w:rFonts w:ascii="Arial" w:eastAsiaTheme="minorHAnsi" w:hAnsi="Arial" w:cs="Arial"/>
          <w:i/>
          <w:iCs/>
          <w:sz w:val="22"/>
          <w:szCs w:val="22"/>
          <w:lang w:eastAsia="en-US"/>
        </w:rPr>
        <w:t>Tratándose del pago correspondiente al último período de realización del evento, el pago respectivo deberá hacerse dentro del plazo antes indicado, contado a partir del último día de su realización.</w:t>
      </w:r>
    </w:p>
    <w:p w14:paraId="204F88D1" w14:textId="26407EF0" w:rsidR="006D73B6" w:rsidRDefault="006D73B6" w:rsidP="006D73B6">
      <w:pPr>
        <w:pStyle w:val="NormalWeb"/>
        <w:shd w:val="clear" w:color="auto" w:fill="FFFFFF"/>
        <w:spacing w:before="0" w:beforeAutospacing="0" w:after="150" w:afterAutospacing="0"/>
        <w:jc w:val="both"/>
        <w:rPr>
          <w:rFonts w:ascii="Arial" w:eastAsiaTheme="minorHAnsi" w:hAnsi="Arial" w:cs="Arial"/>
          <w:i/>
          <w:iCs/>
          <w:sz w:val="22"/>
          <w:szCs w:val="22"/>
          <w:lang w:eastAsia="en-US"/>
        </w:rPr>
      </w:pPr>
    </w:p>
    <w:p w14:paraId="13527BD5" w14:textId="68E9BE3E" w:rsidR="006D73B6" w:rsidRDefault="006D73B6" w:rsidP="006D73B6">
      <w:pPr>
        <w:pStyle w:val="NormalWeb"/>
        <w:shd w:val="clear" w:color="auto" w:fill="FFFFFF"/>
        <w:spacing w:before="0" w:beforeAutospacing="0" w:after="150" w:afterAutospacing="0"/>
        <w:jc w:val="both"/>
        <w:rPr>
          <w:rFonts w:ascii="Arial" w:eastAsiaTheme="minorHAnsi" w:hAnsi="Arial" w:cs="Arial"/>
          <w:i/>
          <w:iCs/>
          <w:sz w:val="22"/>
          <w:szCs w:val="22"/>
          <w:lang w:eastAsia="en-US"/>
        </w:rPr>
      </w:pPr>
      <w:r w:rsidRPr="006D73B6">
        <w:rPr>
          <w:rFonts w:ascii="Arial" w:eastAsiaTheme="minorHAnsi" w:hAnsi="Arial" w:cs="Arial"/>
          <w:i/>
          <w:iCs/>
          <w:sz w:val="22"/>
          <w:szCs w:val="22"/>
          <w:lang w:eastAsia="en-US"/>
        </w:rPr>
        <w:t>Artículo 46. Los sujetos obligados al pago de este impuesto, tendrán a su cargo, las obligaciones establecidas en el artículo 38 N de la Ley de Hacienda Municipal del Estado de Oaxaca, y además estarán obligados a solicitar por escrito con 10 días hábiles de anticipación a la celebración del evento, la autorización de la Tesorería Municipal, debiendo proporcionar los siguientes datos: I. Nombre, domicilio y Clave del Registro Federal de Contribuyentes de quien promueva, organice o explote la diversión o espectáculo público, para el cual se solicita la autorización; II. Clase o naturaleza de la diversión o espectáculo; III. Ubicación del inmueble o predio en que se va a efectuar y nombre del propietario o poseedor del mismo. En su defecto, los datos y documentos suficientes que permitan identificar con toda precisión, el lugar en que se llevará a cabo la diversión o espectáculos; IV. Hora señalada para que principie el evento; V. Número de localidades de cada clase que haya en el local desinado al espectáculo y su precio al público; VI. Presentar la garantía o fianza correspondiente al 25% del total del boletaje y de la publicidad utilizada en el territorio municipal en efectivo ante la Tesorería Municipal. VII. Esta garantía será devuelta al día hábil siguiente a la finalización del evento una vez que la autoridad fiscal se cercioré que se cumplió con la obligación fiscal sino se entenderá por perdida esta fianza o garantía; y VIII.</w:t>
      </w:r>
      <w:r>
        <w:rPr>
          <w:rFonts w:ascii="Arial" w:eastAsiaTheme="minorHAnsi" w:hAnsi="Arial" w:cs="Arial"/>
          <w:i/>
          <w:iCs/>
          <w:sz w:val="22"/>
          <w:szCs w:val="22"/>
          <w:lang w:eastAsia="en-US"/>
        </w:rPr>
        <w:t xml:space="preserve"> </w:t>
      </w:r>
      <w:r w:rsidRPr="006D73B6">
        <w:rPr>
          <w:rFonts w:ascii="Arial" w:eastAsiaTheme="minorHAnsi" w:hAnsi="Arial" w:cs="Arial"/>
          <w:i/>
          <w:iCs/>
          <w:sz w:val="22"/>
          <w:szCs w:val="22"/>
          <w:lang w:eastAsia="en-US"/>
        </w:rPr>
        <w:t>Presentar el boletaje a utilizar ante la Tesorería Municipal para ser sellado y autorizado antes de ser puesto a la venta al público, los cuales será devueltos siempre y cuando el promotor haya garantizado mediante efectivo o cheque de caja el impuesto a que se refiere la presente sección, mismo que se determinará multiplicando el costo del número de boletos emitidos para su venta por la tasa del impuesto que le corresponda. Presentar el boletaje 5 días hábiles antes de la realización del evento. IX. Cualquier modificación a los datos señalados en las fracciones que anteceden deberá comunicarse por escrito a la Tesorería Municipal por conducto de la Dirección de Ingresos dentro de los tres días hábiles anteriores a la fecha del evento. Si la causa que origina dicha modificación se presentare una vez concedida la autorización.</w:t>
      </w:r>
      <w:r w:rsidRPr="006D73B6">
        <w:rPr>
          <w:rFonts w:asciiTheme="minorHAnsi" w:eastAsiaTheme="minorHAnsi" w:hAnsiTheme="minorHAnsi" w:cstheme="minorBidi"/>
          <w:sz w:val="22"/>
          <w:szCs w:val="22"/>
          <w:lang w:eastAsia="en-US"/>
        </w:rPr>
        <w:t xml:space="preserve"> </w:t>
      </w:r>
      <w:r w:rsidRPr="006D73B6">
        <w:rPr>
          <w:rFonts w:ascii="Arial" w:eastAsiaTheme="minorHAnsi" w:hAnsi="Arial" w:cs="Arial"/>
          <w:i/>
          <w:iCs/>
          <w:sz w:val="22"/>
          <w:szCs w:val="22"/>
          <w:lang w:eastAsia="en-US"/>
        </w:rPr>
        <w:t xml:space="preserve">X. Una vez concedida la autorización, los sujetos obligados deberán forzosamente: a) Presentar a la Tesorería Municipal por conducto de la Dirección de Ingresos, la emisión total de los boletos de entrada, a más tardar un día hábil anterior al de la realización del evento autorizado, a fin de que sean sellados por dicha autoridad; b) Entregar a la Tesorería Municipal por conducto de la Dirección de Ingresos, dentro del término a que se refiere el inciso anterior, los programas del espectáculo; c) Respetar los programas y precios dados a conocer al público, los que no podrán ser modificados, a menos que se dé aviso a la Tesorería Municipal por conducto de la Dirección de Ingresos y se recabe nueva autorización antes de la realización del </w:t>
      </w:r>
      <w:r w:rsidRPr="006D73B6">
        <w:rPr>
          <w:rFonts w:ascii="Arial" w:eastAsiaTheme="minorHAnsi" w:hAnsi="Arial" w:cs="Arial"/>
          <w:i/>
          <w:iCs/>
          <w:sz w:val="22"/>
          <w:szCs w:val="22"/>
          <w:lang w:eastAsia="en-US"/>
        </w:rPr>
        <w:lastRenderedPageBreak/>
        <w:t>evento; y d) Previo la realización del evento, garantizar el interés fiscal, en los términos que a el efecto dispone el Código Fiscal Municipal del Estado de Oaxaca.</w:t>
      </w:r>
    </w:p>
    <w:p w14:paraId="6A344304" w14:textId="71FBCFE9" w:rsidR="006D73B6" w:rsidRDefault="006D73B6" w:rsidP="006D73B6">
      <w:pPr>
        <w:pStyle w:val="NormalWeb"/>
        <w:shd w:val="clear" w:color="auto" w:fill="FFFFFF"/>
        <w:spacing w:before="0" w:beforeAutospacing="0" w:after="150" w:afterAutospacing="0"/>
        <w:jc w:val="both"/>
        <w:rPr>
          <w:rFonts w:ascii="Arial" w:eastAsiaTheme="minorHAnsi" w:hAnsi="Arial" w:cs="Arial"/>
          <w:i/>
          <w:iCs/>
          <w:sz w:val="22"/>
          <w:szCs w:val="22"/>
          <w:lang w:eastAsia="en-US"/>
        </w:rPr>
      </w:pPr>
    </w:p>
    <w:p w14:paraId="64640737" w14:textId="6D7A0D27" w:rsidR="006D73B6" w:rsidRDefault="006D73B6" w:rsidP="006D73B6">
      <w:pPr>
        <w:pStyle w:val="NormalWeb"/>
        <w:shd w:val="clear" w:color="auto" w:fill="FFFFFF"/>
        <w:spacing w:before="0" w:beforeAutospacing="0" w:after="150" w:afterAutospacing="0"/>
        <w:jc w:val="both"/>
        <w:rPr>
          <w:rFonts w:ascii="Arial" w:eastAsiaTheme="minorHAnsi" w:hAnsi="Arial" w:cs="Arial"/>
          <w:i/>
          <w:iCs/>
          <w:sz w:val="22"/>
          <w:szCs w:val="22"/>
          <w:lang w:eastAsia="en-US"/>
        </w:rPr>
      </w:pPr>
      <w:r w:rsidRPr="006D73B6">
        <w:rPr>
          <w:rFonts w:ascii="Arial" w:eastAsiaTheme="minorHAnsi" w:hAnsi="Arial" w:cs="Arial"/>
          <w:i/>
          <w:iCs/>
          <w:sz w:val="22"/>
          <w:szCs w:val="22"/>
          <w:lang w:eastAsia="en-US"/>
        </w:rPr>
        <w:t>Artículo 47. El Presidente Municipal, y la Tesorería podrán de manera conjunta, asignar una cantidad fija a quienes ostenten la propiedad, posesión o lleven a cabo la explotación de espectáculos públicos por los periodos de realización del hecho imponible, tomando en cuenta el monto estimado de los ingresos que genere, asimismo podrá considerar la tasa que para tal efecto establece el artículo 66 de la presente Ley. Será facultad de la Tesorería Municipal el nombramiento de interventores, para los efectos a que se refiere este impuesto, en los términos del artículo 38 Ñ, de la Ley de Hacienda Municipal del Estado de Oaxaca.</w:t>
      </w:r>
    </w:p>
    <w:p w14:paraId="7E577EB6" w14:textId="7DA4FB88" w:rsidR="006D73B6" w:rsidRDefault="006D73B6" w:rsidP="006D73B6">
      <w:pPr>
        <w:pStyle w:val="NormalWeb"/>
        <w:shd w:val="clear" w:color="auto" w:fill="FFFFFF"/>
        <w:spacing w:before="0" w:beforeAutospacing="0" w:after="150" w:afterAutospacing="0"/>
        <w:jc w:val="both"/>
        <w:rPr>
          <w:rFonts w:ascii="Arial" w:eastAsiaTheme="minorHAnsi" w:hAnsi="Arial" w:cs="Arial"/>
          <w:i/>
          <w:iCs/>
          <w:sz w:val="22"/>
          <w:szCs w:val="22"/>
          <w:lang w:eastAsia="en-US"/>
        </w:rPr>
      </w:pPr>
    </w:p>
    <w:p w14:paraId="3D529481" w14:textId="6D6BBCDC" w:rsidR="006D73B6" w:rsidRDefault="00BE1ED8" w:rsidP="006D73B6">
      <w:pPr>
        <w:pStyle w:val="NormalWeb"/>
        <w:shd w:val="clear" w:color="auto" w:fill="FFFFFF"/>
        <w:spacing w:before="0" w:beforeAutospacing="0" w:after="150" w:afterAutospacing="0"/>
        <w:jc w:val="both"/>
        <w:rPr>
          <w:rFonts w:ascii="Arial" w:eastAsiaTheme="minorHAnsi" w:hAnsi="Arial" w:cs="Arial"/>
          <w:i/>
          <w:iCs/>
          <w:sz w:val="22"/>
          <w:szCs w:val="22"/>
          <w:lang w:eastAsia="en-US"/>
        </w:rPr>
      </w:pPr>
      <w:r w:rsidRPr="00BE1ED8">
        <w:rPr>
          <w:rFonts w:ascii="Arial" w:eastAsiaTheme="minorHAnsi" w:hAnsi="Arial" w:cs="Arial"/>
          <w:i/>
          <w:iCs/>
          <w:sz w:val="22"/>
          <w:szCs w:val="22"/>
          <w:lang w:eastAsia="en-US"/>
        </w:rPr>
        <w:t>Artículo 48: La determinación del impuesto a cargo de la persona física o moral, se llevará a cabo mediante la intervención del evento gravado por personal autorizado por la Tesorería Municipal por conducto de la Dirección de Ingresos, sujetándose, a las siguientes reglas: I. La orden de intervención se notificará al sujeto de la contribución en el domicilio donde se realice el espectáculo, especificándose el número de funciones en que se llevará a cabo la intervención y sujetándose a las formalidades previstas para las visitas en el Código Fiscal Municipal del Estado de Oaxaca; II. La persona física o moral, estará presente durante la celebración del evento o designará personal que le represente, y en caso de no hacerlo, el interventor o interventores practicarán la diligencia con quien se encuentre, levantando acta circunstanciada, en la que se asentarán hechos u omisiones conocidos por el interventor en presencia de dos testigos designados por el ocupante del lugar visitado, o en su ausencia o negativa, se nombrarán por el interventor o interventores mencionados;</w:t>
      </w:r>
      <w:r w:rsidRPr="00BE1ED8">
        <w:rPr>
          <w:rFonts w:asciiTheme="minorHAnsi" w:eastAsiaTheme="minorHAnsi" w:hAnsiTheme="minorHAnsi" w:cstheme="minorBidi"/>
          <w:sz w:val="22"/>
          <w:szCs w:val="22"/>
          <w:lang w:eastAsia="en-US"/>
        </w:rPr>
        <w:t xml:space="preserve"> </w:t>
      </w:r>
      <w:r w:rsidRPr="00BE1ED8">
        <w:rPr>
          <w:rFonts w:ascii="Arial" w:eastAsiaTheme="minorHAnsi" w:hAnsi="Arial" w:cs="Arial"/>
          <w:i/>
          <w:iCs/>
          <w:sz w:val="22"/>
          <w:szCs w:val="22"/>
          <w:lang w:eastAsia="en-US"/>
        </w:rPr>
        <w:t>III. El interventor procederá a contabilizar los ingresos que por boletos vendidos obtenga el sujeto de la contribución, procediendo a informar la liquidación del impuesto correspondiente, cuyo importe deberá ser cubierto al finalizar el corte de caja efectuado por el interventor, quien expedirá un recibo provisional que será canjeado al día hábil siguiente por el recibo oficial en la caja recaudadora de la Dirección de Ingresos; IV. El interventor levantará acta circunstanciada del incumplimiento del pago del impuesto, y estará facultado para proceder a embargar precautoriamente bienes suficientes del sujeto de la contribución que garanticen el crédito, sujetándose para tal efecto a las formalidades que establece el código Fiscal Municipal del Estado de Oaxaca y las sanciones previstas en la normatividad aplicable vigente en el Municipio; V. Los organizadores, promotores o representantes de las empresas de diversiones y espectáculos públicos, están obligados a permitir que el personal comisionado por la Tesorería Municipal por conducto de la Dirección de Ingresos, desempeñe adecuadamente sus funciones; así como a proporcionarles cualquier documentación o datos que requieran para el desempeño de las mismas; y VI. Las Autoridades Fiscales del Municipio podrán suspender cualquier diversión o espectáculo, cuando quienes lo organicen o exploten se nieguen a permitir que los inspectores e interventores vigilen la entrada, liquiden o recauden el impuesto, o cuando no se haya cumplido con las obligaciones a que se refiere el artículo 38 de la Ley de Hacienda Municipal del Estado de Oaxaca, en caso de obstaculizar la actividad del interventor, los contribuyentes se harán acreedores a las medidas de apremio que prevé el Código Fiscal Municipal del Estado de Oaxaca.</w:t>
      </w:r>
    </w:p>
    <w:p w14:paraId="5939483E" w14:textId="05956A56" w:rsidR="00BE1ED8" w:rsidRDefault="00BE1ED8" w:rsidP="006D73B6">
      <w:pPr>
        <w:pStyle w:val="NormalWeb"/>
        <w:shd w:val="clear" w:color="auto" w:fill="FFFFFF"/>
        <w:spacing w:before="0" w:beforeAutospacing="0" w:after="150" w:afterAutospacing="0"/>
        <w:jc w:val="both"/>
        <w:rPr>
          <w:rFonts w:ascii="Arial" w:eastAsiaTheme="minorHAnsi" w:hAnsi="Arial" w:cs="Arial"/>
          <w:i/>
          <w:iCs/>
          <w:sz w:val="22"/>
          <w:szCs w:val="22"/>
          <w:lang w:eastAsia="en-US"/>
        </w:rPr>
      </w:pPr>
    </w:p>
    <w:p w14:paraId="501D29BA" w14:textId="4EEA0E8C" w:rsidR="00BE1ED8" w:rsidRDefault="00BE1ED8" w:rsidP="006D73B6">
      <w:pPr>
        <w:pStyle w:val="NormalWeb"/>
        <w:shd w:val="clear" w:color="auto" w:fill="FFFFFF"/>
        <w:spacing w:before="0" w:beforeAutospacing="0" w:after="150" w:afterAutospacing="0"/>
        <w:jc w:val="both"/>
        <w:rPr>
          <w:rFonts w:ascii="Arial" w:eastAsiaTheme="minorHAnsi" w:hAnsi="Arial" w:cs="Arial"/>
          <w:i/>
          <w:iCs/>
          <w:sz w:val="22"/>
          <w:szCs w:val="22"/>
          <w:lang w:eastAsia="en-US"/>
        </w:rPr>
      </w:pPr>
      <w:r w:rsidRPr="00BE1ED8">
        <w:rPr>
          <w:rFonts w:ascii="Arial" w:eastAsiaTheme="minorHAnsi" w:hAnsi="Arial" w:cs="Arial"/>
          <w:i/>
          <w:iCs/>
          <w:sz w:val="22"/>
          <w:szCs w:val="22"/>
          <w:lang w:eastAsia="en-US"/>
        </w:rPr>
        <w:t xml:space="preserve">Artículo 64. Son sujetos de este impuesto las personas físicas o morales que adquieran inmuebles que consistan en el suelo y las construcciones adheridas a él, ubicados en la jurisdicción territorial del Municipio, así como los derechos relacionados con los mismos a que esta ley se refiere, independientemente del nombre que le asigne la Ley que regule el acto que les de origen. Para efectos del párrafo anterior, respecto de traslaciones de dominio provenientes de un fraccionamiento, fusión o división de bienes inmuebles, las autoridades fiscales deberán cerciorarse que los contribuyentes ya hayan efectuado el pago correspondiente por este impuesto, de conformidad con lo establecido en la presente Ley. En el caso de que no se haya cubierto dicha cuota, las autoridades fiscales podrán suspender el trámite de Traslación de Dominio hasta entonces efectúen el pago correspondiente sobre Fraccionamiento, Fusión y Subdivisión de </w:t>
      </w:r>
      <w:r w:rsidRPr="00BE1ED8">
        <w:rPr>
          <w:rFonts w:ascii="Arial" w:eastAsiaTheme="minorHAnsi" w:hAnsi="Arial" w:cs="Arial"/>
          <w:i/>
          <w:iCs/>
          <w:sz w:val="22"/>
          <w:szCs w:val="22"/>
          <w:lang w:eastAsia="en-US"/>
        </w:rPr>
        <w:lastRenderedPageBreak/>
        <w:t>Bienes Inmuebles. El enajenante responde solidariamente del impuesto que deba pagar el adquirente, así como informar de manera oportuna el cambio de propietario ante las Autoridades Fiscales, evitando con esto se genere la duplicidad de cuentas sobre un mismo inmueble. Determinándose de manera específica sujetos del impuesto: I. La persona que adquiera la propiedad de bienes inmuebles o derechos de copropiedad sobre éstos, el enajenante estará solidariamente obligado al pago del impuesto; II. El adjudicatario en los casos de remates judiciales o administrativos;</w:t>
      </w:r>
      <w:r w:rsidRPr="00BE1ED8">
        <w:rPr>
          <w:rFonts w:asciiTheme="minorHAnsi" w:eastAsiaTheme="minorHAnsi" w:hAnsiTheme="minorHAnsi" w:cstheme="minorBidi"/>
          <w:sz w:val="22"/>
          <w:szCs w:val="22"/>
          <w:lang w:eastAsia="en-US"/>
        </w:rPr>
        <w:t xml:space="preserve"> </w:t>
      </w:r>
      <w:r w:rsidRPr="00BE1ED8">
        <w:rPr>
          <w:rFonts w:ascii="Arial" w:eastAsiaTheme="minorHAnsi" w:hAnsi="Arial" w:cs="Arial"/>
          <w:i/>
          <w:iCs/>
          <w:sz w:val="22"/>
          <w:szCs w:val="22"/>
          <w:lang w:eastAsia="en-US"/>
        </w:rPr>
        <w:t>III. El adquirente a título de heredero o legatario, el cedente de los derechos hereditarios y el enajenante que por cuenta de la sucesión transmita bienes de ésta; IV. El cesionario de los derechos hereditarios; V. El coheredero que acreciente su porción hereditaria; VI. El promitente comprador, siendo solidariamente responsable del pago del impuesto el promitente vendedor; VII. Cada uno de los permutantes por lo que hace a los inmuebles cuyas propiedades adquieran en los casos de permuta. Esto mismo se observará en las compraventas en que el precio se cubra en parte con otros bienes inmuebles. Los permutantes son solidariamente responsables del monto total del impuesto que genere la operación; VIII.EI donatario, pero los donantes son solidariamente responsables del pago del impuesto; IX. El fideicomitente. En estos casos el pago del impuesto lo hará el fiduciario por cuenta del fideicomitente; X. EI cesionario de los derechos de fideicomitente o de fideicomisario, siendo el cedente solidariamente responsable del pago del impuesto; y XI. EI usufructuario, el cesionario de los derechos de usufructo o el adquirente de la nuda propiedad. Cuando el objeto de la traslación de dominio fuere un inmueble cuya adquisición provenga de fraccionamiento, subdivisión o fusión de bienes inmuebles las Autoridades Fiscales deberán asegurarse a través de recibo emitido por la Tesorería Municipal por conducto de la Unidad de Ingresos que se hayan pagado los impuestos correspondientes al Capítulo II relativo Sección II al impuesto sobre fraccionamiento, subdivisión y fusión de bienes inmuebles del presente ordenamiento; cuando tal impuesto no se hubiere pagado deberá enterarlo el adquirente del inmueble en calidad de responsable solidario además del impuesto que menciona este capítulo. El enajenante responde solidariamente del impuesto que deba pagar el adquiriente, así como informar de manera oportuna el cambio de propietario ante la Tesorería por conducto de la Unidad de Ingresos, evitando con esto se genere la duplicidad de cuentas sobre un mismo inmueble.</w:t>
      </w:r>
      <w:r w:rsidR="00747661">
        <w:rPr>
          <w:rFonts w:ascii="Arial" w:eastAsiaTheme="minorHAnsi" w:hAnsi="Arial" w:cs="Arial"/>
          <w:i/>
          <w:iCs/>
          <w:sz w:val="22"/>
          <w:szCs w:val="22"/>
          <w:lang w:eastAsia="en-US"/>
        </w:rPr>
        <w:t>”</w:t>
      </w:r>
    </w:p>
    <w:p w14:paraId="30498774" w14:textId="0FDE43D6" w:rsidR="006D73B6" w:rsidRDefault="006D73B6" w:rsidP="006D73B6">
      <w:pPr>
        <w:pStyle w:val="NormalWeb"/>
        <w:shd w:val="clear" w:color="auto" w:fill="FFFFFF"/>
        <w:spacing w:before="0" w:beforeAutospacing="0" w:after="150" w:afterAutospacing="0"/>
        <w:jc w:val="both"/>
        <w:rPr>
          <w:rFonts w:ascii="Arial" w:eastAsiaTheme="minorHAnsi" w:hAnsi="Arial" w:cs="Arial"/>
          <w:i/>
          <w:iCs/>
          <w:sz w:val="22"/>
          <w:szCs w:val="22"/>
          <w:lang w:eastAsia="en-US"/>
        </w:rPr>
      </w:pPr>
    </w:p>
    <w:p w14:paraId="7069192D" w14:textId="043D024E" w:rsidR="0056218F" w:rsidRPr="00CE4DDA" w:rsidRDefault="00747661" w:rsidP="00747661">
      <w:pPr>
        <w:tabs>
          <w:tab w:val="left" w:pos="567"/>
        </w:tabs>
        <w:spacing w:after="0" w:line="360" w:lineRule="auto"/>
        <w:ind w:right="51"/>
        <w:jc w:val="both"/>
        <w:rPr>
          <w:rFonts w:ascii="Arial" w:hAnsi="Arial" w:cs="Arial"/>
          <w:sz w:val="24"/>
          <w:szCs w:val="24"/>
        </w:rPr>
      </w:pPr>
      <w:r>
        <w:rPr>
          <w:rFonts w:ascii="Arial" w:hAnsi="Arial" w:cs="Arial"/>
          <w:sz w:val="24"/>
          <w:szCs w:val="24"/>
        </w:rPr>
        <w:tab/>
      </w:r>
      <w:r w:rsidR="00BE1ED8">
        <w:rPr>
          <w:rFonts w:ascii="Arial" w:hAnsi="Arial" w:cs="Arial"/>
          <w:sz w:val="24"/>
          <w:szCs w:val="24"/>
        </w:rPr>
        <w:t xml:space="preserve">De la transcripción de los artículos </w:t>
      </w:r>
      <w:r w:rsidR="00BE1ED8" w:rsidRPr="00CE4DDA">
        <w:rPr>
          <w:rFonts w:ascii="Arial" w:hAnsi="Arial" w:cs="Arial"/>
          <w:sz w:val="24"/>
          <w:szCs w:val="24"/>
        </w:rPr>
        <w:t>46</w:t>
      </w:r>
      <w:r w:rsidR="00BE1ED8">
        <w:rPr>
          <w:rFonts w:ascii="Arial" w:hAnsi="Arial" w:cs="Arial"/>
          <w:sz w:val="24"/>
          <w:szCs w:val="24"/>
        </w:rPr>
        <w:t>,</w:t>
      </w:r>
      <w:r w:rsidR="00BE1ED8" w:rsidRPr="00CE4DDA">
        <w:rPr>
          <w:rFonts w:ascii="Arial" w:hAnsi="Arial" w:cs="Arial"/>
          <w:sz w:val="24"/>
          <w:szCs w:val="24"/>
        </w:rPr>
        <w:t xml:space="preserve"> 47, 48</w:t>
      </w:r>
      <w:r w:rsidR="00BE1ED8">
        <w:rPr>
          <w:rFonts w:ascii="Arial" w:hAnsi="Arial" w:cs="Arial"/>
          <w:sz w:val="24"/>
          <w:szCs w:val="24"/>
        </w:rPr>
        <w:t xml:space="preserve"> de la </w:t>
      </w:r>
      <w:r w:rsidR="00BE1ED8" w:rsidRPr="00BE1ED8">
        <w:rPr>
          <w:rFonts w:ascii="Arial" w:hAnsi="Arial" w:cs="Arial"/>
          <w:sz w:val="24"/>
          <w:szCs w:val="24"/>
        </w:rPr>
        <w:t>Ley de Ingresos del Municipio de Salina Cruz, Distrito de Tehuantepec, Oaxaca, para el Ejercicio Fiscal 2019</w:t>
      </w:r>
      <w:r w:rsidR="00BE1ED8">
        <w:rPr>
          <w:rFonts w:ascii="Arial" w:hAnsi="Arial" w:cs="Arial"/>
          <w:sz w:val="24"/>
          <w:szCs w:val="24"/>
        </w:rPr>
        <w:t xml:space="preserve"> y 2020, </w:t>
      </w:r>
      <w:r w:rsidR="00EF0E01">
        <w:rPr>
          <w:rFonts w:ascii="Arial" w:hAnsi="Arial" w:cs="Arial"/>
          <w:sz w:val="24"/>
          <w:szCs w:val="24"/>
        </w:rPr>
        <w:t xml:space="preserve">se advierte que </w:t>
      </w:r>
      <w:r w:rsidR="00BE1ED8">
        <w:rPr>
          <w:rFonts w:ascii="Arial" w:hAnsi="Arial" w:cs="Arial"/>
          <w:sz w:val="24"/>
          <w:szCs w:val="24"/>
        </w:rPr>
        <w:t xml:space="preserve">regulan </w:t>
      </w:r>
      <w:r w:rsidR="00BE1ED8" w:rsidRPr="00BE1ED8">
        <w:rPr>
          <w:rFonts w:ascii="Arial" w:hAnsi="Arial" w:cs="Arial"/>
          <w:sz w:val="24"/>
          <w:szCs w:val="24"/>
        </w:rPr>
        <w:t xml:space="preserve">el </w:t>
      </w:r>
      <w:r w:rsidR="00BE1ED8">
        <w:rPr>
          <w:rFonts w:ascii="Arial" w:hAnsi="Arial" w:cs="Arial"/>
          <w:sz w:val="24"/>
          <w:szCs w:val="24"/>
        </w:rPr>
        <w:t>“</w:t>
      </w:r>
      <w:r w:rsidR="00BE1ED8" w:rsidRPr="00BE1ED8">
        <w:rPr>
          <w:rFonts w:ascii="Arial" w:hAnsi="Arial" w:cs="Arial"/>
          <w:sz w:val="24"/>
          <w:szCs w:val="24"/>
        </w:rPr>
        <w:t>Impuesto sobre Diversiones y Espectáculos Públicos</w:t>
      </w:r>
      <w:r w:rsidR="00BE1ED8">
        <w:rPr>
          <w:rFonts w:ascii="Arial" w:hAnsi="Arial" w:cs="Arial"/>
          <w:sz w:val="24"/>
          <w:szCs w:val="24"/>
        </w:rPr>
        <w:t>”</w:t>
      </w:r>
      <w:r w:rsidR="00BE1ED8" w:rsidRPr="00BE1ED8">
        <w:rPr>
          <w:rFonts w:ascii="Arial" w:hAnsi="Arial" w:cs="Arial"/>
          <w:sz w:val="24"/>
          <w:szCs w:val="24"/>
        </w:rPr>
        <w:t>.</w:t>
      </w:r>
      <w:r w:rsidR="00BE1ED8">
        <w:rPr>
          <w:rFonts w:ascii="Arial" w:hAnsi="Arial" w:cs="Arial"/>
          <w:sz w:val="24"/>
          <w:szCs w:val="24"/>
        </w:rPr>
        <w:t xml:space="preserve"> Mientras que el artículo 64 de la misma Ley en comento, se refiere al “Impuesto sobre Traslación de Dominio”, los cuales tienen aplicación al objeto materia del presente asunto</w:t>
      </w:r>
      <w:r w:rsidR="0056218F" w:rsidRPr="00CE4DDA">
        <w:rPr>
          <w:rFonts w:ascii="Arial" w:hAnsi="Arial" w:cs="Arial"/>
          <w:sz w:val="24"/>
          <w:szCs w:val="24"/>
        </w:rPr>
        <w:t>.</w:t>
      </w:r>
    </w:p>
    <w:p w14:paraId="0AF7B894" w14:textId="77777777" w:rsidR="00DE3780" w:rsidRPr="00CE4DDA" w:rsidRDefault="00DE3780" w:rsidP="00DE32DD">
      <w:pPr>
        <w:tabs>
          <w:tab w:val="left" w:pos="8029"/>
        </w:tabs>
        <w:spacing w:after="0" w:line="360" w:lineRule="auto"/>
        <w:ind w:right="51" w:firstLine="567"/>
        <w:jc w:val="both"/>
        <w:rPr>
          <w:rFonts w:ascii="Arial" w:hAnsi="Arial" w:cs="Arial"/>
          <w:sz w:val="24"/>
          <w:szCs w:val="24"/>
        </w:rPr>
      </w:pPr>
    </w:p>
    <w:p w14:paraId="5C70C886" w14:textId="07698C8B" w:rsidR="00C13A15" w:rsidRDefault="00DE3780" w:rsidP="00DE32DD">
      <w:pPr>
        <w:tabs>
          <w:tab w:val="left" w:pos="8029"/>
        </w:tabs>
        <w:spacing w:after="0" w:line="360" w:lineRule="auto"/>
        <w:ind w:right="51" w:firstLine="567"/>
        <w:jc w:val="both"/>
        <w:rPr>
          <w:rFonts w:ascii="Arial" w:hAnsi="Arial" w:cs="Arial"/>
          <w:sz w:val="24"/>
          <w:szCs w:val="24"/>
        </w:rPr>
      </w:pPr>
      <w:r w:rsidRPr="00CE4DDA">
        <w:rPr>
          <w:rFonts w:ascii="Arial" w:hAnsi="Arial" w:cs="Arial"/>
          <w:sz w:val="24"/>
          <w:szCs w:val="24"/>
        </w:rPr>
        <w:t xml:space="preserve">Luego entonces, la autoridad demandada </w:t>
      </w:r>
      <w:r w:rsidR="004479B8">
        <w:rPr>
          <w:rFonts w:ascii="Arial" w:hAnsi="Arial" w:cs="Arial"/>
          <w:sz w:val="24"/>
          <w:szCs w:val="24"/>
        </w:rPr>
        <w:t xml:space="preserve">incumplió con </w:t>
      </w:r>
      <w:r w:rsidRPr="00CE4DDA">
        <w:rPr>
          <w:rFonts w:ascii="Arial" w:hAnsi="Arial" w:cs="Arial"/>
          <w:sz w:val="24"/>
          <w:szCs w:val="24"/>
        </w:rPr>
        <w:t xml:space="preserve">la obligación </w:t>
      </w:r>
      <w:r w:rsidR="004479B8">
        <w:rPr>
          <w:rFonts w:ascii="Arial" w:hAnsi="Arial" w:cs="Arial"/>
          <w:sz w:val="24"/>
          <w:szCs w:val="24"/>
        </w:rPr>
        <w:t>establecida</w:t>
      </w:r>
      <w:r w:rsidRPr="00CE4DDA">
        <w:rPr>
          <w:rFonts w:ascii="Arial" w:hAnsi="Arial" w:cs="Arial"/>
          <w:sz w:val="24"/>
          <w:szCs w:val="24"/>
        </w:rPr>
        <w:t xml:space="preserve"> en el artículo 16 </w:t>
      </w:r>
      <w:r w:rsidR="004479B8">
        <w:rPr>
          <w:rFonts w:ascii="Arial" w:hAnsi="Arial" w:cs="Arial"/>
          <w:sz w:val="24"/>
          <w:szCs w:val="24"/>
        </w:rPr>
        <w:t>de la Constitución Política de los Estados Unidos Mexicanos</w:t>
      </w:r>
      <w:r w:rsidRPr="00CE4DDA">
        <w:rPr>
          <w:rFonts w:ascii="Arial" w:hAnsi="Arial" w:cs="Arial"/>
          <w:sz w:val="24"/>
          <w:szCs w:val="24"/>
        </w:rPr>
        <w:t xml:space="preserve">, </w:t>
      </w:r>
      <w:r w:rsidR="00D12639" w:rsidRPr="00CE4DDA">
        <w:rPr>
          <w:rFonts w:ascii="Arial" w:hAnsi="Arial" w:cs="Arial"/>
          <w:sz w:val="24"/>
          <w:szCs w:val="24"/>
        </w:rPr>
        <w:t xml:space="preserve">es decir, debió </w:t>
      </w:r>
      <w:r w:rsidRPr="00CE4DDA">
        <w:rPr>
          <w:rFonts w:ascii="Arial" w:hAnsi="Arial" w:cs="Arial"/>
          <w:sz w:val="24"/>
          <w:szCs w:val="24"/>
        </w:rPr>
        <w:t>fundar y motivar su competencia para la emisión del acto impugnado, siendo que</w:t>
      </w:r>
      <w:r w:rsidR="003F38A4" w:rsidRPr="00CE4DDA">
        <w:rPr>
          <w:rFonts w:ascii="Arial" w:hAnsi="Arial" w:cs="Arial"/>
          <w:sz w:val="24"/>
          <w:szCs w:val="24"/>
        </w:rPr>
        <w:t xml:space="preserve"> no bast</w:t>
      </w:r>
      <w:r w:rsidR="00965763">
        <w:rPr>
          <w:rFonts w:ascii="Arial" w:hAnsi="Arial" w:cs="Arial"/>
          <w:sz w:val="24"/>
          <w:szCs w:val="24"/>
        </w:rPr>
        <w:t>a</w:t>
      </w:r>
      <w:r w:rsidRPr="00CE4DDA">
        <w:rPr>
          <w:rFonts w:ascii="Arial" w:hAnsi="Arial" w:cs="Arial"/>
          <w:sz w:val="24"/>
          <w:szCs w:val="24"/>
        </w:rPr>
        <w:t xml:space="preserve"> para hacerlo</w:t>
      </w:r>
      <w:r w:rsidR="003F38A4" w:rsidRPr="00CE4DDA">
        <w:rPr>
          <w:rFonts w:ascii="Arial" w:hAnsi="Arial" w:cs="Arial"/>
          <w:sz w:val="24"/>
          <w:szCs w:val="24"/>
        </w:rPr>
        <w:t xml:space="preserve"> el </w:t>
      </w:r>
      <w:r w:rsidRPr="00CE4DDA">
        <w:rPr>
          <w:rFonts w:ascii="Arial" w:hAnsi="Arial" w:cs="Arial"/>
          <w:sz w:val="24"/>
          <w:szCs w:val="24"/>
        </w:rPr>
        <w:t xml:space="preserve">artículo </w:t>
      </w:r>
      <w:r w:rsidR="003F38A4" w:rsidRPr="00CE4DDA">
        <w:rPr>
          <w:rFonts w:ascii="Arial" w:hAnsi="Arial" w:cs="Arial"/>
          <w:sz w:val="24"/>
          <w:szCs w:val="24"/>
        </w:rPr>
        <w:t xml:space="preserve">6° del Código Fiscal Municipal para el Estado de Oaxaca, </w:t>
      </w:r>
      <w:r w:rsidRPr="00CE4DDA">
        <w:rPr>
          <w:rFonts w:ascii="Arial" w:hAnsi="Arial" w:cs="Arial"/>
          <w:sz w:val="24"/>
          <w:szCs w:val="24"/>
        </w:rPr>
        <w:t xml:space="preserve">sino que, debió robustecerlo con otros preceptos legales aplicables al caso, </w:t>
      </w:r>
      <w:r w:rsidR="006C5159" w:rsidRPr="00CE4DDA">
        <w:rPr>
          <w:rFonts w:ascii="Arial" w:hAnsi="Arial" w:cs="Arial"/>
          <w:sz w:val="24"/>
          <w:szCs w:val="24"/>
        </w:rPr>
        <w:t xml:space="preserve">citando con claridad </w:t>
      </w:r>
      <w:r w:rsidR="005E45AF" w:rsidRPr="00CE4DDA">
        <w:rPr>
          <w:rFonts w:ascii="Arial" w:hAnsi="Arial" w:cs="Arial"/>
          <w:sz w:val="24"/>
          <w:szCs w:val="24"/>
        </w:rPr>
        <w:t>los apartados, fracciones, incisos, sub</w:t>
      </w:r>
      <w:r w:rsidR="003F38A4" w:rsidRPr="00CE4DDA">
        <w:rPr>
          <w:rFonts w:ascii="Arial" w:hAnsi="Arial" w:cs="Arial"/>
          <w:sz w:val="24"/>
          <w:szCs w:val="24"/>
        </w:rPr>
        <w:t xml:space="preserve"> </w:t>
      </w:r>
      <w:r w:rsidR="005E45AF" w:rsidRPr="00CE4DDA">
        <w:rPr>
          <w:rFonts w:ascii="Arial" w:hAnsi="Arial" w:cs="Arial"/>
          <w:sz w:val="24"/>
          <w:szCs w:val="24"/>
        </w:rPr>
        <w:t xml:space="preserve">incisos o párrafos o, en su caso, transcribir la parte correspondiente de los preceptos legales, tanto de los que facultan a la autoridad para emitir el acto, como los que prevén su competencia territorial. </w:t>
      </w:r>
    </w:p>
    <w:p w14:paraId="6E77263F" w14:textId="77777777" w:rsidR="006C5159" w:rsidRPr="00CE4DDA" w:rsidRDefault="003F38A4" w:rsidP="00DE32DD">
      <w:pPr>
        <w:tabs>
          <w:tab w:val="left" w:pos="8029"/>
        </w:tabs>
        <w:spacing w:after="0" w:line="360" w:lineRule="auto"/>
        <w:ind w:right="51" w:firstLine="567"/>
        <w:jc w:val="both"/>
        <w:rPr>
          <w:rFonts w:ascii="Arial" w:hAnsi="Arial" w:cs="Arial"/>
          <w:sz w:val="24"/>
          <w:szCs w:val="24"/>
        </w:rPr>
      </w:pPr>
      <w:r w:rsidRPr="00CE4DDA">
        <w:rPr>
          <w:rFonts w:ascii="Arial" w:hAnsi="Arial" w:cs="Arial"/>
          <w:sz w:val="24"/>
          <w:szCs w:val="24"/>
        </w:rPr>
        <w:lastRenderedPageBreak/>
        <w:t>A</w:t>
      </w:r>
      <w:r w:rsidR="005E45AF" w:rsidRPr="00CE4DDA">
        <w:rPr>
          <w:rFonts w:ascii="Arial" w:hAnsi="Arial" w:cs="Arial"/>
          <w:sz w:val="24"/>
          <w:szCs w:val="24"/>
        </w:rPr>
        <w:t xml:space="preserve"> l</w:t>
      </w:r>
      <w:r w:rsidRPr="00CE4DDA">
        <w:rPr>
          <w:rFonts w:ascii="Arial" w:hAnsi="Arial" w:cs="Arial"/>
          <w:sz w:val="24"/>
          <w:szCs w:val="24"/>
        </w:rPr>
        <w:t>o</w:t>
      </w:r>
      <w:r w:rsidR="005E45AF" w:rsidRPr="00CE4DDA">
        <w:rPr>
          <w:rFonts w:ascii="Arial" w:hAnsi="Arial" w:cs="Arial"/>
          <w:sz w:val="24"/>
          <w:szCs w:val="24"/>
        </w:rPr>
        <w:t xml:space="preserve"> anterior </w:t>
      </w:r>
      <w:r w:rsidRPr="00CE4DDA">
        <w:rPr>
          <w:rFonts w:ascii="Arial" w:hAnsi="Arial" w:cs="Arial"/>
          <w:sz w:val="24"/>
          <w:szCs w:val="24"/>
        </w:rPr>
        <w:t xml:space="preserve">sirve de apoyo </w:t>
      </w:r>
      <w:r w:rsidR="005E45AF" w:rsidRPr="00CE4DDA">
        <w:rPr>
          <w:rFonts w:ascii="Arial" w:hAnsi="Arial" w:cs="Arial"/>
          <w:sz w:val="24"/>
          <w:szCs w:val="24"/>
        </w:rPr>
        <w:t>la Jurisprudencia con número de registro 171455, de la novena época, materia: administrativa, de los Tribunales Colegiados de Circuito, visible en el Semanario Judicial de la Federación y su Gaceta, Tomo XXVI, Septiembre de 2007, página 2366, con el texto y rubro siguientes:</w:t>
      </w:r>
    </w:p>
    <w:p w14:paraId="6C03333F" w14:textId="77777777" w:rsidR="005F3F22" w:rsidRDefault="005F3F22" w:rsidP="002C4B25">
      <w:pPr>
        <w:spacing w:after="0" w:line="240" w:lineRule="auto"/>
        <w:ind w:left="567" w:right="-2"/>
        <w:jc w:val="both"/>
        <w:rPr>
          <w:rFonts w:ascii="Arial" w:hAnsi="Arial" w:cs="Arial"/>
          <w:b/>
          <w:i/>
          <w:sz w:val="24"/>
          <w:szCs w:val="24"/>
        </w:rPr>
      </w:pPr>
    </w:p>
    <w:p w14:paraId="51D1FB89" w14:textId="77777777" w:rsidR="005E45AF" w:rsidRPr="00013EAE" w:rsidRDefault="005F3F22" w:rsidP="007A16D9">
      <w:pPr>
        <w:spacing w:after="0" w:line="240" w:lineRule="auto"/>
        <w:ind w:left="567" w:right="-2"/>
        <w:jc w:val="both"/>
        <w:rPr>
          <w:rFonts w:ascii="Arial" w:hAnsi="Arial" w:cs="Arial"/>
          <w:i/>
        </w:rPr>
      </w:pPr>
      <w:r w:rsidRPr="00013EAE">
        <w:rPr>
          <w:rFonts w:ascii="Arial" w:hAnsi="Arial" w:cs="Arial"/>
          <w:b/>
          <w:i/>
        </w:rPr>
        <w:t>“</w:t>
      </w:r>
      <w:r w:rsidR="005E45AF" w:rsidRPr="00013EAE">
        <w:rPr>
          <w:rFonts w:ascii="Arial" w:hAnsi="Arial" w:cs="Arial"/>
          <w:b/>
          <w:i/>
        </w:rPr>
        <w:t>FUNDAMENTACIÓN DE LOS ACTOS DE LAS AUTORIDADES ADMINISTRATIVAS. ES INSUFICIENTE SI NO SE SEÑALA CON EXACTITUD Y PRECISIÓN O, EN SU CASO, SE TRANSCRIBE LA PORCIÓN NORMATIVA QUE SUSTENTE SU COMPETENCIA TERRITORIAL.</w:t>
      </w:r>
      <w:r w:rsidR="005E45AF" w:rsidRPr="00013EAE">
        <w:rPr>
          <w:rFonts w:ascii="Arial" w:hAnsi="Arial" w:cs="Arial"/>
          <w:i/>
        </w:rPr>
        <w:t xml:space="preserve"> De la tesis de jurisprudencia 2a./J. 115/2005, emitida por la Segunda Sala de la Suprema Corte de Justicia de la Nación, publicada en el Semanario Judicial de la Federación y su Gaceta, Novena Época, Tomo XXII, septiembre de 2005, página 310, de rubro: "COMPETENCIA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se advierte que las garantías de legalidad y seguridad jurídica contenidas en los artículos 14 y 16 de la Constitución Política de los Estados Unidos Mexicanos, tienen el alcance de exigir que en todo acto de autoridad se señalen con exactitud y precisión el o los dispositivos que facultan a quien lo emita y definan el carácter con que éste actúa, ya sea que lo haga por sí mismo, por ausencia del titular correspondiente o por delegación de facultades y, en caso de que esas normas incluyan diversos supuestos, precisar el apartado, fracción o fracciones, incisos o subincisos en que apoya su actuación, y de no contenerlos, si se trata de una norma compleja, transcribir la parte correspondiente, atento a la exigencia constitucional de certeza y seguridad jurídica del particular frente a los actos de las autoridades que afecten o lesionen su interés jurídico. En ese sentido, si la autoridad administrativa, al fundar su competencia cita los preceptos que la facultan para emitir el acto, pero omite señalar la porción normativa exacta y precisa que delimita su competencia territorial, es evidente que el acto impugnado está insuficientemente fundado, ya que, para satisfacer dicho principio constitucional, en todo acto de molestia deben constar los apartados, fracciones, incisos, subincisos o párrafos o, en su caso, transcribirse la parte correspondiente, tanto de los que facultan a la autoridad para emitir el acto, como los que prevén su competencia territorial.</w:t>
      </w:r>
      <w:r w:rsidR="007A16D9" w:rsidRPr="00013EAE">
        <w:rPr>
          <w:rFonts w:ascii="Arial" w:hAnsi="Arial" w:cs="Arial"/>
          <w:i/>
        </w:rPr>
        <w:t>”</w:t>
      </w:r>
    </w:p>
    <w:p w14:paraId="7FAB9626" w14:textId="77777777" w:rsidR="00DE3780" w:rsidRPr="00CE4DDA" w:rsidRDefault="00DE3780" w:rsidP="00DE32DD">
      <w:pPr>
        <w:tabs>
          <w:tab w:val="left" w:pos="8029"/>
        </w:tabs>
        <w:spacing w:after="0" w:line="360" w:lineRule="auto"/>
        <w:ind w:right="51" w:firstLine="567"/>
        <w:jc w:val="both"/>
        <w:rPr>
          <w:rFonts w:ascii="Arial" w:hAnsi="Arial" w:cs="Arial"/>
          <w:sz w:val="24"/>
          <w:szCs w:val="24"/>
        </w:rPr>
      </w:pPr>
    </w:p>
    <w:p w14:paraId="0E0ADF45" w14:textId="77777777" w:rsidR="0005453A" w:rsidRPr="00CE4DDA" w:rsidRDefault="001C4B46" w:rsidP="0005453A">
      <w:pPr>
        <w:spacing w:after="0" w:line="360" w:lineRule="auto"/>
        <w:ind w:right="51" w:firstLine="567"/>
        <w:jc w:val="both"/>
        <w:rPr>
          <w:rFonts w:ascii="Arial" w:hAnsi="Arial" w:cs="Arial"/>
          <w:sz w:val="24"/>
          <w:szCs w:val="24"/>
        </w:rPr>
      </w:pPr>
      <w:r>
        <w:rPr>
          <w:rFonts w:ascii="Arial" w:hAnsi="Arial" w:cs="Arial"/>
          <w:sz w:val="24"/>
          <w:szCs w:val="24"/>
        </w:rPr>
        <w:t>Po</w:t>
      </w:r>
      <w:r w:rsidR="003077AB" w:rsidRPr="00CE4DDA">
        <w:rPr>
          <w:rFonts w:ascii="Arial" w:hAnsi="Arial" w:cs="Arial"/>
          <w:sz w:val="24"/>
          <w:szCs w:val="24"/>
        </w:rPr>
        <w:t>rque</w:t>
      </w:r>
      <w:r w:rsidR="00762371" w:rsidRPr="00CE4DDA">
        <w:rPr>
          <w:rFonts w:ascii="Arial" w:hAnsi="Arial" w:cs="Arial"/>
          <w:sz w:val="24"/>
          <w:szCs w:val="24"/>
        </w:rPr>
        <w:t xml:space="preserve"> en todo mandamiento de autoridad deben cumplirse las formalidades esenciales que les den eficacia jurídica </w:t>
      </w:r>
      <w:r w:rsidR="00762371" w:rsidRPr="00013EAE">
        <w:rPr>
          <w:rFonts w:ascii="Arial" w:hAnsi="Arial" w:cs="Arial"/>
          <w:b/>
          <w:sz w:val="24"/>
          <w:szCs w:val="24"/>
        </w:rPr>
        <w:t>y expresarse en el texto mismo del acuerdo o decreto que le otorgue tal legitimación</w:t>
      </w:r>
      <w:r w:rsidR="00762371" w:rsidRPr="00CE4DDA">
        <w:rPr>
          <w:rFonts w:ascii="Arial" w:hAnsi="Arial" w:cs="Arial"/>
          <w:sz w:val="24"/>
          <w:szCs w:val="24"/>
        </w:rPr>
        <w:t>, como así lo ha señalado la Suprema Corte de Justicia de la Naci</w:t>
      </w:r>
      <w:r w:rsidR="0005453A" w:rsidRPr="00CE4DDA">
        <w:rPr>
          <w:rFonts w:ascii="Arial" w:hAnsi="Arial" w:cs="Arial"/>
          <w:sz w:val="24"/>
          <w:szCs w:val="24"/>
        </w:rPr>
        <w:t>ón, en la jurisprudencia con número de registro: 205463, Instancia: Pleno, fuente: Gaceta del Semanario Judicial de la Federación, Núm. 77, Mayo de 1994, materia(s): Común, tesis: P./J. 10/94, p</w:t>
      </w:r>
      <w:r w:rsidR="007F32C3" w:rsidRPr="00CE4DDA">
        <w:rPr>
          <w:rFonts w:ascii="Arial" w:hAnsi="Arial" w:cs="Arial"/>
          <w:sz w:val="24"/>
          <w:szCs w:val="24"/>
        </w:rPr>
        <w:t>ágina: 12, con el rubro y textos siguientes:</w:t>
      </w:r>
    </w:p>
    <w:p w14:paraId="52241DBA" w14:textId="77777777" w:rsidR="00A5787A" w:rsidRDefault="00A5787A" w:rsidP="002C4B25">
      <w:pPr>
        <w:spacing w:after="0" w:line="240" w:lineRule="auto"/>
        <w:ind w:left="567" w:right="51"/>
        <w:jc w:val="both"/>
        <w:rPr>
          <w:rFonts w:ascii="Arial" w:hAnsi="Arial" w:cs="Arial"/>
          <w:sz w:val="24"/>
          <w:szCs w:val="24"/>
        </w:rPr>
      </w:pPr>
    </w:p>
    <w:p w14:paraId="4E95433C" w14:textId="77777777" w:rsidR="0005453A" w:rsidRPr="00013EAE" w:rsidRDefault="007F32C3" w:rsidP="00013EAE">
      <w:pPr>
        <w:spacing w:after="0" w:line="240" w:lineRule="auto"/>
        <w:ind w:left="567" w:right="51"/>
        <w:jc w:val="both"/>
        <w:rPr>
          <w:rFonts w:ascii="Arial" w:hAnsi="Arial" w:cs="Arial"/>
          <w:i/>
        </w:rPr>
      </w:pPr>
      <w:r w:rsidRPr="00013EAE">
        <w:rPr>
          <w:rFonts w:ascii="Arial" w:hAnsi="Arial" w:cs="Arial"/>
          <w:i/>
        </w:rPr>
        <w:t>“</w:t>
      </w:r>
      <w:r w:rsidR="0005453A" w:rsidRPr="00013EAE">
        <w:rPr>
          <w:rFonts w:ascii="Arial" w:hAnsi="Arial" w:cs="Arial"/>
          <w:b/>
          <w:i/>
        </w:rPr>
        <w:t>COMPETENCIA. SU FUNDAMENTACION ES REQUISITO ESENCIAL DEL ACTO DE AUTORIDAD</w:t>
      </w:r>
      <w:r w:rsidR="0005453A" w:rsidRPr="00013EAE">
        <w:rPr>
          <w:rFonts w:ascii="Arial" w:hAnsi="Arial" w:cs="Arial"/>
          <w:i/>
        </w:rPr>
        <w:t>.</w:t>
      </w:r>
      <w:r w:rsidRPr="00013EAE">
        <w:rPr>
          <w:rFonts w:ascii="Arial" w:hAnsi="Arial" w:cs="Arial"/>
          <w:i/>
        </w:rPr>
        <w:t xml:space="preserve"> </w:t>
      </w:r>
      <w:r w:rsidR="0005453A" w:rsidRPr="00013EAE">
        <w:rPr>
          <w:rFonts w:ascii="Arial" w:hAnsi="Arial" w:cs="Arial"/>
          <w:i/>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w:t>
      </w:r>
      <w:r w:rsidR="0005453A" w:rsidRPr="00013EAE">
        <w:rPr>
          <w:rFonts w:ascii="Arial" w:hAnsi="Arial" w:cs="Arial"/>
          <w:i/>
        </w:rPr>
        <w:lastRenderedPageBreak/>
        <w:t>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r w:rsidR="003E754B" w:rsidRPr="00013EAE">
        <w:rPr>
          <w:rFonts w:ascii="Arial" w:hAnsi="Arial" w:cs="Arial"/>
          <w:i/>
        </w:rPr>
        <w:t>”</w:t>
      </w:r>
    </w:p>
    <w:p w14:paraId="4F412665" w14:textId="77777777" w:rsidR="00F045B2" w:rsidRPr="00CE4DDA" w:rsidRDefault="00F045B2" w:rsidP="00F045B2">
      <w:pPr>
        <w:spacing w:after="0" w:line="360" w:lineRule="auto"/>
        <w:ind w:right="51"/>
        <w:jc w:val="both"/>
        <w:rPr>
          <w:rFonts w:ascii="Arial" w:hAnsi="Arial" w:cs="Arial"/>
          <w:sz w:val="24"/>
          <w:szCs w:val="24"/>
        </w:rPr>
      </w:pPr>
    </w:p>
    <w:p w14:paraId="116AC31E" w14:textId="0100B6D2" w:rsidR="003F5DDA" w:rsidRDefault="00F045B2" w:rsidP="003F5DDA">
      <w:pPr>
        <w:tabs>
          <w:tab w:val="left" w:pos="8029"/>
        </w:tabs>
        <w:spacing w:after="0" w:line="360" w:lineRule="auto"/>
        <w:ind w:right="51" w:firstLine="567"/>
        <w:jc w:val="both"/>
        <w:rPr>
          <w:rFonts w:ascii="Arial" w:hAnsi="Arial" w:cs="Arial"/>
          <w:sz w:val="24"/>
          <w:szCs w:val="24"/>
        </w:rPr>
      </w:pPr>
      <w:r w:rsidRPr="00CE4DDA">
        <w:rPr>
          <w:rFonts w:ascii="Arial" w:hAnsi="Arial" w:cs="Arial"/>
          <w:sz w:val="24"/>
          <w:szCs w:val="24"/>
        </w:rPr>
        <w:t xml:space="preserve">Por lo tanto, y por las consideraciones anteriores, </w:t>
      </w:r>
      <w:r w:rsidRPr="00CE4DDA">
        <w:rPr>
          <w:rFonts w:ascii="Arial" w:hAnsi="Arial" w:cs="Arial"/>
          <w:b/>
          <w:sz w:val="24"/>
          <w:szCs w:val="24"/>
        </w:rPr>
        <w:t xml:space="preserve">se acredita </w:t>
      </w:r>
      <w:r w:rsidRPr="00CE4DDA">
        <w:rPr>
          <w:rFonts w:ascii="Arial" w:hAnsi="Arial" w:cs="Arial"/>
          <w:sz w:val="24"/>
          <w:szCs w:val="24"/>
        </w:rPr>
        <w:t xml:space="preserve">la </w:t>
      </w:r>
      <w:r w:rsidRPr="00CE4DDA">
        <w:rPr>
          <w:rFonts w:ascii="Arial" w:hAnsi="Arial" w:cs="Arial"/>
          <w:b/>
          <w:sz w:val="24"/>
          <w:szCs w:val="24"/>
        </w:rPr>
        <w:t>insuficiencia en la fundamentación</w:t>
      </w:r>
      <w:r w:rsidRPr="00CE4DDA">
        <w:rPr>
          <w:rFonts w:ascii="Arial" w:hAnsi="Arial" w:cs="Arial"/>
          <w:sz w:val="24"/>
          <w:szCs w:val="24"/>
        </w:rPr>
        <w:t xml:space="preserve"> y </w:t>
      </w:r>
      <w:r w:rsidRPr="00CE4DDA">
        <w:rPr>
          <w:rFonts w:ascii="Arial" w:hAnsi="Arial" w:cs="Arial"/>
          <w:b/>
          <w:sz w:val="24"/>
          <w:szCs w:val="24"/>
        </w:rPr>
        <w:t>motivación</w:t>
      </w:r>
      <w:r w:rsidRPr="00CE4DDA">
        <w:rPr>
          <w:rFonts w:ascii="Arial" w:hAnsi="Arial" w:cs="Arial"/>
          <w:sz w:val="24"/>
          <w:szCs w:val="24"/>
        </w:rPr>
        <w:t>,</w:t>
      </w:r>
      <w:r w:rsidRPr="00CE4DDA">
        <w:rPr>
          <w:rFonts w:ascii="Arial" w:hAnsi="Arial" w:cs="Arial"/>
          <w:b/>
          <w:sz w:val="24"/>
          <w:szCs w:val="24"/>
        </w:rPr>
        <w:t xml:space="preserve"> </w:t>
      </w:r>
      <w:r w:rsidR="004D3056" w:rsidRPr="004D3056">
        <w:rPr>
          <w:rFonts w:ascii="Arial" w:hAnsi="Arial" w:cs="Arial"/>
          <w:sz w:val="24"/>
          <w:szCs w:val="24"/>
        </w:rPr>
        <w:t>en</w:t>
      </w:r>
      <w:r w:rsidR="004D3056">
        <w:rPr>
          <w:rFonts w:ascii="Arial" w:hAnsi="Arial" w:cs="Arial"/>
          <w:b/>
          <w:sz w:val="24"/>
          <w:szCs w:val="24"/>
        </w:rPr>
        <w:t xml:space="preserve"> </w:t>
      </w:r>
      <w:r w:rsidRPr="00CE4DDA">
        <w:rPr>
          <w:rFonts w:ascii="Arial" w:hAnsi="Arial" w:cs="Arial"/>
          <w:sz w:val="24"/>
          <w:szCs w:val="24"/>
        </w:rPr>
        <w:t xml:space="preserve">la </w:t>
      </w:r>
      <w:r w:rsidRPr="00CE4DDA">
        <w:rPr>
          <w:rFonts w:ascii="Arial" w:hAnsi="Arial" w:cs="Arial"/>
          <w:b/>
          <w:sz w:val="24"/>
          <w:szCs w:val="24"/>
        </w:rPr>
        <w:t xml:space="preserve">competencia </w:t>
      </w:r>
      <w:r w:rsidRPr="00CE4DDA">
        <w:rPr>
          <w:rFonts w:ascii="Arial" w:hAnsi="Arial" w:cs="Arial"/>
          <w:sz w:val="24"/>
          <w:szCs w:val="24"/>
        </w:rPr>
        <w:t>de la autor</w:t>
      </w:r>
      <w:r w:rsidR="003F5DDA" w:rsidRPr="00CE4DDA">
        <w:rPr>
          <w:rFonts w:ascii="Arial" w:hAnsi="Arial" w:cs="Arial"/>
          <w:sz w:val="24"/>
          <w:szCs w:val="24"/>
        </w:rPr>
        <w:t xml:space="preserve">idad </w:t>
      </w:r>
      <w:r w:rsidR="00013EAE">
        <w:rPr>
          <w:rFonts w:ascii="Arial" w:hAnsi="Arial" w:cs="Arial"/>
          <w:sz w:val="24"/>
          <w:szCs w:val="24"/>
        </w:rPr>
        <w:t xml:space="preserve">para la emisión </w:t>
      </w:r>
      <w:r w:rsidR="003F5DDA" w:rsidRPr="00CE4DDA">
        <w:rPr>
          <w:rFonts w:ascii="Arial" w:hAnsi="Arial" w:cs="Arial"/>
          <w:sz w:val="24"/>
          <w:szCs w:val="24"/>
        </w:rPr>
        <w:t>del acto impugnad</w:t>
      </w:r>
      <w:r w:rsidR="00BA102F">
        <w:rPr>
          <w:rFonts w:ascii="Arial" w:hAnsi="Arial" w:cs="Arial"/>
          <w:sz w:val="24"/>
          <w:szCs w:val="24"/>
        </w:rPr>
        <w:t>o</w:t>
      </w:r>
      <w:r w:rsidR="004D3056">
        <w:rPr>
          <w:rFonts w:ascii="Arial" w:hAnsi="Arial" w:cs="Arial"/>
          <w:sz w:val="24"/>
          <w:szCs w:val="24"/>
        </w:rPr>
        <w:t>.</w:t>
      </w:r>
    </w:p>
    <w:p w14:paraId="47CC01E2" w14:textId="77777777" w:rsidR="004D3056" w:rsidRPr="00CE4DDA" w:rsidRDefault="004D3056" w:rsidP="003F5DDA">
      <w:pPr>
        <w:tabs>
          <w:tab w:val="left" w:pos="8029"/>
        </w:tabs>
        <w:spacing w:after="0" w:line="360" w:lineRule="auto"/>
        <w:ind w:right="51" w:firstLine="567"/>
        <w:jc w:val="both"/>
        <w:rPr>
          <w:rFonts w:ascii="Arial" w:hAnsi="Arial" w:cs="Arial"/>
          <w:sz w:val="24"/>
          <w:szCs w:val="24"/>
        </w:rPr>
      </w:pPr>
    </w:p>
    <w:p w14:paraId="61C0CAE5" w14:textId="341C0789" w:rsidR="006C5A32" w:rsidRPr="006C5A32" w:rsidRDefault="006C5A32" w:rsidP="006C5A32">
      <w:pPr>
        <w:spacing w:after="100" w:afterAutospacing="1" w:line="360" w:lineRule="auto"/>
        <w:ind w:firstLine="567"/>
        <w:jc w:val="both"/>
        <w:rPr>
          <w:rFonts w:ascii="Arial" w:eastAsia="Calibri" w:hAnsi="Arial" w:cs="Arial"/>
          <w:sz w:val="24"/>
          <w:szCs w:val="24"/>
        </w:rPr>
      </w:pPr>
      <w:r w:rsidRPr="006C5A32">
        <w:rPr>
          <w:rFonts w:ascii="Arial" w:eastAsia="Calibri" w:hAnsi="Arial" w:cs="Arial"/>
          <w:sz w:val="24"/>
          <w:szCs w:val="24"/>
        </w:rPr>
        <w:t xml:space="preserve">Por lo que al ser una violación de tipo formal, lo procedente es declarar </w:t>
      </w:r>
      <w:r w:rsidRPr="006C5A32">
        <w:rPr>
          <w:rFonts w:ascii="Arial" w:eastAsia="Times New Roman" w:hAnsi="Arial" w:cs="Arial"/>
          <w:sz w:val="24"/>
          <w:szCs w:val="24"/>
          <w:lang w:val="es-ES" w:eastAsia="es-ES"/>
        </w:rPr>
        <w:t>la</w:t>
      </w:r>
      <w:r w:rsidRPr="006C5A32">
        <w:rPr>
          <w:rFonts w:ascii="Arial" w:eastAsia="Times New Roman" w:hAnsi="Arial" w:cs="Arial"/>
          <w:b/>
          <w:sz w:val="24"/>
          <w:szCs w:val="24"/>
          <w:lang w:val="es-ES" w:eastAsia="es-ES"/>
        </w:rPr>
        <w:t xml:space="preserve"> NULIDAD </w:t>
      </w:r>
      <w:r w:rsidRPr="006C5A32">
        <w:rPr>
          <w:rFonts w:ascii="Arial" w:eastAsia="Times New Roman" w:hAnsi="Arial" w:cs="Arial"/>
          <w:sz w:val="24"/>
          <w:szCs w:val="24"/>
          <w:lang w:val="es-ES" w:eastAsia="es-ES"/>
        </w:rPr>
        <w:t xml:space="preserve">del acto administrativo impugnado </w:t>
      </w:r>
      <w:r w:rsidRPr="006C5A32">
        <w:rPr>
          <w:rFonts w:ascii="Arial" w:eastAsia="Times New Roman" w:hAnsi="Arial" w:cs="Arial"/>
          <w:b/>
          <w:sz w:val="24"/>
          <w:szCs w:val="24"/>
          <w:lang w:val="es-ES" w:eastAsia="es-ES"/>
        </w:rPr>
        <w:t xml:space="preserve">PARA EL EFECTO </w:t>
      </w:r>
      <w:r w:rsidRPr="006C5A32">
        <w:rPr>
          <w:rFonts w:ascii="Arial" w:eastAsia="Times New Roman" w:hAnsi="Arial" w:cs="Arial"/>
          <w:sz w:val="24"/>
          <w:szCs w:val="24"/>
          <w:lang w:val="es-ES" w:eastAsia="es-ES"/>
        </w:rPr>
        <w:t xml:space="preserve">de que la autoridad demandada: </w:t>
      </w:r>
      <w:r w:rsidRPr="006C5A32">
        <w:rPr>
          <w:rFonts w:ascii="Arial" w:eastAsia="Calibri" w:hAnsi="Arial" w:cs="Arial"/>
          <w:b/>
          <w:sz w:val="24"/>
          <w:szCs w:val="24"/>
        </w:rPr>
        <w:t xml:space="preserve">a) </w:t>
      </w:r>
      <w:r w:rsidRPr="006C5A32">
        <w:rPr>
          <w:rFonts w:ascii="Arial" w:eastAsia="Calibri" w:hAnsi="Arial" w:cs="Arial"/>
          <w:sz w:val="24"/>
          <w:szCs w:val="24"/>
        </w:rPr>
        <w:t xml:space="preserve">Deje sin efectos </w:t>
      </w:r>
      <w:r w:rsidR="006D3EB1">
        <w:rPr>
          <w:rFonts w:ascii="Arial" w:eastAsia="Calibri" w:hAnsi="Arial" w:cs="Arial"/>
          <w:sz w:val="24"/>
          <w:szCs w:val="24"/>
        </w:rPr>
        <w:t xml:space="preserve">el </w:t>
      </w:r>
      <w:r w:rsidR="006D3EB1" w:rsidRPr="00CE4DDA">
        <w:rPr>
          <w:rFonts w:ascii="Arial" w:hAnsi="Arial" w:cs="Arial"/>
          <w:sz w:val="24"/>
          <w:szCs w:val="24"/>
        </w:rPr>
        <w:t xml:space="preserve">oficio número </w:t>
      </w:r>
      <w:r w:rsidR="002C4B25">
        <w:rPr>
          <w:rFonts w:ascii="Arial" w:eastAsia="Times New Roman" w:hAnsi="Arial" w:cs="Arial"/>
          <w:bCs/>
          <w:iCs/>
          <w:caps/>
          <w:kern w:val="2"/>
          <w:sz w:val="24"/>
          <w:szCs w:val="24"/>
          <w:lang w:val="es-ES_tradnl" w:eastAsia="es-ES"/>
        </w:rPr>
        <w:t>**********</w:t>
      </w:r>
      <w:r w:rsidR="006D3EB1" w:rsidRPr="00CE4DDA">
        <w:rPr>
          <w:rFonts w:ascii="Arial" w:hAnsi="Arial" w:cs="Arial"/>
          <w:sz w:val="24"/>
          <w:szCs w:val="24"/>
        </w:rPr>
        <w:t>, de</w:t>
      </w:r>
      <w:r w:rsidR="006D3EB1">
        <w:rPr>
          <w:rFonts w:ascii="Arial" w:hAnsi="Arial" w:cs="Arial"/>
          <w:sz w:val="24"/>
          <w:szCs w:val="24"/>
        </w:rPr>
        <w:t xml:space="preserve"> fecha</w:t>
      </w:r>
      <w:r w:rsidR="006D3EB1" w:rsidRPr="00CE4DDA">
        <w:rPr>
          <w:rFonts w:ascii="Arial" w:hAnsi="Arial" w:cs="Arial"/>
          <w:sz w:val="24"/>
          <w:szCs w:val="24"/>
        </w:rPr>
        <w:t xml:space="preserve"> </w:t>
      </w:r>
      <w:r w:rsidR="006D3EB1">
        <w:rPr>
          <w:rFonts w:ascii="Arial" w:hAnsi="Arial" w:cs="Arial"/>
          <w:sz w:val="24"/>
          <w:szCs w:val="24"/>
        </w:rPr>
        <w:t>14 de septiembre de</w:t>
      </w:r>
      <w:r w:rsidR="006D3EB1" w:rsidRPr="00CE4DDA">
        <w:rPr>
          <w:rFonts w:ascii="Arial" w:hAnsi="Arial" w:cs="Arial"/>
          <w:sz w:val="24"/>
          <w:szCs w:val="24"/>
        </w:rPr>
        <w:t xml:space="preserve"> dos mil </w:t>
      </w:r>
      <w:r w:rsidR="006D3EB1">
        <w:rPr>
          <w:rFonts w:ascii="Arial" w:hAnsi="Arial" w:cs="Arial"/>
          <w:sz w:val="24"/>
          <w:szCs w:val="24"/>
        </w:rPr>
        <w:t>veinte</w:t>
      </w:r>
      <w:r w:rsidR="006D3EB1" w:rsidRPr="00CE4DDA">
        <w:rPr>
          <w:rFonts w:ascii="Arial" w:hAnsi="Arial" w:cs="Arial"/>
          <w:sz w:val="24"/>
          <w:szCs w:val="24"/>
        </w:rPr>
        <w:t xml:space="preserve">, </w:t>
      </w:r>
      <w:r w:rsidR="00F0002A">
        <w:rPr>
          <w:rFonts w:ascii="Arial" w:hAnsi="Arial" w:cs="Arial"/>
          <w:sz w:val="24"/>
          <w:szCs w:val="24"/>
        </w:rPr>
        <w:t>emitido por</w:t>
      </w:r>
      <w:r w:rsidR="006D3EB1" w:rsidRPr="00CE4DDA">
        <w:rPr>
          <w:rFonts w:ascii="Arial" w:hAnsi="Arial" w:cs="Arial"/>
          <w:sz w:val="24"/>
          <w:szCs w:val="24"/>
        </w:rPr>
        <w:t xml:space="preserve"> el </w:t>
      </w:r>
      <w:r w:rsidR="006D3EB1">
        <w:rPr>
          <w:rFonts w:ascii="Arial" w:hAnsi="Arial" w:cs="Arial"/>
          <w:sz w:val="24"/>
          <w:szCs w:val="24"/>
        </w:rPr>
        <w:t>Presidente</w:t>
      </w:r>
      <w:r w:rsidR="006D3EB1" w:rsidRPr="00CE4DDA">
        <w:rPr>
          <w:rFonts w:ascii="Arial" w:hAnsi="Arial" w:cs="Arial"/>
          <w:sz w:val="24"/>
          <w:szCs w:val="24"/>
        </w:rPr>
        <w:t xml:space="preserve"> Municipal </w:t>
      </w:r>
      <w:r w:rsidR="006D3EB1">
        <w:rPr>
          <w:rFonts w:ascii="Arial" w:hAnsi="Arial" w:cs="Arial"/>
          <w:sz w:val="24"/>
          <w:szCs w:val="24"/>
        </w:rPr>
        <w:t xml:space="preserve">del Honorable Ayuntamiento </w:t>
      </w:r>
      <w:r w:rsidR="006D3EB1" w:rsidRPr="00CE4DDA">
        <w:rPr>
          <w:rFonts w:ascii="Arial" w:hAnsi="Arial" w:cs="Arial"/>
          <w:sz w:val="24"/>
          <w:szCs w:val="24"/>
        </w:rPr>
        <w:t>de Salina Cruz, Oaxaca</w:t>
      </w:r>
      <w:r w:rsidRPr="006C5A32">
        <w:rPr>
          <w:rFonts w:ascii="Arial" w:eastAsia="Calibri" w:hAnsi="Arial" w:cs="Arial"/>
          <w:sz w:val="24"/>
          <w:szCs w:val="24"/>
        </w:rPr>
        <w:t xml:space="preserve">; </w:t>
      </w:r>
      <w:r w:rsidRPr="006C5A32">
        <w:rPr>
          <w:rFonts w:ascii="Arial" w:eastAsia="Calibri" w:hAnsi="Arial" w:cs="Arial"/>
          <w:b/>
          <w:sz w:val="24"/>
          <w:szCs w:val="24"/>
        </w:rPr>
        <w:t>b)</w:t>
      </w:r>
      <w:r w:rsidRPr="006C5A32">
        <w:rPr>
          <w:rFonts w:ascii="Arial" w:eastAsia="Calibri" w:hAnsi="Arial" w:cs="Arial"/>
          <w:sz w:val="24"/>
          <w:szCs w:val="24"/>
        </w:rPr>
        <w:t xml:space="preserve"> </w:t>
      </w:r>
      <w:r w:rsidR="006D3EB1">
        <w:rPr>
          <w:rFonts w:ascii="Arial" w:eastAsia="Calibri" w:hAnsi="Arial" w:cs="Arial"/>
          <w:sz w:val="24"/>
          <w:szCs w:val="24"/>
        </w:rPr>
        <w:t>E</w:t>
      </w:r>
      <w:r w:rsidRPr="006C5A32">
        <w:rPr>
          <w:rFonts w:ascii="Arial" w:eastAsia="Calibri" w:hAnsi="Arial" w:cs="Arial"/>
          <w:sz w:val="24"/>
          <w:szCs w:val="24"/>
        </w:rPr>
        <w:t xml:space="preserve">n su lugar, </w:t>
      </w:r>
      <w:r w:rsidR="006D3EB1">
        <w:rPr>
          <w:rFonts w:ascii="Arial" w:eastAsia="Calibri" w:hAnsi="Arial" w:cs="Arial"/>
          <w:sz w:val="24"/>
          <w:szCs w:val="24"/>
        </w:rPr>
        <w:t xml:space="preserve">se </w:t>
      </w:r>
      <w:r w:rsidRPr="006C5A32">
        <w:rPr>
          <w:rFonts w:ascii="Arial" w:eastAsia="Calibri" w:hAnsi="Arial" w:cs="Arial"/>
          <w:sz w:val="24"/>
          <w:szCs w:val="24"/>
        </w:rPr>
        <w:t>dicte otr</w:t>
      </w:r>
      <w:r w:rsidR="006D3EB1">
        <w:rPr>
          <w:rFonts w:ascii="Arial" w:eastAsia="Calibri" w:hAnsi="Arial" w:cs="Arial"/>
          <w:sz w:val="24"/>
          <w:szCs w:val="24"/>
        </w:rPr>
        <w:t>o</w:t>
      </w:r>
      <w:r w:rsidRPr="006C5A32">
        <w:rPr>
          <w:rFonts w:ascii="Arial" w:eastAsia="Calibri" w:hAnsi="Arial" w:cs="Arial"/>
          <w:sz w:val="24"/>
          <w:szCs w:val="24"/>
        </w:rPr>
        <w:t xml:space="preserve"> en donde de manera fundada y motivada</w:t>
      </w:r>
      <w:r w:rsidR="006D3EB1">
        <w:rPr>
          <w:rFonts w:ascii="Arial" w:eastAsia="Calibri" w:hAnsi="Arial" w:cs="Arial"/>
          <w:sz w:val="24"/>
          <w:szCs w:val="24"/>
        </w:rPr>
        <w:t xml:space="preserve"> se emita el acto y la competencia respectiva como así lo determinan los artículo</w:t>
      </w:r>
      <w:r w:rsidR="00EF0E01">
        <w:rPr>
          <w:rFonts w:ascii="Arial" w:eastAsia="Calibri" w:hAnsi="Arial" w:cs="Arial"/>
          <w:sz w:val="24"/>
          <w:szCs w:val="24"/>
        </w:rPr>
        <w:t>s</w:t>
      </w:r>
      <w:r w:rsidR="006D3EB1">
        <w:rPr>
          <w:rFonts w:ascii="Arial" w:eastAsia="Calibri" w:hAnsi="Arial" w:cs="Arial"/>
          <w:sz w:val="24"/>
          <w:szCs w:val="24"/>
        </w:rPr>
        <w:t xml:space="preserve"> 17 y 18 de </w:t>
      </w:r>
      <w:r w:rsidRPr="006C5A32">
        <w:rPr>
          <w:rFonts w:ascii="Arial" w:eastAsia="Calibri" w:hAnsi="Arial" w:cs="Arial"/>
          <w:sz w:val="24"/>
          <w:szCs w:val="24"/>
        </w:rPr>
        <w:t xml:space="preserve">la Ley de </w:t>
      </w:r>
      <w:r w:rsidR="006D3EB1">
        <w:rPr>
          <w:rFonts w:ascii="Arial" w:eastAsia="Calibri" w:hAnsi="Arial" w:cs="Arial"/>
          <w:sz w:val="24"/>
          <w:szCs w:val="24"/>
        </w:rPr>
        <w:t xml:space="preserve">Procedimiento y </w:t>
      </w:r>
      <w:r w:rsidRPr="006C5A32">
        <w:rPr>
          <w:rFonts w:ascii="Arial" w:eastAsia="Calibri" w:hAnsi="Arial" w:cs="Arial"/>
          <w:sz w:val="24"/>
          <w:szCs w:val="24"/>
        </w:rPr>
        <w:t>Justicia Administrativa para el Estado de Oaxaca.</w:t>
      </w:r>
    </w:p>
    <w:p w14:paraId="3C34AED3" w14:textId="3AFEE5F3" w:rsidR="006C5A32" w:rsidRPr="006C5A32" w:rsidRDefault="006C5A32" w:rsidP="006C5A32">
      <w:pPr>
        <w:spacing w:after="200" w:line="360" w:lineRule="auto"/>
        <w:ind w:firstLine="567"/>
        <w:jc w:val="both"/>
        <w:rPr>
          <w:rFonts w:ascii="Arial" w:eastAsia="Calibri" w:hAnsi="Arial" w:cs="Arial"/>
          <w:bCs/>
          <w:sz w:val="24"/>
          <w:szCs w:val="24"/>
        </w:rPr>
      </w:pPr>
      <w:r w:rsidRPr="006C5A32">
        <w:rPr>
          <w:rFonts w:ascii="Arial" w:eastAsia="Calibri" w:hAnsi="Arial" w:cs="Arial"/>
          <w:bCs/>
          <w:sz w:val="24"/>
          <w:szCs w:val="24"/>
        </w:rPr>
        <w:t>Sirve de apoyo a la anterior determinación, la Jurisprudencia de la Novena Época</w:t>
      </w:r>
      <w:r w:rsidR="006D3EB1">
        <w:rPr>
          <w:rFonts w:ascii="Arial" w:eastAsia="Calibri" w:hAnsi="Arial" w:cs="Arial"/>
          <w:bCs/>
          <w:sz w:val="24"/>
          <w:szCs w:val="24"/>
        </w:rPr>
        <w:t xml:space="preserve">, </w:t>
      </w:r>
      <w:r w:rsidRPr="006C5A32">
        <w:rPr>
          <w:rFonts w:ascii="Arial" w:eastAsia="Calibri" w:hAnsi="Arial" w:cs="Arial"/>
          <w:bCs/>
          <w:sz w:val="24"/>
          <w:szCs w:val="24"/>
        </w:rPr>
        <w:t>con número de registro 176913, visible en el Semanario Judicial de la Federación y su Gaceta, Tomo XXII, Octubre de 2005, Materia(s): Administrativa, Tesis:</w:t>
      </w:r>
      <w:r w:rsidRPr="006C5A32">
        <w:rPr>
          <w:rFonts w:ascii="Arial" w:eastAsia="Calibri" w:hAnsi="Arial" w:cs="Arial"/>
          <w:bCs/>
          <w:sz w:val="24"/>
          <w:szCs w:val="24"/>
        </w:rPr>
        <w:tab/>
        <w:t xml:space="preserve">I.7o.A. J/31, Página: 2212, con el rubro y texto siguiente: </w:t>
      </w:r>
    </w:p>
    <w:p w14:paraId="4C23A340" w14:textId="77777777" w:rsidR="006C5A32" w:rsidRPr="006C5A32" w:rsidRDefault="006C5A32" w:rsidP="006C5A32">
      <w:pPr>
        <w:spacing w:after="200" w:line="240" w:lineRule="auto"/>
        <w:ind w:left="567" w:right="425" w:firstLine="567"/>
        <w:jc w:val="both"/>
        <w:rPr>
          <w:rFonts w:ascii="Arial" w:eastAsia="Calibri" w:hAnsi="Arial" w:cs="Arial"/>
          <w:bCs/>
          <w:i/>
          <w:sz w:val="24"/>
          <w:szCs w:val="24"/>
        </w:rPr>
      </w:pPr>
      <w:r w:rsidRPr="006C5A32">
        <w:rPr>
          <w:rFonts w:ascii="Arial" w:eastAsia="Calibri" w:hAnsi="Arial" w:cs="Arial"/>
          <w:b/>
          <w:bCs/>
          <w:i/>
          <w:sz w:val="24"/>
          <w:szCs w:val="24"/>
        </w:rPr>
        <w:t>“NULIDAD. REGLAS PARA SU DETERMINACIÓN EN EL JUICIO CONTENCIOSO ADMINISTRATIVO EN EL DISTRITO FEDERAL.</w:t>
      </w:r>
      <w:r w:rsidRPr="006C5A32">
        <w:rPr>
          <w:rFonts w:ascii="Arial" w:eastAsia="Calibri" w:hAnsi="Arial" w:cs="Arial"/>
          <w:bCs/>
          <w:i/>
          <w:sz w:val="24"/>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w:t>
      </w:r>
      <w:r w:rsidRPr="006C5A32">
        <w:rPr>
          <w:rFonts w:ascii="Arial" w:eastAsia="Calibri" w:hAnsi="Arial" w:cs="Arial"/>
          <w:bCs/>
          <w:i/>
          <w:sz w:val="24"/>
          <w:szCs w:val="24"/>
        </w:rPr>
        <w:lastRenderedPageBreak/>
        <w:t xml:space="preserve">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w:t>
      </w:r>
      <w:r w:rsidRPr="006C5A32">
        <w:rPr>
          <w:rFonts w:ascii="Arial" w:eastAsia="Calibri" w:hAnsi="Arial" w:cs="Arial"/>
          <w:b/>
          <w:i/>
          <w:sz w:val="24"/>
          <w:szCs w:val="24"/>
        </w:rPr>
        <w:t>indebida fundamentación y motivación</w:t>
      </w:r>
      <w:r w:rsidRPr="006C5A32">
        <w:rPr>
          <w:rFonts w:ascii="Arial" w:eastAsia="Calibri" w:hAnsi="Arial" w:cs="Arial"/>
          <w:bCs/>
          <w:i/>
          <w:sz w:val="24"/>
          <w:szCs w:val="24"/>
        </w:rPr>
        <w:t>; y el no constreñimiento de la resolución a la cuestión debatida, que se forma con la pretensión del Estado y las defensas del particular, como sería la falta o indebida valoración de pruebas”</w:t>
      </w:r>
    </w:p>
    <w:p w14:paraId="0E3ABCD9" w14:textId="77777777" w:rsidR="006C5A32" w:rsidRPr="006C5A32" w:rsidRDefault="006C5A32" w:rsidP="00747661">
      <w:pPr>
        <w:spacing w:after="200" w:line="240" w:lineRule="auto"/>
        <w:ind w:left="567" w:right="425"/>
        <w:jc w:val="both"/>
        <w:rPr>
          <w:rFonts w:ascii="Arial" w:eastAsia="Calibri" w:hAnsi="Arial" w:cs="Arial"/>
          <w:bCs/>
          <w:i/>
          <w:sz w:val="24"/>
          <w:szCs w:val="24"/>
        </w:rPr>
      </w:pPr>
      <w:r w:rsidRPr="006C5A32">
        <w:rPr>
          <w:rFonts w:ascii="Arial" w:eastAsia="Calibri" w:hAnsi="Arial" w:cs="Arial"/>
          <w:b/>
          <w:bCs/>
          <w:i/>
          <w:sz w:val="24"/>
          <w:szCs w:val="24"/>
        </w:rPr>
        <w:t>(énfasis añadido)</w:t>
      </w:r>
    </w:p>
    <w:p w14:paraId="3259DF1F" w14:textId="77777777" w:rsidR="002C4B25" w:rsidRDefault="002C4B25" w:rsidP="002C4B25">
      <w:pPr>
        <w:spacing w:after="0" w:line="360" w:lineRule="auto"/>
        <w:ind w:firstLine="567"/>
        <w:jc w:val="both"/>
        <w:rPr>
          <w:rFonts w:ascii="Arial" w:eastAsia="Times New Roman" w:hAnsi="Arial" w:cs="Arial"/>
          <w:sz w:val="24"/>
          <w:szCs w:val="24"/>
          <w:lang w:val="es-ES" w:eastAsia="es-ES"/>
        </w:rPr>
      </w:pPr>
    </w:p>
    <w:p w14:paraId="7E6B8833" w14:textId="77777777" w:rsidR="006C5A32" w:rsidRPr="006C5A32" w:rsidRDefault="006C5A32" w:rsidP="006C5A32">
      <w:pPr>
        <w:spacing w:after="200" w:line="360" w:lineRule="auto"/>
        <w:ind w:firstLine="567"/>
        <w:jc w:val="both"/>
        <w:rPr>
          <w:rFonts w:ascii="Arial" w:eastAsia="Times New Roman" w:hAnsi="Arial" w:cs="Arial"/>
          <w:sz w:val="24"/>
          <w:szCs w:val="24"/>
          <w:lang w:val="es-ES" w:eastAsia="es-ES"/>
        </w:rPr>
      </w:pPr>
      <w:r w:rsidRPr="006C5A32">
        <w:rPr>
          <w:rFonts w:ascii="Arial" w:eastAsia="Times New Roman" w:hAnsi="Arial" w:cs="Arial"/>
          <w:sz w:val="24"/>
          <w:szCs w:val="24"/>
          <w:lang w:val="es-ES" w:eastAsia="es-ES"/>
        </w:rPr>
        <w:t>Sirve de orientación la Tesis aislada de la Novena Época, con número de Registro digital: 170684, Materias(s): Administrativa, Tesis: P. XXXIV/2007, visible en el Semanario Judicial de la Federación y su Gaceta. Tomo XXVI, Diciembre de 2007, página 26, con el rubro y texto siguientes:</w:t>
      </w:r>
    </w:p>
    <w:p w14:paraId="7E5515A5" w14:textId="77777777" w:rsidR="006C5A32" w:rsidRPr="006C5A32" w:rsidRDefault="006C5A32" w:rsidP="00651E09">
      <w:pPr>
        <w:spacing w:after="200" w:line="276" w:lineRule="auto"/>
        <w:ind w:left="567" w:right="566" w:hanging="141"/>
        <w:jc w:val="both"/>
        <w:rPr>
          <w:rFonts w:ascii="Arial" w:eastAsia="Times New Roman" w:hAnsi="Arial" w:cs="Arial"/>
          <w:i/>
          <w:iCs/>
          <w:lang w:val="es-ES" w:eastAsia="es-ES"/>
        </w:rPr>
      </w:pPr>
      <w:r w:rsidRPr="006C5A32">
        <w:rPr>
          <w:rFonts w:ascii="Arial" w:eastAsia="Times New Roman" w:hAnsi="Arial" w:cs="Arial"/>
          <w:b/>
          <w:bCs/>
          <w:i/>
          <w:iCs/>
          <w:lang w:val="es-ES" w:eastAsia="es-ES"/>
        </w:rPr>
        <w:t>“NULIDAD ABSOLUTA Y NULIDAD PARA EFECTOS EN EL JUICIO CONTENCIOSO ADMINISTRATIVO. SU ALCANCE DEPENDE DE LA NATURALEZA DE LA RESOLUCIÓN ANULADA Y DE LOS VICIOS QUE ORIGINARON LA ANULACIÓN.</w:t>
      </w:r>
      <w:r w:rsidRPr="006C5A32">
        <w:rPr>
          <w:rFonts w:ascii="Arial" w:eastAsia="Times New Roman" w:hAnsi="Arial" w:cs="Arial"/>
          <w:i/>
          <w:iCs/>
          <w:lang w:val="es-ES" w:eastAsia="es-ES"/>
        </w:rPr>
        <w:t xml:space="preserve"> La nulidad, entendida en un sentido amplio, es la consecuencia de una declaración jurisdiccional que priva de todo valor a los actos carentes de los requisitos de forma o fondo que marca la ley o que se han originado en un procedimiento viciado. Ahora bien, la ley contempla dos clases de nulidad: la absoluta, calificada en la práctica jurisdiccional como lisa y llana, que puede deberse a vicios de fondo, forma, procedimiento o, incluso, a la falta de competencia, y </w:t>
      </w:r>
      <w:r w:rsidRPr="006C5A32">
        <w:rPr>
          <w:rFonts w:ascii="Arial" w:eastAsia="Times New Roman" w:hAnsi="Arial" w:cs="Arial"/>
          <w:b/>
          <w:bCs/>
          <w:i/>
          <w:iCs/>
          <w:lang w:val="es-ES" w:eastAsia="es-ES"/>
        </w:rPr>
        <w:t>la nulidad para efectos, que normalmente ocurre en los casos en que el fallo impugnado se emitió al resolver un recurso administrativo</w:t>
      </w:r>
      <w:r w:rsidRPr="006C5A32">
        <w:rPr>
          <w:rFonts w:ascii="Arial" w:eastAsia="Times New Roman" w:hAnsi="Arial" w:cs="Arial"/>
          <w:i/>
          <w:iCs/>
          <w:lang w:val="es-ES" w:eastAsia="es-ES"/>
        </w:rPr>
        <w:t xml:space="preserve">; si se violó el procedimiento la resolución debe anularse,  la autoridad quedará vinculada a subsanar la irregularidad procesal y a emitir una nueva; </w:t>
      </w:r>
      <w:r w:rsidRPr="006C5A32">
        <w:rPr>
          <w:rFonts w:ascii="Arial" w:eastAsia="Times New Roman" w:hAnsi="Arial" w:cs="Arial"/>
          <w:b/>
          <w:bCs/>
          <w:i/>
          <w:iCs/>
          <w:lang w:val="es-ES" w:eastAsia="es-ES"/>
        </w:rPr>
        <w:t>cuando el motivo de la nulidad fue una deficiencia formal, por ejemplo, la ausencia de fundamentación y motivación, la autoridad queda constreñida a dictar una nueva resolución fundada y motivada</w:t>
      </w:r>
      <w:r w:rsidRPr="006C5A32">
        <w:rPr>
          <w:rFonts w:ascii="Arial" w:eastAsia="Times New Roman" w:hAnsi="Arial" w:cs="Arial"/>
          <w:i/>
          <w:iCs/>
          <w:lang w:val="es-ES" w:eastAsia="es-ES"/>
        </w:rPr>
        <w:t xml:space="preserve">. En esa virtud, la nulidad lisa y llana coincide con la nulidad para efectos en la aniquilación total, la desaparición en el orden jurídico de la resolución o acto impugnado, independientemente de la causa específica que haya originado ese pronunciamiento, pero también existen diferencias, según sea la causa de anulación, por ejemplo, en la nulidad lisa y llana la resolución o acto quedan nulificados y no existe la obligación de emitir una nueva resolución en los casos en que no exista autoridad competente, no existan fundamentos ni motivos que puedan sustentarla o que existiendo se hayan extinguido las facultades de la autoridad competente; sin embargo, habrá supuestos en los que la determinación de nulidad lisa y llana, que aunque no constriñe a la autoridad tampoco le impedirá a </w:t>
      </w:r>
      <w:r w:rsidRPr="006C5A32">
        <w:rPr>
          <w:rFonts w:ascii="Arial" w:eastAsia="Times New Roman" w:hAnsi="Arial" w:cs="Arial"/>
          <w:i/>
          <w:iCs/>
          <w:lang w:val="es-ES" w:eastAsia="es-ES"/>
        </w:rPr>
        <w:lastRenderedPageBreak/>
        <w:t>la que sí es competente que emita la resolución correspondiente o subsane el vicio que dio motivo a la nulidad, ya que en estas hipótesis no existe cosa juzgada sobre el problema de fondo del debate, es decir, solamente la nulidad absoluta o lisa y llana que se dicta estudiando el fondo del asunto es la que impide dictar una nueva resolución, pues ya existirá cosa juzgada sobre los problemas de fondo debatidos”</w:t>
      </w:r>
    </w:p>
    <w:p w14:paraId="212C445E" w14:textId="77777777" w:rsidR="006C5A32" w:rsidRPr="006C5A32" w:rsidRDefault="006C5A32" w:rsidP="00651E09">
      <w:pPr>
        <w:spacing w:after="200" w:line="276" w:lineRule="auto"/>
        <w:ind w:left="567" w:right="566"/>
        <w:jc w:val="both"/>
        <w:rPr>
          <w:rFonts w:ascii="Arial" w:eastAsia="Times New Roman" w:hAnsi="Arial" w:cs="Arial"/>
          <w:i/>
          <w:iCs/>
          <w:lang w:val="es-ES" w:eastAsia="es-ES"/>
        </w:rPr>
      </w:pPr>
      <w:r w:rsidRPr="006C5A32">
        <w:rPr>
          <w:rFonts w:ascii="Arial" w:eastAsia="Times New Roman" w:hAnsi="Arial" w:cs="Arial"/>
          <w:b/>
          <w:bCs/>
          <w:i/>
          <w:iCs/>
          <w:lang w:val="es-ES" w:eastAsia="es-ES"/>
        </w:rPr>
        <w:t>(énfasis añadido)</w:t>
      </w:r>
    </w:p>
    <w:p w14:paraId="78D8765F" w14:textId="77777777" w:rsidR="00110877" w:rsidRPr="00110877" w:rsidRDefault="00110877" w:rsidP="00110877">
      <w:pPr>
        <w:spacing w:after="200" w:line="360" w:lineRule="auto"/>
        <w:ind w:firstLine="567"/>
        <w:jc w:val="both"/>
        <w:rPr>
          <w:rFonts w:ascii="Arial" w:eastAsia="Times New Roman" w:hAnsi="Arial" w:cs="Arial"/>
          <w:sz w:val="24"/>
          <w:szCs w:val="24"/>
          <w:lang w:eastAsia="es-ES"/>
        </w:rPr>
      </w:pPr>
      <w:r w:rsidRPr="00110877">
        <w:rPr>
          <w:rFonts w:ascii="Arial" w:eastAsia="Times New Roman" w:hAnsi="Arial" w:cs="Arial"/>
          <w:b/>
          <w:sz w:val="24"/>
          <w:szCs w:val="24"/>
          <w:lang w:eastAsia="es-ES"/>
        </w:rPr>
        <w:t xml:space="preserve">QUINTO. </w:t>
      </w:r>
      <w:r w:rsidRPr="00110877">
        <w:rPr>
          <w:rFonts w:ascii="Arial" w:eastAsia="Times New Roman" w:hAnsi="Arial" w:cs="Arial"/>
          <w:sz w:val="24"/>
          <w:szCs w:val="24"/>
          <w:lang w:eastAsia="es-ES"/>
        </w:rPr>
        <w:t>Por lo anterior, resulta innecesario analizar los restantes conceptos de impugnación, virtud a que a nada práctico conduciría, pues con el ya estudiado y resultar fundado, fue suficiente para declarar la nulidad del acto impugnado.</w:t>
      </w:r>
    </w:p>
    <w:p w14:paraId="3B804AC0" w14:textId="77777777" w:rsidR="00110877" w:rsidRPr="00110877" w:rsidRDefault="00110877" w:rsidP="00110877">
      <w:pPr>
        <w:spacing w:after="200" w:line="360" w:lineRule="auto"/>
        <w:ind w:firstLine="567"/>
        <w:jc w:val="both"/>
        <w:rPr>
          <w:rFonts w:ascii="Arial" w:eastAsia="Times New Roman" w:hAnsi="Arial" w:cs="Arial"/>
          <w:sz w:val="24"/>
          <w:szCs w:val="24"/>
          <w:lang w:eastAsia="es-ES"/>
        </w:rPr>
      </w:pPr>
      <w:r w:rsidRPr="00110877">
        <w:rPr>
          <w:rFonts w:ascii="Arial" w:eastAsia="Times New Roman" w:hAnsi="Arial" w:cs="Arial"/>
          <w:sz w:val="24"/>
          <w:szCs w:val="24"/>
          <w:lang w:eastAsia="es-ES"/>
        </w:rPr>
        <w:t xml:space="preserve">Al respecto, es aplicable </w:t>
      </w:r>
      <w:r w:rsidRPr="00110877">
        <w:rPr>
          <w:rFonts w:ascii="Arial" w:eastAsia="Times New Roman" w:hAnsi="Arial" w:cs="Arial"/>
          <w:iCs/>
          <w:sz w:val="24"/>
          <w:szCs w:val="24"/>
          <w:lang w:eastAsia="es-ES"/>
        </w:rPr>
        <w:t>la Jurisprudencia de la Novena Época, con número de registro 193430, emitida por el Segundo Tribunal Colegiado  en materia Administrativa del Primer Circuito, publicada en el Semanario Judicial de la Federación, Tomo X, de agosto de 1999,  visible a página 647,</w:t>
      </w:r>
      <w:r w:rsidRPr="00110877">
        <w:rPr>
          <w:rFonts w:ascii="Arial" w:eastAsia="Times New Roman" w:hAnsi="Arial" w:cs="Arial"/>
          <w:sz w:val="24"/>
          <w:szCs w:val="24"/>
          <w:lang w:eastAsia="es-ES"/>
        </w:rPr>
        <w:t xml:space="preserve"> de rubro y tenor siguientes:</w:t>
      </w:r>
    </w:p>
    <w:p w14:paraId="43C07D51" w14:textId="77777777" w:rsidR="00110877" w:rsidRPr="00110877" w:rsidRDefault="00110877" w:rsidP="00110877">
      <w:pPr>
        <w:spacing w:after="200" w:line="360" w:lineRule="auto"/>
        <w:ind w:firstLine="567"/>
        <w:jc w:val="both"/>
        <w:rPr>
          <w:rFonts w:ascii="Arial" w:eastAsia="Times New Roman" w:hAnsi="Arial" w:cs="Arial"/>
          <w:i/>
          <w:sz w:val="24"/>
          <w:szCs w:val="24"/>
          <w:lang w:eastAsia="es-ES"/>
        </w:rPr>
      </w:pPr>
      <w:r w:rsidRPr="00110877">
        <w:rPr>
          <w:rFonts w:ascii="Arial" w:eastAsia="Times New Roman" w:hAnsi="Arial" w:cs="Arial"/>
          <w:b/>
          <w:bCs/>
          <w:i/>
          <w:sz w:val="24"/>
          <w:szCs w:val="24"/>
          <w:lang w:eastAsia="es-ES"/>
        </w:rPr>
        <w:t>“CONCEPTOS DE ANULACIÓN. LA EXIGENCIA DE EXAMINARLOS EXHAUSTIVAMENTE DEBE PONDERARSE A LA LUZ DE CADA CONTROVERSIA EN PARTICULAR</w:t>
      </w:r>
      <w:r w:rsidRPr="00110877">
        <w:rPr>
          <w:rFonts w:ascii="Arial" w:eastAsia="Times New Roman" w:hAnsi="Arial" w:cs="Arial"/>
          <w:i/>
          <w:sz w:val="24"/>
          <w:szCs w:val="24"/>
          <w:lang w:eastAsia="es-ES"/>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14:paraId="3A479381" w14:textId="55D32CA5" w:rsidR="006C5A32" w:rsidRPr="006C5A32" w:rsidRDefault="006C5A32" w:rsidP="006C5A32">
      <w:pPr>
        <w:spacing w:after="200" w:line="360" w:lineRule="auto"/>
        <w:ind w:firstLine="567"/>
        <w:jc w:val="both"/>
        <w:rPr>
          <w:rFonts w:ascii="Arial" w:eastAsia="Times New Roman" w:hAnsi="Arial" w:cs="Arial"/>
          <w:kern w:val="2"/>
          <w:sz w:val="24"/>
          <w:szCs w:val="24"/>
          <w:lang w:val="es-ES" w:eastAsia="ar-SA"/>
        </w:rPr>
      </w:pPr>
      <w:r w:rsidRPr="006C5A32">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 de Oaxaca</w:t>
      </w:r>
      <w:r w:rsidRPr="006C5A32">
        <w:rPr>
          <w:rFonts w:ascii="Arial" w:eastAsia="Times New Roman" w:hAnsi="Arial" w:cs="Arial"/>
          <w:kern w:val="2"/>
          <w:sz w:val="24"/>
          <w:szCs w:val="24"/>
          <w:lang w:val="es-ES" w:eastAsia="ar-SA"/>
        </w:rPr>
        <w:t xml:space="preserve">, se; - - - - - - - - - - - - - - - - </w:t>
      </w:r>
    </w:p>
    <w:p w14:paraId="66F28F08" w14:textId="77777777" w:rsidR="006C5A32" w:rsidRPr="006C5A32" w:rsidRDefault="006C5A32" w:rsidP="006C5A32">
      <w:pPr>
        <w:spacing w:after="240" w:line="360" w:lineRule="auto"/>
        <w:ind w:right="-660" w:firstLine="709"/>
        <w:jc w:val="center"/>
        <w:rPr>
          <w:rFonts w:ascii="Arial" w:eastAsia="Times New Roman" w:hAnsi="Arial" w:cs="Arial"/>
          <w:b/>
          <w:sz w:val="24"/>
          <w:szCs w:val="24"/>
          <w:lang w:val="es-ES_tradnl" w:eastAsia="x-none"/>
        </w:rPr>
      </w:pPr>
      <w:r w:rsidRPr="006C5A32">
        <w:rPr>
          <w:rFonts w:ascii="Arial" w:eastAsia="Times New Roman" w:hAnsi="Arial" w:cs="Arial"/>
          <w:b/>
          <w:sz w:val="24"/>
          <w:szCs w:val="24"/>
          <w:lang w:val="es-ES_tradnl" w:eastAsia="x-none"/>
        </w:rPr>
        <w:t xml:space="preserve">R E S U E L V E </w:t>
      </w:r>
    </w:p>
    <w:p w14:paraId="02661794" w14:textId="03AE79C2" w:rsidR="006C5A32" w:rsidRPr="006C5A32" w:rsidRDefault="006C5A32" w:rsidP="006C5A32">
      <w:pPr>
        <w:widowControl w:val="0"/>
        <w:suppressAutoHyphens/>
        <w:spacing w:after="200" w:line="360" w:lineRule="auto"/>
        <w:ind w:firstLine="567"/>
        <w:jc w:val="both"/>
        <w:rPr>
          <w:rFonts w:ascii="Calibri" w:eastAsia="Calibri" w:hAnsi="Calibri" w:cs="Times New Roman"/>
        </w:rPr>
      </w:pPr>
      <w:r w:rsidRPr="006C5A32">
        <w:rPr>
          <w:rFonts w:ascii="Arial" w:eastAsia="Calibri" w:hAnsi="Arial" w:cs="Arial"/>
          <w:b/>
          <w:bCs/>
          <w:sz w:val="24"/>
          <w:szCs w:val="24"/>
        </w:rPr>
        <w:t xml:space="preserve">PRIMERO. </w:t>
      </w:r>
      <w:r w:rsidRPr="006C5A32">
        <w:rPr>
          <w:rFonts w:ascii="Arial" w:eastAsia="Arial Unicode MS" w:hAnsi="Arial" w:cs="Arial"/>
          <w:kern w:val="2"/>
          <w:sz w:val="24"/>
          <w:szCs w:val="24"/>
          <w:lang w:eastAsia="ar-SA"/>
        </w:rPr>
        <w:t xml:space="preserve">Esta Cuarta Sala Unitaria fue </w:t>
      </w:r>
      <w:r w:rsidRPr="006C5A32">
        <w:rPr>
          <w:rFonts w:ascii="Arial" w:eastAsia="Arial Unicode MS" w:hAnsi="Arial" w:cs="Arial"/>
          <w:b/>
          <w:kern w:val="2"/>
          <w:sz w:val="24"/>
          <w:szCs w:val="24"/>
          <w:lang w:eastAsia="ar-SA"/>
        </w:rPr>
        <w:t>competente</w:t>
      </w:r>
      <w:r w:rsidRPr="006C5A32">
        <w:rPr>
          <w:rFonts w:ascii="Arial" w:eastAsia="Arial Unicode MS" w:hAnsi="Arial" w:cs="Arial"/>
          <w:kern w:val="2"/>
          <w:sz w:val="24"/>
          <w:szCs w:val="24"/>
          <w:lang w:eastAsia="ar-SA"/>
        </w:rPr>
        <w:t xml:space="preserve"> para conocer y resolver del presente asunto. - - - - - - - - - - - - - - - - - - - - - - - - - - - - - - - - - </w:t>
      </w:r>
    </w:p>
    <w:p w14:paraId="21A32AEF" w14:textId="226A66D9" w:rsidR="006C5A32" w:rsidRPr="006C5A32" w:rsidRDefault="006C5A32" w:rsidP="00E17579">
      <w:pPr>
        <w:spacing w:after="240" w:line="360" w:lineRule="auto"/>
        <w:ind w:firstLine="567"/>
        <w:jc w:val="both"/>
        <w:rPr>
          <w:rFonts w:ascii="Arial" w:eastAsia="Calibri" w:hAnsi="Arial" w:cs="Arial"/>
          <w:sz w:val="24"/>
          <w:szCs w:val="24"/>
          <w:lang w:val="es-ES_tradnl" w:eastAsia="ar-SA"/>
        </w:rPr>
      </w:pPr>
      <w:r w:rsidRPr="006C5A32">
        <w:rPr>
          <w:rFonts w:ascii="Arial" w:eastAsia="Calibri" w:hAnsi="Arial" w:cs="Arial"/>
          <w:b/>
          <w:sz w:val="24"/>
          <w:szCs w:val="24"/>
          <w:lang w:val="es-ES_tradnl" w:eastAsia="ar-SA"/>
        </w:rPr>
        <w:t xml:space="preserve">SEGUNDO. </w:t>
      </w:r>
      <w:r w:rsidRPr="006C5A32">
        <w:rPr>
          <w:rFonts w:ascii="Arial" w:eastAsia="Calibri" w:hAnsi="Arial" w:cs="Arial"/>
          <w:sz w:val="24"/>
          <w:szCs w:val="24"/>
          <w:lang w:val="es-ES_tradnl" w:eastAsia="ar-SA"/>
        </w:rPr>
        <w:t xml:space="preserve">La </w:t>
      </w:r>
      <w:r w:rsidRPr="006C5A32">
        <w:rPr>
          <w:rFonts w:ascii="Arial" w:eastAsia="Calibri" w:hAnsi="Arial" w:cs="Arial"/>
          <w:b/>
          <w:sz w:val="24"/>
          <w:szCs w:val="24"/>
          <w:lang w:val="es-ES_tradnl" w:eastAsia="ar-SA"/>
        </w:rPr>
        <w:t xml:space="preserve">personalidad </w:t>
      </w:r>
      <w:r w:rsidRPr="006C5A32">
        <w:rPr>
          <w:rFonts w:ascii="Arial" w:eastAsia="Calibri" w:hAnsi="Arial" w:cs="Arial"/>
          <w:sz w:val="24"/>
          <w:szCs w:val="24"/>
          <w:lang w:val="es-ES_tradnl" w:eastAsia="ar-SA"/>
        </w:rPr>
        <w:t>de la</w:t>
      </w:r>
      <w:r w:rsidR="00651E09">
        <w:rPr>
          <w:rFonts w:ascii="Arial" w:eastAsia="Calibri" w:hAnsi="Arial" w:cs="Arial"/>
          <w:sz w:val="24"/>
          <w:szCs w:val="24"/>
          <w:lang w:val="es-ES_tradnl" w:eastAsia="ar-SA"/>
        </w:rPr>
        <w:t xml:space="preserve"> parte actora </w:t>
      </w:r>
      <w:r w:rsidRPr="006C5A32">
        <w:rPr>
          <w:rFonts w:ascii="Arial" w:eastAsia="Calibri" w:hAnsi="Arial" w:cs="Arial"/>
          <w:sz w:val="24"/>
          <w:szCs w:val="24"/>
          <w:lang w:val="es-ES_tradnl" w:eastAsia="ar-SA"/>
        </w:rPr>
        <w:t>quedó acreditada en autos</w:t>
      </w:r>
      <w:r w:rsidR="00651E09">
        <w:rPr>
          <w:rFonts w:ascii="Arial" w:eastAsia="Calibri" w:hAnsi="Arial" w:cs="Arial"/>
          <w:sz w:val="24"/>
          <w:szCs w:val="24"/>
          <w:lang w:val="es-ES_tradnl" w:eastAsia="ar-SA"/>
        </w:rPr>
        <w:t>, no así de la autoridad demandada</w:t>
      </w:r>
      <w:r w:rsidRPr="006C5A32">
        <w:rPr>
          <w:rFonts w:ascii="Arial" w:eastAsia="Calibri" w:hAnsi="Arial" w:cs="Arial"/>
          <w:sz w:val="24"/>
          <w:szCs w:val="24"/>
          <w:lang w:val="es-ES_tradnl" w:eastAsia="ar-SA"/>
        </w:rPr>
        <w:t xml:space="preserve">. - - </w:t>
      </w:r>
      <w:r w:rsidRPr="006C5A32">
        <w:rPr>
          <w:rFonts w:ascii="Arial" w:eastAsia="Arial Unicode MS" w:hAnsi="Arial" w:cs="Arial"/>
          <w:kern w:val="2"/>
          <w:sz w:val="24"/>
          <w:szCs w:val="24"/>
          <w:lang w:eastAsia="ar-SA"/>
        </w:rPr>
        <w:t xml:space="preserve">- - - </w:t>
      </w:r>
      <w:r w:rsidR="00F0002A">
        <w:rPr>
          <w:rFonts w:ascii="Arial" w:eastAsia="Arial Unicode MS" w:hAnsi="Arial" w:cs="Arial"/>
          <w:kern w:val="2"/>
          <w:sz w:val="24"/>
          <w:szCs w:val="24"/>
          <w:lang w:eastAsia="ar-SA"/>
        </w:rPr>
        <w:t xml:space="preserve">- - - - - - - - - - - - - - - - - - - </w:t>
      </w:r>
    </w:p>
    <w:p w14:paraId="0BB2E613" w14:textId="456AF120" w:rsidR="006C5A32" w:rsidRPr="006C5A32" w:rsidRDefault="006C5A32" w:rsidP="006C5A32">
      <w:pPr>
        <w:autoSpaceDE w:val="0"/>
        <w:autoSpaceDN w:val="0"/>
        <w:adjustRightInd w:val="0"/>
        <w:spacing w:after="200" w:line="360" w:lineRule="auto"/>
        <w:ind w:firstLine="567"/>
        <w:jc w:val="both"/>
        <w:rPr>
          <w:rFonts w:ascii="Arial" w:eastAsia="Calibri" w:hAnsi="Arial" w:cs="Arial"/>
          <w:color w:val="000000"/>
          <w:sz w:val="24"/>
          <w:szCs w:val="24"/>
        </w:rPr>
      </w:pPr>
      <w:r w:rsidRPr="006C5A32">
        <w:rPr>
          <w:rFonts w:ascii="Arial" w:eastAsia="Arial Unicode MS" w:hAnsi="Arial" w:cs="Arial"/>
          <w:b/>
          <w:kern w:val="2"/>
          <w:sz w:val="24"/>
          <w:szCs w:val="24"/>
          <w:lang w:eastAsia="ar-SA"/>
        </w:rPr>
        <w:t xml:space="preserve">TERCERO. </w:t>
      </w:r>
      <w:r w:rsidRPr="006C5A32">
        <w:rPr>
          <w:rFonts w:ascii="Arial" w:eastAsia="Arial Unicode MS" w:hAnsi="Arial" w:cs="Arial"/>
          <w:kern w:val="2"/>
          <w:sz w:val="24"/>
          <w:szCs w:val="24"/>
          <w:lang w:eastAsia="ar-SA"/>
        </w:rPr>
        <w:t xml:space="preserve">No se actualizó ninguna causal de improcedencia, por lo que </w:t>
      </w:r>
      <w:r w:rsidRPr="006C5A32">
        <w:rPr>
          <w:rFonts w:ascii="Arial" w:eastAsia="Arial Unicode MS" w:hAnsi="Arial" w:cs="Arial"/>
          <w:b/>
          <w:kern w:val="2"/>
          <w:sz w:val="24"/>
          <w:szCs w:val="24"/>
          <w:lang w:eastAsia="ar-SA"/>
        </w:rPr>
        <w:t>NO</w:t>
      </w:r>
      <w:r w:rsidRPr="006C5A32">
        <w:rPr>
          <w:rFonts w:ascii="Arial" w:eastAsia="Arial Unicode MS" w:hAnsi="Arial" w:cs="Arial"/>
          <w:kern w:val="2"/>
          <w:sz w:val="24"/>
          <w:szCs w:val="24"/>
          <w:lang w:eastAsia="ar-SA"/>
        </w:rPr>
        <w:t xml:space="preserve"> </w:t>
      </w:r>
      <w:r w:rsidRPr="006C5A32">
        <w:rPr>
          <w:rFonts w:ascii="Arial" w:eastAsia="Calibri" w:hAnsi="Arial" w:cs="Arial"/>
          <w:b/>
          <w:color w:val="000000"/>
          <w:sz w:val="24"/>
          <w:szCs w:val="24"/>
        </w:rPr>
        <w:t>SE SOBRESEE EL JUICIO</w:t>
      </w:r>
      <w:r w:rsidRPr="006C5A32">
        <w:rPr>
          <w:rFonts w:ascii="Arial" w:eastAsia="Calibri" w:hAnsi="Arial" w:cs="Arial"/>
          <w:color w:val="000000"/>
          <w:sz w:val="24"/>
          <w:szCs w:val="24"/>
        </w:rPr>
        <w:t xml:space="preserve">. - - - - - - - - - - - - - - - - - - - - - - - - - - - - </w:t>
      </w:r>
    </w:p>
    <w:p w14:paraId="693129D0" w14:textId="7D269EEC" w:rsidR="006C5A32" w:rsidRPr="006C5A32" w:rsidRDefault="006C5A32" w:rsidP="006C5A32">
      <w:pPr>
        <w:spacing w:after="200" w:line="360" w:lineRule="auto"/>
        <w:ind w:firstLine="567"/>
        <w:jc w:val="both"/>
        <w:rPr>
          <w:rFonts w:ascii="Arial" w:eastAsia="Times New Roman" w:hAnsi="Arial" w:cs="Arial"/>
          <w:sz w:val="24"/>
          <w:szCs w:val="24"/>
          <w:lang w:val="es-ES" w:eastAsia="es-ES"/>
        </w:rPr>
      </w:pPr>
      <w:r w:rsidRPr="006C5A32">
        <w:rPr>
          <w:rFonts w:ascii="Arial" w:eastAsia="Calibri" w:hAnsi="Arial" w:cs="Arial"/>
          <w:b/>
          <w:sz w:val="24"/>
          <w:szCs w:val="24"/>
        </w:rPr>
        <w:lastRenderedPageBreak/>
        <w:t>CUARTO.</w:t>
      </w:r>
      <w:r w:rsidRPr="006C5A32">
        <w:rPr>
          <w:rFonts w:ascii="Arial" w:eastAsia="Calibri" w:hAnsi="Arial" w:cs="Arial"/>
          <w:sz w:val="24"/>
          <w:szCs w:val="24"/>
        </w:rPr>
        <w:t xml:space="preserve"> Se declara </w:t>
      </w:r>
      <w:r w:rsidRPr="006C5A32">
        <w:rPr>
          <w:rFonts w:ascii="Arial" w:eastAsia="Times New Roman" w:hAnsi="Arial" w:cs="Arial"/>
          <w:sz w:val="24"/>
          <w:szCs w:val="24"/>
          <w:lang w:val="es-ES" w:eastAsia="es-ES"/>
        </w:rPr>
        <w:t>la</w:t>
      </w:r>
      <w:r w:rsidRPr="006C5A32">
        <w:rPr>
          <w:rFonts w:ascii="Arial" w:eastAsia="Times New Roman" w:hAnsi="Arial" w:cs="Arial"/>
          <w:b/>
          <w:sz w:val="24"/>
          <w:szCs w:val="24"/>
          <w:lang w:val="es-ES" w:eastAsia="es-ES"/>
        </w:rPr>
        <w:t xml:space="preserve"> NULIDAD </w:t>
      </w:r>
      <w:r w:rsidRPr="006C5A32">
        <w:rPr>
          <w:rFonts w:ascii="Arial" w:eastAsia="Times New Roman" w:hAnsi="Arial" w:cs="Arial"/>
          <w:sz w:val="24"/>
          <w:szCs w:val="24"/>
          <w:lang w:val="es-ES" w:eastAsia="es-ES"/>
        </w:rPr>
        <w:t xml:space="preserve">del </w:t>
      </w:r>
      <w:r w:rsidR="00110877" w:rsidRPr="00110877">
        <w:rPr>
          <w:rFonts w:ascii="Arial" w:eastAsia="Calibri" w:hAnsi="Arial" w:cs="Arial"/>
          <w:sz w:val="24"/>
          <w:szCs w:val="24"/>
        </w:rPr>
        <w:t xml:space="preserve">oficio número </w:t>
      </w:r>
      <w:r w:rsidR="002C4B25">
        <w:rPr>
          <w:rFonts w:ascii="Arial" w:eastAsia="Times New Roman" w:hAnsi="Arial" w:cs="Arial"/>
          <w:bCs/>
          <w:iCs/>
          <w:caps/>
          <w:kern w:val="2"/>
          <w:sz w:val="24"/>
          <w:szCs w:val="24"/>
          <w:lang w:val="es-ES_tradnl" w:eastAsia="es-ES"/>
        </w:rPr>
        <w:t>**********</w:t>
      </w:r>
      <w:r w:rsidR="00110877" w:rsidRPr="00110877">
        <w:rPr>
          <w:rFonts w:ascii="Arial" w:eastAsia="Calibri" w:hAnsi="Arial" w:cs="Arial"/>
          <w:sz w:val="24"/>
          <w:szCs w:val="24"/>
        </w:rPr>
        <w:t>, de fecha 14 de septiembre de dos mil veinte, emitido por el Presidente Municipal del Honorable Ayuntamiento de Salina Cruz, Oaxaca</w:t>
      </w:r>
      <w:r w:rsidRPr="006C5A32">
        <w:rPr>
          <w:rFonts w:ascii="Arial" w:eastAsia="Times New Roman" w:hAnsi="Arial" w:cs="Arial"/>
          <w:sz w:val="24"/>
          <w:szCs w:val="24"/>
          <w:lang w:val="es-ES" w:eastAsia="es-ES"/>
        </w:rPr>
        <w:t xml:space="preserve">, </w:t>
      </w:r>
      <w:r w:rsidRPr="006C5A32">
        <w:rPr>
          <w:rFonts w:ascii="Arial" w:eastAsia="Times New Roman" w:hAnsi="Arial" w:cs="Arial"/>
          <w:b/>
          <w:sz w:val="24"/>
          <w:szCs w:val="24"/>
          <w:lang w:val="es-ES" w:eastAsia="es-ES"/>
        </w:rPr>
        <w:t xml:space="preserve">PARA EL EFECTO </w:t>
      </w:r>
      <w:r w:rsidRPr="006C5A32">
        <w:rPr>
          <w:rFonts w:ascii="Arial" w:eastAsia="Times New Roman" w:hAnsi="Arial" w:cs="Arial"/>
          <w:sz w:val="24"/>
          <w:szCs w:val="24"/>
          <w:lang w:val="es-ES" w:eastAsia="es-ES"/>
        </w:rPr>
        <w:t xml:space="preserve">precisado en el </w:t>
      </w:r>
      <w:r w:rsidRPr="006C5A32">
        <w:rPr>
          <w:rFonts w:ascii="Arial" w:eastAsia="Calibri" w:hAnsi="Arial" w:cs="Arial"/>
          <w:sz w:val="24"/>
          <w:szCs w:val="24"/>
          <w:lang w:eastAsia="es-ES"/>
        </w:rPr>
        <w:t xml:space="preserve">considerando </w:t>
      </w:r>
      <w:r w:rsidRPr="006C5A32">
        <w:rPr>
          <w:rFonts w:ascii="Arial" w:eastAsia="Calibri" w:hAnsi="Arial" w:cs="Arial"/>
          <w:b/>
          <w:sz w:val="24"/>
          <w:szCs w:val="24"/>
          <w:lang w:eastAsia="es-ES"/>
        </w:rPr>
        <w:t xml:space="preserve">cuarto </w:t>
      </w:r>
      <w:r w:rsidRPr="006C5A32">
        <w:rPr>
          <w:rFonts w:ascii="Arial" w:eastAsia="Calibri" w:hAnsi="Arial" w:cs="Arial"/>
          <w:sz w:val="24"/>
          <w:szCs w:val="24"/>
          <w:lang w:eastAsia="es-ES"/>
        </w:rPr>
        <w:t xml:space="preserve">de esta sentencia. - - - - - - - </w:t>
      </w:r>
    </w:p>
    <w:p w14:paraId="27FCA6C3" w14:textId="12582A2D" w:rsidR="009000BE" w:rsidRPr="009000BE" w:rsidRDefault="009000BE" w:rsidP="009000BE">
      <w:pPr>
        <w:spacing w:after="200" w:line="360" w:lineRule="auto"/>
        <w:ind w:firstLine="567"/>
        <w:jc w:val="both"/>
        <w:rPr>
          <w:rFonts w:ascii="Arial" w:eastAsia="Arial Unicode MS" w:hAnsi="Arial" w:cs="Arial"/>
          <w:kern w:val="2"/>
          <w:sz w:val="24"/>
          <w:szCs w:val="24"/>
          <w:lang w:eastAsia="ar-SA"/>
        </w:rPr>
      </w:pPr>
      <w:r w:rsidRPr="009000BE">
        <w:rPr>
          <w:rFonts w:ascii="Arial" w:eastAsia="Calibri" w:hAnsi="Arial" w:cs="Arial"/>
          <w:b/>
          <w:sz w:val="24"/>
          <w:szCs w:val="24"/>
          <w:lang w:eastAsia="es-ES"/>
        </w:rPr>
        <w:t>QUINTO</w:t>
      </w:r>
      <w:r w:rsidRPr="009000BE">
        <w:rPr>
          <w:rFonts w:ascii="Arial" w:eastAsia="Calibri" w:hAnsi="Arial" w:cs="Arial"/>
          <w:b/>
          <w:sz w:val="24"/>
          <w:szCs w:val="24"/>
        </w:rPr>
        <w:t xml:space="preserve">. NOTIFÍQUESE </w:t>
      </w:r>
      <w:r w:rsidR="00072CC6">
        <w:rPr>
          <w:rFonts w:ascii="Arial" w:eastAsia="Calibri" w:hAnsi="Arial" w:cs="Arial"/>
          <w:b/>
          <w:sz w:val="24"/>
          <w:szCs w:val="24"/>
        </w:rPr>
        <w:t>PERSONALMENTE</w:t>
      </w:r>
      <w:r w:rsidRPr="009000BE">
        <w:rPr>
          <w:rFonts w:ascii="Arial" w:eastAsia="Calibri" w:hAnsi="Arial" w:cs="Arial"/>
          <w:b/>
          <w:sz w:val="24"/>
          <w:szCs w:val="24"/>
        </w:rPr>
        <w:t xml:space="preserve"> A LA PARTE ACTORA Y </w:t>
      </w:r>
      <w:r w:rsidR="00072CC6">
        <w:rPr>
          <w:rFonts w:ascii="Arial" w:eastAsia="Calibri" w:hAnsi="Arial" w:cs="Arial"/>
          <w:b/>
          <w:sz w:val="24"/>
          <w:szCs w:val="24"/>
        </w:rPr>
        <w:t xml:space="preserve">POR MEDIO DE CORREO CERTIFICADO CON ACUSE DE RECIBO </w:t>
      </w:r>
      <w:r w:rsidRPr="009000BE">
        <w:rPr>
          <w:rFonts w:ascii="Arial" w:eastAsia="Calibri" w:hAnsi="Arial" w:cs="Arial"/>
          <w:b/>
          <w:sz w:val="24"/>
          <w:szCs w:val="24"/>
        </w:rPr>
        <w:t>LA AUTORIDAD DEMANDADA</w:t>
      </w:r>
      <w:r w:rsidRPr="009000BE">
        <w:rPr>
          <w:rFonts w:ascii="Arial" w:eastAsia="Calibri" w:hAnsi="Arial" w:cs="Arial"/>
          <w:sz w:val="24"/>
          <w:szCs w:val="24"/>
        </w:rPr>
        <w:t>, de conformidad con lo dispuesto en l</w:t>
      </w:r>
      <w:r w:rsidR="00072CC6">
        <w:rPr>
          <w:rFonts w:ascii="Arial" w:eastAsia="Calibri" w:hAnsi="Arial" w:cs="Arial"/>
          <w:sz w:val="24"/>
          <w:szCs w:val="24"/>
        </w:rPr>
        <w:t xml:space="preserve">os </w:t>
      </w:r>
      <w:r w:rsidRPr="009000BE">
        <w:rPr>
          <w:rFonts w:ascii="Arial" w:eastAsia="Calibri" w:hAnsi="Arial" w:cs="Arial"/>
          <w:sz w:val="24"/>
          <w:szCs w:val="24"/>
        </w:rPr>
        <w:t>artículo</w:t>
      </w:r>
      <w:r w:rsidR="00072CC6">
        <w:rPr>
          <w:rFonts w:ascii="Arial" w:eastAsia="Calibri" w:hAnsi="Arial" w:cs="Arial"/>
          <w:sz w:val="24"/>
          <w:szCs w:val="24"/>
        </w:rPr>
        <w:t>s</w:t>
      </w:r>
      <w:r w:rsidRPr="009000BE">
        <w:rPr>
          <w:rFonts w:ascii="Arial" w:eastAsia="Calibri" w:hAnsi="Arial" w:cs="Arial"/>
          <w:sz w:val="24"/>
          <w:szCs w:val="24"/>
        </w:rPr>
        <w:t xml:space="preserve"> 172 fracci</w:t>
      </w:r>
      <w:r w:rsidR="00072CC6">
        <w:rPr>
          <w:rFonts w:ascii="Arial" w:eastAsia="Calibri" w:hAnsi="Arial" w:cs="Arial"/>
          <w:sz w:val="24"/>
          <w:szCs w:val="24"/>
        </w:rPr>
        <w:t>o</w:t>
      </w:r>
      <w:r w:rsidRPr="009000BE">
        <w:rPr>
          <w:rFonts w:ascii="Arial" w:eastAsia="Calibri" w:hAnsi="Arial" w:cs="Arial"/>
          <w:sz w:val="24"/>
          <w:szCs w:val="24"/>
        </w:rPr>
        <w:t>n</w:t>
      </w:r>
      <w:r w:rsidR="00072CC6">
        <w:rPr>
          <w:rFonts w:ascii="Arial" w:eastAsia="Calibri" w:hAnsi="Arial" w:cs="Arial"/>
          <w:sz w:val="24"/>
          <w:szCs w:val="24"/>
        </w:rPr>
        <w:t>es</w:t>
      </w:r>
      <w:r w:rsidRPr="009000BE">
        <w:rPr>
          <w:rFonts w:ascii="Arial" w:eastAsia="Calibri" w:hAnsi="Arial" w:cs="Arial"/>
          <w:sz w:val="24"/>
          <w:szCs w:val="24"/>
        </w:rPr>
        <w:t xml:space="preserve"> I y</w:t>
      </w:r>
      <w:r w:rsidR="00072CC6">
        <w:rPr>
          <w:rFonts w:ascii="Arial" w:eastAsia="Calibri" w:hAnsi="Arial" w:cs="Arial"/>
          <w:sz w:val="24"/>
          <w:szCs w:val="24"/>
        </w:rPr>
        <w:t xml:space="preserve"> V;</w:t>
      </w:r>
      <w:r w:rsidRPr="009000BE">
        <w:rPr>
          <w:rFonts w:ascii="Arial" w:eastAsia="Calibri" w:hAnsi="Arial" w:cs="Arial"/>
          <w:sz w:val="24"/>
          <w:szCs w:val="24"/>
        </w:rPr>
        <w:t xml:space="preserve"> 173 fracciones I y II, de la Ley de Procedimiento y Justicia Administrativa para el Estado. - - - - - - - - </w:t>
      </w:r>
      <w:r w:rsidRPr="009000BE">
        <w:rPr>
          <w:rFonts w:ascii="Arial" w:eastAsia="Arial Unicode MS" w:hAnsi="Arial" w:cs="Arial"/>
          <w:kern w:val="2"/>
          <w:sz w:val="24"/>
          <w:szCs w:val="24"/>
          <w:lang w:eastAsia="ar-SA"/>
        </w:rPr>
        <w:t xml:space="preserve">- - - - - - - </w:t>
      </w:r>
    </w:p>
    <w:p w14:paraId="08B80383" w14:textId="3752AE24" w:rsidR="00F045B2" w:rsidRPr="00CE4DDA" w:rsidRDefault="00F045B2" w:rsidP="00F045B2">
      <w:pPr>
        <w:pStyle w:val="Textoindependienteprimerasangra"/>
        <w:spacing w:line="360" w:lineRule="auto"/>
        <w:jc w:val="both"/>
        <w:rPr>
          <w:rFonts w:ascii="Arial" w:hAnsi="Arial" w:cs="Arial"/>
          <w:sz w:val="24"/>
          <w:szCs w:val="24"/>
        </w:rPr>
      </w:pPr>
      <w:r w:rsidRPr="00CE4DDA">
        <w:rPr>
          <w:rFonts w:ascii="Arial" w:hAnsi="Arial" w:cs="Arial"/>
          <w:sz w:val="24"/>
          <w:szCs w:val="24"/>
        </w:rPr>
        <w:t xml:space="preserve">Así lo resolvió y firma </w:t>
      </w:r>
      <w:r w:rsidR="001A0DCF">
        <w:rPr>
          <w:rFonts w:ascii="Arial" w:hAnsi="Arial" w:cs="Arial"/>
          <w:sz w:val="24"/>
          <w:szCs w:val="24"/>
        </w:rPr>
        <w:t>la Licenciada Alejandra Georgina Villacaña Abascal</w:t>
      </w:r>
      <w:r w:rsidRPr="00CE4DDA">
        <w:rPr>
          <w:rFonts w:ascii="Arial" w:hAnsi="Arial" w:cs="Arial"/>
          <w:sz w:val="24"/>
          <w:szCs w:val="24"/>
        </w:rPr>
        <w:t>, Magistrad</w:t>
      </w:r>
      <w:r w:rsidR="001A0DCF">
        <w:rPr>
          <w:rFonts w:ascii="Arial" w:hAnsi="Arial" w:cs="Arial"/>
          <w:sz w:val="24"/>
          <w:szCs w:val="24"/>
        </w:rPr>
        <w:t>a</w:t>
      </w:r>
      <w:r w:rsidRPr="00CE4DDA">
        <w:rPr>
          <w:rFonts w:ascii="Arial" w:hAnsi="Arial" w:cs="Arial"/>
          <w:sz w:val="24"/>
          <w:szCs w:val="24"/>
        </w:rPr>
        <w:t xml:space="preserve"> Titular de la Cuarta Sala Unitaria de Primera Instancia del </w:t>
      </w:r>
      <w:r w:rsidR="001A0DCF">
        <w:rPr>
          <w:rFonts w:ascii="Arial" w:hAnsi="Arial" w:cs="Arial"/>
          <w:sz w:val="24"/>
          <w:szCs w:val="24"/>
        </w:rPr>
        <w:t>Tribunal de Justicia Administrativa del Estado, quien actúa legalmente con la Licenciada Monserrat García Altamirano, Secretaria de Acuerdos de esta Sala, quien autoriza y da fe.-</w:t>
      </w:r>
      <w:r w:rsidRPr="00CE4DDA">
        <w:rPr>
          <w:rFonts w:ascii="Arial" w:hAnsi="Arial" w:cs="Arial"/>
          <w:sz w:val="24"/>
          <w:szCs w:val="24"/>
        </w:rPr>
        <w:t xml:space="preserve"> - - - - - - - - - - - - - - - - - - - - - - - - - - - - - - </w:t>
      </w:r>
    </w:p>
    <w:p w14:paraId="166B700A" w14:textId="77777777" w:rsidR="00CE4DDA" w:rsidRPr="00CE4DDA" w:rsidRDefault="00CE4DDA">
      <w:pPr>
        <w:pStyle w:val="Textoindependienteprimerasangra"/>
        <w:spacing w:line="360" w:lineRule="auto"/>
        <w:jc w:val="both"/>
        <w:rPr>
          <w:rFonts w:ascii="Arial" w:hAnsi="Arial" w:cs="Arial"/>
          <w:sz w:val="24"/>
          <w:szCs w:val="24"/>
        </w:rPr>
      </w:pPr>
    </w:p>
    <w:sectPr w:rsidR="00CE4DDA" w:rsidRPr="00CE4DDA" w:rsidSect="004A1766">
      <w:headerReference w:type="default" r:id="rId8"/>
      <w:pgSz w:w="12240" w:h="20160" w:code="5"/>
      <w:pgMar w:top="1701" w:right="1894" w:bottom="1418" w:left="226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0A84F" w16cex:dateUtc="2022-02-23T18:34:00Z"/>
  <w16cex:commentExtensible w16cex:durableId="25C111C5" w16cex:dateUtc="2022-02-24T01: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7890E62" w16cid:durableId="25C0A84F"/>
  <w16cid:commentId w16cid:paraId="0449C146" w16cid:durableId="25C111C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79F9E4" w14:textId="77777777" w:rsidR="00945C03" w:rsidRDefault="00945C03" w:rsidP="00CD11C4">
      <w:pPr>
        <w:spacing w:after="0" w:line="240" w:lineRule="auto"/>
      </w:pPr>
      <w:r>
        <w:separator/>
      </w:r>
    </w:p>
  </w:endnote>
  <w:endnote w:type="continuationSeparator" w:id="0">
    <w:p w14:paraId="6949E858" w14:textId="77777777" w:rsidR="00945C03" w:rsidRDefault="00945C03"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CAE451" w14:textId="77777777" w:rsidR="00945C03" w:rsidRDefault="00945C03" w:rsidP="00CD11C4">
      <w:pPr>
        <w:spacing w:after="0" w:line="240" w:lineRule="auto"/>
      </w:pPr>
      <w:r>
        <w:separator/>
      </w:r>
    </w:p>
  </w:footnote>
  <w:footnote w:type="continuationSeparator" w:id="0">
    <w:p w14:paraId="36B43BF0" w14:textId="77777777" w:rsidR="00945C03" w:rsidRDefault="00945C03"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B8862C" w14:textId="30C184B1" w:rsidR="00B67E14" w:rsidRDefault="00097E1D" w:rsidP="00097E1D">
    <w:pPr>
      <w:pStyle w:val="Encabezado"/>
      <w:tabs>
        <w:tab w:val="center" w:pos="4039"/>
        <w:tab w:val="left" w:pos="4930"/>
      </w:tabs>
    </w:pPr>
    <w:r>
      <w:tab/>
    </w:r>
    <w:sdt>
      <w:sdtPr>
        <w:id w:val="2146611572"/>
        <w:docPartObj>
          <w:docPartGallery w:val="Page Numbers (Top of Page)"/>
          <w:docPartUnique/>
        </w:docPartObj>
      </w:sdtPr>
      <w:sdtEndPr/>
      <w:sdtContent>
        <w:r w:rsidR="00B67E14">
          <w:fldChar w:fldCharType="begin"/>
        </w:r>
        <w:r w:rsidR="00B67E14">
          <w:instrText>PAGE   \* MERGEFORMAT</w:instrText>
        </w:r>
        <w:r w:rsidR="00B67E14">
          <w:fldChar w:fldCharType="separate"/>
        </w:r>
        <w:r w:rsidRPr="00097E1D">
          <w:rPr>
            <w:noProof/>
            <w:lang w:val="es-ES"/>
          </w:rPr>
          <w:t>4</w:t>
        </w:r>
        <w:r w:rsidR="00B67E14">
          <w:fldChar w:fldCharType="end"/>
        </w:r>
      </w:sdtContent>
    </w:sdt>
    <w:r>
      <w:tab/>
    </w:r>
    <w:r>
      <w:tab/>
    </w:r>
  </w:p>
  <w:p w14:paraId="75002E22" w14:textId="0B0C3A38" w:rsidR="00B67E14" w:rsidRDefault="00097E1D">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6EFB5162" wp14:editId="32F506FE">
              <wp:simplePos x="0" y="0"/>
              <wp:positionH relativeFrom="column">
                <wp:posOffset>-1073888</wp:posOffset>
              </wp:positionH>
              <wp:positionV relativeFrom="paragraph">
                <wp:posOffset>3989070</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5DFB2D99" w14:textId="77777777" w:rsidR="00097E1D" w:rsidRDefault="00097E1D" w:rsidP="00097E1D">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FB5162" id="_x0000_t202" coordsize="21600,21600" o:spt="202" path="m,l,21600r21600,l21600,xe">
              <v:stroke joinstyle="miter"/>
              <v:path gradientshapeok="t" o:connecttype="rect"/>
            </v:shapetype>
            <v:shape id="Cuadro de texto 4" o:spid="_x0000_s1026" type="#_x0000_t202" style="position:absolute;margin-left:-84.55pt;margin-top:314.1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">
              <v:textbox>
                <w:txbxContent>
                  <w:p w14:paraId="5DFB2D99" w14:textId="77777777" w:rsidR="00097E1D" w:rsidRDefault="00097E1D" w:rsidP="00097E1D">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46FA351D"/>
    <w:multiLevelType w:val="hybridMultilevel"/>
    <w:tmpl w:val="FF4ED62C"/>
    <w:lvl w:ilvl="0" w:tplc="33720CD8">
      <w:start w:val="1"/>
      <w:numFmt w:val="upp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
    <w:nsid w:val="54771980"/>
    <w:multiLevelType w:val="hybridMultilevel"/>
    <w:tmpl w:val="AA701414"/>
    <w:lvl w:ilvl="0" w:tplc="284AFB9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7CBB57DA"/>
    <w:multiLevelType w:val="multilevel"/>
    <w:tmpl w:val="3E54662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0"/>
  </w:num>
  <w:num w:numId="2">
    <w:abstractNumId w:val="3"/>
  </w:num>
  <w:num w:numId="3">
    <w:abstractNumId w:val="1"/>
  </w:num>
  <w:num w:numId="4">
    <w:abstractNumId w:val="2"/>
  </w:num>
  <w:num w:numId="5">
    <w:abstractNumId w:val="4"/>
    <w:lvlOverride w:ilvl="0">
      <w:startOverride w:val="1"/>
    </w:lvlOverride>
  </w:num>
  <w:num w:numId="6">
    <w:abstractNumId w:val="4"/>
    <w:lvlOverride w:ilvl="0">
      <w:startOverride w:val="2"/>
    </w:lvlOverride>
  </w:num>
  <w:num w:numId="7">
    <w:abstractNumId w:val="4"/>
    <w:lvlOverride w:ilvl="0">
      <w:startOverride w:val="3"/>
    </w:lvlOverride>
  </w:num>
  <w:num w:numId="8">
    <w:abstractNumId w:val="4"/>
    <w:lvlOverride w:ilvl="0">
      <w:startOverride w:val="4"/>
    </w:lvlOverride>
  </w:num>
  <w:num w:numId="9">
    <w:abstractNumId w:val="4"/>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C1"/>
    <w:rsid w:val="00006C66"/>
    <w:rsid w:val="00011812"/>
    <w:rsid w:val="000129E2"/>
    <w:rsid w:val="00012A49"/>
    <w:rsid w:val="00013EAE"/>
    <w:rsid w:val="000149D8"/>
    <w:rsid w:val="00015B55"/>
    <w:rsid w:val="000160E6"/>
    <w:rsid w:val="00023D47"/>
    <w:rsid w:val="00024697"/>
    <w:rsid w:val="00031BAA"/>
    <w:rsid w:val="00031D7D"/>
    <w:rsid w:val="00032690"/>
    <w:rsid w:val="00034CF7"/>
    <w:rsid w:val="00037D17"/>
    <w:rsid w:val="00041899"/>
    <w:rsid w:val="00043832"/>
    <w:rsid w:val="00052FDF"/>
    <w:rsid w:val="0005453A"/>
    <w:rsid w:val="00054875"/>
    <w:rsid w:val="00054D8B"/>
    <w:rsid w:val="000551EA"/>
    <w:rsid w:val="0005610E"/>
    <w:rsid w:val="0005699C"/>
    <w:rsid w:val="00061541"/>
    <w:rsid w:val="000624B0"/>
    <w:rsid w:val="00066E4C"/>
    <w:rsid w:val="000672A2"/>
    <w:rsid w:val="00072CC6"/>
    <w:rsid w:val="00075F8A"/>
    <w:rsid w:val="000763A6"/>
    <w:rsid w:val="00076D14"/>
    <w:rsid w:val="00080DAC"/>
    <w:rsid w:val="00082A27"/>
    <w:rsid w:val="00086A2E"/>
    <w:rsid w:val="00087745"/>
    <w:rsid w:val="00091C30"/>
    <w:rsid w:val="0009272C"/>
    <w:rsid w:val="00094181"/>
    <w:rsid w:val="00095A20"/>
    <w:rsid w:val="00097E1D"/>
    <w:rsid w:val="000A337B"/>
    <w:rsid w:val="000A4A43"/>
    <w:rsid w:val="000A53E5"/>
    <w:rsid w:val="000A7076"/>
    <w:rsid w:val="000A778E"/>
    <w:rsid w:val="000B2996"/>
    <w:rsid w:val="000B3457"/>
    <w:rsid w:val="000B3C06"/>
    <w:rsid w:val="000B5FA3"/>
    <w:rsid w:val="000C1387"/>
    <w:rsid w:val="000C5AA0"/>
    <w:rsid w:val="000C6269"/>
    <w:rsid w:val="000D2D8B"/>
    <w:rsid w:val="000D307E"/>
    <w:rsid w:val="000E294A"/>
    <w:rsid w:val="000E2F34"/>
    <w:rsid w:val="000F1C14"/>
    <w:rsid w:val="000F2554"/>
    <w:rsid w:val="000F3697"/>
    <w:rsid w:val="000F3786"/>
    <w:rsid w:val="000F3898"/>
    <w:rsid w:val="000F5F5C"/>
    <w:rsid w:val="000F7F38"/>
    <w:rsid w:val="000F7F39"/>
    <w:rsid w:val="00101C10"/>
    <w:rsid w:val="00102FB7"/>
    <w:rsid w:val="00106350"/>
    <w:rsid w:val="00110877"/>
    <w:rsid w:val="001131A8"/>
    <w:rsid w:val="00113B4F"/>
    <w:rsid w:val="00115B5B"/>
    <w:rsid w:val="00115E92"/>
    <w:rsid w:val="00120CE6"/>
    <w:rsid w:val="0012274D"/>
    <w:rsid w:val="00122C50"/>
    <w:rsid w:val="00122D56"/>
    <w:rsid w:val="00122E6B"/>
    <w:rsid w:val="00123364"/>
    <w:rsid w:val="00123A71"/>
    <w:rsid w:val="00127503"/>
    <w:rsid w:val="001277BF"/>
    <w:rsid w:val="00132775"/>
    <w:rsid w:val="0013353D"/>
    <w:rsid w:val="00141D1E"/>
    <w:rsid w:val="00143717"/>
    <w:rsid w:val="00145E01"/>
    <w:rsid w:val="00147687"/>
    <w:rsid w:val="00150F0A"/>
    <w:rsid w:val="001548A6"/>
    <w:rsid w:val="001610B1"/>
    <w:rsid w:val="001641BE"/>
    <w:rsid w:val="00165627"/>
    <w:rsid w:val="00165E65"/>
    <w:rsid w:val="0016684C"/>
    <w:rsid w:val="001670EA"/>
    <w:rsid w:val="001672E6"/>
    <w:rsid w:val="0017088D"/>
    <w:rsid w:val="0017174E"/>
    <w:rsid w:val="001744EE"/>
    <w:rsid w:val="0017686B"/>
    <w:rsid w:val="00176C34"/>
    <w:rsid w:val="001807B2"/>
    <w:rsid w:val="001814AF"/>
    <w:rsid w:val="0019092A"/>
    <w:rsid w:val="00190987"/>
    <w:rsid w:val="0019174B"/>
    <w:rsid w:val="0019274D"/>
    <w:rsid w:val="001962A3"/>
    <w:rsid w:val="00196DEC"/>
    <w:rsid w:val="001A0DCF"/>
    <w:rsid w:val="001A2545"/>
    <w:rsid w:val="001A2A80"/>
    <w:rsid w:val="001A4347"/>
    <w:rsid w:val="001A4A23"/>
    <w:rsid w:val="001A4A2D"/>
    <w:rsid w:val="001A6844"/>
    <w:rsid w:val="001A711A"/>
    <w:rsid w:val="001A7504"/>
    <w:rsid w:val="001B3ABA"/>
    <w:rsid w:val="001C1495"/>
    <w:rsid w:val="001C3AE4"/>
    <w:rsid w:val="001C3C09"/>
    <w:rsid w:val="001C45BF"/>
    <w:rsid w:val="001C4B46"/>
    <w:rsid w:val="001C510B"/>
    <w:rsid w:val="001C69A0"/>
    <w:rsid w:val="001C72C8"/>
    <w:rsid w:val="001D2E32"/>
    <w:rsid w:val="001D30F2"/>
    <w:rsid w:val="001D37A7"/>
    <w:rsid w:val="001D43FE"/>
    <w:rsid w:val="001D52AA"/>
    <w:rsid w:val="001D76C9"/>
    <w:rsid w:val="001E1A07"/>
    <w:rsid w:val="001E231A"/>
    <w:rsid w:val="001E2E35"/>
    <w:rsid w:val="001E663C"/>
    <w:rsid w:val="001E714D"/>
    <w:rsid w:val="001F06C2"/>
    <w:rsid w:val="001F218B"/>
    <w:rsid w:val="001F26EF"/>
    <w:rsid w:val="001F39BE"/>
    <w:rsid w:val="001F404D"/>
    <w:rsid w:val="001F410A"/>
    <w:rsid w:val="001F5385"/>
    <w:rsid w:val="001F5C23"/>
    <w:rsid w:val="00202EB5"/>
    <w:rsid w:val="002050BA"/>
    <w:rsid w:val="002051B2"/>
    <w:rsid w:val="0020614C"/>
    <w:rsid w:val="0020627A"/>
    <w:rsid w:val="002072DC"/>
    <w:rsid w:val="002105EF"/>
    <w:rsid w:val="0021110B"/>
    <w:rsid w:val="0021259C"/>
    <w:rsid w:val="002142A6"/>
    <w:rsid w:val="002162D6"/>
    <w:rsid w:val="00221ACB"/>
    <w:rsid w:val="00222821"/>
    <w:rsid w:val="00222C41"/>
    <w:rsid w:val="00223B2C"/>
    <w:rsid w:val="00225705"/>
    <w:rsid w:val="00225DDB"/>
    <w:rsid w:val="00227870"/>
    <w:rsid w:val="00230819"/>
    <w:rsid w:val="00235443"/>
    <w:rsid w:val="002365AA"/>
    <w:rsid w:val="00236E58"/>
    <w:rsid w:val="00237CDD"/>
    <w:rsid w:val="00240060"/>
    <w:rsid w:val="00240447"/>
    <w:rsid w:val="00243F73"/>
    <w:rsid w:val="002506B7"/>
    <w:rsid w:val="0025496D"/>
    <w:rsid w:val="00254ADB"/>
    <w:rsid w:val="00257388"/>
    <w:rsid w:val="00262965"/>
    <w:rsid w:val="00262B0C"/>
    <w:rsid w:val="00262D42"/>
    <w:rsid w:val="00262D43"/>
    <w:rsid w:val="0026719F"/>
    <w:rsid w:val="00267A46"/>
    <w:rsid w:val="00273ADA"/>
    <w:rsid w:val="0027551A"/>
    <w:rsid w:val="002766A8"/>
    <w:rsid w:val="00276705"/>
    <w:rsid w:val="002806DD"/>
    <w:rsid w:val="00280779"/>
    <w:rsid w:val="00286D99"/>
    <w:rsid w:val="002914F3"/>
    <w:rsid w:val="0029208E"/>
    <w:rsid w:val="002A01AD"/>
    <w:rsid w:val="002A5B5A"/>
    <w:rsid w:val="002A68AD"/>
    <w:rsid w:val="002B31AB"/>
    <w:rsid w:val="002B5967"/>
    <w:rsid w:val="002C1B3C"/>
    <w:rsid w:val="002C4B25"/>
    <w:rsid w:val="002C50EB"/>
    <w:rsid w:val="002C5C41"/>
    <w:rsid w:val="002D055B"/>
    <w:rsid w:val="002D0755"/>
    <w:rsid w:val="002D0CB8"/>
    <w:rsid w:val="002D3354"/>
    <w:rsid w:val="002D34F7"/>
    <w:rsid w:val="002D3B77"/>
    <w:rsid w:val="002D4C01"/>
    <w:rsid w:val="002D5855"/>
    <w:rsid w:val="002D6480"/>
    <w:rsid w:val="002D6E09"/>
    <w:rsid w:val="002E10E1"/>
    <w:rsid w:val="002E22CB"/>
    <w:rsid w:val="002E5D51"/>
    <w:rsid w:val="002E654B"/>
    <w:rsid w:val="002E68E4"/>
    <w:rsid w:val="002F66C2"/>
    <w:rsid w:val="00300F09"/>
    <w:rsid w:val="003021C6"/>
    <w:rsid w:val="00302373"/>
    <w:rsid w:val="00303B96"/>
    <w:rsid w:val="00303CE2"/>
    <w:rsid w:val="00303E57"/>
    <w:rsid w:val="00304C3A"/>
    <w:rsid w:val="00305D5F"/>
    <w:rsid w:val="003076F5"/>
    <w:rsid w:val="003077AB"/>
    <w:rsid w:val="0030792E"/>
    <w:rsid w:val="00307E54"/>
    <w:rsid w:val="003102BC"/>
    <w:rsid w:val="0031097D"/>
    <w:rsid w:val="00313BBC"/>
    <w:rsid w:val="00313E53"/>
    <w:rsid w:val="00320EC8"/>
    <w:rsid w:val="003210BE"/>
    <w:rsid w:val="00322A13"/>
    <w:rsid w:val="00326251"/>
    <w:rsid w:val="00326821"/>
    <w:rsid w:val="0032719B"/>
    <w:rsid w:val="00330FD8"/>
    <w:rsid w:val="0034233E"/>
    <w:rsid w:val="003423CB"/>
    <w:rsid w:val="00342543"/>
    <w:rsid w:val="00344084"/>
    <w:rsid w:val="00350489"/>
    <w:rsid w:val="0035336F"/>
    <w:rsid w:val="0035374B"/>
    <w:rsid w:val="00355782"/>
    <w:rsid w:val="00360DAD"/>
    <w:rsid w:val="003617E2"/>
    <w:rsid w:val="00361887"/>
    <w:rsid w:val="00366539"/>
    <w:rsid w:val="0036660D"/>
    <w:rsid w:val="00370DD0"/>
    <w:rsid w:val="00371650"/>
    <w:rsid w:val="00372E80"/>
    <w:rsid w:val="00373CB3"/>
    <w:rsid w:val="00374FC5"/>
    <w:rsid w:val="00376523"/>
    <w:rsid w:val="00376E74"/>
    <w:rsid w:val="00380F70"/>
    <w:rsid w:val="00381570"/>
    <w:rsid w:val="00385C3D"/>
    <w:rsid w:val="00387C7B"/>
    <w:rsid w:val="00391F7E"/>
    <w:rsid w:val="00392FDF"/>
    <w:rsid w:val="003940B7"/>
    <w:rsid w:val="003944C8"/>
    <w:rsid w:val="003A1BB5"/>
    <w:rsid w:val="003A33AD"/>
    <w:rsid w:val="003A3E5B"/>
    <w:rsid w:val="003A4444"/>
    <w:rsid w:val="003A7AD5"/>
    <w:rsid w:val="003B1FE6"/>
    <w:rsid w:val="003B3223"/>
    <w:rsid w:val="003B371D"/>
    <w:rsid w:val="003B5AAA"/>
    <w:rsid w:val="003C0527"/>
    <w:rsid w:val="003C1F86"/>
    <w:rsid w:val="003C4604"/>
    <w:rsid w:val="003C6864"/>
    <w:rsid w:val="003C74F2"/>
    <w:rsid w:val="003D0465"/>
    <w:rsid w:val="003D571F"/>
    <w:rsid w:val="003D58AB"/>
    <w:rsid w:val="003D5B57"/>
    <w:rsid w:val="003D5CAC"/>
    <w:rsid w:val="003D6212"/>
    <w:rsid w:val="003E0D9D"/>
    <w:rsid w:val="003E0E72"/>
    <w:rsid w:val="003E362A"/>
    <w:rsid w:val="003E5618"/>
    <w:rsid w:val="003E56F7"/>
    <w:rsid w:val="003E754B"/>
    <w:rsid w:val="003F0481"/>
    <w:rsid w:val="003F05FC"/>
    <w:rsid w:val="003F0D74"/>
    <w:rsid w:val="003F1175"/>
    <w:rsid w:val="003F21B7"/>
    <w:rsid w:val="003F38A4"/>
    <w:rsid w:val="003F3A22"/>
    <w:rsid w:val="003F5DDA"/>
    <w:rsid w:val="003F6199"/>
    <w:rsid w:val="003F6F64"/>
    <w:rsid w:val="003F743E"/>
    <w:rsid w:val="003F75CD"/>
    <w:rsid w:val="0040001D"/>
    <w:rsid w:val="00403561"/>
    <w:rsid w:val="0040608F"/>
    <w:rsid w:val="00415CFD"/>
    <w:rsid w:val="004177E9"/>
    <w:rsid w:val="00417A15"/>
    <w:rsid w:val="00420073"/>
    <w:rsid w:val="004201F3"/>
    <w:rsid w:val="00421DCB"/>
    <w:rsid w:val="0042516D"/>
    <w:rsid w:val="0042717B"/>
    <w:rsid w:val="004302E0"/>
    <w:rsid w:val="00430AD6"/>
    <w:rsid w:val="00431E23"/>
    <w:rsid w:val="004322A1"/>
    <w:rsid w:val="0043670E"/>
    <w:rsid w:val="004409FE"/>
    <w:rsid w:val="004414BF"/>
    <w:rsid w:val="00441B43"/>
    <w:rsid w:val="0044253F"/>
    <w:rsid w:val="00442BF7"/>
    <w:rsid w:val="00443199"/>
    <w:rsid w:val="00444040"/>
    <w:rsid w:val="0044514C"/>
    <w:rsid w:val="004479B8"/>
    <w:rsid w:val="00451184"/>
    <w:rsid w:val="00452891"/>
    <w:rsid w:val="004544ED"/>
    <w:rsid w:val="00454B2C"/>
    <w:rsid w:val="004555E6"/>
    <w:rsid w:val="0045745E"/>
    <w:rsid w:val="004651A2"/>
    <w:rsid w:val="00472211"/>
    <w:rsid w:val="0047331F"/>
    <w:rsid w:val="00475DDE"/>
    <w:rsid w:val="004802E5"/>
    <w:rsid w:val="00482465"/>
    <w:rsid w:val="00491DFC"/>
    <w:rsid w:val="00492E90"/>
    <w:rsid w:val="00494948"/>
    <w:rsid w:val="0049555A"/>
    <w:rsid w:val="0049750D"/>
    <w:rsid w:val="004A11F8"/>
    <w:rsid w:val="004A1766"/>
    <w:rsid w:val="004A1E36"/>
    <w:rsid w:val="004A1FBB"/>
    <w:rsid w:val="004A43D9"/>
    <w:rsid w:val="004A70B2"/>
    <w:rsid w:val="004B1A43"/>
    <w:rsid w:val="004B264C"/>
    <w:rsid w:val="004B2BB2"/>
    <w:rsid w:val="004B2F65"/>
    <w:rsid w:val="004B5A65"/>
    <w:rsid w:val="004B5AC5"/>
    <w:rsid w:val="004B7517"/>
    <w:rsid w:val="004C2E8D"/>
    <w:rsid w:val="004C575A"/>
    <w:rsid w:val="004C6699"/>
    <w:rsid w:val="004D072E"/>
    <w:rsid w:val="004D12C9"/>
    <w:rsid w:val="004D19F4"/>
    <w:rsid w:val="004D2371"/>
    <w:rsid w:val="004D3056"/>
    <w:rsid w:val="004D66AC"/>
    <w:rsid w:val="004D6931"/>
    <w:rsid w:val="004E38EE"/>
    <w:rsid w:val="004E3CD5"/>
    <w:rsid w:val="004E5083"/>
    <w:rsid w:val="004E629F"/>
    <w:rsid w:val="004F114A"/>
    <w:rsid w:val="004F7645"/>
    <w:rsid w:val="0050058A"/>
    <w:rsid w:val="00500B16"/>
    <w:rsid w:val="00502A07"/>
    <w:rsid w:val="00511C9B"/>
    <w:rsid w:val="005130CE"/>
    <w:rsid w:val="005134B8"/>
    <w:rsid w:val="00514434"/>
    <w:rsid w:val="0051508E"/>
    <w:rsid w:val="005159EB"/>
    <w:rsid w:val="00515A8F"/>
    <w:rsid w:val="00515F49"/>
    <w:rsid w:val="00523821"/>
    <w:rsid w:val="00525C6A"/>
    <w:rsid w:val="00536BCB"/>
    <w:rsid w:val="00537CC2"/>
    <w:rsid w:val="00544E22"/>
    <w:rsid w:val="00545CEE"/>
    <w:rsid w:val="00545F62"/>
    <w:rsid w:val="00551AE2"/>
    <w:rsid w:val="0055681F"/>
    <w:rsid w:val="00556E3D"/>
    <w:rsid w:val="00560CBC"/>
    <w:rsid w:val="00560CF5"/>
    <w:rsid w:val="0056218F"/>
    <w:rsid w:val="00562331"/>
    <w:rsid w:val="00564762"/>
    <w:rsid w:val="00572CB2"/>
    <w:rsid w:val="00584143"/>
    <w:rsid w:val="005848DE"/>
    <w:rsid w:val="005903B6"/>
    <w:rsid w:val="0059084A"/>
    <w:rsid w:val="0059151D"/>
    <w:rsid w:val="00591F38"/>
    <w:rsid w:val="005939BF"/>
    <w:rsid w:val="00596EA4"/>
    <w:rsid w:val="00597ED8"/>
    <w:rsid w:val="005A12E9"/>
    <w:rsid w:val="005A3A97"/>
    <w:rsid w:val="005A4800"/>
    <w:rsid w:val="005A4F93"/>
    <w:rsid w:val="005B16C6"/>
    <w:rsid w:val="005B652E"/>
    <w:rsid w:val="005C4608"/>
    <w:rsid w:val="005D69FC"/>
    <w:rsid w:val="005D7068"/>
    <w:rsid w:val="005E1534"/>
    <w:rsid w:val="005E45AF"/>
    <w:rsid w:val="005F3F22"/>
    <w:rsid w:val="005F40DF"/>
    <w:rsid w:val="005F5954"/>
    <w:rsid w:val="00600E5B"/>
    <w:rsid w:val="00607F6C"/>
    <w:rsid w:val="00610F0F"/>
    <w:rsid w:val="00612240"/>
    <w:rsid w:val="00613B0D"/>
    <w:rsid w:val="00615213"/>
    <w:rsid w:val="00620167"/>
    <w:rsid w:val="00622604"/>
    <w:rsid w:val="00623857"/>
    <w:rsid w:val="00624491"/>
    <w:rsid w:val="00625B44"/>
    <w:rsid w:val="00625E1F"/>
    <w:rsid w:val="00626835"/>
    <w:rsid w:val="00631406"/>
    <w:rsid w:val="006328B6"/>
    <w:rsid w:val="00642044"/>
    <w:rsid w:val="00647E43"/>
    <w:rsid w:val="0065199B"/>
    <w:rsid w:val="00651E09"/>
    <w:rsid w:val="00655975"/>
    <w:rsid w:val="00660A87"/>
    <w:rsid w:val="00660C12"/>
    <w:rsid w:val="00672FDF"/>
    <w:rsid w:val="00673C89"/>
    <w:rsid w:val="006806A9"/>
    <w:rsid w:val="0068284B"/>
    <w:rsid w:val="00682A6B"/>
    <w:rsid w:val="006848C1"/>
    <w:rsid w:val="00684FC4"/>
    <w:rsid w:val="00690070"/>
    <w:rsid w:val="00692ADE"/>
    <w:rsid w:val="006944C4"/>
    <w:rsid w:val="00696728"/>
    <w:rsid w:val="006A0BF0"/>
    <w:rsid w:val="006A1793"/>
    <w:rsid w:val="006A1A77"/>
    <w:rsid w:val="006A529C"/>
    <w:rsid w:val="006A5553"/>
    <w:rsid w:val="006A558A"/>
    <w:rsid w:val="006C0EE7"/>
    <w:rsid w:val="006C1553"/>
    <w:rsid w:val="006C1DA3"/>
    <w:rsid w:val="006C4415"/>
    <w:rsid w:val="006C5159"/>
    <w:rsid w:val="006C5A32"/>
    <w:rsid w:val="006D3EB1"/>
    <w:rsid w:val="006D5CB6"/>
    <w:rsid w:val="006D5E7E"/>
    <w:rsid w:val="006D73B6"/>
    <w:rsid w:val="006D74DD"/>
    <w:rsid w:val="006E2075"/>
    <w:rsid w:val="006E332C"/>
    <w:rsid w:val="006E652B"/>
    <w:rsid w:val="006E713D"/>
    <w:rsid w:val="006F454F"/>
    <w:rsid w:val="006F535F"/>
    <w:rsid w:val="00703376"/>
    <w:rsid w:val="00704A4D"/>
    <w:rsid w:val="00705A42"/>
    <w:rsid w:val="00711198"/>
    <w:rsid w:val="00711F32"/>
    <w:rsid w:val="00716817"/>
    <w:rsid w:val="00723033"/>
    <w:rsid w:val="00731D0C"/>
    <w:rsid w:val="00732181"/>
    <w:rsid w:val="00732E21"/>
    <w:rsid w:val="00732FF2"/>
    <w:rsid w:val="0073365D"/>
    <w:rsid w:val="00737D9C"/>
    <w:rsid w:val="0074158C"/>
    <w:rsid w:val="00741696"/>
    <w:rsid w:val="00743983"/>
    <w:rsid w:val="00747661"/>
    <w:rsid w:val="00750821"/>
    <w:rsid w:val="00754788"/>
    <w:rsid w:val="00755381"/>
    <w:rsid w:val="007565D5"/>
    <w:rsid w:val="007568E9"/>
    <w:rsid w:val="00762371"/>
    <w:rsid w:val="00765538"/>
    <w:rsid w:val="00767957"/>
    <w:rsid w:val="00771A7E"/>
    <w:rsid w:val="007729A1"/>
    <w:rsid w:val="00773715"/>
    <w:rsid w:val="0077539F"/>
    <w:rsid w:val="00775A27"/>
    <w:rsid w:val="00785A24"/>
    <w:rsid w:val="00787E00"/>
    <w:rsid w:val="007902B0"/>
    <w:rsid w:val="007927BF"/>
    <w:rsid w:val="00793128"/>
    <w:rsid w:val="00793D1A"/>
    <w:rsid w:val="007962FE"/>
    <w:rsid w:val="00797DA0"/>
    <w:rsid w:val="007A0FA7"/>
    <w:rsid w:val="007A16D9"/>
    <w:rsid w:val="007A19BA"/>
    <w:rsid w:val="007A7A4A"/>
    <w:rsid w:val="007B1B71"/>
    <w:rsid w:val="007B2891"/>
    <w:rsid w:val="007B3D91"/>
    <w:rsid w:val="007B41E1"/>
    <w:rsid w:val="007B4CDB"/>
    <w:rsid w:val="007B4E15"/>
    <w:rsid w:val="007B5294"/>
    <w:rsid w:val="007B52D5"/>
    <w:rsid w:val="007B5DEB"/>
    <w:rsid w:val="007B6F17"/>
    <w:rsid w:val="007B7809"/>
    <w:rsid w:val="007C2AF6"/>
    <w:rsid w:val="007C40C5"/>
    <w:rsid w:val="007C4120"/>
    <w:rsid w:val="007C5A8C"/>
    <w:rsid w:val="007C66D8"/>
    <w:rsid w:val="007D07DA"/>
    <w:rsid w:val="007D20DB"/>
    <w:rsid w:val="007E4803"/>
    <w:rsid w:val="007E64BC"/>
    <w:rsid w:val="007F0B29"/>
    <w:rsid w:val="007F2659"/>
    <w:rsid w:val="007F27F6"/>
    <w:rsid w:val="007F2D4B"/>
    <w:rsid w:val="007F3258"/>
    <w:rsid w:val="007F32C3"/>
    <w:rsid w:val="007F5D6F"/>
    <w:rsid w:val="007F76C8"/>
    <w:rsid w:val="0080718F"/>
    <w:rsid w:val="0081094C"/>
    <w:rsid w:val="008149B2"/>
    <w:rsid w:val="008158BD"/>
    <w:rsid w:val="00820C76"/>
    <w:rsid w:val="00821C91"/>
    <w:rsid w:val="0082455D"/>
    <w:rsid w:val="0082762A"/>
    <w:rsid w:val="0083167B"/>
    <w:rsid w:val="00831F33"/>
    <w:rsid w:val="00835BC2"/>
    <w:rsid w:val="008427C7"/>
    <w:rsid w:val="00842A4B"/>
    <w:rsid w:val="00847F7C"/>
    <w:rsid w:val="008537E6"/>
    <w:rsid w:val="00853F87"/>
    <w:rsid w:val="00856302"/>
    <w:rsid w:val="0085631F"/>
    <w:rsid w:val="00857E59"/>
    <w:rsid w:val="00861522"/>
    <w:rsid w:val="008617E0"/>
    <w:rsid w:val="008626BF"/>
    <w:rsid w:val="008637B5"/>
    <w:rsid w:val="00865A2D"/>
    <w:rsid w:val="0086715B"/>
    <w:rsid w:val="0087200B"/>
    <w:rsid w:val="00872062"/>
    <w:rsid w:val="0088312F"/>
    <w:rsid w:val="008851FF"/>
    <w:rsid w:val="00887A6B"/>
    <w:rsid w:val="0089046B"/>
    <w:rsid w:val="00890540"/>
    <w:rsid w:val="008946E6"/>
    <w:rsid w:val="00895D9E"/>
    <w:rsid w:val="00895F46"/>
    <w:rsid w:val="00896F8A"/>
    <w:rsid w:val="008A16EF"/>
    <w:rsid w:val="008A29ED"/>
    <w:rsid w:val="008A2D0F"/>
    <w:rsid w:val="008A47F9"/>
    <w:rsid w:val="008A5640"/>
    <w:rsid w:val="008A6F81"/>
    <w:rsid w:val="008A715F"/>
    <w:rsid w:val="008A7C09"/>
    <w:rsid w:val="008B0B26"/>
    <w:rsid w:val="008B0F57"/>
    <w:rsid w:val="008B12FB"/>
    <w:rsid w:val="008B3524"/>
    <w:rsid w:val="008B702D"/>
    <w:rsid w:val="008C0294"/>
    <w:rsid w:val="008C04C5"/>
    <w:rsid w:val="008C0A4D"/>
    <w:rsid w:val="008C111E"/>
    <w:rsid w:val="008C1C32"/>
    <w:rsid w:val="008C2FF5"/>
    <w:rsid w:val="008C5DBC"/>
    <w:rsid w:val="008D3E64"/>
    <w:rsid w:val="008D4678"/>
    <w:rsid w:val="008D6CC8"/>
    <w:rsid w:val="008E182E"/>
    <w:rsid w:val="008E2E2D"/>
    <w:rsid w:val="008E3319"/>
    <w:rsid w:val="008E425A"/>
    <w:rsid w:val="008E7713"/>
    <w:rsid w:val="008E7C43"/>
    <w:rsid w:val="008F063F"/>
    <w:rsid w:val="008F067C"/>
    <w:rsid w:val="008F1951"/>
    <w:rsid w:val="008F419C"/>
    <w:rsid w:val="008F748D"/>
    <w:rsid w:val="008F7BA3"/>
    <w:rsid w:val="008F7CD5"/>
    <w:rsid w:val="009000BE"/>
    <w:rsid w:val="009010B9"/>
    <w:rsid w:val="00902036"/>
    <w:rsid w:val="00907FD0"/>
    <w:rsid w:val="00910E9F"/>
    <w:rsid w:val="00911A56"/>
    <w:rsid w:val="0091207E"/>
    <w:rsid w:val="009230F0"/>
    <w:rsid w:val="00923D53"/>
    <w:rsid w:val="009247CC"/>
    <w:rsid w:val="009267E3"/>
    <w:rsid w:val="00927B67"/>
    <w:rsid w:val="009308E7"/>
    <w:rsid w:val="00933006"/>
    <w:rsid w:val="00933C2E"/>
    <w:rsid w:val="00940160"/>
    <w:rsid w:val="00945C03"/>
    <w:rsid w:val="009466AF"/>
    <w:rsid w:val="00952817"/>
    <w:rsid w:val="00952D80"/>
    <w:rsid w:val="00957CA4"/>
    <w:rsid w:val="009605FD"/>
    <w:rsid w:val="0096111C"/>
    <w:rsid w:val="009629E5"/>
    <w:rsid w:val="00965763"/>
    <w:rsid w:val="00965E99"/>
    <w:rsid w:val="00966099"/>
    <w:rsid w:val="009660B4"/>
    <w:rsid w:val="00967F5D"/>
    <w:rsid w:val="00973211"/>
    <w:rsid w:val="009758F9"/>
    <w:rsid w:val="009839D1"/>
    <w:rsid w:val="00986A54"/>
    <w:rsid w:val="009959E4"/>
    <w:rsid w:val="009A20F8"/>
    <w:rsid w:val="009A269E"/>
    <w:rsid w:val="009A338E"/>
    <w:rsid w:val="009B30BC"/>
    <w:rsid w:val="009B38FC"/>
    <w:rsid w:val="009C4E48"/>
    <w:rsid w:val="009C6784"/>
    <w:rsid w:val="009D1437"/>
    <w:rsid w:val="009D1B32"/>
    <w:rsid w:val="009D24F3"/>
    <w:rsid w:val="009D4380"/>
    <w:rsid w:val="009D6EC9"/>
    <w:rsid w:val="009D7797"/>
    <w:rsid w:val="009D7854"/>
    <w:rsid w:val="009D7D3F"/>
    <w:rsid w:val="009E23E1"/>
    <w:rsid w:val="009E5A34"/>
    <w:rsid w:val="009E73A7"/>
    <w:rsid w:val="009F3C89"/>
    <w:rsid w:val="009F4FFD"/>
    <w:rsid w:val="009F7F6B"/>
    <w:rsid w:val="00A0281E"/>
    <w:rsid w:val="00A11FCE"/>
    <w:rsid w:val="00A17772"/>
    <w:rsid w:val="00A24B6E"/>
    <w:rsid w:val="00A31177"/>
    <w:rsid w:val="00A31F74"/>
    <w:rsid w:val="00A321C2"/>
    <w:rsid w:val="00A326C8"/>
    <w:rsid w:val="00A37996"/>
    <w:rsid w:val="00A40ACB"/>
    <w:rsid w:val="00A44464"/>
    <w:rsid w:val="00A44ED5"/>
    <w:rsid w:val="00A451F0"/>
    <w:rsid w:val="00A4794B"/>
    <w:rsid w:val="00A500BD"/>
    <w:rsid w:val="00A5064F"/>
    <w:rsid w:val="00A52B4E"/>
    <w:rsid w:val="00A5787A"/>
    <w:rsid w:val="00A6105F"/>
    <w:rsid w:val="00A64305"/>
    <w:rsid w:val="00A65311"/>
    <w:rsid w:val="00A66117"/>
    <w:rsid w:val="00A714E3"/>
    <w:rsid w:val="00A72669"/>
    <w:rsid w:val="00A75965"/>
    <w:rsid w:val="00A76767"/>
    <w:rsid w:val="00A823D1"/>
    <w:rsid w:val="00A916A6"/>
    <w:rsid w:val="00A94D02"/>
    <w:rsid w:val="00A96615"/>
    <w:rsid w:val="00A97595"/>
    <w:rsid w:val="00AA09EB"/>
    <w:rsid w:val="00AA49D4"/>
    <w:rsid w:val="00AB4D2B"/>
    <w:rsid w:val="00AB52F7"/>
    <w:rsid w:val="00AB607A"/>
    <w:rsid w:val="00AC288C"/>
    <w:rsid w:val="00AC2912"/>
    <w:rsid w:val="00AC4025"/>
    <w:rsid w:val="00AC5902"/>
    <w:rsid w:val="00AD3C26"/>
    <w:rsid w:val="00AD5A32"/>
    <w:rsid w:val="00AD7CFD"/>
    <w:rsid w:val="00AD7F67"/>
    <w:rsid w:val="00AE1C29"/>
    <w:rsid w:val="00AE2945"/>
    <w:rsid w:val="00AE2A27"/>
    <w:rsid w:val="00AE6B0D"/>
    <w:rsid w:val="00AE779C"/>
    <w:rsid w:val="00AF4288"/>
    <w:rsid w:val="00AF4382"/>
    <w:rsid w:val="00AF6126"/>
    <w:rsid w:val="00B013A9"/>
    <w:rsid w:val="00B02127"/>
    <w:rsid w:val="00B05F90"/>
    <w:rsid w:val="00B061D8"/>
    <w:rsid w:val="00B12C75"/>
    <w:rsid w:val="00B31A1C"/>
    <w:rsid w:val="00B331AF"/>
    <w:rsid w:val="00B340F1"/>
    <w:rsid w:val="00B45130"/>
    <w:rsid w:val="00B4706A"/>
    <w:rsid w:val="00B5016F"/>
    <w:rsid w:val="00B53F4D"/>
    <w:rsid w:val="00B54164"/>
    <w:rsid w:val="00B54F35"/>
    <w:rsid w:val="00B56533"/>
    <w:rsid w:val="00B57362"/>
    <w:rsid w:val="00B6013C"/>
    <w:rsid w:val="00B61CE0"/>
    <w:rsid w:val="00B63048"/>
    <w:rsid w:val="00B63FBE"/>
    <w:rsid w:val="00B64448"/>
    <w:rsid w:val="00B67E14"/>
    <w:rsid w:val="00B73858"/>
    <w:rsid w:val="00B73FEC"/>
    <w:rsid w:val="00B7712A"/>
    <w:rsid w:val="00B81521"/>
    <w:rsid w:val="00B82B0D"/>
    <w:rsid w:val="00B83FBE"/>
    <w:rsid w:val="00B91B2C"/>
    <w:rsid w:val="00B92527"/>
    <w:rsid w:val="00BA102F"/>
    <w:rsid w:val="00BA2B14"/>
    <w:rsid w:val="00BB2601"/>
    <w:rsid w:val="00BB3148"/>
    <w:rsid w:val="00BB66FE"/>
    <w:rsid w:val="00BB6E07"/>
    <w:rsid w:val="00BB6ED7"/>
    <w:rsid w:val="00BC11E4"/>
    <w:rsid w:val="00BC280B"/>
    <w:rsid w:val="00BC4348"/>
    <w:rsid w:val="00BC51F8"/>
    <w:rsid w:val="00BD19EA"/>
    <w:rsid w:val="00BD41EC"/>
    <w:rsid w:val="00BD4243"/>
    <w:rsid w:val="00BE02DB"/>
    <w:rsid w:val="00BE1ED8"/>
    <w:rsid w:val="00BE270C"/>
    <w:rsid w:val="00BF232D"/>
    <w:rsid w:val="00BF3A0B"/>
    <w:rsid w:val="00BF4F69"/>
    <w:rsid w:val="00BF53D9"/>
    <w:rsid w:val="00BF57F3"/>
    <w:rsid w:val="00C02572"/>
    <w:rsid w:val="00C03CDE"/>
    <w:rsid w:val="00C05A23"/>
    <w:rsid w:val="00C07483"/>
    <w:rsid w:val="00C077EE"/>
    <w:rsid w:val="00C10E73"/>
    <w:rsid w:val="00C1147C"/>
    <w:rsid w:val="00C12D04"/>
    <w:rsid w:val="00C12FD2"/>
    <w:rsid w:val="00C13A15"/>
    <w:rsid w:val="00C13A4D"/>
    <w:rsid w:val="00C1431C"/>
    <w:rsid w:val="00C14E6D"/>
    <w:rsid w:val="00C157D3"/>
    <w:rsid w:val="00C158DB"/>
    <w:rsid w:val="00C16EB6"/>
    <w:rsid w:val="00C20E79"/>
    <w:rsid w:val="00C2370D"/>
    <w:rsid w:val="00C27B38"/>
    <w:rsid w:val="00C30C5E"/>
    <w:rsid w:val="00C31F55"/>
    <w:rsid w:val="00C354F9"/>
    <w:rsid w:val="00C42032"/>
    <w:rsid w:val="00C42B44"/>
    <w:rsid w:val="00C42EA0"/>
    <w:rsid w:val="00C45B14"/>
    <w:rsid w:val="00C46D1C"/>
    <w:rsid w:val="00C5119A"/>
    <w:rsid w:val="00C517A7"/>
    <w:rsid w:val="00C52ACC"/>
    <w:rsid w:val="00C55743"/>
    <w:rsid w:val="00C57AA6"/>
    <w:rsid w:val="00C613D3"/>
    <w:rsid w:val="00C61BA4"/>
    <w:rsid w:val="00C61FDB"/>
    <w:rsid w:val="00C65759"/>
    <w:rsid w:val="00C733EC"/>
    <w:rsid w:val="00C76286"/>
    <w:rsid w:val="00C81688"/>
    <w:rsid w:val="00C82EAA"/>
    <w:rsid w:val="00C83BA6"/>
    <w:rsid w:val="00C85923"/>
    <w:rsid w:val="00C86B04"/>
    <w:rsid w:val="00C90897"/>
    <w:rsid w:val="00C939E1"/>
    <w:rsid w:val="00C93C0E"/>
    <w:rsid w:val="00C94642"/>
    <w:rsid w:val="00C95AA5"/>
    <w:rsid w:val="00CA0BF8"/>
    <w:rsid w:val="00CA1152"/>
    <w:rsid w:val="00CA13BD"/>
    <w:rsid w:val="00CA3050"/>
    <w:rsid w:val="00CA4BC1"/>
    <w:rsid w:val="00CA5BC5"/>
    <w:rsid w:val="00CA6341"/>
    <w:rsid w:val="00CA66C9"/>
    <w:rsid w:val="00CB00D6"/>
    <w:rsid w:val="00CB03B3"/>
    <w:rsid w:val="00CB0768"/>
    <w:rsid w:val="00CB3F5F"/>
    <w:rsid w:val="00CB4CF2"/>
    <w:rsid w:val="00CB624D"/>
    <w:rsid w:val="00CC1EC4"/>
    <w:rsid w:val="00CC36C7"/>
    <w:rsid w:val="00CC6BAF"/>
    <w:rsid w:val="00CC7AE6"/>
    <w:rsid w:val="00CD0EDB"/>
    <w:rsid w:val="00CD11C4"/>
    <w:rsid w:val="00CD2DFC"/>
    <w:rsid w:val="00CD3E03"/>
    <w:rsid w:val="00CD494B"/>
    <w:rsid w:val="00CD54D3"/>
    <w:rsid w:val="00CD619A"/>
    <w:rsid w:val="00CD737E"/>
    <w:rsid w:val="00CD7DA2"/>
    <w:rsid w:val="00CE2BCF"/>
    <w:rsid w:val="00CE4DDA"/>
    <w:rsid w:val="00CE5461"/>
    <w:rsid w:val="00CE698C"/>
    <w:rsid w:val="00CF0D01"/>
    <w:rsid w:val="00CF534E"/>
    <w:rsid w:val="00D02BB3"/>
    <w:rsid w:val="00D03ADC"/>
    <w:rsid w:val="00D03EB0"/>
    <w:rsid w:val="00D05807"/>
    <w:rsid w:val="00D078F5"/>
    <w:rsid w:val="00D079DE"/>
    <w:rsid w:val="00D07FF4"/>
    <w:rsid w:val="00D12639"/>
    <w:rsid w:val="00D1366F"/>
    <w:rsid w:val="00D172E2"/>
    <w:rsid w:val="00D2192E"/>
    <w:rsid w:val="00D220AF"/>
    <w:rsid w:val="00D224F3"/>
    <w:rsid w:val="00D22983"/>
    <w:rsid w:val="00D22CE0"/>
    <w:rsid w:val="00D23FE8"/>
    <w:rsid w:val="00D24AC5"/>
    <w:rsid w:val="00D27F12"/>
    <w:rsid w:val="00D312C3"/>
    <w:rsid w:val="00D32310"/>
    <w:rsid w:val="00D37930"/>
    <w:rsid w:val="00D44ED4"/>
    <w:rsid w:val="00D452CD"/>
    <w:rsid w:val="00D53028"/>
    <w:rsid w:val="00D55D09"/>
    <w:rsid w:val="00D577BC"/>
    <w:rsid w:val="00D57F80"/>
    <w:rsid w:val="00D70B81"/>
    <w:rsid w:val="00D72716"/>
    <w:rsid w:val="00D73FFF"/>
    <w:rsid w:val="00D77139"/>
    <w:rsid w:val="00D8510C"/>
    <w:rsid w:val="00D85BB0"/>
    <w:rsid w:val="00D87F48"/>
    <w:rsid w:val="00D90F1E"/>
    <w:rsid w:val="00D956FD"/>
    <w:rsid w:val="00DA65A1"/>
    <w:rsid w:val="00DB04D4"/>
    <w:rsid w:val="00DB146A"/>
    <w:rsid w:val="00DB219D"/>
    <w:rsid w:val="00DB578F"/>
    <w:rsid w:val="00DB777E"/>
    <w:rsid w:val="00DC36AE"/>
    <w:rsid w:val="00DD41A4"/>
    <w:rsid w:val="00DD61CF"/>
    <w:rsid w:val="00DE11C9"/>
    <w:rsid w:val="00DE2E48"/>
    <w:rsid w:val="00DE32DD"/>
    <w:rsid w:val="00DE3780"/>
    <w:rsid w:val="00DE72D4"/>
    <w:rsid w:val="00DF26DD"/>
    <w:rsid w:val="00DF39FA"/>
    <w:rsid w:val="00DF59C4"/>
    <w:rsid w:val="00E00F27"/>
    <w:rsid w:val="00E017E2"/>
    <w:rsid w:val="00E024EF"/>
    <w:rsid w:val="00E0294B"/>
    <w:rsid w:val="00E02D97"/>
    <w:rsid w:val="00E05D74"/>
    <w:rsid w:val="00E11FA9"/>
    <w:rsid w:val="00E127CE"/>
    <w:rsid w:val="00E12D47"/>
    <w:rsid w:val="00E12D9B"/>
    <w:rsid w:val="00E12E36"/>
    <w:rsid w:val="00E13421"/>
    <w:rsid w:val="00E13C8C"/>
    <w:rsid w:val="00E13E86"/>
    <w:rsid w:val="00E14AF4"/>
    <w:rsid w:val="00E160E5"/>
    <w:rsid w:val="00E16809"/>
    <w:rsid w:val="00E17579"/>
    <w:rsid w:val="00E20D3B"/>
    <w:rsid w:val="00E31A7F"/>
    <w:rsid w:val="00E3415F"/>
    <w:rsid w:val="00E37505"/>
    <w:rsid w:val="00E40275"/>
    <w:rsid w:val="00E4419B"/>
    <w:rsid w:val="00E45564"/>
    <w:rsid w:val="00E45A73"/>
    <w:rsid w:val="00E45EF3"/>
    <w:rsid w:val="00E4675C"/>
    <w:rsid w:val="00E468FF"/>
    <w:rsid w:val="00E54E84"/>
    <w:rsid w:val="00E6309F"/>
    <w:rsid w:val="00E653E8"/>
    <w:rsid w:val="00E679A5"/>
    <w:rsid w:val="00E705B0"/>
    <w:rsid w:val="00E72DB4"/>
    <w:rsid w:val="00E72FB7"/>
    <w:rsid w:val="00E75807"/>
    <w:rsid w:val="00E769E9"/>
    <w:rsid w:val="00E7757A"/>
    <w:rsid w:val="00E77771"/>
    <w:rsid w:val="00E77B7C"/>
    <w:rsid w:val="00E77FFA"/>
    <w:rsid w:val="00E80018"/>
    <w:rsid w:val="00E8193A"/>
    <w:rsid w:val="00E82996"/>
    <w:rsid w:val="00E94C72"/>
    <w:rsid w:val="00E95048"/>
    <w:rsid w:val="00EA02E7"/>
    <w:rsid w:val="00EA4C85"/>
    <w:rsid w:val="00EA6CE7"/>
    <w:rsid w:val="00EC4F32"/>
    <w:rsid w:val="00EC545F"/>
    <w:rsid w:val="00EC79E0"/>
    <w:rsid w:val="00EC7AC5"/>
    <w:rsid w:val="00ED17C9"/>
    <w:rsid w:val="00ED2B97"/>
    <w:rsid w:val="00EE3313"/>
    <w:rsid w:val="00EE3BAD"/>
    <w:rsid w:val="00EE776F"/>
    <w:rsid w:val="00EF0E01"/>
    <w:rsid w:val="00EF247E"/>
    <w:rsid w:val="00EF2C46"/>
    <w:rsid w:val="00EF6E51"/>
    <w:rsid w:val="00F0002A"/>
    <w:rsid w:val="00F00033"/>
    <w:rsid w:val="00F008D8"/>
    <w:rsid w:val="00F021A2"/>
    <w:rsid w:val="00F045B2"/>
    <w:rsid w:val="00F050A3"/>
    <w:rsid w:val="00F051F9"/>
    <w:rsid w:val="00F12A4E"/>
    <w:rsid w:val="00F1500F"/>
    <w:rsid w:val="00F1684F"/>
    <w:rsid w:val="00F17C4B"/>
    <w:rsid w:val="00F2395A"/>
    <w:rsid w:val="00F2691F"/>
    <w:rsid w:val="00F30896"/>
    <w:rsid w:val="00F30A5E"/>
    <w:rsid w:val="00F354B7"/>
    <w:rsid w:val="00F44848"/>
    <w:rsid w:val="00F45C9B"/>
    <w:rsid w:val="00F4604D"/>
    <w:rsid w:val="00F4783A"/>
    <w:rsid w:val="00F50454"/>
    <w:rsid w:val="00F50EC7"/>
    <w:rsid w:val="00F53E9B"/>
    <w:rsid w:val="00F55C80"/>
    <w:rsid w:val="00F56C09"/>
    <w:rsid w:val="00F57C58"/>
    <w:rsid w:val="00F61337"/>
    <w:rsid w:val="00F6163D"/>
    <w:rsid w:val="00F61A95"/>
    <w:rsid w:val="00F62CEE"/>
    <w:rsid w:val="00F63D3C"/>
    <w:rsid w:val="00F67C2C"/>
    <w:rsid w:val="00F73BFA"/>
    <w:rsid w:val="00F7419C"/>
    <w:rsid w:val="00F748F6"/>
    <w:rsid w:val="00F74CE5"/>
    <w:rsid w:val="00F75122"/>
    <w:rsid w:val="00F75F00"/>
    <w:rsid w:val="00F768D2"/>
    <w:rsid w:val="00F76AAA"/>
    <w:rsid w:val="00F82372"/>
    <w:rsid w:val="00F829CC"/>
    <w:rsid w:val="00F82E46"/>
    <w:rsid w:val="00F83F35"/>
    <w:rsid w:val="00F921C0"/>
    <w:rsid w:val="00F94DB2"/>
    <w:rsid w:val="00F94DE5"/>
    <w:rsid w:val="00F94ED6"/>
    <w:rsid w:val="00FA0CEB"/>
    <w:rsid w:val="00FA4CCE"/>
    <w:rsid w:val="00FA4D72"/>
    <w:rsid w:val="00FA53FA"/>
    <w:rsid w:val="00FA6C6E"/>
    <w:rsid w:val="00FA7C60"/>
    <w:rsid w:val="00FB3A4A"/>
    <w:rsid w:val="00FB6AC5"/>
    <w:rsid w:val="00FC728C"/>
    <w:rsid w:val="00FD0C3D"/>
    <w:rsid w:val="00FD114C"/>
    <w:rsid w:val="00FD4BF1"/>
    <w:rsid w:val="00FD6B71"/>
    <w:rsid w:val="00FD7C71"/>
    <w:rsid w:val="00FE2411"/>
    <w:rsid w:val="00FE2B09"/>
    <w:rsid w:val="00FE3A8F"/>
    <w:rsid w:val="00FE4C9B"/>
    <w:rsid w:val="00FE5281"/>
    <w:rsid w:val="00FE5811"/>
    <w:rsid w:val="00FE5D35"/>
    <w:rsid w:val="00FE6AE5"/>
    <w:rsid w:val="00FE7773"/>
    <w:rsid w:val="00FF1A9B"/>
    <w:rsid w:val="00FF2B70"/>
    <w:rsid w:val="00FF3E91"/>
    <w:rsid w:val="00FF5275"/>
    <w:rsid w:val="00FF795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634854"/>
  <w15:docId w15:val="{D858ED50-6D9D-43B1-90FF-22CF6906A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character" w:styleId="Refdecomentario">
    <w:name w:val="annotation reference"/>
    <w:basedOn w:val="Fuentedeprrafopredeter"/>
    <w:uiPriority w:val="99"/>
    <w:semiHidden/>
    <w:unhideWhenUsed/>
    <w:rsid w:val="00C12FD2"/>
    <w:rPr>
      <w:sz w:val="16"/>
      <w:szCs w:val="16"/>
    </w:rPr>
  </w:style>
  <w:style w:type="paragraph" w:styleId="Textocomentario">
    <w:name w:val="annotation text"/>
    <w:basedOn w:val="Normal"/>
    <w:link w:val="TextocomentarioCar"/>
    <w:uiPriority w:val="99"/>
    <w:semiHidden/>
    <w:unhideWhenUsed/>
    <w:rsid w:val="00C12FD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12FD2"/>
    <w:rPr>
      <w:sz w:val="20"/>
      <w:szCs w:val="20"/>
    </w:rPr>
  </w:style>
  <w:style w:type="paragraph" w:styleId="Asuntodelcomentario">
    <w:name w:val="annotation subject"/>
    <w:basedOn w:val="Textocomentario"/>
    <w:next w:val="Textocomentario"/>
    <w:link w:val="AsuntodelcomentarioCar"/>
    <w:uiPriority w:val="99"/>
    <w:semiHidden/>
    <w:unhideWhenUsed/>
    <w:rsid w:val="00C12FD2"/>
    <w:rPr>
      <w:b/>
      <w:bCs/>
    </w:rPr>
  </w:style>
  <w:style w:type="character" w:customStyle="1" w:styleId="AsuntodelcomentarioCar">
    <w:name w:val="Asunto del comentario Car"/>
    <w:basedOn w:val="TextocomentarioCar"/>
    <w:link w:val="Asuntodelcomentario"/>
    <w:uiPriority w:val="99"/>
    <w:semiHidden/>
    <w:rsid w:val="00C12FD2"/>
    <w:rPr>
      <w:b/>
      <w:bCs/>
      <w:sz w:val="20"/>
      <w:szCs w:val="20"/>
    </w:rPr>
  </w:style>
  <w:style w:type="character" w:customStyle="1" w:styleId="l1">
    <w:name w:val="l1"/>
    <w:basedOn w:val="Fuentedeprrafopredeter"/>
    <w:rsid w:val="001A4A23"/>
  </w:style>
  <w:style w:type="character" w:customStyle="1" w:styleId="l2">
    <w:name w:val="l2"/>
    <w:basedOn w:val="Fuentedeprrafopredeter"/>
    <w:rsid w:val="001A4A23"/>
  </w:style>
  <w:style w:type="paragraph" w:styleId="NormalWeb">
    <w:name w:val="Normal (Web)"/>
    <w:basedOn w:val="Normal"/>
    <w:uiPriority w:val="99"/>
    <w:semiHidden/>
    <w:unhideWhenUsed/>
    <w:rsid w:val="001A4A23"/>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33479">
      <w:bodyDiv w:val="1"/>
      <w:marLeft w:val="0"/>
      <w:marRight w:val="0"/>
      <w:marTop w:val="0"/>
      <w:marBottom w:val="0"/>
      <w:divBdr>
        <w:top w:val="none" w:sz="0" w:space="0" w:color="auto"/>
        <w:left w:val="none" w:sz="0" w:space="0" w:color="auto"/>
        <w:bottom w:val="none" w:sz="0" w:space="0" w:color="auto"/>
        <w:right w:val="none" w:sz="0" w:space="0" w:color="auto"/>
      </w:divBdr>
    </w:div>
    <w:div w:id="28457469">
      <w:bodyDiv w:val="1"/>
      <w:marLeft w:val="0"/>
      <w:marRight w:val="0"/>
      <w:marTop w:val="0"/>
      <w:marBottom w:val="0"/>
      <w:divBdr>
        <w:top w:val="none" w:sz="0" w:space="0" w:color="auto"/>
        <w:left w:val="none" w:sz="0" w:space="0" w:color="auto"/>
        <w:bottom w:val="none" w:sz="0" w:space="0" w:color="auto"/>
        <w:right w:val="none" w:sz="0" w:space="0" w:color="auto"/>
      </w:divBdr>
      <w:divsChild>
        <w:div w:id="473985763">
          <w:marLeft w:val="0"/>
          <w:marRight w:val="0"/>
          <w:marTop w:val="0"/>
          <w:marBottom w:val="0"/>
          <w:divBdr>
            <w:top w:val="none" w:sz="0" w:space="0" w:color="auto"/>
            <w:left w:val="none" w:sz="0" w:space="0" w:color="auto"/>
            <w:bottom w:val="none" w:sz="0" w:space="0" w:color="auto"/>
            <w:right w:val="none" w:sz="0" w:space="0" w:color="auto"/>
          </w:divBdr>
        </w:div>
        <w:div w:id="349264773">
          <w:marLeft w:val="0"/>
          <w:marRight w:val="0"/>
          <w:marTop w:val="0"/>
          <w:marBottom w:val="0"/>
          <w:divBdr>
            <w:top w:val="none" w:sz="0" w:space="0" w:color="auto"/>
            <w:left w:val="none" w:sz="0" w:space="0" w:color="auto"/>
            <w:bottom w:val="none" w:sz="0" w:space="0" w:color="auto"/>
            <w:right w:val="none" w:sz="0" w:space="0" w:color="auto"/>
          </w:divBdr>
        </w:div>
        <w:div w:id="421679746">
          <w:marLeft w:val="0"/>
          <w:marRight w:val="0"/>
          <w:marTop w:val="0"/>
          <w:marBottom w:val="0"/>
          <w:divBdr>
            <w:top w:val="none" w:sz="0" w:space="0" w:color="auto"/>
            <w:left w:val="none" w:sz="0" w:space="0" w:color="auto"/>
            <w:bottom w:val="none" w:sz="0" w:space="0" w:color="auto"/>
            <w:right w:val="none" w:sz="0" w:space="0" w:color="auto"/>
          </w:divBdr>
        </w:div>
        <w:div w:id="1607545466">
          <w:marLeft w:val="0"/>
          <w:marRight w:val="0"/>
          <w:marTop w:val="0"/>
          <w:marBottom w:val="0"/>
          <w:divBdr>
            <w:top w:val="none" w:sz="0" w:space="0" w:color="auto"/>
            <w:left w:val="none" w:sz="0" w:space="0" w:color="auto"/>
            <w:bottom w:val="none" w:sz="0" w:space="0" w:color="auto"/>
            <w:right w:val="none" w:sz="0" w:space="0" w:color="auto"/>
          </w:divBdr>
        </w:div>
        <w:div w:id="329454877">
          <w:marLeft w:val="0"/>
          <w:marRight w:val="0"/>
          <w:marTop w:val="0"/>
          <w:marBottom w:val="0"/>
          <w:divBdr>
            <w:top w:val="none" w:sz="0" w:space="0" w:color="auto"/>
            <w:left w:val="none" w:sz="0" w:space="0" w:color="auto"/>
            <w:bottom w:val="none" w:sz="0" w:space="0" w:color="auto"/>
            <w:right w:val="none" w:sz="0" w:space="0" w:color="auto"/>
          </w:divBdr>
        </w:div>
        <w:div w:id="370158112">
          <w:marLeft w:val="0"/>
          <w:marRight w:val="0"/>
          <w:marTop w:val="0"/>
          <w:marBottom w:val="0"/>
          <w:divBdr>
            <w:top w:val="none" w:sz="0" w:space="0" w:color="auto"/>
            <w:left w:val="none" w:sz="0" w:space="0" w:color="auto"/>
            <w:bottom w:val="none" w:sz="0" w:space="0" w:color="auto"/>
            <w:right w:val="none" w:sz="0" w:space="0" w:color="auto"/>
          </w:divBdr>
        </w:div>
        <w:div w:id="434861554">
          <w:marLeft w:val="0"/>
          <w:marRight w:val="0"/>
          <w:marTop w:val="0"/>
          <w:marBottom w:val="0"/>
          <w:divBdr>
            <w:top w:val="none" w:sz="0" w:space="0" w:color="auto"/>
            <w:left w:val="none" w:sz="0" w:space="0" w:color="auto"/>
            <w:bottom w:val="none" w:sz="0" w:space="0" w:color="auto"/>
            <w:right w:val="none" w:sz="0" w:space="0" w:color="auto"/>
          </w:divBdr>
        </w:div>
        <w:div w:id="38357040">
          <w:marLeft w:val="0"/>
          <w:marRight w:val="0"/>
          <w:marTop w:val="0"/>
          <w:marBottom w:val="0"/>
          <w:divBdr>
            <w:top w:val="none" w:sz="0" w:space="0" w:color="auto"/>
            <w:left w:val="none" w:sz="0" w:space="0" w:color="auto"/>
            <w:bottom w:val="none" w:sz="0" w:space="0" w:color="auto"/>
            <w:right w:val="none" w:sz="0" w:space="0" w:color="auto"/>
          </w:divBdr>
        </w:div>
        <w:div w:id="1809667352">
          <w:marLeft w:val="0"/>
          <w:marRight w:val="0"/>
          <w:marTop w:val="0"/>
          <w:marBottom w:val="0"/>
          <w:divBdr>
            <w:top w:val="none" w:sz="0" w:space="0" w:color="auto"/>
            <w:left w:val="none" w:sz="0" w:space="0" w:color="auto"/>
            <w:bottom w:val="none" w:sz="0" w:space="0" w:color="auto"/>
            <w:right w:val="none" w:sz="0" w:space="0" w:color="auto"/>
          </w:divBdr>
        </w:div>
        <w:div w:id="729306545">
          <w:marLeft w:val="0"/>
          <w:marRight w:val="0"/>
          <w:marTop w:val="0"/>
          <w:marBottom w:val="0"/>
          <w:divBdr>
            <w:top w:val="none" w:sz="0" w:space="0" w:color="auto"/>
            <w:left w:val="none" w:sz="0" w:space="0" w:color="auto"/>
            <w:bottom w:val="none" w:sz="0" w:space="0" w:color="auto"/>
            <w:right w:val="none" w:sz="0" w:space="0" w:color="auto"/>
          </w:divBdr>
        </w:div>
        <w:div w:id="2130396210">
          <w:marLeft w:val="0"/>
          <w:marRight w:val="0"/>
          <w:marTop w:val="0"/>
          <w:marBottom w:val="0"/>
          <w:divBdr>
            <w:top w:val="none" w:sz="0" w:space="0" w:color="auto"/>
            <w:left w:val="none" w:sz="0" w:space="0" w:color="auto"/>
            <w:bottom w:val="none" w:sz="0" w:space="0" w:color="auto"/>
            <w:right w:val="none" w:sz="0" w:space="0" w:color="auto"/>
          </w:divBdr>
        </w:div>
        <w:div w:id="1455757174">
          <w:marLeft w:val="0"/>
          <w:marRight w:val="0"/>
          <w:marTop w:val="0"/>
          <w:marBottom w:val="0"/>
          <w:divBdr>
            <w:top w:val="none" w:sz="0" w:space="0" w:color="auto"/>
            <w:left w:val="none" w:sz="0" w:space="0" w:color="auto"/>
            <w:bottom w:val="none" w:sz="0" w:space="0" w:color="auto"/>
            <w:right w:val="none" w:sz="0" w:space="0" w:color="auto"/>
          </w:divBdr>
        </w:div>
        <w:div w:id="150146173">
          <w:marLeft w:val="0"/>
          <w:marRight w:val="0"/>
          <w:marTop w:val="0"/>
          <w:marBottom w:val="0"/>
          <w:divBdr>
            <w:top w:val="none" w:sz="0" w:space="0" w:color="auto"/>
            <w:left w:val="none" w:sz="0" w:space="0" w:color="auto"/>
            <w:bottom w:val="none" w:sz="0" w:space="0" w:color="auto"/>
            <w:right w:val="none" w:sz="0" w:space="0" w:color="auto"/>
          </w:divBdr>
        </w:div>
        <w:div w:id="902831506">
          <w:marLeft w:val="0"/>
          <w:marRight w:val="0"/>
          <w:marTop w:val="0"/>
          <w:marBottom w:val="0"/>
          <w:divBdr>
            <w:top w:val="none" w:sz="0" w:space="0" w:color="auto"/>
            <w:left w:val="none" w:sz="0" w:space="0" w:color="auto"/>
            <w:bottom w:val="none" w:sz="0" w:space="0" w:color="auto"/>
            <w:right w:val="none" w:sz="0" w:space="0" w:color="auto"/>
          </w:divBdr>
        </w:div>
        <w:div w:id="227615570">
          <w:marLeft w:val="0"/>
          <w:marRight w:val="0"/>
          <w:marTop w:val="0"/>
          <w:marBottom w:val="0"/>
          <w:divBdr>
            <w:top w:val="none" w:sz="0" w:space="0" w:color="auto"/>
            <w:left w:val="none" w:sz="0" w:space="0" w:color="auto"/>
            <w:bottom w:val="none" w:sz="0" w:space="0" w:color="auto"/>
            <w:right w:val="none" w:sz="0" w:space="0" w:color="auto"/>
          </w:divBdr>
        </w:div>
        <w:div w:id="162360781">
          <w:marLeft w:val="0"/>
          <w:marRight w:val="0"/>
          <w:marTop w:val="0"/>
          <w:marBottom w:val="0"/>
          <w:divBdr>
            <w:top w:val="none" w:sz="0" w:space="0" w:color="auto"/>
            <w:left w:val="none" w:sz="0" w:space="0" w:color="auto"/>
            <w:bottom w:val="none" w:sz="0" w:space="0" w:color="auto"/>
            <w:right w:val="none" w:sz="0" w:space="0" w:color="auto"/>
          </w:divBdr>
        </w:div>
        <w:div w:id="1827624039">
          <w:marLeft w:val="0"/>
          <w:marRight w:val="0"/>
          <w:marTop w:val="0"/>
          <w:marBottom w:val="0"/>
          <w:divBdr>
            <w:top w:val="none" w:sz="0" w:space="0" w:color="auto"/>
            <w:left w:val="none" w:sz="0" w:space="0" w:color="auto"/>
            <w:bottom w:val="none" w:sz="0" w:space="0" w:color="auto"/>
            <w:right w:val="none" w:sz="0" w:space="0" w:color="auto"/>
          </w:divBdr>
        </w:div>
        <w:div w:id="326598226">
          <w:marLeft w:val="0"/>
          <w:marRight w:val="0"/>
          <w:marTop w:val="0"/>
          <w:marBottom w:val="0"/>
          <w:divBdr>
            <w:top w:val="none" w:sz="0" w:space="0" w:color="auto"/>
            <w:left w:val="none" w:sz="0" w:space="0" w:color="auto"/>
            <w:bottom w:val="none" w:sz="0" w:space="0" w:color="auto"/>
            <w:right w:val="none" w:sz="0" w:space="0" w:color="auto"/>
          </w:divBdr>
        </w:div>
        <w:div w:id="756294860">
          <w:marLeft w:val="0"/>
          <w:marRight w:val="0"/>
          <w:marTop w:val="0"/>
          <w:marBottom w:val="0"/>
          <w:divBdr>
            <w:top w:val="none" w:sz="0" w:space="0" w:color="auto"/>
            <w:left w:val="none" w:sz="0" w:space="0" w:color="auto"/>
            <w:bottom w:val="none" w:sz="0" w:space="0" w:color="auto"/>
            <w:right w:val="none" w:sz="0" w:space="0" w:color="auto"/>
          </w:divBdr>
        </w:div>
        <w:div w:id="1023476247">
          <w:marLeft w:val="0"/>
          <w:marRight w:val="0"/>
          <w:marTop w:val="0"/>
          <w:marBottom w:val="0"/>
          <w:divBdr>
            <w:top w:val="none" w:sz="0" w:space="0" w:color="auto"/>
            <w:left w:val="none" w:sz="0" w:space="0" w:color="auto"/>
            <w:bottom w:val="none" w:sz="0" w:space="0" w:color="auto"/>
            <w:right w:val="none" w:sz="0" w:space="0" w:color="auto"/>
          </w:divBdr>
        </w:div>
        <w:div w:id="960958532">
          <w:marLeft w:val="0"/>
          <w:marRight w:val="0"/>
          <w:marTop w:val="0"/>
          <w:marBottom w:val="0"/>
          <w:divBdr>
            <w:top w:val="none" w:sz="0" w:space="0" w:color="auto"/>
            <w:left w:val="none" w:sz="0" w:space="0" w:color="auto"/>
            <w:bottom w:val="none" w:sz="0" w:space="0" w:color="auto"/>
            <w:right w:val="none" w:sz="0" w:space="0" w:color="auto"/>
          </w:divBdr>
        </w:div>
        <w:div w:id="230236195">
          <w:marLeft w:val="0"/>
          <w:marRight w:val="0"/>
          <w:marTop w:val="0"/>
          <w:marBottom w:val="0"/>
          <w:divBdr>
            <w:top w:val="none" w:sz="0" w:space="0" w:color="auto"/>
            <w:left w:val="none" w:sz="0" w:space="0" w:color="auto"/>
            <w:bottom w:val="none" w:sz="0" w:space="0" w:color="auto"/>
            <w:right w:val="none" w:sz="0" w:space="0" w:color="auto"/>
          </w:divBdr>
        </w:div>
        <w:div w:id="1585070630">
          <w:marLeft w:val="0"/>
          <w:marRight w:val="0"/>
          <w:marTop w:val="0"/>
          <w:marBottom w:val="0"/>
          <w:divBdr>
            <w:top w:val="none" w:sz="0" w:space="0" w:color="auto"/>
            <w:left w:val="none" w:sz="0" w:space="0" w:color="auto"/>
            <w:bottom w:val="none" w:sz="0" w:space="0" w:color="auto"/>
            <w:right w:val="none" w:sz="0" w:space="0" w:color="auto"/>
          </w:divBdr>
        </w:div>
        <w:div w:id="1421483067">
          <w:marLeft w:val="0"/>
          <w:marRight w:val="0"/>
          <w:marTop w:val="0"/>
          <w:marBottom w:val="0"/>
          <w:divBdr>
            <w:top w:val="none" w:sz="0" w:space="0" w:color="auto"/>
            <w:left w:val="none" w:sz="0" w:space="0" w:color="auto"/>
            <w:bottom w:val="none" w:sz="0" w:space="0" w:color="auto"/>
            <w:right w:val="none" w:sz="0" w:space="0" w:color="auto"/>
          </w:divBdr>
        </w:div>
        <w:div w:id="203443458">
          <w:marLeft w:val="0"/>
          <w:marRight w:val="0"/>
          <w:marTop w:val="0"/>
          <w:marBottom w:val="0"/>
          <w:divBdr>
            <w:top w:val="none" w:sz="0" w:space="0" w:color="auto"/>
            <w:left w:val="none" w:sz="0" w:space="0" w:color="auto"/>
            <w:bottom w:val="none" w:sz="0" w:space="0" w:color="auto"/>
            <w:right w:val="none" w:sz="0" w:space="0" w:color="auto"/>
          </w:divBdr>
        </w:div>
        <w:div w:id="1833373243">
          <w:marLeft w:val="0"/>
          <w:marRight w:val="0"/>
          <w:marTop w:val="0"/>
          <w:marBottom w:val="0"/>
          <w:divBdr>
            <w:top w:val="none" w:sz="0" w:space="0" w:color="auto"/>
            <w:left w:val="none" w:sz="0" w:space="0" w:color="auto"/>
            <w:bottom w:val="none" w:sz="0" w:space="0" w:color="auto"/>
            <w:right w:val="none" w:sz="0" w:space="0" w:color="auto"/>
          </w:divBdr>
        </w:div>
        <w:div w:id="2116631653">
          <w:marLeft w:val="0"/>
          <w:marRight w:val="0"/>
          <w:marTop w:val="0"/>
          <w:marBottom w:val="0"/>
          <w:divBdr>
            <w:top w:val="none" w:sz="0" w:space="0" w:color="auto"/>
            <w:left w:val="none" w:sz="0" w:space="0" w:color="auto"/>
            <w:bottom w:val="none" w:sz="0" w:space="0" w:color="auto"/>
            <w:right w:val="none" w:sz="0" w:space="0" w:color="auto"/>
          </w:divBdr>
        </w:div>
        <w:div w:id="465120776">
          <w:marLeft w:val="0"/>
          <w:marRight w:val="0"/>
          <w:marTop w:val="0"/>
          <w:marBottom w:val="0"/>
          <w:divBdr>
            <w:top w:val="none" w:sz="0" w:space="0" w:color="auto"/>
            <w:left w:val="none" w:sz="0" w:space="0" w:color="auto"/>
            <w:bottom w:val="none" w:sz="0" w:space="0" w:color="auto"/>
            <w:right w:val="none" w:sz="0" w:space="0" w:color="auto"/>
          </w:divBdr>
        </w:div>
        <w:div w:id="1809543938">
          <w:marLeft w:val="0"/>
          <w:marRight w:val="0"/>
          <w:marTop w:val="0"/>
          <w:marBottom w:val="0"/>
          <w:divBdr>
            <w:top w:val="none" w:sz="0" w:space="0" w:color="auto"/>
            <w:left w:val="none" w:sz="0" w:space="0" w:color="auto"/>
            <w:bottom w:val="none" w:sz="0" w:space="0" w:color="auto"/>
            <w:right w:val="none" w:sz="0" w:space="0" w:color="auto"/>
          </w:divBdr>
        </w:div>
        <w:div w:id="772820756">
          <w:marLeft w:val="0"/>
          <w:marRight w:val="0"/>
          <w:marTop w:val="0"/>
          <w:marBottom w:val="0"/>
          <w:divBdr>
            <w:top w:val="none" w:sz="0" w:space="0" w:color="auto"/>
            <w:left w:val="none" w:sz="0" w:space="0" w:color="auto"/>
            <w:bottom w:val="none" w:sz="0" w:space="0" w:color="auto"/>
            <w:right w:val="none" w:sz="0" w:space="0" w:color="auto"/>
          </w:divBdr>
        </w:div>
        <w:div w:id="1220440260">
          <w:marLeft w:val="0"/>
          <w:marRight w:val="0"/>
          <w:marTop w:val="0"/>
          <w:marBottom w:val="0"/>
          <w:divBdr>
            <w:top w:val="none" w:sz="0" w:space="0" w:color="auto"/>
            <w:left w:val="none" w:sz="0" w:space="0" w:color="auto"/>
            <w:bottom w:val="none" w:sz="0" w:space="0" w:color="auto"/>
            <w:right w:val="none" w:sz="0" w:space="0" w:color="auto"/>
          </w:divBdr>
        </w:div>
        <w:div w:id="713887122">
          <w:marLeft w:val="0"/>
          <w:marRight w:val="0"/>
          <w:marTop w:val="0"/>
          <w:marBottom w:val="0"/>
          <w:divBdr>
            <w:top w:val="none" w:sz="0" w:space="0" w:color="auto"/>
            <w:left w:val="none" w:sz="0" w:space="0" w:color="auto"/>
            <w:bottom w:val="none" w:sz="0" w:space="0" w:color="auto"/>
            <w:right w:val="none" w:sz="0" w:space="0" w:color="auto"/>
          </w:divBdr>
        </w:div>
        <w:div w:id="326980994">
          <w:marLeft w:val="0"/>
          <w:marRight w:val="0"/>
          <w:marTop w:val="0"/>
          <w:marBottom w:val="0"/>
          <w:divBdr>
            <w:top w:val="none" w:sz="0" w:space="0" w:color="auto"/>
            <w:left w:val="none" w:sz="0" w:space="0" w:color="auto"/>
            <w:bottom w:val="none" w:sz="0" w:space="0" w:color="auto"/>
            <w:right w:val="none" w:sz="0" w:space="0" w:color="auto"/>
          </w:divBdr>
        </w:div>
        <w:div w:id="283312657">
          <w:marLeft w:val="0"/>
          <w:marRight w:val="0"/>
          <w:marTop w:val="0"/>
          <w:marBottom w:val="0"/>
          <w:divBdr>
            <w:top w:val="none" w:sz="0" w:space="0" w:color="auto"/>
            <w:left w:val="none" w:sz="0" w:space="0" w:color="auto"/>
            <w:bottom w:val="none" w:sz="0" w:space="0" w:color="auto"/>
            <w:right w:val="none" w:sz="0" w:space="0" w:color="auto"/>
          </w:divBdr>
        </w:div>
        <w:div w:id="1005665347">
          <w:marLeft w:val="0"/>
          <w:marRight w:val="0"/>
          <w:marTop w:val="0"/>
          <w:marBottom w:val="0"/>
          <w:divBdr>
            <w:top w:val="none" w:sz="0" w:space="0" w:color="auto"/>
            <w:left w:val="none" w:sz="0" w:space="0" w:color="auto"/>
            <w:bottom w:val="none" w:sz="0" w:space="0" w:color="auto"/>
            <w:right w:val="none" w:sz="0" w:space="0" w:color="auto"/>
          </w:divBdr>
        </w:div>
        <w:div w:id="1859587422">
          <w:marLeft w:val="0"/>
          <w:marRight w:val="0"/>
          <w:marTop w:val="0"/>
          <w:marBottom w:val="0"/>
          <w:divBdr>
            <w:top w:val="none" w:sz="0" w:space="0" w:color="auto"/>
            <w:left w:val="none" w:sz="0" w:space="0" w:color="auto"/>
            <w:bottom w:val="none" w:sz="0" w:space="0" w:color="auto"/>
            <w:right w:val="none" w:sz="0" w:space="0" w:color="auto"/>
          </w:divBdr>
        </w:div>
        <w:div w:id="1536431075">
          <w:marLeft w:val="0"/>
          <w:marRight w:val="0"/>
          <w:marTop w:val="0"/>
          <w:marBottom w:val="0"/>
          <w:divBdr>
            <w:top w:val="none" w:sz="0" w:space="0" w:color="auto"/>
            <w:left w:val="none" w:sz="0" w:space="0" w:color="auto"/>
            <w:bottom w:val="none" w:sz="0" w:space="0" w:color="auto"/>
            <w:right w:val="none" w:sz="0" w:space="0" w:color="auto"/>
          </w:divBdr>
        </w:div>
        <w:div w:id="2134906585">
          <w:marLeft w:val="0"/>
          <w:marRight w:val="0"/>
          <w:marTop w:val="0"/>
          <w:marBottom w:val="0"/>
          <w:divBdr>
            <w:top w:val="none" w:sz="0" w:space="0" w:color="auto"/>
            <w:left w:val="none" w:sz="0" w:space="0" w:color="auto"/>
            <w:bottom w:val="none" w:sz="0" w:space="0" w:color="auto"/>
            <w:right w:val="none" w:sz="0" w:space="0" w:color="auto"/>
          </w:divBdr>
        </w:div>
      </w:divsChild>
    </w:div>
    <w:div w:id="200945689">
      <w:bodyDiv w:val="1"/>
      <w:marLeft w:val="0"/>
      <w:marRight w:val="0"/>
      <w:marTop w:val="0"/>
      <w:marBottom w:val="0"/>
      <w:divBdr>
        <w:top w:val="none" w:sz="0" w:space="0" w:color="auto"/>
        <w:left w:val="none" w:sz="0" w:space="0" w:color="auto"/>
        <w:bottom w:val="none" w:sz="0" w:space="0" w:color="auto"/>
        <w:right w:val="none" w:sz="0" w:space="0" w:color="auto"/>
      </w:divBdr>
    </w:div>
    <w:div w:id="332412399">
      <w:bodyDiv w:val="1"/>
      <w:marLeft w:val="0"/>
      <w:marRight w:val="0"/>
      <w:marTop w:val="0"/>
      <w:marBottom w:val="0"/>
      <w:divBdr>
        <w:top w:val="none" w:sz="0" w:space="0" w:color="auto"/>
        <w:left w:val="none" w:sz="0" w:space="0" w:color="auto"/>
        <w:bottom w:val="none" w:sz="0" w:space="0" w:color="auto"/>
        <w:right w:val="none" w:sz="0" w:space="0" w:color="auto"/>
      </w:divBdr>
    </w:div>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573466211">
      <w:bodyDiv w:val="1"/>
      <w:marLeft w:val="0"/>
      <w:marRight w:val="0"/>
      <w:marTop w:val="0"/>
      <w:marBottom w:val="0"/>
      <w:divBdr>
        <w:top w:val="none" w:sz="0" w:space="0" w:color="auto"/>
        <w:left w:val="none" w:sz="0" w:space="0" w:color="auto"/>
        <w:bottom w:val="none" w:sz="0" w:space="0" w:color="auto"/>
        <w:right w:val="none" w:sz="0" w:space="0" w:color="auto"/>
      </w:divBdr>
      <w:divsChild>
        <w:div w:id="1273393766">
          <w:marLeft w:val="0"/>
          <w:marRight w:val="0"/>
          <w:marTop w:val="0"/>
          <w:marBottom w:val="0"/>
          <w:divBdr>
            <w:top w:val="none" w:sz="0" w:space="0" w:color="auto"/>
            <w:left w:val="none" w:sz="0" w:space="0" w:color="auto"/>
            <w:bottom w:val="none" w:sz="0" w:space="0" w:color="auto"/>
            <w:right w:val="none" w:sz="0" w:space="0" w:color="auto"/>
          </w:divBdr>
        </w:div>
        <w:div w:id="1485854904">
          <w:marLeft w:val="0"/>
          <w:marRight w:val="0"/>
          <w:marTop w:val="0"/>
          <w:marBottom w:val="0"/>
          <w:divBdr>
            <w:top w:val="none" w:sz="0" w:space="0" w:color="auto"/>
            <w:left w:val="none" w:sz="0" w:space="0" w:color="auto"/>
            <w:bottom w:val="none" w:sz="0" w:space="0" w:color="auto"/>
            <w:right w:val="none" w:sz="0" w:space="0" w:color="auto"/>
          </w:divBdr>
        </w:div>
      </w:divsChild>
    </w:div>
    <w:div w:id="65942538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434521329">
      <w:bodyDiv w:val="1"/>
      <w:marLeft w:val="0"/>
      <w:marRight w:val="0"/>
      <w:marTop w:val="0"/>
      <w:marBottom w:val="0"/>
      <w:divBdr>
        <w:top w:val="none" w:sz="0" w:space="0" w:color="auto"/>
        <w:left w:val="none" w:sz="0" w:space="0" w:color="auto"/>
        <w:bottom w:val="none" w:sz="0" w:space="0" w:color="auto"/>
        <w:right w:val="none" w:sz="0" w:space="0" w:color="auto"/>
      </w:divBdr>
    </w:div>
    <w:div w:id="1473713976">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388D8-9A36-4400-B6DF-422C59A67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7220</TotalTime>
  <Pages>17</Pages>
  <Words>7989</Words>
  <Characters>43943</Characters>
  <Application>Microsoft Office Word</Application>
  <DocSecurity>0</DocSecurity>
  <Lines>366</Lines>
  <Paragraphs>103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51829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575</cp:revision>
  <cp:lastPrinted>2022-10-06T20:57:00Z</cp:lastPrinted>
  <dcterms:created xsi:type="dcterms:W3CDTF">2015-08-11T19:05:00Z</dcterms:created>
  <dcterms:modified xsi:type="dcterms:W3CDTF">2022-10-06T20:57:00Z</dcterms:modified>
</cp:coreProperties>
</file>