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dxa"/>
        <w:tblInd w:w="-781" w:type="dxa"/>
        <w:tblLayout w:type="fixed"/>
        <w:tblCellMar>
          <w:left w:w="70" w:type="dxa"/>
          <w:right w:w="70" w:type="dxa"/>
        </w:tblCellMar>
        <w:tblLook w:val="04A0" w:firstRow="1" w:lastRow="0" w:firstColumn="1" w:lastColumn="0" w:noHBand="0" w:noVBand="1"/>
      </w:tblPr>
      <w:tblGrid>
        <w:gridCol w:w="2356"/>
        <w:gridCol w:w="7426"/>
      </w:tblGrid>
      <w:tr w:rsidR="00571114" w14:paraId="57DA8808" w14:textId="77777777" w:rsidTr="00571114">
        <w:tc>
          <w:tcPr>
            <w:tcW w:w="2356" w:type="dxa"/>
          </w:tcPr>
          <w:p w14:paraId="5A0BF651" w14:textId="77777777" w:rsidR="00571114" w:rsidRDefault="00571114">
            <w:pPr>
              <w:spacing w:after="0" w:line="240" w:lineRule="auto"/>
              <w:rPr>
                <w:rFonts w:ascii="Arial" w:hAnsi="Arial" w:cs="Arial"/>
                <w:b/>
                <w:sz w:val="26"/>
                <w:szCs w:val="26"/>
                <w:lang w:val="es-ES"/>
              </w:rPr>
            </w:pPr>
          </w:p>
        </w:tc>
        <w:tc>
          <w:tcPr>
            <w:tcW w:w="7426" w:type="dxa"/>
          </w:tcPr>
          <w:p w14:paraId="17F55A72" w14:textId="77777777" w:rsidR="00571114" w:rsidRDefault="00571114">
            <w:pPr>
              <w:tabs>
                <w:tab w:val="left" w:pos="3103"/>
              </w:tabs>
              <w:spacing w:after="0" w:line="240" w:lineRule="auto"/>
              <w:ind w:left="1119" w:right="709" w:hanging="1119"/>
              <w:jc w:val="both"/>
              <w:rPr>
                <w:rFonts w:ascii="Arial" w:hAnsi="Arial" w:cs="Arial"/>
                <w:b/>
                <w:iCs/>
                <w:caps/>
                <w:sz w:val="26"/>
                <w:szCs w:val="26"/>
              </w:rPr>
            </w:pPr>
            <w:r>
              <w:rPr>
                <w:rFonts w:ascii="Arial" w:hAnsi="Arial" w:cs="Arial"/>
                <w:b/>
                <w:i/>
                <w:iCs/>
                <w:caps/>
                <w:sz w:val="26"/>
                <w:szCs w:val="26"/>
                <w:lang w:val="es-ES"/>
              </w:rPr>
              <w:t xml:space="preserve">               </w:t>
            </w:r>
            <w:r>
              <w:rPr>
                <w:rFonts w:ascii="Arial" w:hAnsi="Arial" w:cs="Arial"/>
                <w:b/>
                <w:iCs/>
                <w:caps/>
                <w:sz w:val="26"/>
                <w:szCs w:val="26"/>
                <w:lang w:val="es-ES"/>
              </w:rPr>
              <w:t>SALA SUPERIOR DEL TRIBUNAL DE justicia administrativa DEL ESTADO de oaxaca.</w:t>
            </w:r>
          </w:p>
          <w:p w14:paraId="3A9B72CC" w14:textId="77777777" w:rsidR="00571114" w:rsidRDefault="00571114">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w:t>
            </w:r>
          </w:p>
          <w:p w14:paraId="788FDC77" w14:textId="00594232" w:rsidR="00571114" w:rsidRDefault="00571114">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RECURSO DE REVISIÓN: </w:t>
            </w:r>
            <w:r w:rsidR="00C32415">
              <w:rPr>
                <w:rFonts w:ascii="Arial" w:eastAsia="PMingLiU" w:hAnsi="Arial" w:cs="Arial"/>
                <w:b/>
                <w:iCs/>
                <w:caps/>
                <w:sz w:val="26"/>
                <w:szCs w:val="26"/>
                <w:lang w:val="es-PE" w:eastAsia="zh-TW"/>
              </w:rPr>
              <w:t>1</w:t>
            </w:r>
            <w:r w:rsidR="00081E50">
              <w:rPr>
                <w:rFonts w:ascii="Arial" w:eastAsia="PMingLiU" w:hAnsi="Arial" w:cs="Arial"/>
                <w:b/>
                <w:iCs/>
                <w:caps/>
                <w:sz w:val="26"/>
                <w:szCs w:val="26"/>
                <w:lang w:val="es-PE" w:eastAsia="zh-TW"/>
              </w:rPr>
              <w:t>62</w:t>
            </w:r>
            <w:r w:rsidR="00C32415">
              <w:rPr>
                <w:rFonts w:ascii="Arial" w:eastAsia="PMingLiU" w:hAnsi="Arial" w:cs="Arial"/>
                <w:b/>
                <w:iCs/>
                <w:caps/>
                <w:sz w:val="26"/>
                <w:szCs w:val="26"/>
                <w:lang w:val="es-PE" w:eastAsia="zh-TW"/>
              </w:rPr>
              <w:t>/</w:t>
            </w:r>
            <w:r w:rsidR="001A4A0D">
              <w:rPr>
                <w:rFonts w:ascii="Arial" w:eastAsia="PMingLiU" w:hAnsi="Arial" w:cs="Arial"/>
                <w:b/>
                <w:iCs/>
                <w:caps/>
                <w:sz w:val="26"/>
                <w:szCs w:val="26"/>
                <w:lang w:val="es-PE" w:eastAsia="zh-TW"/>
              </w:rPr>
              <w:t>2020</w:t>
            </w:r>
            <w:r>
              <w:rPr>
                <w:rFonts w:ascii="Arial" w:eastAsia="PMingLiU" w:hAnsi="Arial" w:cs="Arial"/>
                <w:b/>
                <w:iCs/>
                <w:caps/>
                <w:sz w:val="26"/>
                <w:szCs w:val="26"/>
                <w:lang w:val="es-PE" w:eastAsia="zh-TW"/>
              </w:rPr>
              <w:t>.</w:t>
            </w:r>
          </w:p>
          <w:p w14:paraId="4209B1B3" w14:textId="77777777" w:rsidR="00571114" w:rsidRDefault="00571114">
            <w:pPr>
              <w:tabs>
                <w:tab w:val="center" w:pos="4252"/>
                <w:tab w:val="right" w:pos="8504"/>
              </w:tabs>
              <w:spacing w:after="0" w:line="240" w:lineRule="auto"/>
              <w:ind w:right="709"/>
              <w:jc w:val="both"/>
              <w:rPr>
                <w:rFonts w:ascii="Arial" w:eastAsia="PMingLiU" w:hAnsi="Arial" w:cs="Arial"/>
                <w:b/>
                <w:iCs/>
                <w:caps/>
                <w:sz w:val="26"/>
                <w:szCs w:val="26"/>
                <w:lang w:val="es-PE" w:eastAsia="zh-TW"/>
              </w:rPr>
            </w:pPr>
          </w:p>
          <w:p w14:paraId="08F2EC3C" w14:textId="2C0B3B84" w:rsidR="00571114" w:rsidRDefault="00571114">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EXPEDIENTE</w:t>
            </w:r>
            <w:r>
              <w:rPr>
                <w:rFonts w:ascii="Arial" w:eastAsia="PMingLiU" w:hAnsi="Arial" w:cs="Arial"/>
                <w:b/>
                <w:iCs/>
                <w:caps/>
                <w:sz w:val="26"/>
                <w:szCs w:val="26"/>
                <w:lang w:val="es-ES" w:eastAsia="zh-TW"/>
              </w:rPr>
              <w:t>:</w:t>
            </w:r>
            <w:r>
              <w:rPr>
                <w:rFonts w:ascii="Arial" w:eastAsia="PMingLiU" w:hAnsi="Arial" w:cs="Arial"/>
                <w:b/>
                <w:iCs/>
                <w:caps/>
                <w:sz w:val="26"/>
                <w:szCs w:val="26"/>
                <w:lang w:val="es-PE" w:eastAsia="zh-TW"/>
              </w:rPr>
              <w:t xml:space="preserve"> </w:t>
            </w:r>
            <w:r w:rsidR="00081E50">
              <w:rPr>
                <w:rFonts w:ascii="Arial" w:eastAsia="PMingLiU" w:hAnsi="Arial" w:cs="Arial"/>
                <w:b/>
                <w:iCs/>
                <w:caps/>
                <w:sz w:val="26"/>
                <w:szCs w:val="26"/>
                <w:lang w:val="es-PE" w:eastAsia="zh-TW"/>
              </w:rPr>
              <w:t>0014</w:t>
            </w:r>
            <w:r w:rsidR="00C32415">
              <w:rPr>
                <w:rFonts w:ascii="Arial" w:eastAsia="PMingLiU" w:hAnsi="Arial" w:cs="Arial"/>
                <w:b/>
                <w:iCs/>
                <w:caps/>
                <w:sz w:val="26"/>
                <w:szCs w:val="26"/>
                <w:lang w:val="es-PE" w:eastAsia="zh-TW"/>
              </w:rPr>
              <w:t>/20</w:t>
            </w:r>
            <w:r w:rsidR="00081E50">
              <w:rPr>
                <w:rFonts w:ascii="Arial" w:eastAsia="PMingLiU" w:hAnsi="Arial" w:cs="Arial"/>
                <w:b/>
                <w:iCs/>
                <w:caps/>
                <w:sz w:val="26"/>
                <w:szCs w:val="26"/>
                <w:lang w:val="es-PE" w:eastAsia="zh-TW"/>
              </w:rPr>
              <w:t>19</w:t>
            </w:r>
            <w:r>
              <w:rPr>
                <w:rFonts w:ascii="Arial" w:eastAsia="PMingLiU" w:hAnsi="Arial" w:cs="Arial"/>
                <w:b/>
                <w:iCs/>
                <w:caps/>
                <w:sz w:val="26"/>
                <w:szCs w:val="26"/>
                <w:lang w:val="es-PE" w:eastAsia="zh-TW"/>
              </w:rPr>
              <w:t xml:space="preserve"> de la </w:t>
            </w:r>
            <w:r w:rsidR="00081E50" w:rsidRPr="001A1EB3">
              <w:rPr>
                <w:rFonts w:ascii="Arial" w:eastAsia="PMingLiU" w:hAnsi="Arial" w:cs="Arial"/>
                <w:b/>
                <w:iCs/>
                <w:caps/>
                <w:sz w:val="26"/>
                <w:szCs w:val="26"/>
                <w:lang w:val="es-PE" w:eastAsia="zh-TW"/>
              </w:rPr>
              <w:t>TE</w:t>
            </w:r>
            <w:r w:rsidR="009E5AF3" w:rsidRPr="001A1EB3">
              <w:rPr>
                <w:rFonts w:ascii="Arial" w:eastAsia="PMingLiU" w:hAnsi="Arial" w:cs="Arial"/>
                <w:b/>
                <w:iCs/>
                <w:caps/>
                <w:sz w:val="26"/>
                <w:szCs w:val="26"/>
                <w:lang w:val="es-PE" w:eastAsia="zh-TW"/>
              </w:rPr>
              <w:t>R</w:t>
            </w:r>
            <w:r w:rsidR="00081E50" w:rsidRPr="001A1EB3">
              <w:rPr>
                <w:rFonts w:ascii="Arial" w:eastAsia="PMingLiU" w:hAnsi="Arial" w:cs="Arial"/>
                <w:b/>
                <w:iCs/>
                <w:caps/>
                <w:sz w:val="26"/>
                <w:szCs w:val="26"/>
                <w:lang w:val="es-PE" w:eastAsia="zh-TW"/>
              </w:rPr>
              <w:t>CERA</w:t>
            </w:r>
            <w:r w:rsidR="00081E50">
              <w:rPr>
                <w:rFonts w:ascii="Arial" w:eastAsia="PMingLiU" w:hAnsi="Arial" w:cs="Arial"/>
                <w:b/>
                <w:iCs/>
                <w:caps/>
                <w:sz w:val="26"/>
                <w:szCs w:val="26"/>
                <w:lang w:val="es-PE" w:eastAsia="zh-TW"/>
              </w:rPr>
              <w:t xml:space="preserve"> </w:t>
            </w:r>
            <w:r>
              <w:rPr>
                <w:rFonts w:ascii="Arial" w:eastAsia="PMingLiU" w:hAnsi="Arial" w:cs="Arial"/>
                <w:b/>
                <w:iCs/>
                <w:caps/>
                <w:sz w:val="26"/>
                <w:szCs w:val="26"/>
                <w:lang w:val="es-PE" w:eastAsia="zh-TW"/>
              </w:rPr>
              <w:t>sala unitaria DE PRIMERA INSTANCIA.</w:t>
            </w:r>
          </w:p>
          <w:p w14:paraId="6A5D62DB" w14:textId="77777777" w:rsidR="00571114" w:rsidRDefault="00571114">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p>
          <w:p w14:paraId="1BA65A15" w14:textId="101487DB" w:rsidR="00571114" w:rsidRDefault="00571114" w:rsidP="00D12C55">
            <w:pPr>
              <w:tabs>
                <w:tab w:val="center" w:pos="4252"/>
                <w:tab w:val="right" w:pos="8504"/>
              </w:tabs>
              <w:spacing w:after="0" w:line="240" w:lineRule="auto"/>
              <w:ind w:left="1119" w:right="709" w:hanging="1134"/>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ponente:</w:t>
            </w:r>
            <w:r w:rsidR="00C4450E">
              <w:rPr>
                <w:rFonts w:ascii="Arial" w:eastAsia="PMingLiU" w:hAnsi="Arial" w:cs="Arial"/>
                <w:b/>
                <w:iCs/>
                <w:caps/>
                <w:sz w:val="26"/>
                <w:szCs w:val="26"/>
                <w:lang w:val="es-PE" w:eastAsia="zh-TW"/>
              </w:rPr>
              <w:t xml:space="preserve"> </w:t>
            </w:r>
            <w:r w:rsidR="005D630A">
              <w:rPr>
                <w:rFonts w:ascii="Arial" w:eastAsia="PMingLiU" w:hAnsi="Arial" w:cs="Arial"/>
                <w:b/>
                <w:iCs/>
                <w:caps/>
                <w:sz w:val="26"/>
                <w:szCs w:val="26"/>
                <w:lang w:val="es-PE" w:eastAsia="zh-TW"/>
              </w:rPr>
              <w:t xml:space="preserve">MAGISTRADA </w:t>
            </w:r>
            <w:r w:rsidR="00D12C55">
              <w:rPr>
                <w:rFonts w:ascii="Arial" w:eastAsia="PMingLiU" w:hAnsi="Arial" w:cs="Arial"/>
                <w:b/>
                <w:iCs/>
                <w:caps/>
                <w:sz w:val="26"/>
                <w:szCs w:val="26"/>
                <w:lang w:val="es-PE" w:eastAsia="zh-TW"/>
              </w:rPr>
              <w:t>gloria del carmen camacho meza.</w:t>
            </w:r>
          </w:p>
        </w:tc>
      </w:tr>
      <w:tr w:rsidR="00571114" w14:paraId="2E2732D1" w14:textId="77777777" w:rsidTr="00571114">
        <w:tc>
          <w:tcPr>
            <w:tcW w:w="2356" w:type="dxa"/>
          </w:tcPr>
          <w:p w14:paraId="75A181C8" w14:textId="77777777" w:rsidR="00571114" w:rsidRDefault="00571114">
            <w:pPr>
              <w:spacing w:after="0" w:line="240" w:lineRule="auto"/>
              <w:rPr>
                <w:rFonts w:ascii="Arial" w:eastAsiaTheme="minorHAnsi" w:hAnsi="Arial" w:cs="Arial"/>
                <w:b/>
                <w:sz w:val="26"/>
                <w:szCs w:val="26"/>
                <w:lang w:val="es-ES" w:eastAsia="en-US"/>
              </w:rPr>
            </w:pPr>
            <w:bookmarkStart w:id="0" w:name="_GoBack" w:colFirst="2" w:colLast="2"/>
          </w:p>
        </w:tc>
        <w:tc>
          <w:tcPr>
            <w:tcW w:w="7426" w:type="dxa"/>
            <w:hideMark/>
          </w:tcPr>
          <w:p w14:paraId="4FFCBE8E" w14:textId="77777777" w:rsidR="00571114" w:rsidRDefault="00571114">
            <w:pPr>
              <w:tabs>
                <w:tab w:val="left" w:pos="3103"/>
              </w:tabs>
              <w:spacing w:after="0" w:line="240" w:lineRule="auto"/>
              <w:ind w:left="2961" w:hanging="2961"/>
              <w:jc w:val="both"/>
              <w:rPr>
                <w:rFonts w:ascii="Arial" w:hAnsi="Arial" w:cs="Arial"/>
                <w:b/>
                <w:iCs/>
                <w:caps/>
                <w:sz w:val="26"/>
                <w:szCs w:val="26"/>
                <w:lang w:val="es-ES"/>
              </w:rPr>
            </w:pPr>
            <w:r>
              <w:rPr>
                <w:rFonts w:ascii="Arial" w:hAnsi="Arial" w:cs="Arial"/>
                <w:b/>
                <w:i/>
                <w:iCs/>
                <w:caps/>
                <w:sz w:val="26"/>
                <w:szCs w:val="26"/>
                <w:lang w:val="es-ES"/>
              </w:rPr>
              <w:t xml:space="preserve">                                   </w:t>
            </w:r>
          </w:p>
        </w:tc>
      </w:tr>
      <w:bookmarkEnd w:id="0"/>
      <w:tr w:rsidR="00571114" w14:paraId="63E4C78C" w14:textId="77777777" w:rsidTr="00571114">
        <w:tc>
          <w:tcPr>
            <w:tcW w:w="2356" w:type="dxa"/>
          </w:tcPr>
          <w:p w14:paraId="30D53E9D" w14:textId="77777777" w:rsidR="00571114" w:rsidRDefault="00571114">
            <w:pPr>
              <w:spacing w:after="0" w:line="240" w:lineRule="auto"/>
              <w:rPr>
                <w:rFonts w:ascii="Arial" w:hAnsi="Arial" w:cs="Arial"/>
                <w:b/>
                <w:sz w:val="26"/>
                <w:szCs w:val="26"/>
                <w:lang w:val="es-ES"/>
              </w:rPr>
            </w:pPr>
          </w:p>
        </w:tc>
        <w:tc>
          <w:tcPr>
            <w:tcW w:w="7426" w:type="dxa"/>
          </w:tcPr>
          <w:p w14:paraId="7FCFD9D5" w14:textId="77777777" w:rsidR="00571114" w:rsidRDefault="00571114">
            <w:pPr>
              <w:tabs>
                <w:tab w:val="left" w:pos="3103"/>
              </w:tabs>
              <w:spacing w:after="0" w:line="240" w:lineRule="auto"/>
              <w:ind w:left="2961" w:hanging="2961"/>
              <w:jc w:val="both"/>
              <w:rPr>
                <w:rFonts w:ascii="Arial" w:hAnsi="Arial" w:cs="Arial"/>
                <w:b/>
                <w:i/>
                <w:iCs/>
                <w:caps/>
                <w:sz w:val="26"/>
                <w:szCs w:val="26"/>
                <w:lang w:val="es-ES"/>
              </w:rPr>
            </w:pPr>
          </w:p>
        </w:tc>
      </w:tr>
    </w:tbl>
    <w:p w14:paraId="5AC839C6" w14:textId="1EBF12D9" w:rsidR="00571114" w:rsidRDefault="00571114" w:rsidP="00C82CF3">
      <w:pPr>
        <w:spacing w:after="0" w:line="360" w:lineRule="auto"/>
        <w:jc w:val="both"/>
        <w:rPr>
          <w:rFonts w:ascii="Arial" w:hAnsi="Arial" w:cs="Arial"/>
          <w:b/>
          <w:sz w:val="26"/>
          <w:szCs w:val="26"/>
          <w:lang w:val="es-ES"/>
        </w:rPr>
      </w:pPr>
      <w:r>
        <w:rPr>
          <w:rFonts w:ascii="Arial" w:hAnsi="Arial" w:cs="Arial"/>
          <w:b/>
          <w:sz w:val="26"/>
          <w:szCs w:val="26"/>
          <w:lang w:val="es-ES"/>
        </w:rPr>
        <w:t xml:space="preserve">OAXACA DE JUÁREZ, OAXACA A </w:t>
      </w:r>
      <w:r w:rsidR="00C82CF3">
        <w:rPr>
          <w:rFonts w:ascii="Arial" w:hAnsi="Arial" w:cs="Arial"/>
          <w:b/>
          <w:sz w:val="26"/>
          <w:szCs w:val="26"/>
          <w:lang w:val="es-ES"/>
        </w:rPr>
        <w:t xml:space="preserve">VEINTISIETE DE MAYO </w:t>
      </w:r>
      <w:r>
        <w:rPr>
          <w:rFonts w:ascii="Arial" w:hAnsi="Arial" w:cs="Arial"/>
          <w:b/>
          <w:sz w:val="26"/>
          <w:szCs w:val="26"/>
          <w:lang w:val="es-ES"/>
        </w:rPr>
        <w:t xml:space="preserve">DE DOS MIL </w:t>
      </w:r>
      <w:r w:rsidR="00602BC7">
        <w:rPr>
          <w:rFonts w:ascii="Arial" w:hAnsi="Arial" w:cs="Arial"/>
          <w:b/>
          <w:sz w:val="26"/>
          <w:szCs w:val="26"/>
          <w:lang w:val="es-ES"/>
        </w:rPr>
        <w:t>VEINTIUNO. -</w:t>
      </w:r>
      <w:r>
        <w:rPr>
          <w:rFonts w:ascii="Arial" w:hAnsi="Arial" w:cs="Arial"/>
          <w:b/>
          <w:sz w:val="26"/>
          <w:szCs w:val="26"/>
          <w:lang w:val="es-ES"/>
        </w:rPr>
        <w:t xml:space="preserve"> - - - - - - - - - - - - - - - - - - - - - - - - - - - - - - - - </w:t>
      </w:r>
      <w:r w:rsidR="00C82CF3">
        <w:rPr>
          <w:rFonts w:ascii="Arial" w:hAnsi="Arial" w:cs="Arial"/>
          <w:b/>
          <w:sz w:val="26"/>
          <w:szCs w:val="26"/>
          <w:lang w:val="es-ES"/>
        </w:rPr>
        <w:t>- - - - - -</w:t>
      </w:r>
    </w:p>
    <w:p w14:paraId="32ACAE79" w14:textId="042AAE79" w:rsidR="00A132B8" w:rsidRDefault="00571114" w:rsidP="00B02F70">
      <w:pPr>
        <w:spacing w:after="0" w:line="360" w:lineRule="auto"/>
        <w:ind w:firstLine="708"/>
        <w:jc w:val="both"/>
        <w:rPr>
          <w:rFonts w:ascii="Arial" w:hAnsi="Arial" w:cs="Arial"/>
          <w:sz w:val="26"/>
          <w:szCs w:val="26"/>
        </w:rPr>
      </w:pPr>
      <w:r>
        <w:rPr>
          <w:rFonts w:ascii="Arial" w:eastAsia="Calibri" w:hAnsi="Arial" w:cs="Arial"/>
          <w:sz w:val="26"/>
          <w:szCs w:val="26"/>
        </w:rPr>
        <w:t xml:space="preserve">Por recibido el Cuaderno de Revisión </w:t>
      </w:r>
      <w:r w:rsidR="00081E50">
        <w:rPr>
          <w:rFonts w:ascii="Arial" w:eastAsia="PMingLiU" w:hAnsi="Arial" w:cs="Arial"/>
          <w:b/>
          <w:iCs/>
          <w:caps/>
          <w:sz w:val="26"/>
          <w:szCs w:val="26"/>
          <w:lang w:val="es-PE" w:eastAsia="zh-TW"/>
        </w:rPr>
        <w:t>162</w:t>
      </w:r>
      <w:r>
        <w:rPr>
          <w:rFonts w:ascii="Arial" w:eastAsia="PMingLiU" w:hAnsi="Arial" w:cs="Arial"/>
          <w:b/>
          <w:iCs/>
          <w:caps/>
          <w:sz w:val="26"/>
          <w:szCs w:val="26"/>
          <w:lang w:val="es-PE" w:eastAsia="zh-TW"/>
        </w:rPr>
        <w:t xml:space="preserve">/2020 </w:t>
      </w:r>
      <w:r>
        <w:rPr>
          <w:rFonts w:ascii="Arial" w:eastAsia="Calibri" w:hAnsi="Arial" w:cs="Arial"/>
          <w:sz w:val="26"/>
          <w:szCs w:val="26"/>
        </w:rPr>
        <w:t xml:space="preserve">que remite la Secretaría General de Acuerdos, con motivo del recurso de revisión interpuesto por </w:t>
      </w:r>
      <w:r w:rsidR="00A05B40">
        <w:rPr>
          <w:rFonts w:ascii="Arial" w:hAnsi="Arial" w:cs="Arial"/>
          <w:b/>
          <w:sz w:val="26"/>
          <w:szCs w:val="26"/>
        </w:rPr>
        <w:t>***********</w:t>
      </w:r>
      <w:r w:rsidR="00081E50" w:rsidRPr="00081E50">
        <w:rPr>
          <w:rFonts w:ascii="Arial" w:eastAsia="Calibri" w:hAnsi="Arial" w:cs="Arial"/>
          <w:b/>
          <w:sz w:val="26"/>
          <w:szCs w:val="26"/>
        </w:rPr>
        <w:t xml:space="preserve">, promoviendo con el carácter de apoderado legal de </w:t>
      </w:r>
      <w:r w:rsidR="00A05B40">
        <w:rPr>
          <w:rFonts w:ascii="Arial" w:hAnsi="Arial" w:cs="Arial"/>
          <w:b/>
          <w:sz w:val="26"/>
          <w:szCs w:val="26"/>
        </w:rPr>
        <w:t>***********</w:t>
      </w:r>
      <w:r w:rsidRPr="006551F8">
        <w:rPr>
          <w:rFonts w:ascii="Arial" w:hAnsi="Arial" w:cs="Arial"/>
          <w:b/>
          <w:bCs/>
          <w:color w:val="000000"/>
          <w:sz w:val="26"/>
          <w:szCs w:val="26"/>
        </w:rPr>
        <w:t xml:space="preserve">, </w:t>
      </w:r>
      <w:r w:rsidRPr="006551F8">
        <w:rPr>
          <w:rFonts w:ascii="Arial" w:eastAsia="Calibri" w:hAnsi="Arial" w:cs="Arial"/>
          <w:sz w:val="26"/>
          <w:szCs w:val="26"/>
        </w:rPr>
        <w:t>en</w:t>
      </w:r>
      <w:r>
        <w:rPr>
          <w:rFonts w:ascii="Arial" w:eastAsia="Calibri" w:hAnsi="Arial" w:cs="Arial"/>
          <w:sz w:val="26"/>
          <w:szCs w:val="26"/>
        </w:rPr>
        <w:t xml:space="preserve"> </w:t>
      </w:r>
      <w:r w:rsidR="00C32415">
        <w:rPr>
          <w:rFonts w:ascii="Arial" w:eastAsia="Calibri" w:hAnsi="Arial" w:cs="Arial"/>
          <w:sz w:val="26"/>
          <w:szCs w:val="26"/>
        </w:rPr>
        <w:t xml:space="preserve">contra de la sentencia de fecha </w:t>
      </w:r>
      <w:r w:rsidR="000715F1">
        <w:rPr>
          <w:rFonts w:ascii="Arial" w:eastAsia="Calibri" w:hAnsi="Arial" w:cs="Arial"/>
          <w:sz w:val="26"/>
          <w:szCs w:val="26"/>
        </w:rPr>
        <w:t xml:space="preserve">once </w:t>
      </w:r>
      <w:r w:rsidR="00C32415">
        <w:rPr>
          <w:rFonts w:ascii="Arial" w:eastAsia="Calibri" w:hAnsi="Arial" w:cs="Arial"/>
          <w:sz w:val="26"/>
          <w:szCs w:val="26"/>
        </w:rPr>
        <w:t xml:space="preserve">de marzo </w:t>
      </w:r>
      <w:r w:rsidR="00BD5B0D">
        <w:rPr>
          <w:rFonts w:ascii="Arial" w:eastAsia="Calibri" w:hAnsi="Arial" w:cs="Arial"/>
          <w:sz w:val="26"/>
          <w:szCs w:val="26"/>
        </w:rPr>
        <w:t>de dos mil veinte</w:t>
      </w:r>
      <w:r>
        <w:rPr>
          <w:rFonts w:ascii="Arial" w:eastAsia="Calibri" w:hAnsi="Arial" w:cs="Arial"/>
          <w:sz w:val="26"/>
          <w:szCs w:val="26"/>
        </w:rPr>
        <w:t xml:space="preserve">, dictada por </w:t>
      </w:r>
      <w:r w:rsidR="00917C56">
        <w:rPr>
          <w:rFonts w:ascii="Arial" w:eastAsia="Calibri" w:hAnsi="Arial" w:cs="Arial"/>
          <w:sz w:val="26"/>
          <w:szCs w:val="26"/>
        </w:rPr>
        <w:t>la</w:t>
      </w:r>
      <w:r w:rsidR="00EA6786">
        <w:rPr>
          <w:rFonts w:ascii="Arial" w:eastAsia="Calibri" w:hAnsi="Arial" w:cs="Arial"/>
          <w:sz w:val="26"/>
          <w:szCs w:val="26"/>
        </w:rPr>
        <w:t xml:space="preserve"> </w:t>
      </w:r>
      <w:r w:rsidR="00D316AE">
        <w:rPr>
          <w:rFonts w:ascii="Arial" w:eastAsia="Calibri" w:hAnsi="Arial" w:cs="Arial"/>
          <w:sz w:val="26"/>
          <w:szCs w:val="26"/>
        </w:rPr>
        <w:t>Magistrad</w:t>
      </w:r>
      <w:r w:rsidR="00917C56">
        <w:rPr>
          <w:rFonts w:ascii="Arial" w:eastAsia="Calibri" w:hAnsi="Arial" w:cs="Arial"/>
          <w:sz w:val="26"/>
          <w:szCs w:val="26"/>
        </w:rPr>
        <w:t>a</w:t>
      </w:r>
      <w:r w:rsidR="00D316AE">
        <w:rPr>
          <w:rFonts w:ascii="Arial" w:eastAsia="Calibri" w:hAnsi="Arial" w:cs="Arial"/>
          <w:sz w:val="26"/>
          <w:szCs w:val="26"/>
        </w:rPr>
        <w:t xml:space="preserve"> de </w:t>
      </w:r>
      <w:r w:rsidR="000715F1">
        <w:rPr>
          <w:rFonts w:ascii="Arial" w:eastAsia="Calibri" w:hAnsi="Arial" w:cs="Arial"/>
          <w:sz w:val="26"/>
          <w:szCs w:val="26"/>
        </w:rPr>
        <w:t>la Tercera</w:t>
      </w:r>
      <w:r w:rsidR="00D316AE">
        <w:rPr>
          <w:rFonts w:ascii="Arial" w:eastAsia="Calibri" w:hAnsi="Arial" w:cs="Arial"/>
          <w:sz w:val="26"/>
          <w:szCs w:val="26"/>
        </w:rPr>
        <w:t xml:space="preserve"> </w:t>
      </w:r>
      <w:r>
        <w:rPr>
          <w:rFonts w:ascii="Arial" w:eastAsia="Calibri" w:hAnsi="Arial" w:cs="Arial"/>
          <w:sz w:val="26"/>
          <w:szCs w:val="26"/>
        </w:rPr>
        <w:t xml:space="preserve">Sala Unitaria de Primera Instancia de este Tribunal, en el juicio de nulidad </w:t>
      </w:r>
      <w:r w:rsidR="000715F1">
        <w:rPr>
          <w:rFonts w:ascii="Arial" w:eastAsia="Calibri" w:hAnsi="Arial" w:cs="Arial"/>
          <w:b/>
          <w:sz w:val="26"/>
          <w:szCs w:val="26"/>
        </w:rPr>
        <w:t>0014/</w:t>
      </w:r>
      <w:r w:rsidR="00D316AE">
        <w:rPr>
          <w:rFonts w:ascii="Arial" w:eastAsia="Calibri" w:hAnsi="Arial" w:cs="Arial"/>
          <w:b/>
          <w:sz w:val="26"/>
          <w:szCs w:val="26"/>
        </w:rPr>
        <w:t>20</w:t>
      </w:r>
      <w:r w:rsidR="000715F1">
        <w:rPr>
          <w:rFonts w:ascii="Arial" w:eastAsia="Calibri" w:hAnsi="Arial" w:cs="Arial"/>
          <w:b/>
          <w:sz w:val="26"/>
          <w:szCs w:val="26"/>
        </w:rPr>
        <w:t>19</w:t>
      </w:r>
      <w:r w:rsidR="00D316AE">
        <w:rPr>
          <w:rFonts w:ascii="Arial" w:eastAsia="Calibri" w:hAnsi="Arial" w:cs="Arial"/>
          <w:b/>
          <w:sz w:val="26"/>
          <w:szCs w:val="26"/>
        </w:rPr>
        <w:t xml:space="preserve">, </w:t>
      </w:r>
      <w:r>
        <w:rPr>
          <w:rFonts w:ascii="Arial" w:eastAsia="Calibri" w:hAnsi="Arial" w:cs="Arial"/>
          <w:sz w:val="26"/>
          <w:szCs w:val="26"/>
        </w:rPr>
        <w:t xml:space="preserve">promovido </w:t>
      </w:r>
      <w:r w:rsidR="000715F1">
        <w:rPr>
          <w:rFonts w:ascii="Arial" w:eastAsia="Calibri" w:hAnsi="Arial" w:cs="Arial"/>
          <w:sz w:val="26"/>
          <w:szCs w:val="26"/>
        </w:rPr>
        <w:t>por el</w:t>
      </w:r>
      <w:r w:rsidR="00C32415">
        <w:rPr>
          <w:rFonts w:ascii="Arial" w:eastAsia="Calibri" w:hAnsi="Arial" w:cs="Arial"/>
          <w:sz w:val="26"/>
          <w:szCs w:val="26"/>
        </w:rPr>
        <w:t xml:space="preserve"> </w:t>
      </w:r>
      <w:r w:rsidR="00C32415">
        <w:rPr>
          <w:rFonts w:ascii="Arial" w:eastAsia="Calibri" w:hAnsi="Arial" w:cs="Arial"/>
          <w:b/>
          <w:sz w:val="26"/>
          <w:szCs w:val="26"/>
        </w:rPr>
        <w:t>RECURRENTE</w:t>
      </w:r>
      <w:r w:rsidR="00B02F70">
        <w:rPr>
          <w:rFonts w:ascii="Arial" w:eastAsia="Calibri" w:hAnsi="Arial" w:cs="Arial"/>
          <w:b/>
          <w:sz w:val="26"/>
          <w:szCs w:val="26"/>
        </w:rPr>
        <w:t>,</w:t>
      </w:r>
      <w:r>
        <w:rPr>
          <w:rFonts w:ascii="Arial" w:eastAsia="Calibri" w:hAnsi="Arial" w:cs="Arial"/>
          <w:b/>
          <w:sz w:val="26"/>
          <w:szCs w:val="26"/>
        </w:rPr>
        <w:t xml:space="preserve"> </w:t>
      </w:r>
      <w:r>
        <w:rPr>
          <w:rFonts w:ascii="Arial" w:eastAsia="Calibri" w:hAnsi="Arial" w:cs="Arial"/>
          <w:sz w:val="26"/>
          <w:szCs w:val="26"/>
        </w:rPr>
        <w:t>en contra de</w:t>
      </w:r>
      <w:r w:rsidR="00C32415">
        <w:rPr>
          <w:rFonts w:ascii="Arial" w:eastAsia="Calibri" w:hAnsi="Arial" w:cs="Arial"/>
          <w:sz w:val="26"/>
          <w:szCs w:val="26"/>
        </w:rPr>
        <w:t xml:space="preserve">l </w:t>
      </w:r>
      <w:r w:rsidR="000715F1">
        <w:rPr>
          <w:rFonts w:ascii="Arial" w:eastAsia="Calibri" w:hAnsi="Arial" w:cs="Arial"/>
          <w:b/>
          <w:sz w:val="26"/>
          <w:szCs w:val="26"/>
        </w:rPr>
        <w:t>DIRECTOR DE R</w:t>
      </w:r>
      <w:r w:rsidR="007D18E6">
        <w:rPr>
          <w:rFonts w:ascii="Arial" w:eastAsia="Calibri" w:hAnsi="Arial" w:cs="Arial"/>
          <w:b/>
          <w:sz w:val="26"/>
          <w:szCs w:val="26"/>
        </w:rPr>
        <w:t xml:space="preserve">ESPONSABILIDADES </w:t>
      </w:r>
      <w:r w:rsidR="007D18E6" w:rsidRPr="001A1EB3">
        <w:rPr>
          <w:rFonts w:ascii="Arial" w:eastAsia="Calibri" w:hAnsi="Arial" w:cs="Arial"/>
          <w:b/>
          <w:sz w:val="26"/>
          <w:szCs w:val="26"/>
        </w:rPr>
        <w:t>ADMINISTRATIVAS</w:t>
      </w:r>
      <w:r w:rsidR="000715F1" w:rsidRPr="001A1EB3">
        <w:rPr>
          <w:rFonts w:ascii="Arial" w:eastAsia="Calibri" w:hAnsi="Arial" w:cs="Arial"/>
          <w:b/>
          <w:sz w:val="26"/>
          <w:szCs w:val="26"/>
        </w:rPr>
        <w:t xml:space="preserve"> Y SITUACIÓN PATRIMONIAL DE LA SUBSECRETARÍA DE RESPONSABILIDAD</w:t>
      </w:r>
      <w:r w:rsidR="009E5AF3" w:rsidRPr="001A1EB3">
        <w:rPr>
          <w:rFonts w:ascii="Arial" w:eastAsia="Calibri" w:hAnsi="Arial" w:cs="Arial"/>
          <w:b/>
          <w:sz w:val="26"/>
          <w:szCs w:val="26"/>
        </w:rPr>
        <w:t xml:space="preserve">ES </w:t>
      </w:r>
      <w:r w:rsidR="000715F1" w:rsidRPr="001A1EB3">
        <w:rPr>
          <w:rFonts w:ascii="Arial" w:eastAsia="Calibri" w:hAnsi="Arial" w:cs="Arial"/>
          <w:b/>
          <w:sz w:val="26"/>
          <w:szCs w:val="26"/>
        </w:rPr>
        <w:t>ADMINISTRATIVAS Y ANTICORRUPCIÓN DE LA SECRETARÍA DE CONTRALORÍA Y TRANSPARENCIA GUBERNAMENTAL DEL PODER EJECUTIVO DEL ESTADO DE OAXACA</w:t>
      </w:r>
      <w:r w:rsidRPr="001A1EB3">
        <w:rPr>
          <w:rFonts w:ascii="Arial" w:eastAsia="Calibri" w:hAnsi="Arial" w:cs="Arial"/>
          <w:b/>
          <w:sz w:val="26"/>
          <w:szCs w:val="26"/>
        </w:rPr>
        <w:t xml:space="preserve">, </w:t>
      </w:r>
      <w:r w:rsidRPr="001A1EB3">
        <w:rPr>
          <w:rFonts w:ascii="Arial" w:hAnsi="Arial" w:cs="Arial"/>
          <w:sz w:val="26"/>
          <w:szCs w:val="26"/>
        </w:rPr>
        <w:t xml:space="preserve">por lo que con fundamento en los artículos 236 y 237 de la Ley de Procedimiento y Justicia Administrativa para el Estado de Oaxaca, se admite.  En consecuencia, se procede a dictar resolución en los siguientes </w:t>
      </w:r>
      <w:r w:rsidR="00A132B8" w:rsidRPr="001A1EB3">
        <w:rPr>
          <w:rFonts w:ascii="Arial" w:hAnsi="Arial" w:cs="Arial"/>
          <w:sz w:val="26"/>
          <w:szCs w:val="26"/>
        </w:rPr>
        <w:t xml:space="preserve">términos: </w:t>
      </w:r>
    </w:p>
    <w:p w14:paraId="223E4462" w14:textId="77777777" w:rsidR="00A132B8" w:rsidRDefault="00A132B8" w:rsidP="00B02F70">
      <w:pPr>
        <w:spacing w:after="0" w:line="360" w:lineRule="auto"/>
        <w:ind w:firstLine="708"/>
        <w:jc w:val="both"/>
        <w:rPr>
          <w:rFonts w:ascii="Arial" w:hAnsi="Arial" w:cs="Arial"/>
          <w:sz w:val="26"/>
          <w:szCs w:val="26"/>
        </w:rPr>
      </w:pPr>
    </w:p>
    <w:p w14:paraId="751FB8A8" w14:textId="25AE13E7" w:rsidR="00571114" w:rsidRPr="001A1EB3" w:rsidRDefault="00571114" w:rsidP="00A132B8">
      <w:pPr>
        <w:spacing w:after="0" w:line="360" w:lineRule="auto"/>
        <w:ind w:firstLine="708"/>
        <w:jc w:val="center"/>
        <w:rPr>
          <w:rFonts w:ascii="Arial" w:hAnsi="Arial" w:cs="Arial"/>
          <w:sz w:val="26"/>
          <w:szCs w:val="26"/>
        </w:rPr>
      </w:pPr>
      <w:r w:rsidRPr="001A1EB3">
        <w:rPr>
          <w:rFonts w:ascii="Arial" w:hAnsi="Arial" w:cs="Arial"/>
          <w:b/>
          <w:bCs/>
          <w:sz w:val="26"/>
          <w:szCs w:val="26"/>
          <w:lang w:val="es-ES"/>
        </w:rPr>
        <w:t>R E S U L T A N D O</w:t>
      </w:r>
    </w:p>
    <w:p w14:paraId="4995B53C" w14:textId="1D788E62" w:rsidR="00571114" w:rsidRPr="001A1EB3" w:rsidRDefault="00571114" w:rsidP="00900E97">
      <w:pPr>
        <w:spacing w:after="120" w:line="360" w:lineRule="auto"/>
        <w:ind w:firstLine="709"/>
        <w:jc w:val="both"/>
        <w:rPr>
          <w:rFonts w:ascii="Arial" w:hAnsi="Arial" w:cs="Arial"/>
          <w:sz w:val="26"/>
          <w:szCs w:val="26"/>
          <w:lang w:val="es-ES"/>
        </w:rPr>
      </w:pPr>
      <w:r w:rsidRPr="001A1EB3">
        <w:rPr>
          <w:rFonts w:ascii="Arial" w:hAnsi="Arial" w:cs="Arial"/>
          <w:b/>
          <w:bCs/>
          <w:sz w:val="26"/>
          <w:szCs w:val="26"/>
          <w:lang w:val="es-ES"/>
        </w:rPr>
        <w:t xml:space="preserve">PRIMERO. </w:t>
      </w:r>
      <w:r w:rsidRPr="001A1EB3">
        <w:rPr>
          <w:rFonts w:ascii="Arial" w:hAnsi="Arial" w:cs="Arial"/>
          <w:sz w:val="26"/>
          <w:szCs w:val="26"/>
          <w:lang w:val="es-ES"/>
        </w:rPr>
        <w:t xml:space="preserve">Inconforme con la sentencia de </w:t>
      </w:r>
      <w:r w:rsidR="00E512AA" w:rsidRPr="001A1EB3">
        <w:rPr>
          <w:rFonts w:ascii="Arial" w:eastAsia="Calibri" w:hAnsi="Arial" w:cs="Arial"/>
          <w:sz w:val="26"/>
          <w:szCs w:val="26"/>
        </w:rPr>
        <w:t>once</w:t>
      </w:r>
      <w:r w:rsidR="00BD5B0D" w:rsidRPr="001A1EB3">
        <w:rPr>
          <w:rFonts w:ascii="Arial" w:eastAsia="Calibri" w:hAnsi="Arial" w:cs="Arial"/>
          <w:sz w:val="26"/>
          <w:szCs w:val="26"/>
        </w:rPr>
        <w:t xml:space="preserve"> de marzo</w:t>
      </w:r>
      <w:r w:rsidR="00A81C86" w:rsidRPr="001A1EB3">
        <w:rPr>
          <w:rFonts w:ascii="Arial" w:eastAsia="Calibri" w:hAnsi="Arial" w:cs="Arial"/>
          <w:sz w:val="26"/>
          <w:szCs w:val="26"/>
        </w:rPr>
        <w:t xml:space="preserve"> de dos mil veinte</w:t>
      </w:r>
      <w:r w:rsidRPr="001A1EB3">
        <w:rPr>
          <w:rFonts w:ascii="Arial" w:hAnsi="Arial" w:cs="Arial"/>
          <w:sz w:val="26"/>
          <w:szCs w:val="26"/>
          <w:lang w:val="es-ES"/>
        </w:rPr>
        <w:t xml:space="preserve">, dictada por </w:t>
      </w:r>
      <w:r w:rsidR="00900E97" w:rsidRPr="001A1EB3">
        <w:rPr>
          <w:rFonts w:ascii="Arial" w:hAnsi="Arial" w:cs="Arial"/>
          <w:sz w:val="26"/>
          <w:szCs w:val="26"/>
          <w:lang w:val="es-ES"/>
        </w:rPr>
        <w:t>la</w:t>
      </w:r>
      <w:r w:rsidR="00BD5B0D" w:rsidRPr="001A1EB3">
        <w:rPr>
          <w:rFonts w:ascii="Arial" w:hAnsi="Arial" w:cs="Arial"/>
          <w:sz w:val="26"/>
          <w:szCs w:val="26"/>
          <w:lang w:val="es-ES"/>
        </w:rPr>
        <w:t xml:space="preserve"> Magistrad</w:t>
      </w:r>
      <w:r w:rsidR="00900E97" w:rsidRPr="001A1EB3">
        <w:rPr>
          <w:rFonts w:ascii="Arial" w:hAnsi="Arial" w:cs="Arial"/>
          <w:sz w:val="26"/>
          <w:szCs w:val="26"/>
          <w:lang w:val="es-ES"/>
        </w:rPr>
        <w:t xml:space="preserve">a de la </w:t>
      </w:r>
      <w:r w:rsidR="00E512AA" w:rsidRPr="001A1EB3">
        <w:rPr>
          <w:rFonts w:ascii="Arial" w:hAnsi="Arial" w:cs="Arial"/>
          <w:sz w:val="26"/>
          <w:szCs w:val="26"/>
          <w:lang w:val="es-ES"/>
        </w:rPr>
        <w:t xml:space="preserve">Tercera </w:t>
      </w:r>
      <w:r w:rsidRPr="001A1EB3">
        <w:rPr>
          <w:rFonts w:ascii="Arial" w:hAnsi="Arial" w:cs="Arial"/>
          <w:sz w:val="26"/>
          <w:szCs w:val="26"/>
          <w:lang w:val="es-ES"/>
        </w:rPr>
        <w:t>Sala Unitaria de Primera Instancia de este Tribunal</w:t>
      </w:r>
      <w:r w:rsidR="009E5AF3" w:rsidRPr="001A1EB3">
        <w:rPr>
          <w:rFonts w:ascii="Arial" w:hAnsi="Arial" w:cs="Arial"/>
          <w:sz w:val="26"/>
          <w:szCs w:val="26"/>
          <w:lang w:val="es-ES"/>
        </w:rPr>
        <w:t xml:space="preserve"> de Justicia Administrativa del Estado de Oaxaca</w:t>
      </w:r>
      <w:r w:rsidR="001D498D" w:rsidRPr="001A1EB3">
        <w:rPr>
          <w:rFonts w:ascii="Arial" w:hAnsi="Arial" w:cs="Arial"/>
          <w:sz w:val="26"/>
          <w:szCs w:val="26"/>
          <w:lang w:val="es-ES"/>
        </w:rPr>
        <w:t>,</w:t>
      </w:r>
      <w:r w:rsidR="00A81C86" w:rsidRPr="001A1EB3">
        <w:rPr>
          <w:rFonts w:ascii="Arial" w:eastAsia="Calibri" w:hAnsi="Arial" w:cs="Arial"/>
          <w:b/>
          <w:sz w:val="26"/>
          <w:szCs w:val="26"/>
        </w:rPr>
        <w:t xml:space="preserve"> </w:t>
      </w:r>
      <w:r w:rsidR="00A05B40">
        <w:rPr>
          <w:rFonts w:ascii="Arial" w:hAnsi="Arial" w:cs="Arial"/>
          <w:b/>
          <w:sz w:val="26"/>
          <w:szCs w:val="26"/>
        </w:rPr>
        <w:t>***********</w:t>
      </w:r>
      <w:r w:rsidR="00E512AA" w:rsidRPr="001A1EB3">
        <w:rPr>
          <w:rFonts w:ascii="Arial" w:eastAsia="Calibri" w:hAnsi="Arial" w:cs="Arial"/>
          <w:b/>
          <w:sz w:val="26"/>
          <w:szCs w:val="26"/>
        </w:rPr>
        <w:t xml:space="preserve">, promoviendo con el carácter de apoderado legal de </w:t>
      </w:r>
      <w:r w:rsidR="00A05B40">
        <w:rPr>
          <w:rFonts w:ascii="Arial" w:hAnsi="Arial" w:cs="Arial"/>
          <w:b/>
          <w:sz w:val="26"/>
          <w:szCs w:val="26"/>
        </w:rPr>
        <w:t>***********</w:t>
      </w:r>
      <w:r w:rsidR="00E512AA" w:rsidRPr="001A1EB3">
        <w:rPr>
          <w:rFonts w:ascii="Arial" w:hAnsi="Arial" w:cs="Arial"/>
          <w:sz w:val="26"/>
          <w:szCs w:val="26"/>
          <w:lang w:val="es-ES"/>
        </w:rPr>
        <w:t xml:space="preserve">, </w:t>
      </w:r>
      <w:r w:rsidRPr="001A1EB3">
        <w:rPr>
          <w:rFonts w:ascii="Arial" w:hAnsi="Arial" w:cs="Arial"/>
          <w:sz w:val="26"/>
          <w:szCs w:val="26"/>
          <w:lang w:val="es-ES"/>
        </w:rPr>
        <w:t>interpuso en su contra recurso de revisión.</w:t>
      </w:r>
      <w:r w:rsidR="00B02F70" w:rsidRPr="001A1EB3">
        <w:rPr>
          <w:rFonts w:ascii="Arial" w:hAnsi="Arial" w:cs="Arial"/>
          <w:sz w:val="26"/>
          <w:szCs w:val="26"/>
          <w:lang w:val="es-ES"/>
        </w:rPr>
        <w:t xml:space="preserve">- - - - - - </w:t>
      </w:r>
      <w:r w:rsidR="00E512AA" w:rsidRPr="001A1EB3">
        <w:rPr>
          <w:rFonts w:ascii="Arial" w:hAnsi="Arial" w:cs="Arial"/>
          <w:sz w:val="26"/>
          <w:szCs w:val="26"/>
          <w:lang w:val="es-ES"/>
        </w:rPr>
        <w:t xml:space="preserve">- </w:t>
      </w:r>
    </w:p>
    <w:p w14:paraId="0F56A65A" w14:textId="56FFE6EC" w:rsidR="00571114" w:rsidRDefault="00571114" w:rsidP="00900E97">
      <w:pPr>
        <w:spacing w:after="120" w:line="360" w:lineRule="auto"/>
        <w:ind w:firstLine="709"/>
        <w:jc w:val="both"/>
        <w:rPr>
          <w:rFonts w:ascii="Arial" w:hAnsi="Arial" w:cs="Arial"/>
          <w:sz w:val="26"/>
          <w:szCs w:val="26"/>
        </w:rPr>
      </w:pPr>
      <w:r w:rsidRPr="001A1EB3">
        <w:rPr>
          <w:rFonts w:ascii="Arial" w:hAnsi="Arial" w:cs="Arial"/>
          <w:b/>
          <w:bCs/>
          <w:sz w:val="26"/>
          <w:szCs w:val="26"/>
        </w:rPr>
        <w:t xml:space="preserve">SEGUNDO. </w:t>
      </w:r>
      <w:r w:rsidRPr="001A1EB3">
        <w:rPr>
          <w:rFonts w:ascii="Arial" w:hAnsi="Arial" w:cs="Arial"/>
          <w:sz w:val="26"/>
          <w:szCs w:val="26"/>
        </w:rPr>
        <w:t>Los puntos resolutivos de la sentencia recurrida, son los siguientes:</w:t>
      </w:r>
      <w:r w:rsidR="00B02F70" w:rsidRPr="001A1EB3">
        <w:rPr>
          <w:rFonts w:ascii="Arial" w:hAnsi="Arial" w:cs="Arial"/>
          <w:sz w:val="26"/>
          <w:szCs w:val="26"/>
        </w:rPr>
        <w:t>- - - - - - - - - - - - - - - - - - - - - - - - - - - - - - - - - - - - - - - -</w:t>
      </w:r>
      <w:r w:rsidR="00B02F70">
        <w:rPr>
          <w:rFonts w:ascii="Arial" w:hAnsi="Arial" w:cs="Arial"/>
          <w:sz w:val="26"/>
          <w:szCs w:val="26"/>
        </w:rPr>
        <w:t xml:space="preserve"> - - </w:t>
      </w:r>
    </w:p>
    <w:p w14:paraId="043AA6DF" w14:textId="74514E5F" w:rsidR="00635B8D" w:rsidRDefault="00635B8D" w:rsidP="00E512AA">
      <w:pPr>
        <w:spacing w:after="120" w:line="360" w:lineRule="auto"/>
        <w:ind w:left="1134" w:right="900" w:firstLine="282"/>
        <w:jc w:val="both"/>
        <w:rPr>
          <w:rFonts w:ascii="Arial" w:eastAsia="Calibri" w:hAnsi="Arial" w:cs="Arial"/>
          <w:bCs/>
          <w:i/>
          <w:color w:val="000000" w:themeColor="text1"/>
        </w:rPr>
      </w:pPr>
      <w:r>
        <w:rPr>
          <w:rFonts w:ascii="Arial" w:eastAsia="Calibri" w:hAnsi="Arial" w:cs="Arial"/>
          <w:bCs/>
          <w:color w:val="000000" w:themeColor="text1"/>
        </w:rPr>
        <w:t>“</w:t>
      </w:r>
      <w:r>
        <w:rPr>
          <w:rFonts w:ascii="Arial" w:eastAsia="Calibri" w:hAnsi="Arial" w:cs="Arial"/>
          <w:b/>
          <w:bCs/>
          <w:i/>
          <w:color w:val="000000" w:themeColor="text1"/>
        </w:rPr>
        <w:t xml:space="preserve">PRIMERO.- </w:t>
      </w:r>
      <w:r w:rsidR="00130734">
        <w:rPr>
          <w:rFonts w:ascii="Arial" w:eastAsia="Calibri" w:hAnsi="Arial" w:cs="Arial"/>
          <w:bCs/>
          <w:i/>
          <w:color w:val="000000" w:themeColor="text1"/>
        </w:rPr>
        <w:t xml:space="preserve">Esta </w:t>
      </w:r>
      <w:r w:rsidR="00E512AA">
        <w:rPr>
          <w:rFonts w:ascii="Arial" w:eastAsia="Calibri" w:hAnsi="Arial" w:cs="Arial"/>
          <w:bCs/>
          <w:i/>
          <w:color w:val="000000" w:themeColor="text1"/>
        </w:rPr>
        <w:t>Tercera</w:t>
      </w:r>
      <w:r w:rsidR="00130734">
        <w:rPr>
          <w:rFonts w:ascii="Arial" w:eastAsia="Calibri" w:hAnsi="Arial" w:cs="Arial"/>
          <w:bCs/>
          <w:i/>
          <w:color w:val="000000" w:themeColor="text1"/>
        </w:rPr>
        <w:t xml:space="preserve"> </w:t>
      </w:r>
      <w:r>
        <w:rPr>
          <w:rFonts w:ascii="Arial" w:eastAsia="Calibri" w:hAnsi="Arial" w:cs="Arial"/>
          <w:bCs/>
          <w:i/>
          <w:color w:val="000000" w:themeColor="text1"/>
        </w:rPr>
        <w:t xml:space="preserve">Sala </w:t>
      </w:r>
      <w:r w:rsidR="00E512AA">
        <w:rPr>
          <w:rFonts w:ascii="Arial" w:eastAsia="Calibri" w:hAnsi="Arial" w:cs="Arial"/>
          <w:bCs/>
          <w:i/>
          <w:color w:val="000000" w:themeColor="text1"/>
        </w:rPr>
        <w:t>Unitaria d</w:t>
      </w:r>
      <w:r w:rsidR="00130734">
        <w:rPr>
          <w:rFonts w:ascii="Arial" w:eastAsia="Calibri" w:hAnsi="Arial" w:cs="Arial"/>
          <w:bCs/>
          <w:i/>
          <w:color w:val="000000" w:themeColor="text1"/>
        </w:rPr>
        <w:t xml:space="preserve">e Primera Instancia </w:t>
      </w:r>
      <w:r>
        <w:rPr>
          <w:rFonts w:ascii="Arial" w:eastAsia="Calibri" w:hAnsi="Arial" w:cs="Arial"/>
          <w:bCs/>
          <w:i/>
          <w:color w:val="000000" w:themeColor="text1"/>
        </w:rPr>
        <w:t xml:space="preserve">del Tribunal de Justicia Administrativa del Estado, </w:t>
      </w:r>
      <w:r w:rsidR="00E512AA">
        <w:rPr>
          <w:rFonts w:ascii="Arial" w:eastAsia="Calibri" w:hAnsi="Arial" w:cs="Arial"/>
          <w:bCs/>
          <w:i/>
          <w:color w:val="000000" w:themeColor="text1"/>
        </w:rPr>
        <w:t>fue</w:t>
      </w:r>
      <w:r w:rsidR="00130734">
        <w:rPr>
          <w:rFonts w:ascii="Arial" w:eastAsia="Calibri" w:hAnsi="Arial" w:cs="Arial"/>
          <w:bCs/>
          <w:i/>
          <w:color w:val="000000" w:themeColor="text1"/>
        </w:rPr>
        <w:t xml:space="preserve"> </w:t>
      </w:r>
      <w:r>
        <w:rPr>
          <w:rFonts w:ascii="Arial" w:eastAsia="Calibri" w:hAnsi="Arial" w:cs="Arial"/>
          <w:bCs/>
          <w:i/>
          <w:color w:val="000000" w:themeColor="text1"/>
        </w:rPr>
        <w:t xml:space="preserve">competente para conocer y resolver del presente </w:t>
      </w:r>
      <w:r w:rsidR="00E512AA">
        <w:rPr>
          <w:rFonts w:ascii="Arial" w:eastAsia="Calibri" w:hAnsi="Arial" w:cs="Arial"/>
          <w:bCs/>
          <w:i/>
          <w:color w:val="000000" w:themeColor="text1"/>
        </w:rPr>
        <w:t>asunto.</w:t>
      </w:r>
      <w:r w:rsidR="00130734">
        <w:rPr>
          <w:rFonts w:ascii="Arial" w:eastAsia="Calibri" w:hAnsi="Arial" w:cs="Arial"/>
          <w:bCs/>
          <w:i/>
          <w:color w:val="000000" w:themeColor="text1"/>
        </w:rPr>
        <w:t xml:space="preserve"> </w:t>
      </w:r>
      <w:r w:rsidR="00E512AA">
        <w:rPr>
          <w:rFonts w:ascii="Arial" w:eastAsia="Calibri" w:hAnsi="Arial" w:cs="Arial"/>
          <w:bCs/>
          <w:i/>
          <w:color w:val="000000" w:themeColor="text1"/>
        </w:rPr>
        <w:t>- - - - -</w:t>
      </w:r>
    </w:p>
    <w:p w14:paraId="24B0E25B" w14:textId="587BD8AB" w:rsidR="00E512AA" w:rsidRDefault="00635B8D" w:rsidP="00E512AA">
      <w:pPr>
        <w:spacing w:after="120" w:line="360" w:lineRule="auto"/>
        <w:ind w:left="1134" w:right="902" w:firstLine="284"/>
        <w:jc w:val="both"/>
        <w:rPr>
          <w:rFonts w:ascii="Arial" w:eastAsia="Calibri" w:hAnsi="Arial" w:cs="Arial"/>
          <w:bCs/>
          <w:i/>
          <w:color w:val="000000" w:themeColor="text1"/>
        </w:rPr>
      </w:pPr>
      <w:r>
        <w:rPr>
          <w:rFonts w:ascii="Arial" w:eastAsia="Calibri" w:hAnsi="Arial" w:cs="Arial"/>
          <w:b/>
          <w:bCs/>
          <w:i/>
          <w:color w:val="000000" w:themeColor="text1"/>
        </w:rPr>
        <w:lastRenderedPageBreak/>
        <w:t xml:space="preserve">SEGUNDO.- </w:t>
      </w:r>
      <w:r w:rsidR="00E512AA">
        <w:rPr>
          <w:rFonts w:ascii="Arial" w:eastAsia="Calibri" w:hAnsi="Arial" w:cs="Arial"/>
          <w:bCs/>
          <w:i/>
          <w:color w:val="000000" w:themeColor="text1"/>
        </w:rPr>
        <w:t>La personalidad de las partes, quedó acreditada en autos. - - - - - - - - - - - - - - - - - - - - - - - - - - -  - - - - - - - - - - - -</w:t>
      </w:r>
    </w:p>
    <w:p w14:paraId="2EA0118A" w14:textId="2E1713B5" w:rsidR="00E512AA" w:rsidRDefault="00635B8D" w:rsidP="00635B8D">
      <w:pPr>
        <w:spacing w:after="120" w:line="360" w:lineRule="auto"/>
        <w:ind w:left="1134" w:right="902" w:firstLine="284"/>
        <w:jc w:val="both"/>
        <w:rPr>
          <w:rFonts w:ascii="Arial" w:eastAsia="Calibri" w:hAnsi="Arial" w:cs="Arial"/>
          <w:bCs/>
          <w:i/>
          <w:color w:val="000000" w:themeColor="text1"/>
        </w:rPr>
      </w:pPr>
      <w:r>
        <w:rPr>
          <w:rFonts w:ascii="Arial" w:eastAsia="Calibri" w:hAnsi="Arial" w:cs="Arial"/>
          <w:b/>
          <w:bCs/>
          <w:i/>
          <w:color w:val="000000" w:themeColor="text1"/>
        </w:rPr>
        <w:t>TERCERO.-</w:t>
      </w:r>
      <w:r>
        <w:rPr>
          <w:rFonts w:ascii="Arial" w:eastAsia="Calibri" w:hAnsi="Arial" w:cs="Arial"/>
          <w:bCs/>
          <w:i/>
          <w:color w:val="000000" w:themeColor="text1"/>
        </w:rPr>
        <w:t xml:space="preserve"> Se declara la </w:t>
      </w:r>
      <w:r w:rsidR="00E512AA">
        <w:rPr>
          <w:rFonts w:ascii="Arial" w:eastAsia="Calibri" w:hAnsi="Arial" w:cs="Arial"/>
          <w:b/>
          <w:bCs/>
          <w:i/>
          <w:color w:val="000000" w:themeColor="text1"/>
        </w:rPr>
        <w:t xml:space="preserve">VALIDEZ, </w:t>
      </w:r>
      <w:r w:rsidR="00E512AA">
        <w:rPr>
          <w:rFonts w:ascii="Arial" w:eastAsia="Calibri" w:hAnsi="Arial" w:cs="Arial"/>
          <w:bCs/>
          <w:i/>
          <w:color w:val="000000" w:themeColor="text1"/>
        </w:rPr>
        <w:t xml:space="preserve">de la resolución de fecha 27 veintisiete de noviembre de 2018 dos mil dieciocho, emitida en el expediente administrativo </w:t>
      </w:r>
      <w:r w:rsidR="00A05B40">
        <w:rPr>
          <w:rFonts w:ascii="Arial" w:hAnsi="Arial" w:cs="Arial"/>
          <w:b/>
          <w:sz w:val="26"/>
          <w:szCs w:val="26"/>
        </w:rPr>
        <w:t>***********</w:t>
      </w:r>
      <w:r w:rsidR="00E512AA">
        <w:rPr>
          <w:rFonts w:ascii="Arial" w:eastAsia="Calibri" w:hAnsi="Arial" w:cs="Arial"/>
          <w:bCs/>
          <w:i/>
          <w:color w:val="000000" w:themeColor="text1"/>
        </w:rPr>
        <w:t xml:space="preserve">, notificada el 12 doce de diciembre de 2018 dos mil dieciocho. Así también de la notificación de fecha 9 nueve de febrero de 2018 dos mil dieciocho, y el citatorio contenido en el oficio </w:t>
      </w:r>
      <w:r w:rsidR="00A05B40">
        <w:rPr>
          <w:rFonts w:ascii="Arial" w:hAnsi="Arial" w:cs="Arial"/>
          <w:b/>
          <w:sz w:val="26"/>
          <w:szCs w:val="26"/>
        </w:rPr>
        <w:t xml:space="preserve">*********** </w:t>
      </w:r>
      <w:r w:rsidR="00E512AA">
        <w:rPr>
          <w:rFonts w:ascii="Arial" w:eastAsia="Calibri" w:hAnsi="Arial" w:cs="Arial"/>
          <w:bCs/>
          <w:i/>
          <w:color w:val="000000" w:themeColor="text1"/>
        </w:rPr>
        <w:t xml:space="preserve">DE (sic) 7 siete de febrero de 2018 dos mil dieciocho, mediante los cuales se dio inicio del (sic) procedimiento administrativo de responsabilidad administrativa. - - - - - - - - - - - - - - - - -  - - - - - - </w:t>
      </w:r>
    </w:p>
    <w:p w14:paraId="1FE5E19A" w14:textId="7A789CC4" w:rsidR="00635B8D" w:rsidRDefault="004257EC" w:rsidP="00635B8D">
      <w:pPr>
        <w:spacing w:after="120" w:line="360" w:lineRule="auto"/>
        <w:ind w:left="1134" w:right="902" w:firstLine="284"/>
        <w:jc w:val="both"/>
        <w:rPr>
          <w:rFonts w:ascii="Arial" w:eastAsia="Calibri" w:hAnsi="Arial" w:cs="Arial"/>
          <w:bCs/>
          <w:i/>
          <w:color w:val="000000" w:themeColor="text1"/>
        </w:rPr>
      </w:pPr>
      <w:r>
        <w:rPr>
          <w:rFonts w:ascii="Arial" w:eastAsia="Calibri" w:hAnsi="Arial" w:cs="Arial"/>
          <w:b/>
          <w:bCs/>
          <w:i/>
          <w:color w:val="000000" w:themeColor="text1"/>
        </w:rPr>
        <w:t>CUARTO</w:t>
      </w:r>
      <w:r w:rsidR="00635B8D">
        <w:rPr>
          <w:rFonts w:ascii="Arial" w:eastAsia="Calibri" w:hAnsi="Arial" w:cs="Arial"/>
          <w:b/>
          <w:bCs/>
          <w:i/>
          <w:color w:val="000000" w:themeColor="text1"/>
        </w:rPr>
        <w:t xml:space="preserve">.- </w:t>
      </w:r>
      <w:r w:rsidR="00635B8D">
        <w:rPr>
          <w:rFonts w:ascii="Arial" w:eastAsia="Calibri" w:hAnsi="Arial" w:cs="Arial"/>
          <w:bCs/>
          <w:i/>
          <w:color w:val="000000" w:themeColor="text1"/>
        </w:rPr>
        <w:t>Con</w:t>
      </w:r>
      <w:r>
        <w:rPr>
          <w:rFonts w:ascii="Arial" w:eastAsia="Calibri" w:hAnsi="Arial" w:cs="Arial"/>
          <w:bCs/>
          <w:i/>
          <w:color w:val="000000" w:themeColor="text1"/>
        </w:rPr>
        <w:t xml:space="preserve">forme a lo dispuesto en </w:t>
      </w:r>
      <w:r w:rsidR="00E512AA">
        <w:rPr>
          <w:rFonts w:ascii="Arial" w:eastAsia="Calibri" w:hAnsi="Arial" w:cs="Arial"/>
          <w:bCs/>
          <w:i/>
          <w:color w:val="000000" w:themeColor="text1"/>
        </w:rPr>
        <w:t>los</w:t>
      </w:r>
      <w:r>
        <w:rPr>
          <w:rFonts w:ascii="Arial" w:eastAsia="Calibri" w:hAnsi="Arial" w:cs="Arial"/>
          <w:bCs/>
          <w:i/>
          <w:color w:val="000000" w:themeColor="text1"/>
        </w:rPr>
        <w:t xml:space="preserve"> artículo</w:t>
      </w:r>
      <w:r w:rsidR="00E512AA">
        <w:rPr>
          <w:rFonts w:ascii="Arial" w:eastAsia="Calibri" w:hAnsi="Arial" w:cs="Arial"/>
          <w:bCs/>
          <w:i/>
          <w:color w:val="000000" w:themeColor="text1"/>
        </w:rPr>
        <w:t>s</w:t>
      </w:r>
      <w:r w:rsidR="00635B8D">
        <w:rPr>
          <w:rFonts w:ascii="Arial" w:eastAsia="Calibri" w:hAnsi="Arial" w:cs="Arial"/>
          <w:bCs/>
          <w:i/>
          <w:color w:val="000000" w:themeColor="text1"/>
        </w:rPr>
        <w:t xml:space="preserve"> 1</w:t>
      </w:r>
      <w:r w:rsidR="00A34C28">
        <w:rPr>
          <w:rFonts w:ascii="Arial" w:eastAsia="Calibri" w:hAnsi="Arial" w:cs="Arial"/>
          <w:bCs/>
          <w:i/>
          <w:color w:val="000000" w:themeColor="text1"/>
        </w:rPr>
        <w:t>4</w:t>
      </w:r>
      <w:r w:rsidR="00635B8D">
        <w:rPr>
          <w:rFonts w:ascii="Arial" w:eastAsia="Calibri" w:hAnsi="Arial" w:cs="Arial"/>
          <w:bCs/>
          <w:i/>
          <w:color w:val="000000" w:themeColor="text1"/>
        </w:rPr>
        <w:t>2</w:t>
      </w:r>
      <w:r w:rsidR="00A34C28">
        <w:rPr>
          <w:rFonts w:ascii="Arial" w:eastAsia="Calibri" w:hAnsi="Arial" w:cs="Arial"/>
          <w:bCs/>
          <w:i/>
          <w:color w:val="000000" w:themeColor="text1"/>
        </w:rPr>
        <w:t xml:space="preserve">, fracción I y 143, fracciones I y II, de la </w:t>
      </w:r>
      <w:r w:rsidR="00635B8D">
        <w:rPr>
          <w:rFonts w:ascii="Arial" w:eastAsia="Calibri" w:hAnsi="Arial" w:cs="Arial"/>
          <w:bCs/>
          <w:i/>
          <w:color w:val="000000" w:themeColor="text1"/>
        </w:rPr>
        <w:t>Ley de Justicia Administrativa para el Estado de Oaxaca</w:t>
      </w:r>
      <w:r w:rsidR="00A34C28">
        <w:rPr>
          <w:rFonts w:ascii="Arial" w:eastAsia="Calibri" w:hAnsi="Arial" w:cs="Arial"/>
          <w:bCs/>
          <w:i/>
          <w:color w:val="000000" w:themeColor="text1"/>
        </w:rPr>
        <w:t xml:space="preserve"> (sic)</w:t>
      </w:r>
      <w:r w:rsidR="00635B8D">
        <w:rPr>
          <w:rFonts w:ascii="Arial" w:eastAsia="Calibri" w:hAnsi="Arial" w:cs="Arial"/>
          <w:bCs/>
          <w:i/>
          <w:color w:val="000000" w:themeColor="text1"/>
        </w:rPr>
        <w:t xml:space="preserve">, </w:t>
      </w:r>
      <w:r w:rsidRPr="004257EC">
        <w:rPr>
          <w:rFonts w:ascii="Arial" w:eastAsia="Calibri" w:hAnsi="Arial" w:cs="Arial"/>
          <w:b/>
          <w:bCs/>
          <w:i/>
          <w:color w:val="000000" w:themeColor="text1"/>
        </w:rPr>
        <w:t>NOTIFÍQUESE</w:t>
      </w:r>
      <w:r w:rsidR="00917C56">
        <w:rPr>
          <w:rFonts w:ascii="Arial" w:eastAsia="Calibri" w:hAnsi="Arial" w:cs="Arial"/>
          <w:b/>
          <w:bCs/>
          <w:i/>
          <w:color w:val="000000" w:themeColor="text1"/>
        </w:rPr>
        <w:t xml:space="preserve"> </w:t>
      </w:r>
      <w:r w:rsidRPr="004257EC">
        <w:rPr>
          <w:rFonts w:ascii="Arial" w:eastAsia="Calibri" w:hAnsi="Arial" w:cs="Arial"/>
          <w:b/>
          <w:bCs/>
          <w:i/>
          <w:color w:val="000000" w:themeColor="text1"/>
        </w:rPr>
        <w:t xml:space="preserve"> PERSONALMENTE</w:t>
      </w:r>
      <w:r w:rsidR="00917C56">
        <w:rPr>
          <w:rFonts w:ascii="Arial" w:eastAsia="Calibri" w:hAnsi="Arial" w:cs="Arial"/>
          <w:b/>
          <w:bCs/>
          <w:i/>
          <w:color w:val="000000" w:themeColor="text1"/>
        </w:rPr>
        <w:t xml:space="preserve"> </w:t>
      </w:r>
      <w:r w:rsidRPr="004257EC">
        <w:rPr>
          <w:rFonts w:ascii="Arial" w:eastAsia="Calibri" w:hAnsi="Arial" w:cs="Arial"/>
          <w:b/>
          <w:bCs/>
          <w:i/>
          <w:color w:val="000000" w:themeColor="text1"/>
        </w:rPr>
        <w:t xml:space="preserve"> A</w:t>
      </w:r>
      <w:r w:rsidR="00917C56">
        <w:rPr>
          <w:rFonts w:ascii="Arial" w:eastAsia="Calibri" w:hAnsi="Arial" w:cs="Arial"/>
          <w:b/>
          <w:bCs/>
          <w:i/>
          <w:color w:val="000000" w:themeColor="text1"/>
        </w:rPr>
        <w:t xml:space="preserve"> </w:t>
      </w:r>
      <w:r w:rsidRPr="004257EC">
        <w:rPr>
          <w:rFonts w:ascii="Arial" w:eastAsia="Calibri" w:hAnsi="Arial" w:cs="Arial"/>
          <w:b/>
          <w:bCs/>
          <w:i/>
          <w:color w:val="000000" w:themeColor="text1"/>
        </w:rPr>
        <w:t xml:space="preserve"> LA PARTE ACTORA Y   POR OFICIO A LA AUTORIDAD</w:t>
      </w:r>
      <w:r w:rsidR="00A34C28">
        <w:rPr>
          <w:rFonts w:ascii="Arial" w:eastAsia="Calibri" w:hAnsi="Arial" w:cs="Arial"/>
          <w:b/>
          <w:bCs/>
          <w:i/>
          <w:color w:val="000000" w:themeColor="text1"/>
        </w:rPr>
        <w:t xml:space="preserve"> DEMANDADA</w:t>
      </w:r>
      <w:r w:rsidR="00635B8D" w:rsidRPr="004257EC">
        <w:rPr>
          <w:rFonts w:ascii="Arial" w:eastAsia="Calibri" w:hAnsi="Arial" w:cs="Arial"/>
          <w:b/>
          <w:bCs/>
          <w:i/>
          <w:color w:val="000000" w:themeColor="text1"/>
        </w:rPr>
        <w:t>. CÚMPLASE.”.- -</w:t>
      </w:r>
      <w:r w:rsidR="00635B8D">
        <w:rPr>
          <w:rFonts w:ascii="Arial" w:eastAsia="Calibri" w:hAnsi="Arial" w:cs="Arial"/>
          <w:bCs/>
          <w:i/>
          <w:color w:val="000000" w:themeColor="text1"/>
        </w:rPr>
        <w:t xml:space="preserve"> - - - - - - - - </w:t>
      </w:r>
    </w:p>
    <w:p w14:paraId="0022F72E" w14:textId="77777777" w:rsidR="00BB3936" w:rsidRDefault="00BB3936" w:rsidP="00635B8D">
      <w:pPr>
        <w:spacing w:after="120" w:line="360" w:lineRule="auto"/>
        <w:ind w:left="1134" w:right="902" w:firstLine="284"/>
        <w:jc w:val="both"/>
        <w:rPr>
          <w:rFonts w:ascii="Arial" w:eastAsia="Calibri" w:hAnsi="Arial" w:cs="Arial"/>
          <w:bCs/>
          <w:i/>
          <w:color w:val="000000" w:themeColor="text1"/>
        </w:rPr>
      </w:pPr>
    </w:p>
    <w:p w14:paraId="510C90B5" w14:textId="67512546" w:rsidR="00635B8D" w:rsidRPr="00183EE9" w:rsidRDefault="00635B8D" w:rsidP="00BB3936">
      <w:pPr>
        <w:spacing w:after="0" w:line="360" w:lineRule="auto"/>
        <w:jc w:val="center"/>
        <w:rPr>
          <w:rFonts w:ascii="Arial" w:eastAsia="Times New Roman" w:hAnsi="Arial" w:cs="Arial"/>
          <w:b/>
          <w:bCs/>
          <w:sz w:val="26"/>
          <w:szCs w:val="26"/>
          <w:lang w:val="es-ES" w:eastAsia="es-ES"/>
        </w:rPr>
      </w:pPr>
      <w:r w:rsidRPr="00183EE9">
        <w:rPr>
          <w:rFonts w:ascii="Arial" w:eastAsia="Times New Roman" w:hAnsi="Arial" w:cs="Arial"/>
          <w:b/>
          <w:bCs/>
          <w:sz w:val="26"/>
          <w:szCs w:val="26"/>
          <w:lang w:val="es-ES" w:eastAsia="es-ES"/>
        </w:rPr>
        <w:t>C O N S I D E R A N D O</w:t>
      </w:r>
    </w:p>
    <w:p w14:paraId="6A185FB2" w14:textId="208498F5" w:rsidR="00635B8D" w:rsidRDefault="00635B8D" w:rsidP="00635B8D">
      <w:pPr>
        <w:spacing w:after="120" w:line="360" w:lineRule="auto"/>
        <w:ind w:firstLine="708"/>
        <w:jc w:val="both"/>
        <w:rPr>
          <w:rFonts w:ascii="Arial" w:hAnsi="Arial" w:cs="Arial"/>
          <w:bCs/>
          <w:iCs/>
          <w:sz w:val="26"/>
          <w:szCs w:val="26"/>
          <w:lang w:eastAsia="es-ES"/>
        </w:rPr>
      </w:pPr>
      <w:r>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 xml:space="preserve">de conformidad con lo dispuesto por los artículos 114 QUÁTER, Párrafo Tercero de la Constitución Política del Estado Libre y Soberano de Oaxaca; </w:t>
      </w:r>
      <w:r>
        <w:rPr>
          <w:rFonts w:ascii="Arial" w:hAnsi="Arial" w:cs="Arial"/>
          <w:bCs/>
          <w:iCs/>
          <w:sz w:val="26"/>
          <w:szCs w:val="26"/>
        </w:rPr>
        <w:t xml:space="preserve">1 párrafo segundo, 2 párrafos primero y cuarto, 4 fracción VIII, 23, 24 fracción I, 25 fracción I y 27 de la Ley Orgánica del Tribunal de Justicia Administrativa del Estado de Oaxaca, publicada en </w:t>
      </w:r>
      <w:r w:rsidR="0076494B">
        <w:rPr>
          <w:rFonts w:ascii="Arial" w:hAnsi="Arial" w:cs="Arial"/>
          <w:bCs/>
          <w:iCs/>
          <w:sz w:val="26"/>
          <w:szCs w:val="26"/>
        </w:rPr>
        <w:t>el Periódico Oficial Extra del Estado de Oaxaca, de fecha siete de noviembre de dos mil diecinueve</w:t>
      </w:r>
      <w:r>
        <w:rPr>
          <w:rFonts w:ascii="Arial" w:hAnsi="Arial" w:cs="Arial"/>
          <w:bCs/>
          <w:iCs/>
          <w:sz w:val="26"/>
          <w:szCs w:val="26"/>
        </w:rPr>
        <w:t>; así como los numerales</w:t>
      </w:r>
      <w:r>
        <w:rPr>
          <w:rFonts w:ascii="Arial" w:hAnsi="Arial" w:cs="Arial"/>
          <w:bCs/>
          <w:iCs/>
          <w:sz w:val="26"/>
          <w:szCs w:val="26"/>
          <w:lang w:eastAsia="es-ES"/>
        </w:rPr>
        <w:t xml:space="preserve"> 1, 118, 119, 120, 123 segundo párrafo, 125, 130 fracción I, 131, 231, 236 fracción VII y 238 de la Ley de Procedimiento y Justicia Administrativa para el Estado de Oaxaca, dado que se trata de un Recurso de Revisión interpuesto en contra de la sentencia de </w:t>
      </w:r>
      <w:r>
        <w:rPr>
          <w:rFonts w:ascii="Arial" w:eastAsia="Calibri" w:hAnsi="Arial" w:cs="Arial"/>
          <w:sz w:val="26"/>
          <w:szCs w:val="26"/>
        </w:rPr>
        <w:t xml:space="preserve">fecha </w:t>
      </w:r>
      <w:r w:rsidR="00BB230C">
        <w:rPr>
          <w:rFonts w:ascii="Arial" w:eastAsia="Calibri" w:hAnsi="Arial" w:cs="Arial"/>
          <w:sz w:val="26"/>
          <w:szCs w:val="26"/>
        </w:rPr>
        <w:t xml:space="preserve">once </w:t>
      </w:r>
      <w:r>
        <w:rPr>
          <w:rFonts w:ascii="Arial" w:eastAsia="Calibri" w:hAnsi="Arial" w:cs="Arial"/>
          <w:sz w:val="26"/>
          <w:szCs w:val="26"/>
        </w:rPr>
        <w:t xml:space="preserve">de marzo de dos mil veinte, dictada por </w:t>
      </w:r>
      <w:r w:rsidR="00900E97">
        <w:rPr>
          <w:rFonts w:ascii="Arial" w:eastAsia="Calibri" w:hAnsi="Arial" w:cs="Arial"/>
          <w:sz w:val="26"/>
          <w:szCs w:val="26"/>
        </w:rPr>
        <w:t>la</w:t>
      </w:r>
      <w:r>
        <w:rPr>
          <w:rFonts w:ascii="Arial" w:eastAsia="Calibri" w:hAnsi="Arial" w:cs="Arial"/>
          <w:sz w:val="26"/>
          <w:szCs w:val="26"/>
        </w:rPr>
        <w:t xml:space="preserve"> Magistrad</w:t>
      </w:r>
      <w:r w:rsidR="00900E97">
        <w:rPr>
          <w:rFonts w:ascii="Arial" w:eastAsia="Calibri" w:hAnsi="Arial" w:cs="Arial"/>
          <w:sz w:val="26"/>
          <w:szCs w:val="26"/>
        </w:rPr>
        <w:t>a</w:t>
      </w:r>
      <w:r>
        <w:rPr>
          <w:rFonts w:ascii="Arial" w:eastAsia="Calibri" w:hAnsi="Arial" w:cs="Arial"/>
          <w:sz w:val="26"/>
          <w:szCs w:val="26"/>
        </w:rPr>
        <w:t xml:space="preserve"> de la </w:t>
      </w:r>
      <w:r w:rsidR="00BB230C">
        <w:rPr>
          <w:rFonts w:ascii="Arial" w:eastAsia="Calibri" w:hAnsi="Arial" w:cs="Arial"/>
          <w:sz w:val="26"/>
          <w:szCs w:val="26"/>
        </w:rPr>
        <w:t>Tercera</w:t>
      </w:r>
      <w:r>
        <w:rPr>
          <w:rFonts w:ascii="Arial" w:eastAsia="Calibri" w:hAnsi="Arial" w:cs="Arial"/>
          <w:sz w:val="26"/>
          <w:szCs w:val="26"/>
        </w:rPr>
        <w:t xml:space="preserve"> Sala Unitaria de Primera Instancia de este Tribunal,</w:t>
      </w:r>
      <w:r>
        <w:rPr>
          <w:rFonts w:ascii="Arial" w:hAnsi="Arial" w:cs="Arial"/>
          <w:bCs/>
          <w:iCs/>
          <w:sz w:val="26"/>
          <w:szCs w:val="26"/>
          <w:lang w:eastAsia="es-ES"/>
        </w:rPr>
        <w:t xml:space="preserve"> en el juicio de nulidad </w:t>
      </w:r>
      <w:r w:rsidR="00BB230C">
        <w:rPr>
          <w:rFonts w:ascii="Arial" w:hAnsi="Arial" w:cs="Arial"/>
          <w:b/>
          <w:bCs/>
          <w:iCs/>
          <w:sz w:val="26"/>
          <w:szCs w:val="26"/>
          <w:lang w:eastAsia="es-ES"/>
        </w:rPr>
        <w:t>0014</w:t>
      </w:r>
      <w:r w:rsidR="00900E97">
        <w:rPr>
          <w:rFonts w:ascii="Arial" w:hAnsi="Arial" w:cs="Arial"/>
          <w:b/>
          <w:bCs/>
          <w:iCs/>
          <w:sz w:val="26"/>
          <w:szCs w:val="26"/>
          <w:lang w:eastAsia="es-ES"/>
        </w:rPr>
        <w:t>/2019</w:t>
      </w:r>
      <w:r>
        <w:rPr>
          <w:rFonts w:ascii="Arial" w:hAnsi="Arial" w:cs="Arial"/>
          <w:bCs/>
          <w:iCs/>
          <w:sz w:val="26"/>
          <w:szCs w:val="26"/>
          <w:lang w:eastAsia="es-ES"/>
        </w:rPr>
        <w:t>.- -</w:t>
      </w:r>
      <w:r w:rsidR="00420A2F">
        <w:rPr>
          <w:rFonts w:ascii="Arial" w:hAnsi="Arial" w:cs="Arial"/>
          <w:bCs/>
          <w:iCs/>
          <w:sz w:val="26"/>
          <w:szCs w:val="26"/>
          <w:lang w:eastAsia="es-ES"/>
        </w:rPr>
        <w:t xml:space="preserve"> -</w:t>
      </w:r>
      <w:r>
        <w:rPr>
          <w:rFonts w:ascii="Arial" w:hAnsi="Arial" w:cs="Arial"/>
          <w:bCs/>
          <w:iCs/>
          <w:sz w:val="26"/>
          <w:szCs w:val="26"/>
          <w:lang w:eastAsia="es-ES"/>
        </w:rPr>
        <w:t xml:space="preserve"> </w:t>
      </w:r>
      <w:r w:rsidR="00900E97">
        <w:rPr>
          <w:rFonts w:ascii="Arial" w:hAnsi="Arial" w:cs="Arial"/>
          <w:bCs/>
          <w:iCs/>
          <w:sz w:val="26"/>
          <w:szCs w:val="26"/>
          <w:lang w:eastAsia="es-ES"/>
        </w:rPr>
        <w:t xml:space="preserve">- - - - - </w:t>
      </w:r>
      <w:r w:rsidR="00A11D0D">
        <w:rPr>
          <w:rFonts w:ascii="Arial" w:hAnsi="Arial" w:cs="Arial"/>
          <w:bCs/>
          <w:iCs/>
          <w:sz w:val="26"/>
          <w:szCs w:val="26"/>
          <w:lang w:eastAsia="es-ES"/>
        </w:rPr>
        <w:t>- - - - - - - - - -</w:t>
      </w:r>
    </w:p>
    <w:p w14:paraId="441C17BD" w14:textId="683AC728" w:rsidR="00635B8D" w:rsidRDefault="00635B8D" w:rsidP="00635B8D">
      <w:pPr>
        <w:spacing w:line="360" w:lineRule="auto"/>
        <w:ind w:firstLine="708"/>
        <w:jc w:val="both"/>
        <w:rPr>
          <w:rFonts w:ascii="Arial" w:hAnsi="Arial" w:cs="Arial"/>
          <w:sz w:val="26"/>
          <w:szCs w:val="26"/>
        </w:rPr>
      </w:pPr>
      <w:r>
        <w:rPr>
          <w:rFonts w:ascii="Arial" w:hAnsi="Arial" w:cs="Arial"/>
          <w:b/>
          <w:bCs/>
          <w:sz w:val="26"/>
          <w:szCs w:val="26"/>
        </w:rPr>
        <w:t>SEGUNDO.</w:t>
      </w:r>
      <w:r>
        <w:rPr>
          <w:rFonts w:ascii="Arial" w:eastAsia="Calibri" w:hAnsi="Arial" w:cs="Arial"/>
          <w:bCs/>
          <w:sz w:val="26"/>
          <w:szCs w:val="26"/>
        </w:rPr>
        <w:t xml:space="preserve"> </w:t>
      </w:r>
      <w:r w:rsidR="00DE56FA">
        <w:rPr>
          <w:rFonts w:ascii="Arial" w:hAnsi="Arial" w:cs="Arial"/>
          <w:bCs/>
          <w:sz w:val="26"/>
          <w:szCs w:val="26"/>
        </w:rPr>
        <w:t>Los</w:t>
      </w:r>
      <w:r>
        <w:rPr>
          <w:rFonts w:ascii="Arial" w:hAnsi="Arial" w:cs="Arial"/>
          <w:bCs/>
          <w:sz w:val="26"/>
          <w:szCs w:val="26"/>
        </w:rPr>
        <w:t xml:space="preserve"> agravio</w:t>
      </w:r>
      <w:r w:rsidR="00DE56FA">
        <w:rPr>
          <w:rFonts w:ascii="Arial" w:hAnsi="Arial" w:cs="Arial"/>
          <w:bCs/>
          <w:sz w:val="26"/>
          <w:szCs w:val="26"/>
        </w:rPr>
        <w:t>s</w:t>
      </w:r>
      <w:r>
        <w:rPr>
          <w:rFonts w:ascii="Arial" w:hAnsi="Arial" w:cs="Arial"/>
          <w:bCs/>
          <w:sz w:val="26"/>
          <w:szCs w:val="26"/>
        </w:rPr>
        <w:t xml:space="preserve"> hecho</w:t>
      </w:r>
      <w:r w:rsidR="00DE56FA">
        <w:rPr>
          <w:rFonts w:ascii="Arial" w:hAnsi="Arial" w:cs="Arial"/>
          <w:bCs/>
          <w:sz w:val="26"/>
          <w:szCs w:val="26"/>
        </w:rPr>
        <w:t>s</w:t>
      </w:r>
      <w:r>
        <w:rPr>
          <w:rFonts w:ascii="Arial" w:hAnsi="Arial" w:cs="Arial"/>
          <w:bCs/>
          <w:sz w:val="26"/>
          <w:szCs w:val="26"/>
        </w:rPr>
        <w:t xml:space="preserve"> valer se encuentra expuesto</w:t>
      </w:r>
      <w:r w:rsidR="00DE56FA">
        <w:rPr>
          <w:rFonts w:ascii="Arial" w:hAnsi="Arial" w:cs="Arial"/>
          <w:bCs/>
          <w:sz w:val="26"/>
          <w:szCs w:val="26"/>
        </w:rPr>
        <w:t>s</w:t>
      </w:r>
      <w:r>
        <w:rPr>
          <w:rFonts w:ascii="Arial" w:hAnsi="Arial" w:cs="Arial"/>
          <w:bCs/>
          <w:sz w:val="26"/>
          <w:szCs w:val="26"/>
        </w:rPr>
        <w:t xml:space="preserve"> en el escrito </w:t>
      </w:r>
      <w:r w:rsidR="00917C56">
        <w:rPr>
          <w:rFonts w:ascii="Arial" w:hAnsi="Arial" w:cs="Arial"/>
          <w:bCs/>
          <w:sz w:val="26"/>
          <w:szCs w:val="26"/>
        </w:rPr>
        <w:t>de recurso de revisión</w:t>
      </w:r>
      <w:r>
        <w:rPr>
          <w:rFonts w:ascii="Arial" w:hAnsi="Arial" w:cs="Arial"/>
          <w:bCs/>
          <w:sz w:val="26"/>
          <w:szCs w:val="26"/>
        </w:rPr>
        <w:t>, por lo que no existe necesidad de transcribirlo</w:t>
      </w:r>
      <w:r w:rsidR="00DE56FA">
        <w:rPr>
          <w:rFonts w:ascii="Arial" w:hAnsi="Arial" w:cs="Arial"/>
          <w:bCs/>
          <w:sz w:val="26"/>
          <w:szCs w:val="26"/>
        </w:rPr>
        <w:t>s</w:t>
      </w:r>
      <w:r>
        <w:rPr>
          <w:rFonts w:ascii="Arial" w:hAnsi="Arial" w:cs="Arial"/>
          <w:bCs/>
          <w:sz w:val="26"/>
          <w:szCs w:val="26"/>
        </w:rPr>
        <w:t>, virtud a que ello no implica transgresión a derecho alguno del</w:t>
      </w:r>
      <w:r w:rsidR="00DE56FA">
        <w:rPr>
          <w:rFonts w:ascii="Arial" w:hAnsi="Arial" w:cs="Arial"/>
          <w:bCs/>
          <w:sz w:val="26"/>
          <w:szCs w:val="26"/>
        </w:rPr>
        <w:t xml:space="preserve"> </w:t>
      </w:r>
      <w:r>
        <w:rPr>
          <w:rFonts w:ascii="Arial" w:hAnsi="Arial" w:cs="Arial"/>
          <w:bCs/>
          <w:sz w:val="26"/>
          <w:szCs w:val="26"/>
        </w:rPr>
        <w:t>recurrente, como tampoco se vulnera disposición expresa que imponga tal obligación</w:t>
      </w:r>
      <w:r>
        <w:rPr>
          <w:rFonts w:ascii="Arial" w:hAnsi="Arial" w:cs="Arial"/>
          <w:sz w:val="26"/>
          <w:szCs w:val="26"/>
        </w:rPr>
        <w:t>. En apoyo a lo anterior, se invoca el criterio Jurisprudencial</w:t>
      </w:r>
      <w:r>
        <w:rPr>
          <w:rFonts w:ascii="Arial" w:hAnsi="Arial" w:cs="Arial"/>
          <w:bCs/>
          <w:color w:val="000000"/>
          <w:sz w:val="26"/>
          <w:szCs w:val="26"/>
        </w:rPr>
        <w:t xml:space="preserve"> 2a./J. 58/2010 emitida por la Segunda Sala de la Suprema Corte de Justicia de la Nación, con número de registro 164618, </w:t>
      </w:r>
      <w:r>
        <w:rPr>
          <w:rFonts w:ascii="Arial" w:hAnsi="Arial" w:cs="Arial"/>
          <w:bCs/>
          <w:color w:val="000000"/>
          <w:sz w:val="26"/>
          <w:szCs w:val="26"/>
        </w:rPr>
        <w:lastRenderedPageBreak/>
        <w:t>publicada en la Gaceta del Semanario Judicial de la Federación, Tomo XXXI, Mayo de 2010, visible a página 830, Novena Época, bajo el rubro y texto siguiente:- - -  - - - - - - - - - - - - - - - - - - - - - - - - - - - - - - - - - - - - -</w:t>
      </w:r>
    </w:p>
    <w:p w14:paraId="04C792F8" w14:textId="325FD43A" w:rsidR="00635B8D" w:rsidRDefault="00635B8D" w:rsidP="00635B8D">
      <w:pPr>
        <w:spacing w:after="120" w:line="360" w:lineRule="auto"/>
        <w:ind w:left="567" w:right="902"/>
        <w:jc w:val="both"/>
        <w:rPr>
          <w:rFonts w:ascii="Arial" w:eastAsia="Calibri" w:hAnsi="Arial" w:cs="Arial"/>
          <w:bCs/>
          <w:i/>
        </w:rPr>
      </w:pPr>
      <w:r w:rsidRPr="00886DB1">
        <w:rPr>
          <w:rFonts w:ascii="Arial" w:eastAsia="Calibri" w:hAnsi="Arial" w:cs="Arial"/>
          <w:b/>
          <w:bCs/>
          <w:i/>
        </w:rPr>
        <w:t xml:space="preserve">“CONCEPTOS DE VIOLACIÓN O AGRAVIOS. PARA CUMPLIR CON LOS PRINCIPIOS DE CONGRUENCIA Y EXHAUSTIVIDAD EN LAS SENTENCIAS DE AMPARO ES INNECESARIA SU TRANSCRIPCIÓN. </w:t>
      </w:r>
      <w:r w:rsidRPr="00886DB1">
        <w:rPr>
          <w:rFonts w:ascii="Arial" w:eastAsia="Calibri" w:hAnsi="Arial" w:cs="Arial"/>
          <w:bCs/>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eastAsia="Calibri" w:hAnsi="Arial" w:cs="Arial"/>
          <w:bCs/>
          <w:i/>
        </w:rPr>
        <w:t>- - - - - - - - - - - - - - - - - - - - - - - - - - - - - - - - - - - - - - - - - - - - - -</w:t>
      </w:r>
    </w:p>
    <w:p w14:paraId="215D88C4" w14:textId="77777777" w:rsidR="002253FF" w:rsidRDefault="002253FF" w:rsidP="002253FF">
      <w:pPr>
        <w:pStyle w:val="Sinespaciado"/>
        <w:rPr>
          <w:rFonts w:eastAsia="Calibri"/>
        </w:rPr>
      </w:pPr>
    </w:p>
    <w:p w14:paraId="1C24A2CB" w14:textId="351A3536" w:rsidR="005F6151" w:rsidRDefault="00571114" w:rsidP="00635B8D">
      <w:pPr>
        <w:spacing w:after="120" w:line="360" w:lineRule="auto"/>
        <w:ind w:firstLine="709"/>
        <w:jc w:val="both"/>
        <w:rPr>
          <w:rFonts w:ascii="Arial" w:eastAsia="Calibri" w:hAnsi="Arial" w:cs="Arial"/>
          <w:bCs/>
          <w:sz w:val="26"/>
          <w:szCs w:val="26"/>
        </w:rPr>
      </w:pPr>
      <w:r>
        <w:rPr>
          <w:rFonts w:ascii="Arial" w:eastAsia="Calibri" w:hAnsi="Arial" w:cs="Arial"/>
          <w:b/>
          <w:bCs/>
          <w:sz w:val="26"/>
          <w:szCs w:val="26"/>
        </w:rPr>
        <w:t xml:space="preserve">TERCERO. </w:t>
      </w:r>
      <w:r w:rsidR="0066763F">
        <w:rPr>
          <w:rFonts w:ascii="Arial" w:eastAsia="Calibri" w:hAnsi="Arial" w:cs="Arial"/>
          <w:bCs/>
          <w:sz w:val="26"/>
          <w:szCs w:val="26"/>
        </w:rPr>
        <w:t xml:space="preserve">Manifiesta el recurrente en su </w:t>
      </w:r>
      <w:r w:rsidR="0066763F" w:rsidRPr="0066763F">
        <w:rPr>
          <w:rFonts w:ascii="Arial" w:eastAsia="Calibri" w:hAnsi="Arial" w:cs="Arial"/>
          <w:b/>
          <w:bCs/>
          <w:sz w:val="26"/>
          <w:szCs w:val="26"/>
        </w:rPr>
        <w:t>agravio primero</w:t>
      </w:r>
      <w:r w:rsidR="0066763F">
        <w:rPr>
          <w:rFonts w:ascii="Arial" w:eastAsia="Calibri" w:hAnsi="Arial" w:cs="Arial"/>
          <w:bCs/>
          <w:sz w:val="26"/>
          <w:szCs w:val="26"/>
        </w:rPr>
        <w:t xml:space="preserve">, que contrario a lo resuelto por la titular de la Tercera Sala Unitaria de Primera Instancia, </w:t>
      </w:r>
      <w:r w:rsidR="001966BB">
        <w:rPr>
          <w:rFonts w:ascii="Arial" w:eastAsia="Calibri" w:hAnsi="Arial" w:cs="Arial"/>
          <w:bCs/>
          <w:sz w:val="26"/>
          <w:szCs w:val="26"/>
        </w:rPr>
        <w:t xml:space="preserve">resulta ilegal declarar la validez de la resolución impugnada, así como de la notificación de nueve de febrero de dos mil dieciocho y del citatorio contenido en el oficio </w:t>
      </w:r>
      <w:r w:rsidR="00A05B40">
        <w:rPr>
          <w:rFonts w:ascii="Arial" w:hAnsi="Arial" w:cs="Arial"/>
          <w:b/>
          <w:sz w:val="26"/>
          <w:szCs w:val="26"/>
        </w:rPr>
        <w:t>***********</w:t>
      </w:r>
      <w:r w:rsidR="001966BB">
        <w:rPr>
          <w:rFonts w:ascii="Arial" w:eastAsia="Calibri" w:hAnsi="Arial" w:cs="Arial"/>
          <w:bCs/>
          <w:sz w:val="26"/>
          <w:szCs w:val="26"/>
        </w:rPr>
        <w:t xml:space="preserve">, de siete de febrero de dos mil dieciocho, mediante el cual se dio inicio al procedimiento de responsabilidad administrativa.- - - - - - </w:t>
      </w:r>
      <w:r w:rsidR="00A05B40">
        <w:rPr>
          <w:rFonts w:ascii="Arial" w:eastAsia="Calibri" w:hAnsi="Arial" w:cs="Arial"/>
          <w:bCs/>
          <w:sz w:val="26"/>
          <w:szCs w:val="26"/>
        </w:rPr>
        <w:t xml:space="preserve">- - - - - - - - - - - - - - - - - - - - - - - - </w:t>
      </w:r>
    </w:p>
    <w:p w14:paraId="1D6CC779" w14:textId="2F5CEF4C" w:rsidR="0066763F" w:rsidRDefault="001D498D" w:rsidP="00635B8D">
      <w:pPr>
        <w:spacing w:after="120" w:line="360" w:lineRule="auto"/>
        <w:ind w:firstLine="709"/>
        <w:jc w:val="both"/>
        <w:rPr>
          <w:rFonts w:ascii="Arial" w:eastAsia="Calibri" w:hAnsi="Arial" w:cs="Arial"/>
          <w:bCs/>
          <w:sz w:val="26"/>
          <w:szCs w:val="26"/>
        </w:rPr>
      </w:pPr>
      <w:r w:rsidRPr="001A1EB3">
        <w:rPr>
          <w:rFonts w:ascii="Arial" w:eastAsia="Calibri" w:hAnsi="Arial" w:cs="Arial"/>
          <w:bCs/>
          <w:sz w:val="26"/>
          <w:szCs w:val="26"/>
        </w:rPr>
        <w:t>Señala que</w:t>
      </w:r>
      <w:r w:rsidR="005F6151" w:rsidRPr="001A1EB3">
        <w:rPr>
          <w:rFonts w:ascii="Arial" w:eastAsia="Calibri" w:hAnsi="Arial" w:cs="Arial"/>
          <w:bCs/>
          <w:sz w:val="26"/>
          <w:szCs w:val="26"/>
        </w:rPr>
        <w:t xml:space="preserve"> es así</w:t>
      </w:r>
      <w:r w:rsidR="005F6151">
        <w:rPr>
          <w:rFonts w:ascii="Arial" w:eastAsia="Calibri" w:hAnsi="Arial" w:cs="Arial"/>
          <w:bCs/>
          <w:sz w:val="26"/>
          <w:szCs w:val="26"/>
        </w:rPr>
        <w:t xml:space="preserve">, pues refiere que las consideraciones sustentadas en la sentencia recurrida, son contrarias a la Constitución </w:t>
      </w:r>
      <w:r w:rsidR="001966BB">
        <w:rPr>
          <w:rFonts w:ascii="Arial" w:eastAsia="Calibri" w:hAnsi="Arial" w:cs="Arial"/>
          <w:bCs/>
          <w:sz w:val="26"/>
          <w:szCs w:val="26"/>
        </w:rPr>
        <w:t xml:space="preserve"> </w:t>
      </w:r>
      <w:r w:rsidR="005F6151">
        <w:rPr>
          <w:rFonts w:ascii="Arial" w:eastAsia="Calibri" w:hAnsi="Arial" w:cs="Arial"/>
          <w:bCs/>
          <w:sz w:val="26"/>
          <w:szCs w:val="26"/>
        </w:rPr>
        <w:t>Federal por carecer de fundamentación y motivación, ya que vulneran en su perjuicio los artículos 17, fracciones V y X, y 50 de la Ley de Procedimiento y Justicia Administrativa para el Estado de Oaxaca, así como el precepto 66, fracción XXII del Reglamento Interno de la Secretaría de Contraloría y Transparencia Gubernamental del Estado de Oaxaca, debido a que es equivocada la determinación de la A quo, al considerar que existe un simple “</w:t>
      </w:r>
      <w:r w:rsidR="005F6151">
        <w:rPr>
          <w:rFonts w:ascii="Arial" w:eastAsia="Calibri" w:hAnsi="Arial" w:cs="Arial"/>
          <w:bCs/>
          <w:i/>
          <w:sz w:val="26"/>
          <w:szCs w:val="26"/>
        </w:rPr>
        <w:t xml:space="preserve">error mecanográfico” </w:t>
      </w:r>
      <w:r w:rsidR="005F6151">
        <w:rPr>
          <w:rFonts w:ascii="Arial" w:eastAsia="Calibri" w:hAnsi="Arial" w:cs="Arial"/>
          <w:bCs/>
          <w:sz w:val="26"/>
          <w:szCs w:val="26"/>
        </w:rPr>
        <w:t xml:space="preserve">que modificó el </w:t>
      </w:r>
      <w:r w:rsidR="005F6151">
        <w:rPr>
          <w:rFonts w:ascii="Arial" w:eastAsia="Calibri" w:hAnsi="Arial" w:cs="Arial"/>
          <w:bCs/>
          <w:sz w:val="26"/>
          <w:szCs w:val="26"/>
        </w:rPr>
        <w:lastRenderedPageBreak/>
        <w:t>nombre de la persona</w:t>
      </w:r>
      <w:r w:rsidR="006A5642">
        <w:rPr>
          <w:rFonts w:ascii="Arial" w:eastAsia="Calibri" w:hAnsi="Arial" w:cs="Arial"/>
          <w:bCs/>
          <w:sz w:val="26"/>
          <w:szCs w:val="26"/>
        </w:rPr>
        <w:t>:</w:t>
      </w:r>
      <w:r w:rsidR="005F6151">
        <w:rPr>
          <w:rFonts w:ascii="Arial" w:eastAsia="Calibri" w:hAnsi="Arial" w:cs="Arial"/>
          <w:bCs/>
          <w:sz w:val="26"/>
          <w:szCs w:val="26"/>
        </w:rPr>
        <w:t xml:space="preserve"> </w:t>
      </w:r>
      <w:r w:rsidR="005F6151" w:rsidRPr="005F6151">
        <w:rPr>
          <w:rFonts w:ascii="Arial" w:eastAsia="Calibri" w:hAnsi="Arial" w:cs="Arial"/>
          <w:bCs/>
          <w:i/>
          <w:sz w:val="26"/>
          <w:szCs w:val="26"/>
        </w:rPr>
        <w:t>“</w:t>
      </w:r>
      <w:r w:rsidR="00A05B40">
        <w:rPr>
          <w:rFonts w:ascii="Arial" w:hAnsi="Arial" w:cs="Arial"/>
          <w:b/>
          <w:sz w:val="26"/>
          <w:szCs w:val="26"/>
        </w:rPr>
        <w:t>***********</w:t>
      </w:r>
      <w:r w:rsidR="005F6151" w:rsidRPr="005F6151">
        <w:rPr>
          <w:rFonts w:ascii="Arial" w:eastAsia="Calibri" w:hAnsi="Arial" w:cs="Arial"/>
          <w:bCs/>
          <w:i/>
          <w:sz w:val="26"/>
          <w:szCs w:val="26"/>
        </w:rPr>
        <w:t>”</w:t>
      </w:r>
      <w:r w:rsidR="005F6151">
        <w:rPr>
          <w:rFonts w:ascii="Arial" w:eastAsia="Calibri" w:hAnsi="Arial" w:cs="Arial"/>
          <w:bCs/>
          <w:i/>
          <w:sz w:val="26"/>
          <w:szCs w:val="26"/>
        </w:rPr>
        <w:t xml:space="preserve">, </w:t>
      </w:r>
      <w:r w:rsidR="005F6151">
        <w:rPr>
          <w:rFonts w:ascii="Arial" w:eastAsia="Calibri" w:hAnsi="Arial" w:cs="Arial"/>
          <w:bCs/>
          <w:sz w:val="26"/>
          <w:szCs w:val="26"/>
        </w:rPr>
        <w:t>quien se ostentó como notificador sin haber sido previamente habilitado para ello.</w:t>
      </w:r>
    </w:p>
    <w:p w14:paraId="6F398328" w14:textId="74E7BCFC" w:rsidR="005F6151" w:rsidRDefault="00113038" w:rsidP="00635B8D">
      <w:pPr>
        <w:spacing w:after="120" w:line="360" w:lineRule="auto"/>
        <w:ind w:firstLine="709"/>
        <w:jc w:val="both"/>
        <w:rPr>
          <w:rFonts w:ascii="Arial" w:eastAsia="Calibri" w:hAnsi="Arial" w:cs="Arial"/>
          <w:bCs/>
          <w:sz w:val="24"/>
          <w:szCs w:val="24"/>
        </w:rPr>
      </w:pPr>
      <w:r>
        <w:rPr>
          <w:rFonts w:ascii="Arial" w:eastAsia="Calibri" w:hAnsi="Arial" w:cs="Arial"/>
          <w:bCs/>
          <w:sz w:val="26"/>
          <w:szCs w:val="26"/>
        </w:rPr>
        <w:t xml:space="preserve">Expone que la Magistrada de Primera Instancia, se equivoca al analizar el carácter jurídico del notificador </w:t>
      </w:r>
      <w:r w:rsidR="00A05B40">
        <w:rPr>
          <w:rFonts w:ascii="Arial" w:hAnsi="Arial" w:cs="Arial"/>
          <w:b/>
          <w:sz w:val="26"/>
          <w:szCs w:val="26"/>
        </w:rPr>
        <w:t>***********</w:t>
      </w:r>
      <w:r>
        <w:rPr>
          <w:rFonts w:ascii="Arial" w:eastAsia="Calibri" w:hAnsi="Arial" w:cs="Arial"/>
          <w:bCs/>
          <w:sz w:val="26"/>
          <w:szCs w:val="26"/>
        </w:rPr>
        <w:t xml:space="preserve">, pues considera erróneamente que no se trata de un </w:t>
      </w:r>
      <w:r w:rsidRPr="00113038">
        <w:rPr>
          <w:rFonts w:ascii="Arial" w:eastAsia="Calibri" w:hAnsi="Arial" w:cs="Arial"/>
          <w:bCs/>
          <w:i/>
          <w:sz w:val="26"/>
          <w:szCs w:val="26"/>
        </w:rPr>
        <w:t>“visitador que viene a ser autoridad, sino un ejecutor que comunica documentos oficiales”</w:t>
      </w:r>
      <w:r>
        <w:rPr>
          <w:rFonts w:ascii="Arial" w:eastAsia="Calibri" w:hAnsi="Arial" w:cs="Arial"/>
          <w:bCs/>
          <w:i/>
          <w:sz w:val="26"/>
          <w:szCs w:val="26"/>
        </w:rPr>
        <w:t xml:space="preserve">, </w:t>
      </w:r>
      <w:r w:rsidR="005133A8">
        <w:rPr>
          <w:rFonts w:ascii="Arial" w:eastAsia="Calibri" w:hAnsi="Arial" w:cs="Arial"/>
          <w:bCs/>
          <w:sz w:val="26"/>
          <w:szCs w:val="26"/>
        </w:rPr>
        <w:t xml:space="preserve">y por lo tanto, no le resulta aplicable la Jurisprudencia a que hizo referencia en su demanda, con el rubro: </w:t>
      </w:r>
      <w:r w:rsidR="005133A8">
        <w:rPr>
          <w:rFonts w:ascii="Arial" w:eastAsia="Calibri" w:hAnsi="Arial" w:cs="Arial"/>
          <w:bCs/>
          <w:i/>
          <w:sz w:val="26"/>
          <w:szCs w:val="26"/>
        </w:rPr>
        <w:t>“</w:t>
      </w:r>
      <w:r w:rsidR="005133A8" w:rsidRPr="005133A8">
        <w:rPr>
          <w:rFonts w:ascii="Arial" w:eastAsia="Calibri" w:hAnsi="Arial" w:cs="Arial"/>
          <w:bCs/>
          <w:i/>
          <w:sz w:val="24"/>
          <w:szCs w:val="24"/>
        </w:rPr>
        <w:t>ÓRDENES DE VISITA DOM</w:t>
      </w:r>
      <w:r w:rsidR="005133A8">
        <w:rPr>
          <w:rFonts w:ascii="Arial" w:eastAsia="Calibri" w:hAnsi="Arial" w:cs="Arial"/>
          <w:bCs/>
          <w:i/>
          <w:sz w:val="24"/>
          <w:szCs w:val="24"/>
        </w:rPr>
        <w:t>ICIL</w:t>
      </w:r>
      <w:r w:rsidR="005133A8" w:rsidRPr="005133A8">
        <w:rPr>
          <w:rFonts w:ascii="Arial" w:eastAsia="Calibri" w:hAnsi="Arial" w:cs="Arial"/>
          <w:bCs/>
          <w:i/>
          <w:sz w:val="24"/>
          <w:szCs w:val="24"/>
        </w:rPr>
        <w:t>IARIA PARA CORROBORAR EL CUMPLIMIENTO DE OBLIGACIONES EN MATERIA DE IMPUESTOS FEDERALES. EL DIRECTOR DE AU</w:t>
      </w:r>
      <w:r w:rsidR="006A5642">
        <w:rPr>
          <w:rFonts w:ascii="Arial" w:eastAsia="Calibri" w:hAnsi="Arial" w:cs="Arial"/>
          <w:bCs/>
          <w:i/>
          <w:sz w:val="24"/>
          <w:szCs w:val="24"/>
        </w:rPr>
        <w:t>D</w:t>
      </w:r>
      <w:r w:rsidR="00614F7E">
        <w:rPr>
          <w:rFonts w:ascii="Arial" w:eastAsia="Calibri" w:hAnsi="Arial" w:cs="Arial"/>
          <w:bCs/>
          <w:i/>
          <w:sz w:val="24"/>
          <w:szCs w:val="24"/>
        </w:rPr>
        <w:t>ITORÍA FISCAL DE LA ENTO</w:t>
      </w:r>
      <w:r w:rsidR="005133A8" w:rsidRPr="005133A8">
        <w:rPr>
          <w:rFonts w:ascii="Arial" w:eastAsia="Calibri" w:hAnsi="Arial" w:cs="Arial"/>
          <w:bCs/>
          <w:i/>
          <w:sz w:val="24"/>
          <w:szCs w:val="24"/>
        </w:rPr>
        <w:t>NCES SECRETARÍA DE FINANZAS DEL GOBIERNO DEL ESTADO DE JALISCO, TIENE LA ATRIBUCI</w:t>
      </w:r>
      <w:r w:rsidR="006A5642">
        <w:rPr>
          <w:rFonts w:ascii="Arial" w:eastAsia="Calibri" w:hAnsi="Arial" w:cs="Arial"/>
          <w:bCs/>
          <w:i/>
          <w:sz w:val="24"/>
          <w:szCs w:val="24"/>
        </w:rPr>
        <w:t>Ó</w:t>
      </w:r>
      <w:r w:rsidR="005133A8" w:rsidRPr="005133A8">
        <w:rPr>
          <w:rFonts w:ascii="Arial" w:eastAsia="Calibri" w:hAnsi="Arial" w:cs="Arial"/>
          <w:bCs/>
          <w:i/>
          <w:sz w:val="24"/>
          <w:szCs w:val="24"/>
        </w:rPr>
        <w:t>N DE DESIGNAR A LOS VISITADORES QUE DEBEN EJECUTARLAS (LEGISLACIÓN VIGENTE HASTA EL 22 DE DICIEMBRE DE 2012).</w:t>
      </w:r>
      <w:r w:rsidR="005133A8" w:rsidRPr="005133A8">
        <w:rPr>
          <w:rFonts w:ascii="Arial" w:eastAsia="Calibri" w:hAnsi="Arial" w:cs="Arial"/>
          <w:bCs/>
          <w:sz w:val="24"/>
          <w:szCs w:val="24"/>
        </w:rPr>
        <w:t xml:space="preserve"> </w:t>
      </w:r>
      <w:r w:rsidR="005133A8">
        <w:rPr>
          <w:rFonts w:ascii="Arial" w:eastAsia="Calibri" w:hAnsi="Arial" w:cs="Arial"/>
          <w:bCs/>
          <w:sz w:val="24"/>
          <w:szCs w:val="24"/>
        </w:rPr>
        <w:t xml:space="preserve">- - - - - - - - - - - - - - - - - - - - - - - - - - - - - - - - - - - - - - - </w:t>
      </w:r>
    </w:p>
    <w:p w14:paraId="4D8376B4" w14:textId="2DAB301A" w:rsidR="00C364A1" w:rsidRDefault="006A5642" w:rsidP="00635B8D">
      <w:pPr>
        <w:spacing w:after="120" w:line="360" w:lineRule="auto"/>
        <w:ind w:firstLine="709"/>
        <w:jc w:val="both"/>
        <w:rPr>
          <w:rFonts w:ascii="Arial" w:eastAsia="Calibri" w:hAnsi="Arial" w:cs="Arial"/>
          <w:bCs/>
          <w:sz w:val="26"/>
          <w:szCs w:val="26"/>
        </w:rPr>
      </w:pPr>
      <w:r>
        <w:rPr>
          <w:rFonts w:ascii="Arial" w:eastAsia="Calibri" w:hAnsi="Arial" w:cs="Arial"/>
          <w:bCs/>
          <w:sz w:val="26"/>
          <w:szCs w:val="26"/>
        </w:rPr>
        <w:t xml:space="preserve">Continúa manifestando </w:t>
      </w:r>
      <w:r w:rsidR="00572151">
        <w:rPr>
          <w:rFonts w:ascii="Arial" w:eastAsia="Calibri" w:hAnsi="Arial" w:cs="Arial"/>
          <w:bCs/>
          <w:sz w:val="26"/>
          <w:szCs w:val="26"/>
        </w:rPr>
        <w:t xml:space="preserve">que la diferenciación que hace la titular de la Tercera Sala Unitaria, respecto del carácter legal del notificador, resulta irrisoria, falsa y ociosa, pues señala que sin importar la denominación, </w:t>
      </w:r>
      <w:r w:rsidR="00B07482">
        <w:rPr>
          <w:rFonts w:ascii="Arial" w:eastAsia="Calibri" w:hAnsi="Arial" w:cs="Arial"/>
          <w:bCs/>
          <w:sz w:val="26"/>
          <w:szCs w:val="26"/>
        </w:rPr>
        <w:t>lo cierto es que todo notificador, visitador o ejecutor con funciones específicas dentro de un procedimiento administrativo</w:t>
      </w:r>
      <w:r w:rsidR="00C5608A">
        <w:rPr>
          <w:rFonts w:ascii="Arial" w:eastAsia="Calibri" w:hAnsi="Arial" w:cs="Arial"/>
          <w:bCs/>
          <w:sz w:val="26"/>
          <w:szCs w:val="26"/>
        </w:rPr>
        <w:t xml:space="preserve"> como en el presente  caso</w:t>
      </w:r>
      <w:r w:rsidR="00B07482">
        <w:rPr>
          <w:rFonts w:ascii="Arial" w:eastAsia="Calibri" w:hAnsi="Arial" w:cs="Arial"/>
          <w:bCs/>
          <w:sz w:val="26"/>
          <w:szCs w:val="26"/>
        </w:rPr>
        <w:t>, se encuentra regido por los principios constitucionales de certeza y legalidad jurídica, al forma</w:t>
      </w:r>
      <w:r w:rsidR="00C5608A">
        <w:rPr>
          <w:rFonts w:ascii="Arial" w:eastAsia="Calibri" w:hAnsi="Arial" w:cs="Arial"/>
          <w:bCs/>
          <w:sz w:val="26"/>
          <w:szCs w:val="26"/>
        </w:rPr>
        <w:t>r parte de la estructura de la a</w:t>
      </w:r>
      <w:r w:rsidR="00B07482">
        <w:rPr>
          <w:rFonts w:ascii="Arial" w:eastAsia="Calibri" w:hAnsi="Arial" w:cs="Arial"/>
          <w:bCs/>
          <w:sz w:val="26"/>
          <w:szCs w:val="26"/>
        </w:rPr>
        <w:t xml:space="preserve">dministración </w:t>
      </w:r>
      <w:r w:rsidR="00C5608A">
        <w:rPr>
          <w:rFonts w:ascii="Arial" w:eastAsia="Calibri" w:hAnsi="Arial" w:cs="Arial"/>
          <w:bCs/>
          <w:sz w:val="26"/>
          <w:szCs w:val="26"/>
        </w:rPr>
        <w:t>p</w:t>
      </w:r>
      <w:r w:rsidR="00B07482">
        <w:rPr>
          <w:rFonts w:ascii="Arial" w:eastAsia="Calibri" w:hAnsi="Arial" w:cs="Arial"/>
          <w:bCs/>
          <w:sz w:val="26"/>
          <w:szCs w:val="26"/>
        </w:rPr>
        <w:t xml:space="preserve">ública </w:t>
      </w:r>
      <w:r w:rsidR="00C5608A">
        <w:rPr>
          <w:rFonts w:ascii="Arial" w:eastAsia="Calibri" w:hAnsi="Arial" w:cs="Arial"/>
          <w:bCs/>
          <w:sz w:val="26"/>
          <w:szCs w:val="26"/>
        </w:rPr>
        <w:t>e</w:t>
      </w:r>
      <w:r w:rsidR="00B07482">
        <w:rPr>
          <w:rFonts w:ascii="Arial" w:eastAsia="Calibri" w:hAnsi="Arial" w:cs="Arial"/>
          <w:bCs/>
          <w:sz w:val="26"/>
          <w:szCs w:val="26"/>
        </w:rPr>
        <w:t xml:space="preserve">statal; por ello, explica que resulta falaz la distinción que hace la Magistrada de Primera Instancia, en la sentencia recurrida, que le exime incorrectamente de la obligatoriedad de una jurisprudencia en materia administrativa. </w:t>
      </w:r>
      <w:r w:rsidR="00C5608A">
        <w:rPr>
          <w:rFonts w:ascii="Arial" w:eastAsia="Calibri" w:hAnsi="Arial" w:cs="Arial"/>
          <w:bCs/>
          <w:sz w:val="26"/>
          <w:szCs w:val="26"/>
        </w:rPr>
        <w:t xml:space="preserve">- - - - - - </w:t>
      </w:r>
    </w:p>
    <w:p w14:paraId="090180A3" w14:textId="77777777" w:rsidR="00D91978" w:rsidRDefault="00C5608A" w:rsidP="00635B8D">
      <w:pPr>
        <w:spacing w:after="120" w:line="360" w:lineRule="auto"/>
        <w:ind w:firstLine="709"/>
        <w:jc w:val="both"/>
        <w:rPr>
          <w:rFonts w:ascii="Arial" w:eastAsia="Calibri" w:hAnsi="Arial" w:cs="Arial"/>
          <w:bCs/>
          <w:sz w:val="26"/>
          <w:szCs w:val="26"/>
        </w:rPr>
      </w:pPr>
      <w:r>
        <w:rPr>
          <w:rFonts w:ascii="Arial" w:eastAsia="Calibri" w:hAnsi="Arial" w:cs="Arial"/>
          <w:bCs/>
          <w:sz w:val="26"/>
          <w:szCs w:val="26"/>
        </w:rPr>
        <w:t xml:space="preserve">Expone que la misma Ley de Procedimiento y Justicia Administrativa para el Estado de Oaxaca, señala en su artículo 50 que la administración pública estatal podrá </w:t>
      </w:r>
      <w:r w:rsidRPr="00B61366">
        <w:rPr>
          <w:rFonts w:ascii="Arial" w:eastAsia="Calibri" w:hAnsi="Arial" w:cs="Arial"/>
          <w:b/>
          <w:bCs/>
          <w:i/>
          <w:sz w:val="26"/>
          <w:szCs w:val="26"/>
        </w:rPr>
        <w:t>habilitar notificadores</w:t>
      </w:r>
      <w:r>
        <w:rPr>
          <w:rFonts w:ascii="Arial" w:eastAsia="Calibri" w:hAnsi="Arial" w:cs="Arial"/>
          <w:b/>
          <w:bCs/>
          <w:sz w:val="26"/>
          <w:szCs w:val="26"/>
        </w:rPr>
        <w:t xml:space="preserve">, </w:t>
      </w:r>
      <w:r>
        <w:rPr>
          <w:rFonts w:ascii="Arial" w:eastAsia="Calibri" w:hAnsi="Arial" w:cs="Arial"/>
          <w:bCs/>
          <w:sz w:val="26"/>
          <w:szCs w:val="26"/>
        </w:rPr>
        <w:t xml:space="preserve">previo acuerdo o designación del titular u órgano colegiado de la autoridad que se trate, para las notificaciones que se practiquen conforme a la referida ley; asimismo, el artículo 66, fracción XXII del Reglamento Interno de la Secretaría de Contraloría y Transparencia Gubernamental, establece que el Director </w:t>
      </w:r>
      <w:r w:rsidR="00B61366">
        <w:rPr>
          <w:rFonts w:ascii="Arial" w:eastAsia="Calibri" w:hAnsi="Arial" w:cs="Arial"/>
          <w:bCs/>
          <w:sz w:val="26"/>
          <w:szCs w:val="26"/>
        </w:rPr>
        <w:t xml:space="preserve">de Responsabilidades Administrativas y Situación Patrimonial, </w:t>
      </w:r>
      <w:r w:rsidR="00B61366" w:rsidRPr="00B61366">
        <w:rPr>
          <w:rFonts w:ascii="Arial" w:eastAsia="Calibri" w:hAnsi="Arial" w:cs="Arial"/>
          <w:bCs/>
          <w:sz w:val="26"/>
          <w:szCs w:val="26"/>
        </w:rPr>
        <w:t>tiene la facultad de</w:t>
      </w:r>
      <w:r w:rsidR="00B61366">
        <w:rPr>
          <w:rFonts w:ascii="Arial" w:eastAsia="Calibri" w:hAnsi="Arial" w:cs="Arial"/>
          <w:b/>
          <w:bCs/>
          <w:sz w:val="26"/>
          <w:szCs w:val="26"/>
        </w:rPr>
        <w:t xml:space="preserve"> </w:t>
      </w:r>
      <w:r w:rsidR="00B61366" w:rsidRPr="00B61366">
        <w:rPr>
          <w:rFonts w:ascii="Arial" w:eastAsia="Calibri" w:hAnsi="Arial" w:cs="Arial"/>
          <w:b/>
          <w:bCs/>
          <w:i/>
          <w:sz w:val="26"/>
          <w:szCs w:val="26"/>
        </w:rPr>
        <w:t>habilitar al personal p</w:t>
      </w:r>
      <w:r w:rsidR="006350DF">
        <w:rPr>
          <w:rFonts w:ascii="Arial" w:eastAsia="Calibri" w:hAnsi="Arial" w:cs="Arial"/>
          <w:b/>
          <w:bCs/>
          <w:i/>
          <w:sz w:val="26"/>
          <w:szCs w:val="26"/>
        </w:rPr>
        <w:t>ara que realice notificaciones</w:t>
      </w:r>
      <w:r w:rsidR="00D91978">
        <w:rPr>
          <w:rFonts w:ascii="Arial" w:eastAsia="Calibri" w:hAnsi="Arial" w:cs="Arial"/>
          <w:b/>
          <w:bCs/>
          <w:i/>
          <w:sz w:val="26"/>
          <w:szCs w:val="26"/>
        </w:rPr>
        <w:t>.</w:t>
      </w:r>
      <w:r w:rsidR="00D91978">
        <w:rPr>
          <w:rFonts w:ascii="Arial" w:eastAsia="Calibri" w:hAnsi="Arial" w:cs="Arial"/>
          <w:bCs/>
          <w:sz w:val="26"/>
          <w:szCs w:val="26"/>
        </w:rPr>
        <w:t xml:space="preserve"> - - - - - - - - - - - - - - - - - - - - - - - - - - - - - - - - - - - - - - - -</w:t>
      </w:r>
    </w:p>
    <w:p w14:paraId="71D92FA9" w14:textId="466EA773" w:rsidR="00C5608A" w:rsidRDefault="00D91978" w:rsidP="00635B8D">
      <w:pPr>
        <w:spacing w:after="120" w:line="360" w:lineRule="auto"/>
        <w:ind w:firstLine="709"/>
        <w:jc w:val="both"/>
        <w:rPr>
          <w:rFonts w:ascii="Arial" w:eastAsia="Calibri" w:hAnsi="Arial" w:cs="Arial"/>
          <w:bCs/>
          <w:sz w:val="26"/>
          <w:szCs w:val="26"/>
        </w:rPr>
      </w:pPr>
      <w:r>
        <w:rPr>
          <w:rFonts w:ascii="Arial" w:eastAsia="Calibri" w:hAnsi="Arial" w:cs="Arial"/>
          <w:bCs/>
          <w:sz w:val="26"/>
          <w:szCs w:val="26"/>
        </w:rPr>
        <w:t>P</w:t>
      </w:r>
      <w:r w:rsidR="006350DF">
        <w:rPr>
          <w:rFonts w:ascii="Arial" w:eastAsia="Calibri" w:hAnsi="Arial" w:cs="Arial"/>
          <w:bCs/>
          <w:sz w:val="26"/>
          <w:szCs w:val="26"/>
        </w:rPr>
        <w:t xml:space="preserve">or tanto, explica que de lo anterior se advierte que dentro del procedimiento que se debe seguir para notificar un acto administrativo (notificación o citatorio), el Director de Responsabilidades </w:t>
      </w:r>
      <w:r w:rsidR="006350DF">
        <w:rPr>
          <w:rFonts w:ascii="Arial" w:eastAsia="Calibri" w:hAnsi="Arial" w:cs="Arial"/>
          <w:bCs/>
          <w:sz w:val="26"/>
          <w:szCs w:val="26"/>
        </w:rPr>
        <w:lastRenderedPageBreak/>
        <w:t>Administrativas y Situación Patrimonial, tiene la facultad de habilitar al personal que realice las notificaciones; por ende, se encuentra ceñido a lo dispuesto por el artículo 17, fracciones V y X de la Ley de Procedimiento y Justicia Administrativa para el Estado de O</w:t>
      </w:r>
      <w:r>
        <w:rPr>
          <w:rFonts w:ascii="Arial" w:eastAsia="Calibri" w:hAnsi="Arial" w:cs="Arial"/>
          <w:bCs/>
          <w:sz w:val="26"/>
          <w:szCs w:val="26"/>
        </w:rPr>
        <w:t>axaca, al señalar dichas fracciones, que el acto administrativo debe estar fundado y motivado</w:t>
      </w:r>
      <w:r w:rsidR="00AA3B37">
        <w:rPr>
          <w:rFonts w:ascii="Arial" w:eastAsia="Calibri" w:hAnsi="Arial" w:cs="Arial"/>
          <w:bCs/>
          <w:sz w:val="26"/>
          <w:szCs w:val="26"/>
        </w:rPr>
        <w:t>,</w:t>
      </w:r>
      <w:r>
        <w:rPr>
          <w:rFonts w:ascii="Arial" w:eastAsia="Calibri" w:hAnsi="Arial" w:cs="Arial"/>
          <w:bCs/>
          <w:sz w:val="26"/>
          <w:szCs w:val="26"/>
        </w:rPr>
        <w:t xml:space="preserve"> y ser expedido sin que medie error respecto al nombre completo de las personas</w:t>
      </w:r>
      <w:r w:rsidR="00AA3B37">
        <w:rPr>
          <w:rFonts w:ascii="Arial" w:eastAsia="Calibri" w:hAnsi="Arial" w:cs="Arial"/>
          <w:bCs/>
          <w:sz w:val="26"/>
          <w:szCs w:val="26"/>
        </w:rPr>
        <w:t xml:space="preserve">; </w:t>
      </w:r>
      <w:r w:rsidR="004A053C">
        <w:rPr>
          <w:rFonts w:ascii="Arial" w:eastAsia="Calibri" w:hAnsi="Arial" w:cs="Arial"/>
          <w:bCs/>
          <w:sz w:val="26"/>
          <w:szCs w:val="26"/>
        </w:rPr>
        <w:t>refiriéndose</w:t>
      </w:r>
      <w:r w:rsidR="00AA3B37">
        <w:rPr>
          <w:rFonts w:ascii="Arial" w:eastAsia="Calibri" w:hAnsi="Arial" w:cs="Arial"/>
          <w:bCs/>
          <w:sz w:val="26"/>
          <w:szCs w:val="26"/>
        </w:rPr>
        <w:t xml:space="preserve"> a todas las personas que intervienen en el citado procedimiento administrativo (autoridad y administrado), y no como lo refiere la Magistrada de Primera Instancia, que </w:t>
      </w:r>
      <w:r w:rsidR="004A053C">
        <w:rPr>
          <w:rFonts w:ascii="Arial" w:eastAsia="Calibri" w:hAnsi="Arial" w:cs="Arial"/>
          <w:bCs/>
          <w:sz w:val="26"/>
          <w:szCs w:val="26"/>
        </w:rPr>
        <w:t xml:space="preserve">ese supuesto se refiere </w:t>
      </w:r>
      <w:r w:rsidR="00AA3B37">
        <w:rPr>
          <w:rFonts w:ascii="Arial" w:eastAsia="Calibri" w:hAnsi="Arial" w:cs="Arial"/>
          <w:bCs/>
          <w:sz w:val="26"/>
          <w:szCs w:val="26"/>
        </w:rPr>
        <w:t>únicamente a la persona del administrado</w:t>
      </w:r>
      <w:r w:rsidR="004A053C">
        <w:rPr>
          <w:rFonts w:ascii="Arial" w:eastAsia="Calibri" w:hAnsi="Arial" w:cs="Arial"/>
          <w:bCs/>
          <w:sz w:val="26"/>
          <w:szCs w:val="26"/>
        </w:rPr>
        <w:t>;</w:t>
      </w:r>
      <w:r w:rsidR="00AA3B37">
        <w:rPr>
          <w:rFonts w:ascii="Arial" w:eastAsia="Calibri" w:hAnsi="Arial" w:cs="Arial"/>
          <w:bCs/>
          <w:sz w:val="26"/>
          <w:szCs w:val="26"/>
        </w:rPr>
        <w:t xml:space="preserve"> puesto que donde la ley no distingue, no le </w:t>
      </w:r>
      <w:r w:rsidR="004A053C">
        <w:rPr>
          <w:rFonts w:ascii="Arial" w:eastAsia="Calibri" w:hAnsi="Arial" w:cs="Arial"/>
          <w:bCs/>
          <w:sz w:val="26"/>
          <w:szCs w:val="26"/>
        </w:rPr>
        <w:t>es válido</w:t>
      </w:r>
      <w:r w:rsidR="00AA3B37">
        <w:rPr>
          <w:rFonts w:ascii="Arial" w:eastAsia="Calibri" w:hAnsi="Arial" w:cs="Arial"/>
          <w:bCs/>
          <w:sz w:val="26"/>
          <w:szCs w:val="26"/>
        </w:rPr>
        <w:t xml:space="preserve"> distinguir al intérprete.</w:t>
      </w:r>
      <w:r>
        <w:rPr>
          <w:rFonts w:ascii="Arial" w:eastAsia="Calibri" w:hAnsi="Arial" w:cs="Arial"/>
          <w:bCs/>
          <w:sz w:val="26"/>
          <w:szCs w:val="26"/>
        </w:rPr>
        <w:t xml:space="preserve">- - - - - - - - - - - - - - - - - - - - - - - - - - - - </w:t>
      </w:r>
      <w:r w:rsidR="004A053C">
        <w:rPr>
          <w:rFonts w:ascii="Arial" w:eastAsia="Calibri" w:hAnsi="Arial" w:cs="Arial"/>
          <w:bCs/>
          <w:sz w:val="26"/>
          <w:szCs w:val="26"/>
        </w:rPr>
        <w:t xml:space="preserve">- - - - - - - - - - - - - - - - - </w:t>
      </w:r>
    </w:p>
    <w:p w14:paraId="312F8A16" w14:textId="7C4D766A" w:rsidR="00C958E3" w:rsidRDefault="00580526" w:rsidP="00635B8D">
      <w:pPr>
        <w:spacing w:after="120" w:line="360" w:lineRule="auto"/>
        <w:ind w:firstLine="709"/>
        <w:jc w:val="both"/>
        <w:rPr>
          <w:rFonts w:ascii="Arial" w:eastAsia="Calibri" w:hAnsi="Arial" w:cs="Arial"/>
          <w:bCs/>
          <w:sz w:val="26"/>
          <w:szCs w:val="26"/>
        </w:rPr>
      </w:pPr>
      <w:r>
        <w:rPr>
          <w:rFonts w:ascii="Arial" w:eastAsia="Calibri" w:hAnsi="Arial" w:cs="Arial"/>
          <w:bCs/>
          <w:sz w:val="26"/>
          <w:szCs w:val="26"/>
        </w:rPr>
        <w:t xml:space="preserve">Consecuentemente, expone que deviene ilegal considerar al error  en la identificación de la persona del notificador, como un mero </w:t>
      </w:r>
      <w:r w:rsidRPr="00580526">
        <w:rPr>
          <w:rFonts w:ascii="Arial" w:eastAsia="Calibri" w:hAnsi="Arial" w:cs="Arial"/>
          <w:bCs/>
          <w:i/>
          <w:sz w:val="26"/>
          <w:szCs w:val="26"/>
        </w:rPr>
        <w:t>“error mecanográfico”</w:t>
      </w:r>
      <w:r w:rsidR="006A5642">
        <w:rPr>
          <w:rFonts w:ascii="Arial" w:eastAsia="Calibri" w:hAnsi="Arial" w:cs="Arial"/>
          <w:bCs/>
          <w:i/>
          <w:sz w:val="26"/>
          <w:szCs w:val="26"/>
        </w:rPr>
        <w:t>;</w:t>
      </w:r>
      <w:r>
        <w:rPr>
          <w:rFonts w:ascii="Arial" w:eastAsia="Calibri" w:hAnsi="Arial" w:cs="Arial"/>
          <w:bCs/>
          <w:i/>
          <w:sz w:val="26"/>
          <w:szCs w:val="26"/>
        </w:rPr>
        <w:t xml:space="preserve"> </w:t>
      </w:r>
      <w:r>
        <w:rPr>
          <w:rFonts w:ascii="Arial" w:eastAsia="Calibri" w:hAnsi="Arial" w:cs="Arial"/>
          <w:bCs/>
          <w:sz w:val="26"/>
          <w:szCs w:val="26"/>
        </w:rPr>
        <w:t xml:space="preserve">puesto </w:t>
      </w:r>
      <w:r w:rsidR="006A5642">
        <w:rPr>
          <w:rFonts w:ascii="Arial" w:eastAsia="Calibri" w:hAnsi="Arial" w:cs="Arial"/>
          <w:bCs/>
          <w:sz w:val="26"/>
          <w:szCs w:val="26"/>
        </w:rPr>
        <w:t xml:space="preserve">que </w:t>
      </w:r>
      <w:r>
        <w:rPr>
          <w:rFonts w:ascii="Arial" w:eastAsia="Calibri" w:hAnsi="Arial" w:cs="Arial"/>
          <w:bCs/>
          <w:sz w:val="26"/>
          <w:szCs w:val="26"/>
        </w:rPr>
        <w:t>esto</w:t>
      </w:r>
      <w:r w:rsidR="006A5642">
        <w:rPr>
          <w:rFonts w:ascii="Arial" w:eastAsia="Calibri" w:hAnsi="Arial" w:cs="Arial"/>
          <w:bCs/>
          <w:sz w:val="26"/>
          <w:szCs w:val="26"/>
        </w:rPr>
        <w:t>,</w:t>
      </w:r>
      <w:r>
        <w:rPr>
          <w:rFonts w:ascii="Arial" w:eastAsia="Calibri" w:hAnsi="Arial" w:cs="Arial"/>
          <w:bCs/>
          <w:sz w:val="26"/>
          <w:szCs w:val="26"/>
        </w:rPr>
        <w:t xml:space="preserve"> solo se da cuando existe un cambio en la ortografía de una palabra no sustancial o en la sintaxis de una oración, pero no cuando se trata de los nombres propios de las personas, puesto que en todo caso, se altera por completo la identidad y personalidad jurídica de quien se refiere</w:t>
      </w:r>
      <w:r w:rsidR="006A5642">
        <w:rPr>
          <w:rFonts w:ascii="Arial" w:eastAsia="Calibri" w:hAnsi="Arial" w:cs="Arial"/>
          <w:bCs/>
          <w:sz w:val="26"/>
          <w:szCs w:val="26"/>
        </w:rPr>
        <w:t>,</w:t>
      </w:r>
      <w:r>
        <w:rPr>
          <w:rFonts w:ascii="Arial" w:eastAsia="Calibri" w:hAnsi="Arial" w:cs="Arial"/>
          <w:bCs/>
          <w:sz w:val="26"/>
          <w:szCs w:val="26"/>
        </w:rPr>
        <w:t xml:space="preserve"> </w:t>
      </w:r>
      <w:r w:rsidR="00C958E3">
        <w:rPr>
          <w:rFonts w:ascii="Arial" w:eastAsia="Calibri" w:hAnsi="Arial" w:cs="Arial"/>
          <w:bCs/>
          <w:sz w:val="26"/>
          <w:szCs w:val="26"/>
        </w:rPr>
        <w:t>pues</w:t>
      </w:r>
      <w:r>
        <w:rPr>
          <w:rFonts w:ascii="Arial" w:eastAsia="Calibri" w:hAnsi="Arial" w:cs="Arial"/>
          <w:bCs/>
          <w:sz w:val="26"/>
          <w:szCs w:val="26"/>
        </w:rPr>
        <w:t xml:space="preserve"> la ley es clara en que uno de los requisitos fundamentales de todo acto administrativo, es que no haya error en el nombre completo de las personas</w:t>
      </w:r>
      <w:r w:rsidR="006A5642">
        <w:rPr>
          <w:rFonts w:ascii="Arial" w:eastAsia="Calibri" w:hAnsi="Arial" w:cs="Arial"/>
          <w:bCs/>
          <w:sz w:val="26"/>
          <w:szCs w:val="26"/>
        </w:rPr>
        <w:t>;</w:t>
      </w:r>
      <w:r>
        <w:rPr>
          <w:rFonts w:ascii="Arial" w:eastAsia="Calibri" w:hAnsi="Arial" w:cs="Arial"/>
          <w:bCs/>
          <w:sz w:val="26"/>
          <w:szCs w:val="26"/>
        </w:rPr>
        <w:t xml:space="preserve"> por lo que  </w:t>
      </w:r>
      <w:r w:rsidR="006A5642">
        <w:rPr>
          <w:rFonts w:ascii="Arial" w:eastAsia="Calibri" w:hAnsi="Arial" w:cs="Arial"/>
          <w:bCs/>
          <w:sz w:val="26"/>
          <w:szCs w:val="26"/>
        </w:rPr>
        <w:t>indica</w:t>
      </w:r>
      <w:r w:rsidR="00C958E3">
        <w:rPr>
          <w:rFonts w:ascii="Arial" w:eastAsia="Calibri" w:hAnsi="Arial" w:cs="Arial"/>
          <w:bCs/>
          <w:sz w:val="26"/>
          <w:szCs w:val="26"/>
        </w:rPr>
        <w:t xml:space="preserve"> que </w:t>
      </w:r>
      <w:r>
        <w:rPr>
          <w:rFonts w:ascii="Arial" w:eastAsia="Calibri" w:hAnsi="Arial" w:cs="Arial"/>
          <w:bCs/>
          <w:sz w:val="26"/>
          <w:szCs w:val="26"/>
        </w:rPr>
        <w:t xml:space="preserve">no le corresponde </w:t>
      </w:r>
      <w:r w:rsidR="00C958E3">
        <w:rPr>
          <w:rFonts w:ascii="Arial" w:eastAsia="Calibri" w:hAnsi="Arial" w:cs="Arial"/>
          <w:bCs/>
          <w:sz w:val="26"/>
          <w:szCs w:val="26"/>
        </w:rPr>
        <w:t>ofrecer prueba</w:t>
      </w:r>
      <w:r w:rsidR="00E818F1">
        <w:rPr>
          <w:rFonts w:ascii="Arial" w:eastAsia="Calibri" w:hAnsi="Arial" w:cs="Arial"/>
          <w:bCs/>
          <w:sz w:val="26"/>
          <w:szCs w:val="26"/>
        </w:rPr>
        <w:t>s</w:t>
      </w:r>
      <w:r w:rsidR="006A5642">
        <w:rPr>
          <w:rFonts w:ascii="Arial" w:eastAsia="Calibri" w:hAnsi="Arial" w:cs="Arial"/>
          <w:bCs/>
          <w:sz w:val="26"/>
          <w:szCs w:val="26"/>
        </w:rPr>
        <w:t xml:space="preserve"> para desvirtuar</w:t>
      </w:r>
      <w:r w:rsidR="00C958E3">
        <w:rPr>
          <w:rFonts w:ascii="Arial" w:eastAsia="Calibri" w:hAnsi="Arial" w:cs="Arial"/>
          <w:bCs/>
          <w:sz w:val="26"/>
          <w:szCs w:val="26"/>
        </w:rPr>
        <w:t xml:space="preserve"> de que se trata de persona distinta, pues ello no es materia de la impugnación de las notificaciones, sino el de señalar el error en que incurre la autoridad, respecto al señalamiento del nombre correcto y completo de la autoridad</w:t>
      </w:r>
      <w:r w:rsidR="008C6DB5">
        <w:rPr>
          <w:rFonts w:ascii="Arial" w:eastAsia="Calibri" w:hAnsi="Arial" w:cs="Arial"/>
          <w:bCs/>
          <w:sz w:val="26"/>
          <w:szCs w:val="26"/>
        </w:rPr>
        <w:t>; e</w:t>
      </w:r>
      <w:r w:rsidR="003C0D3C">
        <w:rPr>
          <w:rFonts w:ascii="Arial" w:eastAsia="Calibri" w:hAnsi="Arial" w:cs="Arial"/>
          <w:bCs/>
          <w:sz w:val="26"/>
          <w:szCs w:val="26"/>
        </w:rPr>
        <w:t xml:space="preserve">sto, en virtud de que se habilitó a </w:t>
      </w:r>
      <w:r w:rsidR="00A05B40">
        <w:rPr>
          <w:rFonts w:ascii="Arial" w:hAnsi="Arial" w:cs="Arial"/>
          <w:b/>
          <w:sz w:val="26"/>
          <w:szCs w:val="26"/>
        </w:rPr>
        <w:t>***********</w:t>
      </w:r>
      <w:r w:rsidR="008C6DB5">
        <w:rPr>
          <w:rFonts w:ascii="Arial" w:eastAsia="Calibri" w:hAnsi="Arial" w:cs="Arial"/>
          <w:bCs/>
          <w:sz w:val="26"/>
          <w:szCs w:val="26"/>
        </w:rPr>
        <w:t xml:space="preserve"> y </w:t>
      </w:r>
      <w:r w:rsidR="003C0D3C">
        <w:rPr>
          <w:rFonts w:ascii="Arial" w:eastAsia="Calibri" w:hAnsi="Arial" w:cs="Arial"/>
          <w:bCs/>
          <w:sz w:val="26"/>
          <w:szCs w:val="26"/>
        </w:rPr>
        <w:t xml:space="preserve">en la cédula de notificación de nueve de febrero de dos mil dieciocho, así como en la cita de espera de ocho del citado mes y año, el notificador fue </w:t>
      </w:r>
      <w:r w:rsidR="00A05B40">
        <w:rPr>
          <w:rFonts w:ascii="Arial" w:hAnsi="Arial" w:cs="Arial"/>
          <w:b/>
          <w:sz w:val="26"/>
          <w:szCs w:val="26"/>
        </w:rPr>
        <w:t>***********</w:t>
      </w:r>
      <w:r w:rsidR="006A5642">
        <w:rPr>
          <w:rFonts w:ascii="Arial" w:eastAsia="Calibri" w:hAnsi="Arial" w:cs="Arial"/>
          <w:b/>
          <w:bCs/>
          <w:sz w:val="26"/>
          <w:szCs w:val="26"/>
        </w:rPr>
        <w:t>;</w:t>
      </w:r>
      <w:r w:rsidR="003C0D3C">
        <w:rPr>
          <w:rFonts w:ascii="Arial" w:eastAsia="Calibri" w:hAnsi="Arial" w:cs="Arial"/>
          <w:b/>
          <w:bCs/>
          <w:sz w:val="26"/>
          <w:szCs w:val="26"/>
        </w:rPr>
        <w:t xml:space="preserve"> </w:t>
      </w:r>
      <w:r w:rsidR="003C0D3C">
        <w:rPr>
          <w:rFonts w:ascii="Arial" w:eastAsia="Calibri" w:hAnsi="Arial" w:cs="Arial"/>
          <w:bCs/>
          <w:sz w:val="26"/>
          <w:szCs w:val="26"/>
        </w:rPr>
        <w:t>es decir</w:t>
      </w:r>
      <w:r w:rsidR="006A5642">
        <w:rPr>
          <w:rFonts w:ascii="Arial" w:eastAsia="Calibri" w:hAnsi="Arial" w:cs="Arial"/>
          <w:bCs/>
          <w:sz w:val="26"/>
          <w:szCs w:val="26"/>
        </w:rPr>
        <w:t>,</w:t>
      </w:r>
      <w:r w:rsidR="003C0D3C">
        <w:rPr>
          <w:rFonts w:ascii="Arial" w:eastAsia="Calibri" w:hAnsi="Arial" w:cs="Arial"/>
          <w:bCs/>
          <w:sz w:val="26"/>
          <w:szCs w:val="26"/>
        </w:rPr>
        <w:t xml:space="preserve"> una persona distinta de los expresamente autorizados por la autoridad</w:t>
      </w:r>
      <w:r w:rsidR="008C6DB5">
        <w:rPr>
          <w:rFonts w:ascii="Arial" w:eastAsia="Calibri" w:hAnsi="Arial" w:cs="Arial"/>
          <w:bCs/>
          <w:sz w:val="26"/>
          <w:szCs w:val="26"/>
        </w:rPr>
        <w:t>. D</w:t>
      </w:r>
      <w:r w:rsidR="001B2F9F">
        <w:rPr>
          <w:rFonts w:ascii="Arial" w:eastAsia="Calibri" w:hAnsi="Arial" w:cs="Arial"/>
          <w:bCs/>
          <w:sz w:val="26"/>
          <w:szCs w:val="26"/>
        </w:rPr>
        <w:t>e ahí</w:t>
      </w:r>
      <w:r w:rsidR="006A5642">
        <w:rPr>
          <w:rFonts w:ascii="Arial" w:eastAsia="Calibri" w:hAnsi="Arial" w:cs="Arial"/>
          <w:bCs/>
          <w:sz w:val="26"/>
          <w:szCs w:val="26"/>
        </w:rPr>
        <w:t xml:space="preserve"> </w:t>
      </w:r>
      <w:r w:rsidR="0087103F">
        <w:rPr>
          <w:rFonts w:ascii="Arial" w:eastAsia="Calibri" w:hAnsi="Arial" w:cs="Arial"/>
          <w:bCs/>
          <w:sz w:val="26"/>
          <w:szCs w:val="26"/>
        </w:rPr>
        <w:t>que resulta</w:t>
      </w:r>
      <w:r w:rsidR="001B2F9F">
        <w:rPr>
          <w:rFonts w:ascii="Arial" w:eastAsia="Calibri" w:hAnsi="Arial" w:cs="Arial"/>
          <w:bCs/>
          <w:sz w:val="26"/>
          <w:szCs w:val="26"/>
        </w:rPr>
        <w:t xml:space="preserve"> </w:t>
      </w:r>
      <w:r w:rsidR="003C0D3C">
        <w:rPr>
          <w:rFonts w:ascii="Arial" w:eastAsia="Calibri" w:hAnsi="Arial" w:cs="Arial"/>
          <w:bCs/>
          <w:sz w:val="26"/>
          <w:szCs w:val="26"/>
        </w:rPr>
        <w:t xml:space="preserve">notorio que </w:t>
      </w:r>
      <w:r w:rsidR="008C6DB5">
        <w:rPr>
          <w:rFonts w:ascii="Arial" w:eastAsia="Calibri" w:hAnsi="Arial" w:cs="Arial"/>
          <w:bCs/>
          <w:sz w:val="26"/>
          <w:szCs w:val="26"/>
        </w:rPr>
        <w:t xml:space="preserve">la </w:t>
      </w:r>
      <w:r w:rsidR="001B2F9F">
        <w:rPr>
          <w:rFonts w:ascii="Arial" w:eastAsia="Calibri" w:hAnsi="Arial" w:cs="Arial"/>
          <w:bCs/>
          <w:sz w:val="26"/>
          <w:szCs w:val="26"/>
        </w:rPr>
        <w:t xml:space="preserve">notificación fue realizada por una </w:t>
      </w:r>
      <w:r w:rsidR="003C0D3C">
        <w:rPr>
          <w:rFonts w:ascii="Arial" w:eastAsia="Calibri" w:hAnsi="Arial" w:cs="Arial"/>
          <w:bCs/>
          <w:sz w:val="26"/>
          <w:szCs w:val="26"/>
        </w:rPr>
        <w:t>persona</w:t>
      </w:r>
      <w:r w:rsidR="001B2F9F">
        <w:rPr>
          <w:rFonts w:ascii="Arial" w:eastAsia="Calibri" w:hAnsi="Arial" w:cs="Arial"/>
          <w:bCs/>
          <w:sz w:val="26"/>
          <w:szCs w:val="26"/>
        </w:rPr>
        <w:t xml:space="preserve"> que</w:t>
      </w:r>
      <w:r w:rsidR="003C0D3C">
        <w:rPr>
          <w:rFonts w:ascii="Arial" w:eastAsia="Calibri" w:hAnsi="Arial" w:cs="Arial"/>
          <w:bCs/>
          <w:sz w:val="26"/>
          <w:szCs w:val="26"/>
        </w:rPr>
        <w:t xml:space="preserve"> no estaba habilitado como notificador, al ser una persona distinta de los expresamente autorizado</w:t>
      </w:r>
      <w:r w:rsidR="006A5642">
        <w:rPr>
          <w:rFonts w:ascii="Arial" w:eastAsia="Calibri" w:hAnsi="Arial" w:cs="Arial"/>
          <w:bCs/>
          <w:sz w:val="26"/>
          <w:szCs w:val="26"/>
        </w:rPr>
        <w:t>s</w:t>
      </w:r>
      <w:r w:rsidR="003C0D3C">
        <w:rPr>
          <w:rFonts w:ascii="Arial" w:eastAsia="Calibri" w:hAnsi="Arial" w:cs="Arial"/>
          <w:bCs/>
          <w:sz w:val="26"/>
          <w:szCs w:val="26"/>
        </w:rPr>
        <w:t xml:space="preserve"> por la autoridad</w:t>
      </w:r>
      <w:r w:rsidR="00AA1C64">
        <w:rPr>
          <w:rFonts w:ascii="Arial" w:eastAsia="Calibri" w:hAnsi="Arial" w:cs="Arial"/>
          <w:bCs/>
          <w:sz w:val="26"/>
          <w:szCs w:val="26"/>
        </w:rPr>
        <w:t xml:space="preserve">; por tanto, la actuación de </w:t>
      </w:r>
      <w:r w:rsidR="00A05B40">
        <w:rPr>
          <w:rFonts w:ascii="Arial" w:hAnsi="Arial" w:cs="Arial"/>
          <w:b/>
          <w:sz w:val="26"/>
          <w:szCs w:val="26"/>
        </w:rPr>
        <w:t xml:space="preserve">*********** </w:t>
      </w:r>
      <w:r w:rsidR="00AA1C64">
        <w:rPr>
          <w:rFonts w:ascii="Arial" w:eastAsia="Calibri" w:hAnsi="Arial" w:cs="Arial"/>
          <w:bCs/>
          <w:sz w:val="26"/>
          <w:szCs w:val="26"/>
        </w:rPr>
        <w:t>no estaba debidamente fundada y motivada, al no existir un acto basado en la norma jurídica que lo habilitara</w:t>
      </w:r>
      <w:r w:rsidR="003C0D3C">
        <w:rPr>
          <w:rFonts w:ascii="Arial" w:eastAsia="Calibri" w:hAnsi="Arial" w:cs="Arial"/>
          <w:bCs/>
          <w:sz w:val="26"/>
          <w:szCs w:val="26"/>
        </w:rPr>
        <w:t>.</w:t>
      </w:r>
      <w:r w:rsidR="006A452A">
        <w:rPr>
          <w:rFonts w:ascii="Arial" w:eastAsia="Calibri" w:hAnsi="Arial" w:cs="Arial"/>
          <w:bCs/>
          <w:sz w:val="26"/>
          <w:szCs w:val="26"/>
        </w:rPr>
        <w:t xml:space="preserve"> Para apoyar lo manifestado en su agravio, cita la Jurisprudencia con número de Registro 2008373 de la Décima Época, con rubro: </w:t>
      </w:r>
      <w:r w:rsidR="006A452A" w:rsidRPr="006A452A">
        <w:rPr>
          <w:rFonts w:ascii="Arial" w:eastAsia="Calibri" w:hAnsi="Arial" w:cs="Arial"/>
          <w:bCs/>
          <w:sz w:val="24"/>
          <w:szCs w:val="24"/>
        </w:rPr>
        <w:t>“</w:t>
      </w:r>
      <w:r w:rsidR="006A452A" w:rsidRPr="006A452A">
        <w:rPr>
          <w:rFonts w:ascii="Arial" w:eastAsia="Calibri" w:hAnsi="Arial" w:cs="Arial"/>
          <w:bCs/>
          <w:i/>
          <w:sz w:val="24"/>
          <w:szCs w:val="24"/>
        </w:rPr>
        <w:t>ÓRDENES DE</w:t>
      </w:r>
      <w:r w:rsidR="006A452A">
        <w:rPr>
          <w:rFonts w:ascii="Arial" w:eastAsia="Calibri" w:hAnsi="Arial" w:cs="Arial"/>
          <w:bCs/>
          <w:i/>
          <w:sz w:val="24"/>
          <w:szCs w:val="24"/>
        </w:rPr>
        <w:t xml:space="preserve"> VISITA DOMICILIARIA PARA CORROBORAR EL CUM</w:t>
      </w:r>
      <w:r w:rsidR="006A5642">
        <w:rPr>
          <w:rFonts w:ascii="Arial" w:eastAsia="Calibri" w:hAnsi="Arial" w:cs="Arial"/>
          <w:bCs/>
          <w:i/>
          <w:sz w:val="24"/>
          <w:szCs w:val="24"/>
        </w:rPr>
        <w:t>P</w:t>
      </w:r>
      <w:r w:rsidR="006A452A">
        <w:rPr>
          <w:rFonts w:ascii="Arial" w:eastAsia="Calibri" w:hAnsi="Arial" w:cs="Arial"/>
          <w:bCs/>
          <w:i/>
          <w:sz w:val="24"/>
          <w:szCs w:val="24"/>
        </w:rPr>
        <w:t>LIMIENTO DE OBLIGACIO</w:t>
      </w:r>
      <w:r w:rsidR="006A5642">
        <w:rPr>
          <w:rFonts w:ascii="Arial" w:eastAsia="Calibri" w:hAnsi="Arial" w:cs="Arial"/>
          <w:bCs/>
          <w:i/>
          <w:sz w:val="24"/>
          <w:szCs w:val="24"/>
        </w:rPr>
        <w:t>N</w:t>
      </w:r>
      <w:r w:rsidR="006A452A">
        <w:rPr>
          <w:rFonts w:ascii="Arial" w:eastAsia="Calibri" w:hAnsi="Arial" w:cs="Arial"/>
          <w:bCs/>
          <w:i/>
          <w:sz w:val="24"/>
          <w:szCs w:val="24"/>
        </w:rPr>
        <w:t xml:space="preserve">ES EN MATERIA DE IMPUESTOS </w:t>
      </w:r>
      <w:r w:rsidR="006A452A">
        <w:rPr>
          <w:rFonts w:ascii="Arial" w:eastAsia="Calibri" w:hAnsi="Arial" w:cs="Arial"/>
          <w:bCs/>
          <w:i/>
          <w:sz w:val="24"/>
          <w:szCs w:val="24"/>
        </w:rPr>
        <w:lastRenderedPageBreak/>
        <w:t>FEDERALES. EL DIRECTOR DE AUTORÍA FISCAL DE LA ENTONCES SECRETARÍA DE FINANZAS DEL GOBIERNO DEL ESTADO DE JALISCO, TIENE LA ATRIBUCIÓN DE DESIGNAR A LOS VISITADORES QUE DEBEN EJECUTARLAS (LEGISLACIÓN VIGENTE HASTA EL 22 DE DICIEMBRE DE 2012</w:t>
      </w:r>
      <w:r w:rsidR="006A452A" w:rsidRPr="00774949">
        <w:rPr>
          <w:rFonts w:ascii="Arial" w:eastAsia="Calibri" w:hAnsi="Arial" w:cs="Arial"/>
          <w:bCs/>
          <w:i/>
          <w:sz w:val="24"/>
          <w:szCs w:val="24"/>
        </w:rPr>
        <w:t xml:space="preserve">). </w:t>
      </w:r>
      <w:r w:rsidR="00AA1C64" w:rsidRPr="00774949">
        <w:rPr>
          <w:rFonts w:ascii="Arial" w:eastAsia="Calibri" w:hAnsi="Arial" w:cs="Arial"/>
          <w:bCs/>
          <w:sz w:val="26"/>
          <w:szCs w:val="26"/>
        </w:rPr>
        <w:t>-</w:t>
      </w:r>
      <w:r w:rsidR="00AA1C64">
        <w:rPr>
          <w:rFonts w:ascii="Arial" w:eastAsia="Calibri" w:hAnsi="Arial" w:cs="Arial"/>
          <w:bCs/>
          <w:sz w:val="26"/>
          <w:szCs w:val="26"/>
        </w:rPr>
        <w:t xml:space="preserve"> - - - - </w:t>
      </w:r>
      <w:r w:rsidR="006A452A">
        <w:rPr>
          <w:rFonts w:ascii="Arial" w:eastAsia="Calibri" w:hAnsi="Arial" w:cs="Arial"/>
          <w:bCs/>
          <w:sz w:val="26"/>
          <w:szCs w:val="26"/>
        </w:rPr>
        <w:t>- - - - - - - - - - - - - - - - - - - - - - - - -  - - - - - - - - - - - - - - - - -</w:t>
      </w:r>
    </w:p>
    <w:p w14:paraId="259986F6" w14:textId="5FA6D0F0" w:rsidR="001C0C29" w:rsidRDefault="001C0C29" w:rsidP="005A2790">
      <w:pPr>
        <w:spacing w:after="120" w:line="360" w:lineRule="auto"/>
        <w:ind w:firstLine="709"/>
        <w:jc w:val="both"/>
        <w:rPr>
          <w:rFonts w:ascii="Arial" w:hAnsi="Arial" w:cs="Arial"/>
          <w:sz w:val="26"/>
          <w:szCs w:val="26"/>
        </w:rPr>
      </w:pPr>
      <w:r>
        <w:rPr>
          <w:rFonts w:ascii="Arial" w:hAnsi="Arial" w:cs="Arial"/>
          <w:sz w:val="26"/>
          <w:szCs w:val="26"/>
        </w:rPr>
        <w:t xml:space="preserve">De las constancias de autos remitidas para la resolución del presente asunto, que hacen prueba plena en términos del artículo </w:t>
      </w:r>
      <w:r w:rsidR="00CD254E">
        <w:rPr>
          <w:rFonts w:ascii="Arial" w:hAnsi="Arial" w:cs="Arial"/>
          <w:sz w:val="26"/>
          <w:szCs w:val="26"/>
        </w:rPr>
        <w:t>20</w:t>
      </w:r>
      <w:r>
        <w:rPr>
          <w:rFonts w:ascii="Arial" w:hAnsi="Arial" w:cs="Arial"/>
          <w:sz w:val="26"/>
          <w:szCs w:val="26"/>
        </w:rPr>
        <w:t xml:space="preserve">3, fracción I de la Ley de </w:t>
      </w:r>
      <w:r w:rsidR="00CD254E">
        <w:rPr>
          <w:rFonts w:ascii="Arial" w:hAnsi="Arial" w:cs="Arial"/>
          <w:sz w:val="26"/>
          <w:szCs w:val="26"/>
        </w:rPr>
        <w:t xml:space="preserve">Procedimiento y </w:t>
      </w:r>
      <w:r>
        <w:rPr>
          <w:rFonts w:ascii="Arial" w:hAnsi="Arial" w:cs="Arial"/>
          <w:sz w:val="26"/>
          <w:szCs w:val="26"/>
        </w:rPr>
        <w:t xml:space="preserve">Justicia Administrativa para el Estado de Oaxaca, se advierte que </w:t>
      </w:r>
      <w:r w:rsidR="00E818F1">
        <w:rPr>
          <w:rFonts w:ascii="Arial" w:hAnsi="Arial" w:cs="Arial"/>
          <w:sz w:val="26"/>
          <w:szCs w:val="26"/>
        </w:rPr>
        <w:t xml:space="preserve">el </w:t>
      </w:r>
      <w:r>
        <w:rPr>
          <w:rFonts w:ascii="Arial" w:hAnsi="Arial" w:cs="Arial"/>
          <w:sz w:val="26"/>
          <w:szCs w:val="26"/>
        </w:rPr>
        <w:t xml:space="preserve">agravio expresado por el recurrente es </w:t>
      </w:r>
      <w:r w:rsidRPr="00F05716">
        <w:rPr>
          <w:rFonts w:ascii="Arial" w:hAnsi="Arial" w:cs="Arial"/>
          <w:b/>
          <w:sz w:val="26"/>
          <w:szCs w:val="26"/>
        </w:rPr>
        <w:t>IN</w:t>
      </w:r>
      <w:r>
        <w:rPr>
          <w:rFonts w:ascii="Arial" w:hAnsi="Arial" w:cs="Arial"/>
          <w:b/>
          <w:sz w:val="26"/>
          <w:szCs w:val="26"/>
        </w:rPr>
        <w:t>FUNDADO</w:t>
      </w:r>
      <w:r>
        <w:rPr>
          <w:rFonts w:ascii="Arial" w:hAnsi="Arial" w:cs="Arial"/>
          <w:sz w:val="26"/>
          <w:szCs w:val="26"/>
        </w:rPr>
        <w:t xml:space="preserve">, por las consideraciones siguientes: - - - - - - </w:t>
      </w:r>
    </w:p>
    <w:p w14:paraId="2D47D65F" w14:textId="6B21F36B" w:rsidR="000E3B3B" w:rsidRDefault="001C0C29" w:rsidP="005A2790">
      <w:pPr>
        <w:spacing w:after="120" w:line="360" w:lineRule="auto"/>
        <w:ind w:left="709" w:firstLine="709"/>
        <w:jc w:val="both"/>
        <w:rPr>
          <w:rFonts w:ascii="Arial" w:hAnsi="Arial" w:cs="Arial"/>
          <w:sz w:val="26"/>
          <w:szCs w:val="26"/>
        </w:rPr>
      </w:pPr>
      <w:r>
        <w:rPr>
          <w:rFonts w:ascii="Arial" w:hAnsi="Arial" w:cs="Arial"/>
          <w:sz w:val="26"/>
          <w:szCs w:val="26"/>
        </w:rPr>
        <w:t>1</w:t>
      </w:r>
      <w:r w:rsidR="005A2790">
        <w:rPr>
          <w:rFonts w:ascii="Arial" w:hAnsi="Arial" w:cs="Arial"/>
          <w:sz w:val="26"/>
          <w:szCs w:val="26"/>
        </w:rPr>
        <w:t xml:space="preserve">) </w:t>
      </w:r>
      <w:r w:rsidR="000E3B3B">
        <w:rPr>
          <w:rFonts w:ascii="Arial" w:hAnsi="Arial" w:cs="Arial"/>
          <w:sz w:val="26"/>
          <w:szCs w:val="26"/>
        </w:rPr>
        <w:t xml:space="preserve">En la sentencia dictada el once de marzo de dos mil veinte, la Magistrada de la Tercera Sala Unitaria de Primera Instancia, respecto al error que modifica el nombre del notificador, señaló lo siguiente: </w:t>
      </w:r>
    </w:p>
    <w:p w14:paraId="108435B4" w14:textId="16011806" w:rsidR="000E3B3B" w:rsidRDefault="009E5AF3" w:rsidP="000E3B3B">
      <w:pPr>
        <w:spacing w:after="120" w:line="360" w:lineRule="auto"/>
        <w:ind w:left="1560" w:right="900" w:hanging="142"/>
        <w:jc w:val="both"/>
        <w:rPr>
          <w:rFonts w:ascii="Arial" w:hAnsi="Arial" w:cs="Arial"/>
          <w:i/>
        </w:rPr>
      </w:pPr>
      <w:r>
        <w:rPr>
          <w:rFonts w:ascii="Arial" w:hAnsi="Arial" w:cs="Arial"/>
          <w:i/>
        </w:rPr>
        <w:t xml:space="preserve"> </w:t>
      </w:r>
      <w:r w:rsidR="000E3B3B">
        <w:rPr>
          <w:rFonts w:ascii="Arial" w:hAnsi="Arial" w:cs="Arial"/>
          <w:i/>
        </w:rPr>
        <w:t>“Con respecto al error mecanográfico que modifica el nombre del notificador, corresponde aclarar que la jurisprudencia que cita en la demanda, “…</w:t>
      </w:r>
      <w:r w:rsidR="000E3B3B">
        <w:rPr>
          <w:rFonts w:ascii="Arial" w:hAnsi="Arial" w:cs="Arial"/>
          <w:i/>
          <w:sz w:val="20"/>
          <w:szCs w:val="20"/>
        </w:rPr>
        <w:t xml:space="preserve">órdenes de visita domiciliaria para corroborar el cumplimiento de obligaciones en materia de impuestos federales. El Director de auditoría fiscal de la entonces Secretaría de Finanzas del Estado de Jalisco, tiene la atribución de designar a los visitadores que deben ejecutarlas (legislación  vigente hasta el 22 de diciembre de 2012). </w:t>
      </w:r>
      <w:r w:rsidR="000E3B3B">
        <w:rPr>
          <w:rFonts w:ascii="Arial" w:hAnsi="Arial" w:cs="Arial"/>
          <w:i/>
        </w:rPr>
        <w:t>(sic) La hipótesis de esta jurisprudencia, consiste en que la orden de visita de las autoridades fiscales, estén previamente designados como visitadores; en este caso, no se trata de  visitadores que vienen a ser autoridades fiscales, cuyas determinaciones crean, modifican o extinguen derechos sustantivos. Ya que, en el presente caso, se trata de un ejecutor, es decir un auxiliar de la autoridad, que se encarga de comunicar documentos oficiales. Y si bien es cie</w:t>
      </w:r>
      <w:r w:rsidR="005266F5">
        <w:rPr>
          <w:rFonts w:ascii="Arial" w:hAnsi="Arial" w:cs="Arial"/>
          <w:i/>
        </w:rPr>
        <w:t xml:space="preserve">rto de que existe un error mecanográfico en el que en lugar de </w:t>
      </w:r>
      <w:r w:rsidR="00A05B40">
        <w:rPr>
          <w:rFonts w:ascii="Arial" w:hAnsi="Arial" w:cs="Arial"/>
          <w:b/>
          <w:sz w:val="26"/>
          <w:szCs w:val="26"/>
        </w:rPr>
        <w:t>***********</w:t>
      </w:r>
      <w:r w:rsidR="005266F5">
        <w:rPr>
          <w:rFonts w:ascii="Arial" w:hAnsi="Arial" w:cs="Arial"/>
          <w:i/>
        </w:rPr>
        <w:t xml:space="preserve"> escribieron </w:t>
      </w:r>
      <w:r w:rsidR="00A05B40">
        <w:rPr>
          <w:rFonts w:ascii="Arial" w:hAnsi="Arial" w:cs="Arial"/>
          <w:b/>
          <w:sz w:val="26"/>
          <w:szCs w:val="26"/>
        </w:rPr>
        <w:t>***********</w:t>
      </w:r>
      <w:r w:rsidR="005266F5">
        <w:rPr>
          <w:rFonts w:ascii="Arial" w:hAnsi="Arial" w:cs="Arial"/>
          <w:i/>
        </w:rPr>
        <w:t xml:space="preserve">, también lo es que en apariencia se altera un apellido, sin embargo, no llega a viciar las diligencias que realiza; toda vez que del contexto de la misma, se advierte que es la misma persona que fue habilitada, y que se trató de un error mecanográfico, muy distinto al error referido por el actor que funda en el artículo 17 fracción X de la Ley de Procedimiento y Justicia Administrativa tal como lo indica, él (sic) accionante en su demanda virtud de que éste consisten en </w:t>
      </w:r>
      <w:r w:rsidR="005266F5">
        <w:rPr>
          <w:rFonts w:ascii="Arial" w:hAnsi="Arial" w:cs="Arial"/>
          <w:i/>
          <w:u w:val="single"/>
        </w:rPr>
        <w:t xml:space="preserve">“Ser expedido sin que medie error respecto a la referencia </w:t>
      </w:r>
      <w:r w:rsidR="005266F5">
        <w:rPr>
          <w:rFonts w:ascii="Arial" w:hAnsi="Arial" w:cs="Arial"/>
          <w:b/>
          <w:i/>
          <w:u w:val="single"/>
        </w:rPr>
        <w:t xml:space="preserve">de identificación del expediente, documentos o nombre completo de la </w:t>
      </w:r>
      <w:r w:rsidR="005266F5">
        <w:rPr>
          <w:rFonts w:ascii="Arial" w:hAnsi="Arial" w:cs="Arial"/>
          <w:b/>
          <w:i/>
          <w:u w:val="single"/>
        </w:rPr>
        <w:lastRenderedPageBreak/>
        <w:t xml:space="preserve">persona (el administrado). </w:t>
      </w:r>
      <w:r w:rsidR="005266F5">
        <w:rPr>
          <w:rFonts w:ascii="Arial" w:hAnsi="Arial" w:cs="Arial"/>
          <w:i/>
        </w:rPr>
        <w:t>Y además no explica el actor cómo el error mecanográfico lo deja en estado de indefensión ya que se logró el objetivo de comunicar el contenido de su notificación y los documentos respectivos. Así también la persona que se identificó y firmó la diligencia, indicó que en ese momento no se encontraba el hoy demandante, lo que quiere decir que en el domicilio en el que se llevó a cabo la cita de espera y la notificación, fue el correcto y ahí es el lugar en el que habitualmente se encuentra el servidor público hoy sancionado.</w:t>
      </w:r>
    </w:p>
    <w:p w14:paraId="1D6BA471" w14:textId="534A2E89" w:rsidR="005266F5" w:rsidRDefault="005266F5" w:rsidP="00A05B40">
      <w:pPr>
        <w:spacing w:after="120" w:line="360" w:lineRule="auto"/>
        <w:ind w:left="1560" w:right="900"/>
        <w:jc w:val="both"/>
        <w:rPr>
          <w:rFonts w:ascii="Arial" w:hAnsi="Arial" w:cs="Arial"/>
          <w:i/>
        </w:rPr>
      </w:pPr>
      <w:r>
        <w:rPr>
          <w:rFonts w:ascii="Arial" w:hAnsi="Arial" w:cs="Arial"/>
          <w:i/>
        </w:rPr>
        <w:tab/>
        <w:t>Pues, como puede advertirse le asiste razón a la demandada, toda vez que al firmar la cita de espera y notificación impugnada, por parte del notificador, su nombre comp</w:t>
      </w:r>
      <w:r w:rsidR="00E818F1">
        <w:rPr>
          <w:rFonts w:ascii="Arial" w:hAnsi="Arial" w:cs="Arial"/>
          <w:i/>
        </w:rPr>
        <w:t>l</w:t>
      </w:r>
      <w:r>
        <w:rPr>
          <w:rFonts w:ascii="Arial" w:hAnsi="Arial" w:cs="Arial"/>
          <w:i/>
        </w:rPr>
        <w:t xml:space="preserve">eto aparece escrito de forma correcta, identificándose como personal adscrito a la DIRECCIÓN (SIC) RESPONSABILIDADES ADMINISTRATIVAS Y SITUACIÓN PATRIMONIAL, de la (sic)  SUBSECRETARÍA DE RESPONSABILIDADES ADMINISTRATIVASY ANTICORRUPCIÓN DE LA SECRETARÍA DE LA CONTRALORÍA Y TRANSPARENCIA GUBERNAMENTAL que fue habilitado como notificador mediante </w:t>
      </w:r>
      <w:r w:rsidR="00C96FBE">
        <w:rPr>
          <w:rFonts w:ascii="Arial" w:hAnsi="Arial" w:cs="Arial"/>
          <w:i/>
        </w:rPr>
        <w:t>memorándum</w:t>
      </w:r>
      <w:r>
        <w:rPr>
          <w:rFonts w:ascii="Arial" w:hAnsi="Arial" w:cs="Arial"/>
          <w:i/>
        </w:rPr>
        <w:t xml:space="preserve"> número </w:t>
      </w:r>
      <w:r w:rsidR="00A05B40">
        <w:rPr>
          <w:rFonts w:ascii="Arial" w:hAnsi="Arial" w:cs="Arial"/>
          <w:b/>
          <w:sz w:val="26"/>
          <w:szCs w:val="26"/>
        </w:rPr>
        <w:t xml:space="preserve">*********** </w:t>
      </w:r>
      <w:r w:rsidR="00C96FBE">
        <w:rPr>
          <w:rFonts w:ascii="Arial" w:hAnsi="Arial" w:cs="Arial"/>
          <w:i/>
        </w:rPr>
        <w:t>de fecha 29 veintinueve de mayo 2017 de dos mil diecisiete. En ningún momento sostiene o prueba el actor del juicio que son personas distintas, es de reconocerse, incluso así lo hace la demandada al contestar que hubo un error al escribir (sic) segundo apellido pero es la m</w:t>
      </w:r>
      <w:r w:rsidR="00E818F1">
        <w:rPr>
          <w:rFonts w:ascii="Arial" w:hAnsi="Arial" w:cs="Arial"/>
          <w:i/>
        </w:rPr>
        <w:t>isma persona. No hay ninguna prob</w:t>
      </w:r>
      <w:r w:rsidR="00C96FBE">
        <w:rPr>
          <w:rFonts w:ascii="Arial" w:hAnsi="Arial" w:cs="Arial"/>
          <w:i/>
        </w:rPr>
        <w:t>anza que se trate de dos personas distintas, que genere una duda razonable para considerar que el ejecutor habilitado, fue suplantado por persona distinta.</w:t>
      </w:r>
    </w:p>
    <w:p w14:paraId="48B52BAD" w14:textId="6F9D1E63" w:rsidR="00C96FBE" w:rsidRDefault="00C96FBE" w:rsidP="00C96FBE">
      <w:pPr>
        <w:spacing w:after="120" w:line="360" w:lineRule="auto"/>
        <w:ind w:left="1560" w:right="900" w:firstLine="564"/>
        <w:jc w:val="both"/>
        <w:rPr>
          <w:rFonts w:ascii="Arial" w:hAnsi="Arial" w:cs="Arial"/>
          <w:i/>
        </w:rPr>
      </w:pPr>
      <w:r>
        <w:rPr>
          <w:rFonts w:ascii="Arial" w:hAnsi="Arial" w:cs="Arial"/>
          <w:i/>
        </w:rPr>
        <w:t>Sirve de apoyo la tesis II.T.262 L de la Novena Época, emitida por los Tribunales Colegiados de Circuito, publicada en el Semanario Judicial de la Federación y su Gaceta, tomo XX, julio de 2004, página 1750, con registro electrónico 181095 que a la letra dice:</w:t>
      </w:r>
    </w:p>
    <w:p w14:paraId="79A3B964" w14:textId="7D7C0450" w:rsidR="00C96FBE" w:rsidRDefault="00C96FBE" w:rsidP="00C96FBE">
      <w:pPr>
        <w:spacing w:after="120" w:line="360" w:lineRule="auto"/>
        <w:ind w:left="1560" w:right="900" w:firstLine="564"/>
        <w:jc w:val="both"/>
        <w:rPr>
          <w:rFonts w:ascii="Arial" w:hAnsi="Arial" w:cs="Arial"/>
          <w:i/>
        </w:rPr>
      </w:pPr>
      <w:r>
        <w:rPr>
          <w:rFonts w:ascii="Arial" w:hAnsi="Arial" w:cs="Arial"/>
          <w:b/>
          <w:i/>
        </w:rPr>
        <w:t xml:space="preserve">NOTIFICACIONES IRREGULARES POR ERROR MECANOGRÁFICO. SI CUMPLE CON LA FINALIDAD PRIMORDIAL NO SON NULAS. </w:t>
      </w:r>
      <w:r>
        <w:rPr>
          <w:rFonts w:ascii="Arial" w:hAnsi="Arial" w:cs="Arial"/>
          <w:i/>
        </w:rPr>
        <w:t>[…]</w:t>
      </w:r>
    </w:p>
    <w:p w14:paraId="36BA737A" w14:textId="30730151" w:rsidR="000E3B3B" w:rsidRDefault="00C96FBE" w:rsidP="006107F1">
      <w:pPr>
        <w:spacing w:after="120" w:line="360" w:lineRule="auto"/>
        <w:ind w:left="1560" w:right="900" w:firstLine="564"/>
        <w:jc w:val="both"/>
        <w:rPr>
          <w:rFonts w:ascii="Arial" w:hAnsi="Arial" w:cs="Arial"/>
          <w:sz w:val="26"/>
          <w:szCs w:val="26"/>
        </w:rPr>
      </w:pPr>
      <w:r>
        <w:rPr>
          <w:rFonts w:ascii="Arial" w:hAnsi="Arial" w:cs="Arial"/>
          <w:i/>
        </w:rPr>
        <w:t xml:space="preserve">Aunado a ello, tanto en la cita de espera como en la notificación, quienes atendieron las diligencias, señalaron que en ese momento no se encontraba la persona a la que buscaba el notificador, es decir, se confirmó que era el domicilio correcto donde se encuentra normalmente el servidor público buscado; y como manifiesta la autoridad </w:t>
      </w:r>
      <w:r>
        <w:rPr>
          <w:rFonts w:ascii="Arial" w:hAnsi="Arial" w:cs="Arial"/>
          <w:i/>
        </w:rPr>
        <w:lastRenderedPageBreak/>
        <w:t xml:space="preserve">demandada, se cumplió con realizar la comunicación del oficio </w:t>
      </w:r>
      <w:r w:rsidR="00A05B40">
        <w:rPr>
          <w:rFonts w:ascii="Arial" w:hAnsi="Arial" w:cs="Arial"/>
          <w:b/>
          <w:sz w:val="26"/>
          <w:szCs w:val="26"/>
        </w:rPr>
        <w:t xml:space="preserve">*********** </w:t>
      </w:r>
      <w:r>
        <w:rPr>
          <w:rFonts w:ascii="Arial" w:hAnsi="Arial" w:cs="Arial"/>
          <w:i/>
        </w:rPr>
        <w:t xml:space="preserve">de 7 siete de febrero </w:t>
      </w:r>
      <w:r w:rsidR="006802E1">
        <w:rPr>
          <w:rFonts w:ascii="Arial" w:hAnsi="Arial" w:cs="Arial"/>
          <w:i/>
        </w:rPr>
        <w:t xml:space="preserve">de 2018 </w:t>
      </w:r>
      <w:r w:rsidR="00600474">
        <w:rPr>
          <w:rFonts w:ascii="Arial" w:hAnsi="Arial" w:cs="Arial"/>
          <w:i/>
        </w:rPr>
        <w:t xml:space="preserve">dos mil dieciocho, mediante los cuales se da inicio del procedimiento administrativo de responsabilidad administrativa, citándolo a la audiencia de ley, identificándose y firmando la actuación, la persona que recibió el oficio antes citado, sin hacer ninguna observación. Por lo que no se considera que el accionante del juicio, se hubiese quedado en estado de indefensión, debido a que en ese momento, en que recibió la notificación, no podía advertir ninguna irregularidad y la conducta esperada de un servidor público a quien se le informa del inicio de un procedimiento de responsabilidad administrativa y se le cita </w:t>
      </w:r>
      <w:r w:rsidR="006107F1">
        <w:rPr>
          <w:rFonts w:ascii="Arial" w:hAnsi="Arial" w:cs="Arial"/>
          <w:i/>
        </w:rPr>
        <w:t>para que pueda defenderse, es la de acudir al inicio del procedimiento de responsabilidad, con el fin de aclarar la imputación que se le hace en el oficio en cita; y no dejar pasar un procedimiento tan trascendente y de grandes consecuencias. Y como señala la autoridad enjuiciada del texto de las diligencias de notificación se llega a la convicción de que el hoy demandante, tuvo el conocimiento oportuno y adecuado del oficio que ordena el inicio del procedimiento de responsabilidad administrativa.”</w:t>
      </w:r>
    </w:p>
    <w:p w14:paraId="51ABD75F" w14:textId="29119F9A" w:rsidR="001C0C29" w:rsidRDefault="006107F1" w:rsidP="005A2790">
      <w:pPr>
        <w:spacing w:after="120" w:line="360" w:lineRule="auto"/>
        <w:ind w:left="709" w:firstLine="709"/>
        <w:jc w:val="both"/>
        <w:rPr>
          <w:rFonts w:ascii="Arial" w:hAnsi="Arial" w:cs="Arial"/>
          <w:sz w:val="26"/>
          <w:szCs w:val="26"/>
        </w:rPr>
      </w:pPr>
      <w:r>
        <w:rPr>
          <w:rFonts w:ascii="Arial" w:hAnsi="Arial" w:cs="Arial"/>
          <w:sz w:val="26"/>
          <w:szCs w:val="26"/>
        </w:rPr>
        <w:t xml:space="preserve">2) </w:t>
      </w:r>
      <w:r w:rsidR="001C0C29">
        <w:rPr>
          <w:rFonts w:ascii="Arial" w:hAnsi="Arial" w:cs="Arial"/>
          <w:sz w:val="26"/>
          <w:szCs w:val="26"/>
        </w:rPr>
        <w:t xml:space="preserve">En la cita de espera de ocho de febrero de dos mil dieciocho y cédula de notificación realizada el nueve del mismo mes y año, se advierte que quien llevó a cabo dichas actuaciones fue </w:t>
      </w:r>
      <w:r w:rsidR="00A05B40">
        <w:rPr>
          <w:rFonts w:ascii="Arial" w:hAnsi="Arial" w:cs="Arial"/>
          <w:b/>
          <w:sz w:val="26"/>
          <w:szCs w:val="26"/>
        </w:rPr>
        <w:t>***********</w:t>
      </w:r>
      <w:r w:rsidR="001C0C29">
        <w:rPr>
          <w:rFonts w:ascii="Arial" w:hAnsi="Arial" w:cs="Arial"/>
          <w:sz w:val="26"/>
          <w:szCs w:val="26"/>
        </w:rPr>
        <w:t>, personal adscrito a la Dirección de Responsabilidades Administrativas y Situación Patrimonial, dependiente de la Subsecretar</w:t>
      </w:r>
      <w:r w:rsidR="00614F7E">
        <w:rPr>
          <w:rFonts w:ascii="Arial" w:hAnsi="Arial" w:cs="Arial"/>
          <w:sz w:val="26"/>
          <w:szCs w:val="26"/>
        </w:rPr>
        <w:t>í</w:t>
      </w:r>
      <w:r w:rsidR="001C0C29">
        <w:rPr>
          <w:rFonts w:ascii="Arial" w:hAnsi="Arial" w:cs="Arial"/>
          <w:sz w:val="26"/>
          <w:szCs w:val="26"/>
        </w:rPr>
        <w:t xml:space="preserve">a de la Contraloría y Transparencia Gubernamental del Poder Ejecutivo del Estado Libre y Soberano de Oaxaca, </w:t>
      </w:r>
      <w:r>
        <w:rPr>
          <w:rFonts w:ascii="Arial" w:hAnsi="Arial" w:cs="Arial"/>
          <w:sz w:val="26"/>
          <w:szCs w:val="26"/>
        </w:rPr>
        <w:t>quien se identificó con el</w:t>
      </w:r>
      <w:r w:rsidR="005A2790">
        <w:rPr>
          <w:rFonts w:ascii="Arial" w:hAnsi="Arial" w:cs="Arial"/>
          <w:sz w:val="26"/>
          <w:szCs w:val="26"/>
        </w:rPr>
        <w:t xml:space="preserve"> memorándum número </w:t>
      </w:r>
      <w:r w:rsidR="00A05B40">
        <w:rPr>
          <w:rFonts w:ascii="Arial" w:hAnsi="Arial" w:cs="Arial"/>
          <w:b/>
          <w:sz w:val="26"/>
          <w:szCs w:val="26"/>
        </w:rPr>
        <w:t>***********</w:t>
      </w:r>
      <w:r w:rsidR="005A2790">
        <w:rPr>
          <w:rFonts w:ascii="Arial" w:hAnsi="Arial" w:cs="Arial"/>
          <w:sz w:val="26"/>
          <w:szCs w:val="26"/>
        </w:rPr>
        <w:t>, de fecha veintinueve de mayo de dos mil diecisiete, suscrito por el titular de la referida Dirección</w:t>
      </w:r>
      <w:r w:rsidR="00CD254E">
        <w:rPr>
          <w:rFonts w:ascii="Arial" w:hAnsi="Arial" w:cs="Arial"/>
          <w:sz w:val="26"/>
          <w:szCs w:val="26"/>
        </w:rPr>
        <w:t>,</w:t>
      </w:r>
      <w:r>
        <w:rPr>
          <w:rFonts w:ascii="Arial" w:hAnsi="Arial" w:cs="Arial"/>
          <w:sz w:val="26"/>
          <w:szCs w:val="26"/>
        </w:rPr>
        <w:t xml:space="preserve"> en el cual se </w:t>
      </w:r>
      <w:r w:rsidR="009E5AF3" w:rsidRPr="001A1EB3">
        <w:rPr>
          <w:rFonts w:ascii="Arial" w:hAnsi="Arial" w:cs="Arial"/>
          <w:sz w:val="26"/>
          <w:szCs w:val="26"/>
        </w:rPr>
        <w:t>habilitó</w:t>
      </w:r>
      <w:r w:rsidRPr="001A1EB3">
        <w:rPr>
          <w:rFonts w:ascii="Arial" w:hAnsi="Arial" w:cs="Arial"/>
          <w:sz w:val="26"/>
          <w:szCs w:val="26"/>
        </w:rPr>
        <w:t xml:space="preserve"> como</w:t>
      </w:r>
      <w:r>
        <w:rPr>
          <w:rFonts w:ascii="Arial" w:hAnsi="Arial" w:cs="Arial"/>
          <w:sz w:val="26"/>
          <w:szCs w:val="26"/>
        </w:rPr>
        <w:t xml:space="preserve"> notificador para realizar las referidas diligencias</w:t>
      </w:r>
      <w:r w:rsidR="005A2790">
        <w:rPr>
          <w:rFonts w:ascii="Arial" w:hAnsi="Arial" w:cs="Arial"/>
          <w:sz w:val="26"/>
          <w:szCs w:val="26"/>
        </w:rPr>
        <w:t xml:space="preserve"> (</w:t>
      </w:r>
      <w:r w:rsidR="00CD254E">
        <w:rPr>
          <w:rFonts w:ascii="Arial" w:hAnsi="Arial" w:cs="Arial"/>
          <w:sz w:val="26"/>
          <w:szCs w:val="26"/>
        </w:rPr>
        <w:t>f</w:t>
      </w:r>
      <w:r w:rsidR="005A2790">
        <w:rPr>
          <w:rFonts w:ascii="Arial" w:hAnsi="Arial" w:cs="Arial"/>
          <w:sz w:val="26"/>
          <w:szCs w:val="26"/>
        </w:rPr>
        <w:t xml:space="preserve">olios 30 </w:t>
      </w:r>
      <w:r w:rsidR="00CD254E">
        <w:rPr>
          <w:rFonts w:ascii="Arial" w:hAnsi="Arial" w:cs="Arial"/>
          <w:sz w:val="26"/>
          <w:szCs w:val="26"/>
        </w:rPr>
        <w:t>a</w:t>
      </w:r>
      <w:r w:rsidR="005A2790">
        <w:rPr>
          <w:rFonts w:ascii="Arial" w:hAnsi="Arial" w:cs="Arial"/>
          <w:sz w:val="26"/>
          <w:szCs w:val="26"/>
        </w:rPr>
        <w:t xml:space="preserve"> 3</w:t>
      </w:r>
      <w:r w:rsidR="00C0070E">
        <w:rPr>
          <w:rFonts w:ascii="Arial" w:hAnsi="Arial" w:cs="Arial"/>
          <w:sz w:val="26"/>
          <w:szCs w:val="26"/>
        </w:rPr>
        <w:t>2</w:t>
      </w:r>
      <w:r w:rsidR="005A2790">
        <w:rPr>
          <w:rFonts w:ascii="Arial" w:hAnsi="Arial" w:cs="Arial"/>
          <w:sz w:val="26"/>
          <w:szCs w:val="26"/>
        </w:rPr>
        <w:t xml:space="preserve">).- - - - - - - - - - - - - </w:t>
      </w:r>
      <w:r w:rsidR="00A05B40">
        <w:rPr>
          <w:rFonts w:ascii="Arial" w:hAnsi="Arial" w:cs="Arial"/>
          <w:sz w:val="26"/>
          <w:szCs w:val="26"/>
        </w:rPr>
        <w:t xml:space="preserve">- - - - - - - - - - - - - - - - - - - - - - - - - - - - - - - - </w:t>
      </w:r>
    </w:p>
    <w:p w14:paraId="1E04A735" w14:textId="0B8486E5" w:rsidR="005A2790" w:rsidRDefault="005A2790" w:rsidP="005A2790">
      <w:pPr>
        <w:spacing w:after="120" w:line="360" w:lineRule="auto"/>
        <w:ind w:left="709" w:firstLine="709"/>
        <w:jc w:val="both"/>
        <w:rPr>
          <w:rFonts w:ascii="Arial" w:hAnsi="Arial" w:cs="Arial"/>
          <w:sz w:val="26"/>
          <w:szCs w:val="26"/>
        </w:rPr>
      </w:pPr>
      <w:r>
        <w:rPr>
          <w:rFonts w:ascii="Arial" w:hAnsi="Arial" w:cs="Arial"/>
          <w:sz w:val="26"/>
          <w:szCs w:val="26"/>
        </w:rPr>
        <w:t xml:space="preserve">2) </w:t>
      </w:r>
      <w:r w:rsidR="006107F1">
        <w:rPr>
          <w:rFonts w:ascii="Arial" w:hAnsi="Arial" w:cs="Arial"/>
          <w:sz w:val="26"/>
          <w:szCs w:val="26"/>
        </w:rPr>
        <w:t>En l</w:t>
      </w:r>
      <w:r w:rsidR="00541D24">
        <w:rPr>
          <w:rFonts w:ascii="Arial" w:hAnsi="Arial" w:cs="Arial"/>
          <w:sz w:val="26"/>
          <w:szCs w:val="26"/>
        </w:rPr>
        <w:t xml:space="preserve">a </w:t>
      </w:r>
      <w:r w:rsidR="006107F1">
        <w:rPr>
          <w:rFonts w:ascii="Arial" w:hAnsi="Arial" w:cs="Arial"/>
          <w:sz w:val="26"/>
          <w:szCs w:val="26"/>
        </w:rPr>
        <w:t xml:space="preserve">cédula de </w:t>
      </w:r>
      <w:r w:rsidR="00541D24">
        <w:rPr>
          <w:rFonts w:ascii="Arial" w:hAnsi="Arial" w:cs="Arial"/>
          <w:sz w:val="26"/>
          <w:szCs w:val="26"/>
        </w:rPr>
        <w:t xml:space="preserve">notificación efectuada el nueve de febrero de dos mil dieciocho, </w:t>
      </w:r>
      <w:r w:rsidR="00A1685F">
        <w:rPr>
          <w:rFonts w:ascii="Arial" w:hAnsi="Arial" w:cs="Arial"/>
          <w:sz w:val="26"/>
          <w:szCs w:val="26"/>
        </w:rPr>
        <w:t xml:space="preserve">se </w:t>
      </w:r>
      <w:r w:rsidR="006107F1">
        <w:rPr>
          <w:rFonts w:ascii="Arial" w:hAnsi="Arial" w:cs="Arial"/>
          <w:sz w:val="26"/>
          <w:szCs w:val="26"/>
        </w:rPr>
        <w:t xml:space="preserve">advierte que se </w:t>
      </w:r>
      <w:r w:rsidR="00A1685F">
        <w:rPr>
          <w:rFonts w:ascii="Arial" w:hAnsi="Arial" w:cs="Arial"/>
          <w:sz w:val="26"/>
          <w:szCs w:val="26"/>
        </w:rPr>
        <w:t xml:space="preserve">realizó para darle a conocer a </w:t>
      </w:r>
      <w:r w:rsidR="00A05B40">
        <w:rPr>
          <w:rFonts w:ascii="Arial" w:hAnsi="Arial" w:cs="Arial"/>
          <w:b/>
          <w:sz w:val="26"/>
          <w:szCs w:val="26"/>
        </w:rPr>
        <w:t>***********</w:t>
      </w:r>
      <w:r w:rsidR="00A1685F">
        <w:rPr>
          <w:rFonts w:ascii="Arial" w:hAnsi="Arial" w:cs="Arial"/>
          <w:sz w:val="26"/>
          <w:szCs w:val="26"/>
        </w:rPr>
        <w:t xml:space="preserve">, el inicio del procedimiento administrativo instruido en su contra, para lo cual se entregó el oficio </w:t>
      </w:r>
      <w:r w:rsidR="00A05B40">
        <w:rPr>
          <w:rFonts w:ascii="Arial" w:hAnsi="Arial" w:cs="Arial"/>
          <w:b/>
          <w:sz w:val="26"/>
          <w:szCs w:val="26"/>
        </w:rPr>
        <w:t xml:space="preserve">*********** </w:t>
      </w:r>
      <w:r w:rsidR="00A1685F">
        <w:rPr>
          <w:rFonts w:ascii="Arial" w:hAnsi="Arial" w:cs="Arial"/>
          <w:sz w:val="26"/>
          <w:szCs w:val="26"/>
        </w:rPr>
        <w:t xml:space="preserve">de fecha siete de febrero </w:t>
      </w:r>
      <w:r w:rsidR="00614F7E">
        <w:rPr>
          <w:rFonts w:ascii="Arial" w:hAnsi="Arial" w:cs="Arial"/>
          <w:sz w:val="26"/>
          <w:szCs w:val="26"/>
        </w:rPr>
        <w:t xml:space="preserve">de </w:t>
      </w:r>
      <w:r w:rsidR="00A1685F">
        <w:rPr>
          <w:rFonts w:ascii="Arial" w:hAnsi="Arial" w:cs="Arial"/>
          <w:sz w:val="26"/>
          <w:szCs w:val="26"/>
        </w:rPr>
        <w:t>dos mil dieciocho, por conducto de</w:t>
      </w:r>
      <w:r w:rsidR="00541D24">
        <w:rPr>
          <w:rFonts w:ascii="Arial" w:hAnsi="Arial" w:cs="Arial"/>
          <w:sz w:val="26"/>
          <w:szCs w:val="26"/>
        </w:rPr>
        <w:t xml:space="preserve"> </w:t>
      </w:r>
      <w:r w:rsidR="00A05B40">
        <w:rPr>
          <w:rFonts w:ascii="Arial" w:hAnsi="Arial" w:cs="Arial"/>
          <w:b/>
          <w:sz w:val="26"/>
          <w:szCs w:val="26"/>
        </w:rPr>
        <w:t>***********</w:t>
      </w:r>
      <w:r w:rsidR="00A1685F">
        <w:rPr>
          <w:rFonts w:ascii="Arial" w:hAnsi="Arial" w:cs="Arial"/>
          <w:sz w:val="26"/>
          <w:szCs w:val="26"/>
        </w:rPr>
        <w:t xml:space="preserve">, quien lo recibió a su nombre y firmó de </w:t>
      </w:r>
      <w:r w:rsidR="002117CF">
        <w:rPr>
          <w:rFonts w:ascii="Arial" w:hAnsi="Arial" w:cs="Arial"/>
          <w:sz w:val="26"/>
          <w:szCs w:val="26"/>
        </w:rPr>
        <w:t>enterado</w:t>
      </w:r>
      <w:r w:rsidR="00A1685F">
        <w:rPr>
          <w:rFonts w:ascii="Arial" w:hAnsi="Arial" w:cs="Arial"/>
          <w:sz w:val="26"/>
          <w:szCs w:val="26"/>
        </w:rPr>
        <w:t xml:space="preserve"> dicha diligencia</w:t>
      </w:r>
      <w:r w:rsidR="00CD254E">
        <w:rPr>
          <w:rFonts w:ascii="Arial" w:hAnsi="Arial" w:cs="Arial"/>
          <w:sz w:val="26"/>
          <w:szCs w:val="26"/>
        </w:rPr>
        <w:t>, (folio 31 y 32).</w:t>
      </w:r>
      <w:r w:rsidR="002117CF">
        <w:rPr>
          <w:rFonts w:ascii="Arial" w:hAnsi="Arial" w:cs="Arial"/>
          <w:sz w:val="26"/>
          <w:szCs w:val="26"/>
        </w:rPr>
        <w:t xml:space="preserve"> - - - - </w:t>
      </w:r>
      <w:r w:rsidR="006107F1">
        <w:rPr>
          <w:rFonts w:ascii="Arial" w:hAnsi="Arial" w:cs="Arial"/>
          <w:sz w:val="26"/>
          <w:szCs w:val="26"/>
        </w:rPr>
        <w:t xml:space="preserve">- - - - - - - - - - - - - - </w:t>
      </w:r>
      <w:r w:rsidR="00A05B40">
        <w:rPr>
          <w:rFonts w:ascii="Arial" w:hAnsi="Arial" w:cs="Arial"/>
          <w:sz w:val="26"/>
          <w:szCs w:val="26"/>
        </w:rPr>
        <w:t xml:space="preserve">- - - - - - - - - - - </w:t>
      </w:r>
    </w:p>
    <w:p w14:paraId="0130F995" w14:textId="6C2515B7" w:rsidR="00493632" w:rsidRPr="00516E39" w:rsidRDefault="004B1341" w:rsidP="00493632">
      <w:pPr>
        <w:spacing w:after="120" w:line="360" w:lineRule="auto"/>
        <w:ind w:firstLine="709"/>
        <w:jc w:val="both"/>
        <w:rPr>
          <w:rFonts w:ascii="Arial" w:hAnsi="Arial" w:cs="Arial"/>
          <w:color w:val="212529"/>
          <w:sz w:val="26"/>
          <w:szCs w:val="26"/>
          <w:shd w:val="clear" w:color="auto" w:fill="FFFFFF"/>
        </w:rPr>
      </w:pPr>
      <w:r>
        <w:rPr>
          <w:rFonts w:ascii="Arial" w:hAnsi="Arial" w:cs="Arial"/>
          <w:sz w:val="26"/>
          <w:szCs w:val="26"/>
        </w:rPr>
        <w:lastRenderedPageBreak/>
        <w:t xml:space="preserve">De lo anterior, se advierte que mediante memorándum número </w:t>
      </w:r>
      <w:r w:rsidR="00A05B40">
        <w:rPr>
          <w:rFonts w:ascii="Arial" w:hAnsi="Arial" w:cs="Arial"/>
          <w:b/>
          <w:sz w:val="26"/>
          <w:szCs w:val="26"/>
        </w:rPr>
        <w:t xml:space="preserve">*********** </w:t>
      </w:r>
      <w:r>
        <w:rPr>
          <w:rFonts w:ascii="Arial" w:hAnsi="Arial" w:cs="Arial"/>
          <w:sz w:val="26"/>
          <w:szCs w:val="26"/>
        </w:rPr>
        <w:t>de fecha veintinueve de mayo de dos mil diecisiete, suscrito por el Director  de Responsabilidades Administrativas y Situación Patrimonial, dependiente de la Su</w:t>
      </w:r>
      <w:r w:rsidRPr="001A1EB3">
        <w:rPr>
          <w:rFonts w:ascii="Arial" w:hAnsi="Arial" w:cs="Arial"/>
          <w:sz w:val="26"/>
          <w:szCs w:val="26"/>
        </w:rPr>
        <w:t>b</w:t>
      </w:r>
      <w:r w:rsidR="009E5AF3" w:rsidRPr="001A1EB3">
        <w:rPr>
          <w:rFonts w:ascii="Arial" w:hAnsi="Arial" w:cs="Arial"/>
          <w:sz w:val="26"/>
          <w:szCs w:val="26"/>
        </w:rPr>
        <w:t>secretarí</w:t>
      </w:r>
      <w:r w:rsidRPr="001A1EB3">
        <w:rPr>
          <w:rFonts w:ascii="Arial" w:hAnsi="Arial" w:cs="Arial"/>
          <w:sz w:val="26"/>
          <w:szCs w:val="26"/>
        </w:rPr>
        <w:t>a</w:t>
      </w:r>
      <w:r>
        <w:rPr>
          <w:rFonts w:ascii="Arial" w:hAnsi="Arial" w:cs="Arial"/>
          <w:sz w:val="26"/>
          <w:szCs w:val="26"/>
        </w:rPr>
        <w:t xml:space="preserve"> de la Contraloría y Transparencia Gubernamental del Poder Ejecutivo del Estado Libre y Soberano de Oaxaca, se habilitó como notificador a </w:t>
      </w:r>
      <w:r w:rsidR="00A05B40">
        <w:rPr>
          <w:rFonts w:ascii="Arial" w:hAnsi="Arial" w:cs="Arial"/>
          <w:b/>
          <w:sz w:val="26"/>
          <w:szCs w:val="26"/>
        </w:rPr>
        <w:t>***********</w:t>
      </w:r>
      <w:r>
        <w:rPr>
          <w:rFonts w:ascii="Arial" w:hAnsi="Arial" w:cs="Arial"/>
          <w:sz w:val="26"/>
          <w:szCs w:val="26"/>
        </w:rPr>
        <w:t xml:space="preserve">, quien realizó el citatorio de ocho de febrero de dos mil dieciocho y la cédula de notificación de nueve del mismo mes y año, no obstante que al momento de </w:t>
      </w:r>
      <w:r w:rsidR="00C70977">
        <w:rPr>
          <w:rFonts w:ascii="Arial" w:hAnsi="Arial" w:cs="Arial"/>
          <w:sz w:val="26"/>
          <w:szCs w:val="26"/>
        </w:rPr>
        <w:t xml:space="preserve">ser </w:t>
      </w:r>
      <w:r>
        <w:rPr>
          <w:rFonts w:ascii="Arial" w:hAnsi="Arial" w:cs="Arial"/>
          <w:sz w:val="26"/>
          <w:szCs w:val="26"/>
        </w:rPr>
        <w:t>designa</w:t>
      </w:r>
      <w:r w:rsidR="00C70977">
        <w:rPr>
          <w:rFonts w:ascii="Arial" w:hAnsi="Arial" w:cs="Arial"/>
          <w:sz w:val="26"/>
          <w:szCs w:val="26"/>
        </w:rPr>
        <w:t>do</w:t>
      </w:r>
      <w:r>
        <w:rPr>
          <w:rFonts w:ascii="Arial" w:hAnsi="Arial" w:cs="Arial"/>
          <w:sz w:val="26"/>
          <w:szCs w:val="26"/>
        </w:rPr>
        <w:t xml:space="preserve"> por la autoridad como notificador, se </w:t>
      </w:r>
      <w:r w:rsidR="00614F7E">
        <w:rPr>
          <w:rFonts w:ascii="Arial" w:hAnsi="Arial" w:cs="Arial"/>
          <w:sz w:val="26"/>
          <w:szCs w:val="26"/>
        </w:rPr>
        <w:t>anotó</w:t>
      </w:r>
      <w:r>
        <w:rPr>
          <w:rFonts w:ascii="Arial" w:hAnsi="Arial" w:cs="Arial"/>
          <w:sz w:val="26"/>
          <w:szCs w:val="26"/>
        </w:rPr>
        <w:t xml:space="preserve"> como su segundo apellido </w:t>
      </w:r>
      <w:r w:rsidR="00A05B40">
        <w:rPr>
          <w:rFonts w:ascii="Arial" w:hAnsi="Arial" w:cs="Arial"/>
          <w:b/>
          <w:sz w:val="26"/>
          <w:szCs w:val="26"/>
        </w:rPr>
        <w:t>***********</w:t>
      </w:r>
      <w:r>
        <w:rPr>
          <w:rFonts w:ascii="Arial" w:hAnsi="Arial" w:cs="Arial"/>
          <w:sz w:val="26"/>
          <w:szCs w:val="26"/>
        </w:rPr>
        <w:t xml:space="preserve"> y no </w:t>
      </w:r>
      <w:r w:rsidR="00A05B40">
        <w:rPr>
          <w:rFonts w:ascii="Arial" w:hAnsi="Arial" w:cs="Arial"/>
          <w:b/>
          <w:sz w:val="26"/>
          <w:szCs w:val="26"/>
        </w:rPr>
        <w:t>***********</w:t>
      </w:r>
      <w:r>
        <w:rPr>
          <w:rFonts w:ascii="Arial" w:hAnsi="Arial" w:cs="Arial"/>
          <w:sz w:val="26"/>
          <w:szCs w:val="26"/>
        </w:rPr>
        <w:t>;</w:t>
      </w:r>
      <w:r w:rsidR="00B56BFC">
        <w:rPr>
          <w:rFonts w:ascii="Arial" w:hAnsi="Arial" w:cs="Arial"/>
          <w:sz w:val="26"/>
          <w:szCs w:val="26"/>
        </w:rPr>
        <w:t xml:space="preserve"> lo cual resulta irrelevante al tratarse de un error mecanográfico, pues </w:t>
      </w:r>
      <w:r w:rsidR="00614F7E">
        <w:rPr>
          <w:rFonts w:ascii="Arial" w:hAnsi="Arial" w:cs="Arial"/>
          <w:sz w:val="26"/>
          <w:szCs w:val="26"/>
        </w:rPr>
        <w:t xml:space="preserve">el cambio </w:t>
      </w:r>
      <w:r w:rsidR="00B56BFC">
        <w:rPr>
          <w:rFonts w:ascii="Arial" w:hAnsi="Arial" w:cs="Arial"/>
          <w:sz w:val="26"/>
          <w:szCs w:val="26"/>
        </w:rPr>
        <w:t>de las letras</w:t>
      </w:r>
      <w:r w:rsidR="00614F7E">
        <w:rPr>
          <w:rFonts w:ascii="Arial" w:hAnsi="Arial" w:cs="Arial"/>
          <w:sz w:val="26"/>
          <w:szCs w:val="26"/>
        </w:rPr>
        <w:t>,</w:t>
      </w:r>
      <w:r w:rsidR="00B56BFC">
        <w:rPr>
          <w:rFonts w:ascii="Arial" w:hAnsi="Arial" w:cs="Arial"/>
          <w:sz w:val="26"/>
          <w:szCs w:val="26"/>
        </w:rPr>
        <w:t xml:space="preserve"> en nada afecta la validez de la actuación llevada a cabo por el notificador, quien se identificó debidamente ante la persona con la que entendió la notificación</w:t>
      </w:r>
      <w:r w:rsidR="00493632">
        <w:rPr>
          <w:rFonts w:ascii="Arial" w:hAnsi="Arial" w:cs="Arial"/>
          <w:sz w:val="26"/>
          <w:szCs w:val="26"/>
        </w:rPr>
        <w:t>, y la realizó conforme lo establece el artículo 112</w:t>
      </w:r>
      <w:r w:rsidR="00493632">
        <w:rPr>
          <w:rStyle w:val="Refdenotaalpie"/>
          <w:rFonts w:ascii="Arial" w:hAnsi="Arial" w:cs="Arial"/>
          <w:sz w:val="26"/>
          <w:szCs w:val="26"/>
        </w:rPr>
        <w:footnoteReference w:id="1"/>
      </w:r>
      <w:r w:rsidR="00493632">
        <w:rPr>
          <w:rFonts w:ascii="Arial" w:hAnsi="Arial" w:cs="Arial"/>
          <w:sz w:val="26"/>
          <w:szCs w:val="26"/>
        </w:rPr>
        <w:t xml:space="preserve"> fracciones IV y V del Código de Procedimiento Civiles para el Estado Libre y Soberano de Oaxaca, de aplicación supletoria. - - - - - - - - - - - - - - - - - - </w:t>
      </w:r>
    </w:p>
    <w:p w14:paraId="048208AC" w14:textId="3FA925DF" w:rsidR="00493632" w:rsidRDefault="00493632" w:rsidP="00516E39">
      <w:pPr>
        <w:spacing w:after="120" w:line="360" w:lineRule="auto"/>
        <w:ind w:firstLine="709"/>
        <w:jc w:val="both"/>
        <w:rPr>
          <w:rFonts w:ascii="Arial" w:hAnsi="Arial" w:cs="Arial"/>
          <w:color w:val="212529"/>
          <w:sz w:val="26"/>
          <w:szCs w:val="26"/>
          <w:shd w:val="clear" w:color="auto" w:fill="FFFFFF"/>
        </w:rPr>
      </w:pPr>
      <w:r>
        <w:rPr>
          <w:rFonts w:ascii="Arial" w:hAnsi="Arial" w:cs="Arial"/>
          <w:color w:val="000000"/>
          <w:sz w:val="26"/>
          <w:szCs w:val="26"/>
          <w:shd w:val="clear" w:color="auto" w:fill="FFFFFF"/>
        </w:rPr>
        <w:t>Así se tiene, que</w:t>
      </w:r>
      <w:r w:rsidR="00C05673" w:rsidRPr="00C05673">
        <w:rPr>
          <w:rFonts w:ascii="Arial" w:hAnsi="Arial" w:cs="Arial"/>
          <w:color w:val="000000"/>
          <w:sz w:val="26"/>
          <w:szCs w:val="26"/>
          <w:shd w:val="clear" w:color="auto" w:fill="FFFFFF"/>
        </w:rPr>
        <w:t xml:space="preserve"> el error mecanográfico en que se incurrió </w:t>
      </w:r>
      <w:r w:rsidR="00C05673">
        <w:rPr>
          <w:rFonts w:ascii="Arial" w:hAnsi="Arial" w:cs="Arial"/>
          <w:color w:val="000000"/>
          <w:sz w:val="26"/>
          <w:szCs w:val="26"/>
          <w:shd w:val="clear" w:color="auto" w:fill="FFFFFF"/>
        </w:rPr>
        <w:t xml:space="preserve">por parte del </w:t>
      </w:r>
      <w:r w:rsidR="00C05673">
        <w:rPr>
          <w:rFonts w:ascii="Arial" w:hAnsi="Arial" w:cs="Arial"/>
          <w:sz w:val="26"/>
          <w:szCs w:val="26"/>
        </w:rPr>
        <w:t xml:space="preserve">Director  de Responsabilidades Administrativas y Situación Patrimonial, dependiente de la </w:t>
      </w:r>
      <w:r w:rsidR="00C05673" w:rsidRPr="001A1EB3">
        <w:rPr>
          <w:rFonts w:ascii="Arial" w:hAnsi="Arial" w:cs="Arial"/>
          <w:sz w:val="26"/>
          <w:szCs w:val="26"/>
        </w:rPr>
        <w:t>Subsec</w:t>
      </w:r>
      <w:r w:rsidR="009E5AF3" w:rsidRPr="001A1EB3">
        <w:rPr>
          <w:rFonts w:ascii="Arial" w:hAnsi="Arial" w:cs="Arial"/>
          <w:sz w:val="26"/>
          <w:szCs w:val="26"/>
        </w:rPr>
        <w:t>retarí</w:t>
      </w:r>
      <w:r w:rsidR="00C05673" w:rsidRPr="001A1EB3">
        <w:rPr>
          <w:rFonts w:ascii="Arial" w:hAnsi="Arial" w:cs="Arial"/>
          <w:sz w:val="26"/>
          <w:szCs w:val="26"/>
        </w:rPr>
        <w:t>a d</w:t>
      </w:r>
      <w:r w:rsidR="00C05673">
        <w:rPr>
          <w:rFonts w:ascii="Arial" w:hAnsi="Arial" w:cs="Arial"/>
          <w:sz w:val="26"/>
          <w:szCs w:val="26"/>
        </w:rPr>
        <w:t xml:space="preserve">e la Contraloría y Transparencia Gubernamental del Poder Ejecutivo del Estado Libre y Soberano de Oaxaca, al habilitar a </w:t>
      </w:r>
      <w:r w:rsidR="00A05B40">
        <w:rPr>
          <w:rFonts w:ascii="Arial" w:hAnsi="Arial" w:cs="Arial"/>
          <w:b/>
          <w:sz w:val="26"/>
          <w:szCs w:val="26"/>
        </w:rPr>
        <w:t>***********</w:t>
      </w:r>
      <w:r w:rsidR="00C05673">
        <w:rPr>
          <w:rFonts w:ascii="Arial" w:hAnsi="Arial" w:cs="Arial"/>
          <w:sz w:val="26"/>
          <w:szCs w:val="26"/>
        </w:rPr>
        <w:t xml:space="preserve">, cuando el nombre correcto es </w:t>
      </w:r>
      <w:r w:rsidR="00A05B40">
        <w:rPr>
          <w:rFonts w:ascii="Arial" w:hAnsi="Arial" w:cs="Arial"/>
          <w:b/>
          <w:sz w:val="26"/>
          <w:szCs w:val="26"/>
        </w:rPr>
        <w:t>***********</w:t>
      </w:r>
      <w:r w:rsidR="00C05673">
        <w:rPr>
          <w:rFonts w:ascii="Arial" w:hAnsi="Arial" w:cs="Arial"/>
          <w:sz w:val="26"/>
          <w:szCs w:val="26"/>
        </w:rPr>
        <w:t>,</w:t>
      </w:r>
      <w:r w:rsidR="00C05673" w:rsidRPr="00C05673">
        <w:rPr>
          <w:rFonts w:ascii="Arial" w:hAnsi="Arial" w:cs="Arial"/>
          <w:color w:val="000000"/>
          <w:sz w:val="26"/>
          <w:szCs w:val="26"/>
          <w:shd w:val="clear" w:color="auto" w:fill="FFFFFF"/>
        </w:rPr>
        <w:t xml:space="preserve"> </w:t>
      </w:r>
      <w:r w:rsidR="009D5656" w:rsidRPr="00C05673">
        <w:rPr>
          <w:rFonts w:ascii="Arial" w:hAnsi="Arial" w:cs="Arial"/>
          <w:color w:val="000000"/>
          <w:sz w:val="26"/>
          <w:szCs w:val="26"/>
          <w:shd w:val="clear" w:color="auto" w:fill="FFFFFF"/>
        </w:rPr>
        <w:t>se considera</w:t>
      </w:r>
      <w:r w:rsidR="00872CC7">
        <w:rPr>
          <w:rFonts w:ascii="Arial" w:hAnsi="Arial" w:cs="Arial"/>
          <w:color w:val="000000"/>
          <w:sz w:val="26"/>
          <w:szCs w:val="26"/>
          <w:shd w:val="clear" w:color="auto" w:fill="FFFFFF"/>
        </w:rPr>
        <w:t xml:space="preserve"> un</w:t>
      </w:r>
      <w:r w:rsidR="009D5656" w:rsidRPr="00C05673">
        <w:rPr>
          <w:rFonts w:ascii="Arial" w:hAnsi="Arial" w:cs="Arial"/>
          <w:color w:val="000000"/>
          <w:sz w:val="26"/>
          <w:szCs w:val="26"/>
          <w:shd w:val="clear" w:color="auto" w:fill="FFFFFF"/>
        </w:rPr>
        <w:t xml:space="preserve"> aspecto intrascendente para el resultado del fallo definitivo que haya de pronunciarse dentro </w:t>
      </w:r>
      <w:r w:rsidR="00872CC7">
        <w:rPr>
          <w:rFonts w:ascii="Arial" w:hAnsi="Arial" w:cs="Arial"/>
          <w:color w:val="000000"/>
          <w:sz w:val="26"/>
          <w:szCs w:val="26"/>
          <w:shd w:val="clear" w:color="auto" w:fill="FFFFFF"/>
        </w:rPr>
        <w:t xml:space="preserve">del </w:t>
      </w:r>
      <w:r w:rsidR="009D5656" w:rsidRPr="00C05673">
        <w:rPr>
          <w:rFonts w:ascii="Arial" w:hAnsi="Arial" w:cs="Arial"/>
          <w:color w:val="000000"/>
          <w:sz w:val="26"/>
          <w:szCs w:val="26"/>
          <w:shd w:val="clear" w:color="auto" w:fill="FFFFFF"/>
        </w:rPr>
        <w:t>procedimiento</w:t>
      </w:r>
      <w:r w:rsidR="00872CC7">
        <w:rPr>
          <w:rFonts w:ascii="Arial" w:hAnsi="Arial" w:cs="Arial"/>
          <w:color w:val="000000"/>
          <w:sz w:val="26"/>
          <w:szCs w:val="26"/>
          <w:shd w:val="clear" w:color="auto" w:fill="FFFFFF"/>
        </w:rPr>
        <w:t xml:space="preserve"> administrativo</w:t>
      </w:r>
      <w:r w:rsidR="009D5656" w:rsidRPr="00C05673">
        <w:rPr>
          <w:rFonts w:ascii="Arial" w:hAnsi="Arial" w:cs="Arial"/>
          <w:color w:val="000000"/>
          <w:sz w:val="26"/>
          <w:szCs w:val="26"/>
          <w:shd w:val="clear" w:color="auto" w:fill="FFFFFF"/>
        </w:rPr>
        <w:t xml:space="preserve">, </w:t>
      </w:r>
      <w:r w:rsidR="006714ED">
        <w:rPr>
          <w:rFonts w:ascii="Arial" w:hAnsi="Arial" w:cs="Arial"/>
          <w:color w:val="000000"/>
          <w:sz w:val="26"/>
          <w:szCs w:val="26"/>
          <w:shd w:val="clear" w:color="auto" w:fill="FFFFFF"/>
        </w:rPr>
        <w:t xml:space="preserve">toda vez que el motivo de la notificación era darle a conocer a </w:t>
      </w:r>
      <w:r w:rsidR="00A05B40">
        <w:rPr>
          <w:rFonts w:ascii="Arial" w:hAnsi="Arial" w:cs="Arial"/>
          <w:b/>
          <w:sz w:val="26"/>
          <w:szCs w:val="26"/>
        </w:rPr>
        <w:t>***********</w:t>
      </w:r>
      <w:r w:rsidR="006714ED">
        <w:rPr>
          <w:rFonts w:ascii="Arial" w:hAnsi="Arial" w:cs="Arial"/>
          <w:color w:val="000000"/>
          <w:sz w:val="26"/>
          <w:szCs w:val="26"/>
          <w:shd w:val="clear" w:color="auto" w:fill="FFFFFF"/>
        </w:rPr>
        <w:t xml:space="preserve">, </w:t>
      </w:r>
      <w:r w:rsidR="00C70977">
        <w:rPr>
          <w:rFonts w:ascii="Arial" w:hAnsi="Arial" w:cs="Arial"/>
          <w:color w:val="000000"/>
          <w:sz w:val="26"/>
          <w:szCs w:val="26"/>
          <w:shd w:val="clear" w:color="auto" w:fill="FFFFFF"/>
        </w:rPr>
        <w:t xml:space="preserve">en forma oportuna </w:t>
      </w:r>
      <w:r w:rsidR="006714ED">
        <w:rPr>
          <w:rFonts w:ascii="Arial" w:hAnsi="Arial" w:cs="Arial"/>
          <w:color w:val="000000"/>
          <w:sz w:val="26"/>
          <w:szCs w:val="26"/>
          <w:shd w:val="clear" w:color="auto" w:fill="FFFFFF"/>
        </w:rPr>
        <w:t xml:space="preserve">el procedimiento administrativo </w:t>
      </w:r>
      <w:r w:rsidR="00C70977">
        <w:rPr>
          <w:rFonts w:ascii="Arial" w:hAnsi="Arial" w:cs="Arial"/>
          <w:color w:val="000000"/>
          <w:sz w:val="26"/>
          <w:szCs w:val="26"/>
          <w:shd w:val="clear" w:color="auto" w:fill="FFFFFF"/>
        </w:rPr>
        <w:t>iniciado</w:t>
      </w:r>
      <w:r w:rsidR="006714ED">
        <w:rPr>
          <w:rFonts w:ascii="Arial" w:hAnsi="Arial" w:cs="Arial"/>
          <w:color w:val="000000"/>
          <w:sz w:val="26"/>
          <w:szCs w:val="26"/>
          <w:shd w:val="clear" w:color="auto" w:fill="FFFFFF"/>
        </w:rPr>
        <w:t xml:space="preserve"> en su contra, </w:t>
      </w:r>
      <w:r w:rsidR="00C70977">
        <w:rPr>
          <w:rFonts w:ascii="Arial" w:hAnsi="Arial" w:cs="Arial"/>
          <w:color w:val="000000"/>
          <w:sz w:val="26"/>
          <w:szCs w:val="26"/>
          <w:shd w:val="clear" w:color="auto" w:fill="FFFFFF"/>
        </w:rPr>
        <w:t xml:space="preserve">circunstancia </w:t>
      </w:r>
      <w:r w:rsidR="006714ED">
        <w:rPr>
          <w:rFonts w:ascii="Arial" w:hAnsi="Arial" w:cs="Arial"/>
          <w:color w:val="000000"/>
          <w:sz w:val="26"/>
          <w:szCs w:val="26"/>
          <w:shd w:val="clear" w:color="auto" w:fill="FFFFFF"/>
        </w:rPr>
        <w:t xml:space="preserve">que se cumplió al entregarse el oficio </w:t>
      </w:r>
      <w:r w:rsidR="00A05B40">
        <w:rPr>
          <w:rFonts w:ascii="Arial" w:hAnsi="Arial" w:cs="Arial"/>
          <w:b/>
          <w:sz w:val="26"/>
          <w:szCs w:val="26"/>
        </w:rPr>
        <w:t xml:space="preserve">*********** </w:t>
      </w:r>
      <w:r w:rsidR="006714ED">
        <w:rPr>
          <w:rFonts w:ascii="Arial" w:hAnsi="Arial" w:cs="Arial"/>
          <w:sz w:val="26"/>
          <w:szCs w:val="26"/>
        </w:rPr>
        <w:t xml:space="preserve">de fecha siete de febrero dos mil dieciocho, </w:t>
      </w:r>
      <w:r w:rsidR="00C70977">
        <w:rPr>
          <w:rFonts w:ascii="Arial" w:hAnsi="Arial" w:cs="Arial"/>
          <w:sz w:val="26"/>
          <w:szCs w:val="26"/>
        </w:rPr>
        <w:t xml:space="preserve">por conducto de </w:t>
      </w:r>
      <w:r w:rsidR="006714ED">
        <w:rPr>
          <w:rFonts w:ascii="Arial" w:hAnsi="Arial" w:cs="Arial"/>
          <w:sz w:val="26"/>
          <w:szCs w:val="26"/>
        </w:rPr>
        <w:t>la persona que se encontraba en su domicilio</w:t>
      </w:r>
      <w:r w:rsidR="00C70977">
        <w:rPr>
          <w:rFonts w:ascii="Arial" w:hAnsi="Arial" w:cs="Arial"/>
          <w:sz w:val="26"/>
          <w:szCs w:val="26"/>
        </w:rPr>
        <w:t xml:space="preserve"> en el momento de la notificación</w:t>
      </w:r>
      <w:r w:rsidR="006714ED">
        <w:rPr>
          <w:rFonts w:ascii="Arial" w:hAnsi="Arial" w:cs="Arial"/>
          <w:sz w:val="26"/>
          <w:szCs w:val="26"/>
        </w:rPr>
        <w:t>, quien firm</w:t>
      </w:r>
      <w:r w:rsidR="00C70977">
        <w:rPr>
          <w:rFonts w:ascii="Arial" w:hAnsi="Arial" w:cs="Arial"/>
          <w:sz w:val="26"/>
          <w:szCs w:val="26"/>
        </w:rPr>
        <w:t>ó</w:t>
      </w:r>
      <w:r w:rsidR="006714ED">
        <w:rPr>
          <w:rFonts w:ascii="Arial" w:hAnsi="Arial" w:cs="Arial"/>
          <w:sz w:val="26"/>
          <w:szCs w:val="26"/>
        </w:rPr>
        <w:t xml:space="preserve"> de enterado en nombre del interesado, por </w:t>
      </w:r>
      <w:r w:rsidR="00C70977">
        <w:rPr>
          <w:rFonts w:ascii="Arial" w:hAnsi="Arial" w:cs="Arial"/>
          <w:sz w:val="26"/>
          <w:szCs w:val="26"/>
        </w:rPr>
        <w:t>lo</w:t>
      </w:r>
      <w:r w:rsidR="006714ED">
        <w:rPr>
          <w:rFonts w:ascii="Arial" w:hAnsi="Arial" w:cs="Arial"/>
          <w:sz w:val="26"/>
          <w:szCs w:val="26"/>
        </w:rPr>
        <w:t xml:space="preserve"> que la c</w:t>
      </w:r>
      <w:r w:rsidR="00323FDC">
        <w:rPr>
          <w:rFonts w:ascii="Arial" w:hAnsi="Arial" w:cs="Arial"/>
          <w:sz w:val="26"/>
          <w:szCs w:val="26"/>
        </w:rPr>
        <w:t>éd</w:t>
      </w:r>
      <w:r w:rsidR="006714ED">
        <w:rPr>
          <w:rFonts w:ascii="Arial" w:hAnsi="Arial" w:cs="Arial"/>
          <w:sz w:val="26"/>
          <w:szCs w:val="26"/>
        </w:rPr>
        <w:t>ula de notificación de fecha nueve de febrero de dos dieciocho resulta ser válida</w:t>
      </w:r>
      <w:r w:rsidR="00323FDC">
        <w:rPr>
          <w:rFonts w:ascii="Arial" w:hAnsi="Arial" w:cs="Arial"/>
          <w:sz w:val="26"/>
          <w:szCs w:val="26"/>
        </w:rPr>
        <w:t xml:space="preserve"> y no procede su nulidad</w:t>
      </w:r>
      <w:r w:rsidR="00186D28">
        <w:rPr>
          <w:rFonts w:ascii="Arial" w:hAnsi="Arial" w:cs="Arial"/>
          <w:sz w:val="26"/>
          <w:szCs w:val="26"/>
        </w:rPr>
        <w:t xml:space="preserve">, </w:t>
      </w:r>
      <w:r w:rsidR="00186D28" w:rsidRPr="00516E39">
        <w:rPr>
          <w:rFonts w:ascii="Arial" w:hAnsi="Arial" w:cs="Arial"/>
          <w:color w:val="212529"/>
          <w:sz w:val="26"/>
          <w:szCs w:val="26"/>
          <w:shd w:val="clear" w:color="auto" w:fill="FFFFFF"/>
        </w:rPr>
        <w:t>pues la notificación no constituye una resolución administrativa, sino la comunicación de ésta, por lo que no tiene contenido particular, sino que transmite el del acto que la antecede</w:t>
      </w:r>
      <w:r>
        <w:rPr>
          <w:rFonts w:ascii="Arial" w:hAnsi="Arial" w:cs="Arial"/>
          <w:color w:val="212529"/>
          <w:sz w:val="26"/>
          <w:szCs w:val="26"/>
          <w:shd w:val="clear" w:color="auto" w:fill="FFFFFF"/>
        </w:rPr>
        <w:t>.</w:t>
      </w:r>
    </w:p>
    <w:p w14:paraId="53A44756" w14:textId="6B9C55EB" w:rsidR="00516E39" w:rsidRDefault="00493632" w:rsidP="00516E39">
      <w:pPr>
        <w:spacing w:after="120" w:line="360" w:lineRule="auto"/>
        <w:ind w:firstLine="709"/>
        <w:jc w:val="both"/>
        <w:rPr>
          <w:rFonts w:ascii="Arial" w:hAnsi="Arial" w:cs="Arial"/>
          <w:color w:val="212529"/>
          <w:sz w:val="26"/>
          <w:szCs w:val="26"/>
          <w:shd w:val="clear" w:color="auto" w:fill="FFFFFF"/>
        </w:rPr>
      </w:pPr>
      <w:r>
        <w:rPr>
          <w:rFonts w:ascii="Arial" w:hAnsi="Arial" w:cs="Arial"/>
          <w:color w:val="212529"/>
          <w:sz w:val="26"/>
          <w:szCs w:val="26"/>
          <w:shd w:val="clear" w:color="auto" w:fill="FFFFFF"/>
        </w:rPr>
        <w:lastRenderedPageBreak/>
        <w:t>A</w:t>
      </w:r>
      <w:r w:rsidR="00186D28" w:rsidRPr="00516E39">
        <w:rPr>
          <w:rFonts w:ascii="Arial" w:hAnsi="Arial" w:cs="Arial"/>
          <w:color w:val="212529"/>
          <w:sz w:val="26"/>
          <w:szCs w:val="26"/>
          <w:shd w:val="clear" w:color="auto" w:fill="FFFFFF"/>
        </w:rPr>
        <w:t>demás de que constituye la actuación que complementa una decisión de la autoridad administrativa</w:t>
      </w:r>
      <w:r>
        <w:rPr>
          <w:rFonts w:ascii="Arial" w:hAnsi="Arial" w:cs="Arial"/>
          <w:color w:val="212529"/>
          <w:sz w:val="26"/>
          <w:szCs w:val="26"/>
          <w:shd w:val="clear" w:color="auto" w:fill="FFFFFF"/>
        </w:rPr>
        <w:t xml:space="preserve">, respecto de </w:t>
      </w:r>
      <w:r w:rsidR="00516E39" w:rsidRPr="00516E39">
        <w:rPr>
          <w:rFonts w:ascii="Arial" w:hAnsi="Arial" w:cs="Arial"/>
          <w:color w:val="212529"/>
          <w:sz w:val="26"/>
          <w:szCs w:val="26"/>
          <w:shd w:val="clear" w:color="auto" w:fill="FFFFFF"/>
        </w:rPr>
        <w:t xml:space="preserve">los actos de autoridad </w:t>
      </w:r>
      <w:r>
        <w:rPr>
          <w:rFonts w:ascii="Arial" w:hAnsi="Arial" w:cs="Arial"/>
          <w:color w:val="212529"/>
          <w:sz w:val="26"/>
          <w:szCs w:val="26"/>
          <w:shd w:val="clear" w:color="auto" w:fill="FFFFFF"/>
        </w:rPr>
        <w:t xml:space="preserve">que </w:t>
      </w:r>
      <w:r w:rsidR="00516E39" w:rsidRPr="00516E39">
        <w:rPr>
          <w:rFonts w:ascii="Arial" w:hAnsi="Arial" w:cs="Arial"/>
          <w:color w:val="212529"/>
          <w:sz w:val="26"/>
          <w:szCs w:val="26"/>
          <w:shd w:val="clear" w:color="auto" w:fill="FFFFFF"/>
        </w:rPr>
        <w:t xml:space="preserve">sean notificados a las partes, pues ello </w:t>
      </w:r>
      <w:r w:rsidRPr="00516E39">
        <w:rPr>
          <w:rFonts w:ascii="Arial" w:hAnsi="Arial" w:cs="Arial"/>
          <w:color w:val="212529"/>
          <w:sz w:val="26"/>
          <w:szCs w:val="26"/>
          <w:shd w:val="clear" w:color="auto" w:fill="FFFFFF"/>
        </w:rPr>
        <w:t>establece</w:t>
      </w:r>
      <w:r w:rsidR="00516E39" w:rsidRPr="00516E39">
        <w:rPr>
          <w:rFonts w:ascii="Arial" w:hAnsi="Arial" w:cs="Arial"/>
          <w:color w:val="212529"/>
          <w:sz w:val="26"/>
          <w:szCs w:val="26"/>
          <w:shd w:val="clear" w:color="auto" w:fill="FFFFFF"/>
        </w:rPr>
        <w:t xml:space="preserve"> un derecho de los particulares y una garantía de seguridad jurídica frente a la actividad de</w:t>
      </w:r>
      <w:r w:rsidR="00334B2E">
        <w:rPr>
          <w:rFonts w:ascii="Arial" w:hAnsi="Arial" w:cs="Arial"/>
          <w:color w:val="212529"/>
          <w:sz w:val="26"/>
          <w:szCs w:val="26"/>
          <w:shd w:val="clear" w:color="auto" w:fill="FFFFFF"/>
        </w:rPr>
        <w:t>l órgano administrativo que va a llevar a cabo el procedimiento</w:t>
      </w:r>
      <w:r w:rsidR="00516E39" w:rsidRPr="00516E39">
        <w:rPr>
          <w:rFonts w:ascii="Arial" w:hAnsi="Arial" w:cs="Arial"/>
          <w:color w:val="212529"/>
          <w:sz w:val="26"/>
          <w:szCs w:val="26"/>
          <w:shd w:val="clear" w:color="auto" w:fill="FFFFFF"/>
        </w:rPr>
        <w:t xml:space="preserve">; sin embargo, el hecho de que </w:t>
      </w:r>
      <w:r w:rsidR="00334B2E">
        <w:rPr>
          <w:rFonts w:ascii="Arial" w:hAnsi="Arial" w:cs="Arial"/>
          <w:color w:val="212529"/>
          <w:sz w:val="26"/>
          <w:szCs w:val="26"/>
          <w:shd w:val="clear" w:color="auto" w:fill="FFFFFF"/>
        </w:rPr>
        <w:t>exista un error en el apellido del</w:t>
      </w:r>
      <w:r w:rsidR="00516E39" w:rsidRPr="00516E39">
        <w:rPr>
          <w:rFonts w:ascii="Arial" w:hAnsi="Arial" w:cs="Arial"/>
          <w:color w:val="212529"/>
          <w:sz w:val="26"/>
          <w:szCs w:val="26"/>
          <w:shd w:val="clear" w:color="auto" w:fill="FFFFFF"/>
        </w:rPr>
        <w:t xml:space="preserve"> notificador </w:t>
      </w:r>
      <w:r w:rsidR="00334B2E">
        <w:rPr>
          <w:rFonts w:ascii="Arial" w:hAnsi="Arial" w:cs="Arial"/>
          <w:color w:val="212529"/>
          <w:sz w:val="26"/>
          <w:szCs w:val="26"/>
          <w:shd w:val="clear" w:color="auto" w:fill="FFFFFF"/>
        </w:rPr>
        <w:t xml:space="preserve">al momento de su habilitación, </w:t>
      </w:r>
      <w:r w:rsidR="00516E39" w:rsidRPr="00516E39">
        <w:rPr>
          <w:rFonts w:ascii="Arial" w:hAnsi="Arial" w:cs="Arial"/>
          <w:color w:val="212529"/>
          <w:sz w:val="26"/>
          <w:szCs w:val="26"/>
          <w:shd w:val="clear" w:color="auto" w:fill="FFFFFF"/>
        </w:rPr>
        <w:t xml:space="preserve">no implica que </w:t>
      </w:r>
      <w:r w:rsidR="00334B2E">
        <w:rPr>
          <w:rFonts w:ascii="Arial" w:hAnsi="Arial" w:cs="Arial"/>
          <w:color w:val="212529"/>
          <w:sz w:val="26"/>
          <w:szCs w:val="26"/>
          <w:shd w:val="clear" w:color="auto" w:fill="FFFFFF"/>
        </w:rPr>
        <w:t xml:space="preserve">la notificación </w:t>
      </w:r>
      <w:r w:rsidR="00516E39" w:rsidRPr="00516E39">
        <w:rPr>
          <w:rFonts w:ascii="Arial" w:hAnsi="Arial" w:cs="Arial"/>
          <w:color w:val="212529"/>
          <w:sz w:val="26"/>
          <w:szCs w:val="26"/>
          <w:shd w:val="clear" w:color="auto" w:fill="FFFFFF"/>
        </w:rPr>
        <w:t>carezca de validez, si la formalidad esencial del procedimiento de comunicar a los particulares las decisiones de la autoridad administrativa</w:t>
      </w:r>
      <w:r w:rsidR="00334B2E">
        <w:rPr>
          <w:rFonts w:ascii="Arial" w:hAnsi="Arial" w:cs="Arial"/>
          <w:color w:val="212529"/>
          <w:sz w:val="26"/>
          <w:szCs w:val="26"/>
          <w:shd w:val="clear" w:color="auto" w:fill="FFFFFF"/>
        </w:rPr>
        <w:t>,</w:t>
      </w:r>
      <w:r w:rsidR="00516E39" w:rsidRPr="00516E39">
        <w:rPr>
          <w:rFonts w:ascii="Arial" w:hAnsi="Arial" w:cs="Arial"/>
          <w:color w:val="212529"/>
          <w:sz w:val="26"/>
          <w:szCs w:val="26"/>
          <w:shd w:val="clear" w:color="auto" w:fill="FFFFFF"/>
        </w:rPr>
        <w:t xml:space="preserve"> consiste en hacerlas de su conocimiento. Lo anterior es así, porque lo que resulta trascendente es la observancia de una serie de requisitos para garantizar tal conocimiento, pero no así de la persona del notificador, quien, aunque figura como el ejecutor del acto de autoridad, juega un papel secundario en la finalidad de éste; de ahí que su </w:t>
      </w:r>
      <w:r w:rsidR="00516E39" w:rsidRPr="00516E39">
        <w:rPr>
          <w:rFonts w:ascii="Arial" w:hAnsi="Arial" w:cs="Arial"/>
          <w:color w:val="212529"/>
          <w:sz w:val="26"/>
          <w:szCs w:val="26"/>
        </w:rPr>
        <w:t>identificación</w:t>
      </w:r>
      <w:r w:rsidR="00516E39" w:rsidRPr="00516E39">
        <w:rPr>
          <w:rFonts w:ascii="Arial" w:hAnsi="Arial" w:cs="Arial"/>
          <w:color w:val="212529"/>
          <w:sz w:val="26"/>
          <w:szCs w:val="26"/>
          <w:shd w:val="clear" w:color="auto" w:fill="FFFFFF"/>
        </w:rPr>
        <w:t> constituya una formalidad accidental, pues lo que tiene relevancia es su actuación.</w:t>
      </w:r>
      <w:r w:rsidR="003928EC">
        <w:rPr>
          <w:rFonts w:ascii="Arial" w:hAnsi="Arial" w:cs="Arial"/>
          <w:color w:val="212529"/>
          <w:sz w:val="26"/>
          <w:szCs w:val="26"/>
          <w:shd w:val="clear" w:color="auto" w:fill="FFFFFF"/>
        </w:rPr>
        <w:t xml:space="preserve"> </w:t>
      </w:r>
      <w:r w:rsidR="00516E39" w:rsidRPr="00516E39">
        <w:rPr>
          <w:rFonts w:ascii="Arial" w:hAnsi="Arial" w:cs="Arial"/>
          <w:color w:val="212529"/>
          <w:sz w:val="26"/>
          <w:szCs w:val="26"/>
          <w:shd w:val="clear" w:color="auto" w:fill="FFFFFF"/>
        </w:rPr>
        <w:t>- - - - - - - - -</w:t>
      </w:r>
      <w:r w:rsidR="003928EC">
        <w:rPr>
          <w:rFonts w:ascii="Arial" w:hAnsi="Arial" w:cs="Arial"/>
          <w:color w:val="212529"/>
          <w:sz w:val="26"/>
          <w:szCs w:val="26"/>
          <w:shd w:val="clear" w:color="auto" w:fill="FFFFFF"/>
        </w:rPr>
        <w:t xml:space="preserve"> - - - - - - - - - - - - - - - - - - - </w:t>
      </w:r>
    </w:p>
    <w:p w14:paraId="461409F6" w14:textId="7CC66A64" w:rsidR="00146A13" w:rsidRPr="001A1EB3" w:rsidRDefault="009F29A5" w:rsidP="00516E39">
      <w:pPr>
        <w:spacing w:after="120" w:line="360" w:lineRule="auto"/>
        <w:ind w:firstLine="709"/>
        <w:jc w:val="both"/>
        <w:rPr>
          <w:rFonts w:ascii="Arial" w:hAnsi="Arial" w:cs="Arial"/>
          <w:color w:val="212529"/>
          <w:sz w:val="26"/>
          <w:szCs w:val="26"/>
          <w:shd w:val="clear" w:color="auto" w:fill="FFFFFF"/>
        </w:rPr>
      </w:pPr>
      <w:r>
        <w:rPr>
          <w:rFonts w:ascii="Arial" w:hAnsi="Arial" w:cs="Arial"/>
          <w:color w:val="212529"/>
          <w:sz w:val="26"/>
          <w:szCs w:val="26"/>
          <w:shd w:val="clear" w:color="auto" w:fill="FFFFFF"/>
        </w:rPr>
        <w:t xml:space="preserve">Por tanto, el hecho de que exista error en el apellido de la persona habilitada como notificador, no vicia el acta de notificación de nueve de febrero de dos mil dieciocho, </w:t>
      </w:r>
      <w:r w:rsidR="00146A13">
        <w:rPr>
          <w:rFonts w:ascii="Arial" w:hAnsi="Arial" w:cs="Arial"/>
          <w:color w:val="212529"/>
          <w:sz w:val="26"/>
          <w:szCs w:val="26"/>
          <w:shd w:val="clear" w:color="auto" w:fill="FFFFFF"/>
        </w:rPr>
        <w:t>al haberse</w:t>
      </w:r>
      <w:r>
        <w:rPr>
          <w:rFonts w:ascii="Arial" w:hAnsi="Arial" w:cs="Arial"/>
          <w:color w:val="212529"/>
          <w:sz w:val="26"/>
          <w:szCs w:val="26"/>
          <w:shd w:val="clear" w:color="auto" w:fill="FFFFFF"/>
        </w:rPr>
        <w:t xml:space="preserve"> cumpli</w:t>
      </w:r>
      <w:r w:rsidR="00146A13">
        <w:rPr>
          <w:rFonts w:ascii="Arial" w:hAnsi="Arial" w:cs="Arial"/>
          <w:color w:val="212529"/>
          <w:sz w:val="26"/>
          <w:szCs w:val="26"/>
          <w:shd w:val="clear" w:color="auto" w:fill="FFFFFF"/>
        </w:rPr>
        <w:t>do</w:t>
      </w:r>
      <w:r>
        <w:rPr>
          <w:rFonts w:ascii="Arial" w:hAnsi="Arial" w:cs="Arial"/>
          <w:color w:val="212529"/>
          <w:sz w:val="26"/>
          <w:szCs w:val="26"/>
          <w:shd w:val="clear" w:color="auto" w:fill="FFFFFF"/>
        </w:rPr>
        <w:t xml:space="preserve"> con las formalidades requeridas para las notificaciones, </w:t>
      </w:r>
      <w:r w:rsidR="001D3E18">
        <w:rPr>
          <w:rFonts w:ascii="Arial" w:hAnsi="Arial" w:cs="Arial"/>
          <w:color w:val="212529"/>
          <w:sz w:val="26"/>
          <w:szCs w:val="26"/>
          <w:shd w:val="clear" w:color="auto" w:fill="FFFFFF"/>
        </w:rPr>
        <w:t xml:space="preserve">pues el </w:t>
      </w:r>
      <w:r w:rsidR="001D3E18">
        <w:rPr>
          <w:rFonts w:ascii="Arial" w:hAnsi="Arial" w:cs="Arial"/>
          <w:sz w:val="26"/>
          <w:szCs w:val="26"/>
        </w:rPr>
        <w:t xml:space="preserve">oficio </w:t>
      </w:r>
      <w:r w:rsidR="00A05B40">
        <w:rPr>
          <w:rFonts w:ascii="Arial" w:hAnsi="Arial" w:cs="Arial"/>
          <w:b/>
          <w:sz w:val="26"/>
          <w:szCs w:val="26"/>
        </w:rPr>
        <w:t xml:space="preserve">*********** </w:t>
      </w:r>
      <w:r w:rsidR="001D3E18">
        <w:rPr>
          <w:rFonts w:ascii="Arial" w:hAnsi="Arial" w:cs="Arial"/>
          <w:sz w:val="26"/>
          <w:szCs w:val="26"/>
        </w:rPr>
        <w:t xml:space="preserve">de fecha siete de febrero dos mil dieciocho, en el cual se informa del procedimiento administrativo iniciado en contra de </w:t>
      </w:r>
      <w:r w:rsidR="00A05B40">
        <w:rPr>
          <w:rFonts w:ascii="Arial" w:hAnsi="Arial" w:cs="Arial"/>
          <w:b/>
          <w:sz w:val="26"/>
          <w:szCs w:val="26"/>
        </w:rPr>
        <w:t>***********,</w:t>
      </w:r>
      <w:r w:rsidR="001D3E18">
        <w:rPr>
          <w:rFonts w:ascii="Arial" w:hAnsi="Arial" w:cs="Arial"/>
          <w:sz w:val="26"/>
          <w:szCs w:val="26"/>
        </w:rPr>
        <w:t xml:space="preserve"> se hizo de su conocimiento al haberse entregado por conducto de  </w:t>
      </w:r>
      <w:r w:rsidR="00A05B40">
        <w:rPr>
          <w:rFonts w:ascii="Arial" w:hAnsi="Arial" w:cs="Arial"/>
          <w:b/>
          <w:sz w:val="26"/>
          <w:szCs w:val="26"/>
        </w:rPr>
        <w:t>***********</w:t>
      </w:r>
      <w:r w:rsidR="001D3E18">
        <w:rPr>
          <w:rFonts w:ascii="Arial" w:hAnsi="Arial" w:cs="Arial"/>
          <w:sz w:val="26"/>
          <w:szCs w:val="26"/>
        </w:rPr>
        <w:t xml:space="preserve">, persona que en </w:t>
      </w:r>
      <w:r>
        <w:rPr>
          <w:rFonts w:ascii="Arial" w:hAnsi="Arial" w:cs="Arial"/>
          <w:color w:val="212529"/>
          <w:sz w:val="26"/>
          <w:szCs w:val="26"/>
          <w:shd w:val="clear" w:color="auto" w:fill="FFFFFF"/>
        </w:rPr>
        <w:t>ese momento se encontraba en el domicilio de</w:t>
      </w:r>
      <w:r w:rsidR="001D3E18">
        <w:rPr>
          <w:rFonts w:ascii="Arial" w:hAnsi="Arial" w:cs="Arial"/>
          <w:color w:val="212529"/>
          <w:sz w:val="26"/>
          <w:szCs w:val="26"/>
          <w:shd w:val="clear" w:color="auto" w:fill="FFFFFF"/>
        </w:rPr>
        <w:t>l interesado</w:t>
      </w:r>
      <w:r>
        <w:rPr>
          <w:rFonts w:ascii="Arial" w:hAnsi="Arial" w:cs="Arial"/>
          <w:color w:val="212529"/>
          <w:sz w:val="26"/>
          <w:szCs w:val="26"/>
          <w:shd w:val="clear" w:color="auto" w:fill="FFFFFF"/>
        </w:rPr>
        <w:t xml:space="preserve">, </w:t>
      </w:r>
      <w:r w:rsidR="001D3E18">
        <w:rPr>
          <w:rFonts w:ascii="Arial" w:hAnsi="Arial" w:cs="Arial"/>
          <w:color w:val="212529"/>
          <w:sz w:val="26"/>
          <w:szCs w:val="26"/>
          <w:shd w:val="clear" w:color="auto" w:fill="FFFFFF"/>
        </w:rPr>
        <w:t>pues en ningún manifestó desconocer a dicha persona</w:t>
      </w:r>
      <w:r>
        <w:rPr>
          <w:rFonts w:ascii="Arial" w:hAnsi="Arial" w:cs="Arial"/>
          <w:color w:val="212529"/>
          <w:sz w:val="26"/>
          <w:szCs w:val="26"/>
          <w:shd w:val="clear" w:color="auto" w:fill="FFFFFF"/>
        </w:rPr>
        <w:t xml:space="preserve">, por lo </w:t>
      </w:r>
      <w:r w:rsidRPr="001A1EB3">
        <w:rPr>
          <w:rFonts w:ascii="Arial" w:hAnsi="Arial" w:cs="Arial"/>
          <w:color w:val="212529"/>
          <w:sz w:val="26"/>
          <w:szCs w:val="26"/>
          <w:shd w:val="clear" w:color="auto" w:fill="FFFFFF"/>
        </w:rPr>
        <w:t>que con</w:t>
      </w:r>
      <w:r w:rsidR="009E5AF3" w:rsidRPr="001A1EB3">
        <w:rPr>
          <w:rFonts w:ascii="Arial" w:hAnsi="Arial" w:cs="Arial"/>
          <w:color w:val="212529"/>
          <w:sz w:val="26"/>
          <w:szCs w:val="26"/>
          <w:shd w:val="clear" w:color="auto" w:fill="FFFFFF"/>
        </w:rPr>
        <w:t>validó</w:t>
      </w:r>
      <w:r w:rsidRPr="001A1EB3">
        <w:rPr>
          <w:rFonts w:ascii="Arial" w:hAnsi="Arial" w:cs="Arial"/>
          <w:color w:val="212529"/>
          <w:sz w:val="26"/>
          <w:szCs w:val="26"/>
          <w:shd w:val="clear" w:color="auto" w:fill="FFFFFF"/>
        </w:rPr>
        <w:t xml:space="preserve"> la referida notificación</w:t>
      </w:r>
      <w:r w:rsidR="00146A13" w:rsidRPr="001A1EB3">
        <w:rPr>
          <w:rFonts w:ascii="Arial" w:hAnsi="Arial" w:cs="Arial"/>
          <w:color w:val="212529"/>
          <w:sz w:val="26"/>
          <w:szCs w:val="26"/>
          <w:shd w:val="clear" w:color="auto" w:fill="FFFFFF"/>
        </w:rPr>
        <w:t xml:space="preserve">.- - - - - - - - - - - - - - - - - - - - - - - - </w:t>
      </w:r>
      <w:r w:rsidR="00A05B40">
        <w:rPr>
          <w:rFonts w:ascii="Arial" w:hAnsi="Arial" w:cs="Arial"/>
          <w:color w:val="212529"/>
          <w:sz w:val="26"/>
          <w:szCs w:val="26"/>
          <w:shd w:val="clear" w:color="auto" w:fill="FFFFFF"/>
        </w:rPr>
        <w:t>- - - - - - - - - - - -</w:t>
      </w:r>
    </w:p>
    <w:p w14:paraId="76461BF5" w14:textId="2164D41E" w:rsidR="009F29A5" w:rsidRDefault="00146A13" w:rsidP="00516E39">
      <w:pPr>
        <w:spacing w:after="120" w:line="360" w:lineRule="auto"/>
        <w:ind w:firstLine="709"/>
        <w:jc w:val="both"/>
        <w:rPr>
          <w:rFonts w:ascii="Arial" w:hAnsi="Arial" w:cs="Arial"/>
          <w:color w:val="212529"/>
          <w:sz w:val="26"/>
          <w:szCs w:val="26"/>
          <w:shd w:val="clear" w:color="auto" w:fill="FFFFFF"/>
        </w:rPr>
      </w:pPr>
      <w:r w:rsidRPr="001A1EB3">
        <w:rPr>
          <w:rFonts w:ascii="Arial" w:hAnsi="Arial" w:cs="Arial"/>
          <w:color w:val="212529"/>
          <w:sz w:val="26"/>
          <w:szCs w:val="26"/>
          <w:shd w:val="clear" w:color="auto" w:fill="FFFFFF"/>
        </w:rPr>
        <w:t xml:space="preserve">En atención a lo anterior, se concluye que quedó cumplida la finalidad esencial de la notificación, que era hacer del conocimiento </w:t>
      </w:r>
      <w:r w:rsidR="00493632" w:rsidRPr="001A1EB3">
        <w:rPr>
          <w:rFonts w:ascii="Arial" w:hAnsi="Arial" w:cs="Arial"/>
          <w:color w:val="212529"/>
          <w:sz w:val="26"/>
          <w:szCs w:val="26"/>
          <w:shd w:val="clear" w:color="auto" w:fill="FFFFFF"/>
        </w:rPr>
        <w:t xml:space="preserve">oportuno </w:t>
      </w:r>
      <w:r w:rsidRPr="001A1EB3">
        <w:rPr>
          <w:rFonts w:ascii="Arial" w:hAnsi="Arial" w:cs="Arial"/>
          <w:color w:val="212529"/>
          <w:sz w:val="26"/>
          <w:szCs w:val="26"/>
          <w:shd w:val="clear" w:color="auto" w:fill="FFFFFF"/>
        </w:rPr>
        <w:t xml:space="preserve">a </w:t>
      </w:r>
      <w:r w:rsidR="00A05B40">
        <w:rPr>
          <w:rFonts w:ascii="Arial" w:hAnsi="Arial" w:cs="Arial"/>
          <w:b/>
          <w:sz w:val="26"/>
          <w:szCs w:val="26"/>
        </w:rPr>
        <w:t>***********</w:t>
      </w:r>
      <w:r w:rsidRPr="001A1EB3">
        <w:rPr>
          <w:rFonts w:ascii="Arial" w:hAnsi="Arial" w:cs="Arial"/>
          <w:color w:val="212529"/>
          <w:sz w:val="26"/>
          <w:szCs w:val="26"/>
          <w:shd w:val="clear" w:color="auto" w:fill="FFFFFF"/>
        </w:rPr>
        <w:t>, del procedimiento administrativo iniciado en su contra, por la Dirección de Responsabilidades Administrativa</w:t>
      </w:r>
      <w:r w:rsidR="009E5AF3" w:rsidRPr="001A1EB3">
        <w:rPr>
          <w:rFonts w:ascii="Arial" w:hAnsi="Arial" w:cs="Arial"/>
          <w:color w:val="212529"/>
          <w:sz w:val="26"/>
          <w:szCs w:val="26"/>
          <w:shd w:val="clear" w:color="auto" w:fill="FFFFFF"/>
        </w:rPr>
        <w:t>s</w:t>
      </w:r>
      <w:r w:rsidRPr="001A1EB3">
        <w:rPr>
          <w:rFonts w:ascii="Arial" w:hAnsi="Arial" w:cs="Arial"/>
          <w:color w:val="212529"/>
          <w:sz w:val="26"/>
          <w:szCs w:val="26"/>
          <w:shd w:val="clear" w:color="auto" w:fill="FFFFFF"/>
        </w:rPr>
        <w:t xml:space="preserve"> y Situación</w:t>
      </w:r>
      <w:r>
        <w:rPr>
          <w:rFonts w:ascii="Arial" w:hAnsi="Arial" w:cs="Arial"/>
          <w:color w:val="212529"/>
          <w:sz w:val="26"/>
          <w:szCs w:val="26"/>
          <w:shd w:val="clear" w:color="auto" w:fill="FFFFFF"/>
        </w:rPr>
        <w:t xml:space="preserve"> Patrimonial de la Secretaría de Contraloría y Transparencia Gubernamental del Estado de Oaxaca</w:t>
      </w:r>
      <w:r w:rsidR="0027592D">
        <w:rPr>
          <w:rFonts w:ascii="Arial" w:hAnsi="Arial" w:cs="Arial"/>
          <w:color w:val="212529"/>
          <w:sz w:val="26"/>
          <w:szCs w:val="26"/>
          <w:shd w:val="clear" w:color="auto" w:fill="FFFFFF"/>
        </w:rPr>
        <w:t>; por tanto, la diligencia de notificación llevada a cabo el nueve de febrero de dos mil dieciocho es válida, al haber cumplido con las formalidades para la práctica de la notificación respectiva</w:t>
      </w:r>
      <w:r>
        <w:rPr>
          <w:rFonts w:ascii="Arial" w:hAnsi="Arial" w:cs="Arial"/>
          <w:color w:val="212529"/>
          <w:sz w:val="26"/>
          <w:szCs w:val="26"/>
          <w:shd w:val="clear" w:color="auto" w:fill="FFFFFF"/>
        </w:rPr>
        <w:t xml:space="preserve">.- - - - - - - - - - </w:t>
      </w:r>
      <w:r w:rsidR="00A05B40">
        <w:rPr>
          <w:rFonts w:ascii="Arial" w:hAnsi="Arial" w:cs="Arial"/>
          <w:color w:val="212529"/>
          <w:sz w:val="26"/>
          <w:szCs w:val="26"/>
          <w:shd w:val="clear" w:color="auto" w:fill="FFFFFF"/>
        </w:rPr>
        <w:t>- - - - - - - - - - - - - - - - - - - - - - - - - -</w:t>
      </w:r>
    </w:p>
    <w:p w14:paraId="0324A5EA" w14:textId="2069443A" w:rsidR="0027592D" w:rsidRDefault="001A329E" w:rsidP="00516E39">
      <w:pPr>
        <w:spacing w:after="120" w:line="360" w:lineRule="auto"/>
        <w:ind w:firstLine="709"/>
        <w:jc w:val="both"/>
        <w:rPr>
          <w:rFonts w:ascii="Arial" w:hAnsi="Arial" w:cs="Arial"/>
          <w:color w:val="212529"/>
          <w:sz w:val="26"/>
          <w:szCs w:val="26"/>
          <w:shd w:val="clear" w:color="auto" w:fill="FFFFFF"/>
        </w:rPr>
      </w:pPr>
      <w:r>
        <w:rPr>
          <w:rFonts w:ascii="Arial" w:hAnsi="Arial" w:cs="Arial"/>
          <w:color w:val="212529"/>
          <w:sz w:val="26"/>
          <w:szCs w:val="26"/>
          <w:shd w:val="clear" w:color="auto" w:fill="FFFFFF"/>
        </w:rPr>
        <w:t>Sirve de apoyo a la anterior determinación, la Jurisprudencia con número de Registro</w:t>
      </w:r>
      <w:r w:rsidR="006C5951">
        <w:rPr>
          <w:rFonts w:ascii="Arial" w:hAnsi="Arial" w:cs="Arial"/>
          <w:color w:val="212529"/>
          <w:sz w:val="26"/>
          <w:szCs w:val="26"/>
          <w:shd w:val="clear" w:color="auto" w:fill="FFFFFF"/>
        </w:rPr>
        <w:t xml:space="preserve"> </w:t>
      </w:r>
      <w:r w:rsidR="006C5951" w:rsidRPr="006C5951">
        <w:rPr>
          <w:rFonts w:ascii="Arial" w:hAnsi="Arial" w:cs="Arial"/>
          <w:color w:val="212529"/>
          <w:sz w:val="26"/>
          <w:szCs w:val="26"/>
          <w:shd w:val="clear" w:color="auto" w:fill="FFFFFF"/>
        </w:rPr>
        <w:t>Digital</w:t>
      </w:r>
      <w:r w:rsidRPr="006C5951">
        <w:rPr>
          <w:rFonts w:ascii="Arial" w:hAnsi="Arial" w:cs="Arial"/>
          <w:color w:val="212529"/>
          <w:sz w:val="26"/>
          <w:szCs w:val="26"/>
          <w:shd w:val="clear" w:color="auto" w:fill="FFFFFF"/>
        </w:rPr>
        <w:t xml:space="preserve"> </w:t>
      </w:r>
      <w:r w:rsidR="006C5951" w:rsidRPr="006C5951">
        <w:rPr>
          <w:rFonts w:ascii="Arial" w:hAnsi="Arial" w:cs="Arial"/>
          <w:color w:val="000000"/>
          <w:sz w:val="26"/>
          <w:szCs w:val="26"/>
          <w:shd w:val="clear" w:color="auto" w:fill="FFFFFF"/>
        </w:rPr>
        <w:t>226471</w:t>
      </w:r>
      <w:r w:rsidR="006C5951">
        <w:rPr>
          <w:rFonts w:ascii="Arial" w:hAnsi="Arial" w:cs="Arial"/>
          <w:color w:val="000000"/>
          <w:sz w:val="26"/>
          <w:szCs w:val="26"/>
          <w:shd w:val="clear" w:color="auto" w:fill="FFFFFF"/>
        </w:rPr>
        <w:t>,</w:t>
      </w:r>
      <w:r>
        <w:rPr>
          <w:rFonts w:ascii="Arial" w:hAnsi="Arial" w:cs="Arial"/>
          <w:color w:val="212529"/>
          <w:sz w:val="26"/>
          <w:szCs w:val="26"/>
          <w:shd w:val="clear" w:color="auto" w:fill="FFFFFF"/>
        </w:rPr>
        <w:t xml:space="preserve"> Tribunales Colegiado</w:t>
      </w:r>
      <w:r w:rsidR="00614F7E">
        <w:rPr>
          <w:rFonts w:ascii="Arial" w:hAnsi="Arial" w:cs="Arial"/>
          <w:color w:val="212529"/>
          <w:sz w:val="26"/>
          <w:szCs w:val="26"/>
          <w:shd w:val="clear" w:color="auto" w:fill="FFFFFF"/>
        </w:rPr>
        <w:t>s</w:t>
      </w:r>
      <w:r>
        <w:rPr>
          <w:rFonts w:ascii="Arial" w:hAnsi="Arial" w:cs="Arial"/>
          <w:color w:val="212529"/>
          <w:sz w:val="26"/>
          <w:szCs w:val="26"/>
          <w:shd w:val="clear" w:color="auto" w:fill="FFFFFF"/>
        </w:rPr>
        <w:t xml:space="preserve"> de Circuito, </w:t>
      </w:r>
      <w:r>
        <w:rPr>
          <w:rFonts w:ascii="Arial" w:hAnsi="Arial" w:cs="Arial"/>
          <w:color w:val="212529"/>
          <w:sz w:val="26"/>
          <w:szCs w:val="26"/>
          <w:shd w:val="clear" w:color="auto" w:fill="FFFFFF"/>
        </w:rPr>
        <w:lastRenderedPageBreak/>
        <w:t xml:space="preserve">Apéndice de 2011, </w:t>
      </w:r>
      <w:r w:rsidR="006C5951" w:rsidRPr="006C5951">
        <w:rPr>
          <w:rFonts w:ascii="Arial" w:hAnsi="Arial" w:cs="Arial"/>
          <w:color w:val="000000"/>
          <w:sz w:val="26"/>
          <w:szCs w:val="26"/>
          <w:shd w:val="clear" w:color="auto" w:fill="FFFFFF"/>
        </w:rPr>
        <w:t>Semanario Judicial de la Federación.</w:t>
      </w:r>
      <w:r w:rsidR="006C5951" w:rsidRPr="006C5951">
        <w:rPr>
          <w:rFonts w:ascii="Arial" w:hAnsi="Arial" w:cs="Arial"/>
          <w:color w:val="000000"/>
          <w:sz w:val="26"/>
          <w:szCs w:val="26"/>
        </w:rPr>
        <w:br/>
      </w:r>
      <w:r w:rsidR="006C5951" w:rsidRPr="006C5951">
        <w:rPr>
          <w:rStyle w:val="ng-star-inserted"/>
          <w:rFonts w:ascii="Arial" w:hAnsi="Arial" w:cs="Arial"/>
          <w:color w:val="000000"/>
          <w:sz w:val="26"/>
          <w:szCs w:val="26"/>
          <w:shd w:val="clear" w:color="auto" w:fill="FFFFFF"/>
        </w:rPr>
        <w:t>Tomo V, Segunda Parte-2, Enero-Junio de 1990</w:t>
      </w:r>
      <w:r>
        <w:rPr>
          <w:rFonts w:ascii="Arial" w:hAnsi="Arial" w:cs="Arial"/>
          <w:color w:val="212529"/>
          <w:sz w:val="26"/>
          <w:szCs w:val="26"/>
          <w:shd w:val="clear" w:color="auto" w:fill="FFFFFF"/>
        </w:rPr>
        <w:t xml:space="preserve">, </w:t>
      </w:r>
      <w:r w:rsidRPr="006C5951">
        <w:rPr>
          <w:rFonts w:ascii="Arial" w:hAnsi="Arial" w:cs="Arial"/>
          <w:color w:val="212529"/>
          <w:sz w:val="26"/>
          <w:szCs w:val="26"/>
          <w:shd w:val="clear" w:color="auto" w:fill="FFFFFF"/>
        </w:rPr>
        <w:t xml:space="preserve">Tesis </w:t>
      </w:r>
      <w:r w:rsidR="006C5951" w:rsidRPr="006C5951">
        <w:rPr>
          <w:rFonts w:ascii="Arial" w:hAnsi="Arial" w:cs="Arial"/>
          <w:color w:val="000000"/>
          <w:sz w:val="26"/>
          <w:szCs w:val="26"/>
        </w:rPr>
        <w:t>I.4o.C. J/15</w:t>
      </w:r>
      <w:r w:rsidRPr="006C5951">
        <w:rPr>
          <w:rFonts w:ascii="Arial" w:hAnsi="Arial" w:cs="Arial"/>
          <w:color w:val="212529"/>
          <w:sz w:val="26"/>
          <w:szCs w:val="26"/>
          <w:shd w:val="clear" w:color="auto" w:fill="FFFFFF"/>
        </w:rPr>
        <w:t>,</w:t>
      </w:r>
      <w:r>
        <w:rPr>
          <w:rFonts w:ascii="Arial" w:hAnsi="Arial" w:cs="Arial"/>
          <w:color w:val="212529"/>
          <w:sz w:val="26"/>
          <w:szCs w:val="26"/>
          <w:shd w:val="clear" w:color="auto" w:fill="FFFFFF"/>
        </w:rPr>
        <w:t xml:space="preserve"> página </w:t>
      </w:r>
      <w:r w:rsidR="006C5951">
        <w:rPr>
          <w:rFonts w:ascii="Arial" w:hAnsi="Arial" w:cs="Arial"/>
          <w:color w:val="212529"/>
          <w:sz w:val="26"/>
          <w:szCs w:val="26"/>
          <w:shd w:val="clear" w:color="auto" w:fill="FFFFFF"/>
        </w:rPr>
        <w:t>698</w:t>
      </w:r>
      <w:r>
        <w:rPr>
          <w:rFonts w:ascii="Arial" w:hAnsi="Arial" w:cs="Arial"/>
          <w:color w:val="212529"/>
          <w:sz w:val="26"/>
          <w:szCs w:val="26"/>
          <w:shd w:val="clear" w:color="auto" w:fill="FFFFFF"/>
        </w:rPr>
        <w:t xml:space="preserve">, de rubro y texto siguientes:- - - - - - - - - - - - - - - - - - - - - - - - </w:t>
      </w:r>
    </w:p>
    <w:p w14:paraId="5C5314AA" w14:textId="77777777" w:rsidR="001B3CDC" w:rsidRDefault="001B3CDC" w:rsidP="001B3CDC">
      <w:pPr>
        <w:autoSpaceDE w:val="0"/>
        <w:autoSpaceDN w:val="0"/>
        <w:adjustRightInd w:val="0"/>
        <w:spacing w:after="0" w:line="240" w:lineRule="auto"/>
        <w:rPr>
          <w:rFonts w:ascii="Times New Roman" w:hAnsi="Times New Roman" w:cs="Times New Roman"/>
          <w:sz w:val="24"/>
          <w:szCs w:val="24"/>
        </w:rPr>
      </w:pPr>
      <w:r>
        <w:rPr>
          <w:rFonts w:ascii="NimbusSanL" w:hAnsi="NimbusSanL" w:cs="NimbusSanL"/>
          <w:color w:val="000000"/>
          <w:sz w:val="24"/>
          <w:szCs w:val="24"/>
        </w:rPr>
        <w:t xml:space="preserve">  </w:t>
      </w:r>
    </w:p>
    <w:p w14:paraId="2475607F" w14:textId="0BEE3EB0" w:rsidR="001B3CDC" w:rsidRPr="001B3CDC" w:rsidRDefault="001B3CDC" w:rsidP="00612E66">
      <w:pPr>
        <w:autoSpaceDE w:val="0"/>
        <w:autoSpaceDN w:val="0"/>
        <w:adjustRightInd w:val="0"/>
        <w:spacing w:after="120" w:line="360" w:lineRule="auto"/>
        <w:ind w:left="851" w:right="900"/>
        <w:jc w:val="both"/>
        <w:rPr>
          <w:rFonts w:ascii="Arial" w:hAnsi="Arial" w:cs="Arial"/>
          <w:i/>
          <w:color w:val="000000"/>
        </w:rPr>
      </w:pPr>
      <w:r w:rsidRPr="001B3CDC">
        <w:rPr>
          <w:rFonts w:ascii="Arial" w:hAnsi="Arial" w:cs="Arial"/>
          <w:b/>
          <w:i/>
          <w:color w:val="000000"/>
        </w:rPr>
        <w:t xml:space="preserve">“NOTIFICACIONES, FINALIDAD DE LAS FORMALIDADES PARA SU VALIDEZ. </w:t>
      </w:r>
      <w:r w:rsidRPr="001B3CDC">
        <w:rPr>
          <w:rFonts w:ascii="Arial" w:hAnsi="Arial" w:cs="Arial"/>
          <w:i/>
          <w:color w:val="000000"/>
        </w:rPr>
        <w:t>Las formalidades que fija la ley para la práctica de las notificaciones en los juicios civiles, se</w:t>
      </w:r>
      <w:r>
        <w:rPr>
          <w:rFonts w:ascii="Arial" w:hAnsi="Arial" w:cs="Arial"/>
          <w:i/>
          <w:color w:val="000000"/>
        </w:rPr>
        <w:t xml:space="preserve"> </w:t>
      </w:r>
      <w:r w:rsidRPr="001B3CDC">
        <w:rPr>
          <w:rFonts w:ascii="Arial" w:hAnsi="Arial" w:cs="Arial"/>
          <w:i/>
          <w:color w:val="000000"/>
        </w:rPr>
        <w:t>encaminan primordialmente a obtener la seguridad de que los decretos, proveídos, sentencias y</w:t>
      </w:r>
      <w:r>
        <w:rPr>
          <w:rFonts w:ascii="Arial" w:hAnsi="Arial" w:cs="Arial"/>
          <w:i/>
          <w:color w:val="000000"/>
        </w:rPr>
        <w:t xml:space="preserve"> </w:t>
      </w:r>
      <w:r w:rsidRPr="001B3CDC">
        <w:rPr>
          <w:rFonts w:ascii="Arial" w:hAnsi="Arial" w:cs="Arial"/>
          <w:i/>
          <w:color w:val="000000"/>
        </w:rPr>
        <w:t>resoluciones o mandamientos jurisdiccionales en general, lleguen oportuna y adecuadamente al</w:t>
      </w:r>
      <w:r>
        <w:rPr>
          <w:rFonts w:ascii="Arial" w:hAnsi="Arial" w:cs="Arial"/>
          <w:i/>
          <w:color w:val="000000"/>
        </w:rPr>
        <w:t xml:space="preserve"> </w:t>
      </w:r>
      <w:r w:rsidRPr="001B3CDC">
        <w:rPr>
          <w:rFonts w:ascii="Arial" w:hAnsi="Arial" w:cs="Arial"/>
          <w:i/>
          <w:color w:val="000000"/>
        </w:rPr>
        <w:t>conocimiento de los interesados; lo que lleva lógica y jurídicamente a determinar, si se tienen en</w:t>
      </w:r>
      <w:r>
        <w:rPr>
          <w:rFonts w:ascii="Arial" w:hAnsi="Arial" w:cs="Arial"/>
          <w:i/>
          <w:color w:val="000000"/>
        </w:rPr>
        <w:t xml:space="preserve"> </w:t>
      </w:r>
      <w:r w:rsidRPr="001B3CDC">
        <w:rPr>
          <w:rFonts w:ascii="Arial" w:hAnsi="Arial" w:cs="Arial"/>
          <w:i/>
          <w:color w:val="000000"/>
        </w:rPr>
        <w:t>cuenta los principios por los que se rige la validez o nulidad de los actos procesales, que la falta de</w:t>
      </w:r>
      <w:r>
        <w:rPr>
          <w:rFonts w:ascii="Arial" w:hAnsi="Arial" w:cs="Arial"/>
          <w:i/>
          <w:color w:val="000000"/>
        </w:rPr>
        <w:t xml:space="preserve"> </w:t>
      </w:r>
      <w:r w:rsidRPr="001B3CDC">
        <w:rPr>
          <w:rFonts w:ascii="Arial" w:hAnsi="Arial" w:cs="Arial"/>
          <w:i/>
          <w:color w:val="000000"/>
        </w:rPr>
        <w:t>cumplimiento sacramental de una formalidad en la práctica de alguna notificación no conduce</w:t>
      </w:r>
      <w:r>
        <w:rPr>
          <w:rFonts w:ascii="Arial" w:hAnsi="Arial" w:cs="Arial"/>
          <w:i/>
          <w:color w:val="000000"/>
        </w:rPr>
        <w:t xml:space="preserve"> </w:t>
      </w:r>
      <w:r w:rsidRPr="001B3CDC">
        <w:rPr>
          <w:rFonts w:ascii="Arial" w:hAnsi="Arial" w:cs="Arial"/>
          <w:i/>
          <w:color w:val="000000"/>
        </w:rPr>
        <w:t>necesariamente a considerar la diligencia carente de validez jurídica y a privarla de los efectos que</w:t>
      </w:r>
      <w:r>
        <w:rPr>
          <w:rFonts w:ascii="Arial" w:hAnsi="Arial" w:cs="Arial"/>
          <w:i/>
          <w:color w:val="000000"/>
        </w:rPr>
        <w:t xml:space="preserve"> </w:t>
      </w:r>
      <w:r w:rsidRPr="001B3CDC">
        <w:rPr>
          <w:rFonts w:ascii="Arial" w:hAnsi="Arial" w:cs="Arial"/>
          <w:i/>
          <w:color w:val="000000"/>
        </w:rPr>
        <w:t>corresponde a las de su clase, sino que debe hacerse una evaluación de todos los elementos del</w:t>
      </w:r>
      <w:r>
        <w:rPr>
          <w:rFonts w:ascii="Arial" w:hAnsi="Arial" w:cs="Arial"/>
          <w:i/>
          <w:color w:val="000000"/>
        </w:rPr>
        <w:t xml:space="preserve"> </w:t>
      </w:r>
      <w:r w:rsidRPr="001B3CDC">
        <w:rPr>
          <w:rFonts w:ascii="Arial" w:hAnsi="Arial" w:cs="Arial"/>
          <w:i/>
          <w:color w:val="000000"/>
        </w:rPr>
        <w:t>acto mediante el cual se verificó la notificación, para determinar, en todo caso, si con los requisitos</w:t>
      </w:r>
      <w:r>
        <w:rPr>
          <w:rFonts w:ascii="Arial" w:hAnsi="Arial" w:cs="Arial"/>
          <w:i/>
          <w:color w:val="000000"/>
        </w:rPr>
        <w:t xml:space="preserve"> </w:t>
      </w:r>
      <w:r w:rsidRPr="001B3CDC">
        <w:rPr>
          <w:rFonts w:ascii="Arial" w:hAnsi="Arial" w:cs="Arial"/>
          <w:i/>
          <w:color w:val="000000"/>
        </w:rPr>
        <w:t>satisfechos y los demás datos y elementos que obren al respecto, quedó cumplida o no la finalidad</w:t>
      </w:r>
      <w:r>
        <w:rPr>
          <w:rFonts w:ascii="Arial" w:hAnsi="Arial" w:cs="Arial"/>
          <w:i/>
          <w:color w:val="000000"/>
        </w:rPr>
        <w:t xml:space="preserve"> </w:t>
      </w:r>
      <w:r w:rsidRPr="001B3CDC">
        <w:rPr>
          <w:rFonts w:ascii="Arial" w:hAnsi="Arial" w:cs="Arial"/>
          <w:i/>
          <w:color w:val="000000"/>
        </w:rPr>
        <w:t>esencial apuntada, o si para ello era realmente indispensable la concurrencia de la formalidad</w:t>
      </w:r>
      <w:r>
        <w:rPr>
          <w:rFonts w:ascii="Arial" w:hAnsi="Arial" w:cs="Arial"/>
          <w:i/>
          <w:color w:val="000000"/>
        </w:rPr>
        <w:t xml:space="preserve"> </w:t>
      </w:r>
      <w:r w:rsidRPr="001B3CDC">
        <w:rPr>
          <w:rFonts w:ascii="Arial" w:hAnsi="Arial" w:cs="Arial"/>
          <w:i/>
          <w:color w:val="000000"/>
        </w:rPr>
        <w:t>omitida o cumplida parcialmente, ya que sólo en este último evento se llegaría a considerar afectado</w:t>
      </w:r>
      <w:r>
        <w:rPr>
          <w:rFonts w:ascii="Arial" w:hAnsi="Arial" w:cs="Arial"/>
          <w:i/>
          <w:color w:val="000000"/>
        </w:rPr>
        <w:t xml:space="preserve"> </w:t>
      </w:r>
      <w:r w:rsidRPr="001B3CDC">
        <w:rPr>
          <w:rFonts w:ascii="Arial" w:hAnsi="Arial" w:cs="Arial"/>
          <w:i/>
          <w:color w:val="000000"/>
        </w:rPr>
        <w:t>medularmente el acto procesal en cuestión.</w:t>
      </w:r>
      <w:r>
        <w:rPr>
          <w:rFonts w:ascii="Arial" w:hAnsi="Arial" w:cs="Arial"/>
          <w:i/>
          <w:color w:val="000000"/>
        </w:rPr>
        <w:t>”</w:t>
      </w:r>
    </w:p>
    <w:p w14:paraId="0275500F" w14:textId="77777777" w:rsidR="00EA5BB1" w:rsidRDefault="00EA5BB1" w:rsidP="00516E39">
      <w:pPr>
        <w:spacing w:after="120" w:line="360" w:lineRule="auto"/>
        <w:ind w:firstLine="709"/>
        <w:jc w:val="both"/>
        <w:rPr>
          <w:rFonts w:ascii="Arial" w:hAnsi="Arial" w:cs="Arial"/>
          <w:sz w:val="26"/>
          <w:szCs w:val="26"/>
        </w:rPr>
      </w:pPr>
    </w:p>
    <w:p w14:paraId="0106B58C" w14:textId="16B15E60" w:rsidR="00842E8B" w:rsidRDefault="00842E8B" w:rsidP="00842E8B">
      <w:pPr>
        <w:spacing w:after="120" w:line="360" w:lineRule="auto"/>
        <w:ind w:firstLine="709"/>
        <w:jc w:val="both"/>
        <w:rPr>
          <w:rFonts w:ascii="Arial" w:eastAsia="Calibri" w:hAnsi="Arial" w:cs="Arial"/>
          <w:bCs/>
          <w:sz w:val="26"/>
          <w:szCs w:val="26"/>
        </w:rPr>
      </w:pPr>
      <w:r>
        <w:rPr>
          <w:rFonts w:ascii="Arial" w:eastAsia="Calibri" w:hAnsi="Arial" w:cs="Arial"/>
          <w:bCs/>
          <w:sz w:val="26"/>
          <w:szCs w:val="26"/>
        </w:rPr>
        <w:t xml:space="preserve">Por otra parte, señala que la tesis aislada que invoca la Magistrada de Primera Instancia en la sentencia recurrida no resulta aplicable ni obligatoria a la materia administrativa, toda vez que emana de un procedimiento laboral, y está referida específicamente a las notificaciones realizadas mediante boletín laboral, cuyos requisitos son distintos a los que debe contener un citatorio efectuado por un servidor público dentro de un procedimiento de responsabilidad administrativa. - </w:t>
      </w:r>
    </w:p>
    <w:p w14:paraId="3FDEACA5" w14:textId="09312FA4" w:rsidR="00842E8B" w:rsidRPr="003901E3" w:rsidRDefault="003901E3" w:rsidP="00516E39">
      <w:pPr>
        <w:spacing w:after="120" w:line="360" w:lineRule="auto"/>
        <w:ind w:firstLine="709"/>
        <w:jc w:val="both"/>
        <w:rPr>
          <w:rFonts w:ascii="Arial" w:hAnsi="Arial" w:cs="Arial"/>
          <w:sz w:val="26"/>
          <w:szCs w:val="26"/>
        </w:rPr>
      </w:pPr>
      <w:r>
        <w:rPr>
          <w:rFonts w:ascii="Arial" w:hAnsi="Arial" w:cs="Arial"/>
          <w:sz w:val="26"/>
          <w:szCs w:val="26"/>
        </w:rPr>
        <w:t xml:space="preserve">Contrario a lo que manifiesta el recurrente, la Magistrada de la Tercera Sala Unitaria de Primera Instancia, señala la tesis II.T.262 L de la Novena Época del Semanario Judicial de la Federación, bajo el rubro: </w:t>
      </w:r>
      <w:r>
        <w:rPr>
          <w:rFonts w:ascii="Arial" w:hAnsi="Arial" w:cs="Arial"/>
          <w:i/>
          <w:iCs/>
          <w:sz w:val="24"/>
          <w:szCs w:val="24"/>
        </w:rPr>
        <w:t>“</w:t>
      </w:r>
      <w:r>
        <w:rPr>
          <w:rFonts w:ascii="Arial" w:hAnsi="Arial" w:cs="Arial"/>
          <w:b/>
          <w:bCs/>
          <w:i/>
          <w:iCs/>
          <w:sz w:val="24"/>
          <w:szCs w:val="24"/>
        </w:rPr>
        <w:t>NOTIFICACIONES IRREGULARES POR ERROR MECANOGRÁFICO. SI CUM</w:t>
      </w:r>
      <w:r w:rsidR="00D50EEB">
        <w:rPr>
          <w:rFonts w:ascii="Arial" w:hAnsi="Arial" w:cs="Arial"/>
          <w:b/>
          <w:bCs/>
          <w:i/>
          <w:iCs/>
          <w:sz w:val="24"/>
          <w:szCs w:val="24"/>
        </w:rPr>
        <w:t>P</w:t>
      </w:r>
      <w:r>
        <w:rPr>
          <w:rFonts w:ascii="Arial" w:hAnsi="Arial" w:cs="Arial"/>
          <w:b/>
          <w:bCs/>
          <w:i/>
          <w:iCs/>
          <w:sz w:val="24"/>
          <w:szCs w:val="24"/>
        </w:rPr>
        <w:t>LEN CON LA FINALID</w:t>
      </w:r>
      <w:r w:rsidR="00D50EEB">
        <w:rPr>
          <w:rFonts w:ascii="Arial" w:hAnsi="Arial" w:cs="Arial"/>
          <w:b/>
          <w:bCs/>
          <w:i/>
          <w:iCs/>
          <w:sz w:val="24"/>
          <w:szCs w:val="24"/>
        </w:rPr>
        <w:t>A</w:t>
      </w:r>
      <w:r>
        <w:rPr>
          <w:rFonts w:ascii="Arial" w:hAnsi="Arial" w:cs="Arial"/>
          <w:b/>
          <w:bCs/>
          <w:i/>
          <w:iCs/>
          <w:sz w:val="24"/>
          <w:szCs w:val="24"/>
        </w:rPr>
        <w:t xml:space="preserve">D PRIMORDIAL NO SON NULAS”, </w:t>
      </w:r>
      <w:r>
        <w:rPr>
          <w:rFonts w:ascii="Arial" w:hAnsi="Arial" w:cs="Arial"/>
          <w:sz w:val="26"/>
          <w:szCs w:val="26"/>
        </w:rPr>
        <w:t xml:space="preserve">únicamente como apoyo a la determinación contenida respecto a la conclusión que llegó y determinar la legalidad de la notificación de nueve de febrero de dos mil dieciocho, sin </w:t>
      </w:r>
      <w:r w:rsidR="00513682">
        <w:rPr>
          <w:rFonts w:ascii="Arial" w:hAnsi="Arial" w:cs="Arial"/>
          <w:sz w:val="26"/>
          <w:szCs w:val="26"/>
        </w:rPr>
        <w:t>que,</w:t>
      </w:r>
      <w:r>
        <w:rPr>
          <w:rFonts w:ascii="Arial" w:hAnsi="Arial" w:cs="Arial"/>
          <w:sz w:val="26"/>
          <w:szCs w:val="26"/>
        </w:rPr>
        <w:t xml:space="preserve"> en ninguna parte de la </w:t>
      </w:r>
      <w:r>
        <w:rPr>
          <w:rFonts w:ascii="Arial" w:hAnsi="Arial" w:cs="Arial"/>
          <w:sz w:val="26"/>
          <w:szCs w:val="26"/>
        </w:rPr>
        <w:lastRenderedPageBreak/>
        <w:t>sentencia recurrida, la haya citad</w:t>
      </w:r>
      <w:r w:rsidR="00614F7E">
        <w:rPr>
          <w:rFonts w:ascii="Arial" w:hAnsi="Arial" w:cs="Arial"/>
          <w:sz w:val="26"/>
          <w:szCs w:val="26"/>
        </w:rPr>
        <w:t>o</w:t>
      </w:r>
      <w:r>
        <w:rPr>
          <w:rFonts w:ascii="Arial" w:hAnsi="Arial" w:cs="Arial"/>
          <w:sz w:val="26"/>
          <w:szCs w:val="26"/>
        </w:rPr>
        <w:t xml:space="preserve"> como </w:t>
      </w:r>
      <w:r w:rsidR="00513682">
        <w:rPr>
          <w:rFonts w:ascii="Arial" w:hAnsi="Arial" w:cs="Arial"/>
          <w:sz w:val="26"/>
          <w:szCs w:val="26"/>
        </w:rPr>
        <w:t xml:space="preserve">fundamento aplicable ni obligatorio para el presente asunto. - - - -  - - - - - - - - - - - - - - - - - - - - - - </w:t>
      </w:r>
    </w:p>
    <w:p w14:paraId="4EFE0FBF" w14:textId="6FD4FF19" w:rsidR="00770CFF" w:rsidRDefault="00842E8B" w:rsidP="00842E8B">
      <w:pPr>
        <w:spacing w:after="120" w:line="360" w:lineRule="auto"/>
        <w:ind w:firstLine="708"/>
        <w:jc w:val="both"/>
        <w:rPr>
          <w:rFonts w:ascii="Arial" w:hAnsi="Arial" w:cs="Arial"/>
          <w:sz w:val="26"/>
          <w:szCs w:val="26"/>
        </w:rPr>
      </w:pPr>
      <w:r>
        <w:rPr>
          <w:rFonts w:ascii="Arial" w:hAnsi="Arial" w:cs="Arial"/>
          <w:sz w:val="26"/>
          <w:szCs w:val="26"/>
        </w:rPr>
        <w:t>E</w:t>
      </w:r>
      <w:r w:rsidR="0017591B">
        <w:rPr>
          <w:rFonts w:ascii="Arial" w:hAnsi="Arial" w:cs="Arial"/>
          <w:sz w:val="26"/>
          <w:szCs w:val="26"/>
        </w:rPr>
        <w:t xml:space="preserve">n su </w:t>
      </w:r>
      <w:r w:rsidR="0017591B">
        <w:rPr>
          <w:rFonts w:ascii="Arial" w:hAnsi="Arial" w:cs="Arial"/>
          <w:b/>
          <w:sz w:val="26"/>
          <w:szCs w:val="26"/>
        </w:rPr>
        <w:t>agravio segundo</w:t>
      </w:r>
      <w:r>
        <w:rPr>
          <w:rFonts w:ascii="Arial" w:hAnsi="Arial" w:cs="Arial"/>
          <w:b/>
          <w:sz w:val="26"/>
          <w:szCs w:val="26"/>
        </w:rPr>
        <w:t xml:space="preserve"> </w:t>
      </w:r>
      <w:r>
        <w:rPr>
          <w:rFonts w:ascii="Arial" w:hAnsi="Arial" w:cs="Arial"/>
          <w:bCs/>
          <w:sz w:val="26"/>
          <w:szCs w:val="26"/>
        </w:rPr>
        <w:t>el recurrente</w:t>
      </w:r>
      <w:r w:rsidR="0017591B">
        <w:rPr>
          <w:rFonts w:ascii="Arial" w:hAnsi="Arial" w:cs="Arial"/>
          <w:b/>
          <w:sz w:val="26"/>
          <w:szCs w:val="26"/>
        </w:rPr>
        <w:t xml:space="preserve"> </w:t>
      </w:r>
      <w:r w:rsidR="0017591B">
        <w:rPr>
          <w:rFonts w:ascii="Arial" w:hAnsi="Arial" w:cs="Arial"/>
          <w:sz w:val="26"/>
          <w:szCs w:val="26"/>
        </w:rPr>
        <w:t>manifiesta que</w:t>
      </w:r>
      <w:r w:rsidR="007137E1">
        <w:rPr>
          <w:rFonts w:ascii="Arial" w:hAnsi="Arial" w:cs="Arial"/>
          <w:sz w:val="26"/>
          <w:szCs w:val="26"/>
        </w:rPr>
        <w:t xml:space="preserve"> resulta ilegal e infundada la consideración de </w:t>
      </w:r>
      <w:r w:rsidR="0017591B">
        <w:rPr>
          <w:rFonts w:ascii="Arial" w:hAnsi="Arial" w:cs="Arial"/>
          <w:sz w:val="26"/>
          <w:szCs w:val="26"/>
        </w:rPr>
        <w:t xml:space="preserve">la titular de la Tercera Sala Unitaria de Primera Instancia, </w:t>
      </w:r>
      <w:r w:rsidR="007137E1">
        <w:rPr>
          <w:rFonts w:ascii="Arial" w:hAnsi="Arial" w:cs="Arial"/>
          <w:sz w:val="26"/>
          <w:szCs w:val="26"/>
        </w:rPr>
        <w:t xml:space="preserve">al indicar que </w:t>
      </w:r>
      <w:r w:rsidR="0017591B">
        <w:rPr>
          <w:rFonts w:ascii="Arial" w:hAnsi="Arial" w:cs="Arial"/>
          <w:sz w:val="26"/>
          <w:szCs w:val="26"/>
        </w:rPr>
        <w:t xml:space="preserve">la legalidad de la competencia de la autoridad, </w:t>
      </w:r>
      <w:r>
        <w:rPr>
          <w:rFonts w:ascii="Arial" w:hAnsi="Arial" w:cs="Arial"/>
          <w:sz w:val="26"/>
          <w:szCs w:val="26"/>
        </w:rPr>
        <w:t xml:space="preserve">le causa dudas al actor </w:t>
      </w:r>
      <w:r w:rsidR="0017591B">
        <w:rPr>
          <w:rFonts w:ascii="Arial" w:hAnsi="Arial" w:cs="Arial"/>
          <w:sz w:val="26"/>
          <w:szCs w:val="26"/>
        </w:rPr>
        <w:t>al no coincidir la denominación referida en el Reglamento abrogado con la actual, pues señala que desde el principio se despeja cualquier duda o confusión que pueda causar el cambio de denominación</w:t>
      </w:r>
      <w:r w:rsidR="00BE1746">
        <w:rPr>
          <w:rFonts w:ascii="Arial" w:hAnsi="Arial" w:cs="Arial"/>
          <w:sz w:val="26"/>
          <w:szCs w:val="26"/>
        </w:rPr>
        <w:t xml:space="preserve"> de la autoridad</w:t>
      </w:r>
      <w:r w:rsidR="0017591B">
        <w:rPr>
          <w:rFonts w:ascii="Arial" w:hAnsi="Arial" w:cs="Arial"/>
          <w:sz w:val="26"/>
          <w:szCs w:val="26"/>
        </w:rPr>
        <w:t>, en virtud de que no es complejo el nuevo nombre</w:t>
      </w:r>
      <w:r w:rsidR="00BE1746">
        <w:rPr>
          <w:rFonts w:ascii="Arial" w:hAnsi="Arial" w:cs="Arial"/>
          <w:sz w:val="26"/>
          <w:szCs w:val="26"/>
        </w:rPr>
        <w:t xml:space="preserve"> de la dependencia, pues la autoridad señala </w:t>
      </w:r>
      <w:r w:rsidR="00F9557D">
        <w:rPr>
          <w:rFonts w:ascii="Arial" w:hAnsi="Arial" w:cs="Arial"/>
          <w:sz w:val="26"/>
          <w:szCs w:val="26"/>
        </w:rPr>
        <w:t xml:space="preserve">en el proemio de la resolución </w:t>
      </w:r>
      <w:r w:rsidR="00BE1746">
        <w:rPr>
          <w:rFonts w:ascii="Arial" w:hAnsi="Arial" w:cs="Arial"/>
          <w:sz w:val="26"/>
          <w:szCs w:val="26"/>
        </w:rPr>
        <w:t xml:space="preserve">el nombre de la DIRECCIÓN DE  RESPONSABILIDADES Y SITUACIÓN PATRIMONIAL </w:t>
      </w:r>
      <w:r w:rsidR="00BE1746">
        <w:rPr>
          <w:rFonts w:ascii="Arial" w:hAnsi="Arial" w:cs="Arial"/>
          <w:b/>
          <w:sz w:val="26"/>
          <w:szCs w:val="26"/>
        </w:rPr>
        <w:t xml:space="preserve">AHORA </w:t>
      </w:r>
      <w:r w:rsidR="00BE1746">
        <w:rPr>
          <w:rFonts w:ascii="Arial" w:hAnsi="Arial" w:cs="Arial"/>
          <w:sz w:val="26"/>
          <w:szCs w:val="26"/>
        </w:rPr>
        <w:t>DIRECCIÓN</w:t>
      </w:r>
      <w:r w:rsidR="00614F7E">
        <w:rPr>
          <w:rFonts w:ascii="Arial" w:hAnsi="Arial" w:cs="Arial"/>
          <w:sz w:val="26"/>
          <w:szCs w:val="26"/>
        </w:rPr>
        <w:t xml:space="preserve"> </w:t>
      </w:r>
      <w:r w:rsidR="00BE1746">
        <w:rPr>
          <w:rFonts w:ascii="Arial" w:hAnsi="Arial" w:cs="Arial"/>
          <w:sz w:val="26"/>
          <w:szCs w:val="26"/>
        </w:rPr>
        <w:t>DE</w:t>
      </w:r>
      <w:r w:rsidR="00614F7E">
        <w:rPr>
          <w:rFonts w:ascii="Arial" w:hAnsi="Arial" w:cs="Arial"/>
          <w:sz w:val="26"/>
          <w:szCs w:val="26"/>
        </w:rPr>
        <w:t xml:space="preserve"> </w:t>
      </w:r>
      <w:r w:rsidR="00BE1746">
        <w:rPr>
          <w:rFonts w:ascii="Arial" w:hAnsi="Arial" w:cs="Arial"/>
          <w:sz w:val="26"/>
          <w:szCs w:val="26"/>
        </w:rPr>
        <w:t>RESPONSABILIDADES ADMINISTRATIVAS Y SITUACI</w:t>
      </w:r>
      <w:r w:rsidR="00F9557D">
        <w:rPr>
          <w:rFonts w:ascii="Arial" w:hAnsi="Arial" w:cs="Arial"/>
          <w:sz w:val="26"/>
          <w:szCs w:val="26"/>
        </w:rPr>
        <w:t>ÓN</w:t>
      </w:r>
      <w:r w:rsidR="00614F7E">
        <w:rPr>
          <w:rFonts w:ascii="Arial" w:hAnsi="Arial" w:cs="Arial"/>
          <w:sz w:val="26"/>
          <w:szCs w:val="26"/>
        </w:rPr>
        <w:t xml:space="preserve"> </w:t>
      </w:r>
      <w:r w:rsidR="00BE1746">
        <w:rPr>
          <w:rFonts w:ascii="Arial" w:hAnsi="Arial" w:cs="Arial"/>
          <w:sz w:val="26"/>
          <w:szCs w:val="26"/>
        </w:rPr>
        <w:t>PATRIMONIAL</w:t>
      </w:r>
      <w:r w:rsidR="0017591B">
        <w:rPr>
          <w:rFonts w:ascii="Arial" w:hAnsi="Arial" w:cs="Arial"/>
          <w:sz w:val="26"/>
          <w:szCs w:val="26"/>
        </w:rPr>
        <w:t>.</w:t>
      </w:r>
      <w:r w:rsidR="007039A8">
        <w:rPr>
          <w:rFonts w:ascii="Arial" w:hAnsi="Arial" w:cs="Arial"/>
          <w:sz w:val="26"/>
          <w:szCs w:val="26"/>
        </w:rPr>
        <w:t xml:space="preserve">  </w:t>
      </w:r>
      <w:r w:rsidR="0017591B">
        <w:rPr>
          <w:rFonts w:ascii="Arial" w:hAnsi="Arial" w:cs="Arial"/>
          <w:sz w:val="26"/>
          <w:szCs w:val="26"/>
        </w:rPr>
        <w:t xml:space="preserve">- - - - </w:t>
      </w:r>
      <w:r>
        <w:rPr>
          <w:rFonts w:ascii="Arial" w:hAnsi="Arial" w:cs="Arial"/>
          <w:sz w:val="26"/>
          <w:szCs w:val="26"/>
        </w:rPr>
        <w:t xml:space="preserve">- - - - - - - - - - </w:t>
      </w:r>
      <w:r w:rsidR="001A1EB3">
        <w:rPr>
          <w:rFonts w:ascii="Arial" w:hAnsi="Arial" w:cs="Arial"/>
          <w:sz w:val="26"/>
          <w:szCs w:val="26"/>
        </w:rPr>
        <w:t>- - - - - - - - - - - - - - - - -</w:t>
      </w:r>
    </w:p>
    <w:p w14:paraId="3116C89A" w14:textId="3BA8E7D2" w:rsidR="00961311" w:rsidRDefault="003D338A" w:rsidP="00516E39">
      <w:pPr>
        <w:spacing w:after="120" w:line="360" w:lineRule="auto"/>
        <w:ind w:firstLine="709"/>
        <w:jc w:val="both"/>
        <w:rPr>
          <w:rFonts w:ascii="Arial" w:hAnsi="Arial" w:cs="Arial"/>
          <w:sz w:val="26"/>
          <w:szCs w:val="26"/>
        </w:rPr>
      </w:pPr>
      <w:r w:rsidRPr="008B2F20">
        <w:rPr>
          <w:rFonts w:ascii="Arial" w:hAnsi="Arial" w:cs="Arial"/>
          <w:sz w:val="26"/>
          <w:szCs w:val="26"/>
        </w:rPr>
        <w:t xml:space="preserve">Expone que </w:t>
      </w:r>
      <w:r w:rsidR="00614F7E" w:rsidRPr="008B2F20">
        <w:rPr>
          <w:rFonts w:ascii="Arial" w:hAnsi="Arial" w:cs="Arial"/>
          <w:sz w:val="26"/>
          <w:szCs w:val="26"/>
        </w:rPr>
        <w:t>lo que combate es</w:t>
      </w:r>
      <w:r w:rsidR="007137E1" w:rsidRPr="008B2F20">
        <w:rPr>
          <w:rFonts w:ascii="Arial" w:hAnsi="Arial" w:cs="Arial"/>
          <w:sz w:val="26"/>
          <w:szCs w:val="26"/>
        </w:rPr>
        <w:t xml:space="preserve"> la indebida e insuficiente fundamentación y motivación </w:t>
      </w:r>
      <w:r w:rsidR="004762F3" w:rsidRPr="008B2F20">
        <w:rPr>
          <w:rFonts w:ascii="Arial" w:hAnsi="Arial" w:cs="Arial"/>
          <w:sz w:val="26"/>
          <w:szCs w:val="26"/>
        </w:rPr>
        <w:t xml:space="preserve">de la resolución impugnada, previstos en los artículos 14 y 16 de la Constitución Federal, respecto </w:t>
      </w:r>
      <w:r w:rsidR="007137E1" w:rsidRPr="008B2F20">
        <w:rPr>
          <w:rFonts w:ascii="Arial" w:hAnsi="Arial" w:cs="Arial"/>
          <w:sz w:val="26"/>
          <w:szCs w:val="26"/>
        </w:rPr>
        <w:t>de la competencia de la Dirección de Responsabilidades Administrativas y Situación Patrimonial, de la Subsecretaría de Responsabilidades Administrativas y Anticorrupción de la Secretaría de la Contraloría y Transparencia Gubernamental del Poder Ejecutivo del Estado de Oaxaca</w:t>
      </w:r>
      <w:r w:rsidR="004762F3" w:rsidRPr="008B2F20">
        <w:rPr>
          <w:rFonts w:ascii="Arial" w:hAnsi="Arial" w:cs="Arial"/>
          <w:sz w:val="26"/>
          <w:szCs w:val="26"/>
        </w:rPr>
        <w:t xml:space="preserve">, </w:t>
      </w:r>
      <w:r w:rsidR="00961311" w:rsidRPr="008B2F20">
        <w:rPr>
          <w:rFonts w:ascii="Arial" w:hAnsi="Arial" w:cs="Arial"/>
          <w:sz w:val="26"/>
          <w:szCs w:val="26"/>
        </w:rPr>
        <w:t>pues refiere que es de explorado derecho, la obligación de toda autoridad de señalar en sus actos de molestia, todos los artículos y</w:t>
      </w:r>
      <w:r w:rsidR="00961311">
        <w:rPr>
          <w:rFonts w:ascii="Arial" w:hAnsi="Arial" w:cs="Arial"/>
          <w:sz w:val="26"/>
          <w:szCs w:val="26"/>
        </w:rPr>
        <w:t xml:space="preserve"> </w:t>
      </w:r>
      <w:r w:rsidR="00961311" w:rsidRPr="001A1EB3">
        <w:rPr>
          <w:rFonts w:ascii="Arial" w:hAnsi="Arial" w:cs="Arial"/>
          <w:sz w:val="26"/>
          <w:szCs w:val="26"/>
        </w:rPr>
        <w:t>ordenamiento</w:t>
      </w:r>
      <w:r w:rsidR="00F9557D" w:rsidRPr="001A1EB3">
        <w:rPr>
          <w:rFonts w:ascii="Arial" w:hAnsi="Arial" w:cs="Arial"/>
          <w:sz w:val="26"/>
          <w:szCs w:val="26"/>
        </w:rPr>
        <w:t>s</w:t>
      </w:r>
      <w:r w:rsidR="00961311" w:rsidRPr="001A1EB3">
        <w:rPr>
          <w:rFonts w:ascii="Arial" w:hAnsi="Arial" w:cs="Arial"/>
          <w:sz w:val="26"/>
          <w:szCs w:val="26"/>
        </w:rPr>
        <w:t xml:space="preserve"> q</w:t>
      </w:r>
      <w:r w:rsidR="00961311">
        <w:rPr>
          <w:rFonts w:ascii="Arial" w:hAnsi="Arial" w:cs="Arial"/>
          <w:sz w:val="26"/>
          <w:szCs w:val="26"/>
        </w:rPr>
        <w:t xml:space="preserve">ue fundamentan su actuar, para cumplir con el requisito de debida fundamentación, mismo que se traduce en citar los artículos concretos de la ley o reglamento que le otorgan facultades, por medio de un razonamiento lógico jurídico. Sin embargo, indica que la Magistrada de Primera Instancia se equivoca al señalar que esta pretensión sería </w:t>
      </w:r>
      <w:r w:rsidR="00961311" w:rsidRPr="00E302A8">
        <w:rPr>
          <w:rFonts w:ascii="Arial" w:hAnsi="Arial" w:cs="Arial"/>
          <w:i/>
          <w:sz w:val="24"/>
          <w:szCs w:val="24"/>
        </w:rPr>
        <w:t>“confusa y nada técnico hacerlo</w:t>
      </w:r>
      <w:r w:rsidR="00961311">
        <w:rPr>
          <w:rFonts w:ascii="Arial" w:hAnsi="Arial" w:cs="Arial"/>
          <w:sz w:val="26"/>
          <w:szCs w:val="26"/>
        </w:rPr>
        <w:t>”</w:t>
      </w:r>
      <w:r w:rsidR="00E302A8">
        <w:rPr>
          <w:rFonts w:ascii="Arial" w:hAnsi="Arial" w:cs="Arial"/>
          <w:sz w:val="26"/>
          <w:szCs w:val="26"/>
        </w:rPr>
        <w:t>, pues a su criterio</w:t>
      </w:r>
      <w:r w:rsidR="00CA7E45">
        <w:rPr>
          <w:rFonts w:ascii="Arial" w:hAnsi="Arial" w:cs="Arial"/>
          <w:sz w:val="26"/>
          <w:szCs w:val="26"/>
        </w:rPr>
        <w:t xml:space="preserve"> señaló que:</w:t>
      </w:r>
      <w:r w:rsidR="00E302A8">
        <w:rPr>
          <w:rFonts w:ascii="Arial" w:hAnsi="Arial" w:cs="Arial"/>
          <w:sz w:val="26"/>
          <w:szCs w:val="26"/>
        </w:rPr>
        <w:t xml:space="preserve"> </w:t>
      </w:r>
      <w:r w:rsidR="00E302A8" w:rsidRPr="00E302A8">
        <w:rPr>
          <w:rFonts w:ascii="Arial" w:hAnsi="Arial" w:cs="Arial"/>
          <w:i/>
          <w:sz w:val="24"/>
          <w:szCs w:val="24"/>
        </w:rPr>
        <w:t>“la cita de los artículos de la autoridad para fundar su competencia para emitir la resolución sancionadora, son suficientes y no dejan duda ni inseguridad sobre su competencia”.</w:t>
      </w:r>
      <w:r w:rsidR="00CA7E45">
        <w:rPr>
          <w:rFonts w:ascii="Arial" w:hAnsi="Arial" w:cs="Arial"/>
          <w:sz w:val="26"/>
          <w:szCs w:val="26"/>
        </w:rPr>
        <w:t xml:space="preserve">  - - - - - - - - - - - - - - - - - - - - - - - - - - - - </w:t>
      </w:r>
    </w:p>
    <w:p w14:paraId="4FEA90DB" w14:textId="7FB19134" w:rsidR="00CA7E45" w:rsidRDefault="002E1967" w:rsidP="00516E39">
      <w:pPr>
        <w:spacing w:after="120" w:line="360" w:lineRule="auto"/>
        <w:ind w:firstLine="709"/>
        <w:jc w:val="both"/>
        <w:rPr>
          <w:rFonts w:ascii="Arial" w:hAnsi="Arial" w:cs="Arial"/>
          <w:sz w:val="26"/>
          <w:szCs w:val="26"/>
        </w:rPr>
      </w:pPr>
      <w:r>
        <w:rPr>
          <w:rFonts w:ascii="Arial" w:hAnsi="Arial" w:cs="Arial"/>
          <w:sz w:val="26"/>
          <w:szCs w:val="26"/>
        </w:rPr>
        <w:t xml:space="preserve">Por tanto, refiere que no es objetivamente correcto el fallo de la Magistrada, puesto que sí existe una indebida e insuficiente fundamentación y motivación de la competencia de la autoridad, porque no se fundó en una norma vigente, puesto que la autoridad funda su facultad para conocer, ordenar, tramitar y resolver el procedimiento de </w:t>
      </w:r>
      <w:r>
        <w:rPr>
          <w:rFonts w:ascii="Arial" w:hAnsi="Arial" w:cs="Arial"/>
          <w:sz w:val="26"/>
          <w:szCs w:val="26"/>
        </w:rPr>
        <w:lastRenderedPageBreak/>
        <w:t xml:space="preserve">responsabilidad administrativa, en los artículos 1, 2, 5, 36, fracciones XXI y XXVII, 40, fracción X del Reglamento Interno abrogado de la Secretaría de la Contraloría y Transparencia Gubernamental del Poder Ejecutivo del Estado de Oaxaca; es decir, el publicado el dos de febrero de dos mil dieciséis,  basándose para ello, en los artículos tercero, cuarto y sexto transitorios del Reglamento Interno de la referida Secretaría, publicado el dos de enero de dos mil dieciocho. - - - - - - - - - - - - - - - - - </w:t>
      </w:r>
    </w:p>
    <w:p w14:paraId="39511E7D" w14:textId="06AA3B78" w:rsidR="00E476B8" w:rsidRDefault="00B05547" w:rsidP="00516E39">
      <w:pPr>
        <w:spacing w:after="120" w:line="360" w:lineRule="auto"/>
        <w:ind w:firstLine="709"/>
        <w:jc w:val="both"/>
        <w:rPr>
          <w:rFonts w:ascii="Arial" w:hAnsi="Arial" w:cs="Arial"/>
          <w:sz w:val="26"/>
          <w:szCs w:val="26"/>
        </w:rPr>
      </w:pPr>
      <w:r>
        <w:rPr>
          <w:rFonts w:ascii="Arial" w:hAnsi="Arial" w:cs="Arial"/>
          <w:sz w:val="26"/>
          <w:szCs w:val="26"/>
        </w:rPr>
        <w:t>Además</w:t>
      </w:r>
      <w:r w:rsidR="00E476B8">
        <w:rPr>
          <w:rFonts w:ascii="Arial" w:hAnsi="Arial" w:cs="Arial"/>
          <w:sz w:val="26"/>
          <w:szCs w:val="26"/>
        </w:rPr>
        <w:t>, expone que no se hizo una mención expresa a la norma jurídica que le otorga competencia ahora a dicha Dirección de Responsabilidades Administrativas y Situación Patrimonial, pues menciona que la autoridad se limitó a señalar el artículo que le confería facultades a la anterior dependencia, cuyo nombre ya ha sido abrogado; es decir, no realizó la cita de los artículos que le dan competencia en el Reglamento vigente a partir del dos de enero de dos mil dieciocho, ni señaló razonamiento jurídico alguno que colmara la hipótesis normativa que le da a su área administrativa</w:t>
      </w:r>
      <w:r w:rsidR="001A2AD2">
        <w:rPr>
          <w:rFonts w:ascii="Arial" w:hAnsi="Arial" w:cs="Arial"/>
          <w:sz w:val="26"/>
          <w:szCs w:val="26"/>
        </w:rPr>
        <w:t xml:space="preserve"> su nueva denominación y sus facultades expresas para conocer y resolver el asunto; teniendo en cuenta, que los propios artículos transitorios, señalan la obligación implícita de que la autoridad que haya cambiado de denominación y que resulte competente conforme al nuevo reglamento, lo hará saber mediante el cumplimiento estricto de las normas constitucionales relativas a la debida fundamentación que haga de su competencia; por tanto, al no haberlo hecho así la autoridad, incide en que la fundamentación de su competencia resulta insuficiente e ilegal. - - - - - - </w:t>
      </w:r>
    </w:p>
    <w:p w14:paraId="6C68DE6B" w14:textId="2753435C" w:rsidR="00713142" w:rsidRDefault="00713142" w:rsidP="00516E39">
      <w:pPr>
        <w:spacing w:after="120" w:line="360" w:lineRule="auto"/>
        <w:ind w:firstLine="709"/>
        <w:jc w:val="both"/>
        <w:rPr>
          <w:rFonts w:ascii="Arial" w:hAnsi="Arial" w:cs="Arial"/>
          <w:sz w:val="26"/>
          <w:szCs w:val="26"/>
        </w:rPr>
      </w:pPr>
      <w:r w:rsidRPr="001A1EB3">
        <w:rPr>
          <w:rFonts w:ascii="Arial" w:hAnsi="Arial" w:cs="Arial"/>
          <w:sz w:val="26"/>
          <w:szCs w:val="26"/>
        </w:rPr>
        <w:t>Sigue manifestando que el exig</w:t>
      </w:r>
      <w:r w:rsidR="004002F5" w:rsidRPr="001A1EB3">
        <w:rPr>
          <w:rFonts w:ascii="Arial" w:hAnsi="Arial" w:cs="Arial"/>
          <w:sz w:val="26"/>
          <w:szCs w:val="26"/>
        </w:rPr>
        <w:t>ir</w:t>
      </w:r>
      <w:r w:rsidRPr="001A1EB3">
        <w:rPr>
          <w:rFonts w:ascii="Arial" w:hAnsi="Arial" w:cs="Arial"/>
          <w:sz w:val="26"/>
          <w:szCs w:val="26"/>
        </w:rPr>
        <w:t xml:space="preserve"> que </w:t>
      </w:r>
      <w:r w:rsidR="00F9557D" w:rsidRPr="001A1EB3">
        <w:rPr>
          <w:rFonts w:ascii="Arial" w:hAnsi="Arial" w:cs="Arial"/>
          <w:sz w:val="26"/>
          <w:szCs w:val="26"/>
        </w:rPr>
        <w:t xml:space="preserve">por medio de un razonamiento lógico jurídico, </w:t>
      </w:r>
      <w:r w:rsidRPr="001A1EB3">
        <w:rPr>
          <w:rFonts w:ascii="Arial" w:hAnsi="Arial" w:cs="Arial"/>
          <w:sz w:val="26"/>
          <w:szCs w:val="26"/>
        </w:rPr>
        <w:t>se respeten sus derechos de debida fundamentación y motivación jurídica previstos en los artículo</w:t>
      </w:r>
      <w:r w:rsidR="004002F5" w:rsidRPr="001A1EB3">
        <w:rPr>
          <w:rFonts w:ascii="Arial" w:hAnsi="Arial" w:cs="Arial"/>
          <w:sz w:val="26"/>
          <w:szCs w:val="26"/>
        </w:rPr>
        <w:t>s</w:t>
      </w:r>
      <w:r w:rsidRPr="001A1EB3">
        <w:rPr>
          <w:rFonts w:ascii="Arial" w:hAnsi="Arial" w:cs="Arial"/>
          <w:sz w:val="26"/>
          <w:szCs w:val="26"/>
        </w:rPr>
        <w:t xml:space="preserve"> 14 y 16 de la Constitución Federal, que la autoridad transgredió al no citar los artículos </w:t>
      </w:r>
      <w:r w:rsidR="004002F5" w:rsidRPr="001A1EB3">
        <w:rPr>
          <w:rFonts w:ascii="Arial" w:hAnsi="Arial" w:cs="Arial"/>
          <w:sz w:val="26"/>
          <w:szCs w:val="26"/>
        </w:rPr>
        <w:t xml:space="preserve">del nuevo Reglamento, </w:t>
      </w:r>
      <w:r w:rsidRPr="001A1EB3">
        <w:rPr>
          <w:rFonts w:ascii="Arial" w:hAnsi="Arial" w:cs="Arial"/>
          <w:sz w:val="26"/>
          <w:szCs w:val="26"/>
        </w:rPr>
        <w:t>en los que fundamenta su actuación</w:t>
      </w:r>
      <w:r w:rsidR="00F9557D" w:rsidRPr="001A1EB3">
        <w:rPr>
          <w:rFonts w:ascii="Arial" w:hAnsi="Arial" w:cs="Arial"/>
          <w:sz w:val="26"/>
          <w:szCs w:val="26"/>
        </w:rPr>
        <w:t>;</w:t>
      </w:r>
      <w:r w:rsidRPr="001A1EB3">
        <w:rPr>
          <w:rFonts w:ascii="Arial" w:hAnsi="Arial" w:cs="Arial"/>
          <w:sz w:val="26"/>
          <w:szCs w:val="26"/>
        </w:rPr>
        <w:t xml:space="preserve"> no puede ser “confuso y nada técnico hacerlo”</w:t>
      </w:r>
      <w:r w:rsidR="00C24FEC" w:rsidRPr="001A1EB3">
        <w:rPr>
          <w:rFonts w:ascii="Arial" w:hAnsi="Arial" w:cs="Arial"/>
          <w:sz w:val="26"/>
          <w:szCs w:val="26"/>
        </w:rPr>
        <w:t xml:space="preserve"> como lo señala la Magistrada de Primera Instancia</w:t>
      </w:r>
      <w:r w:rsidR="00F9557D" w:rsidRPr="001A1EB3">
        <w:rPr>
          <w:rFonts w:ascii="Arial" w:hAnsi="Arial" w:cs="Arial"/>
          <w:sz w:val="26"/>
          <w:szCs w:val="26"/>
        </w:rPr>
        <w:t xml:space="preserve"> en la sentencia recurrida</w:t>
      </w:r>
      <w:r w:rsidR="004002F5" w:rsidRPr="001A1EB3">
        <w:rPr>
          <w:rFonts w:ascii="Arial" w:hAnsi="Arial" w:cs="Arial"/>
          <w:sz w:val="26"/>
          <w:szCs w:val="26"/>
        </w:rPr>
        <w:t>.</w:t>
      </w:r>
      <w:r w:rsidRPr="001A1EB3">
        <w:rPr>
          <w:rFonts w:ascii="Arial" w:hAnsi="Arial" w:cs="Arial"/>
          <w:sz w:val="26"/>
          <w:szCs w:val="26"/>
        </w:rPr>
        <w:t xml:space="preserve"> - - - - - - - - -</w:t>
      </w:r>
      <w:r>
        <w:rPr>
          <w:rFonts w:ascii="Arial" w:hAnsi="Arial" w:cs="Arial"/>
          <w:sz w:val="26"/>
          <w:szCs w:val="26"/>
        </w:rPr>
        <w:t xml:space="preserve"> </w:t>
      </w:r>
    </w:p>
    <w:p w14:paraId="3A3EBD3A" w14:textId="66304446" w:rsidR="004002F5" w:rsidRDefault="00143B3A" w:rsidP="00143B3A">
      <w:pPr>
        <w:spacing w:after="120" w:line="360" w:lineRule="auto"/>
        <w:ind w:firstLine="708"/>
        <w:jc w:val="both"/>
        <w:rPr>
          <w:rFonts w:ascii="Arial" w:hAnsi="Arial" w:cs="Arial"/>
          <w:sz w:val="26"/>
          <w:szCs w:val="26"/>
        </w:rPr>
      </w:pPr>
      <w:r>
        <w:rPr>
          <w:rFonts w:ascii="Arial" w:hAnsi="Arial" w:cs="Arial"/>
          <w:sz w:val="26"/>
          <w:szCs w:val="26"/>
        </w:rPr>
        <w:t>Menciona</w:t>
      </w:r>
      <w:r w:rsidR="004002F5">
        <w:rPr>
          <w:rFonts w:ascii="Arial" w:hAnsi="Arial" w:cs="Arial"/>
          <w:sz w:val="26"/>
          <w:szCs w:val="26"/>
        </w:rPr>
        <w:t xml:space="preserve"> que como se puede advertir en la resolución de veintisiete de noviembre de dos mil dieciocho, emitid</w:t>
      </w:r>
      <w:r>
        <w:rPr>
          <w:rFonts w:ascii="Arial" w:hAnsi="Arial" w:cs="Arial"/>
          <w:sz w:val="26"/>
          <w:szCs w:val="26"/>
        </w:rPr>
        <w:t>a</w:t>
      </w:r>
      <w:r w:rsidR="004002F5">
        <w:rPr>
          <w:rFonts w:ascii="Arial" w:hAnsi="Arial" w:cs="Arial"/>
          <w:sz w:val="26"/>
          <w:szCs w:val="26"/>
        </w:rPr>
        <w:t xml:space="preserve"> por la Dirección de Responsabilidades Administrativas y Situación Patrimonial, la autoridad simplemente señala los artículos que en la norma abrogada le otorgaban facultades a otro órgano similar, </w:t>
      </w:r>
      <w:r w:rsidR="00F53337">
        <w:rPr>
          <w:rFonts w:ascii="Arial" w:hAnsi="Arial" w:cs="Arial"/>
          <w:sz w:val="26"/>
          <w:szCs w:val="26"/>
        </w:rPr>
        <w:t xml:space="preserve">pero no menciona expresamente los artículos que conforme al nuevo Reglamento le </w:t>
      </w:r>
      <w:r w:rsidR="00F53337">
        <w:rPr>
          <w:rFonts w:ascii="Arial" w:hAnsi="Arial" w:cs="Arial"/>
          <w:sz w:val="26"/>
          <w:szCs w:val="26"/>
        </w:rPr>
        <w:lastRenderedPageBreak/>
        <w:t xml:space="preserve">facultan para conocer, ordenar, tramitar y resolver el procedimiento de responsabilidad administrativa, en virtud de que la anterior facultad correspondía a un órgano administrativo que desapareció o cambió de denominación por virtud del reglamento actual.- - - - - - - - - - - - - - -  -- -  </w:t>
      </w:r>
    </w:p>
    <w:p w14:paraId="67BD715A" w14:textId="1B97FDD9" w:rsidR="00143B3A" w:rsidRDefault="00143B3A" w:rsidP="00516E39">
      <w:pPr>
        <w:spacing w:after="120" w:line="360" w:lineRule="auto"/>
        <w:ind w:firstLine="709"/>
        <w:jc w:val="both"/>
        <w:rPr>
          <w:rFonts w:ascii="Arial" w:hAnsi="Arial" w:cs="Arial"/>
          <w:i/>
          <w:iCs/>
          <w:sz w:val="24"/>
          <w:szCs w:val="24"/>
        </w:rPr>
      </w:pPr>
      <w:r>
        <w:rPr>
          <w:rFonts w:ascii="Arial" w:hAnsi="Arial" w:cs="Arial"/>
          <w:sz w:val="26"/>
          <w:szCs w:val="26"/>
        </w:rPr>
        <w:t xml:space="preserve">Así, señala que en la primera página de la resolución impugnada se advierte: </w:t>
      </w:r>
      <w:r>
        <w:rPr>
          <w:rFonts w:ascii="Arial" w:hAnsi="Arial" w:cs="Arial"/>
          <w:i/>
          <w:iCs/>
          <w:sz w:val="24"/>
          <w:szCs w:val="24"/>
        </w:rPr>
        <w:t xml:space="preserve">“SECRETARÍA DE LA CONTRALORÍA Y TRANSPARENCIA GUBERNAMENTAL DEL PODER EJECUTIVO DEL ESTADO DE OAXACA. - SECRETARÍA DE RESPONSABILIDDES Y TRANSPARENCIA, </w:t>
      </w:r>
      <w:r>
        <w:rPr>
          <w:rFonts w:ascii="Arial" w:hAnsi="Arial" w:cs="Arial"/>
          <w:b/>
          <w:bCs/>
          <w:i/>
          <w:iCs/>
          <w:sz w:val="24"/>
          <w:szCs w:val="24"/>
        </w:rPr>
        <w:t xml:space="preserve">AHORA </w:t>
      </w:r>
      <w:r>
        <w:rPr>
          <w:rFonts w:ascii="Arial" w:hAnsi="Arial" w:cs="Arial"/>
          <w:i/>
          <w:iCs/>
          <w:sz w:val="24"/>
          <w:szCs w:val="24"/>
        </w:rPr>
        <w:t xml:space="preserve">SUBSECRETARÍA DE RESPONSABILIDADES ADMINISTRATIVAS Y ANTICORRUPCIÓN. – DIRECCIÓN DE RESPONSABILIDADES Y SITUACIÓN PATRIMONIAL, </w:t>
      </w:r>
      <w:r>
        <w:rPr>
          <w:rFonts w:ascii="Arial" w:hAnsi="Arial" w:cs="Arial"/>
          <w:b/>
          <w:bCs/>
          <w:i/>
          <w:iCs/>
          <w:sz w:val="24"/>
          <w:szCs w:val="24"/>
        </w:rPr>
        <w:t xml:space="preserve">AHORA </w:t>
      </w:r>
      <w:r>
        <w:rPr>
          <w:rFonts w:ascii="Arial" w:hAnsi="Arial" w:cs="Arial"/>
          <w:i/>
          <w:iCs/>
          <w:sz w:val="24"/>
          <w:szCs w:val="24"/>
        </w:rPr>
        <w:t>DIRECCIÓN DE RESPONSABILIDADES ADMINISTRATIVAS Y SITUACIÓN PATRIMONIAL.”</w:t>
      </w:r>
    </w:p>
    <w:p w14:paraId="30F23577" w14:textId="4DBD6BFE" w:rsidR="00143B3A" w:rsidRDefault="00143B3A" w:rsidP="00516E39">
      <w:pPr>
        <w:spacing w:after="120" w:line="360" w:lineRule="auto"/>
        <w:ind w:firstLine="709"/>
        <w:jc w:val="both"/>
        <w:rPr>
          <w:rFonts w:ascii="Arial" w:hAnsi="Arial" w:cs="Arial"/>
          <w:sz w:val="26"/>
          <w:szCs w:val="26"/>
        </w:rPr>
      </w:pPr>
      <w:r>
        <w:rPr>
          <w:rFonts w:ascii="Arial" w:hAnsi="Arial" w:cs="Arial"/>
          <w:sz w:val="26"/>
          <w:szCs w:val="26"/>
        </w:rPr>
        <w:t xml:space="preserve">De lo anterior, se aprecia que hubo un cambio de denominación de acuerdo al Reglamento vigente a partir del dos de enero de dos mil dieciocho; </w:t>
      </w:r>
      <w:r w:rsidR="00B05547">
        <w:rPr>
          <w:rFonts w:ascii="Arial" w:hAnsi="Arial" w:cs="Arial"/>
          <w:sz w:val="26"/>
          <w:szCs w:val="26"/>
        </w:rPr>
        <w:t>al respecto</w:t>
      </w:r>
      <w:r>
        <w:rPr>
          <w:rFonts w:ascii="Arial" w:hAnsi="Arial" w:cs="Arial"/>
          <w:sz w:val="26"/>
          <w:szCs w:val="26"/>
        </w:rPr>
        <w:t xml:space="preserve">, </w:t>
      </w:r>
      <w:r w:rsidR="008D7DA0">
        <w:rPr>
          <w:rFonts w:ascii="Arial" w:hAnsi="Arial" w:cs="Arial"/>
          <w:sz w:val="26"/>
          <w:szCs w:val="26"/>
        </w:rPr>
        <w:t xml:space="preserve">expresa el recurrente que contrariamente a </w:t>
      </w:r>
      <w:r w:rsidR="00B05547">
        <w:rPr>
          <w:rFonts w:ascii="Arial" w:hAnsi="Arial" w:cs="Arial"/>
          <w:sz w:val="26"/>
          <w:szCs w:val="26"/>
        </w:rPr>
        <w:t xml:space="preserve">lo dispuesto en </w:t>
      </w:r>
      <w:r w:rsidR="008D7DA0">
        <w:rPr>
          <w:rFonts w:ascii="Arial" w:hAnsi="Arial" w:cs="Arial"/>
          <w:sz w:val="26"/>
          <w:szCs w:val="26"/>
        </w:rPr>
        <w:t xml:space="preserve">los artículos tercero y cuarto transitorios, la autoridad no citó los artículos o numerales que conforme a este instrumento, le otorgan competencia a la Dirección de Responsabilidades Administrativas y Anticorrupción, pues indica, únicamente se limitó a señalar aquellos artículos que le daban competencia a la otrora Dirección de Responsabilidades y Situación Patrimonial de la Subsecretaría de Responsabilidades y Transparencia.- - - - - - - - - - - - - </w:t>
      </w:r>
    </w:p>
    <w:p w14:paraId="28E98831" w14:textId="0940D537" w:rsidR="00DF51A7" w:rsidRPr="009A793E" w:rsidRDefault="00DF51A7" w:rsidP="00516E39">
      <w:pPr>
        <w:spacing w:after="120" w:line="360" w:lineRule="auto"/>
        <w:ind w:firstLine="709"/>
        <w:jc w:val="both"/>
        <w:rPr>
          <w:rFonts w:ascii="Arial" w:hAnsi="Arial" w:cs="Arial"/>
          <w:i/>
          <w:iCs/>
          <w:sz w:val="24"/>
          <w:szCs w:val="24"/>
        </w:rPr>
      </w:pPr>
      <w:r w:rsidRPr="001A1EB3">
        <w:rPr>
          <w:rFonts w:ascii="Arial" w:hAnsi="Arial" w:cs="Arial"/>
          <w:sz w:val="26"/>
          <w:szCs w:val="26"/>
        </w:rPr>
        <w:t xml:space="preserve">Consecuentemente, insiste que al no haber señalado en la </w:t>
      </w:r>
      <w:r w:rsidR="00F9557D" w:rsidRPr="001A1EB3">
        <w:rPr>
          <w:rFonts w:ascii="Arial" w:hAnsi="Arial" w:cs="Arial"/>
          <w:sz w:val="26"/>
          <w:szCs w:val="26"/>
        </w:rPr>
        <w:t xml:space="preserve">resolución </w:t>
      </w:r>
      <w:r w:rsidRPr="001A1EB3">
        <w:rPr>
          <w:rFonts w:ascii="Arial" w:hAnsi="Arial" w:cs="Arial"/>
          <w:sz w:val="26"/>
          <w:szCs w:val="26"/>
        </w:rPr>
        <w:t xml:space="preserve">impugnada, los artículos que le dan facultades conforme a su nueva denominación; esto es, al no haber justificado en la resolución reclamada, si en la especie su competencia se surte en virtud de alguna </w:t>
      </w:r>
      <w:r w:rsidR="00C24FEC" w:rsidRPr="001A1EB3">
        <w:rPr>
          <w:rFonts w:ascii="Arial" w:hAnsi="Arial" w:cs="Arial"/>
          <w:sz w:val="26"/>
          <w:szCs w:val="26"/>
        </w:rPr>
        <w:t xml:space="preserve">situación </w:t>
      </w:r>
      <w:r w:rsidRPr="001A1EB3">
        <w:rPr>
          <w:rFonts w:ascii="Arial" w:hAnsi="Arial" w:cs="Arial"/>
          <w:sz w:val="26"/>
          <w:szCs w:val="26"/>
        </w:rPr>
        <w:t xml:space="preserve">de </w:t>
      </w:r>
      <w:r w:rsidR="001A1EB3">
        <w:rPr>
          <w:rFonts w:ascii="Arial" w:hAnsi="Arial" w:cs="Arial"/>
          <w:sz w:val="26"/>
          <w:szCs w:val="26"/>
        </w:rPr>
        <w:t xml:space="preserve">las </w:t>
      </w:r>
      <w:r w:rsidRPr="001A1EB3">
        <w:rPr>
          <w:rFonts w:ascii="Arial" w:hAnsi="Arial" w:cs="Arial"/>
          <w:sz w:val="26"/>
          <w:szCs w:val="26"/>
        </w:rPr>
        <w:t xml:space="preserve">autoridades o de un cambio de denominación en su estructura orgánica, conforme al Reglamento Interno </w:t>
      </w:r>
      <w:r w:rsidR="00F9557D" w:rsidRPr="001A1EB3">
        <w:rPr>
          <w:rFonts w:ascii="Arial" w:hAnsi="Arial" w:cs="Arial"/>
          <w:sz w:val="26"/>
          <w:szCs w:val="26"/>
        </w:rPr>
        <w:t>de la</w:t>
      </w:r>
      <w:r w:rsidRPr="001A1EB3">
        <w:rPr>
          <w:rFonts w:ascii="Arial" w:hAnsi="Arial" w:cs="Arial"/>
          <w:sz w:val="26"/>
          <w:szCs w:val="26"/>
        </w:rPr>
        <w:t xml:space="preserve"> Secretaría</w:t>
      </w:r>
      <w:r>
        <w:rPr>
          <w:rFonts w:ascii="Arial" w:hAnsi="Arial" w:cs="Arial"/>
          <w:sz w:val="26"/>
          <w:szCs w:val="26"/>
        </w:rPr>
        <w:t xml:space="preserve"> de Contraloría y Transparencia Gubernamental del Poder Ejecutivo del Estado de Oaxaca, vigente, ello conduce a determinar que su competencia es insuficiente e indebidamente fundada. </w:t>
      </w:r>
      <w:r w:rsidR="009A793E">
        <w:rPr>
          <w:rFonts w:ascii="Arial" w:hAnsi="Arial" w:cs="Arial"/>
          <w:sz w:val="26"/>
          <w:szCs w:val="26"/>
        </w:rPr>
        <w:t xml:space="preserve">Para justificar su agravio, cita el criterio jurisprudencial de la Novena Época, con registro 174460, de rubro: </w:t>
      </w:r>
      <w:r w:rsidR="009A793E">
        <w:rPr>
          <w:rFonts w:ascii="Arial" w:hAnsi="Arial" w:cs="Arial"/>
          <w:i/>
          <w:iCs/>
          <w:sz w:val="24"/>
          <w:szCs w:val="24"/>
        </w:rPr>
        <w:t>“GARANTÍAS DE LEGALIDAD Y SEGURIDAD JURÍDICA. ES VIOLATORIO DE ÉSTAS EL ACTO DE MOLESTIA EMITIDO POR UNA AUTORIDAD CUYA DENOMINACIÓN NO ES COINCIDENTE CON LA DE LA AUTORIDAD FACULTADA EN LA LEGISLACION APLICABLE PARA EMITIRLO.”- - - - - - - - - - - - - - - - - - - - - - - - - - - - - - - - - - - - - - - - - - - - - - - -</w:t>
      </w:r>
    </w:p>
    <w:p w14:paraId="6EC1E361" w14:textId="0F85DB9E" w:rsidR="00D50EEB" w:rsidRDefault="004762F3" w:rsidP="00D50EEB">
      <w:pPr>
        <w:spacing w:after="120" w:line="360" w:lineRule="auto"/>
        <w:ind w:firstLine="709"/>
        <w:jc w:val="both"/>
        <w:rPr>
          <w:rFonts w:ascii="Arial" w:hAnsi="Arial" w:cs="Arial"/>
          <w:sz w:val="26"/>
          <w:szCs w:val="26"/>
        </w:rPr>
      </w:pPr>
      <w:r w:rsidRPr="004762F3">
        <w:rPr>
          <w:rFonts w:ascii="Arial" w:eastAsia="Calibri" w:hAnsi="Arial" w:cs="Arial"/>
          <w:bCs/>
          <w:sz w:val="26"/>
          <w:szCs w:val="26"/>
        </w:rPr>
        <w:lastRenderedPageBreak/>
        <w:t xml:space="preserve">Resulta </w:t>
      </w:r>
      <w:r w:rsidRPr="004762F3">
        <w:rPr>
          <w:rFonts w:ascii="Arial" w:eastAsia="Calibri" w:hAnsi="Arial" w:cs="Arial"/>
          <w:b/>
          <w:bCs/>
          <w:sz w:val="26"/>
          <w:szCs w:val="26"/>
        </w:rPr>
        <w:t xml:space="preserve">INFUNDADO </w:t>
      </w:r>
      <w:r w:rsidRPr="004762F3">
        <w:rPr>
          <w:rFonts w:ascii="Arial" w:eastAsia="Calibri" w:hAnsi="Arial" w:cs="Arial"/>
          <w:bCs/>
          <w:sz w:val="26"/>
          <w:szCs w:val="26"/>
        </w:rPr>
        <w:t>el agravio del recurrente, pues d</w:t>
      </w:r>
      <w:r w:rsidR="001A1EB3" w:rsidRPr="004762F3">
        <w:rPr>
          <w:rFonts w:ascii="Arial" w:eastAsia="Calibri" w:hAnsi="Arial" w:cs="Arial"/>
          <w:bCs/>
          <w:sz w:val="26"/>
          <w:szCs w:val="26"/>
        </w:rPr>
        <w:t>e</w:t>
      </w:r>
      <w:r w:rsidR="00D50EEB" w:rsidRPr="004762F3">
        <w:rPr>
          <w:rFonts w:ascii="Arial" w:eastAsia="Calibri" w:hAnsi="Arial" w:cs="Arial"/>
          <w:bCs/>
          <w:sz w:val="26"/>
          <w:szCs w:val="26"/>
        </w:rPr>
        <w:t xml:space="preserve"> la lectura integral de la sentencia recurrida, la cual tiene valor probatori</w:t>
      </w:r>
      <w:r w:rsidR="003C6197" w:rsidRPr="004762F3">
        <w:rPr>
          <w:rFonts w:ascii="Arial" w:eastAsia="Calibri" w:hAnsi="Arial" w:cs="Arial"/>
          <w:bCs/>
          <w:sz w:val="26"/>
          <w:szCs w:val="26"/>
        </w:rPr>
        <w:t>o</w:t>
      </w:r>
      <w:r w:rsidR="003C6197">
        <w:rPr>
          <w:rFonts w:ascii="Arial" w:eastAsia="Calibri" w:hAnsi="Arial" w:cs="Arial"/>
          <w:bCs/>
          <w:sz w:val="26"/>
          <w:szCs w:val="26"/>
        </w:rPr>
        <w:t xml:space="preserve"> pleno</w:t>
      </w:r>
      <w:r w:rsidR="00D50EEB" w:rsidRPr="00030094">
        <w:rPr>
          <w:rFonts w:ascii="Arial" w:eastAsia="Calibri" w:hAnsi="Arial" w:cs="Arial"/>
          <w:bCs/>
          <w:sz w:val="26"/>
          <w:szCs w:val="26"/>
        </w:rPr>
        <w:t xml:space="preserve">, de acuerdo con lo establecido por el artículo </w:t>
      </w:r>
      <w:r w:rsidR="00D50EEB">
        <w:rPr>
          <w:rFonts w:ascii="Arial" w:eastAsia="Calibri" w:hAnsi="Arial" w:cs="Arial"/>
          <w:bCs/>
          <w:sz w:val="26"/>
          <w:szCs w:val="26"/>
        </w:rPr>
        <w:t>20</w:t>
      </w:r>
      <w:r w:rsidR="00D50EEB" w:rsidRPr="00030094">
        <w:rPr>
          <w:rFonts w:ascii="Arial" w:eastAsia="Calibri" w:hAnsi="Arial" w:cs="Arial"/>
          <w:bCs/>
          <w:sz w:val="26"/>
          <w:szCs w:val="26"/>
        </w:rPr>
        <w:t xml:space="preserve">3, fracción I de la Ley de </w:t>
      </w:r>
      <w:r w:rsidR="00D50EEB">
        <w:rPr>
          <w:rFonts w:ascii="Arial" w:eastAsia="Calibri" w:hAnsi="Arial" w:cs="Arial"/>
          <w:bCs/>
          <w:sz w:val="26"/>
          <w:szCs w:val="26"/>
        </w:rPr>
        <w:t xml:space="preserve">Procedimiento y </w:t>
      </w:r>
      <w:r w:rsidR="00D50EEB" w:rsidRPr="00030094">
        <w:rPr>
          <w:rFonts w:ascii="Arial" w:eastAsia="Calibri" w:hAnsi="Arial" w:cs="Arial"/>
          <w:bCs/>
          <w:sz w:val="26"/>
          <w:szCs w:val="26"/>
        </w:rPr>
        <w:t xml:space="preserve">Justicia Administrativa para el Estado, por ser una actuación procesal, se advierte </w:t>
      </w:r>
      <w:r w:rsidR="00D50EEB">
        <w:rPr>
          <w:rFonts w:ascii="Arial" w:hAnsi="Arial" w:cs="Arial"/>
          <w:sz w:val="26"/>
          <w:szCs w:val="26"/>
        </w:rPr>
        <w:t xml:space="preserve">que la Magistrada de la Tercera Sala Unitaria de Primera Instancia, señaló lo siguiente: - - - - - - - </w:t>
      </w:r>
      <w:r>
        <w:rPr>
          <w:rFonts w:ascii="Arial" w:hAnsi="Arial" w:cs="Arial"/>
          <w:sz w:val="26"/>
          <w:szCs w:val="26"/>
        </w:rPr>
        <w:t>- - - - - - - - -</w:t>
      </w:r>
    </w:p>
    <w:p w14:paraId="1F3CF880" w14:textId="74E1E6F4" w:rsidR="00D50EEB" w:rsidRDefault="00D50EEB" w:rsidP="00D50EEB">
      <w:pPr>
        <w:spacing w:after="120" w:line="360" w:lineRule="auto"/>
        <w:ind w:left="851" w:right="900" w:firstLine="565"/>
        <w:jc w:val="both"/>
        <w:rPr>
          <w:rFonts w:ascii="Arial" w:hAnsi="Arial" w:cs="Arial"/>
          <w:i/>
          <w:iCs/>
        </w:rPr>
      </w:pPr>
      <w:r>
        <w:rPr>
          <w:rFonts w:ascii="Arial" w:hAnsi="Arial" w:cs="Arial"/>
          <w:i/>
          <w:iCs/>
        </w:rPr>
        <w:t>“Con respecto al segundo concepto de impugnación, relativo a la falta de fundamentación y motivación de la competencia de la autoridad para emitir la resolución notificada el 12 doce de diciembre de 2018 dos mil dieciocho, que señala el actor de forma específica</w:t>
      </w:r>
      <w:r w:rsidRPr="001A1EB3">
        <w:rPr>
          <w:rFonts w:ascii="Arial" w:hAnsi="Arial" w:cs="Arial"/>
          <w:i/>
          <w:iCs/>
        </w:rPr>
        <w:t>, e</w:t>
      </w:r>
      <w:r w:rsidR="003C6197" w:rsidRPr="001A1EB3">
        <w:rPr>
          <w:rFonts w:ascii="Arial" w:hAnsi="Arial" w:cs="Arial"/>
          <w:i/>
          <w:iCs/>
        </w:rPr>
        <w:t>s (sic)</w:t>
      </w:r>
      <w:r w:rsidRPr="001A1EB3">
        <w:rPr>
          <w:rFonts w:ascii="Arial" w:hAnsi="Arial" w:cs="Arial"/>
          <w:i/>
          <w:iCs/>
        </w:rPr>
        <w:t xml:space="preserve"> que</w:t>
      </w:r>
      <w:r w:rsidR="003C6197" w:rsidRPr="001A1EB3">
        <w:rPr>
          <w:rFonts w:ascii="Arial" w:hAnsi="Arial" w:cs="Arial"/>
          <w:i/>
          <w:iCs/>
        </w:rPr>
        <w:t xml:space="preserve"> funda sus facultades</w:t>
      </w:r>
      <w:r w:rsidR="003C6197">
        <w:rPr>
          <w:rFonts w:ascii="Arial" w:hAnsi="Arial" w:cs="Arial"/>
          <w:i/>
          <w:iCs/>
        </w:rPr>
        <w:t xml:space="preserve"> par</w:t>
      </w:r>
      <w:r>
        <w:rPr>
          <w:rFonts w:ascii="Arial" w:hAnsi="Arial" w:cs="Arial"/>
          <w:i/>
          <w:iCs/>
        </w:rPr>
        <w:t xml:space="preserve">a conocer, ordenar, tramitar y resolver el procedimiento de responsabilidad administrativa en los artículos 1, 2, 5, 36 fracciones XXI y XXVII y 40 fracción X, del Reglamento Interno abrogado de la Secretaría de la Contraloría y Transparencia </w:t>
      </w:r>
      <w:r w:rsidRPr="001A1EB3">
        <w:rPr>
          <w:rFonts w:ascii="Arial" w:hAnsi="Arial" w:cs="Arial"/>
          <w:i/>
          <w:iCs/>
        </w:rPr>
        <w:t xml:space="preserve">Gubernamental del Poder Ejecutivo del Estado de Oaxaca, publicado el </w:t>
      </w:r>
      <w:r w:rsidR="003C6197" w:rsidRPr="001A1EB3">
        <w:rPr>
          <w:rFonts w:ascii="Arial" w:hAnsi="Arial" w:cs="Arial"/>
          <w:i/>
          <w:iCs/>
        </w:rPr>
        <w:t xml:space="preserve">2 </w:t>
      </w:r>
      <w:r w:rsidRPr="001A1EB3">
        <w:rPr>
          <w:rFonts w:ascii="Arial" w:hAnsi="Arial" w:cs="Arial"/>
          <w:i/>
          <w:iCs/>
        </w:rPr>
        <w:t>dos de febrero de 2016 dos mil dieciséis , basándose para ello en los artículos tercero, cuarto y sexto del Reglamento Interno de la actual Contraloría publicado el 2 dos de enero de 2018 dos mil dieciocho, pues omite citar las normas</w:t>
      </w:r>
      <w:r w:rsidR="003C6197" w:rsidRPr="001A1EB3">
        <w:rPr>
          <w:rFonts w:ascii="Arial" w:hAnsi="Arial" w:cs="Arial"/>
          <w:i/>
          <w:iCs/>
        </w:rPr>
        <w:t>(sic)</w:t>
      </w:r>
      <w:r w:rsidRPr="001A1EB3">
        <w:rPr>
          <w:rFonts w:ascii="Arial" w:hAnsi="Arial" w:cs="Arial"/>
          <w:i/>
          <w:iCs/>
        </w:rPr>
        <w:t xml:space="preserve"> que con este nuevo</w:t>
      </w:r>
      <w:r>
        <w:rPr>
          <w:rFonts w:ascii="Arial" w:hAnsi="Arial" w:cs="Arial"/>
          <w:i/>
          <w:iCs/>
        </w:rPr>
        <w:t xml:space="preserve"> reglamento tiene la actual Dirección demandada, y simplemente señala la norma abrogada. Lo que para el hoy demandante, le causa dudas sobre la legalidad de la competencia al no coincidir la denominación de ésta referida en el reglamento abrogado con la actual.</w:t>
      </w:r>
    </w:p>
    <w:p w14:paraId="01160E83" w14:textId="0B648942" w:rsidR="00D50EEB" w:rsidRDefault="00D50EEB" w:rsidP="00D50EEB">
      <w:pPr>
        <w:spacing w:after="120" w:line="360" w:lineRule="auto"/>
        <w:ind w:left="851" w:right="900" w:firstLine="565"/>
        <w:jc w:val="both"/>
        <w:rPr>
          <w:rFonts w:ascii="Arial" w:hAnsi="Arial" w:cs="Arial"/>
          <w:i/>
          <w:iCs/>
        </w:rPr>
      </w:pPr>
      <w:r>
        <w:rPr>
          <w:rFonts w:ascii="Arial" w:hAnsi="Arial" w:cs="Arial"/>
          <w:i/>
          <w:iCs/>
        </w:rPr>
        <w:t xml:space="preserve">Lo anterior resulta infundado, debido a que con toda claridad, y como el mismo actor del juicio, señala, en el proemio de la resolución, la autoridad inicia la resolución impugnada, señalando el nombre de la DIRECCIÓN DE RESPONSABILIDADES Y SITUACIÓN PATRIMONIAL </w:t>
      </w:r>
      <w:r>
        <w:rPr>
          <w:rFonts w:ascii="Arial" w:hAnsi="Arial" w:cs="Arial"/>
          <w:b/>
          <w:bCs/>
          <w:i/>
          <w:iCs/>
        </w:rPr>
        <w:t xml:space="preserve">AHORA </w:t>
      </w:r>
      <w:r>
        <w:rPr>
          <w:rFonts w:ascii="Arial" w:hAnsi="Arial" w:cs="Arial"/>
          <w:i/>
          <w:iCs/>
        </w:rPr>
        <w:t xml:space="preserve">DIRECCIÓN DE RESPONSABILIDADES </w:t>
      </w:r>
      <w:r>
        <w:rPr>
          <w:rFonts w:ascii="Arial" w:hAnsi="Arial" w:cs="Arial"/>
          <w:i/>
          <w:iCs/>
          <w:u w:val="single"/>
        </w:rPr>
        <w:t>ADMINISTRATIVAS</w:t>
      </w:r>
      <w:r>
        <w:rPr>
          <w:rFonts w:ascii="Arial" w:hAnsi="Arial" w:cs="Arial"/>
          <w:i/>
          <w:iCs/>
        </w:rPr>
        <w:t xml:space="preserve"> Y SITUACIÓN PATRIMONIAL. Desde el inicio se despeja cualquier duda o confusión que pueda causar el cambio de la denominación de esa Dirección. Que si bien se lee, es únicamente una palabra que se le incluye “administrativas” para especificar que en esa Dirección de responsabilidades se conoce de “responsabilidades administrativas.</w:t>
      </w:r>
      <w:r w:rsidR="00B05547">
        <w:rPr>
          <w:rFonts w:ascii="Arial" w:hAnsi="Arial" w:cs="Arial"/>
          <w:i/>
          <w:iCs/>
        </w:rPr>
        <w:t>”</w:t>
      </w:r>
      <w:r>
        <w:rPr>
          <w:rFonts w:ascii="Arial" w:hAnsi="Arial" w:cs="Arial"/>
          <w:i/>
          <w:iCs/>
        </w:rPr>
        <w:t xml:space="preserve"> No es complejo el nuevo nombre de la dependencia y al fundar su competencia en las normas a que está obligada de acuerdo al principio constitucional, de que, no puede aplicarse la ley en sentido retroactivo, artículo 14 de la Constitución Política de los Estados Unidos Mexicanos, que en lo conducente dice:</w:t>
      </w:r>
    </w:p>
    <w:p w14:paraId="46375A0F" w14:textId="77777777" w:rsidR="00D50EEB" w:rsidRDefault="00D50EEB" w:rsidP="00D50EEB">
      <w:pPr>
        <w:spacing w:after="120" w:line="360" w:lineRule="auto"/>
        <w:ind w:left="851" w:right="900" w:firstLine="565"/>
        <w:jc w:val="both"/>
        <w:rPr>
          <w:rFonts w:ascii="Arial" w:hAnsi="Arial" w:cs="Arial"/>
          <w:i/>
          <w:iCs/>
        </w:rPr>
      </w:pPr>
      <w:r>
        <w:rPr>
          <w:rFonts w:ascii="Arial" w:hAnsi="Arial" w:cs="Arial"/>
          <w:i/>
          <w:iCs/>
        </w:rPr>
        <w:t>“</w:t>
      </w:r>
      <w:r>
        <w:rPr>
          <w:rFonts w:ascii="Arial" w:hAnsi="Arial" w:cs="Arial"/>
          <w:b/>
          <w:bCs/>
          <w:i/>
          <w:iCs/>
        </w:rPr>
        <w:t xml:space="preserve">Artículo </w:t>
      </w:r>
      <w:r>
        <w:rPr>
          <w:rFonts w:ascii="Arial" w:hAnsi="Arial" w:cs="Arial"/>
          <w:i/>
          <w:iCs/>
        </w:rPr>
        <w:t xml:space="preserve">14 A ninguna </w:t>
      </w:r>
      <w:r>
        <w:rPr>
          <w:rFonts w:ascii="Arial" w:hAnsi="Arial" w:cs="Arial"/>
          <w:b/>
          <w:bCs/>
          <w:i/>
          <w:iCs/>
        </w:rPr>
        <w:t xml:space="preserve">ley </w:t>
      </w:r>
      <w:r>
        <w:rPr>
          <w:rFonts w:ascii="Arial" w:hAnsi="Arial" w:cs="Arial"/>
          <w:i/>
          <w:iCs/>
        </w:rPr>
        <w:t xml:space="preserve">se dará efecto </w:t>
      </w:r>
      <w:r>
        <w:rPr>
          <w:rFonts w:ascii="Arial" w:hAnsi="Arial" w:cs="Arial"/>
          <w:b/>
          <w:bCs/>
          <w:i/>
          <w:iCs/>
        </w:rPr>
        <w:t xml:space="preserve">retroactivo </w:t>
      </w:r>
      <w:r>
        <w:rPr>
          <w:rFonts w:ascii="Arial" w:hAnsi="Arial" w:cs="Arial"/>
          <w:i/>
          <w:iCs/>
        </w:rPr>
        <w:t>en perjuicio de persona alguna. […]”</w:t>
      </w:r>
    </w:p>
    <w:p w14:paraId="5486BA34" w14:textId="24ADA0AF" w:rsidR="00D50EEB" w:rsidRDefault="00D50EEB" w:rsidP="00D50EEB">
      <w:pPr>
        <w:spacing w:after="120" w:line="360" w:lineRule="auto"/>
        <w:ind w:left="851" w:right="900" w:firstLine="565"/>
        <w:jc w:val="both"/>
        <w:rPr>
          <w:rFonts w:ascii="Arial" w:hAnsi="Arial" w:cs="Arial"/>
          <w:i/>
          <w:iCs/>
        </w:rPr>
      </w:pPr>
      <w:r>
        <w:rPr>
          <w:rFonts w:ascii="Arial" w:hAnsi="Arial" w:cs="Arial"/>
          <w:i/>
          <w:iCs/>
        </w:rPr>
        <w:lastRenderedPageBreak/>
        <w:t xml:space="preserve">Razón por la cual, en todo el párrafo en el que funda su competencia la demandada, aplica los dispositivos relativos a las leyes y reglamentos vigentes a la fecha de inicio de los trámites de auditoría, en el expediente indagatorio administrativo, anexo a este juicio, número </w:t>
      </w:r>
      <w:r w:rsidR="00A05B40">
        <w:rPr>
          <w:rFonts w:ascii="Arial" w:hAnsi="Arial" w:cs="Arial"/>
          <w:b/>
          <w:sz w:val="26"/>
          <w:szCs w:val="26"/>
        </w:rPr>
        <w:t>***********</w:t>
      </w:r>
      <w:r>
        <w:rPr>
          <w:rFonts w:ascii="Arial" w:hAnsi="Arial" w:cs="Arial"/>
          <w:i/>
          <w:iCs/>
        </w:rPr>
        <w:t xml:space="preserve">, iniciado con motivo de la recepción del oficio número </w:t>
      </w:r>
      <w:r w:rsidR="00A05B40">
        <w:rPr>
          <w:rFonts w:ascii="Arial" w:hAnsi="Arial" w:cs="Arial"/>
          <w:b/>
          <w:sz w:val="26"/>
          <w:szCs w:val="26"/>
        </w:rPr>
        <w:t>***********</w:t>
      </w:r>
      <w:r>
        <w:rPr>
          <w:rFonts w:ascii="Arial" w:hAnsi="Arial" w:cs="Arial"/>
          <w:i/>
          <w:iCs/>
        </w:rPr>
        <w:t xml:space="preserve">, de </w:t>
      </w:r>
      <w:r>
        <w:rPr>
          <w:rFonts w:ascii="Arial" w:hAnsi="Arial" w:cs="Arial"/>
          <w:b/>
          <w:bCs/>
          <w:i/>
          <w:iCs/>
        </w:rPr>
        <w:t xml:space="preserve">17 diecisiete de mayo 2017 dos mil diecisiete, </w:t>
      </w:r>
      <w:r>
        <w:rPr>
          <w:rFonts w:ascii="Arial" w:hAnsi="Arial" w:cs="Arial"/>
          <w:i/>
          <w:iCs/>
        </w:rPr>
        <w:t xml:space="preserve">suscrito por la DIRECTORA ADMINISTRATIVA DE LA SECRETARÍA DE ADMINISTRACIÓN, LICENCIADA NORMA HILDA CRESPO BRAVO, (visible a la foja 1507 del citado expediente indagatorio anexo a este juicio), por el que hizo del conocimiento </w:t>
      </w:r>
      <w:r w:rsidRPr="00FF6A01">
        <w:rPr>
          <w:rFonts w:ascii="Arial" w:hAnsi="Arial" w:cs="Arial"/>
          <w:i/>
          <w:iCs/>
        </w:rPr>
        <w:t>a la hoy demandada</w:t>
      </w:r>
      <w:r>
        <w:rPr>
          <w:rFonts w:ascii="Arial" w:hAnsi="Arial" w:cs="Arial"/>
          <w:i/>
          <w:iCs/>
        </w:rPr>
        <w:t>, a través de su departamento de Quejas y Denuncias B, en el sentido de que fueron detectadas adquisiciones en cinco expedientes que carecen de la autorización del Comité de Adquisidores, Arrendamientos y Servicios del poder Ejecutivo. Así que además que los hechos se realizaron en el año 2015 bajo la rectoría de la Ley de Responsabilidades Administrativas, reformada, y las autoridades fiscalizadoras iniciaron los trámites en la vigencia del Reglamento Interno de la citada Contraloría, ahora abrogado, por el vigente publicado el 2 dos de enero de 2018 dos mil dieciocho, y sus transitorios acuden al principio de la no retroactividad, indicando el artículo sexto transitorio, que al texto dice:</w:t>
      </w:r>
    </w:p>
    <w:p w14:paraId="4FA25081" w14:textId="2DC92BB6" w:rsidR="00D50EEB" w:rsidRDefault="00D50EEB" w:rsidP="00D50EEB">
      <w:pPr>
        <w:spacing w:after="120" w:line="360" w:lineRule="auto"/>
        <w:ind w:left="1418" w:right="1750"/>
        <w:jc w:val="both"/>
        <w:rPr>
          <w:rFonts w:ascii="Arial" w:hAnsi="Arial" w:cs="Arial"/>
          <w:i/>
          <w:iCs/>
        </w:rPr>
      </w:pPr>
      <w:r>
        <w:rPr>
          <w:rFonts w:ascii="Arial" w:hAnsi="Arial" w:cs="Arial"/>
          <w:i/>
          <w:iCs/>
        </w:rPr>
        <w:t xml:space="preserve">“Los procedimientos administrativos iniciados por la Dirección de Responsabilidades y </w:t>
      </w:r>
      <w:r w:rsidR="00B05547">
        <w:rPr>
          <w:rFonts w:ascii="Arial" w:hAnsi="Arial" w:cs="Arial"/>
          <w:i/>
          <w:iCs/>
        </w:rPr>
        <w:t>S</w:t>
      </w:r>
      <w:r>
        <w:rPr>
          <w:rFonts w:ascii="Arial" w:hAnsi="Arial" w:cs="Arial"/>
          <w:i/>
          <w:iCs/>
        </w:rPr>
        <w:t>ituación Patrimonial con anterioridad a la entrada en vigor de la Ley de Responsabilidades Administrativas de los Servidores Públicos del Estado y Municipios de Oaxaca, serán concluidos conforme a las disposiciones vigentes a su inicio.”</w:t>
      </w:r>
    </w:p>
    <w:p w14:paraId="20F7491F" w14:textId="6C624089" w:rsidR="00D50EEB" w:rsidRPr="00FF6A01" w:rsidRDefault="00D50EEB" w:rsidP="00D50EEB">
      <w:pPr>
        <w:spacing w:after="120" w:line="360" w:lineRule="auto"/>
        <w:ind w:left="851" w:right="900"/>
        <w:jc w:val="both"/>
        <w:rPr>
          <w:rFonts w:ascii="Arial" w:hAnsi="Arial" w:cs="Arial"/>
          <w:b/>
          <w:bCs/>
        </w:rPr>
      </w:pPr>
      <w:r>
        <w:rPr>
          <w:rFonts w:ascii="Arial" w:hAnsi="Arial" w:cs="Arial"/>
          <w:i/>
          <w:iCs/>
        </w:rPr>
        <w:tab/>
      </w:r>
      <w:r w:rsidRPr="00DD5F49">
        <w:rPr>
          <w:rFonts w:ascii="Arial" w:hAnsi="Arial" w:cs="Arial"/>
          <w:i/>
          <w:iCs/>
        </w:rPr>
        <w:t xml:space="preserve">Así que </w:t>
      </w:r>
      <w:r>
        <w:rPr>
          <w:rFonts w:ascii="Arial" w:hAnsi="Arial" w:cs="Arial"/>
          <w:i/>
          <w:iCs/>
        </w:rPr>
        <w:t>las disposiciones vigentes a la fecha del inicio de los trámites de auditoría fueron en base al reglamento abrogado, es este cuerpo normativo el aplicable, a la luz del citado principio constitucional de la no retroactividad y del mismo transitorio sexto del actual reglamento. La pretensión del hoy demandante de que debió citar las normas que hoy le dan competencia con el nuevo nombre como lo indican los transitorios tercero y cuarto del mismo reglamento, sería confundir y fundar la competencia en dos reglamentos de vigencia distinta, violatorios del 14 constitucional y confuso totalmente. Los transitorios tercero y cuarto, no tienen técnica legislativa, pero tampoco dicen que deban citarse como fundamento los artículos del nuevo reglamento que le dan competencia con el nuevo nombre, solo así lo indica como guía de la transición entre un reglamento y otro</w:t>
      </w:r>
      <w:r w:rsidR="00FF6A01">
        <w:rPr>
          <w:rFonts w:ascii="Arial" w:hAnsi="Arial" w:cs="Arial"/>
          <w:i/>
          <w:iCs/>
        </w:rPr>
        <w:t>.</w:t>
      </w:r>
    </w:p>
    <w:p w14:paraId="49BCDF16" w14:textId="6F2CF7F4" w:rsidR="00D50EEB" w:rsidRDefault="00D50EEB" w:rsidP="00D50EEB">
      <w:pPr>
        <w:spacing w:after="120" w:line="360" w:lineRule="auto"/>
        <w:ind w:left="851" w:right="900" w:firstLine="709"/>
        <w:jc w:val="both"/>
        <w:rPr>
          <w:rFonts w:ascii="Arial" w:hAnsi="Arial" w:cs="Arial"/>
          <w:i/>
          <w:sz w:val="24"/>
          <w:szCs w:val="24"/>
        </w:rPr>
      </w:pPr>
      <w:r>
        <w:rPr>
          <w:rFonts w:ascii="Arial" w:hAnsi="Arial" w:cs="Arial"/>
          <w:i/>
          <w:sz w:val="24"/>
          <w:szCs w:val="24"/>
        </w:rPr>
        <w:lastRenderedPageBreak/>
        <w:t xml:space="preserve">Cuando en un artículo transitorio se establece la aplicación de los reglamentos vigentes de una legislación anterior, en tanto no se opongan con el contenido de la nueva ley, se regula el ámbito temporal y material de validez de la norma, traduciendo en un tema de legalidad que busca evitar la contradicción o antagonismo entre las instituciones jurídicas reguladas en la norma primaria y la secundaria; se trata de regular la transición entre un reglamento abrogado y el nuevo, siempre a la luz de la constitución, todas las competencias emanan de la constitución. Esta juzgadora tiene facultades de oficio para verificar la competencia de la autoridad sancionadora y a criterio de quien resuelve hoy este juicio de nulidad, la cita de artículos de la autoridad para fundar su competencia para emitir la resolución sancionadora que hoy se impugna, son </w:t>
      </w:r>
      <w:r w:rsidRPr="001A1EB3">
        <w:rPr>
          <w:rFonts w:ascii="Arial" w:hAnsi="Arial" w:cs="Arial"/>
          <w:i/>
          <w:sz w:val="24"/>
          <w:szCs w:val="24"/>
        </w:rPr>
        <w:t xml:space="preserve">suficientes y no dejan duda </w:t>
      </w:r>
      <w:r w:rsidR="003C6197" w:rsidRPr="001A1EB3">
        <w:rPr>
          <w:rFonts w:ascii="Arial" w:hAnsi="Arial" w:cs="Arial"/>
          <w:i/>
          <w:sz w:val="24"/>
          <w:szCs w:val="24"/>
        </w:rPr>
        <w:t>ni</w:t>
      </w:r>
      <w:r w:rsidRPr="001A1EB3">
        <w:rPr>
          <w:rFonts w:ascii="Arial" w:hAnsi="Arial" w:cs="Arial"/>
          <w:i/>
          <w:sz w:val="24"/>
          <w:szCs w:val="24"/>
        </w:rPr>
        <w:t xml:space="preserve"> inseguridad de su competencia. Aceptar la propuesta del accionante de este juicio, sería confuso y nada técnico hacerlo.</w:t>
      </w:r>
    </w:p>
    <w:p w14:paraId="6DC72B00" w14:textId="77777777" w:rsidR="00D50EEB" w:rsidRDefault="00D50EEB" w:rsidP="00D50EEB">
      <w:pPr>
        <w:spacing w:after="120" w:line="360" w:lineRule="auto"/>
        <w:ind w:left="851" w:right="900" w:firstLine="709"/>
        <w:jc w:val="both"/>
        <w:rPr>
          <w:rFonts w:ascii="Arial" w:hAnsi="Arial" w:cs="Arial"/>
          <w:i/>
          <w:sz w:val="24"/>
          <w:szCs w:val="24"/>
        </w:rPr>
      </w:pPr>
      <w:r>
        <w:rPr>
          <w:rFonts w:ascii="Arial" w:hAnsi="Arial" w:cs="Arial"/>
          <w:i/>
          <w:sz w:val="24"/>
          <w:szCs w:val="24"/>
        </w:rPr>
        <w:t>Sirve de ilustración el siguiente criterio jurisprudencial, de la novena época, emitida por la Segunda Sala, de la Suprema Corte de Justicia de la Nación, publicada en el Semanario Judicial de la Federación y su Gaceta, tomo XXVI, diciembre de 2007, página 154, con registro 170827 que a la letra dice:</w:t>
      </w:r>
    </w:p>
    <w:p w14:paraId="0CC9A14E" w14:textId="1E00A62A" w:rsidR="00D50EEB" w:rsidRPr="001A1EB3" w:rsidRDefault="00D50EEB" w:rsidP="00D50EEB">
      <w:pPr>
        <w:spacing w:after="120" w:line="360" w:lineRule="auto"/>
        <w:ind w:left="851" w:right="900" w:firstLine="709"/>
        <w:jc w:val="both"/>
        <w:rPr>
          <w:rFonts w:ascii="Arial" w:hAnsi="Arial" w:cs="Arial"/>
          <w:i/>
        </w:rPr>
      </w:pPr>
      <w:r w:rsidRPr="00D50EEB">
        <w:rPr>
          <w:rFonts w:ascii="Arial" w:hAnsi="Arial" w:cs="Arial"/>
          <w:b/>
          <w:bCs/>
          <w:i/>
        </w:rPr>
        <w:t xml:space="preserve">COMPETENCIA. SU ESTUDIO OFICIOSO RESPECTO DE LA AUTORIDAD </w:t>
      </w:r>
      <w:r w:rsidRPr="001A1EB3">
        <w:rPr>
          <w:rFonts w:ascii="Arial" w:hAnsi="Arial" w:cs="Arial"/>
          <w:b/>
          <w:bCs/>
          <w:i/>
        </w:rPr>
        <w:t>DEMANDADA EN EL JUICIO CONTENCIOSO ADMINISTRATIVO, DEBE SER ANALIZA</w:t>
      </w:r>
      <w:r w:rsidR="003C6197" w:rsidRPr="001A1EB3">
        <w:rPr>
          <w:rFonts w:ascii="Arial" w:hAnsi="Arial" w:cs="Arial"/>
          <w:b/>
          <w:bCs/>
          <w:i/>
        </w:rPr>
        <w:t>D</w:t>
      </w:r>
      <w:r w:rsidRPr="001A1EB3">
        <w:rPr>
          <w:rFonts w:ascii="Arial" w:hAnsi="Arial" w:cs="Arial"/>
          <w:b/>
          <w:bCs/>
          <w:i/>
        </w:rPr>
        <w:t xml:space="preserve">A POR LAS SALAS DEL TRIBUNAL FEDERAL DE JUSTICIA FISCAL Y ADMINISTRATIVA. </w:t>
      </w:r>
      <w:r w:rsidRPr="001A1EB3">
        <w:rPr>
          <w:rFonts w:ascii="Arial" w:hAnsi="Arial" w:cs="Arial"/>
          <w:i/>
        </w:rPr>
        <w:t>[…]</w:t>
      </w:r>
    </w:p>
    <w:p w14:paraId="2E3DDC05" w14:textId="77777777" w:rsidR="00D50EEB" w:rsidRPr="001A1EB3" w:rsidRDefault="00D50EEB" w:rsidP="00D50EEB">
      <w:pPr>
        <w:spacing w:after="120" w:line="360" w:lineRule="auto"/>
        <w:ind w:left="851" w:right="900" w:firstLine="709"/>
        <w:jc w:val="both"/>
        <w:rPr>
          <w:rFonts w:ascii="Arial" w:hAnsi="Arial" w:cs="Arial"/>
          <w:i/>
        </w:rPr>
      </w:pPr>
      <w:r w:rsidRPr="001A1EB3">
        <w:rPr>
          <w:rFonts w:ascii="Arial" w:hAnsi="Arial" w:cs="Arial"/>
          <w:i/>
        </w:rPr>
        <w:t xml:space="preserve">Así también, la tesis I.3o. C, de la novena época, publicada en el Semanario Judicial de la Federación y su Gaceta, tomo XII, Octubre de 2000, página 1311, con registro 191023, que a la letra dice: </w:t>
      </w:r>
    </w:p>
    <w:p w14:paraId="162E6584" w14:textId="77777777" w:rsidR="00D50EEB" w:rsidRPr="001A1EB3" w:rsidRDefault="00D50EEB" w:rsidP="00D50EEB">
      <w:pPr>
        <w:spacing w:after="240" w:line="360" w:lineRule="auto"/>
        <w:ind w:left="851" w:right="900" w:firstLine="709"/>
        <w:jc w:val="both"/>
        <w:rPr>
          <w:rFonts w:ascii="Arial" w:hAnsi="Arial" w:cs="Arial"/>
          <w:i/>
        </w:rPr>
      </w:pPr>
      <w:r w:rsidRPr="001A1EB3">
        <w:rPr>
          <w:rFonts w:ascii="Arial" w:hAnsi="Arial" w:cs="Arial"/>
          <w:b/>
          <w:bCs/>
          <w:i/>
        </w:rPr>
        <w:t xml:space="preserve">NORMAS PROCESALES. SE APLICAN CONFORME A LOS ARTÍCULOS TRANSITORIOS DEL DECRETO QUE CONTIENE LAS REFORMAS A LA LEY. </w:t>
      </w:r>
      <w:r w:rsidRPr="001A1EB3">
        <w:rPr>
          <w:rFonts w:ascii="Arial" w:hAnsi="Arial" w:cs="Arial"/>
          <w:i/>
        </w:rPr>
        <w:t>[…]”</w:t>
      </w:r>
    </w:p>
    <w:p w14:paraId="4D6112AF" w14:textId="2486FA63" w:rsidR="00D50EEB" w:rsidRDefault="003C6197" w:rsidP="00D50EEB">
      <w:pPr>
        <w:spacing w:after="240" w:line="360" w:lineRule="auto"/>
        <w:ind w:firstLine="709"/>
        <w:jc w:val="both"/>
        <w:rPr>
          <w:rFonts w:ascii="Arial" w:hAnsi="Arial" w:cs="Arial"/>
          <w:sz w:val="26"/>
          <w:szCs w:val="26"/>
        </w:rPr>
      </w:pPr>
      <w:r w:rsidRPr="001A1EB3">
        <w:rPr>
          <w:rFonts w:ascii="Arial" w:hAnsi="Arial" w:cs="Arial"/>
          <w:sz w:val="26"/>
          <w:szCs w:val="26"/>
        </w:rPr>
        <w:t xml:space="preserve">Así se tiene, que en la sentencia recurrida, </w:t>
      </w:r>
      <w:r w:rsidR="00D50EEB" w:rsidRPr="001A1EB3">
        <w:rPr>
          <w:rFonts w:ascii="Arial" w:hAnsi="Arial" w:cs="Arial"/>
          <w:sz w:val="26"/>
          <w:szCs w:val="26"/>
        </w:rPr>
        <w:t xml:space="preserve">se indicó </w:t>
      </w:r>
      <w:r w:rsidRPr="001A1EB3">
        <w:rPr>
          <w:rFonts w:ascii="Arial" w:hAnsi="Arial" w:cs="Arial"/>
          <w:sz w:val="26"/>
          <w:szCs w:val="26"/>
        </w:rPr>
        <w:t xml:space="preserve">que </w:t>
      </w:r>
      <w:r w:rsidR="00D50EEB" w:rsidRPr="001A1EB3">
        <w:rPr>
          <w:rFonts w:ascii="Arial" w:hAnsi="Arial" w:cs="Arial"/>
          <w:sz w:val="26"/>
          <w:szCs w:val="26"/>
        </w:rPr>
        <w:t xml:space="preserve">al haber estado vigente el Reglamento Interno de la Secretaría de la Contraloría y Transparencia Gubernamental del Poder Ejecutivo del Estado de Oaxaca, publicado el dos de febrero de dos mil dieciséis, cuando se </w:t>
      </w:r>
      <w:r w:rsidR="00D50EEB" w:rsidRPr="001A1EB3">
        <w:rPr>
          <w:rFonts w:ascii="Arial" w:hAnsi="Arial" w:cs="Arial"/>
          <w:sz w:val="26"/>
          <w:szCs w:val="26"/>
        </w:rPr>
        <w:lastRenderedPageBreak/>
        <w:t xml:space="preserve">inició a </w:t>
      </w:r>
      <w:r w:rsidR="00A05B40">
        <w:rPr>
          <w:rFonts w:ascii="Arial" w:hAnsi="Arial" w:cs="Arial"/>
          <w:b/>
          <w:sz w:val="26"/>
          <w:szCs w:val="26"/>
        </w:rPr>
        <w:t>***********</w:t>
      </w:r>
      <w:r w:rsidR="00D50EEB">
        <w:rPr>
          <w:rFonts w:ascii="Arial" w:hAnsi="Arial" w:cs="Arial"/>
          <w:sz w:val="26"/>
          <w:szCs w:val="26"/>
        </w:rPr>
        <w:t>, el procedimiento administrativo de responsabilidad, resulta ser el ordenamiento aplicable para que la ahora Dirección de Responsabilidades Administrativas y Situación Patrimonial del Estado de Oaxaca, conozca, ordene, tramite y resuelva el citado proce</w:t>
      </w:r>
      <w:r w:rsidR="00B05547">
        <w:rPr>
          <w:rFonts w:ascii="Arial" w:hAnsi="Arial" w:cs="Arial"/>
          <w:sz w:val="26"/>
          <w:szCs w:val="26"/>
        </w:rPr>
        <w:t>dimiento, de conformidad con lo</w:t>
      </w:r>
      <w:r w:rsidR="00D50EEB">
        <w:rPr>
          <w:rFonts w:ascii="Arial" w:hAnsi="Arial" w:cs="Arial"/>
          <w:sz w:val="26"/>
          <w:szCs w:val="26"/>
        </w:rPr>
        <w:t xml:space="preserve"> dispuesto por los artículos tercero y sexto transitorios del Reglamento Interno de la Secretaría de la Contraloría y Transparencia Gubernamental del Poder Ejecutivo del Estado de Oaxaca, vigente a partir del tres de enero de dos mil dieciocho, los cuales establecen lo siguiente:- - - - - - - - - -  - - - - - - - </w:t>
      </w:r>
      <w:r w:rsidR="00A05B40">
        <w:rPr>
          <w:rFonts w:ascii="Arial" w:hAnsi="Arial" w:cs="Arial"/>
          <w:sz w:val="26"/>
          <w:szCs w:val="26"/>
        </w:rPr>
        <w:t>- - - - - - - - - - - - -</w:t>
      </w:r>
    </w:p>
    <w:p w14:paraId="2016B0E6" w14:textId="77777777" w:rsidR="00D50EEB" w:rsidRDefault="00D50EEB" w:rsidP="00D50EEB">
      <w:pPr>
        <w:spacing w:after="240" w:line="360" w:lineRule="auto"/>
        <w:ind w:left="851" w:right="900"/>
        <w:jc w:val="both"/>
        <w:rPr>
          <w:rFonts w:ascii="Arial" w:hAnsi="Arial" w:cs="Arial"/>
          <w:i/>
          <w:iCs/>
        </w:rPr>
      </w:pPr>
      <w:r w:rsidRPr="00000935">
        <w:rPr>
          <w:rFonts w:ascii="Arial" w:hAnsi="Arial" w:cs="Arial"/>
          <w:b/>
          <w:bCs/>
          <w:i/>
          <w:iCs/>
        </w:rPr>
        <w:t>“TERCERO.</w:t>
      </w:r>
      <w:r>
        <w:rPr>
          <w:rFonts w:ascii="Arial" w:hAnsi="Arial" w:cs="Arial"/>
          <w:i/>
          <w:iCs/>
        </w:rPr>
        <w:t xml:space="preserve"> Los asuntos que a la entrada en vigor del presente Reglamento se encuentren en trámite ante las áreas administrativas y/o Departamentos de la Secretaría, que modifiquen su denominación o facultades en virtud de la entrada en vigor de este Reglamento, serán atendidos y resueltos por las áreas administrativas a los que se les otorgue la competencia correspondiente en este instrumento, conforme a la normatividad aplicable respecto al procedimiento iniciado con antelación.</w:t>
      </w:r>
    </w:p>
    <w:p w14:paraId="218D1B8F" w14:textId="77777777" w:rsidR="00D50EEB" w:rsidRPr="001A1EB3" w:rsidRDefault="00D50EEB" w:rsidP="00D50EEB">
      <w:pPr>
        <w:spacing w:after="120" w:line="360" w:lineRule="auto"/>
        <w:ind w:left="851" w:right="900"/>
        <w:jc w:val="both"/>
        <w:rPr>
          <w:rFonts w:ascii="Arial" w:hAnsi="Arial" w:cs="Arial"/>
          <w:i/>
          <w:iCs/>
        </w:rPr>
      </w:pPr>
      <w:r w:rsidRPr="00000935">
        <w:rPr>
          <w:rFonts w:ascii="Arial" w:hAnsi="Arial" w:cs="Arial"/>
          <w:b/>
          <w:bCs/>
          <w:i/>
          <w:iCs/>
        </w:rPr>
        <w:t>SEXTO.</w:t>
      </w:r>
      <w:r>
        <w:rPr>
          <w:rFonts w:ascii="Arial" w:hAnsi="Arial" w:cs="Arial"/>
          <w:i/>
          <w:iCs/>
        </w:rPr>
        <w:t xml:space="preserve"> Los procedimientos administrativos iniciados por la Dirección de Responsabilidades y Situación Patrimonial con anterioridad a la entrada en vigor de la Ley de Responsabilidades Administrativas de los Servidores Públicos del Estado y Municipios de Oaxaca serán concluidos conforme a las disposiciones vigentes a su </w:t>
      </w:r>
      <w:r w:rsidRPr="001A1EB3">
        <w:rPr>
          <w:rFonts w:ascii="Arial" w:hAnsi="Arial" w:cs="Arial"/>
          <w:i/>
          <w:iCs/>
        </w:rPr>
        <w:t>inicio.”</w:t>
      </w:r>
    </w:p>
    <w:p w14:paraId="3D66F2AC" w14:textId="7A170F73" w:rsidR="00D50EEB" w:rsidRPr="001A1EB3" w:rsidRDefault="00D50EEB" w:rsidP="00D50EEB">
      <w:pPr>
        <w:spacing w:after="0" w:line="360" w:lineRule="auto"/>
        <w:ind w:firstLine="708"/>
        <w:jc w:val="both"/>
        <w:rPr>
          <w:rFonts w:ascii="Arial" w:hAnsi="Arial" w:cs="Arial"/>
          <w:sz w:val="26"/>
          <w:szCs w:val="26"/>
        </w:rPr>
      </w:pPr>
      <w:r w:rsidRPr="001A1EB3">
        <w:rPr>
          <w:rFonts w:ascii="Arial" w:hAnsi="Arial" w:cs="Arial"/>
          <w:sz w:val="26"/>
          <w:szCs w:val="26"/>
        </w:rPr>
        <w:t xml:space="preserve">Como se </w:t>
      </w:r>
      <w:r w:rsidR="003C6197" w:rsidRPr="001A1EB3">
        <w:rPr>
          <w:rFonts w:ascii="Arial" w:hAnsi="Arial" w:cs="Arial"/>
          <w:sz w:val="26"/>
          <w:szCs w:val="26"/>
        </w:rPr>
        <w:t>exterioriza</w:t>
      </w:r>
      <w:r w:rsidRPr="001A1EB3">
        <w:rPr>
          <w:rFonts w:ascii="Arial" w:hAnsi="Arial" w:cs="Arial"/>
          <w:sz w:val="26"/>
          <w:szCs w:val="26"/>
        </w:rPr>
        <w:t xml:space="preserve"> en dichos artículos transitorios, los asuntos que se encontraban pendientes a la entrada en vigor del nuevo Reglamento Interno de la Secretaría de</w:t>
      </w:r>
      <w:r>
        <w:rPr>
          <w:rFonts w:ascii="Arial" w:hAnsi="Arial" w:cs="Arial"/>
          <w:sz w:val="26"/>
          <w:szCs w:val="26"/>
        </w:rPr>
        <w:t xml:space="preserve"> la Contraloría y Transparencia Gubernamental del Poder Ejecutivo del Estado de Oaxaca, serán atendidos y resueltos por las nuevas áreas con su denominación actual, conforme a la normatividad aplicable respecto al procedimiento iniciado con antelación; esto es, los procedimientos administrativos iniciados por la otrora Dirección de Responsabilidades y Situación Patrimonial del </w:t>
      </w:r>
      <w:r w:rsidRPr="001A1EB3">
        <w:rPr>
          <w:rFonts w:ascii="Arial" w:hAnsi="Arial" w:cs="Arial"/>
          <w:sz w:val="26"/>
          <w:szCs w:val="26"/>
        </w:rPr>
        <w:t xml:space="preserve">Estado de Oaxaca, serán atendidos y resueltos por la ahora Dirección de </w:t>
      </w:r>
      <w:r w:rsidR="003C6197" w:rsidRPr="001A1EB3">
        <w:rPr>
          <w:rFonts w:ascii="Arial" w:hAnsi="Arial" w:cs="Arial"/>
          <w:sz w:val="26"/>
          <w:szCs w:val="26"/>
        </w:rPr>
        <w:t>R</w:t>
      </w:r>
      <w:r w:rsidRPr="001A1EB3">
        <w:rPr>
          <w:rFonts w:ascii="Arial" w:hAnsi="Arial" w:cs="Arial"/>
          <w:sz w:val="26"/>
          <w:szCs w:val="26"/>
        </w:rPr>
        <w:t xml:space="preserve">esponsabilidades Administrativas y Situación Patrimonial del Estado de Oaxaca, aplicando el Reglamento Interno que se encontraba vigente al inicio del procedimiento administrativo; esto es, el vigente el dos de febrero de dos mil dieciséis.- - - - - - - - - - - - - - - - - - - - - - - - - - - </w:t>
      </w:r>
    </w:p>
    <w:p w14:paraId="2F1721B6" w14:textId="069C7719" w:rsidR="003C6197" w:rsidRDefault="00D50EEB" w:rsidP="000E4FF8">
      <w:pPr>
        <w:spacing w:after="0" w:line="360" w:lineRule="auto"/>
        <w:ind w:firstLine="708"/>
        <w:jc w:val="both"/>
        <w:rPr>
          <w:rFonts w:ascii="Arial" w:hAnsi="Arial" w:cs="Arial"/>
          <w:sz w:val="26"/>
          <w:szCs w:val="26"/>
        </w:rPr>
      </w:pPr>
      <w:r w:rsidRPr="001A1EB3">
        <w:rPr>
          <w:rFonts w:ascii="Arial" w:hAnsi="Arial" w:cs="Arial"/>
          <w:sz w:val="26"/>
          <w:szCs w:val="26"/>
        </w:rPr>
        <w:t xml:space="preserve">Por consiguiente, si el procedimiento administrativo seguido en contra de </w:t>
      </w:r>
      <w:r w:rsidR="00A05B40">
        <w:rPr>
          <w:rFonts w:ascii="Arial" w:hAnsi="Arial" w:cs="Arial"/>
          <w:b/>
          <w:sz w:val="26"/>
          <w:szCs w:val="26"/>
        </w:rPr>
        <w:t>***********</w:t>
      </w:r>
      <w:r w:rsidRPr="001A1EB3">
        <w:rPr>
          <w:rFonts w:ascii="Arial" w:hAnsi="Arial" w:cs="Arial"/>
          <w:sz w:val="26"/>
          <w:szCs w:val="26"/>
        </w:rPr>
        <w:t>, se in</w:t>
      </w:r>
      <w:r w:rsidR="003C6197" w:rsidRPr="001A1EB3">
        <w:rPr>
          <w:rFonts w:ascii="Arial" w:hAnsi="Arial" w:cs="Arial"/>
          <w:sz w:val="26"/>
          <w:szCs w:val="26"/>
        </w:rPr>
        <w:t>ició</w:t>
      </w:r>
      <w:r w:rsidRPr="001A1EB3">
        <w:rPr>
          <w:rFonts w:ascii="Arial" w:hAnsi="Arial" w:cs="Arial"/>
          <w:sz w:val="26"/>
          <w:szCs w:val="26"/>
        </w:rPr>
        <w:t xml:space="preserve"> el siete de febrero de dos mil dieciocho, como se desprende del oficio número</w:t>
      </w:r>
      <w:r>
        <w:rPr>
          <w:rFonts w:ascii="Arial" w:hAnsi="Arial" w:cs="Arial"/>
          <w:sz w:val="26"/>
          <w:szCs w:val="26"/>
        </w:rPr>
        <w:t xml:space="preserve"> </w:t>
      </w:r>
      <w:r w:rsidR="00A05B40">
        <w:rPr>
          <w:rFonts w:ascii="Arial" w:hAnsi="Arial" w:cs="Arial"/>
          <w:b/>
          <w:sz w:val="26"/>
          <w:szCs w:val="26"/>
        </w:rPr>
        <w:t>***********</w:t>
      </w:r>
      <w:r>
        <w:rPr>
          <w:rFonts w:ascii="Arial" w:hAnsi="Arial" w:cs="Arial"/>
          <w:sz w:val="26"/>
          <w:szCs w:val="26"/>
        </w:rPr>
        <w:t xml:space="preserve">, notificado el nueve del </w:t>
      </w:r>
      <w:r>
        <w:rPr>
          <w:rFonts w:ascii="Arial" w:hAnsi="Arial" w:cs="Arial"/>
          <w:sz w:val="26"/>
          <w:szCs w:val="26"/>
        </w:rPr>
        <w:lastRenderedPageBreak/>
        <w:t>mismo mes y año</w:t>
      </w:r>
      <w:r w:rsidR="00B05547">
        <w:rPr>
          <w:rFonts w:ascii="Arial" w:hAnsi="Arial" w:cs="Arial"/>
          <w:sz w:val="26"/>
          <w:szCs w:val="26"/>
        </w:rPr>
        <w:t>,</w:t>
      </w:r>
      <w:r>
        <w:rPr>
          <w:rFonts w:ascii="Arial" w:hAnsi="Arial" w:cs="Arial"/>
          <w:sz w:val="26"/>
          <w:szCs w:val="26"/>
        </w:rPr>
        <w:t xml:space="preserve"> en consecuencia, el Reglamento Interno de la Secretaría de la Contraloría y Transparencia Gubernamental del Poder Ejecutivo del Estado de Oaxaca vigente era el de dos de febrero de dos mil dieciséis, por lo tanto, es el que en términos de los artículos tercero y sexto transitorio</w:t>
      </w:r>
      <w:r w:rsidR="009C3391">
        <w:rPr>
          <w:rFonts w:ascii="Arial" w:hAnsi="Arial" w:cs="Arial"/>
          <w:sz w:val="26"/>
          <w:szCs w:val="26"/>
        </w:rPr>
        <w:t>s</w:t>
      </w:r>
      <w:r>
        <w:rPr>
          <w:rFonts w:ascii="Arial" w:hAnsi="Arial" w:cs="Arial"/>
          <w:sz w:val="26"/>
          <w:szCs w:val="26"/>
        </w:rPr>
        <w:t xml:space="preserve"> del Reglamento Interno de la Secretaría de la Contraloría y Transparencia Gubernamental del Poder Ejecutivo del Estado de Oaxaca, publicado el dos de febrero de dos mil </w:t>
      </w:r>
      <w:r w:rsidR="009C3391">
        <w:rPr>
          <w:rFonts w:ascii="Arial" w:hAnsi="Arial" w:cs="Arial"/>
          <w:sz w:val="26"/>
          <w:szCs w:val="26"/>
        </w:rPr>
        <w:t>dieci</w:t>
      </w:r>
      <w:r>
        <w:rPr>
          <w:rFonts w:ascii="Arial" w:hAnsi="Arial" w:cs="Arial"/>
          <w:sz w:val="26"/>
          <w:szCs w:val="26"/>
        </w:rPr>
        <w:t>ocho, le correspondía aplicar a la autoridad demandada, para conocer, ordenar, tramitar el citado procedimiento administrativo iniciado en contra del aquí recurrente</w:t>
      </w:r>
      <w:r w:rsidR="003C6197">
        <w:rPr>
          <w:rFonts w:ascii="Arial" w:hAnsi="Arial" w:cs="Arial"/>
          <w:sz w:val="26"/>
          <w:szCs w:val="26"/>
        </w:rPr>
        <w:t>. - - - - - - - - - - - - - - - - - - - - - - - - - - - - - - - - - - - - - - - - - - - -</w:t>
      </w:r>
    </w:p>
    <w:p w14:paraId="1B0D835B" w14:textId="15EB0F13" w:rsidR="001D63EB" w:rsidRDefault="003C6197" w:rsidP="000E4FF8">
      <w:pPr>
        <w:spacing w:after="0" w:line="360" w:lineRule="auto"/>
        <w:ind w:firstLine="708"/>
        <w:jc w:val="both"/>
        <w:rPr>
          <w:rFonts w:ascii="Arial" w:hAnsi="Arial" w:cs="Arial"/>
          <w:sz w:val="26"/>
          <w:szCs w:val="26"/>
        </w:rPr>
      </w:pPr>
      <w:r>
        <w:rPr>
          <w:rFonts w:ascii="Arial" w:hAnsi="Arial" w:cs="Arial"/>
          <w:sz w:val="26"/>
          <w:szCs w:val="26"/>
        </w:rPr>
        <w:t>E</w:t>
      </w:r>
      <w:r w:rsidR="00041AFF">
        <w:rPr>
          <w:rFonts w:ascii="Arial" w:hAnsi="Arial" w:cs="Arial"/>
          <w:sz w:val="26"/>
          <w:szCs w:val="26"/>
        </w:rPr>
        <w:t xml:space="preserve">sto </w:t>
      </w:r>
      <w:r w:rsidR="00041AFF" w:rsidRPr="00041AFF">
        <w:rPr>
          <w:rFonts w:ascii="Arial" w:hAnsi="Arial" w:cs="Arial"/>
          <w:sz w:val="26"/>
          <w:szCs w:val="26"/>
        </w:rPr>
        <w:t>en virtud de que l</w:t>
      </w:r>
      <w:r w:rsidR="00041AFF" w:rsidRPr="00AD0464">
        <w:rPr>
          <w:rFonts w:ascii="Arial" w:eastAsia="Times New Roman" w:hAnsi="Arial" w:cs="Arial"/>
          <w:color w:val="000000"/>
          <w:sz w:val="26"/>
          <w:szCs w:val="26"/>
        </w:rPr>
        <w:t>as leyes del procedimiento no pueden producir efectos retroactivos, dado que los actos de esa naturaleza, se rigen por las disposiciones vigentes en la épo</w:t>
      </w:r>
      <w:r w:rsidR="00041AFF">
        <w:rPr>
          <w:rFonts w:ascii="Arial" w:eastAsia="Times New Roman" w:hAnsi="Arial" w:cs="Arial"/>
          <w:color w:val="000000"/>
          <w:sz w:val="26"/>
          <w:szCs w:val="26"/>
        </w:rPr>
        <w:t>ca en que tuvieron verificativo</w:t>
      </w:r>
      <w:r w:rsidR="00743934">
        <w:rPr>
          <w:rFonts w:ascii="Arial" w:hAnsi="Arial" w:cs="Arial"/>
          <w:sz w:val="26"/>
          <w:szCs w:val="26"/>
        </w:rPr>
        <w:t>.- - - - - - - - - - - - - - - -  - - - - - - - - - - - - - - - - - - - - - - - - - - - -</w:t>
      </w:r>
    </w:p>
    <w:p w14:paraId="2C271A61" w14:textId="77DA0846" w:rsidR="001A1EB3" w:rsidRDefault="00AD0464" w:rsidP="001A1EB3">
      <w:pPr>
        <w:spacing w:after="120" w:line="360" w:lineRule="auto"/>
        <w:ind w:right="49" w:firstLine="707"/>
        <w:jc w:val="both"/>
        <w:rPr>
          <w:rFonts w:ascii="Arial" w:eastAsia="Times New Roman" w:hAnsi="Arial" w:cs="Arial"/>
          <w:color w:val="000000"/>
          <w:sz w:val="26"/>
          <w:szCs w:val="26"/>
        </w:rPr>
      </w:pPr>
      <w:r w:rsidRPr="00AD0464">
        <w:rPr>
          <w:rFonts w:ascii="Arial" w:hAnsi="Arial" w:cs="Arial"/>
          <w:sz w:val="26"/>
          <w:szCs w:val="26"/>
        </w:rPr>
        <w:t xml:space="preserve">Sirve de apoyo a lo anterior, la Jurisprudencia con </w:t>
      </w:r>
      <w:r w:rsidRPr="00AD0464">
        <w:rPr>
          <w:rFonts w:ascii="Arial" w:eastAsia="Times New Roman" w:hAnsi="Arial" w:cs="Arial"/>
          <w:bCs/>
          <w:color w:val="000000"/>
          <w:sz w:val="26"/>
          <w:szCs w:val="26"/>
        </w:rPr>
        <w:t>Registro digital: </w:t>
      </w:r>
      <w:r w:rsidRPr="00AD0464">
        <w:rPr>
          <w:rFonts w:ascii="Arial" w:eastAsia="Times New Roman" w:hAnsi="Arial" w:cs="Arial"/>
          <w:color w:val="000000"/>
          <w:sz w:val="26"/>
          <w:szCs w:val="26"/>
        </w:rPr>
        <w:t xml:space="preserve">213951, </w:t>
      </w:r>
      <w:r w:rsidRPr="00AD0464">
        <w:rPr>
          <w:rFonts w:ascii="Arial" w:eastAsia="Times New Roman" w:hAnsi="Arial" w:cs="Arial"/>
          <w:bCs/>
          <w:color w:val="000000"/>
          <w:sz w:val="26"/>
          <w:szCs w:val="26"/>
        </w:rPr>
        <w:t>Instancia: </w:t>
      </w:r>
      <w:r w:rsidRPr="00AD0464">
        <w:rPr>
          <w:rFonts w:ascii="Arial" w:eastAsia="Times New Roman" w:hAnsi="Arial" w:cs="Arial"/>
          <w:color w:val="000000"/>
          <w:sz w:val="26"/>
          <w:szCs w:val="26"/>
        </w:rPr>
        <w:t xml:space="preserve">Tribunales Colegiados de Circuito, </w:t>
      </w:r>
      <w:r w:rsidRPr="00AD0464">
        <w:rPr>
          <w:rFonts w:ascii="Arial" w:eastAsia="Times New Roman" w:hAnsi="Arial" w:cs="Arial"/>
          <w:bCs/>
          <w:color w:val="000000"/>
          <w:sz w:val="26"/>
          <w:szCs w:val="26"/>
        </w:rPr>
        <w:t>Octava Época, Materia(s): </w:t>
      </w:r>
      <w:r w:rsidRPr="00AD0464">
        <w:rPr>
          <w:rFonts w:ascii="Arial" w:eastAsia="Times New Roman" w:hAnsi="Arial" w:cs="Arial"/>
          <w:color w:val="000000"/>
          <w:sz w:val="26"/>
          <w:szCs w:val="26"/>
        </w:rPr>
        <w:t xml:space="preserve">Común, </w:t>
      </w:r>
      <w:r w:rsidRPr="00AD0464">
        <w:rPr>
          <w:rFonts w:ascii="Arial" w:eastAsia="Times New Roman" w:hAnsi="Arial" w:cs="Arial"/>
          <w:bCs/>
          <w:color w:val="000000"/>
          <w:sz w:val="26"/>
          <w:szCs w:val="26"/>
        </w:rPr>
        <w:t>Tesis: </w:t>
      </w:r>
      <w:r w:rsidRPr="00AD0464">
        <w:rPr>
          <w:rFonts w:ascii="Arial" w:eastAsia="Times New Roman" w:hAnsi="Arial" w:cs="Arial"/>
          <w:color w:val="000000"/>
          <w:sz w:val="26"/>
          <w:szCs w:val="26"/>
        </w:rPr>
        <w:t xml:space="preserve">XVI.1o. J/15, </w:t>
      </w:r>
      <w:r w:rsidRPr="00AD0464">
        <w:rPr>
          <w:rFonts w:ascii="Arial" w:eastAsia="Times New Roman" w:hAnsi="Arial" w:cs="Arial"/>
          <w:bCs/>
          <w:color w:val="000000"/>
          <w:sz w:val="26"/>
          <w:szCs w:val="26"/>
        </w:rPr>
        <w:t> </w:t>
      </w:r>
      <w:r w:rsidRPr="00AD0464">
        <w:rPr>
          <w:rFonts w:ascii="Arial" w:eastAsia="Times New Roman" w:hAnsi="Arial" w:cs="Arial"/>
          <w:color w:val="000000"/>
          <w:sz w:val="26"/>
          <w:szCs w:val="26"/>
        </w:rPr>
        <w:t>Gaceta del Semanario Judicial de la Federación., Núm. 72, Diciembre de 1993, página 89</w:t>
      </w:r>
      <w:r>
        <w:rPr>
          <w:rFonts w:ascii="Arial" w:eastAsia="Times New Roman" w:hAnsi="Arial" w:cs="Arial"/>
          <w:color w:val="000000"/>
          <w:sz w:val="26"/>
          <w:szCs w:val="26"/>
        </w:rPr>
        <w:t xml:space="preserve">, que señala:- - - - </w:t>
      </w:r>
      <w:r w:rsidR="001A1EB3">
        <w:rPr>
          <w:rFonts w:ascii="Arial" w:eastAsia="Times New Roman" w:hAnsi="Arial" w:cs="Arial"/>
          <w:color w:val="000000"/>
          <w:sz w:val="26"/>
          <w:szCs w:val="26"/>
        </w:rPr>
        <w:t>- - - - - - - - - - - - - - - - - - - - - - - - - - - - - - - - - - - - - - - - - - -</w:t>
      </w:r>
    </w:p>
    <w:p w14:paraId="736FE8A2" w14:textId="1585AFDC" w:rsidR="00AD0464" w:rsidRPr="00AD0464" w:rsidRDefault="004D3BD7" w:rsidP="001A1EB3">
      <w:pPr>
        <w:spacing w:after="120" w:line="360" w:lineRule="auto"/>
        <w:ind w:left="851" w:right="900"/>
        <w:jc w:val="both"/>
        <w:rPr>
          <w:rFonts w:ascii="Arial" w:eastAsia="Times New Roman" w:hAnsi="Arial" w:cs="Arial"/>
          <w:i/>
          <w:color w:val="000000"/>
        </w:rPr>
      </w:pPr>
      <w:r>
        <w:rPr>
          <w:rFonts w:ascii="Arial" w:eastAsia="Times New Roman" w:hAnsi="Arial" w:cs="Arial"/>
          <w:color w:val="000000"/>
          <w:sz w:val="26"/>
          <w:szCs w:val="26"/>
        </w:rPr>
        <w:t>“</w:t>
      </w:r>
      <w:r w:rsidR="00AD0464" w:rsidRPr="00AD0464">
        <w:rPr>
          <w:rFonts w:ascii="Arial" w:eastAsia="Times New Roman" w:hAnsi="Arial" w:cs="Arial"/>
          <w:b/>
          <w:bCs/>
          <w:i/>
          <w:color w:val="000000"/>
        </w:rPr>
        <w:t xml:space="preserve">RETROACTIVIDAD INEXISTENTE EN MATERIA PROCESAL. </w:t>
      </w:r>
      <w:r w:rsidR="00AD0464" w:rsidRPr="00AD0464">
        <w:rPr>
          <w:rFonts w:ascii="Arial" w:eastAsia="Times New Roman" w:hAnsi="Arial" w:cs="Arial"/>
          <w:i/>
          <w:color w:val="000000"/>
        </w:rPr>
        <w:t>Las leyes del procedimiento no pueden producir efectos retroactivos, dado que los actos de esa naturaleza, se rigen por las disposiciones vigentes en la época en que tuvieron verificativo, por tanto, si los artículos transitorios del decreto que contiene reformas a una ley procesal, no precisan la manera de aplicarla a los asuntos que se encuentran en trámite, deberá atenderse al estado en que se encuentre cada expediente en particular y así determinar si es jurídicamente posible la aplicación de las reformas, atendiendo específicamente a la verificación de los actos de procedimiento, ya que sólo pueden aplicarse esas reformas a los actos procesales que se verifiquen a partir de la vigencia de las mismas, pues los emitidos necesariamente debieron observar las disposiciones legales vigentes en la fecha de su emisión sin poder acatar por lógica, las reformas que a esa época no cobraban aplicabilidad. De no ser así se cometería el error de exigir, en base a las reformas, que los actos procesales cumplieran con los requisitos que no les eran impuestos por la ley anteriormente vigente.</w:t>
      </w:r>
      <w:r w:rsidR="00AD0464">
        <w:rPr>
          <w:rFonts w:ascii="Arial" w:eastAsia="Times New Roman" w:hAnsi="Arial" w:cs="Arial"/>
          <w:i/>
          <w:color w:val="000000"/>
        </w:rPr>
        <w:t xml:space="preserve">”- - - - - - - - - - - - - </w:t>
      </w:r>
    </w:p>
    <w:p w14:paraId="6892F590" w14:textId="1040B719" w:rsidR="002745BF" w:rsidRPr="002745BF" w:rsidRDefault="00AD0464" w:rsidP="00AD0464">
      <w:pPr>
        <w:spacing w:after="120" w:line="360" w:lineRule="auto"/>
        <w:ind w:firstLine="708"/>
        <w:jc w:val="both"/>
        <w:rPr>
          <w:rStyle w:val="ng-star-inserted"/>
          <w:rFonts w:ascii="Arial" w:hAnsi="Arial" w:cs="Arial"/>
          <w:color w:val="000000"/>
          <w:sz w:val="26"/>
          <w:szCs w:val="26"/>
          <w:shd w:val="clear" w:color="auto" w:fill="FFFFFF"/>
        </w:rPr>
      </w:pPr>
      <w:r>
        <w:rPr>
          <w:rFonts w:ascii="Arial" w:hAnsi="Arial" w:cs="Arial"/>
          <w:sz w:val="26"/>
          <w:szCs w:val="26"/>
        </w:rPr>
        <w:t>Así como l</w:t>
      </w:r>
      <w:r w:rsidR="002745BF" w:rsidRPr="002745BF">
        <w:rPr>
          <w:rFonts w:ascii="Arial" w:hAnsi="Arial" w:cs="Arial"/>
          <w:sz w:val="26"/>
          <w:szCs w:val="26"/>
        </w:rPr>
        <w:t xml:space="preserve">a tesis </w:t>
      </w:r>
      <w:r w:rsidR="002745BF" w:rsidRPr="002745BF">
        <w:rPr>
          <w:rFonts w:ascii="Arial" w:hAnsi="Arial" w:cs="Arial"/>
          <w:color w:val="000000"/>
          <w:sz w:val="26"/>
          <w:szCs w:val="26"/>
          <w:shd w:val="clear" w:color="auto" w:fill="FFFFFF"/>
        </w:rPr>
        <w:t xml:space="preserve">I.3o.C.181 C, con </w:t>
      </w:r>
      <w:r w:rsidR="002745BF" w:rsidRPr="002745BF">
        <w:rPr>
          <w:rStyle w:val="bold"/>
          <w:rFonts w:ascii="Arial" w:hAnsi="Arial" w:cs="Arial"/>
          <w:bCs/>
          <w:color w:val="000000"/>
          <w:sz w:val="26"/>
          <w:szCs w:val="26"/>
          <w:shd w:val="clear" w:color="auto" w:fill="FFFFFF"/>
        </w:rPr>
        <w:t>Registro digital: </w:t>
      </w:r>
      <w:r w:rsidR="002745BF" w:rsidRPr="002745BF">
        <w:rPr>
          <w:rFonts w:ascii="Arial" w:hAnsi="Arial" w:cs="Arial"/>
          <w:color w:val="000000"/>
          <w:sz w:val="26"/>
          <w:szCs w:val="26"/>
          <w:shd w:val="clear" w:color="auto" w:fill="FFFFFF"/>
        </w:rPr>
        <w:t xml:space="preserve">191023, </w:t>
      </w:r>
      <w:r w:rsidR="002745BF" w:rsidRPr="002745BF">
        <w:rPr>
          <w:rStyle w:val="bold"/>
          <w:rFonts w:ascii="Arial" w:hAnsi="Arial" w:cs="Arial"/>
          <w:bCs/>
          <w:color w:val="000000"/>
          <w:sz w:val="26"/>
          <w:szCs w:val="26"/>
          <w:shd w:val="clear" w:color="auto" w:fill="FFFFFF"/>
        </w:rPr>
        <w:t> </w:t>
      </w:r>
      <w:r w:rsidR="002745BF" w:rsidRPr="002745BF">
        <w:rPr>
          <w:rFonts w:ascii="Arial" w:hAnsi="Arial" w:cs="Arial"/>
          <w:color w:val="000000"/>
          <w:sz w:val="26"/>
          <w:szCs w:val="26"/>
          <w:shd w:val="clear" w:color="auto" w:fill="FFFFFF"/>
        </w:rPr>
        <w:t xml:space="preserve">Tribunales Colegiados de Circuito, </w:t>
      </w:r>
      <w:r w:rsidR="002745BF" w:rsidRPr="002745BF">
        <w:rPr>
          <w:rFonts w:ascii="Arial" w:hAnsi="Arial" w:cs="Arial"/>
          <w:bCs/>
          <w:color w:val="000000"/>
          <w:sz w:val="26"/>
          <w:szCs w:val="26"/>
          <w:shd w:val="clear" w:color="auto" w:fill="FFFFFF"/>
        </w:rPr>
        <w:t xml:space="preserve">Novena Época, </w:t>
      </w:r>
      <w:r w:rsidR="002745BF" w:rsidRPr="002745BF">
        <w:rPr>
          <w:rStyle w:val="bold"/>
          <w:rFonts w:ascii="Arial" w:hAnsi="Arial" w:cs="Arial"/>
          <w:bCs/>
          <w:color w:val="000000"/>
          <w:sz w:val="26"/>
          <w:szCs w:val="26"/>
          <w:shd w:val="clear" w:color="auto" w:fill="FFFFFF"/>
        </w:rPr>
        <w:lastRenderedPageBreak/>
        <w:t>Fuente: </w:t>
      </w:r>
      <w:r w:rsidR="002745BF" w:rsidRPr="002745BF">
        <w:rPr>
          <w:rFonts w:ascii="Arial" w:hAnsi="Arial" w:cs="Arial"/>
          <w:color w:val="000000"/>
          <w:sz w:val="26"/>
          <w:szCs w:val="26"/>
          <w:shd w:val="clear" w:color="auto" w:fill="FFFFFF"/>
        </w:rPr>
        <w:t>Semanario Judicial de la Federación y su Gaceta.</w:t>
      </w:r>
      <w:r w:rsidR="002745BF" w:rsidRPr="002745BF">
        <w:rPr>
          <w:rFonts w:ascii="Arial" w:hAnsi="Arial" w:cs="Arial"/>
          <w:color w:val="000000"/>
          <w:sz w:val="26"/>
          <w:szCs w:val="26"/>
        </w:rPr>
        <w:br/>
      </w:r>
      <w:r w:rsidR="002745BF" w:rsidRPr="002745BF">
        <w:rPr>
          <w:rStyle w:val="ng-star-inserted"/>
          <w:rFonts w:ascii="Arial" w:hAnsi="Arial" w:cs="Arial"/>
          <w:color w:val="000000"/>
          <w:sz w:val="26"/>
          <w:szCs w:val="26"/>
          <w:shd w:val="clear" w:color="auto" w:fill="FFFFFF"/>
        </w:rPr>
        <w:t>Tomo XII, Octubre de 2000, página 1311</w:t>
      </w:r>
      <w:r w:rsidR="002745BF">
        <w:rPr>
          <w:rStyle w:val="ng-star-inserted"/>
          <w:rFonts w:ascii="Arial" w:hAnsi="Arial" w:cs="Arial"/>
          <w:color w:val="000000"/>
          <w:sz w:val="26"/>
          <w:szCs w:val="26"/>
          <w:shd w:val="clear" w:color="auto" w:fill="FFFFFF"/>
        </w:rPr>
        <w:t xml:space="preserve">, </w:t>
      </w:r>
      <w:r w:rsidR="00C12A71">
        <w:rPr>
          <w:rStyle w:val="ng-star-inserted"/>
          <w:rFonts w:ascii="Arial" w:hAnsi="Arial" w:cs="Arial"/>
          <w:color w:val="000000"/>
          <w:sz w:val="26"/>
          <w:szCs w:val="26"/>
          <w:shd w:val="clear" w:color="auto" w:fill="FFFFFF"/>
        </w:rPr>
        <w:t xml:space="preserve">de rubro y texto siguientes:- - </w:t>
      </w:r>
    </w:p>
    <w:p w14:paraId="38334F00" w14:textId="172341AB" w:rsidR="002745BF" w:rsidRPr="002745BF" w:rsidRDefault="00C12A71" w:rsidP="004E1346">
      <w:pPr>
        <w:shd w:val="clear" w:color="auto" w:fill="FFFFFF"/>
        <w:spacing w:after="240" w:line="360" w:lineRule="auto"/>
        <w:ind w:left="851" w:right="760"/>
        <w:jc w:val="both"/>
        <w:rPr>
          <w:rFonts w:ascii="Arial" w:eastAsia="Times New Roman" w:hAnsi="Arial" w:cs="Arial"/>
          <w:i/>
          <w:color w:val="000000"/>
        </w:rPr>
      </w:pPr>
      <w:r>
        <w:rPr>
          <w:rFonts w:ascii="Arial" w:eastAsia="Times New Roman" w:hAnsi="Arial" w:cs="Arial"/>
          <w:b/>
          <w:i/>
          <w:color w:val="000000"/>
        </w:rPr>
        <w:t xml:space="preserve">“NORMAS PROCESALES. SE APLICAN CONFORME A LOS ARTÍCULOS </w:t>
      </w:r>
      <w:r w:rsidR="00960905">
        <w:rPr>
          <w:rFonts w:ascii="Arial" w:eastAsia="Times New Roman" w:hAnsi="Arial" w:cs="Arial"/>
          <w:b/>
          <w:i/>
          <w:color w:val="000000"/>
        </w:rPr>
        <w:t>TRANSITORIOS DEL DECRETO Q</w:t>
      </w:r>
      <w:r>
        <w:rPr>
          <w:rFonts w:ascii="Arial" w:eastAsia="Times New Roman" w:hAnsi="Arial" w:cs="Arial"/>
          <w:b/>
          <w:i/>
          <w:color w:val="000000"/>
        </w:rPr>
        <w:t xml:space="preserve">UE CONTIENEN LAS REFORMAS A LA LEY. </w:t>
      </w:r>
      <w:r w:rsidR="002745BF" w:rsidRPr="002745BF">
        <w:rPr>
          <w:rFonts w:ascii="Arial" w:eastAsia="Times New Roman" w:hAnsi="Arial" w:cs="Arial"/>
          <w:i/>
          <w:color w:val="000000"/>
        </w:rPr>
        <w:t>Las partes en un juicio no adquieren el derecho a que se apliquen las normas procesales vigentes al momento del inicio de su tramitación durante todo su curso, debido a que el procedimiento judicial se compone de diversas etapas y de una serie de actos sucesivos, por lo que los derechos adjetivos que concede la ley procesal sólo se van adquiriendo o concretando en la medida que se actualizan los supuestos normativos correspondientes, en el desarrollo de la secuela procesal, y con anterioridad sólo deben reputarse como expectativas de derecho o situaciones jurídicas abstractas. En consecuencia, las leyes del procedimiento no pueden producir efectos retroactivos, dado que los actos de esa naturaleza, se rigen por las disposiciones vigentes en la época en que tuvieron verificativo. Pero esa regla sólo opera cuando los artículos transitorios del decreto que contiene las reformas a una ley procesal, no precisan la manera de aplicarla a los asuntos que se encuentran en trámite, porque de existir, debe atenderse al estado en que se encuentre cada expediente en particular y así determinar si es jurídicamente posible la aplicación de las reformas.</w:t>
      </w:r>
      <w:r>
        <w:rPr>
          <w:rFonts w:ascii="Arial" w:eastAsia="Times New Roman" w:hAnsi="Arial" w:cs="Arial"/>
          <w:i/>
          <w:color w:val="000000"/>
        </w:rPr>
        <w:t>”</w:t>
      </w:r>
      <w:r w:rsidR="004E1346">
        <w:rPr>
          <w:rFonts w:ascii="Arial" w:eastAsia="Times New Roman" w:hAnsi="Arial" w:cs="Arial"/>
          <w:i/>
          <w:color w:val="000000"/>
        </w:rPr>
        <w:t xml:space="preserve"> - - - - - - - - - - - - - - - - - - - - - - - - - - - - - - - - - - - - -</w:t>
      </w:r>
    </w:p>
    <w:p w14:paraId="588BB3D6" w14:textId="4B1D21B9" w:rsidR="001E6B5F" w:rsidRDefault="0085485C" w:rsidP="004E1346">
      <w:pPr>
        <w:spacing w:after="240" w:line="360" w:lineRule="auto"/>
        <w:ind w:firstLine="708"/>
        <w:jc w:val="both"/>
        <w:rPr>
          <w:rFonts w:ascii="Arial" w:hAnsi="Arial" w:cs="Arial"/>
          <w:bCs/>
          <w:sz w:val="26"/>
          <w:szCs w:val="26"/>
        </w:rPr>
      </w:pPr>
      <w:r>
        <w:rPr>
          <w:rFonts w:ascii="Arial" w:hAnsi="Arial" w:cs="Arial"/>
          <w:sz w:val="26"/>
          <w:szCs w:val="26"/>
        </w:rPr>
        <w:t xml:space="preserve">Asimismo, como lo indicó la Magistrada de Primera Instancia, la autoridad demandada en la resolución de veintisiete de noviembre de dos mil dieciocho, dictada en el expediente administrativo número 035/RA-A/2018, notificada el doce de diciembre del mismo año, fundó debidamente su competencia en los artículos </w:t>
      </w:r>
      <w:r w:rsidR="00224A7C">
        <w:rPr>
          <w:rFonts w:ascii="Arial" w:hAnsi="Arial" w:cs="Arial"/>
          <w:sz w:val="26"/>
          <w:szCs w:val="26"/>
        </w:rPr>
        <w:t>1</w:t>
      </w:r>
      <w:r w:rsidR="00224A7C">
        <w:rPr>
          <w:rStyle w:val="Refdenotaalpie"/>
          <w:rFonts w:ascii="Arial" w:hAnsi="Arial" w:cs="Arial"/>
          <w:sz w:val="26"/>
          <w:szCs w:val="26"/>
        </w:rPr>
        <w:footnoteReference w:id="2"/>
      </w:r>
      <w:r w:rsidR="00224A7C">
        <w:rPr>
          <w:rFonts w:ascii="Arial" w:hAnsi="Arial" w:cs="Arial"/>
          <w:sz w:val="26"/>
          <w:szCs w:val="26"/>
        </w:rPr>
        <w:t>, 2</w:t>
      </w:r>
      <w:r w:rsidR="00224A7C">
        <w:rPr>
          <w:rStyle w:val="Refdenotaalpie"/>
          <w:rFonts w:ascii="Arial" w:hAnsi="Arial" w:cs="Arial"/>
          <w:sz w:val="26"/>
          <w:szCs w:val="26"/>
        </w:rPr>
        <w:footnoteReference w:id="3"/>
      </w:r>
      <w:r w:rsidR="00224A7C">
        <w:rPr>
          <w:rFonts w:ascii="Arial" w:hAnsi="Arial" w:cs="Arial"/>
          <w:sz w:val="26"/>
          <w:szCs w:val="26"/>
        </w:rPr>
        <w:t>, 5</w:t>
      </w:r>
      <w:r w:rsidR="00224A7C">
        <w:rPr>
          <w:rStyle w:val="Refdenotaalpie"/>
          <w:rFonts w:ascii="Arial" w:hAnsi="Arial" w:cs="Arial"/>
          <w:sz w:val="26"/>
          <w:szCs w:val="26"/>
        </w:rPr>
        <w:footnoteReference w:id="4"/>
      </w:r>
      <w:r w:rsidR="00224A7C">
        <w:rPr>
          <w:rFonts w:ascii="Arial" w:hAnsi="Arial" w:cs="Arial"/>
          <w:sz w:val="26"/>
          <w:szCs w:val="26"/>
        </w:rPr>
        <w:t xml:space="preserve"> numerales </w:t>
      </w:r>
      <w:r>
        <w:rPr>
          <w:rFonts w:ascii="Arial" w:hAnsi="Arial" w:cs="Arial"/>
          <w:sz w:val="26"/>
          <w:szCs w:val="26"/>
        </w:rPr>
        <w:t>1</w:t>
      </w:r>
      <w:r w:rsidR="002830D9">
        <w:rPr>
          <w:rFonts w:ascii="Arial" w:hAnsi="Arial" w:cs="Arial"/>
          <w:sz w:val="26"/>
          <w:szCs w:val="26"/>
        </w:rPr>
        <w:t>.2</w:t>
      </w:r>
      <w:r>
        <w:rPr>
          <w:rFonts w:ascii="Arial" w:hAnsi="Arial" w:cs="Arial"/>
          <w:sz w:val="26"/>
          <w:szCs w:val="26"/>
        </w:rPr>
        <w:t xml:space="preserve">, </w:t>
      </w:r>
      <w:r w:rsidR="002830D9">
        <w:rPr>
          <w:rFonts w:ascii="Arial" w:hAnsi="Arial" w:cs="Arial"/>
          <w:sz w:val="26"/>
          <w:szCs w:val="26"/>
        </w:rPr>
        <w:t>1.2.1 y 1.2.1.5,</w:t>
      </w:r>
      <w:r>
        <w:rPr>
          <w:rFonts w:ascii="Arial" w:hAnsi="Arial" w:cs="Arial"/>
          <w:sz w:val="26"/>
          <w:szCs w:val="26"/>
        </w:rPr>
        <w:t xml:space="preserve"> </w:t>
      </w:r>
      <w:r w:rsidR="00224A7C">
        <w:rPr>
          <w:rFonts w:ascii="Arial" w:hAnsi="Arial" w:cs="Arial"/>
          <w:sz w:val="26"/>
          <w:szCs w:val="26"/>
        </w:rPr>
        <w:t xml:space="preserve">y el precepto </w:t>
      </w:r>
      <w:r>
        <w:rPr>
          <w:rFonts w:ascii="Arial" w:hAnsi="Arial" w:cs="Arial"/>
          <w:sz w:val="26"/>
          <w:szCs w:val="26"/>
        </w:rPr>
        <w:t>36, fracciones XXI y XXVII, y 40</w:t>
      </w:r>
      <w:r w:rsidR="00680733">
        <w:rPr>
          <w:rStyle w:val="Refdenotaalpie"/>
          <w:rFonts w:ascii="Arial" w:hAnsi="Arial" w:cs="Arial"/>
          <w:sz w:val="26"/>
          <w:szCs w:val="26"/>
        </w:rPr>
        <w:footnoteReference w:id="5"/>
      </w:r>
      <w:r>
        <w:rPr>
          <w:rFonts w:ascii="Arial" w:hAnsi="Arial" w:cs="Arial"/>
          <w:sz w:val="26"/>
          <w:szCs w:val="26"/>
        </w:rPr>
        <w:t xml:space="preserve">, fracción </w:t>
      </w:r>
      <w:r>
        <w:rPr>
          <w:rFonts w:ascii="Arial" w:hAnsi="Arial" w:cs="Arial"/>
          <w:sz w:val="26"/>
          <w:szCs w:val="26"/>
        </w:rPr>
        <w:lastRenderedPageBreak/>
        <w:t xml:space="preserve">X del Reglamento Interno de la Secretaría de la Contraloría y Transparencia Gubernamental del Poder Ejecutivo del Estado de Oaxaca, publicado el dos de febrero de dos mil dieciséis, </w:t>
      </w:r>
      <w:r w:rsidR="002830D9">
        <w:rPr>
          <w:rFonts w:ascii="Arial" w:hAnsi="Arial" w:cs="Arial"/>
          <w:sz w:val="26"/>
          <w:szCs w:val="26"/>
        </w:rPr>
        <w:t>de conformidad con lo dispuesto en los artículos tercero</w:t>
      </w:r>
      <w:r w:rsidR="00BE1FF8">
        <w:rPr>
          <w:rStyle w:val="Refdenotaalpie"/>
          <w:rFonts w:ascii="Arial" w:hAnsi="Arial" w:cs="Arial"/>
          <w:sz w:val="26"/>
          <w:szCs w:val="26"/>
        </w:rPr>
        <w:footnoteReference w:id="6"/>
      </w:r>
      <w:r w:rsidR="002830D9">
        <w:rPr>
          <w:rFonts w:ascii="Arial" w:hAnsi="Arial" w:cs="Arial"/>
          <w:sz w:val="26"/>
          <w:szCs w:val="26"/>
        </w:rPr>
        <w:t xml:space="preserve"> y sexto</w:t>
      </w:r>
      <w:r w:rsidR="00BE1FF8">
        <w:rPr>
          <w:rStyle w:val="Refdenotaalpie"/>
          <w:rFonts w:ascii="Arial" w:hAnsi="Arial" w:cs="Arial"/>
          <w:sz w:val="26"/>
          <w:szCs w:val="26"/>
        </w:rPr>
        <w:footnoteReference w:id="7"/>
      </w:r>
      <w:r w:rsidR="002830D9">
        <w:rPr>
          <w:rFonts w:ascii="Arial" w:hAnsi="Arial" w:cs="Arial"/>
          <w:sz w:val="26"/>
          <w:szCs w:val="26"/>
        </w:rPr>
        <w:t xml:space="preserve"> transitorios del Reglamento Interno de la Secretaría de la Contraloría y Transparencia Gubernamental del Poder Ejecutivo del Estado de Oaxaca, vigente a partir del tres de enero de dos mil </w:t>
      </w:r>
      <w:r w:rsidR="002830D9" w:rsidRPr="006D44DC">
        <w:rPr>
          <w:rFonts w:ascii="Arial" w:hAnsi="Arial" w:cs="Arial"/>
          <w:sz w:val="26"/>
          <w:szCs w:val="26"/>
        </w:rPr>
        <w:t>dieciocho</w:t>
      </w:r>
      <w:r w:rsidR="004E1346">
        <w:rPr>
          <w:rFonts w:ascii="Arial" w:hAnsi="Arial" w:cs="Arial"/>
          <w:sz w:val="26"/>
          <w:szCs w:val="26"/>
        </w:rPr>
        <w:t>, los cuales resultan ser suficientes para fundar su competencia</w:t>
      </w:r>
      <w:r w:rsidR="002830D9" w:rsidRPr="006D44DC">
        <w:rPr>
          <w:rFonts w:ascii="Arial" w:hAnsi="Arial" w:cs="Arial"/>
          <w:sz w:val="26"/>
          <w:szCs w:val="26"/>
        </w:rPr>
        <w:t>.- - - - -</w:t>
      </w:r>
      <w:r w:rsidR="002830D9">
        <w:rPr>
          <w:rFonts w:ascii="Arial" w:hAnsi="Arial" w:cs="Arial"/>
          <w:sz w:val="26"/>
          <w:szCs w:val="26"/>
        </w:rPr>
        <w:t xml:space="preserve"> - - - - - - - - - - - - - - - - - -</w:t>
      </w:r>
      <w:r w:rsidR="000A3D89">
        <w:rPr>
          <w:rFonts w:ascii="Arial" w:hAnsi="Arial" w:cs="Arial"/>
          <w:sz w:val="26"/>
          <w:szCs w:val="26"/>
        </w:rPr>
        <w:tab/>
      </w:r>
      <w:r w:rsidR="001E6B5F">
        <w:rPr>
          <w:rFonts w:ascii="Arial" w:hAnsi="Arial" w:cs="Arial"/>
          <w:bCs/>
          <w:sz w:val="26"/>
          <w:szCs w:val="26"/>
        </w:rPr>
        <w:t xml:space="preserve">En consecuencia, ante lo </w:t>
      </w:r>
      <w:r w:rsidR="001E6B5F">
        <w:rPr>
          <w:rFonts w:ascii="Arial" w:hAnsi="Arial" w:cs="Arial"/>
          <w:b/>
          <w:bCs/>
          <w:sz w:val="26"/>
          <w:szCs w:val="26"/>
        </w:rPr>
        <w:t xml:space="preserve">INFUNDADO </w:t>
      </w:r>
      <w:r w:rsidR="001E6B5F">
        <w:rPr>
          <w:rFonts w:ascii="Arial" w:hAnsi="Arial" w:cs="Arial"/>
          <w:bCs/>
          <w:sz w:val="26"/>
          <w:szCs w:val="26"/>
        </w:rPr>
        <w:t xml:space="preserve">de sus agravios, lo procedente es </w:t>
      </w:r>
      <w:r w:rsidR="001E6B5F">
        <w:rPr>
          <w:rFonts w:ascii="Arial" w:hAnsi="Arial" w:cs="Arial"/>
          <w:b/>
          <w:bCs/>
          <w:sz w:val="26"/>
          <w:szCs w:val="26"/>
        </w:rPr>
        <w:t>CONFIRMAR</w:t>
      </w:r>
      <w:r w:rsidR="001E6B5F">
        <w:rPr>
          <w:rFonts w:ascii="Arial" w:hAnsi="Arial" w:cs="Arial"/>
          <w:bCs/>
          <w:sz w:val="26"/>
          <w:szCs w:val="26"/>
        </w:rPr>
        <w:t xml:space="preserve"> la sentencia materia del presente recurso.- </w:t>
      </w:r>
    </w:p>
    <w:p w14:paraId="43B826C8" w14:textId="77777777" w:rsidR="00AF31BD" w:rsidRDefault="001E6B5F" w:rsidP="00680E4E">
      <w:pPr>
        <w:pStyle w:val="Sinespaciado"/>
        <w:tabs>
          <w:tab w:val="left" w:pos="709"/>
        </w:tabs>
        <w:spacing w:after="120" w:line="360" w:lineRule="auto"/>
        <w:jc w:val="both"/>
        <w:rPr>
          <w:rFonts w:ascii="Arial" w:hAnsi="Arial" w:cs="Arial"/>
          <w:bCs/>
          <w:sz w:val="26"/>
          <w:szCs w:val="26"/>
          <w:lang w:val="es-MX"/>
        </w:rPr>
      </w:pPr>
      <w:r>
        <w:rPr>
          <w:rFonts w:ascii="Arial" w:hAnsi="Arial" w:cs="Arial"/>
          <w:bCs/>
          <w:sz w:val="26"/>
          <w:szCs w:val="26"/>
          <w:lang w:val="es-MX"/>
        </w:rPr>
        <w:tab/>
        <w:t xml:space="preserve">En mérito de lo anterior, con fundamento en los artículos 237 y 238 de la Ley de Procedimiento y Justicia Administrativa </w:t>
      </w:r>
      <w:r w:rsidRPr="001A1EB3">
        <w:rPr>
          <w:rFonts w:ascii="Arial" w:hAnsi="Arial" w:cs="Arial"/>
          <w:bCs/>
          <w:sz w:val="26"/>
          <w:szCs w:val="26"/>
          <w:lang w:val="es-MX"/>
        </w:rPr>
        <w:t xml:space="preserve">para el Estado </w:t>
      </w:r>
      <w:r w:rsidR="00AE66F3" w:rsidRPr="001A1EB3">
        <w:rPr>
          <w:rFonts w:ascii="Arial" w:hAnsi="Arial" w:cs="Arial"/>
          <w:bCs/>
          <w:sz w:val="26"/>
          <w:szCs w:val="26"/>
          <w:lang w:val="es-MX"/>
        </w:rPr>
        <w:t>de Oaxaca</w:t>
      </w:r>
      <w:r w:rsidRPr="001A1EB3">
        <w:rPr>
          <w:rFonts w:ascii="Arial" w:hAnsi="Arial" w:cs="Arial"/>
          <w:bCs/>
          <w:sz w:val="26"/>
          <w:szCs w:val="26"/>
          <w:lang w:val="es-MX"/>
        </w:rPr>
        <w:t>, se:- - - - - - - - - - - - - - - - - - - - - - - - - - - - - - - - -</w:t>
      </w:r>
      <w:r>
        <w:rPr>
          <w:rFonts w:ascii="Arial" w:hAnsi="Arial" w:cs="Arial"/>
          <w:bCs/>
          <w:sz w:val="26"/>
          <w:szCs w:val="26"/>
          <w:lang w:val="es-MX"/>
        </w:rPr>
        <w:t xml:space="preserve"> - - - - - - - - </w:t>
      </w:r>
    </w:p>
    <w:p w14:paraId="4A22207C" w14:textId="01678786" w:rsidR="006C7FDF" w:rsidRDefault="001E6B5F" w:rsidP="00AF31BD">
      <w:pPr>
        <w:pStyle w:val="Sinespaciado"/>
        <w:tabs>
          <w:tab w:val="left" w:pos="709"/>
        </w:tabs>
        <w:spacing w:after="120" w:line="360" w:lineRule="auto"/>
        <w:jc w:val="center"/>
        <w:rPr>
          <w:rFonts w:ascii="Arial" w:hAnsi="Arial" w:cs="Arial"/>
          <w:b/>
          <w:color w:val="000000"/>
          <w:sz w:val="26"/>
          <w:szCs w:val="26"/>
        </w:rPr>
      </w:pPr>
      <w:r>
        <w:rPr>
          <w:rFonts w:ascii="Arial" w:hAnsi="Arial" w:cs="Arial"/>
          <w:b/>
          <w:color w:val="000000"/>
          <w:sz w:val="26"/>
          <w:szCs w:val="26"/>
        </w:rPr>
        <w:t>R E S U E L V E</w:t>
      </w:r>
    </w:p>
    <w:p w14:paraId="71765F72" w14:textId="1C4B7269" w:rsidR="006C7FDF" w:rsidRDefault="006C7FDF" w:rsidP="00F55ACE">
      <w:pPr>
        <w:pStyle w:val="Sinespaciado"/>
        <w:tabs>
          <w:tab w:val="left" w:pos="709"/>
        </w:tabs>
        <w:spacing w:after="120" w:line="360" w:lineRule="auto"/>
        <w:jc w:val="both"/>
        <w:rPr>
          <w:rFonts w:ascii="Arial" w:hAnsi="Arial" w:cs="Arial"/>
          <w:sz w:val="26"/>
          <w:szCs w:val="26"/>
        </w:rPr>
      </w:pPr>
      <w:r>
        <w:rPr>
          <w:rFonts w:ascii="Arial" w:hAnsi="Arial" w:cs="Arial"/>
          <w:b/>
          <w:color w:val="000000"/>
          <w:sz w:val="26"/>
          <w:szCs w:val="26"/>
        </w:rPr>
        <w:tab/>
      </w:r>
      <w:r w:rsidR="001E6B5F">
        <w:rPr>
          <w:rFonts w:ascii="Arial" w:eastAsia="Calibri" w:hAnsi="Arial" w:cs="Arial"/>
          <w:b/>
          <w:bCs/>
          <w:sz w:val="26"/>
          <w:szCs w:val="26"/>
          <w:lang w:val="es-MX"/>
        </w:rPr>
        <w:t xml:space="preserve">PRIMERO. </w:t>
      </w:r>
      <w:r w:rsidR="001E6B5F">
        <w:rPr>
          <w:rFonts w:ascii="Arial" w:eastAsia="Calibri" w:hAnsi="Arial" w:cs="Arial"/>
          <w:bCs/>
          <w:sz w:val="26"/>
          <w:szCs w:val="26"/>
          <w:lang w:val="es-MX"/>
        </w:rPr>
        <w:t xml:space="preserve">Se </w:t>
      </w:r>
      <w:r w:rsidR="001E6B5F" w:rsidRPr="006C7FDF">
        <w:rPr>
          <w:rFonts w:ascii="Arial" w:eastAsia="Calibri" w:hAnsi="Arial" w:cs="Arial"/>
          <w:b/>
          <w:bCs/>
          <w:sz w:val="26"/>
          <w:szCs w:val="26"/>
          <w:lang w:val="es-MX"/>
        </w:rPr>
        <w:t>CONFIRMA</w:t>
      </w:r>
      <w:r w:rsidR="001E6B5F">
        <w:rPr>
          <w:rFonts w:ascii="Arial" w:eastAsia="Calibri" w:hAnsi="Arial" w:cs="Arial"/>
          <w:bCs/>
          <w:sz w:val="26"/>
          <w:szCs w:val="26"/>
          <w:lang w:val="es-MX"/>
        </w:rPr>
        <w:t xml:space="preserve"> la sentencia recurrida, por las razones anotadas en el considerando TERCERO de la presente sentencia. - - - </w:t>
      </w:r>
      <w:r w:rsidR="00571114">
        <w:rPr>
          <w:rFonts w:ascii="Arial" w:hAnsi="Arial" w:cs="Arial"/>
          <w:sz w:val="26"/>
          <w:szCs w:val="26"/>
        </w:rPr>
        <w:t xml:space="preserve"> </w:t>
      </w:r>
    </w:p>
    <w:p w14:paraId="36F99D22" w14:textId="1DCCA88B" w:rsidR="00422629" w:rsidRDefault="006C7FDF" w:rsidP="00F55ACE">
      <w:pPr>
        <w:pStyle w:val="Sinespaciado"/>
        <w:tabs>
          <w:tab w:val="left" w:pos="709"/>
        </w:tabs>
        <w:spacing w:after="120" w:line="360" w:lineRule="auto"/>
        <w:jc w:val="both"/>
        <w:rPr>
          <w:rFonts w:ascii="Arial" w:hAnsi="Arial" w:cs="Arial"/>
          <w:sz w:val="26"/>
          <w:szCs w:val="26"/>
        </w:rPr>
      </w:pPr>
      <w:r>
        <w:rPr>
          <w:rFonts w:ascii="Arial" w:eastAsia="Calibri" w:hAnsi="Arial" w:cs="Arial"/>
          <w:b/>
          <w:sz w:val="26"/>
          <w:szCs w:val="26"/>
        </w:rPr>
        <w:tab/>
      </w:r>
      <w:r w:rsidR="00571114">
        <w:rPr>
          <w:rFonts w:ascii="Arial" w:eastAsia="Calibri" w:hAnsi="Arial" w:cs="Arial"/>
          <w:b/>
          <w:sz w:val="26"/>
          <w:szCs w:val="26"/>
        </w:rPr>
        <w:t xml:space="preserve">SEGUNDO. </w:t>
      </w:r>
      <w:r w:rsidR="00571114">
        <w:rPr>
          <w:rFonts w:ascii="Arial" w:hAnsi="Arial" w:cs="Arial"/>
          <w:b/>
          <w:sz w:val="26"/>
          <w:szCs w:val="26"/>
        </w:rPr>
        <w:t xml:space="preserve">NOTIFÍQUESE Y CÚMPLASE, </w:t>
      </w:r>
      <w:r w:rsidR="00571114">
        <w:rPr>
          <w:rFonts w:ascii="Arial" w:hAnsi="Arial" w:cs="Arial"/>
          <w:sz w:val="26"/>
          <w:szCs w:val="26"/>
        </w:rPr>
        <w:t xml:space="preserve">remítase copia certificada de la presente resolución a la </w:t>
      </w:r>
      <w:r w:rsidR="00680E4E">
        <w:rPr>
          <w:rFonts w:ascii="Arial" w:hAnsi="Arial" w:cs="Arial"/>
          <w:sz w:val="26"/>
          <w:szCs w:val="26"/>
        </w:rPr>
        <w:t>Tercera</w:t>
      </w:r>
      <w:r w:rsidR="008C2F16">
        <w:rPr>
          <w:rFonts w:ascii="Arial" w:hAnsi="Arial" w:cs="Arial"/>
          <w:sz w:val="26"/>
          <w:szCs w:val="26"/>
        </w:rPr>
        <w:t xml:space="preserve"> </w:t>
      </w:r>
      <w:r w:rsidR="00571114">
        <w:rPr>
          <w:rFonts w:ascii="Arial" w:hAnsi="Arial" w:cs="Arial"/>
          <w:sz w:val="26"/>
          <w:szCs w:val="26"/>
        </w:rPr>
        <w:t>Sala Unitaria de Primera Instancia de este Tribunal y en su oportunidad</w:t>
      </w:r>
      <w:r w:rsidR="004F68BF">
        <w:rPr>
          <w:rFonts w:ascii="Arial" w:hAnsi="Arial" w:cs="Arial"/>
          <w:sz w:val="26"/>
          <w:szCs w:val="26"/>
        </w:rPr>
        <w:t>,</w:t>
      </w:r>
      <w:r w:rsidR="00571114">
        <w:rPr>
          <w:rFonts w:ascii="Arial" w:hAnsi="Arial" w:cs="Arial"/>
          <w:sz w:val="26"/>
          <w:szCs w:val="26"/>
        </w:rPr>
        <w:t xml:space="preserve"> archívese el presente cuaderno de revisión como asunto </w:t>
      </w:r>
      <w:r w:rsidR="00561DEB">
        <w:rPr>
          <w:rFonts w:ascii="Arial" w:hAnsi="Arial" w:cs="Arial"/>
          <w:sz w:val="26"/>
          <w:szCs w:val="26"/>
        </w:rPr>
        <w:t>concluido. -</w:t>
      </w:r>
      <w:r w:rsidR="00422629">
        <w:rPr>
          <w:rFonts w:ascii="Arial" w:hAnsi="Arial" w:cs="Arial"/>
          <w:sz w:val="26"/>
          <w:szCs w:val="26"/>
        </w:rPr>
        <w:t xml:space="preserve"> - - - - - - - - - - -</w:t>
      </w:r>
      <w:r w:rsidR="007A2561">
        <w:rPr>
          <w:rFonts w:ascii="Arial" w:hAnsi="Arial" w:cs="Arial"/>
          <w:sz w:val="26"/>
          <w:szCs w:val="26"/>
        </w:rPr>
        <w:t xml:space="preserve"> </w:t>
      </w:r>
    </w:p>
    <w:p w14:paraId="263D2E8F" w14:textId="6076C4B4" w:rsidR="004D0275" w:rsidRDefault="004D0275" w:rsidP="004D0275">
      <w:pPr>
        <w:spacing w:after="120" w:line="360" w:lineRule="auto"/>
        <w:ind w:firstLine="709"/>
        <w:jc w:val="both"/>
        <w:rPr>
          <w:rFonts w:ascii="Arial" w:eastAsia="Times New Roman" w:hAnsi="Arial" w:cs="Arial"/>
          <w:sz w:val="26"/>
          <w:szCs w:val="26"/>
        </w:rPr>
      </w:pPr>
      <w:r>
        <w:rPr>
          <w:rFonts w:ascii="Arial" w:eastAsia="Calibri" w:hAnsi="Arial" w:cs="Arial"/>
          <w:sz w:val="26"/>
          <w:szCs w:val="26"/>
        </w:rPr>
        <w:t xml:space="preserve">Así por unanimidad de votos, lo resolvieron y firmaron </w:t>
      </w:r>
      <w:r>
        <w:rPr>
          <w:rFonts w:ascii="Arial" w:hAnsi="Arial" w:cs="Arial"/>
          <w:sz w:val="26"/>
          <w:szCs w:val="26"/>
        </w:rPr>
        <w:t xml:space="preserve">los Magistrados Manuel Velasco Alcántara, </w:t>
      </w:r>
      <w:r w:rsidR="00A51799">
        <w:rPr>
          <w:rFonts w:ascii="Arial" w:hAnsi="Arial" w:cs="Arial"/>
          <w:sz w:val="26"/>
          <w:szCs w:val="26"/>
        </w:rPr>
        <w:t xml:space="preserve">Magistrado Abraham Santiago Soriano, </w:t>
      </w:r>
      <w:r>
        <w:rPr>
          <w:rFonts w:ascii="Arial" w:hAnsi="Arial" w:cs="Arial"/>
          <w:sz w:val="26"/>
          <w:szCs w:val="26"/>
        </w:rPr>
        <w:t xml:space="preserve">Magistrada Gloria del Carmen Camacho Meza </w:t>
      </w:r>
      <w:r>
        <w:rPr>
          <w:rFonts w:ascii="Arial" w:hAnsi="Arial" w:cs="Arial"/>
          <w:b/>
          <w:bCs/>
          <w:sz w:val="26"/>
          <w:szCs w:val="26"/>
        </w:rPr>
        <w:t xml:space="preserve">(ponente) </w:t>
      </w:r>
      <w:r>
        <w:rPr>
          <w:rFonts w:ascii="Arial" w:hAnsi="Arial" w:cs="Arial"/>
          <w:sz w:val="26"/>
          <w:szCs w:val="26"/>
        </w:rPr>
        <w:t xml:space="preserve">y Magistrado Paulo José Luis Tapia Palacios, integrantes de la Sala Superior del Tribunal de Justicia Administrativa del Estado, con excusa aprobada del </w:t>
      </w:r>
      <w:r w:rsidR="00A51799">
        <w:rPr>
          <w:rFonts w:ascii="Arial" w:hAnsi="Arial" w:cs="Arial"/>
          <w:sz w:val="26"/>
          <w:szCs w:val="26"/>
        </w:rPr>
        <w:t xml:space="preserve">Magistrado Raúl Palomares Palomino, </w:t>
      </w:r>
      <w:r>
        <w:rPr>
          <w:rFonts w:ascii="Arial" w:hAnsi="Arial" w:cs="Arial"/>
          <w:sz w:val="26"/>
          <w:szCs w:val="26"/>
        </w:rPr>
        <w:t xml:space="preserve">para conocer, discutir y resolver en la presente resolución; quienes actúan con el Licenciado Juan Edy García Coronado, Secretario General de Acuerdos de este Tribunal, que autoriza y da fe. - - - - - </w:t>
      </w:r>
      <w:r w:rsidR="00A05B40">
        <w:rPr>
          <w:rFonts w:ascii="Arial" w:hAnsi="Arial" w:cs="Arial"/>
          <w:sz w:val="26"/>
          <w:szCs w:val="26"/>
        </w:rPr>
        <w:t>- - - - - - - - - - - - - - - -</w:t>
      </w:r>
      <w:r>
        <w:rPr>
          <w:rFonts w:ascii="Arial" w:hAnsi="Arial" w:cs="Arial"/>
          <w:sz w:val="26"/>
          <w:szCs w:val="26"/>
        </w:rPr>
        <w:t xml:space="preserve"> - - - </w:t>
      </w:r>
    </w:p>
    <w:p w14:paraId="142FDC4C" w14:textId="5F947E60" w:rsidR="004D0275" w:rsidRDefault="004D0275" w:rsidP="004D0275">
      <w:pPr>
        <w:spacing w:after="0" w:line="240" w:lineRule="auto"/>
        <w:ind w:left="851" w:firstLine="142"/>
        <w:rPr>
          <w:rFonts w:ascii="Arial" w:eastAsia="Calibri" w:hAnsi="Arial" w:cs="Arial"/>
          <w:sz w:val="26"/>
          <w:szCs w:val="26"/>
        </w:rPr>
      </w:pPr>
      <w:r>
        <w:rPr>
          <w:rFonts w:ascii="Arial" w:eastAsia="Calibri" w:hAnsi="Arial" w:cs="Arial"/>
          <w:sz w:val="26"/>
          <w:szCs w:val="26"/>
        </w:rPr>
        <w:t xml:space="preserve">        </w:t>
      </w:r>
    </w:p>
    <w:p w14:paraId="5EC11F56" w14:textId="31DC06C0" w:rsidR="004D0275" w:rsidRDefault="004D0275" w:rsidP="004D0275">
      <w:pPr>
        <w:spacing w:after="0" w:line="240" w:lineRule="auto"/>
        <w:ind w:left="851" w:firstLine="142"/>
        <w:rPr>
          <w:rFonts w:ascii="Arial" w:eastAsia="Calibri" w:hAnsi="Arial" w:cs="Arial"/>
          <w:sz w:val="26"/>
          <w:szCs w:val="26"/>
        </w:rPr>
      </w:pPr>
    </w:p>
    <w:p w14:paraId="6260860E" w14:textId="2C03B2AF" w:rsidR="004D0275" w:rsidRDefault="004D0275" w:rsidP="004D0275">
      <w:pPr>
        <w:spacing w:after="0" w:line="240" w:lineRule="auto"/>
        <w:ind w:left="851" w:firstLine="142"/>
        <w:rPr>
          <w:rFonts w:ascii="Arial" w:eastAsia="Calibri" w:hAnsi="Arial" w:cs="Arial"/>
          <w:sz w:val="26"/>
          <w:szCs w:val="26"/>
        </w:rPr>
      </w:pPr>
    </w:p>
    <w:p w14:paraId="24EAB71F" w14:textId="77777777" w:rsidR="004D0275" w:rsidRDefault="004D0275" w:rsidP="004D0275">
      <w:pPr>
        <w:spacing w:after="0" w:line="240" w:lineRule="auto"/>
        <w:ind w:left="851" w:firstLine="142"/>
        <w:rPr>
          <w:rFonts w:ascii="Arial" w:eastAsia="Calibri" w:hAnsi="Arial" w:cs="Arial"/>
          <w:sz w:val="26"/>
          <w:szCs w:val="26"/>
        </w:rPr>
      </w:pPr>
    </w:p>
    <w:p w14:paraId="0B2319DE" w14:textId="77777777" w:rsidR="004D0275" w:rsidRDefault="004D0275" w:rsidP="004D0275">
      <w:pPr>
        <w:spacing w:after="0" w:line="240" w:lineRule="auto"/>
        <w:rPr>
          <w:rFonts w:ascii="Arial" w:eastAsia="Calibri" w:hAnsi="Arial" w:cs="Arial"/>
          <w:sz w:val="26"/>
          <w:szCs w:val="26"/>
        </w:rPr>
      </w:pPr>
    </w:p>
    <w:p w14:paraId="27940251" w14:textId="77777777" w:rsidR="004D0275" w:rsidRDefault="004D0275" w:rsidP="004D0275">
      <w:pPr>
        <w:pStyle w:val="Sinespaciado"/>
        <w:jc w:val="center"/>
        <w:rPr>
          <w:rFonts w:ascii="Arial" w:eastAsiaTheme="minorHAnsi" w:hAnsi="Arial" w:cs="Arial"/>
          <w:b/>
          <w:sz w:val="26"/>
          <w:szCs w:val="26"/>
          <w:lang w:eastAsia="en-US"/>
        </w:rPr>
      </w:pPr>
      <w:r>
        <w:rPr>
          <w:rFonts w:ascii="Arial" w:eastAsia="Times New Roman" w:hAnsi="Arial" w:cs="Arial"/>
          <w:sz w:val="26"/>
          <w:szCs w:val="26"/>
        </w:rPr>
        <w:t>MAGISTRADO MANUEL VELASCO ALCÁNTARA</w:t>
      </w:r>
    </w:p>
    <w:p w14:paraId="7429B384" w14:textId="77777777" w:rsidR="004D0275" w:rsidRDefault="004D0275" w:rsidP="004D0275">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7ED8C3D6" w14:textId="77777777" w:rsidR="004D0275" w:rsidRDefault="004D0275" w:rsidP="004D0275">
      <w:pPr>
        <w:spacing w:line="240" w:lineRule="auto"/>
        <w:ind w:firstLine="567"/>
        <w:jc w:val="center"/>
        <w:rPr>
          <w:rFonts w:ascii="Arial" w:eastAsiaTheme="minorHAnsi" w:hAnsi="Arial" w:cs="Arial"/>
          <w:sz w:val="26"/>
          <w:szCs w:val="26"/>
          <w:lang w:eastAsia="en-US"/>
        </w:rPr>
      </w:pPr>
    </w:p>
    <w:p w14:paraId="5CDDF6BB" w14:textId="77777777" w:rsidR="004D0275" w:rsidRDefault="004D0275" w:rsidP="004D0275">
      <w:pPr>
        <w:spacing w:line="240" w:lineRule="auto"/>
        <w:ind w:firstLine="567"/>
        <w:jc w:val="center"/>
        <w:rPr>
          <w:rFonts w:ascii="Arial" w:eastAsiaTheme="minorHAnsi" w:hAnsi="Arial" w:cs="Arial"/>
          <w:sz w:val="26"/>
          <w:szCs w:val="26"/>
          <w:lang w:eastAsia="en-US"/>
        </w:rPr>
      </w:pPr>
    </w:p>
    <w:p w14:paraId="1EB2D03A" w14:textId="77777777" w:rsidR="00A05B40" w:rsidRDefault="00A05B40" w:rsidP="004D0275">
      <w:pPr>
        <w:spacing w:line="240" w:lineRule="auto"/>
        <w:ind w:firstLine="567"/>
        <w:jc w:val="center"/>
        <w:rPr>
          <w:rFonts w:ascii="Arial" w:eastAsiaTheme="minorHAnsi" w:hAnsi="Arial" w:cs="Arial"/>
          <w:sz w:val="26"/>
          <w:szCs w:val="26"/>
          <w:lang w:eastAsia="en-US"/>
        </w:rPr>
      </w:pPr>
    </w:p>
    <w:p w14:paraId="4CEAFCB6" w14:textId="77777777" w:rsidR="00A05B40" w:rsidRDefault="00A05B40" w:rsidP="004D0275">
      <w:pPr>
        <w:spacing w:line="240" w:lineRule="auto"/>
        <w:ind w:firstLine="567"/>
        <w:jc w:val="center"/>
        <w:rPr>
          <w:rFonts w:ascii="Arial" w:eastAsiaTheme="minorHAnsi" w:hAnsi="Arial" w:cs="Arial"/>
          <w:sz w:val="26"/>
          <w:szCs w:val="26"/>
          <w:lang w:eastAsia="en-US"/>
        </w:rPr>
      </w:pPr>
    </w:p>
    <w:p w14:paraId="5E3818A2" w14:textId="77777777" w:rsidR="004D0275" w:rsidRDefault="004D0275" w:rsidP="004D0275">
      <w:pPr>
        <w:jc w:val="center"/>
        <w:rPr>
          <w:rFonts w:ascii="Arial" w:eastAsiaTheme="minorHAnsi" w:hAnsi="Arial" w:cs="Arial"/>
          <w:sz w:val="26"/>
          <w:szCs w:val="26"/>
          <w:lang w:eastAsia="en-US"/>
        </w:rPr>
      </w:pPr>
    </w:p>
    <w:p w14:paraId="2915E787" w14:textId="77777777" w:rsidR="004D0275" w:rsidRDefault="004D0275" w:rsidP="004D0275">
      <w:pPr>
        <w:jc w:val="center"/>
        <w:rPr>
          <w:rFonts w:ascii="Arial" w:eastAsiaTheme="minorHAnsi" w:hAnsi="Arial" w:cs="Arial"/>
          <w:sz w:val="26"/>
          <w:szCs w:val="26"/>
          <w:lang w:eastAsia="en-US"/>
        </w:rPr>
      </w:pPr>
    </w:p>
    <w:p w14:paraId="485FF65E" w14:textId="77777777" w:rsidR="004D0275" w:rsidRDefault="004D0275" w:rsidP="004D0275">
      <w:pPr>
        <w:jc w:val="center"/>
        <w:rPr>
          <w:rFonts w:ascii="Arial" w:eastAsiaTheme="minorHAnsi" w:hAnsi="Arial" w:cs="Arial"/>
          <w:sz w:val="26"/>
          <w:szCs w:val="26"/>
          <w:lang w:eastAsia="en-US"/>
        </w:rPr>
      </w:pPr>
      <w:r>
        <w:rPr>
          <w:rFonts w:ascii="Arial" w:eastAsiaTheme="minorHAnsi" w:hAnsi="Arial" w:cs="Arial"/>
          <w:sz w:val="26"/>
          <w:szCs w:val="26"/>
          <w:lang w:eastAsia="en-US"/>
        </w:rPr>
        <w:t>MAGISTRADO ABRAHAM SANTIAGO SORIANO</w:t>
      </w:r>
    </w:p>
    <w:p w14:paraId="50001FB6" w14:textId="77777777" w:rsidR="004D0275" w:rsidRDefault="004D0275" w:rsidP="004D0275">
      <w:pPr>
        <w:tabs>
          <w:tab w:val="left" w:pos="1680"/>
          <w:tab w:val="center" w:pos="4277"/>
        </w:tabs>
        <w:spacing w:line="360" w:lineRule="auto"/>
        <w:rPr>
          <w:rFonts w:ascii="Arial" w:eastAsiaTheme="minorHAnsi" w:hAnsi="Arial" w:cs="Arial"/>
          <w:b/>
          <w:bCs/>
          <w:sz w:val="18"/>
          <w:szCs w:val="18"/>
          <w:lang w:eastAsia="en-US"/>
        </w:rPr>
      </w:pPr>
    </w:p>
    <w:p w14:paraId="751805A6" w14:textId="77777777" w:rsidR="004D0275" w:rsidRDefault="004D0275" w:rsidP="004D0275">
      <w:pPr>
        <w:tabs>
          <w:tab w:val="left" w:pos="1680"/>
          <w:tab w:val="center" w:pos="4277"/>
        </w:tabs>
        <w:spacing w:line="360" w:lineRule="auto"/>
        <w:jc w:val="center"/>
        <w:rPr>
          <w:rFonts w:ascii="Arial" w:eastAsiaTheme="minorHAnsi" w:hAnsi="Arial" w:cs="Arial"/>
          <w:b/>
          <w:bCs/>
          <w:sz w:val="18"/>
          <w:szCs w:val="18"/>
          <w:lang w:eastAsia="en-US"/>
        </w:rPr>
      </w:pPr>
    </w:p>
    <w:p w14:paraId="359D9CC1" w14:textId="77777777" w:rsidR="004D0275" w:rsidRDefault="004D0275" w:rsidP="004D0275">
      <w:pPr>
        <w:tabs>
          <w:tab w:val="left" w:pos="1680"/>
          <w:tab w:val="center" w:pos="4277"/>
        </w:tabs>
        <w:spacing w:line="360" w:lineRule="auto"/>
        <w:jc w:val="center"/>
        <w:rPr>
          <w:rFonts w:ascii="Arial" w:eastAsiaTheme="minorHAnsi" w:hAnsi="Arial" w:cs="Arial"/>
          <w:b/>
          <w:bCs/>
          <w:sz w:val="18"/>
          <w:szCs w:val="18"/>
          <w:lang w:eastAsia="en-US"/>
        </w:rPr>
      </w:pPr>
    </w:p>
    <w:p w14:paraId="7A935DDE" w14:textId="77777777" w:rsidR="004D0275" w:rsidRDefault="004D0275" w:rsidP="004D0275">
      <w:pPr>
        <w:tabs>
          <w:tab w:val="left" w:pos="1680"/>
          <w:tab w:val="center" w:pos="4277"/>
        </w:tabs>
        <w:spacing w:line="360" w:lineRule="auto"/>
        <w:jc w:val="center"/>
        <w:rPr>
          <w:rFonts w:ascii="Arial" w:eastAsiaTheme="minorHAnsi" w:hAnsi="Arial" w:cs="Arial"/>
          <w:b/>
          <w:bCs/>
          <w:sz w:val="18"/>
          <w:szCs w:val="18"/>
          <w:lang w:eastAsia="en-US"/>
        </w:rPr>
      </w:pPr>
    </w:p>
    <w:p w14:paraId="03D7C300" w14:textId="77777777" w:rsidR="00A05B40" w:rsidRDefault="00A05B40" w:rsidP="004D0275">
      <w:pPr>
        <w:tabs>
          <w:tab w:val="left" w:pos="1680"/>
          <w:tab w:val="center" w:pos="4277"/>
        </w:tabs>
        <w:spacing w:line="360" w:lineRule="auto"/>
        <w:jc w:val="center"/>
        <w:rPr>
          <w:rFonts w:ascii="Arial" w:eastAsiaTheme="minorHAnsi" w:hAnsi="Arial" w:cs="Arial"/>
          <w:b/>
          <w:bCs/>
          <w:sz w:val="18"/>
          <w:szCs w:val="18"/>
          <w:lang w:eastAsia="en-US"/>
        </w:rPr>
      </w:pPr>
    </w:p>
    <w:p w14:paraId="0760914C" w14:textId="77777777" w:rsidR="00A05B40" w:rsidRDefault="00A05B40" w:rsidP="004D0275">
      <w:pPr>
        <w:tabs>
          <w:tab w:val="left" w:pos="1680"/>
          <w:tab w:val="center" w:pos="4277"/>
        </w:tabs>
        <w:spacing w:line="360" w:lineRule="auto"/>
        <w:jc w:val="center"/>
        <w:rPr>
          <w:rFonts w:ascii="Arial" w:eastAsiaTheme="minorHAnsi" w:hAnsi="Arial" w:cs="Arial"/>
          <w:b/>
          <w:bCs/>
          <w:sz w:val="18"/>
          <w:szCs w:val="18"/>
          <w:lang w:eastAsia="en-US"/>
        </w:rPr>
      </w:pPr>
    </w:p>
    <w:p w14:paraId="028511FA" w14:textId="77777777" w:rsidR="004D0275" w:rsidRDefault="004D0275" w:rsidP="004D0275">
      <w:pPr>
        <w:tabs>
          <w:tab w:val="left" w:pos="1680"/>
          <w:tab w:val="center" w:pos="4277"/>
        </w:tabs>
        <w:spacing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5452DEC4" w14:textId="74116DA3" w:rsidR="004D0275" w:rsidRDefault="004D0275" w:rsidP="004D0275">
      <w:pPr>
        <w:tabs>
          <w:tab w:val="left" w:pos="1680"/>
          <w:tab w:val="center" w:pos="4277"/>
        </w:tabs>
        <w:spacing w:line="360" w:lineRule="auto"/>
        <w:jc w:val="center"/>
        <w:rPr>
          <w:rFonts w:ascii="Arial" w:eastAsiaTheme="minorHAnsi" w:hAnsi="Arial" w:cs="Arial"/>
          <w:sz w:val="26"/>
          <w:szCs w:val="26"/>
          <w:lang w:eastAsia="en-US"/>
        </w:rPr>
      </w:pPr>
    </w:p>
    <w:p w14:paraId="5BA7ED3D" w14:textId="77777777" w:rsidR="004D0275" w:rsidRDefault="004D0275" w:rsidP="004D0275">
      <w:pPr>
        <w:tabs>
          <w:tab w:val="left" w:pos="1680"/>
          <w:tab w:val="center" w:pos="4277"/>
        </w:tabs>
        <w:spacing w:line="360" w:lineRule="auto"/>
        <w:jc w:val="center"/>
        <w:rPr>
          <w:rFonts w:ascii="Arial" w:eastAsiaTheme="minorHAnsi" w:hAnsi="Arial" w:cs="Arial"/>
          <w:sz w:val="26"/>
          <w:szCs w:val="26"/>
          <w:lang w:eastAsia="en-US"/>
        </w:rPr>
      </w:pPr>
    </w:p>
    <w:p w14:paraId="0A38F6CC" w14:textId="77777777" w:rsidR="004D0275" w:rsidRDefault="004D0275" w:rsidP="004D0275">
      <w:pPr>
        <w:tabs>
          <w:tab w:val="left" w:pos="1680"/>
          <w:tab w:val="center" w:pos="4277"/>
        </w:tabs>
        <w:spacing w:line="360" w:lineRule="auto"/>
        <w:jc w:val="center"/>
        <w:rPr>
          <w:rFonts w:ascii="Arial" w:eastAsiaTheme="minorHAnsi" w:hAnsi="Arial" w:cs="Arial"/>
          <w:sz w:val="26"/>
          <w:szCs w:val="26"/>
          <w:lang w:eastAsia="en-US"/>
        </w:rPr>
      </w:pPr>
    </w:p>
    <w:p w14:paraId="3D391845" w14:textId="77777777" w:rsidR="00A05B40" w:rsidRDefault="00A05B40" w:rsidP="004D0275">
      <w:pPr>
        <w:tabs>
          <w:tab w:val="left" w:pos="1680"/>
          <w:tab w:val="center" w:pos="4277"/>
        </w:tabs>
        <w:spacing w:line="360" w:lineRule="auto"/>
        <w:jc w:val="center"/>
        <w:rPr>
          <w:rFonts w:ascii="Arial" w:eastAsiaTheme="minorHAnsi" w:hAnsi="Arial" w:cs="Arial"/>
          <w:sz w:val="26"/>
          <w:szCs w:val="26"/>
          <w:lang w:eastAsia="en-US"/>
        </w:rPr>
      </w:pPr>
    </w:p>
    <w:p w14:paraId="5264E5FC" w14:textId="77777777" w:rsidR="00A05B40" w:rsidRDefault="00A05B40" w:rsidP="004D0275">
      <w:pPr>
        <w:tabs>
          <w:tab w:val="left" w:pos="1680"/>
          <w:tab w:val="center" w:pos="4277"/>
        </w:tabs>
        <w:spacing w:line="360" w:lineRule="auto"/>
        <w:jc w:val="center"/>
        <w:rPr>
          <w:rFonts w:ascii="Arial" w:eastAsiaTheme="minorHAnsi" w:hAnsi="Arial" w:cs="Arial"/>
          <w:sz w:val="26"/>
          <w:szCs w:val="26"/>
          <w:lang w:eastAsia="en-US"/>
        </w:rPr>
      </w:pPr>
    </w:p>
    <w:p w14:paraId="4660B1AC" w14:textId="77777777" w:rsidR="004D0275" w:rsidRDefault="004D0275" w:rsidP="004D0275">
      <w:pPr>
        <w:tabs>
          <w:tab w:val="left" w:pos="1680"/>
          <w:tab w:val="center" w:pos="4277"/>
        </w:tabs>
        <w:spacing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54F5C849" w14:textId="77777777" w:rsidR="004D0275" w:rsidRDefault="004D0275" w:rsidP="004D0275">
      <w:pPr>
        <w:tabs>
          <w:tab w:val="left" w:pos="1680"/>
          <w:tab w:val="center" w:pos="4277"/>
        </w:tabs>
        <w:spacing w:line="360" w:lineRule="auto"/>
        <w:jc w:val="center"/>
        <w:rPr>
          <w:rFonts w:ascii="Arial" w:eastAsiaTheme="minorHAnsi" w:hAnsi="Arial" w:cs="Arial"/>
          <w:sz w:val="26"/>
          <w:szCs w:val="26"/>
          <w:lang w:eastAsia="en-US"/>
        </w:rPr>
      </w:pPr>
    </w:p>
    <w:p w14:paraId="671A7F17" w14:textId="77777777" w:rsidR="004D0275" w:rsidRDefault="004D0275" w:rsidP="004D0275">
      <w:pPr>
        <w:tabs>
          <w:tab w:val="left" w:pos="1680"/>
          <w:tab w:val="center" w:pos="4277"/>
        </w:tabs>
        <w:spacing w:line="360" w:lineRule="auto"/>
        <w:jc w:val="center"/>
        <w:rPr>
          <w:rFonts w:ascii="Arial" w:eastAsiaTheme="minorHAnsi" w:hAnsi="Arial" w:cs="Arial"/>
          <w:sz w:val="26"/>
          <w:szCs w:val="26"/>
          <w:lang w:eastAsia="en-US"/>
        </w:rPr>
      </w:pPr>
    </w:p>
    <w:p w14:paraId="47651850" w14:textId="77777777" w:rsidR="00A05B40" w:rsidRDefault="00A05B40" w:rsidP="004D0275">
      <w:pPr>
        <w:tabs>
          <w:tab w:val="left" w:pos="1680"/>
          <w:tab w:val="center" w:pos="4277"/>
        </w:tabs>
        <w:spacing w:line="360" w:lineRule="auto"/>
        <w:jc w:val="center"/>
        <w:rPr>
          <w:rFonts w:ascii="Arial" w:eastAsiaTheme="minorHAnsi" w:hAnsi="Arial" w:cs="Arial"/>
          <w:sz w:val="26"/>
          <w:szCs w:val="26"/>
          <w:lang w:eastAsia="en-US"/>
        </w:rPr>
      </w:pPr>
    </w:p>
    <w:p w14:paraId="0C62969F" w14:textId="77777777" w:rsidR="00A05B40" w:rsidRDefault="00A05B40" w:rsidP="004D0275">
      <w:pPr>
        <w:tabs>
          <w:tab w:val="left" w:pos="1680"/>
          <w:tab w:val="center" w:pos="4277"/>
        </w:tabs>
        <w:spacing w:line="360" w:lineRule="auto"/>
        <w:jc w:val="center"/>
        <w:rPr>
          <w:rFonts w:ascii="Arial" w:eastAsiaTheme="minorHAnsi" w:hAnsi="Arial" w:cs="Arial"/>
          <w:sz w:val="26"/>
          <w:szCs w:val="26"/>
          <w:lang w:eastAsia="en-US"/>
        </w:rPr>
      </w:pPr>
    </w:p>
    <w:p w14:paraId="7E8A83A5" w14:textId="77777777" w:rsidR="004D0275" w:rsidRDefault="004D0275" w:rsidP="004D0275">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22E95F88" w14:textId="77777777" w:rsidR="004D0275" w:rsidRDefault="004D0275" w:rsidP="004D0275">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SECRETARIO GENERAL DE ACUERDOS</w:t>
      </w:r>
    </w:p>
    <w:p w14:paraId="598BD61E" w14:textId="0809723D" w:rsidR="00680E4E" w:rsidRDefault="00680E4E" w:rsidP="004D0275">
      <w:pPr>
        <w:spacing w:after="0" w:line="240" w:lineRule="auto"/>
        <w:ind w:left="851" w:firstLine="142"/>
        <w:rPr>
          <w:rFonts w:ascii="Arial" w:hAnsi="Arial" w:cs="Arial"/>
          <w:sz w:val="26"/>
          <w:szCs w:val="26"/>
        </w:rPr>
      </w:pPr>
    </w:p>
    <w:sectPr w:rsidR="00680E4E" w:rsidSect="00C82CF3">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ED7DF3" w14:textId="77777777" w:rsidR="001D1A82" w:rsidRDefault="001D1A82">
      <w:pPr>
        <w:spacing w:after="0" w:line="240" w:lineRule="auto"/>
      </w:pPr>
      <w:r>
        <w:separator/>
      </w:r>
    </w:p>
  </w:endnote>
  <w:endnote w:type="continuationSeparator" w:id="0">
    <w:p w14:paraId="4C4AC402" w14:textId="77777777" w:rsidR="001D1A82" w:rsidRDefault="001D1A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NimbusSanL">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4FA648FC" w:rsidR="00C42196" w:rsidRDefault="001C2835">
    <w:pPr>
      <w:pStyle w:val="Piedepgina"/>
      <w:jc w:val="center"/>
    </w:pPr>
    <w:r>
      <w:rPr>
        <w:noProof/>
      </w:rPr>
      <mc:AlternateContent>
        <mc:Choice Requires="wps">
          <w:drawing>
            <wp:anchor distT="45720" distB="45720" distL="114300" distR="114300" simplePos="0" relativeHeight="251667456" behindDoc="0" locked="0" layoutInCell="1" allowOverlap="1" wp14:anchorId="02295412" wp14:editId="15A7D705">
              <wp:simplePos x="0" y="0"/>
              <wp:positionH relativeFrom="column">
                <wp:posOffset>-1323975</wp:posOffset>
              </wp:positionH>
              <wp:positionV relativeFrom="paragraph">
                <wp:posOffset>-4961890</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5C7D3026" w14:textId="77777777" w:rsidR="001C2835" w:rsidRPr="00BB7E37" w:rsidRDefault="001C2835" w:rsidP="001C2835">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295412" id="_x0000_t202" coordsize="21600,21600" o:spt="202" path="m,l,21600r21600,l21600,xe">
              <v:stroke joinstyle="miter"/>
              <v:path gradientshapeok="t" o:connecttype="rect"/>
            </v:shapetype>
            <v:shape id="Cuadro de texto 2" o:spid="_x0000_s1026" type="#_x0000_t202" style="position:absolute;left:0;text-align:left;margin-left:-104.25pt;margin-top:-390.7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">
              <v:textbox>
                <w:txbxContent>
                  <w:p w14:paraId="5C7D3026" w14:textId="77777777" w:rsidR="001C2835" w:rsidRPr="00BB7E37" w:rsidRDefault="001C2835" w:rsidP="001C2835">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C42196" w:rsidRDefault="00C4219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8AA486" w14:textId="77777777" w:rsidR="001D1A82" w:rsidRDefault="001D1A82">
      <w:pPr>
        <w:spacing w:after="0" w:line="240" w:lineRule="auto"/>
      </w:pPr>
      <w:r>
        <w:separator/>
      </w:r>
    </w:p>
  </w:footnote>
  <w:footnote w:type="continuationSeparator" w:id="0">
    <w:p w14:paraId="74CAEE7E" w14:textId="77777777" w:rsidR="001D1A82" w:rsidRDefault="001D1A82">
      <w:pPr>
        <w:spacing w:after="0" w:line="240" w:lineRule="auto"/>
      </w:pPr>
      <w:r>
        <w:continuationSeparator/>
      </w:r>
    </w:p>
  </w:footnote>
  <w:footnote w:id="1">
    <w:p w14:paraId="4EE369F2" w14:textId="77777777" w:rsidR="00493632" w:rsidRPr="00D05320" w:rsidRDefault="00493632" w:rsidP="00493632">
      <w:pPr>
        <w:pStyle w:val="Textonotapie"/>
        <w:jc w:val="both"/>
        <w:rPr>
          <w:sz w:val="18"/>
          <w:szCs w:val="18"/>
        </w:rPr>
      </w:pPr>
      <w:r>
        <w:rPr>
          <w:rStyle w:val="Refdenotaalpie"/>
        </w:rPr>
        <w:footnoteRef/>
      </w:r>
      <w:r>
        <w:t xml:space="preserve"> </w:t>
      </w:r>
      <w:r w:rsidRPr="00D05320">
        <w:rPr>
          <w:b/>
          <w:sz w:val="18"/>
          <w:szCs w:val="18"/>
        </w:rPr>
        <w:t>Artículo 112</w:t>
      </w:r>
      <w:r w:rsidRPr="00D05320">
        <w:rPr>
          <w:sz w:val="18"/>
          <w:szCs w:val="18"/>
        </w:rPr>
        <w:t>.- La primera notificación personal se hará de conformidad con las normas siguientes:</w:t>
      </w:r>
    </w:p>
    <w:p w14:paraId="05645830" w14:textId="77777777" w:rsidR="00493632" w:rsidRDefault="00493632" w:rsidP="00493632">
      <w:pPr>
        <w:pStyle w:val="Textonotapie"/>
        <w:jc w:val="both"/>
        <w:rPr>
          <w:sz w:val="18"/>
          <w:szCs w:val="18"/>
        </w:rPr>
      </w:pPr>
      <w:r w:rsidRPr="00D05320">
        <w:rPr>
          <w:b/>
          <w:sz w:val="18"/>
          <w:szCs w:val="18"/>
        </w:rPr>
        <w:t>IV.</w:t>
      </w:r>
      <w:r w:rsidRPr="00D05320">
        <w:rPr>
          <w:sz w:val="18"/>
          <w:szCs w:val="18"/>
        </w:rPr>
        <w:t>- Si no está presente el interesado o el representante legal, se le dejará citatorio para que lo espere en hora fija dentro de las veinticuatro horas siguientes y agregará copia del mismo a los autos;</w:t>
      </w:r>
    </w:p>
    <w:p w14:paraId="7597DE42" w14:textId="77777777" w:rsidR="00493632" w:rsidRPr="00D05320" w:rsidRDefault="00493632" w:rsidP="00493632">
      <w:pPr>
        <w:pStyle w:val="Textonotapie"/>
        <w:jc w:val="both"/>
        <w:rPr>
          <w:sz w:val="18"/>
          <w:szCs w:val="18"/>
        </w:rPr>
      </w:pPr>
      <w:r w:rsidRPr="00D05320">
        <w:rPr>
          <w:b/>
          <w:sz w:val="18"/>
          <w:szCs w:val="18"/>
        </w:rPr>
        <w:t>V</w:t>
      </w:r>
      <w:r w:rsidRPr="00D05320">
        <w:rPr>
          <w:sz w:val="18"/>
          <w:szCs w:val="18"/>
        </w:rPr>
        <w:t>.- Si no obstante el citatorio, el interesado o el representante legal no esperan al Ejecutor, la notificación se hará por medio de cédula a cualquier persona que viva o trabaje en la casa o local señalado, debiendo asentarse esta circunstancia, y el nombre de dicha persona;</w:t>
      </w:r>
    </w:p>
  </w:footnote>
  <w:footnote w:id="2">
    <w:p w14:paraId="4AEC22C3" w14:textId="4200317E" w:rsidR="00224A7C" w:rsidRDefault="00224A7C" w:rsidP="00680733">
      <w:pPr>
        <w:pStyle w:val="Textonotapie"/>
        <w:jc w:val="both"/>
      </w:pPr>
      <w:r w:rsidRPr="00680733">
        <w:rPr>
          <w:rStyle w:val="Refdenotaalpie"/>
          <w:b/>
        </w:rPr>
        <w:footnoteRef/>
      </w:r>
      <w:r w:rsidRPr="00680733">
        <w:rPr>
          <w:b/>
        </w:rPr>
        <w:t xml:space="preserve"> Artículo 1.</w:t>
      </w:r>
      <w:r>
        <w:t xml:space="preserve"> Las disposiciones de este ordenamiento son de observancia general y tienen por objeto reglamentar y organizar el funcionamiento de la Secretaría de la Contraloría y Transparencia Gubernamental del Poder Ejecutivo del Estado de Oaxaca, así como las atribuciones de sus áreas administrativas.</w:t>
      </w:r>
    </w:p>
    <w:p w14:paraId="77FF7987" w14:textId="5CFBA87B" w:rsidR="00224A7C" w:rsidRDefault="00224A7C" w:rsidP="00680733">
      <w:pPr>
        <w:pStyle w:val="Textonotapie"/>
        <w:jc w:val="both"/>
      </w:pPr>
      <w:r w:rsidRPr="00680733">
        <w:rPr>
          <w:b/>
        </w:rPr>
        <w:t>Artículo 2.</w:t>
      </w:r>
      <w:r>
        <w:t xml:space="preserve"> La Secretaría de la Contraloría y Transparencia Gubernamental tiene a su cargo el desempeño de las atribuciones que expresamente le encomienda la Constitución Política del Estado Libre y Soberano de Oaxaca, la Ley Orgánica del Poder Ejecutivo del Estado de Oaxaca y demás disposiciones normativas aplicables, para el correcto despacho de los asuntos de su competencia</w:t>
      </w:r>
    </w:p>
  </w:footnote>
  <w:footnote w:id="3">
    <w:p w14:paraId="5E074BDF" w14:textId="0626FD1C" w:rsidR="00224A7C" w:rsidRDefault="00224A7C" w:rsidP="00680733">
      <w:pPr>
        <w:pStyle w:val="Textonotapie"/>
        <w:jc w:val="both"/>
      </w:pPr>
      <w:r>
        <w:rPr>
          <w:rStyle w:val="Refdenotaalpie"/>
        </w:rPr>
        <w:footnoteRef/>
      </w:r>
      <w:r>
        <w:t xml:space="preserve"> </w:t>
      </w:r>
    </w:p>
  </w:footnote>
  <w:footnote w:id="4">
    <w:p w14:paraId="7C8B4D14" w14:textId="782720C8" w:rsidR="00224A7C" w:rsidRDefault="00224A7C" w:rsidP="00680733">
      <w:pPr>
        <w:pStyle w:val="Textonotapie"/>
        <w:jc w:val="both"/>
      </w:pPr>
      <w:r w:rsidRPr="00680733">
        <w:rPr>
          <w:rStyle w:val="Refdenotaalpie"/>
          <w:b/>
        </w:rPr>
        <w:footnoteRef/>
      </w:r>
      <w:r w:rsidRPr="00680733">
        <w:rPr>
          <w:b/>
        </w:rPr>
        <w:t xml:space="preserve"> Artículo</w:t>
      </w:r>
      <w:r>
        <w:t xml:space="preserve"> 5. Para el ejercicio de las atribuciones y el despacho de los asuntos que le competen, la Secretaría contará con las áreas administrativas siguientes:</w:t>
      </w:r>
    </w:p>
    <w:p w14:paraId="1021889A" w14:textId="295F77D0" w:rsidR="00224A7C" w:rsidRDefault="00224A7C" w:rsidP="00680733">
      <w:pPr>
        <w:pStyle w:val="Textonotapie"/>
        <w:jc w:val="both"/>
      </w:pPr>
      <w:r w:rsidRPr="00680733">
        <w:rPr>
          <w:b/>
        </w:rPr>
        <w:t>1.2</w:t>
      </w:r>
      <w:r w:rsidR="00680733">
        <w:t>.</w:t>
      </w:r>
      <w:r>
        <w:t>Subsecretaría de Responsabilidades y Transparencia</w:t>
      </w:r>
    </w:p>
    <w:p w14:paraId="754F90D6" w14:textId="078EA4D7" w:rsidR="00224A7C" w:rsidRDefault="00224A7C" w:rsidP="00680733">
      <w:pPr>
        <w:pStyle w:val="Textonotapie"/>
        <w:jc w:val="both"/>
      </w:pPr>
      <w:r w:rsidRPr="00680733">
        <w:rPr>
          <w:b/>
        </w:rPr>
        <w:t>1.2.1</w:t>
      </w:r>
      <w:r>
        <w:t>. Dirección de Responsabilidades y Situación Patrimonial</w:t>
      </w:r>
    </w:p>
    <w:p w14:paraId="06567DB6" w14:textId="63159037" w:rsidR="00224A7C" w:rsidRDefault="00224A7C" w:rsidP="00680733">
      <w:pPr>
        <w:pStyle w:val="Textonotapie"/>
        <w:jc w:val="both"/>
      </w:pPr>
      <w:r w:rsidRPr="00680733">
        <w:rPr>
          <w:b/>
        </w:rPr>
        <w:t>1.2.1.5</w:t>
      </w:r>
      <w:r>
        <w:t xml:space="preserve"> Depar</w:t>
      </w:r>
      <w:r w:rsidR="00680733">
        <w:t>tamen</w:t>
      </w:r>
      <w:r>
        <w:t>to de Responsabilidades</w:t>
      </w:r>
    </w:p>
  </w:footnote>
  <w:footnote w:id="5">
    <w:p w14:paraId="3ADF7091" w14:textId="2836082E" w:rsidR="00680733" w:rsidRDefault="00680733" w:rsidP="00680733">
      <w:pPr>
        <w:pStyle w:val="Textonotapie"/>
        <w:jc w:val="both"/>
      </w:pPr>
      <w:r>
        <w:rPr>
          <w:rStyle w:val="Refdenotaalpie"/>
        </w:rPr>
        <w:footnoteRef/>
      </w:r>
      <w:r>
        <w:t xml:space="preserve"> </w:t>
      </w:r>
      <w:r w:rsidRPr="00BE1FF8">
        <w:rPr>
          <w:b/>
        </w:rPr>
        <w:t>Artículo 40.</w:t>
      </w:r>
      <w:r>
        <w:t xml:space="preserve"> Al frente de los Departamentos de Responsabilidades Administrativas "A" y “B" habrá Jefes de Departamento, quienes dependerán directamente del Director de Responsabilidades y Situación Patrimonial, y tendrán las siguientes facultades:</w:t>
      </w:r>
    </w:p>
    <w:p w14:paraId="3BE49791" w14:textId="789EAB3D" w:rsidR="00680733" w:rsidRDefault="00680733" w:rsidP="00680733">
      <w:pPr>
        <w:pStyle w:val="Textonotapie"/>
        <w:jc w:val="both"/>
      </w:pPr>
      <w:r>
        <w:t>X. Participar en la implementación de los proyectos de resolución de los procedimientos de responsabilidad administrativa correspondientes, autorizados por el Director, y</w:t>
      </w:r>
    </w:p>
  </w:footnote>
  <w:footnote w:id="6">
    <w:p w14:paraId="6902EB1F" w14:textId="3F446EBF" w:rsidR="00BE1FF8" w:rsidRDefault="00BE1FF8" w:rsidP="00BE1FF8">
      <w:pPr>
        <w:spacing w:after="0" w:line="240" w:lineRule="auto"/>
        <w:ind w:right="49"/>
        <w:jc w:val="both"/>
      </w:pPr>
      <w:r w:rsidRPr="00BE1FF8">
        <w:rPr>
          <w:rStyle w:val="Refdenotaalpie"/>
          <w:rFonts w:cstheme="minorHAnsi"/>
          <w:sz w:val="20"/>
          <w:szCs w:val="20"/>
        </w:rPr>
        <w:footnoteRef/>
      </w:r>
      <w:r w:rsidRPr="00BE1FF8">
        <w:rPr>
          <w:rFonts w:cstheme="minorHAnsi"/>
          <w:sz w:val="20"/>
          <w:szCs w:val="20"/>
        </w:rPr>
        <w:t xml:space="preserve"> </w:t>
      </w:r>
      <w:r w:rsidRPr="00BE1FF8">
        <w:rPr>
          <w:rFonts w:cstheme="minorHAnsi"/>
          <w:b/>
          <w:bCs/>
          <w:iCs/>
          <w:sz w:val="20"/>
          <w:szCs w:val="20"/>
        </w:rPr>
        <w:t>TERCERO.</w:t>
      </w:r>
      <w:r w:rsidRPr="00BE1FF8">
        <w:rPr>
          <w:rFonts w:cstheme="minorHAnsi"/>
          <w:iCs/>
          <w:sz w:val="20"/>
          <w:szCs w:val="20"/>
        </w:rPr>
        <w:t xml:space="preserve"> Los asuntos que a la entrada en vigor del presente Reglamento se encuentren en trámite ante las áreas administrativas y/o Departamentos de la Secretaría, que modifiquen su denominación o facultades en virtud de la entrada en vigor de este Reglamento, serán atendidos y resueltos por las áreas administrativas a los que se les otorgue la competencia correspondiente en este instrumento, conforme a la normatividad aplicable respecto al procedimiento iniciado con antelación.</w:t>
      </w:r>
    </w:p>
  </w:footnote>
  <w:footnote w:id="7">
    <w:p w14:paraId="37A39B49" w14:textId="4C112D96" w:rsidR="00BE1FF8" w:rsidRPr="00BE1FF8" w:rsidRDefault="00BE1FF8" w:rsidP="00BE1FF8">
      <w:pPr>
        <w:pStyle w:val="Textonotapie"/>
        <w:jc w:val="both"/>
        <w:rPr>
          <w:rFonts w:cstheme="minorHAnsi"/>
        </w:rPr>
      </w:pPr>
      <w:r w:rsidRPr="00BE1FF8">
        <w:rPr>
          <w:rStyle w:val="Refdenotaalpie"/>
        </w:rPr>
        <w:footnoteRef/>
      </w:r>
      <w:r w:rsidRPr="00BE1FF8">
        <w:rPr>
          <w:rFonts w:cstheme="minorHAnsi"/>
          <w:b/>
          <w:bCs/>
          <w:iCs/>
        </w:rPr>
        <w:t>SEXTO.</w:t>
      </w:r>
      <w:r w:rsidRPr="00BE1FF8">
        <w:rPr>
          <w:rFonts w:cstheme="minorHAnsi"/>
          <w:iCs/>
        </w:rPr>
        <w:t xml:space="preserve"> Los procedimientos administrativos iniciados por la Dirección de Responsabilidades y Situación Patrimonial con anterioridad a la entrada en vigor de la Ley de Responsabilidades Administrativas de los Servidores Públicos del Estado y Municipios de Oaxaca serán concluidos conforme a las disp</w:t>
      </w:r>
      <w:r>
        <w:rPr>
          <w:rFonts w:cstheme="minorHAnsi"/>
          <w:iCs/>
        </w:rPr>
        <w:t>osiciones vigentes a su inicio.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C42196" w:rsidRDefault="001D1A82">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1"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C42196">
          <w:fldChar w:fldCharType="begin"/>
        </w:r>
        <w:r w:rsidR="00C42196">
          <w:instrText>PAGE   \* MERGEFORMAT</w:instrText>
        </w:r>
        <w:r w:rsidR="00C42196">
          <w:fldChar w:fldCharType="separate"/>
        </w:r>
        <w:r w:rsidR="001C2835" w:rsidRPr="001C2835">
          <w:rPr>
            <w:noProof/>
            <w:lang w:val="es-ES"/>
          </w:rPr>
          <w:t>20</w:t>
        </w:r>
        <w:r w:rsidR="00C42196">
          <w:fldChar w:fldCharType="end"/>
        </w:r>
      </w:p>
    </w:sdtContent>
  </w:sdt>
  <w:p w14:paraId="0E68208C" w14:textId="77777777" w:rsidR="00C42196" w:rsidRDefault="00C4219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C42196" w:rsidRDefault="001D1A82">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0"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C42196">
          <w:fldChar w:fldCharType="begin"/>
        </w:r>
        <w:r w:rsidR="00C42196">
          <w:instrText>PAGE   \* MERGEFORMAT</w:instrText>
        </w:r>
        <w:r w:rsidR="00C42196">
          <w:fldChar w:fldCharType="separate"/>
        </w:r>
        <w:r w:rsidR="001C2835" w:rsidRPr="001C2835">
          <w:rPr>
            <w:noProof/>
            <w:lang w:val="es-ES"/>
          </w:rPr>
          <w:t>19</w:t>
        </w:r>
        <w:r w:rsidR="00C42196">
          <w:fldChar w:fldCharType="end"/>
        </w:r>
      </w:sdtContent>
    </w:sdt>
  </w:p>
  <w:p w14:paraId="51E22156" w14:textId="06F71326" w:rsidR="00C42196" w:rsidRDefault="00C42196"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57922CED">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39152EDF"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C42196" w:rsidRDefault="001D1A82">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34350C7"/>
    <w:multiLevelType w:val="hybridMultilevel"/>
    <w:tmpl w:val="F738C79A"/>
    <w:lvl w:ilvl="0" w:tplc="22A8CDC0">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5">
    <w:nsid w:val="115C2085"/>
    <w:multiLevelType w:val="hybridMultilevel"/>
    <w:tmpl w:val="0E8A09F0"/>
    <w:lvl w:ilvl="0" w:tplc="0CF2152E">
      <w:start w:val="1"/>
      <w:numFmt w:val="bullet"/>
      <w:lvlText w:val="-"/>
      <w:lvlJc w:val="left"/>
      <w:pPr>
        <w:ind w:left="1068" w:hanging="360"/>
      </w:pPr>
      <w:rPr>
        <w:rFonts w:ascii="Arial" w:eastAsiaTheme="minorEastAsia"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6">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7">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9">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1">
    <w:nsid w:val="1E0600E8"/>
    <w:multiLevelType w:val="hybridMultilevel"/>
    <w:tmpl w:val="A67ED446"/>
    <w:lvl w:ilvl="0" w:tplc="8E40A92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320A6E6B"/>
    <w:multiLevelType w:val="multilevel"/>
    <w:tmpl w:val="C04A8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45C5B3A"/>
    <w:multiLevelType w:val="hybridMultilevel"/>
    <w:tmpl w:val="1E46E506"/>
    <w:lvl w:ilvl="0" w:tplc="ABAED16E">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35147BBE"/>
    <w:multiLevelType w:val="hybridMultilevel"/>
    <w:tmpl w:val="B65463E6"/>
    <w:lvl w:ilvl="0" w:tplc="DC7C37BC">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7">
    <w:nsid w:val="4402324E"/>
    <w:multiLevelType w:val="hybridMultilevel"/>
    <w:tmpl w:val="923CAAFE"/>
    <w:lvl w:ilvl="0" w:tplc="24425F62">
      <w:start w:val="1"/>
      <w:numFmt w:val="decimal"/>
      <w:lvlText w:val="%1)"/>
      <w:lvlJc w:val="left"/>
      <w:pPr>
        <w:ind w:left="1778" w:hanging="360"/>
      </w:pPr>
      <w:rPr>
        <w:rFonts w:hint="default"/>
      </w:rPr>
    </w:lvl>
    <w:lvl w:ilvl="1" w:tplc="080A0019" w:tentative="1">
      <w:start w:val="1"/>
      <w:numFmt w:val="lowerLetter"/>
      <w:lvlText w:val="%2."/>
      <w:lvlJc w:val="left"/>
      <w:pPr>
        <w:ind w:left="2498" w:hanging="360"/>
      </w:pPr>
    </w:lvl>
    <w:lvl w:ilvl="2" w:tplc="080A001B" w:tentative="1">
      <w:start w:val="1"/>
      <w:numFmt w:val="lowerRoman"/>
      <w:lvlText w:val="%3."/>
      <w:lvlJc w:val="right"/>
      <w:pPr>
        <w:ind w:left="3218" w:hanging="180"/>
      </w:pPr>
    </w:lvl>
    <w:lvl w:ilvl="3" w:tplc="080A000F" w:tentative="1">
      <w:start w:val="1"/>
      <w:numFmt w:val="decimal"/>
      <w:lvlText w:val="%4."/>
      <w:lvlJc w:val="left"/>
      <w:pPr>
        <w:ind w:left="3938" w:hanging="360"/>
      </w:pPr>
    </w:lvl>
    <w:lvl w:ilvl="4" w:tplc="080A0019" w:tentative="1">
      <w:start w:val="1"/>
      <w:numFmt w:val="lowerLetter"/>
      <w:lvlText w:val="%5."/>
      <w:lvlJc w:val="left"/>
      <w:pPr>
        <w:ind w:left="4658" w:hanging="360"/>
      </w:pPr>
    </w:lvl>
    <w:lvl w:ilvl="5" w:tplc="080A001B" w:tentative="1">
      <w:start w:val="1"/>
      <w:numFmt w:val="lowerRoman"/>
      <w:lvlText w:val="%6."/>
      <w:lvlJc w:val="right"/>
      <w:pPr>
        <w:ind w:left="5378" w:hanging="180"/>
      </w:pPr>
    </w:lvl>
    <w:lvl w:ilvl="6" w:tplc="080A000F" w:tentative="1">
      <w:start w:val="1"/>
      <w:numFmt w:val="decimal"/>
      <w:lvlText w:val="%7."/>
      <w:lvlJc w:val="left"/>
      <w:pPr>
        <w:ind w:left="6098" w:hanging="360"/>
      </w:pPr>
    </w:lvl>
    <w:lvl w:ilvl="7" w:tplc="080A0019" w:tentative="1">
      <w:start w:val="1"/>
      <w:numFmt w:val="lowerLetter"/>
      <w:lvlText w:val="%8."/>
      <w:lvlJc w:val="left"/>
      <w:pPr>
        <w:ind w:left="6818" w:hanging="360"/>
      </w:pPr>
    </w:lvl>
    <w:lvl w:ilvl="8" w:tplc="080A001B" w:tentative="1">
      <w:start w:val="1"/>
      <w:numFmt w:val="lowerRoman"/>
      <w:lvlText w:val="%9."/>
      <w:lvlJc w:val="right"/>
      <w:pPr>
        <w:ind w:left="7538" w:hanging="180"/>
      </w:pPr>
    </w:lvl>
  </w:abstractNum>
  <w:abstractNum w:abstractNumId="1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20">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2"/>
  </w:num>
  <w:num w:numId="2">
    <w:abstractNumId w:val="7"/>
  </w:num>
  <w:num w:numId="3">
    <w:abstractNumId w:val="3"/>
  </w:num>
  <w:num w:numId="4">
    <w:abstractNumId w:val="18"/>
  </w:num>
  <w:num w:numId="5">
    <w:abstractNumId w:val="21"/>
  </w:num>
  <w:num w:numId="6">
    <w:abstractNumId w:val="12"/>
  </w:num>
  <w:num w:numId="7">
    <w:abstractNumId w:val="10"/>
  </w:num>
  <w:num w:numId="8">
    <w:abstractNumId w:val="6"/>
  </w:num>
  <w:num w:numId="9">
    <w:abstractNumId w:val="9"/>
  </w:num>
  <w:num w:numId="10">
    <w:abstractNumId w:val="16"/>
  </w:num>
  <w:num w:numId="11">
    <w:abstractNumId w:val="19"/>
  </w:num>
  <w:num w:numId="12">
    <w:abstractNumId w:val="4"/>
  </w:num>
  <w:num w:numId="13">
    <w:abstractNumId w:val="8"/>
  </w:num>
  <w:num w:numId="14">
    <w:abstractNumId w:val="0"/>
  </w:num>
  <w:num w:numId="15">
    <w:abstractNumId w:val="20"/>
  </w:num>
  <w:num w:numId="16">
    <w:abstractNumId w:val="1"/>
  </w:num>
  <w:num w:numId="17">
    <w:abstractNumId w:val="2"/>
  </w:num>
  <w:num w:numId="18">
    <w:abstractNumId w:val="15"/>
  </w:num>
  <w:num w:numId="19">
    <w:abstractNumId w:val="11"/>
  </w:num>
  <w:num w:numId="20">
    <w:abstractNumId w:val="14"/>
  </w:num>
  <w:num w:numId="21">
    <w:abstractNumId w:val="17"/>
  </w:num>
  <w:num w:numId="22">
    <w:abstractNumId w:val="5"/>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8E5"/>
    <w:rsid w:val="00000935"/>
    <w:rsid w:val="00000AF2"/>
    <w:rsid w:val="00000BFF"/>
    <w:rsid w:val="00000EAB"/>
    <w:rsid w:val="00000FD3"/>
    <w:rsid w:val="0000187B"/>
    <w:rsid w:val="00001CDC"/>
    <w:rsid w:val="00001FA6"/>
    <w:rsid w:val="0000259B"/>
    <w:rsid w:val="00002B85"/>
    <w:rsid w:val="00003303"/>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D13"/>
    <w:rsid w:val="00014F98"/>
    <w:rsid w:val="0001695E"/>
    <w:rsid w:val="00016C0B"/>
    <w:rsid w:val="00016E88"/>
    <w:rsid w:val="000172AD"/>
    <w:rsid w:val="000174F5"/>
    <w:rsid w:val="000201A4"/>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18F4"/>
    <w:rsid w:val="00031F8E"/>
    <w:rsid w:val="000324B9"/>
    <w:rsid w:val="000329BA"/>
    <w:rsid w:val="00032D83"/>
    <w:rsid w:val="000330FB"/>
    <w:rsid w:val="000338EE"/>
    <w:rsid w:val="00034F3F"/>
    <w:rsid w:val="00035ED9"/>
    <w:rsid w:val="0003629C"/>
    <w:rsid w:val="00036809"/>
    <w:rsid w:val="00036823"/>
    <w:rsid w:val="000369AF"/>
    <w:rsid w:val="00037279"/>
    <w:rsid w:val="00037443"/>
    <w:rsid w:val="00037843"/>
    <w:rsid w:val="00037C6A"/>
    <w:rsid w:val="00040C69"/>
    <w:rsid w:val="000419E9"/>
    <w:rsid w:val="00041AFF"/>
    <w:rsid w:val="00041EAA"/>
    <w:rsid w:val="00042473"/>
    <w:rsid w:val="00043077"/>
    <w:rsid w:val="000436B4"/>
    <w:rsid w:val="000441B5"/>
    <w:rsid w:val="00044C5F"/>
    <w:rsid w:val="000450F5"/>
    <w:rsid w:val="0004577C"/>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759"/>
    <w:rsid w:val="00064906"/>
    <w:rsid w:val="00064FD9"/>
    <w:rsid w:val="00067246"/>
    <w:rsid w:val="00067B5A"/>
    <w:rsid w:val="00070777"/>
    <w:rsid w:val="00070AA4"/>
    <w:rsid w:val="000715F1"/>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1E50"/>
    <w:rsid w:val="00083375"/>
    <w:rsid w:val="0008342F"/>
    <w:rsid w:val="00084B22"/>
    <w:rsid w:val="00085132"/>
    <w:rsid w:val="0008514D"/>
    <w:rsid w:val="00085F74"/>
    <w:rsid w:val="00087470"/>
    <w:rsid w:val="000875DB"/>
    <w:rsid w:val="00087E08"/>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97562"/>
    <w:rsid w:val="000A084D"/>
    <w:rsid w:val="000A0E5E"/>
    <w:rsid w:val="000A0F79"/>
    <w:rsid w:val="000A12C0"/>
    <w:rsid w:val="000A1491"/>
    <w:rsid w:val="000A17DF"/>
    <w:rsid w:val="000A200A"/>
    <w:rsid w:val="000A2550"/>
    <w:rsid w:val="000A27AC"/>
    <w:rsid w:val="000A306C"/>
    <w:rsid w:val="000A335C"/>
    <w:rsid w:val="000A33D9"/>
    <w:rsid w:val="000A33F5"/>
    <w:rsid w:val="000A3D89"/>
    <w:rsid w:val="000A468C"/>
    <w:rsid w:val="000A5540"/>
    <w:rsid w:val="000A578F"/>
    <w:rsid w:val="000A58B5"/>
    <w:rsid w:val="000A5D36"/>
    <w:rsid w:val="000A5FA8"/>
    <w:rsid w:val="000A6C87"/>
    <w:rsid w:val="000B0351"/>
    <w:rsid w:val="000B03B9"/>
    <w:rsid w:val="000B0431"/>
    <w:rsid w:val="000B1650"/>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211"/>
    <w:rsid w:val="000B77B4"/>
    <w:rsid w:val="000B7A3A"/>
    <w:rsid w:val="000C02A9"/>
    <w:rsid w:val="000C0569"/>
    <w:rsid w:val="000C1E6B"/>
    <w:rsid w:val="000C238B"/>
    <w:rsid w:val="000C2764"/>
    <w:rsid w:val="000C3DC9"/>
    <w:rsid w:val="000C4139"/>
    <w:rsid w:val="000C47B5"/>
    <w:rsid w:val="000C5414"/>
    <w:rsid w:val="000C590D"/>
    <w:rsid w:val="000C5BCE"/>
    <w:rsid w:val="000C5DC1"/>
    <w:rsid w:val="000C6670"/>
    <w:rsid w:val="000D04BF"/>
    <w:rsid w:val="000D0AC9"/>
    <w:rsid w:val="000D153E"/>
    <w:rsid w:val="000D170C"/>
    <w:rsid w:val="000D1CF0"/>
    <w:rsid w:val="000D1E25"/>
    <w:rsid w:val="000D2A1F"/>
    <w:rsid w:val="000D3E85"/>
    <w:rsid w:val="000D42B5"/>
    <w:rsid w:val="000D4AFE"/>
    <w:rsid w:val="000D5397"/>
    <w:rsid w:val="000D558F"/>
    <w:rsid w:val="000D5746"/>
    <w:rsid w:val="000D6E87"/>
    <w:rsid w:val="000D7314"/>
    <w:rsid w:val="000D7B89"/>
    <w:rsid w:val="000D7C8C"/>
    <w:rsid w:val="000E1E0D"/>
    <w:rsid w:val="000E343A"/>
    <w:rsid w:val="000E3B3B"/>
    <w:rsid w:val="000E3FF4"/>
    <w:rsid w:val="000E40FD"/>
    <w:rsid w:val="000E4A40"/>
    <w:rsid w:val="000E4AC8"/>
    <w:rsid w:val="000E4C30"/>
    <w:rsid w:val="000E4FF8"/>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2D3E"/>
    <w:rsid w:val="00104022"/>
    <w:rsid w:val="001041F6"/>
    <w:rsid w:val="0010644A"/>
    <w:rsid w:val="0010719A"/>
    <w:rsid w:val="001108F3"/>
    <w:rsid w:val="00110B09"/>
    <w:rsid w:val="00110C32"/>
    <w:rsid w:val="00111BFC"/>
    <w:rsid w:val="00111CBB"/>
    <w:rsid w:val="0011210D"/>
    <w:rsid w:val="00112765"/>
    <w:rsid w:val="00112BF7"/>
    <w:rsid w:val="00113038"/>
    <w:rsid w:val="00113361"/>
    <w:rsid w:val="00113A46"/>
    <w:rsid w:val="00114AC5"/>
    <w:rsid w:val="001162E0"/>
    <w:rsid w:val="00116579"/>
    <w:rsid w:val="00116C7F"/>
    <w:rsid w:val="0011786C"/>
    <w:rsid w:val="00121DE8"/>
    <w:rsid w:val="00122E48"/>
    <w:rsid w:val="00122F5E"/>
    <w:rsid w:val="001237B4"/>
    <w:rsid w:val="001239B6"/>
    <w:rsid w:val="001244EC"/>
    <w:rsid w:val="00126EEE"/>
    <w:rsid w:val="00126EEF"/>
    <w:rsid w:val="00126F80"/>
    <w:rsid w:val="00127248"/>
    <w:rsid w:val="00127B1F"/>
    <w:rsid w:val="00127C05"/>
    <w:rsid w:val="00130500"/>
    <w:rsid w:val="0013065F"/>
    <w:rsid w:val="00130734"/>
    <w:rsid w:val="001312BC"/>
    <w:rsid w:val="00131562"/>
    <w:rsid w:val="00131911"/>
    <w:rsid w:val="00131CDF"/>
    <w:rsid w:val="00132391"/>
    <w:rsid w:val="001336D8"/>
    <w:rsid w:val="00133BFB"/>
    <w:rsid w:val="00133DCC"/>
    <w:rsid w:val="00134892"/>
    <w:rsid w:val="00134A68"/>
    <w:rsid w:val="00134AB5"/>
    <w:rsid w:val="00135132"/>
    <w:rsid w:val="0013555E"/>
    <w:rsid w:val="00135B0C"/>
    <w:rsid w:val="00136750"/>
    <w:rsid w:val="00136897"/>
    <w:rsid w:val="0013695E"/>
    <w:rsid w:val="00136FB8"/>
    <w:rsid w:val="0014043C"/>
    <w:rsid w:val="00140D7E"/>
    <w:rsid w:val="00141BB2"/>
    <w:rsid w:val="00142417"/>
    <w:rsid w:val="0014331F"/>
    <w:rsid w:val="00143682"/>
    <w:rsid w:val="00143B3A"/>
    <w:rsid w:val="001441D3"/>
    <w:rsid w:val="001450E2"/>
    <w:rsid w:val="001460CF"/>
    <w:rsid w:val="00146509"/>
    <w:rsid w:val="0014671A"/>
    <w:rsid w:val="00146991"/>
    <w:rsid w:val="00146A13"/>
    <w:rsid w:val="00146DCF"/>
    <w:rsid w:val="00147CCC"/>
    <w:rsid w:val="00147FEF"/>
    <w:rsid w:val="0015050B"/>
    <w:rsid w:val="00151A88"/>
    <w:rsid w:val="00152DA5"/>
    <w:rsid w:val="00152F51"/>
    <w:rsid w:val="00152FB6"/>
    <w:rsid w:val="0015351E"/>
    <w:rsid w:val="00153976"/>
    <w:rsid w:val="00153BE4"/>
    <w:rsid w:val="001542BE"/>
    <w:rsid w:val="00154490"/>
    <w:rsid w:val="00156250"/>
    <w:rsid w:val="00156F22"/>
    <w:rsid w:val="001570E1"/>
    <w:rsid w:val="00161661"/>
    <w:rsid w:val="0016171F"/>
    <w:rsid w:val="00161D8A"/>
    <w:rsid w:val="00161F6F"/>
    <w:rsid w:val="001621EF"/>
    <w:rsid w:val="00163EBF"/>
    <w:rsid w:val="00164BCE"/>
    <w:rsid w:val="001659D0"/>
    <w:rsid w:val="0016604B"/>
    <w:rsid w:val="00166A5B"/>
    <w:rsid w:val="0016700D"/>
    <w:rsid w:val="00167ADD"/>
    <w:rsid w:val="001702C6"/>
    <w:rsid w:val="001711A1"/>
    <w:rsid w:val="00172205"/>
    <w:rsid w:val="0017260E"/>
    <w:rsid w:val="001729D0"/>
    <w:rsid w:val="00172B51"/>
    <w:rsid w:val="00172C89"/>
    <w:rsid w:val="0017568D"/>
    <w:rsid w:val="0017591B"/>
    <w:rsid w:val="00175C14"/>
    <w:rsid w:val="001761CB"/>
    <w:rsid w:val="0017651E"/>
    <w:rsid w:val="001778B4"/>
    <w:rsid w:val="001779CB"/>
    <w:rsid w:val="00177B53"/>
    <w:rsid w:val="00181DB0"/>
    <w:rsid w:val="001826D0"/>
    <w:rsid w:val="0018345B"/>
    <w:rsid w:val="0018356C"/>
    <w:rsid w:val="0018358B"/>
    <w:rsid w:val="00183EE9"/>
    <w:rsid w:val="0018454F"/>
    <w:rsid w:val="001846BB"/>
    <w:rsid w:val="001854BD"/>
    <w:rsid w:val="00185DC5"/>
    <w:rsid w:val="00186701"/>
    <w:rsid w:val="00186D28"/>
    <w:rsid w:val="00186FB3"/>
    <w:rsid w:val="00186FE8"/>
    <w:rsid w:val="0018765B"/>
    <w:rsid w:val="00187830"/>
    <w:rsid w:val="00192287"/>
    <w:rsid w:val="001923AE"/>
    <w:rsid w:val="001924B2"/>
    <w:rsid w:val="00193379"/>
    <w:rsid w:val="0019343F"/>
    <w:rsid w:val="00194B7B"/>
    <w:rsid w:val="001951A3"/>
    <w:rsid w:val="00195583"/>
    <w:rsid w:val="001966BB"/>
    <w:rsid w:val="001A0745"/>
    <w:rsid w:val="001A1302"/>
    <w:rsid w:val="001A16CC"/>
    <w:rsid w:val="001A18E1"/>
    <w:rsid w:val="001A1EB3"/>
    <w:rsid w:val="001A2144"/>
    <w:rsid w:val="001A2AD2"/>
    <w:rsid w:val="001A2E1D"/>
    <w:rsid w:val="001A2FDB"/>
    <w:rsid w:val="001A3075"/>
    <w:rsid w:val="001A329E"/>
    <w:rsid w:val="001A340F"/>
    <w:rsid w:val="001A3755"/>
    <w:rsid w:val="001A4127"/>
    <w:rsid w:val="001A4A0D"/>
    <w:rsid w:val="001A4E1C"/>
    <w:rsid w:val="001A554E"/>
    <w:rsid w:val="001A6EBE"/>
    <w:rsid w:val="001A6F68"/>
    <w:rsid w:val="001A7533"/>
    <w:rsid w:val="001A77FB"/>
    <w:rsid w:val="001A7CFA"/>
    <w:rsid w:val="001B009D"/>
    <w:rsid w:val="001B035C"/>
    <w:rsid w:val="001B046F"/>
    <w:rsid w:val="001B13DB"/>
    <w:rsid w:val="001B17F6"/>
    <w:rsid w:val="001B2F9F"/>
    <w:rsid w:val="001B341D"/>
    <w:rsid w:val="001B3A10"/>
    <w:rsid w:val="001B3B5C"/>
    <w:rsid w:val="001B3CDC"/>
    <w:rsid w:val="001B4F29"/>
    <w:rsid w:val="001B6E63"/>
    <w:rsid w:val="001B7127"/>
    <w:rsid w:val="001B7EF3"/>
    <w:rsid w:val="001C0151"/>
    <w:rsid w:val="001C0C29"/>
    <w:rsid w:val="001C0C36"/>
    <w:rsid w:val="001C100F"/>
    <w:rsid w:val="001C1402"/>
    <w:rsid w:val="001C1FDF"/>
    <w:rsid w:val="001C2557"/>
    <w:rsid w:val="001C2644"/>
    <w:rsid w:val="001C2835"/>
    <w:rsid w:val="001C2B0B"/>
    <w:rsid w:val="001C2B81"/>
    <w:rsid w:val="001C36D8"/>
    <w:rsid w:val="001C39B4"/>
    <w:rsid w:val="001C3A80"/>
    <w:rsid w:val="001C421F"/>
    <w:rsid w:val="001C422B"/>
    <w:rsid w:val="001C502D"/>
    <w:rsid w:val="001C53B0"/>
    <w:rsid w:val="001C7EC3"/>
    <w:rsid w:val="001D07F6"/>
    <w:rsid w:val="001D0DCF"/>
    <w:rsid w:val="001D1A82"/>
    <w:rsid w:val="001D31A6"/>
    <w:rsid w:val="001D3B81"/>
    <w:rsid w:val="001D3E18"/>
    <w:rsid w:val="001D40CC"/>
    <w:rsid w:val="001D498D"/>
    <w:rsid w:val="001D4D61"/>
    <w:rsid w:val="001D4D8C"/>
    <w:rsid w:val="001D5282"/>
    <w:rsid w:val="001D529D"/>
    <w:rsid w:val="001D577C"/>
    <w:rsid w:val="001D63EB"/>
    <w:rsid w:val="001D694C"/>
    <w:rsid w:val="001D754A"/>
    <w:rsid w:val="001E288A"/>
    <w:rsid w:val="001E2A02"/>
    <w:rsid w:val="001E2B84"/>
    <w:rsid w:val="001E338B"/>
    <w:rsid w:val="001E3B11"/>
    <w:rsid w:val="001E4893"/>
    <w:rsid w:val="001E4C02"/>
    <w:rsid w:val="001E5309"/>
    <w:rsid w:val="001E593B"/>
    <w:rsid w:val="001E65E8"/>
    <w:rsid w:val="001E6AE5"/>
    <w:rsid w:val="001E6B5F"/>
    <w:rsid w:val="001E7020"/>
    <w:rsid w:val="001E71FD"/>
    <w:rsid w:val="001E77A9"/>
    <w:rsid w:val="001E7A93"/>
    <w:rsid w:val="001E7BD1"/>
    <w:rsid w:val="001F0FBC"/>
    <w:rsid w:val="001F2154"/>
    <w:rsid w:val="001F287C"/>
    <w:rsid w:val="001F2D73"/>
    <w:rsid w:val="001F4C86"/>
    <w:rsid w:val="001F504E"/>
    <w:rsid w:val="001F5050"/>
    <w:rsid w:val="001F5F15"/>
    <w:rsid w:val="001F625A"/>
    <w:rsid w:val="001F6B28"/>
    <w:rsid w:val="001F6C56"/>
    <w:rsid w:val="001F72DF"/>
    <w:rsid w:val="001F77D0"/>
    <w:rsid w:val="002010A9"/>
    <w:rsid w:val="00201769"/>
    <w:rsid w:val="0020247E"/>
    <w:rsid w:val="002025FD"/>
    <w:rsid w:val="002038E9"/>
    <w:rsid w:val="00203FD3"/>
    <w:rsid w:val="00204D20"/>
    <w:rsid w:val="00205A55"/>
    <w:rsid w:val="00206222"/>
    <w:rsid w:val="0020694D"/>
    <w:rsid w:val="00206B99"/>
    <w:rsid w:val="002073D2"/>
    <w:rsid w:val="002078AA"/>
    <w:rsid w:val="00207CEA"/>
    <w:rsid w:val="00210261"/>
    <w:rsid w:val="0021074F"/>
    <w:rsid w:val="002111AC"/>
    <w:rsid w:val="002117CF"/>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4A7C"/>
    <w:rsid w:val="00225069"/>
    <w:rsid w:val="002253FF"/>
    <w:rsid w:val="002256A3"/>
    <w:rsid w:val="00227445"/>
    <w:rsid w:val="00227471"/>
    <w:rsid w:val="00230D10"/>
    <w:rsid w:val="00231036"/>
    <w:rsid w:val="00232A92"/>
    <w:rsid w:val="00232D7F"/>
    <w:rsid w:val="00233C2B"/>
    <w:rsid w:val="00234097"/>
    <w:rsid w:val="0023417B"/>
    <w:rsid w:val="002350A1"/>
    <w:rsid w:val="002369EA"/>
    <w:rsid w:val="002371FF"/>
    <w:rsid w:val="00237985"/>
    <w:rsid w:val="00237D5A"/>
    <w:rsid w:val="00237DC2"/>
    <w:rsid w:val="00240A4A"/>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1BCC"/>
    <w:rsid w:val="00252528"/>
    <w:rsid w:val="002530F3"/>
    <w:rsid w:val="00253130"/>
    <w:rsid w:val="00253A1C"/>
    <w:rsid w:val="002541B3"/>
    <w:rsid w:val="00254C10"/>
    <w:rsid w:val="00256761"/>
    <w:rsid w:val="00256B3C"/>
    <w:rsid w:val="00256E7D"/>
    <w:rsid w:val="00256F27"/>
    <w:rsid w:val="00257816"/>
    <w:rsid w:val="00257C5E"/>
    <w:rsid w:val="00260433"/>
    <w:rsid w:val="0026116F"/>
    <w:rsid w:val="002617F9"/>
    <w:rsid w:val="00261993"/>
    <w:rsid w:val="00261D68"/>
    <w:rsid w:val="00262666"/>
    <w:rsid w:val="00262D7C"/>
    <w:rsid w:val="00263720"/>
    <w:rsid w:val="00265161"/>
    <w:rsid w:val="00265F1B"/>
    <w:rsid w:val="002665A2"/>
    <w:rsid w:val="00267221"/>
    <w:rsid w:val="00270087"/>
    <w:rsid w:val="00270831"/>
    <w:rsid w:val="0027275E"/>
    <w:rsid w:val="00272A7D"/>
    <w:rsid w:val="00273171"/>
    <w:rsid w:val="002745BF"/>
    <w:rsid w:val="002745CD"/>
    <w:rsid w:val="002748AA"/>
    <w:rsid w:val="00275418"/>
    <w:rsid w:val="0027592D"/>
    <w:rsid w:val="0028033E"/>
    <w:rsid w:val="002805AC"/>
    <w:rsid w:val="00280919"/>
    <w:rsid w:val="00281661"/>
    <w:rsid w:val="00282C81"/>
    <w:rsid w:val="002830D9"/>
    <w:rsid w:val="00283B3F"/>
    <w:rsid w:val="002841EE"/>
    <w:rsid w:val="002844AF"/>
    <w:rsid w:val="00284891"/>
    <w:rsid w:val="002856E9"/>
    <w:rsid w:val="00285B3A"/>
    <w:rsid w:val="00285C95"/>
    <w:rsid w:val="00286C13"/>
    <w:rsid w:val="00286D80"/>
    <w:rsid w:val="00287888"/>
    <w:rsid w:val="00291333"/>
    <w:rsid w:val="00291341"/>
    <w:rsid w:val="002926B1"/>
    <w:rsid w:val="00292CA5"/>
    <w:rsid w:val="002937DD"/>
    <w:rsid w:val="00293B1D"/>
    <w:rsid w:val="00293E41"/>
    <w:rsid w:val="00295212"/>
    <w:rsid w:val="00296748"/>
    <w:rsid w:val="0029713B"/>
    <w:rsid w:val="00297709"/>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5C4"/>
    <w:rsid w:val="002B2706"/>
    <w:rsid w:val="002B3BA3"/>
    <w:rsid w:val="002B4040"/>
    <w:rsid w:val="002B5C09"/>
    <w:rsid w:val="002B5C82"/>
    <w:rsid w:val="002B62B3"/>
    <w:rsid w:val="002B6893"/>
    <w:rsid w:val="002B6B9D"/>
    <w:rsid w:val="002B6C19"/>
    <w:rsid w:val="002B6D0D"/>
    <w:rsid w:val="002B79C4"/>
    <w:rsid w:val="002B7C1B"/>
    <w:rsid w:val="002C01BF"/>
    <w:rsid w:val="002C06FE"/>
    <w:rsid w:val="002C0988"/>
    <w:rsid w:val="002C0FDA"/>
    <w:rsid w:val="002C2259"/>
    <w:rsid w:val="002C3470"/>
    <w:rsid w:val="002C348A"/>
    <w:rsid w:val="002C3FD4"/>
    <w:rsid w:val="002C41D3"/>
    <w:rsid w:val="002C4419"/>
    <w:rsid w:val="002C4824"/>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7C8"/>
    <w:rsid w:val="002D4B99"/>
    <w:rsid w:val="002D6E4D"/>
    <w:rsid w:val="002D724E"/>
    <w:rsid w:val="002D7BA0"/>
    <w:rsid w:val="002E1666"/>
    <w:rsid w:val="002E1967"/>
    <w:rsid w:val="002E2D79"/>
    <w:rsid w:val="002E3358"/>
    <w:rsid w:val="002E3511"/>
    <w:rsid w:val="002E3777"/>
    <w:rsid w:val="002E3B43"/>
    <w:rsid w:val="002E3D1C"/>
    <w:rsid w:val="002E4E42"/>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56A"/>
    <w:rsid w:val="003056B2"/>
    <w:rsid w:val="00305D48"/>
    <w:rsid w:val="00306940"/>
    <w:rsid w:val="00307353"/>
    <w:rsid w:val="00307E06"/>
    <w:rsid w:val="00310588"/>
    <w:rsid w:val="0031096E"/>
    <w:rsid w:val="00311560"/>
    <w:rsid w:val="00311708"/>
    <w:rsid w:val="00311BB1"/>
    <w:rsid w:val="00312470"/>
    <w:rsid w:val="0031285C"/>
    <w:rsid w:val="00313A44"/>
    <w:rsid w:val="00313CF1"/>
    <w:rsid w:val="003150CD"/>
    <w:rsid w:val="003154AB"/>
    <w:rsid w:val="003155CF"/>
    <w:rsid w:val="00315BA3"/>
    <w:rsid w:val="00316707"/>
    <w:rsid w:val="00317A31"/>
    <w:rsid w:val="00317B07"/>
    <w:rsid w:val="00317BDE"/>
    <w:rsid w:val="00317D80"/>
    <w:rsid w:val="00317DC3"/>
    <w:rsid w:val="0032088F"/>
    <w:rsid w:val="00321643"/>
    <w:rsid w:val="00321A91"/>
    <w:rsid w:val="00322486"/>
    <w:rsid w:val="00323295"/>
    <w:rsid w:val="00323848"/>
    <w:rsid w:val="00323FDC"/>
    <w:rsid w:val="00323FF5"/>
    <w:rsid w:val="0032464C"/>
    <w:rsid w:val="00324B78"/>
    <w:rsid w:val="003253CA"/>
    <w:rsid w:val="003264D7"/>
    <w:rsid w:val="00326AF6"/>
    <w:rsid w:val="00326D5E"/>
    <w:rsid w:val="00327A8E"/>
    <w:rsid w:val="00327BDD"/>
    <w:rsid w:val="00330080"/>
    <w:rsid w:val="00331836"/>
    <w:rsid w:val="0033190E"/>
    <w:rsid w:val="00333962"/>
    <w:rsid w:val="00333B62"/>
    <w:rsid w:val="00333C6C"/>
    <w:rsid w:val="00333E45"/>
    <w:rsid w:val="0033404E"/>
    <w:rsid w:val="00334A65"/>
    <w:rsid w:val="00334B2E"/>
    <w:rsid w:val="003364DB"/>
    <w:rsid w:val="00336A8D"/>
    <w:rsid w:val="00337583"/>
    <w:rsid w:val="003379FB"/>
    <w:rsid w:val="00337DF6"/>
    <w:rsid w:val="0034068D"/>
    <w:rsid w:val="0034180B"/>
    <w:rsid w:val="00341A52"/>
    <w:rsid w:val="00341C4A"/>
    <w:rsid w:val="00342184"/>
    <w:rsid w:val="0034266B"/>
    <w:rsid w:val="00342740"/>
    <w:rsid w:val="00342B26"/>
    <w:rsid w:val="00342CE5"/>
    <w:rsid w:val="00343BE2"/>
    <w:rsid w:val="00343EC3"/>
    <w:rsid w:val="003448FF"/>
    <w:rsid w:val="00345946"/>
    <w:rsid w:val="00345C53"/>
    <w:rsid w:val="00346754"/>
    <w:rsid w:val="0034781F"/>
    <w:rsid w:val="00347AAB"/>
    <w:rsid w:val="00347FD3"/>
    <w:rsid w:val="0035006A"/>
    <w:rsid w:val="003509B6"/>
    <w:rsid w:val="00350B13"/>
    <w:rsid w:val="00352979"/>
    <w:rsid w:val="00352CC2"/>
    <w:rsid w:val="00352DE7"/>
    <w:rsid w:val="0035300A"/>
    <w:rsid w:val="0035347E"/>
    <w:rsid w:val="003538E6"/>
    <w:rsid w:val="003549F9"/>
    <w:rsid w:val="00354CF7"/>
    <w:rsid w:val="0035508D"/>
    <w:rsid w:val="00355E72"/>
    <w:rsid w:val="0035659D"/>
    <w:rsid w:val="003611E4"/>
    <w:rsid w:val="0036133D"/>
    <w:rsid w:val="003617D9"/>
    <w:rsid w:val="00361938"/>
    <w:rsid w:val="003625FB"/>
    <w:rsid w:val="003633B9"/>
    <w:rsid w:val="003636DE"/>
    <w:rsid w:val="003646B9"/>
    <w:rsid w:val="003646E5"/>
    <w:rsid w:val="003652C6"/>
    <w:rsid w:val="003654A6"/>
    <w:rsid w:val="00365C52"/>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0738"/>
    <w:rsid w:val="00381DC3"/>
    <w:rsid w:val="00381F89"/>
    <w:rsid w:val="0038228C"/>
    <w:rsid w:val="00382BDE"/>
    <w:rsid w:val="003859C4"/>
    <w:rsid w:val="00385EA5"/>
    <w:rsid w:val="00386F92"/>
    <w:rsid w:val="003874C3"/>
    <w:rsid w:val="00387725"/>
    <w:rsid w:val="00387C65"/>
    <w:rsid w:val="003901E3"/>
    <w:rsid w:val="0039022E"/>
    <w:rsid w:val="00390CDE"/>
    <w:rsid w:val="003928EC"/>
    <w:rsid w:val="00392B20"/>
    <w:rsid w:val="00392BA3"/>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BAF"/>
    <w:rsid w:val="003B5111"/>
    <w:rsid w:val="003B57C3"/>
    <w:rsid w:val="003B5B26"/>
    <w:rsid w:val="003B609E"/>
    <w:rsid w:val="003B6581"/>
    <w:rsid w:val="003B6C7E"/>
    <w:rsid w:val="003B79F9"/>
    <w:rsid w:val="003C0293"/>
    <w:rsid w:val="003C0D3C"/>
    <w:rsid w:val="003C0DF1"/>
    <w:rsid w:val="003C1936"/>
    <w:rsid w:val="003C268F"/>
    <w:rsid w:val="003C2A42"/>
    <w:rsid w:val="003C2E68"/>
    <w:rsid w:val="003C32DC"/>
    <w:rsid w:val="003C32FC"/>
    <w:rsid w:val="003C42AD"/>
    <w:rsid w:val="003C4C9F"/>
    <w:rsid w:val="003C5D9D"/>
    <w:rsid w:val="003C6197"/>
    <w:rsid w:val="003C7036"/>
    <w:rsid w:val="003C7781"/>
    <w:rsid w:val="003C7FA5"/>
    <w:rsid w:val="003D0C96"/>
    <w:rsid w:val="003D13F0"/>
    <w:rsid w:val="003D1CAA"/>
    <w:rsid w:val="003D338A"/>
    <w:rsid w:val="003D4395"/>
    <w:rsid w:val="003D474C"/>
    <w:rsid w:val="003D5393"/>
    <w:rsid w:val="003D5398"/>
    <w:rsid w:val="003D5BAD"/>
    <w:rsid w:val="003D5F20"/>
    <w:rsid w:val="003D6DAF"/>
    <w:rsid w:val="003D6E19"/>
    <w:rsid w:val="003D737D"/>
    <w:rsid w:val="003D7E33"/>
    <w:rsid w:val="003E0536"/>
    <w:rsid w:val="003E0C30"/>
    <w:rsid w:val="003E0F2A"/>
    <w:rsid w:val="003E1CD9"/>
    <w:rsid w:val="003E2CF8"/>
    <w:rsid w:val="003E3169"/>
    <w:rsid w:val="003E35FB"/>
    <w:rsid w:val="003E3999"/>
    <w:rsid w:val="003E43BE"/>
    <w:rsid w:val="003E4A4E"/>
    <w:rsid w:val="003E504F"/>
    <w:rsid w:val="003E5B98"/>
    <w:rsid w:val="003E5DE9"/>
    <w:rsid w:val="003E62FB"/>
    <w:rsid w:val="003E6A41"/>
    <w:rsid w:val="003E7801"/>
    <w:rsid w:val="003F0AF5"/>
    <w:rsid w:val="003F14E4"/>
    <w:rsid w:val="003F1FC5"/>
    <w:rsid w:val="003F3E65"/>
    <w:rsid w:val="003F42FC"/>
    <w:rsid w:val="003F4833"/>
    <w:rsid w:val="003F4B68"/>
    <w:rsid w:val="003F532D"/>
    <w:rsid w:val="003F7617"/>
    <w:rsid w:val="003F7A40"/>
    <w:rsid w:val="004002F5"/>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4E"/>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0A2F"/>
    <w:rsid w:val="004211BE"/>
    <w:rsid w:val="0042205F"/>
    <w:rsid w:val="00422629"/>
    <w:rsid w:val="00423C26"/>
    <w:rsid w:val="00423E43"/>
    <w:rsid w:val="00424839"/>
    <w:rsid w:val="00424968"/>
    <w:rsid w:val="00424A72"/>
    <w:rsid w:val="00424D35"/>
    <w:rsid w:val="004256FF"/>
    <w:rsid w:val="004257EC"/>
    <w:rsid w:val="004258D6"/>
    <w:rsid w:val="004264F9"/>
    <w:rsid w:val="00426777"/>
    <w:rsid w:val="00427031"/>
    <w:rsid w:val="00427142"/>
    <w:rsid w:val="00427899"/>
    <w:rsid w:val="00427DBB"/>
    <w:rsid w:val="00427FBB"/>
    <w:rsid w:val="00430399"/>
    <w:rsid w:val="0043085A"/>
    <w:rsid w:val="00430E42"/>
    <w:rsid w:val="0043209C"/>
    <w:rsid w:val="004322A6"/>
    <w:rsid w:val="00433351"/>
    <w:rsid w:val="004340BA"/>
    <w:rsid w:val="004348C5"/>
    <w:rsid w:val="00436B6F"/>
    <w:rsid w:val="00436EF6"/>
    <w:rsid w:val="00437D5A"/>
    <w:rsid w:val="0044044F"/>
    <w:rsid w:val="00441DE8"/>
    <w:rsid w:val="00442830"/>
    <w:rsid w:val="00442F67"/>
    <w:rsid w:val="00442FBB"/>
    <w:rsid w:val="00443487"/>
    <w:rsid w:val="0044467E"/>
    <w:rsid w:val="0044496C"/>
    <w:rsid w:val="00444F46"/>
    <w:rsid w:val="0044520F"/>
    <w:rsid w:val="004468EC"/>
    <w:rsid w:val="00446A05"/>
    <w:rsid w:val="00446B69"/>
    <w:rsid w:val="004502C5"/>
    <w:rsid w:val="004509CE"/>
    <w:rsid w:val="00451498"/>
    <w:rsid w:val="004515BE"/>
    <w:rsid w:val="00452B43"/>
    <w:rsid w:val="00454957"/>
    <w:rsid w:val="004557F7"/>
    <w:rsid w:val="00455A62"/>
    <w:rsid w:val="00456294"/>
    <w:rsid w:val="004572E7"/>
    <w:rsid w:val="00457778"/>
    <w:rsid w:val="00457A54"/>
    <w:rsid w:val="00457FE0"/>
    <w:rsid w:val="004606DA"/>
    <w:rsid w:val="00461033"/>
    <w:rsid w:val="00461308"/>
    <w:rsid w:val="00461FB3"/>
    <w:rsid w:val="0046279F"/>
    <w:rsid w:val="00463325"/>
    <w:rsid w:val="00463D48"/>
    <w:rsid w:val="00464148"/>
    <w:rsid w:val="004647B9"/>
    <w:rsid w:val="00464F06"/>
    <w:rsid w:val="004652D5"/>
    <w:rsid w:val="00465B25"/>
    <w:rsid w:val="00465BF5"/>
    <w:rsid w:val="004668E6"/>
    <w:rsid w:val="004673D5"/>
    <w:rsid w:val="00471682"/>
    <w:rsid w:val="0047274B"/>
    <w:rsid w:val="00472B3D"/>
    <w:rsid w:val="00472D90"/>
    <w:rsid w:val="00473EB5"/>
    <w:rsid w:val="004762F3"/>
    <w:rsid w:val="0047647A"/>
    <w:rsid w:val="004771E5"/>
    <w:rsid w:val="00477357"/>
    <w:rsid w:val="00477E07"/>
    <w:rsid w:val="004804CF"/>
    <w:rsid w:val="00480A69"/>
    <w:rsid w:val="004813E0"/>
    <w:rsid w:val="0048306E"/>
    <w:rsid w:val="00483B0E"/>
    <w:rsid w:val="00484AE9"/>
    <w:rsid w:val="00485508"/>
    <w:rsid w:val="0048659E"/>
    <w:rsid w:val="00486775"/>
    <w:rsid w:val="00486E2E"/>
    <w:rsid w:val="004874A4"/>
    <w:rsid w:val="00491E99"/>
    <w:rsid w:val="004922DC"/>
    <w:rsid w:val="004929E7"/>
    <w:rsid w:val="00492F5A"/>
    <w:rsid w:val="0049318A"/>
    <w:rsid w:val="00493632"/>
    <w:rsid w:val="00493A5B"/>
    <w:rsid w:val="00494F0A"/>
    <w:rsid w:val="00495547"/>
    <w:rsid w:val="004961AD"/>
    <w:rsid w:val="00496339"/>
    <w:rsid w:val="004967A0"/>
    <w:rsid w:val="00496C40"/>
    <w:rsid w:val="00497059"/>
    <w:rsid w:val="00497082"/>
    <w:rsid w:val="004973EC"/>
    <w:rsid w:val="00497B15"/>
    <w:rsid w:val="004A053C"/>
    <w:rsid w:val="004A054C"/>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341"/>
    <w:rsid w:val="004B17F7"/>
    <w:rsid w:val="004B1E33"/>
    <w:rsid w:val="004B32C2"/>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275"/>
    <w:rsid w:val="004D0799"/>
    <w:rsid w:val="004D0927"/>
    <w:rsid w:val="004D12E1"/>
    <w:rsid w:val="004D1337"/>
    <w:rsid w:val="004D19B6"/>
    <w:rsid w:val="004D2332"/>
    <w:rsid w:val="004D2CC5"/>
    <w:rsid w:val="004D3065"/>
    <w:rsid w:val="004D320B"/>
    <w:rsid w:val="004D3ADD"/>
    <w:rsid w:val="004D3AFC"/>
    <w:rsid w:val="004D3BD7"/>
    <w:rsid w:val="004D3EE4"/>
    <w:rsid w:val="004D431C"/>
    <w:rsid w:val="004D48D7"/>
    <w:rsid w:val="004D500B"/>
    <w:rsid w:val="004D5713"/>
    <w:rsid w:val="004D5934"/>
    <w:rsid w:val="004D5E04"/>
    <w:rsid w:val="004D6148"/>
    <w:rsid w:val="004D66F7"/>
    <w:rsid w:val="004D79AB"/>
    <w:rsid w:val="004E0362"/>
    <w:rsid w:val="004E0C13"/>
    <w:rsid w:val="004E0DB7"/>
    <w:rsid w:val="004E1346"/>
    <w:rsid w:val="004E13BA"/>
    <w:rsid w:val="004E1A6E"/>
    <w:rsid w:val="004E1B12"/>
    <w:rsid w:val="004E32FC"/>
    <w:rsid w:val="004E3E15"/>
    <w:rsid w:val="004E44C4"/>
    <w:rsid w:val="004E4A63"/>
    <w:rsid w:val="004E531A"/>
    <w:rsid w:val="004E6061"/>
    <w:rsid w:val="004E6502"/>
    <w:rsid w:val="004E6A8C"/>
    <w:rsid w:val="004E744E"/>
    <w:rsid w:val="004E75C0"/>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8BF"/>
    <w:rsid w:val="004F6C74"/>
    <w:rsid w:val="005001E5"/>
    <w:rsid w:val="00500A0B"/>
    <w:rsid w:val="00500C4C"/>
    <w:rsid w:val="005016CA"/>
    <w:rsid w:val="00502093"/>
    <w:rsid w:val="00502177"/>
    <w:rsid w:val="0050345B"/>
    <w:rsid w:val="00504E19"/>
    <w:rsid w:val="005063B6"/>
    <w:rsid w:val="005063F7"/>
    <w:rsid w:val="00506A1C"/>
    <w:rsid w:val="0050734D"/>
    <w:rsid w:val="00507AB3"/>
    <w:rsid w:val="00510956"/>
    <w:rsid w:val="00510F23"/>
    <w:rsid w:val="0051133B"/>
    <w:rsid w:val="005115C3"/>
    <w:rsid w:val="005133A8"/>
    <w:rsid w:val="00513682"/>
    <w:rsid w:val="00515288"/>
    <w:rsid w:val="00515B21"/>
    <w:rsid w:val="00515CF2"/>
    <w:rsid w:val="00516E39"/>
    <w:rsid w:val="00517079"/>
    <w:rsid w:val="00520023"/>
    <w:rsid w:val="005201C4"/>
    <w:rsid w:val="00520569"/>
    <w:rsid w:val="005212AE"/>
    <w:rsid w:val="005229B8"/>
    <w:rsid w:val="00522C1A"/>
    <w:rsid w:val="00523091"/>
    <w:rsid w:val="00523826"/>
    <w:rsid w:val="005242CB"/>
    <w:rsid w:val="00524D42"/>
    <w:rsid w:val="005266F5"/>
    <w:rsid w:val="00526D7B"/>
    <w:rsid w:val="00526DC4"/>
    <w:rsid w:val="00527324"/>
    <w:rsid w:val="005274E0"/>
    <w:rsid w:val="00527F7B"/>
    <w:rsid w:val="005300DF"/>
    <w:rsid w:val="0053048E"/>
    <w:rsid w:val="00531B2A"/>
    <w:rsid w:val="00531B72"/>
    <w:rsid w:val="00531C8C"/>
    <w:rsid w:val="00531DC6"/>
    <w:rsid w:val="005324A4"/>
    <w:rsid w:val="00532D69"/>
    <w:rsid w:val="00532E56"/>
    <w:rsid w:val="00533B21"/>
    <w:rsid w:val="00533D34"/>
    <w:rsid w:val="00533EE1"/>
    <w:rsid w:val="005341A6"/>
    <w:rsid w:val="00534D86"/>
    <w:rsid w:val="0053514B"/>
    <w:rsid w:val="0053715D"/>
    <w:rsid w:val="00537700"/>
    <w:rsid w:val="00537BB3"/>
    <w:rsid w:val="00537DB4"/>
    <w:rsid w:val="00540317"/>
    <w:rsid w:val="0054049A"/>
    <w:rsid w:val="0054184C"/>
    <w:rsid w:val="00541B18"/>
    <w:rsid w:val="00541D24"/>
    <w:rsid w:val="00541D68"/>
    <w:rsid w:val="00542646"/>
    <w:rsid w:val="00543994"/>
    <w:rsid w:val="00543C2D"/>
    <w:rsid w:val="00543DBE"/>
    <w:rsid w:val="00543DE7"/>
    <w:rsid w:val="0054479C"/>
    <w:rsid w:val="00544E43"/>
    <w:rsid w:val="00546E22"/>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1CDE"/>
    <w:rsid w:val="00561DEB"/>
    <w:rsid w:val="0056210B"/>
    <w:rsid w:val="00562D03"/>
    <w:rsid w:val="005632DA"/>
    <w:rsid w:val="00563692"/>
    <w:rsid w:val="00563B9C"/>
    <w:rsid w:val="00564247"/>
    <w:rsid w:val="00564488"/>
    <w:rsid w:val="0056508D"/>
    <w:rsid w:val="00567CCF"/>
    <w:rsid w:val="00570608"/>
    <w:rsid w:val="005707BD"/>
    <w:rsid w:val="00570A3B"/>
    <w:rsid w:val="00571114"/>
    <w:rsid w:val="0057130E"/>
    <w:rsid w:val="0057187A"/>
    <w:rsid w:val="005720EB"/>
    <w:rsid w:val="00572151"/>
    <w:rsid w:val="0057273D"/>
    <w:rsid w:val="005731B2"/>
    <w:rsid w:val="00573350"/>
    <w:rsid w:val="00573D28"/>
    <w:rsid w:val="00573E34"/>
    <w:rsid w:val="005740D5"/>
    <w:rsid w:val="005740DA"/>
    <w:rsid w:val="00576025"/>
    <w:rsid w:val="00577656"/>
    <w:rsid w:val="0057772B"/>
    <w:rsid w:val="00580176"/>
    <w:rsid w:val="005802AF"/>
    <w:rsid w:val="00580526"/>
    <w:rsid w:val="00581327"/>
    <w:rsid w:val="005817AB"/>
    <w:rsid w:val="00581EDC"/>
    <w:rsid w:val="00582C57"/>
    <w:rsid w:val="00584274"/>
    <w:rsid w:val="00584BAB"/>
    <w:rsid w:val="00584EFB"/>
    <w:rsid w:val="0058621D"/>
    <w:rsid w:val="00586D72"/>
    <w:rsid w:val="00586E4F"/>
    <w:rsid w:val="00587330"/>
    <w:rsid w:val="00587984"/>
    <w:rsid w:val="00587A84"/>
    <w:rsid w:val="00587B46"/>
    <w:rsid w:val="00590AF7"/>
    <w:rsid w:val="00592360"/>
    <w:rsid w:val="00593333"/>
    <w:rsid w:val="005960D3"/>
    <w:rsid w:val="005973A7"/>
    <w:rsid w:val="005A0825"/>
    <w:rsid w:val="005A09A3"/>
    <w:rsid w:val="005A1FEE"/>
    <w:rsid w:val="005A273F"/>
    <w:rsid w:val="005A2790"/>
    <w:rsid w:val="005A3583"/>
    <w:rsid w:val="005A4118"/>
    <w:rsid w:val="005A453F"/>
    <w:rsid w:val="005A493F"/>
    <w:rsid w:val="005A6A9E"/>
    <w:rsid w:val="005A752F"/>
    <w:rsid w:val="005B1E67"/>
    <w:rsid w:val="005B2365"/>
    <w:rsid w:val="005B296A"/>
    <w:rsid w:val="005B3184"/>
    <w:rsid w:val="005B36F5"/>
    <w:rsid w:val="005B3BB9"/>
    <w:rsid w:val="005B3F3B"/>
    <w:rsid w:val="005B468D"/>
    <w:rsid w:val="005B5E4D"/>
    <w:rsid w:val="005B5FC8"/>
    <w:rsid w:val="005B6E2C"/>
    <w:rsid w:val="005B7761"/>
    <w:rsid w:val="005C08BA"/>
    <w:rsid w:val="005C0DC0"/>
    <w:rsid w:val="005C194D"/>
    <w:rsid w:val="005C21B5"/>
    <w:rsid w:val="005C2C17"/>
    <w:rsid w:val="005C3179"/>
    <w:rsid w:val="005C464F"/>
    <w:rsid w:val="005C565F"/>
    <w:rsid w:val="005C5B71"/>
    <w:rsid w:val="005C639C"/>
    <w:rsid w:val="005C7062"/>
    <w:rsid w:val="005C714B"/>
    <w:rsid w:val="005C795A"/>
    <w:rsid w:val="005D205F"/>
    <w:rsid w:val="005D209C"/>
    <w:rsid w:val="005D2CDE"/>
    <w:rsid w:val="005D2DDC"/>
    <w:rsid w:val="005D341C"/>
    <w:rsid w:val="005D3A26"/>
    <w:rsid w:val="005D3C96"/>
    <w:rsid w:val="005D4EDA"/>
    <w:rsid w:val="005D58F0"/>
    <w:rsid w:val="005D60DE"/>
    <w:rsid w:val="005D630A"/>
    <w:rsid w:val="005D65FC"/>
    <w:rsid w:val="005D6747"/>
    <w:rsid w:val="005D6918"/>
    <w:rsid w:val="005E08EE"/>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3678"/>
    <w:rsid w:val="005F39CC"/>
    <w:rsid w:val="005F45C2"/>
    <w:rsid w:val="005F4ECF"/>
    <w:rsid w:val="005F52FF"/>
    <w:rsid w:val="005F54FA"/>
    <w:rsid w:val="005F569A"/>
    <w:rsid w:val="005F6073"/>
    <w:rsid w:val="005F6151"/>
    <w:rsid w:val="005F6196"/>
    <w:rsid w:val="005F61B4"/>
    <w:rsid w:val="005F6454"/>
    <w:rsid w:val="005F7759"/>
    <w:rsid w:val="005F7852"/>
    <w:rsid w:val="0060041C"/>
    <w:rsid w:val="00600474"/>
    <w:rsid w:val="0060055A"/>
    <w:rsid w:val="00600877"/>
    <w:rsid w:val="006012BD"/>
    <w:rsid w:val="00601C04"/>
    <w:rsid w:val="00602086"/>
    <w:rsid w:val="00602AAE"/>
    <w:rsid w:val="00602BC7"/>
    <w:rsid w:val="006031E8"/>
    <w:rsid w:val="00603EE5"/>
    <w:rsid w:val="00605582"/>
    <w:rsid w:val="00605720"/>
    <w:rsid w:val="00605C0C"/>
    <w:rsid w:val="00605C57"/>
    <w:rsid w:val="00605C73"/>
    <w:rsid w:val="0060626C"/>
    <w:rsid w:val="006065FF"/>
    <w:rsid w:val="00607309"/>
    <w:rsid w:val="00607F3D"/>
    <w:rsid w:val="006107F1"/>
    <w:rsid w:val="00610C46"/>
    <w:rsid w:val="00612E66"/>
    <w:rsid w:val="00614079"/>
    <w:rsid w:val="00614188"/>
    <w:rsid w:val="00614F7E"/>
    <w:rsid w:val="00615362"/>
    <w:rsid w:val="006157B6"/>
    <w:rsid w:val="00615A62"/>
    <w:rsid w:val="00615EBC"/>
    <w:rsid w:val="00616F1D"/>
    <w:rsid w:val="00616FA1"/>
    <w:rsid w:val="00617C77"/>
    <w:rsid w:val="00617E3E"/>
    <w:rsid w:val="00620031"/>
    <w:rsid w:val="0062006E"/>
    <w:rsid w:val="00620357"/>
    <w:rsid w:val="00620FB8"/>
    <w:rsid w:val="006214D7"/>
    <w:rsid w:val="00621B71"/>
    <w:rsid w:val="00622BEF"/>
    <w:rsid w:val="0062386E"/>
    <w:rsid w:val="00624229"/>
    <w:rsid w:val="00624802"/>
    <w:rsid w:val="00624F20"/>
    <w:rsid w:val="00625F4E"/>
    <w:rsid w:val="006271BD"/>
    <w:rsid w:val="006279BE"/>
    <w:rsid w:val="00627F0D"/>
    <w:rsid w:val="006304BB"/>
    <w:rsid w:val="0063071F"/>
    <w:rsid w:val="00630C62"/>
    <w:rsid w:val="00631207"/>
    <w:rsid w:val="00631467"/>
    <w:rsid w:val="00631749"/>
    <w:rsid w:val="0063273E"/>
    <w:rsid w:val="00633242"/>
    <w:rsid w:val="00633FA0"/>
    <w:rsid w:val="00634534"/>
    <w:rsid w:val="00634EF5"/>
    <w:rsid w:val="006350DF"/>
    <w:rsid w:val="00635B8D"/>
    <w:rsid w:val="00636401"/>
    <w:rsid w:val="00636905"/>
    <w:rsid w:val="00636A93"/>
    <w:rsid w:val="00637474"/>
    <w:rsid w:val="0063772A"/>
    <w:rsid w:val="006418C8"/>
    <w:rsid w:val="006427D9"/>
    <w:rsid w:val="00642BAE"/>
    <w:rsid w:val="00642CAD"/>
    <w:rsid w:val="00643498"/>
    <w:rsid w:val="00643D25"/>
    <w:rsid w:val="006448DB"/>
    <w:rsid w:val="00644D3E"/>
    <w:rsid w:val="00644EB6"/>
    <w:rsid w:val="00645AB9"/>
    <w:rsid w:val="00645E2A"/>
    <w:rsid w:val="006460CB"/>
    <w:rsid w:val="00646267"/>
    <w:rsid w:val="00646D5C"/>
    <w:rsid w:val="00646DD7"/>
    <w:rsid w:val="006473BA"/>
    <w:rsid w:val="006475F4"/>
    <w:rsid w:val="00647D90"/>
    <w:rsid w:val="006502D1"/>
    <w:rsid w:val="006504FE"/>
    <w:rsid w:val="00650BC5"/>
    <w:rsid w:val="00650FE9"/>
    <w:rsid w:val="00651275"/>
    <w:rsid w:val="00652231"/>
    <w:rsid w:val="0065228A"/>
    <w:rsid w:val="00654244"/>
    <w:rsid w:val="006546B6"/>
    <w:rsid w:val="006547BB"/>
    <w:rsid w:val="006551F8"/>
    <w:rsid w:val="006555CA"/>
    <w:rsid w:val="00655BA3"/>
    <w:rsid w:val="006560E3"/>
    <w:rsid w:val="006564ED"/>
    <w:rsid w:val="00656C6E"/>
    <w:rsid w:val="0066116D"/>
    <w:rsid w:val="00663F47"/>
    <w:rsid w:val="00664AC4"/>
    <w:rsid w:val="00664FB0"/>
    <w:rsid w:val="0066505B"/>
    <w:rsid w:val="00665ACE"/>
    <w:rsid w:val="00666712"/>
    <w:rsid w:val="0066701C"/>
    <w:rsid w:val="006671D4"/>
    <w:rsid w:val="0066750D"/>
    <w:rsid w:val="0066763F"/>
    <w:rsid w:val="00667F2F"/>
    <w:rsid w:val="00671338"/>
    <w:rsid w:val="006714ED"/>
    <w:rsid w:val="0067159C"/>
    <w:rsid w:val="00671D6E"/>
    <w:rsid w:val="00672CE0"/>
    <w:rsid w:val="00672F8D"/>
    <w:rsid w:val="006730DE"/>
    <w:rsid w:val="006730F3"/>
    <w:rsid w:val="00673752"/>
    <w:rsid w:val="00673B33"/>
    <w:rsid w:val="006741EF"/>
    <w:rsid w:val="006747AB"/>
    <w:rsid w:val="00676465"/>
    <w:rsid w:val="006775C4"/>
    <w:rsid w:val="006778A5"/>
    <w:rsid w:val="006802E1"/>
    <w:rsid w:val="0068056E"/>
    <w:rsid w:val="00680733"/>
    <w:rsid w:val="00680E4E"/>
    <w:rsid w:val="00681AC1"/>
    <w:rsid w:val="00681EE7"/>
    <w:rsid w:val="00682165"/>
    <w:rsid w:val="00683178"/>
    <w:rsid w:val="0068325D"/>
    <w:rsid w:val="00684F50"/>
    <w:rsid w:val="006855C3"/>
    <w:rsid w:val="00685785"/>
    <w:rsid w:val="00685E24"/>
    <w:rsid w:val="00686F6A"/>
    <w:rsid w:val="00687828"/>
    <w:rsid w:val="00687BEB"/>
    <w:rsid w:val="0069052E"/>
    <w:rsid w:val="00690738"/>
    <w:rsid w:val="00691515"/>
    <w:rsid w:val="00691ADA"/>
    <w:rsid w:val="00692778"/>
    <w:rsid w:val="00692B2A"/>
    <w:rsid w:val="006937A1"/>
    <w:rsid w:val="00693CC2"/>
    <w:rsid w:val="00693F50"/>
    <w:rsid w:val="0069465C"/>
    <w:rsid w:val="00694688"/>
    <w:rsid w:val="00694863"/>
    <w:rsid w:val="006948AC"/>
    <w:rsid w:val="00694C91"/>
    <w:rsid w:val="00694D2F"/>
    <w:rsid w:val="00695D24"/>
    <w:rsid w:val="00696139"/>
    <w:rsid w:val="00696607"/>
    <w:rsid w:val="00696616"/>
    <w:rsid w:val="00696D5C"/>
    <w:rsid w:val="00696EBF"/>
    <w:rsid w:val="00696F11"/>
    <w:rsid w:val="006973E2"/>
    <w:rsid w:val="00697607"/>
    <w:rsid w:val="0069771F"/>
    <w:rsid w:val="00697D08"/>
    <w:rsid w:val="00697D57"/>
    <w:rsid w:val="006A03BD"/>
    <w:rsid w:val="006A07C1"/>
    <w:rsid w:val="006A136B"/>
    <w:rsid w:val="006A19D5"/>
    <w:rsid w:val="006A28FD"/>
    <w:rsid w:val="006A326C"/>
    <w:rsid w:val="006A452A"/>
    <w:rsid w:val="006A52BF"/>
    <w:rsid w:val="006A5642"/>
    <w:rsid w:val="006A5821"/>
    <w:rsid w:val="006A5A6C"/>
    <w:rsid w:val="006A61E5"/>
    <w:rsid w:val="006A654C"/>
    <w:rsid w:val="006A6B9A"/>
    <w:rsid w:val="006A7061"/>
    <w:rsid w:val="006B03F7"/>
    <w:rsid w:val="006B0A9C"/>
    <w:rsid w:val="006B0B08"/>
    <w:rsid w:val="006B10A8"/>
    <w:rsid w:val="006B10B6"/>
    <w:rsid w:val="006B1B86"/>
    <w:rsid w:val="006B208B"/>
    <w:rsid w:val="006B3C7A"/>
    <w:rsid w:val="006B454E"/>
    <w:rsid w:val="006B462B"/>
    <w:rsid w:val="006B46C9"/>
    <w:rsid w:val="006B4FD6"/>
    <w:rsid w:val="006B511B"/>
    <w:rsid w:val="006B5508"/>
    <w:rsid w:val="006B5F34"/>
    <w:rsid w:val="006B7267"/>
    <w:rsid w:val="006C0BE0"/>
    <w:rsid w:val="006C1371"/>
    <w:rsid w:val="006C1F9E"/>
    <w:rsid w:val="006C2F23"/>
    <w:rsid w:val="006C408C"/>
    <w:rsid w:val="006C44AE"/>
    <w:rsid w:val="006C456A"/>
    <w:rsid w:val="006C564D"/>
    <w:rsid w:val="006C5951"/>
    <w:rsid w:val="006C671F"/>
    <w:rsid w:val="006C6F3C"/>
    <w:rsid w:val="006C6FB7"/>
    <w:rsid w:val="006C7FDF"/>
    <w:rsid w:val="006D007C"/>
    <w:rsid w:val="006D06F5"/>
    <w:rsid w:val="006D120B"/>
    <w:rsid w:val="006D264E"/>
    <w:rsid w:val="006D2C42"/>
    <w:rsid w:val="006D3FF8"/>
    <w:rsid w:val="006D428F"/>
    <w:rsid w:val="006D44DC"/>
    <w:rsid w:val="006D54E1"/>
    <w:rsid w:val="006D5A11"/>
    <w:rsid w:val="006D668F"/>
    <w:rsid w:val="006E0406"/>
    <w:rsid w:val="006E09D6"/>
    <w:rsid w:val="006E1695"/>
    <w:rsid w:val="006E197B"/>
    <w:rsid w:val="006E1AC8"/>
    <w:rsid w:val="006E22C9"/>
    <w:rsid w:val="006E2B27"/>
    <w:rsid w:val="006E5742"/>
    <w:rsid w:val="006E58AF"/>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37DD"/>
    <w:rsid w:val="007039A8"/>
    <w:rsid w:val="00703AE1"/>
    <w:rsid w:val="00703B2F"/>
    <w:rsid w:val="0070428E"/>
    <w:rsid w:val="007042B5"/>
    <w:rsid w:val="00704634"/>
    <w:rsid w:val="00704D06"/>
    <w:rsid w:val="00705D6A"/>
    <w:rsid w:val="00705E84"/>
    <w:rsid w:val="00706144"/>
    <w:rsid w:val="007061EE"/>
    <w:rsid w:val="007063E6"/>
    <w:rsid w:val="00706FF1"/>
    <w:rsid w:val="00707031"/>
    <w:rsid w:val="00707245"/>
    <w:rsid w:val="00710B09"/>
    <w:rsid w:val="00711EB9"/>
    <w:rsid w:val="0071287D"/>
    <w:rsid w:val="007129B2"/>
    <w:rsid w:val="00712D50"/>
    <w:rsid w:val="00713142"/>
    <w:rsid w:val="00713419"/>
    <w:rsid w:val="007135A0"/>
    <w:rsid w:val="007137E1"/>
    <w:rsid w:val="00713957"/>
    <w:rsid w:val="00714402"/>
    <w:rsid w:val="00714488"/>
    <w:rsid w:val="00714E6C"/>
    <w:rsid w:val="00715319"/>
    <w:rsid w:val="00715DC7"/>
    <w:rsid w:val="00715EBB"/>
    <w:rsid w:val="00717122"/>
    <w:rsid w:val="00717898"/>
    <w:rsid w:val="00720029"/>
    <w:rsid w:val="007217BA"/>
    <w:rsid w:val="00721D8E"/>
    <w:rsid w:val="0072215B"/>
    <w:rsid w:val="00722B88"/>
    <w:rsid w:val="0072304C"/>
    <w:rsid w:val="0072368F"/>
    <w:rsid w:val="00723EC1"/>
    <w:rsid w:val="00724552"/>
    <w:rsid w:val="00724C1C"/>
    <w:rsid w:val="00727C09"/>
    <w:rsid w:val="00727D9C"/>
    <w:rsid w:val="00727F60"/>
    <w:rsid w:val="00730089"/>
    <w:rsid w:val="00730250"/>
    <w:rsid w:val="00730353"/>
    <w:rsid w:val="00730453"/>
    <w:rsid w:val="0073182F"/>
    <w:rsid w:val="0073212F"/>
    <w:rsid w:val="007324A9"/>
    <w:rsid w:val="007332CB"/>
    <w:rsid w:val="00734300"/>
    <w:rsid w:val="0073439D"/>
    <w:rsid w:val="00734795"/>
    <w:rsid w:val="00736F71"/>
    <w:rsid w:val="00737BEC"/>
    <w:rsid w:val="00740D93"/>
    <w:rsid w:val="007426D1"/>
    <w:rsid w:val="00743934"/>
    <w:rsid w:val="00743E50"/>
    <w:rsid w:val="00743F9C"/>
    <w:rsid w:val="00744DC2"/>
    <w:rsid w:val="00744E48"/>
    <w:rsid w:val="00744EED"/>
    <w:rsid w:val="00746015"/>
    <w:rsid w:val="00746730"/>
    <w:rsid w:val="0075000B"/>
    <w:rsid w:val="00751760"/>
    <w:rsid w:val="00752C85"/>
    <w:rsid w:val="00752CFC"/>
    <w:rsid w:val="00754055"/>
    <w:rsid w:val="00755103"/>
    <w:rsid w:val="007562AF"/>
    <w:rsid w:val="00756771"/>
    <w:rsid w:val="00756A0B"/>
    <w:rsid w:val="00756C88"/>
    <w:rsid w:val="00757070"/>
    <w:rsid w:val="0075716B"/>
    <w:rsid w:val="00757251"/>
    <w:rsid w:val="007573A2"/>
    <w:rsid w:val="00757BFC"/>
    <w:rsid w:val="00757FD7"/>
    <w:rsid w:val="00760108"/>
    <w:rsid w:val="00760AB6"/>
    <w:rsid w:val="00760DD6"/>
    <w:rsid w:val="00761447"/>
    <w:rsid w:val="00761706"/>
    <w:rsid w:val="0076204F"/>
    <w:rsid w:val="00762460"/>
    <w:rsid w:val="00762B99"/>
    <w:rsid w:val="0076494B"/>
    <w:rsid w:val="007656A2"/>
    <w:rsid w:val="00766389"/>
    <w:rsid w:val="007677CD"/>
    <w:rsid w:val="00767FE0"/>
    <w:rsid w:val="00770340"/>
    <w:rsid w:val="00770536"/>
    <w:rsid w:val="00770AC5"/>
    <w:rsid w:val="00770CFF"/>
    <w:rsid w:val="007711A1"/>
    <w:rsid w:val="00771AF2"/>
    <w:rsid w:val="007722CF"/>
    <w:rsid w:val="00772E06"/>
    <w:rsid w:val="00773C44"/>
    <w:rsid w:val="00774396"/>
    <w:rsid w:val="007743DD"/>
    <w:rsid w:val="00774949"/>
    <w:rsid w:val="007758EE"/>
    <w:rsid w:val="00775BD0"/>
    <w:rsid w:val="007779BF"/>
    <w:rsid w:val="00777B9A"/>
    <w:rsid w:val="00777CFA"/>
    <w:rsid w:val="00777F6C"/>
    <w:rsid w:val="007806D4"/>
    <w:rsid w:val="00781E84"/>
    <w:rsid w:val="00781EFF"/>
    <w:rsid w:val="00782019"/>
    <w:rsid w:val="007841D1"/>
    <w:rsid w:val="00786A0E"/>
    <w:rsid w:val="00787328"/>
    <w:rsid w:val="00787403"/>
    <w:rsid w:val="00787FF8"/>
    <w:rsid w:val="007904C9"/>
    <w:rsid w:val="00790CF4"/>
    <w:rsid w:val="00790DA7"/>
    <w:rsid w:val="00791F5C"/>
    <w:rsid w:val="007927EC"/>
    <w:rsid w:val="00792B4F"/>
    <w:rsid w:val="00792E46"/>
    <w:rsid w:val="00792E5F"/>
    <w:rsid w:val="00793C07"/>
    <w:rsid w:val="00795A12"/>
    <w:rsid w:val="00796315"/>
    <w:rsid w:val="00796538"/>
    <w:rsid w:val="00796AB8"/>
    <w:rsid w:val="00796CE5"/>
    <w:rsid w:val="0079771A"/>
    <w:rsid w:val="007A0C87"/>
    <w:rsid w:val="007A0DD5"/>
    <w:rsid w:val="007A1877"/>
    <w:rsid w:val="007A1A79"/>
    <w:rsid w:val="007A2561"/>
    <w:rsid w:val="007A367E"/>
    <w:rsid w:val="007A3972"/>
    <w:rsid w:val="007A3AF8"/>
    <w:rsid w:val="007A43A0"/>
    <w:rsid w:val="007A47F2"/>
    <w:rsid w:val="007A48A6"/>
    <w:rsid w:val="007A490A"/>
    <w:rsid w:val="007A530A"/>
    <w:rsid w:val="007A65AF"/>
    <w:rsid w:val="007A719C"/>
    <w:rsid w:val="007A726F"/>
    <w:rsid w:val="007A757A"/>
    <w:rsid w:val="007B08F4"/>
    <w:rsid w:val="007B0A40"/>
    <w:rsid w:val="007B14D2"/>
    <w:rsid w:val="007B3321"/>
    <w:rsid w:val="007B34BC"/>
    <w:rsid w:val="007B38A6"/>
    <w:rsid w:val="007B452B"/>
    <w:rsid w:val="007B494B"/>
    <w:rsid w:val="007B4EEE"/>
    <w:rsid w:val="007B5EBB"/>
    <w:rsid w:val="007B65D2"/>
    <w:rsid w:val="007B6AD5"/>
    <w:rsid w:val="007B6B01"/>
    <w:rsid w:val="007B79BD"/>
    <w:rsid w:val="007C04A2"/>
    <w:rsid w:val="007C0845"/>
    <w:rsid w:val="007C09CB"/>
    <w:rsid w:val="007C1271"/>
    <w:rsid w:val="007C1273"/>
    <w:rsid w:val="007C313D"/>
    <w:rsid w:val="007C3B2E"/>
    <w:rsid w:val="007C405D"/>
    <w:rsid w:val="007C4D7C"/>
    <w:rsid w:val="007C5545"/>
    <w:rsid w:val="007C587A"/>
    <w:rsid w:val="007C5FD2"/>
    <w:rsid w:val="007C6E79"/>
    <w:rsid w:val="007C79F5"/>
    <w:rsid w:val="007C7A6B"/>
    <w:rsid w:val="007D0A0F"/>
    <w:rsid w:val="007D131D"/>
    <w:rsid w:val="007D1719"/>
    <w:rsid w:val="007D18E6"/>
    <w:rsid w:val="007D22FC"/>
    <w:rsid w:val="007D303D"/>
    <w:rsid w:val="007D3939"/>
    <w:rsid w:val="007D3BCC"/>
    <w:rsid w:val="007D3CE0"/>
    <w:rsid w:val="007D404D"/>
    <w:rsid w:val="007D45CB"/>
    <w:rsid w:val="007D4645"/>
    <w:rsid w:val="007D5692"/>
    <w:rsid w:val="007D5D48"/>
    <w:rsid w:val="007D6461"/>
    <w:rsid w:val="007E3210"/>
    <w:rsid w:val="007E32FC"/>
    <w:rsid w:val="007E4266"/>
    <w:rsid w:val="007E4EA5"/>
    <w:rsid w:val="007E5A5C"/>
    <w:rsid w:val="007E7A9C"/>
    <w:rsid w:val="007F0BA9"/>
    <w:rsid w:val="007F14CC"/>
    <w:rsid w:val="007F17A3"/>
    <w:rsid w:val="007F1A1A"/>
    <w:rsid w:val="007F1ECE"/>
    <w:rsid w:val="007F2B47"/>
    <w:rsid w:val="007F2DD4"/>
    <w:rsid w:val="007F2EB7"/>
    <w:rsid w:val="007F35C6"/>
    <w:rsid w:val="007F3A45"/>
    <w:rsid w:val="007F3BF0"/>
    <w:rsid w:val="007F4049"/>
    <w:rsid w:val="007F446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B26"/>
    <w:rsid w:val="00812D5A"/>
    <w:rsid w:val="00813494"/>
    <w:rsid w:val="00813755"/>
    <w:rsid w:val="008158E7"/>
    <w:rsid w:val="008161D5"/>
    <w:rsid w:val="00817A06"/>
    <w:rsid w:val="0082001A"/>
    <w:rsid w:val="008205D0"/>
    <w:rsid w:val="0082070E"/>
    <w:rsid w:val="00820D99"/>
    <w:rsid w:val="00820E06"/>
    <w:rsid w:val="008211F5"/>
    <w:rsid w:val="00823863"/>
    <w:rsid w:val="008240AB"/>
    <w:rsid w:val="008241FC"/>
    <w:rsid w:val="00824B51"/>
    <w:rsid w:val="00825DF2"/>
    <w:rsid w:val="00825F19"/>
    <w:rsid w:val="00826459"/>
    <w:rsid w:val="008264A3"/>
    <w:rsid w:val="00826F27"/>
    <w:rsid w:val="008270BC"/>
    <w:rsid w:val="008309C8"/>
    <w:rsid w:val="008309F3"/>
    <w:rsid w:val="008312B3"/>
    <w:rsid w:val="0083287B"/>
    <w:rsid w:val="0083298A"/>
    <w:rsid w:val="00832A83"/>
    <w:rsid w:val="00832D2B"/>
    <w:rsid w:val="00833114"/>
    <w:rsid w:val="00834DE3"/>
    <w:rsid w:val="00835668"/>
    <w:rsid w:val="008357D2"/>
    <w:rsid w:val="00835FCA"/>
    <w:rsid w:val="008370CF"/>
    <w:rsid w:val="00837CEF"/>
    <w:rsid w:val="00840C89"/>
    <w:rsid w:val="0084114B"/>
    <w:rsid w:val="00841D66"/>
    <w:rsid w:val="00842756"/>
    <w:rsid w:val="00842E8B"/>
    <w:rsid w:val="008430AD"/>
    <w:rsid w:val="008433AE"/>
    <w:rsid w:val="0084355F"/>
    <w:rsid w:val="00843D17"/>
    <w:rsid w:val="00844ACA"/>
    <w:rsid w:val="00846DD0"/>
    <w:rsid w:val="0084703C"/>
    <w:rsid w:val="008473A8"/>
    <w:rsid w:val="00847424"/>
    <w:rsid w:val="00847B25"/>
    <w:rsid w:val="00850061"/>
    <w:rsid w:val="00850259"/>
    <w:rsid w:val="008504C8"/>
    <w:rsid w:val="00851000"/>
    <w:rsid w:val="00851789"/>
    <w:rsid w:val="0085485C"/>
    <w:rsid w:val="00854886"/>
    <w:rsid w:val="00855029"/>
    <w:rsid w:val="0085507C"/>
    <w:rsid w:val="0085563E"/>
    <w:rsid w:val="00860053"/>
    <w:rsid w:val="008601DA"/>
    <w:rsid w:val="00861653"/>
    <w:rsid w:val="00861978"/>
    <w:rsid w:val="008625C0"/>
    <w:rsid w:val="00863418"/>
    <w:rsid w:val="008634C5"/>
    <w:rsid w:val="00863FB1"/>
    <w:rsid w:val="00864F72"/>
    <w:rsid w:val="00865B42"/>
    <w:rsid w:val="00866CE0"/>
    <w:rsid w:val="00866DED"/>
    <w:rsid w:val="00866DF0"/>
    <w:rsid w:val="008672F5"/>
    <w:rsid w:val="00867EA3"/>
    <w:rsid w:val="00870822"/>
    <w:rsid w:val="0087089C"/>
    <w:rsid w:val="008709B3"/>
    <w:rsid w:val="00870DB7"/>
    <w:rsid w:val="0087103F"/>
    <w:rsid w:val="0087135B"/>
    <w:rsid w:val="00871CF9"/>
    <w:rsid w:val="008721B7"/>
    <w:rsid w:val="008728A9"/>
    <w:rsid w:val="00872CC7"/>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1D7"/>
    <w:rsid w:val="00887311"/>
    <w:rsid w:val="00887B04"/>
    <w:rsid w:val="008904F2"/>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9DF"/>
    <w:rsid w:val="008A7EC3"/>
    <w:rsid w:val="008A7F72"/>
    <w:rsid w:val="008B0AD8"/>
    <w:rsid w:val="008B1D4F"/>
    <w:rsid w:val="008B299F"/>
    <w:rsid w:val="008B2A33"/>
    <w:rsid w:val="008B2F20"/>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2F16"/>
    <w:rsid w:val="008C3494"/>
    <w:rsid w:val="008C3682"/>
    <w:rsid w:val="008C3721"/>
    <w:rsid w:val="008C3CED"/>
    <w:rsid w:val="008C4305"/>
    <w:rsid w:val="008C4332"/>
    <w:rsid w:val="008C4DA7"/>
    <w:rsid w:val="008C4DD6"/>
    <w:rsid w:val="008C4FF7"/>
    <w:rsid w:val="008C508D"/>
    <w:rsid w:val="008C50D4"/>
    <w:rsid w:val="008C5220"/>
    <w:rsid w:val="008C5421"/>
    <w:rsid w:val="008C65C9"/>
    <w:rsid w:val="008C6DB5"/>
    <w:rsid w:val="008C7C52"/>
    <w:rsid w:val="008D1236"/>
    <w:rsid w:val="008D1EDE"/>
    <w:rsid w:val="008D32AD"/>
    <w:rsid w:val="008D3620"/>
    <w:rsid w:val="008D458F"/>
    <w:rsid w:val="008D52D9"/>
    <w:rsid w:val="008D6772"/>
    <w:rsid w:val="008D697B"/>
    <w:rsid w:val="008D72E4"/>
    <w:rsid w:val="008D7AC6"/>
    <w:rsid w:val="008D7DA0"/>
    <w:rsid w:val="008E02E6"/>
    <w:rsid w:val="008E08A8"/>
    <w:rsid w:val="008E0B04"/>
    <w:rsid w:val="008E15B5"/>
    <w:rsid w:val="008E1B7B"/>
    <w:rsid w:val="008E20E6"/>
    <w:rsid w:val="008E2B42"/>
    <w:rsid w:val="008E350D"/>
    <w:rsid w:val="008E37D1"/>
    <w:rsid w:val="008E3B36"/>
    <w:rsid w:val="008E3CEC"/>
    <w:rsid w:val="008E480F"/>
    <w:rsid w:val="008E4A67"/>
    <w:rsid w:val="008E4D4A"/>
    <w:rsid w:val="008E6974"/>
    <w:rsid w:val="008F0205"/>
    <w:rsid w:val="008F0DCC"/>
    <w:rsid w:val="008F188C"/>
    <w:rsid w:val="008F1EB2"/>
    <w:rsid w:val="008F284E"/>
    <w:rsid w:val="008F2BAD"/>
    <w:rsid w:val="008F2CAE"/>
    <w:rsid w:val="008F39F2"/>
    <w:rsid w:val="008F3D03"/>
    <w:rsid w:val="008F45EB"/>
    <w:rsid w:val="008F4E1B"/>
    <w:rsid w:val="008F52F4"/>
    <w:rsid w:val="008F743B"/>
    <w:rsid w:val="00900DA9"/>
    <w:rsid w:val="00900E97"/>
    <w:rsid w:val="009011B4"/>
    <w:rsid w:val="0090168E"/>
    <w:rsid w:val="00901AE0"/>
    <w:rsid w:val="00901FFB"/>
    <w:rsid w:val="009020E0"/>
    <w:rsid w:val="00902FFF"/>
    <w:rsid w:val="00903765"/>
    <w:rsid w:val="00903E8E"/>
    <w:rsid w:val="00904997"/>
    <w:rsid w:val="00905D8A"/>
    <w:rsid w:val="00906232"/>
    <w:rsid w:val="009064B4"/>
    <w:rsid w:val="0090696C"/>
    <w:rsid w:val="00907C15"/>
    <w:rsid w:val="0091170B"/>
    <w:rsid w:val="00911817"/>
    <w:rsid w:val="00912F68"/>
    <w:rsid w:val="009133A9"/>
    <w:rsid w:val="00913418"/>
    <w:rsid w:val="009137F9"/>
    <w:rsid w:val="00913C08"/>
    <w:rsid w:val="00915282"/>
    <w:rsid w:val="0091567A"/>
    <w:rsid w:val="00916277"/>
    <w:rsid w:val="00917C56"/>
    <w:rsid w:val="00920287"/>
    <w:rsid w:val="00920947"/>
    <w:rsid w:val="0092099A"/>
    <w:rsid w:val="00920C90"/>
    <w:rsid w:val="00921428"/>
    <w:rsid w:val="00921E9D"/>
    <w:rsid w:val="009220E0"/>
    <w:rsid w:val="0092244D"/>
    <w:rsid w:val="00922458"/>
    <w:rsid w:val="00922FD0"/>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2EBA"/>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B26"/>
    <w:rsid w:val="00957E51"/>
    <w:rsid w:val="009608E8"/>
    <w:rsid w:val="00960905"/>
    <w:rsid w:val="00960E04"/>
    <w:rsid w:val="0096112B"/>
    <w:rsid w:val="00961311"/>
    <w:rsid w:val="009629EE"/>
    <w:rsid w:val="0096309B"/>
    <w:rsid w:val="009635F5"/>
    <w:rsid w:val="00964A87"/>
    <w:rsid w:val="00964CE3"/>
    <w:rsid w:val="00965204"/>
    <w:rsid w:val="00965931"/>
    <w:rsid w:val="00965DB7"/>
    <w:rsid w:val="009663A9"/>
    <w:rsid w:val="00966C28"/>
    <w:rsid w:val="009700BB"/>
    <w:rsid w:val="0097040A"/>
    <w:rsid w:val="00971321"/>
    <w:rsid w:val="00972B61"/>
    <w:rsid w:val="009730F2"/>
    <w:rsid w:val="00974250"/>
    <w:rsid w:val="00974F50"/>
    <w:rsid w:val="009756EC"/>
    <w:rsid w:val="009757EE"/>
    <w:rsid w:val="0097584C"/>
    <w:rsid w:val="00976FCC"/>
    <w:rsid w:val="0097768E"/>
    <w:rsid w:val="009818A2"/>
    <w:rsid w:val="00981A0A"/>
    <w:rsid w:val="009829E2"/>
    <w:rsid w:val="00983525"/>
    <w:rsid w:val="009844CE"/>
    <w:rsid w:val="00984590"/>
    <w:rsid w:val="00984F92"/>
    <w:rsid w:val="00984FB7"/>
    <w:rsid w:val="009855CB"/>
    <w:rsid w:val="00985932"/>
    <w:rsid w:val="009868FC"/>
    <w:rsid w:val="00986D58"/>
    <w:rsid w:val="00986D6A"/>
    <w:rsid w:val="00990013"/>
    <w:rsid w:val="00990D44"/>
    <w:rsid w:val="00990F76"/>
    <w:rsid w:val="00991E94"/>
    <w:rsid w:val="00992712"/>
    <w:rsid w:val="00993E4C"/>
    <w:rsid w:val="00993E7E"/>
    <w:rsid w:val="0099690A"/>
    <w:rsid w:val="00997136"/>
    <w:rsid w:val="009971A7"/>
    <w:rsid w:val="00997965"/>
    <w:rsid w:val="00997BBE"/>
    <w:rsid w:val="009A143B"/>
    <w:rsid w:val="009A2B46"/>
    <w:rsid w:val="009A33BE"/>
    <w:rsid w:val="009A3F67"/>
    <w:rsid w:val="009A5302"/>
    <w:rsid w:val="009A793E"/>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391"/>
    <w:rsid w:val="009C3841"/>
    <w:rsid w:val="009C59F4"/>
    <w:rsid w:val="009C607A"/>
    <w:rsid w:val="009C6929"/>
    <w:rsid w:val="009C6A52"/>
    <w:rsid w:val="009C72C2"/>
    <w:rsid w:val="009C7A68"/>
    <w:rsid w:val="009D183B"/>
    <w:rsid w:val="009D20C4"/>
    <w:rsid w:val="009D2378"/>
    <w:rsid w:val="009D267D"/>
    <w:rsid w:val="009D30C1"/>
    <w:rsid w:val="009D3356"/>
    <w:rsid w:val="009D3CB7"/>
    <w:rsid w:val="009D3DBF"/>
    <w:rsid w:val="009D4901"/>
    <w:rsid w:val="009D4C43"/>
    <w:rsid w:val="009D5068"/>
    <w:rsid w:val="009D5281"/>
    <w:rsid w:val="009D5656"/>
    <w:rsid w:val="009D5AC5"/>
    <w:rsid w:val="009D5D6A"/>
    <w:rsid w:val="009D6566"/>
    <w:rsid w:val="009D6EC6"/>
    <w:rsid w:val="009D7058"/>
    <w:rsid w:val="009D76EB"/>
    <w:rsid w:val="009E01AF"/>
    <w:rsid w:val="009E021F"/>
    <w:rsid w:val="009E0336"/>
    <w:rsid w:val="009E08CA"/>
    <w:rsid w:val="009E10EC"/>
    <w:rsid w:val="009E10F6"/>
    <w:rsid w:val="009E1628"/>
    <w:rsid w:val="009E2622"/>
    <w:rsid w:val="009E2B95"/>
    <w:rsid w:val="009E2F5D"/>
    <w:rsid w:val="009E34FA"/>
    <w:rsid w:val="009E3D69"/>
    <w:rsid w:val="009E3DB9"/>
    <w:rsid w:val="009E4B0C"/>
    <w:rsid w:val="009E4B72"/>
    <w:rsid w:val="009E5AF3"/>
    <w:rsid w:val="009E646B"/>
    <w:rsid w:val="009E7B07"/>
    <w:rsid w:val="009F050C"/>
    <w:rsid w:val="009F1587"/>
    <w:rsid w:val="009F29A5"/>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01B"/>
    <w:rsid w:val="00A0357E"/>
    <w:rsid w:val="00A03CB6"/>
    <w:rsid w:val="00A03CB7"/>
    <w:rsid w:val="00A04078"/>
    <w:rsid w:val="00A040CB"/>
    <w:rsid w:val="00A041FD"/>
    <w:rsid w:val="00A0428C"/>
    <w:rsid w:val="00A045DB"/>
    <w:rsid w:val="00A04848"/>
    <w:rsid w:val="00A04D47"/>
    <w:rsid w:val="00A05070"/>
    <w:rsid w:val="00A05B40"/>
    <w:rsid w:val="00A06A2F"/>
    <w:rsid w:val="00A06D1F"/>
    <w:rsid w:val="00A06F57"/>
    <w:rsid w:val="00A06FB2"/>
    <w:rsid w:val="00A073BA"/>
    <w:rsid w:val="00A07A56"/>
    <w:rsid w:val="00A1031F"/>
    <w:rsid w:val="00A10D42"/>
    <w:rsid w:val="00A1186C"/>
    <w:rsid w:val="00A11D0D"/>
    <w:rsid w:val="00A12661"/>
    <w:rsid w:val="00A12D31"/>
    <w:rsid w:val="00A12F8B"/>
    <w:rsid w:val="00A132B8"/>
    <w:rsid w:val="00A13C0F"/>
    <w:rsid w:val="00A164A6"/>
    <w:rsid w:val="00A165FE"/>
    <w:rsid w:val="00A1685F"/>
    <w:rsid w:val="00A16EFC"/>
    <w:rsid w:val="00A17A7F"/>
    <w:rsid w:val="00A20FD0"/>
    <w:rsid w:val="00A21357"/>
    <w:rsid w:val="00A215C1"/>
    <w:rsid w:val="00A21B13"/>
    <w:rsid w:val="00A22381"/>
    <w:rsid w:val="00A22E99"/>
    <w:rsid w:val="00A23061"/>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4C28"/>
    <w:rsid w:val="00A352E3"/>
    <w:rsid w:val="00A35446"/>
    <w:rsid w:val="00A35615"/>
    <w:rsid w:val="00A3583F"/>
    <w:rsid w:val="00A360DF"/>
    <w:rsid w:val="00A36936"/>
    <w:rsid w:val="00A37129"/>
    <w:rsid w:val="00A37825"/>
    <w:rsid w:val="00A37DA2"/>
    <w:rsid w:val="00A402B7"/>
    <w:rsid w:val="00A4105D"/>
    <w:rsid w:val="00A41757"/>
    <w:rsid w:val="00A417FE"/>
    <w:rsid w:val="00A41FA8"/>
    <w:rsid w:val="00A41FF8"/>
    <w:rsid w:val="00A426F3"/>
    <w:rsid w:val="00A42E01"/>
    <w:rsid w:val="00A4381B"/>
    <w:rsid w:val="00A44166"/>
    <w:rsid w:val="00A448E0"/>
    <w:rsid w:val="00A456F5"/>
    <w:rsid w:val="00A45C42"/>
    <w:rsid w:val="00A45C71"/>
    <w:rsid w:val="00A4628E"/>
    <w:rsid w:val="00A47209"/>
    <w:rsid w:val="00A47455"/>
    <w:rsid w:val="00A47FB5"/>
    <w:rsid w:val="00A51781"/>
    <w:rsid w:val="00A51799"/>
    <w:rsid w:val="00A5203E"/>
    <w:rsid w:val="00A52320"/>
    <w:rsid w:val="00A52762"/>
    <w:rsid w:val="00A537AD"/>
    <w:rsid w:val="00A54A2D"/>
    <w:rsid w:val="00A54AAC"/>
    <w:rsid w:val="00A55915"/>
    <w:rsid w:val="00A55A68"/>
    <w:rsid w:val="00A56094"/>
    <w:rsid w:val="00A5698E"/>
    <w:rsid w:val="00A56B70"/>
    <w:rsid w:val="00A575B4"/>
    <w:rsid w:val="00A608CD"/>
    <w:rsid w:val="00A60A4A"/>
    <w:rsid w:val="00A64280"/>
    <w:rsid w:val="00A64C7D"/>
    <w:rsid w:val="00A64E0F"/>
    <w:rsid w:val="00A654A2"/>
    <w:rsid w:val="00A654DF"/>
    <w:rsid w:val="00A655E9"/>
    <w:rsid w:val="00A65731"/>
    <w:rsid w:val="00A66CB2"/>
    <w:rsid w:val="00A67461"/>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1C86"/>
    <w:rsid w:val="00A82415"/>
    <w:rsid w:val="00A82953"/>
    <w:rsid w:val="00A82B2C"/>
    <w:rsid w:val="00A833A8"/>
    <w:rsid w:val="00A83D36"/>
    <w:rsid w:val="00A8427B"/>
    <w:rsid w:val="00A84B23"/>
    <w:rsid w:val="00A84B4C"/>
    <w:rsid w:val="00A8517B"/>
    <w:rsid w:val="00A85897"/>
    <w:rsid w:val="00A86E22"/>
    <w:rsid w:val="00A87169"/>
    <w:rsid w:val="00A87174"/>
    <w:rsid w:val="00A87279"/>
    <w:rsid w:val="00A87E95"/>
    <w:rsid w:val="00A900FE"/>
    <w:rsid w:val="00A92C9A"/>
    <w:rsid w:val="00A9370A"/>
    <w:rsid w:val="00A94848"/>
    <w:rsid w:val="00A94E2C"/>
    <w:rsid w:val="00A94F2D"/>
    <w:rsid w:val="00A95DD5"/>
    <w:rsid w:val="00A96022"/>
    <w:rsid w:val="00A966F4"/>
    <w:rsid w:val="00A96770"/>
    <w:rsid w:val="00A97932"/>
    <w:rsid w:val="00AA0197"/>
    <w:rsid w:val="00AA029D"/>
    <w:rsid w:val="00AA0D66"/>
    <w:rsid w:val="00AA11A2"/>
    <w:rsid w:val="00AA1C64"/>
    <w:rsid w:val="00AA20E4"/>
    <w:rsid w:val="00AA221F"/>
    <w:rsid w:val="00AA2502"/>
    <w:rsid w:val="00AA2C0B"/>
    <w:rsid w:val="00AA2CA6"/>
    <w:rsid w:val="00AA2DFD"/>
    <w:rsid w:val="00AA3786"/>
    <w:rsid w:val="00AA38B9"/>
    <w:rsid w:val="00AA3B37"/>
    <w:rsid w:val="00AA438D"/>
    <w:rsid w:val="00AA4AD5"/>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B73B7"/>
    <w:rsid w:val="00AC00B1"/>
    <w:rsid w:val="00AC0229"/>
    <w:rsid w:val="00AC12CF"/>
    <w:rsid w:val="00AC154D"/>
    <w:rsid w:val="00AC2548"/>
    <w:rsid w:val="00AC3C32"/>
    <w:rsid w:val="00AC3DB8"/>
    <w:rsid w:val="00AD0464"/>
    <w:rsid w:val="00AD100C"/>
    <w:rsid w:val="00AD2540"/>
    <w:rsid w:val="00AD38ED"/>
    <w:rsid w:val="00AD39D6"/>
    <w:rsid w:val="00AD3C97"/>
    <w:rsid w:val="00AD40FF"/>
    <w:rsid w:val="00AD4282"/>
    <w:rsid w:val="00AD5A42"/>
    <w:rsid w:val="00AD6EF0"/>
    <w:rsid w:val="00AD7073"/>
    <w:rsid w:val="00AD77FD"/>
    <w:rsid w:val="00AD79E2"/>
    <w:rsid w:val="00AD7FFB"/>
    <w:rsid w:val="00AE1201"/>
    <w:rsid w:val="00AE1C5C"/>
    <w:rsid w:val="00AE271F"/>
    <w:rsid w:val="00AE3DF5"/>
    <w:rsid w:val="00AE4CFF"/>
    <w:rsid w:val="00AE4E46"/>
    <w:rsid w:val="00AE52B0"/>
    <w:rsid w:val="00AE54F8"/>
    <w:rsid w:val="00AE5C7F"/>
    <w:rsid w:val="00AE66F3"/>
    <w:rsid w:val="00AE6916"/>
    <w:rsid w:val="00AF1629"/>
    <w:rsid w:val="00AF1B39"/>
    <w:rsid w:val="00AF1B42"/>
    <w:rsid w:val="00AF2172"/>
    <w:rsid w:val="00AF31BD"/>
    <w:rsid w:val="00AF3B8C"/>
    <w:rsid w:val="00AF3E80"/>
    <w:rsid w:val="00AF4CB2"/>
    <w:rsid w:val="00AF4E0C"/>
    <w:rsid w:val="00AF4E17"/>
    <w:rsid w:val="00AF580C"/>
    <w:rsid w:val="00AF5B71"/>
    <w:rsid w:val="00AF67FD"/>
    <w:rsid w:val="00AF6C6B"/>
    <w:rsid w:val="00AF6E07"/>
    <w:rsid w:val="00AF72B1"/>
    <w:rsid w:val="00B0093A"/>
    <w:rsid w:val="00B00AAC"/>
    <w:rsid w:val="00B02152"/>
    <w:rsid w:val="00B0229E"/>
    <w:rsid w:val="00B02BB1"/>
    <w:rsid w:val="00B02F70"/>
    <w:rsid w:val="00B02FB6"/>
    <w:rsid w:val="00B03ACC"/>
    <w:rsid w:val="00B03FF8"/>
    <w:rsid w:val="00B04123"/>
    <w:rsid w:val="00B049EC"/>
    <w:rsid w:val="00B04DD6"/>
    <w:rsid w:val="00B050D6"/>
    <w:rsid w:val="00B05547"/>
    <w:rsid w:val="00B07482"/>
    <w:rsid w:val="00B0768C"/>
    <w:rsid w:val="00B10264"/>
    <w:rsid w:val="00B11FF2"/>
    <w:rsid w:val="00B1212B"/>
    <w:rsid w:val="00B125A0"/>
    <w:rsid w:val="00B13177"/>
    <w:rsid w:val="00B13705"/>
    <w:rsid w:val="00B13E8D"/>
    <w:rsid w:val="00B15165"/>
    <w:rsid w:val="00B15852"/>
    <w:rsid w:val="00B161B4"/>
    <w:rsid w:val="00B16887"/>
    <w:rsid w:val="00B176C8"/>
    <w:rsid w:val="00B20379"/>
    <w:rsid w:val="00B20655"/>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AAA"/>
    <w:rsid w:val="00B34E8B"/>
    <w:rsid w:val="00B36081"/>
    <w:rsid w:val="00B372E3"/>
    <w:rsid w:val="00B37C1A"/>
    <w:rsid w:val="00B37D09"/>
    <w:rsid w:val="00B40212"/>
    <w:rsid w:val="00B40B0C"/>
    <w:rsid w:val="00B40B73"/>
    <w:rsid w:val="00B41312"/>
    <w:rsid w:val="00B417BF"/>
    <w:rsid w:val="00B42215"/>
    <w:rsid w:val="00B438BE"/>
    <w:rsid w:val="00B453AD"/>
    <w:rsid w:val="00B45776"/>
    <w:rsid w:val="00B462D1"/>
    <w:rsid w:val="00B46D2B"/>
    <w:rsid w:val="00B50446"/>
    <w:rsid w:val="00B514A0"/>
    <w:rsid w:val="00B51B10"/>
    <w:rsid w:val="00B523E5"/>
    <w:rsid w:val="00B528A3"/>
    <w:rsid w:val="00B52E31"/>
    <w:rsid w:val="00B5349D"/>
    <w:rsid w:val="00B534E9"/>
    <w:rsid w:val="00B54BDD"/>
    <w:rsid w:val="00B5501D"/>
    <w:rsid w:val="00B55584"/>
    <w:rsid w:val="00B558B6"/>
    <w:rsid w:val="00B55AEC"/>
    <w:rsid w:val="00B55C20"/>
    <w:rsid w:val="00B56166"/>
    <w:rsid w:val="00B565A9"/>
    <w:rsid w:val="00B5681F"/>
    <w:rsid w:val="00B56BFC"/>
    <w:rsid w:val="00B56F11"/>
    <w:rsid w:val="00B60E54"/>
    <w:rsid w:val="00B61366"/>
    <w:rsid w:val="00B6152A"/>
    <w:rsid w:val="00B61A36"/>
    <w:rsid w:val="00B61E5C"/>
    <w:rsid w:val="00B6208F"/>
    <w:rsid w:val="00B6219D"/>
    <w:rsid w:val="00B62B0D"/>
    <w:rsid w:val="00B62E87"/>
    <w:rsid w:val="00B635E2"/>
    <w:rsid w:val="00B636E6"/>
    <w:rsid w:val="00B646C8"/>
    <w:rsid w:val="00B64DB8"/>
    <w:rsid w:val="00B65654"/>
    <w:rsid w:val="00B658F8"/>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677"/>
    <w:rsid w:val="00BA3973"/>
    <w:rsid w:val="00BA42E0"/>
    <w:rsid w:val="00BA5246"/>
    <w:rsid w:val="00BA541C"/>
    <w:rsid w:val="00BA59AD"/>
    <w:rsid w:val="00BA63BB"/>
    <w:rsid w:val="00BA65C8"/>
    <w:rsid w:val="00BA6A89"/>
    <w:rsid w:val="00BA6F7A"/>
    <w:rsid w:val="00BA76AF"/>
    <w:rsid w:val="00BA79B7"/>
    <w:rsid w:val="00BB0D35"/>
    <w:rsid w:val="00BB13C5"/>
    <w:rsid w:val="00BB1447"/>
    <w:rsid w:val="00BB1812"/>
    <w:rsid w:val="00BB230C"/>
    <w:rsid w:val="00BB23CB"/>
    <w:rsid w:val="00BB2532"/>
    <w:rsid w:val="00BB2686"/>
    <w:rsid w:val="00BB37EA"/>
    <w:rsid w:val="00BB3936"/>
    <w:rsid w:val="00BB3A96"/>
    <w:rsid w:val="00BB3D8C"/>
    <w:rsid w:val="00BB46AD"/>
    <w:rsid w:val="00BB4D08"/>
    <w:rsid w:val="00BB6A68"/>
    <w:rsid w:val="00BB739C"/>
    <w:rsid w:val="00BB7905"/>
    <w:rsid w:val="00BC0108"/>
    <w:rsid w:val="00BC088B"/>
    <w:rsid w:val="00BC1305"/>
    <w:rsid w:val="00BC15C0"/>
    <w:rsid w:val="00BC2587"/>
    <w:rsid w:val="00BC26C1"/>
    <w:rsid w:val="00BC342A"/>
    <w:rsid w:val="00BC40F2"/>
    <w:rsid w:val="00BC45CE"/>
    <w:rsid w:val="00BC4F3D"/>
    <w:rsid w:val="00BC64CE"/>
    <w:rsid w:val="00BC68AD"/>
    <w:rsid w:val="00BC7112"/>
    <w:rsid w:val="00BD0C00"/>
    <w:rsid w:val="00BD0DA0"/>
    <w:rsid w:val="00BD3693"/>
    <w:rsid w:val="00BD438C"/>
    <w:rsid w:val="00BD4843"/>
    <w:rsid w:val="00BD492B"/>
    <w:rsid w:val="00BD4F9A"/>
    <w:rsid w:val="00BD5489"/>
    <w:rsid w:val="00BD5B0D"/>
    <w:rsid w:val="00BD5E19"/>
    <w:rsid w:val="00BD6D4E"/>
    <w:rsid w:val="00BD71F1"/>
    <w:rsid w:val="00BD74CF"/>
    <w:rsid w:val="00BE03E1"/>
    <w:rsid w:val="00BE1746"/>
    <w:rsid w:val="00BE1BBE"/>
    <w:rsid w:val="00BE1FF8"/>
    <w:rsid w:val="00BE2C9F"/>
    <w:rsid w:val="00BE3239"/>
    <w:rsid w:val="00BE36D5"/>
    <w:rsid w:val="00BE38E1"/>
    <w:rsid w:val="00BE4FDC"/>
    <w:rsid w:val="00BE6056"/>
    <w:rsid w:val="00BE6217"/>
    <w:rsid w:val="00BE7C10"/>
    <w:rsid w:val="00BE7E4D"/>
    <w:rsid w:val="00BF01B9"/>
    <w:rsid w:val="00BF0D7C"/>
    <w:rsid w:val="00BF1235"/>
    <w:rsid w:val="00BF1F39"/>
    <w:rsid w:val="00BF2AD9"/>
    <w:rsid w:val="00BF2FDA"/>
    <w:rsid w:val="00BF3046"/>
    <w:rsid w:val="00BF5877"/>
    <w:rsid w:val="00BF68A1"/>
    <w:rsid w:val="00C006E1"/>
    <w:rsid w:val="00C0070E"/>
    <w:rsid w:val="00C013E9"/>
    <w:rsid w:val="00C01536"/>
    <w:rsid w:val="00C0185C"/>
    <w:rsid w:val="00C01AE5"/>
    <w:rsid w:val="00C0372A"/>
    <w:rsid w:val="00C045DA"/>
    <w:rsid w:val="00C04F09"/>
    <w:rsid w:val="00C05673"/>
    <w:rsid w:val="00C056CD"/>
    <w:rsid w:val="00C05725"/>
    <w:rsid w:val="00C060AE"/>
    <w:rsid w:val="00C06237"/>
    <w:rsid w:val="00C06404"/>
    <w:rsid w:val="00C06502"/>
    <w:rsid w:val="00C067A6"/>
    <w:rsid w:val="00C0780B"/>
    <w:rsid w:val="00C07BB8"/>
    <w:rsid w:val="00C07CCB"/>
    <w:rsid w:val="00C1015F"/>
    <w:rsid w:val="00C1063F"/>
    <w:rsid w:val="00C11D9D"/>
    <w:rsid w:val="00C1285B"/>
    <w:rsid w:val="00C1296A"/>
    <w:rsid w:val="00C12A71"/>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D65"/>
    <w:rsid w:val="00C22F22"/>
    <w:rsid w:val="00C2365F"/>
    <w:rsid w:val="00C23BF3"/>
    <w:rsid w:val="00C23FDB"/>
    <w:rsid w:val="00C24B6B"/>
    <w:rsid w:val="00C24FEC"/>
    <w:rsid w:val="00C25A02"/>
    <w:rsid w:val="00C26147"/>
    <w:rsid w:val="00C268F6"/>
    <w:rsid w:val="00C26F23"/>
    <w:rsid w:val="00C279BB"/>
    <w:rsid w:val="00C27D1A"/>
    <w:rsid w:val="00C31200"/>
    <w:rsid w:val="00C31A08"/>
    <w:rsid w:val="00C31BE7"/>
    <w:rsid w:val="00C32229"/>
    <w:rsid w:val="00C32415"/>
    <w:rsid w:val="00C32DE7"/>
    <w:rsid w:val="00C32F73"/>
    <w:rsid w:val="00C32FD3"/>
    <w:rsid w:val="00C341CB"/>
    <w:rsid w:val="00C3542E"/>
    <w:rsid w:val="00C35B5E"/>
    <w:rsid w:val="00C364A1"/>
    <w:rsid w:val="00C3695D"/>
    <w:rsid w:val="00C370A0"/>
    <w:rsid w:val="00C3736F"/>
    <w:rsid w:val="00C4017A"/>
    <w:rsid w:val="00C404FF"/>
    <w:rsid w:val="00C40770"/>
    <w:rsid w:val="00C41357"/>
    <w:rsid w:val="00C41799"/>
    <w:rsid w:val="00C41B56"/>
    <w:rsid w:val="00C42196"/>
    <w:rsid w:val="00C4244D"/>
    <w:rsid w:val="00C42C2F"/>
    <w:rsid w:val="00C43B8F"/>
    <w:rsid w:val="00C4450E"/>
    <w:rsid w:val="00C44980"/>
    <w:rsid w:val="00C45268"/>
    <w:rsid w:val="00C455CD"/>
    <w:rsid w:val="00C45BBF"/>
    <w:rsid w:val="00C46708"/>
    <w:rsid w:val="00C474EF"/>
    <w:rsid w:val="00C500D2"/>
    <w:rsid w:val="00C50922"/>
    <w:rsid w:val="00C51440"/>
    <w:rsid w:val="00C52089"/>
    <w:rsid w:val="00C53E87"/>
    <w:rsid w:val="00C55CDE"/>
    <w:rsid w:val="00C5608A"/>
    <w:rsid w:val="00C56885"/>
    <w:rsid w:val="00C56AE3"/>
    <w:rsid w:val="00C56D20"/>
    <w:rsid w:val="00C57069"/>
    <w:rsid w:val="00C57680"/>
    <w:rsid w:val="00C57997"/>
    <w:rsid w:val="00C60F3A"/>
    <w:rsid w:val="00C6124E"/>
    <w:rsid w:val="00C613CF"/>
    <w:rsid w:val="00C6230B"/>
    <w:rsid w:val="00C6257D"/>
    <w:rsid w:val="00C632FA"/>
    <w:rsid w:val="00C635D0"/>
    <w:rsid w:val="00C64273"/>
    <w:rsid w:val="00C647F8"/>
    <w:rsid w:val="00C65B9B"/>
    <w:rsid w:val="00C65CE0"/>
    <w:rsid w:val="00C67249"/>
    <w:rsid w:val="00C67698"/>
    <w:rsid w:val="00C70952"/>
    <w:rsid w:val="00C70977"/>
    <w:rsid w:val="00C70B81"/>
    <w:rsid w:val="00C724E4"/>
    <w:rsid w:val="00C732D8"/>
    <w:rsid w:val="00C7377B"/>
    <w:rsid w:val="00C737D7"/>
    <w:rsid w:val="00C73886"/>
    <w:rsid w:val="00C73DC4"/>
    <w:rsid w:val="00C7423F"/>
    <w:rsid w:val="00C74D41"/>
    <w:rsid w:val="00C756FD"/>
    <w:rsid w:val="00C75775"/>
    <w:rsid w:val="00C75C57"/>
    <w:rsid w:val="00C76261"/>
    <w:rsid w:val="00C76E4E"/>
    <w:rsid w:val="00C77025"/>
    <w:rsid w:val="00C80261"/>
    <w:rsid w:val="00C808D5"/>
    <w:rsid w:val="00C810FC"/>
    <w:rsid w:val="00C82CF3"/>
    <w:rsid w:val="00C83543"/>
    <w:rsid w:val="00C83651"/>
    <w:rsid w:val="00C83754"/>
    <w:rsid w:val="00C83F2B"/>
    <w:rsid w:val="00C843FD"/>
    <w:rsid w:val="00C84998"/>
    <w:rsid w:val="00C855DB"/>
    <w:rsid w:val="00C85611"/>
    <w:rsid w:val="00C9111E"/>
    <w:rsid w:val="00C91446"/>
    <w:rsid w:val="00C919AB"/>
    <w:rsid w:val="00C91C2E"/>
    <w:rsid w:val="00C92681"/>
    <w:rsid w:val="00C944AB"/>
    <w:rsid w:val="00C94994"/>
    <w:rsid w:val="00C94C04"/>
    <w:rsid w:val="00C951C1"/>
    <w:rsid w:val="00C958E3"/>
    <w:rsid w:val="00C95FEF"/>
    <w:rsid w:val="00C9600B"/>
    <w:rsid w:val="00C962CF"/>
    <w:rsid w:val="00C96BE2"/>
    <w:rsid w:val="00C96F6C"/>
    <w:rsid w:val="00C96FBE"/>
    <w:rsid w:val="00C97806"/>
    <w:rsid w:val="00C978B4"/>
    <w:rsid w:val="00CA069E"/>
    <w:rsid w:val="00CA1A5E"/>
    <w:rsid w:val="00CA1BD1"/>
    <w:rsid w:val="00CA1D49"/>
    <w:rsid w:val="00CA22A3"/>
    <w:rsid w:val="00CA2377"/>
    <w:rsid w:val="00CA265A"/>
    <w:rsid w:val="00CA2D94"/>
    <w:rsid w:val="00CA403B"/>
    <w:rsid w:val="00CA476E"/>
    <w:rsid w:val="00CA4B98"/>
    <w:rsid w:val="00CA4BFA"/>
    <w:rsid w:val="00CA5463"/>
    <w:rsid w:val="00CA5A6D"/>
    <w:rsid w:val="00CA5E32"/>
    <w:rsid w:val="00CA6CF9"/>
    <w:rsid w:val="00CA7E45"/>
    <w:rsid w:val="00CB1AC1"/>
    <w:rsid w:val="00CB26F2"/>
    <w:rsid w:val="00CB2BAE"/>
    <w:rsid w:val="00CB3166"/>
    <w:rsid w:val="00CB36D9"/>
    <w:rsid w:val="00CB40D4"/>
    <w:rsid w:val="00CB4885"/>
    <w:rsid w:val="00CB638D"/>
    <w:rsid w:val="00CB6900"/>
    <w:rsid w:val="00CB6EB4"/>
    <w:rsid w:val="00CB7439"/>
    <w:rsid w:val="00CB748E"/>
    <w:rsid w:val="00CB7C3A"/>
    <w:rsid w:val="00CC0FC3"/>
    <w:rsid w:val="00CC1406"/>
    <w:rsid w:val="00CC154C"/>
    <w:rsid w:val="00CC1DB2"/>
    <w:rsid w:val="00CC3509"/>
    <w:rsid w:val="00CC367C"/>
    <w:rsid w:val="00CC3FEE"/>
    <w:rsid w:val="00CC416D"/>
    <w:rsid w:val="00CC45E5"/>
    <w:rsid w:val="00CC466F"/>
    <w:rsid w:val="00CC55E8"/>
    <w:rsid w:val="00CC5DF0"/>
    <w:rsid w:val="00CC5EF4"/>
    <w:rsid w:val="00CC71C6"/>
    <w:rsid w:val="00CC7E7D"/>
    <w:rsid w:val="00CD0968"/>
    <w:rsid w:val="00CD1491"/>
    <w:rsid w:val="00CD254E"/>
    <w:rsid w:val="00CD2580"/>
    <w:rsid w:val="00CD3739"/>
    <w:rsid w:val="00CD3AE0"/>
    <w:rsid w:val="00CD3B16"/>
    <w:rsid w:val="00CD4B83"/>
    <w:rsid w:val="00CD5020"/>
    <w:rsid w:val="00CD58BA"/>
    <w:rsid w:val="00CD6145"/>
    <w:rsid w:val="00CD64DE"/>
    <w:rsid w:val="00CD681F"/>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21C"/>
    <w:rsid w:val="00CF10EF"/>
    <w:rsid w:val="00CF1F53"/>
    <w:rsid w:val="00CF1FAE"/>
    <w:rsid w:val="00CF27F9"/>
    <w:rsid w:val="00CF3BED"/>
    <w:rsid w:val="00CF4A6D"/>
    <w:rsid w:val="00CF50FD"/>
    <w:rsid w:val="00CF58B9"/>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1E53"/>
    <w:rsid w:val="00D0267B"/>
    <w:rsid w:val="00D032B4"/>
    <w:rsid w:val="00D03AC3"/>
    <w:rsid w:val="00D040A2"/>
    <w:rsid w:val="00D05320"/>
    <w:rsid w:val="00D055E6"/>
    <w:rsid w:val="00D05CAF"/>
    <w:rsid w:val="00D065AD"/>
    <w:rsid w:val="00D06BB8"/>
    <w:rsid w:val="00D072EF"/>
    <w:rsid w:val="00D07394"/>
    <w:rsid w:val="00D07A9C"/>
    <w:rsid w:val="00D10A14"/>
    <w:rsid w:val="00D113FF"/>
    <w:rsid w:val="00D11E7B"/>
    <w:rsid w:val="00D11F9A"/>
    <w:rsid w:val="00D12C52"/>
    <w:rsid w:val="00D12C55"/>
    <w:rsid w:val="00D12D84"/>
    <w:rsid w:val="00D14E13"/>
    <w:rsid w:val="00D16547"/>
    <w:rsid w:val="00D17802"/>
    <w:rsid w:val="00D20368"/>
    <w:rsid w:val="00D209D8"/>
    <w:rsid w:val="00D20B6C"/>
    <w:rsid w:val="00D20DAB"/>
    <w:rsid w:val="00D20E00"/>
    <w:rsid w:val="00D2186C"/>
    <w:rsid w:val="00D239A5"/>
    <w:rsid w:val="00D24260"/>
    <w:rsid w:val="00D2457A"/>
    <w:rsid w:val="00D25024"/>
    <w:rsid w:val="00D25A36"/>
    <w:rsid w:val="00D25BDD"/>
    <w:rsid w:val="00D26250"/>
    <w:rsid w:val="00D26F20"/>
    <w:rsid w:val="00D2737B"/>
    <w:rsid w:val="00D3007F"/>
    <w:rsid w:val="00D30447"/>
    <w:rsid w:val="00D30DBA"/>
    <w:rsid w:val="00D30EC7"/>
    <w:rsid w:val="00D316AE"/>
    <w:rsid w:val="00D324D8"/>
    <w:rsid w:val="00D33362"/>
    <w:rsid w:val="00D33C0D"/>
    <w:rsid w:val="00D34C41"/>
    <w:rsid w:val="00D35BC6"/>
    <w:rsid w:val="00D3635F"/>
    <w:rsid w:val="00D36532"/>
    <w:rsid w:val="00D367F9"/>
    <w:rsid w:val="00D37FBA"/>
    <w:rsid w:val="00D40A87"/>
    <w:rsid w:val="00D40BF5"/>
    <w:rsid w:val="00D4166E"/>
    <w:rsid w:val="00D418AA"/>
    <w:rsid w:val="00D41CA2"/>
    <w:rsid w:val="00D42026"/>
    <w:rsid w:val="00D424A2"/>
    <w:rsid w:val="00D4251B"/>
    <w:rsid w:val="00D42ECA"/>
    <w:rsid w:val="00D43649"/>
    <w:rsid w:val="00D44BD1"/>
    <w:rsid w:val="00D45359"/>
    <w:rsid w:val="00D47AB6"/>
    <w:rsid w:val="00D507D9"/>
    <w:rsid w:val="00D50BC3"/>
    <w:rsid w:val="00D50EEB"/>
    <w:rsid w:val="00D52D6B"/>
    <w:rsid w:val="00D52E63"/>
    <w:rsid w:val="00D53E86"/>
    <w:rsid w:val="00D545A8"/>
    <w:rsid w:val="00D548A5"/>
    <w:rsid w:val="00D548E5"/>
    <w:rsid w:val="00D553BC"/>
    <w:rsid w:val="00D55BD9"/>
    <w:rsid w:val="00D56163"/>
    <w:rsid w:val="00D566F5"/>
    <w:rsid w:val="00D56BF3"/>
    <w:rsid w:val="00D60503"/>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2097"/>
    <w:rsid w:val="00D7233A"/>
    <w:rsid w:val="00D72510"/>
    <w:rsid w:val="00D73167"/>
    <w:rsid w:val="00D7322F"/>
    <w:rsid w:val="00D73481"/>
    <w:rsid w:val="00D73C07"/>
    <w:rsid w:val="00D743AB"/>
    <w:rsid w:val="00D74799"/>
    <w:rsid w:val="00D74FDC"/>
    <w:rsid w:val="00D7536B"/>
    <w:rsid w:val="00D75AD5"/>
    <w:rsid w:val="00D76FEA"/>
    <w:rsid w:val="00D77C64"/>
    <w:rsid w:val="00D81033"/>
    <w:rsid w:val="00D81136"/>
    <w:rsid w:val="00D82C07"/>
    <w:rsid w:val="00D82CE9"/>
    <w:rsid w:val="00D8317A"/>
    <w:rsid w:val="00D832F2"/>
    <w:rsid w:val="00D846C9"/>
    <w:rsid w:val="00D84AEE"/>
    <w:rsid w:val="00D8502A"/>
    <w:rsid w:val="00D850ED"/>
    <w:rsid w:val="00D85E53"/>
    <w:rsid w:val="00D865D9"/>
    <w:rsid w:val="00D86B99"/>
    <w:rsid w:val="00D9154A"/>
    <w:rsid w:val="00D91978"/>
    <w:rsid w:val="00D923F4"/>
    <w:rsid w:val="00D93271"/>
    <w:rsid w:val="00D93F15"/>
    <w:rsid w:val="00D9475D"/>
    <w:rsid w:val="00D96319"/>
    <w:rsid w:val="00D964D8"/>
    <w:rsid w:val="00D96E0E"/>
    <w:rsid w:val="00DA020A"/>
    <w:rsid w:val="00DA07B6"/>
    <w:rsid w:val="00DA0CA2"/>
    <w:rsid w:val="00DA158D"/>
    <w:rsid w:val="00DA1A82"/>
    <w:rsid w:val="00DA1D14"/>
    <w:rsid w:val="00DA3B52"/>
    <w:rsid w:val="00DA4151"/>
    <w:rsid w:val="00DA4B87"/>
    <w:rsid w:val="00DA5129"/>
    <w:rsid w:val="00DA54E7"/>
    <w:rsid w:val="00DA5795"/>
    <w:rsid w:val="00DA5945"/>
    <w:rsid w:val="00DA63A9"/>
    <w:rsid w:val="00DA717D"/>
    <w:rsid w:val="00DA7986"/>
    <w:rsid w:val="00DA7A5F"/>
    <w:rsid w:val="00DB0226"/>
    <w:rsid w:val="00DB05C4"/>
    <w:rsid w:val="00DB069A"/>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6BB1"/>
    <w:rsid w:val="00DB77AF"/>
    <w:rsid w:val="00DB7F38"/>
    <w:rsid w:val="00DC09F8"/>
    <w:rsid w:val="00DC0D1A"/>
    <w:rsid w:val="00DC1C5C"/>
    <w:rsid w:val="00DC1E6D"/>
    <w:rsid w:val="00DC2465"/>
    <w:rsid w:val="00DC252B"/>
    <w:rsid w:val="00DC2811"/>
    <w:rsid w:val="00DC458D"/>
    <w:rsid w:val="00DC480C"/>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3DE"/>
    <w:rsid w:val="00DD3AC7"/>
    <w:rsid w:val="00DD3C71"/>
    <w:rsid w:val="00DD3CB3"/>
    <w:rsid w:val="00DD3D23"/>
    <w:rsid w:val="00DD476F"/>
    <w:rsid w:val="00DD4E98"/>
    <w:rsid w:val="00DD5490"/>
    <w:rsid w:val="00DD58B8"/>
    <w:rsid w:val="00DD5EFB"/>
    <w:rsid w:val="00DD5F49"/>
    <w:rsid w:val="00DD618F"/>
    <w:rsid w:val="00DD6784"/>
    <w:rsid w:val="00DD7A5E"/>
    <w:rsid w:val="00DD7A78"/>
    <w:rsid w:val="00DE00F6"/>
    <w:rsid w:val="00DE1132"/>
    <w:rsid w:val="00DE1176"/>
    <w:rsid w:val="00DE1E31"/>
    <w:rsid w:val="00DE22AD"/>
    <w:rsid w:val="00DE2C26"/>
    <w:rsid w:val="00DE2CFB"/>
    <w:rsid w:val="00DE414D"/>
    <w:rsid w:val="00DE5048"/>
    <w:rsid w:val="00DE56FA"/>
    <w:rsid w:val="00DE5F42"/>
    <w:rsid w:val="00DE68DD"/>
    <w:rsid w:val="00DE77DC"/>
    <w:rsid w:val="00DF0391"/>
    <w:rsid w:val="00DF0DE7"/>
    <w:rsid w:val="00DF0FAE"/>
    <w:rsid w:val="00DF1506"/>
    <w:rsid w:val="00DF1D06"/>
    <w:rsid w:val="00DF1F74"/>
    <w:rsid w:val="00DF2FA1"/>
    <w:rsid w:val="00DF51A7"/>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373"/>
    <w:rsid w:val="00E069C1"/>
    <w:rsid w:val="00E0725D"/>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9BA"/>
    <w:rsid w:val="00E24415"/>
    <w:rsid w:val="00E24B7F"/>
    <w:rsid w:val="00E24D01"/>
    <w:rsid w:val="00E25521"/>
    <w:rsid w:val="00E25917"/>
    <w:rsid w:val="00E261E0"/>
    <w:rsid w:val="00E26580"/>
    <w:rsid w:val="00E2721C"/>
    <w:rsid w:val="00E27B4B"/>
    <w:rsid w:val="00E3028E"/>
    <w:rsid w:val="00E302A8"/>
    <w:rsid w:val="00E311CE"/>
    <w:rsid w:val="00E31D2B"/>
    <w:rsid w:val="00E31E30"/>
    <w:rsid w:val="00E31E40"/>
    <w:rsid w:val="00E33520"/>
    <w:rsid w:val="00E33741"/>
    <w:rsid w:val="00E33D3D"/>
    <w:rsid w:val="00E341FA"/>
    <w:rsid w:val="00E351B8"/>
    <w:rsid w:val="00E355B7"/>
    <w:rsid w:val="00E35EC1"/>
    <w:rsid w:val="00E35F95"/>
    <w:rsid w:val="00E3623E"/>
    <w:rsid w:val="00E36893"/>
    <w:rsid w:val="00E369E0"/>
    <w:rsid w:val="00E36B52"/>
    <w:rsid w:val="00E36F87"/>
    <w:rsid w:val="00E36FAF"/>
    <w:rsid w:val="00E375B8"/>
    <w:rsid w:val="00E37775"/>
    <w:rsid w:val="00E37879"/>
    <w:rsid w:val="00E4029A"/>
    <w:rsid w:val="00E40302"/>
    <w:rsid w:val="00E410B5"/>
    <w:rsid w:val="00E41B08"/>
    <w:rsid w:val="00E41D4A"/>
    <w:rsid w:val="00E41DFA"/>
    <w:rsid w:val="00E4205C"/>
    <w:rsid w:val="00E42264"/>
    <w:rsid w:val="00E42D1E"/>
    <w:rsid w:val="00E432A3"/>
    <w:rsid w:val="00E43435"/>
    <w:rsid w:val="00E447FF"/>
    <w:rsid w:val="00E44850"/>
    <w:rsid w:val="00E455A1"/>
    <w:rsid w:val="00E45DF0"/>
    <w:rsid w:val="00E45F05"/>
    <w:rsid w:val="00E476B8"/>
    <w:rsid w:val="00E47A30"/>
    <w:rsid w:val="00E50E09"/>
    <w:rsid w:val="00E512AA"/>
    <w:rsid w:val="00E51F55"/>
    <w:rsid w:val="00E53126"/>
    <w:rsid w:val="00E531FE"/>
    <w:rsid w:val="00E540CA"/>
    <w:rsid w:val="00E54462"/>
    <w:rsid w:val="00E54583"/>
    <w:rsid w:val="00E55F46"/>
    <w:rsid w:val="00E5633C"/>
    <w:rsid w:val="00E56E97"/>
    <w:rsid w:val="00E56EE4"/>
    <w:rsid w:val="00E572DD"/>
    <w:rsid w:val="00E57504"/>
    <w:rsid w:val="00E57F49"/>
    <w:rsid w:val="00E60A17"/>
    <w:rsid w:val="00E621FE"/>
    <w:rsid w:val="00E62CBA"/>
    <w:rsid w:val="00E63E08"/>
    <w:rsid w:val="00E648F7"/>
    <w:rsid w:val="00E64CC9"/>
    <w:rsid w:val="00E65D50"/>
    <w:rsid w:val="00E65E40"/>
    <w:rsid w:val="00E66274"/>
    <w:rsid w:val="00E67861"/>
    <w:rsid w:val="00E67D3C"/>
    <w:rsid w:val="00E702B9"/>
    <w:rsid w:val="00E71269"/>
    <w:rsid w:val="00E71EAE"/>
    <w:rsid w:val="00E74FEC"/>
    <w:rsid w:val="00E75146"/>
    <w:rsid w:val="00E755AB"/>
    <w:rsid w:val="00E75B19"/>
    <w:rsid w:val="00E75BB5"/>
    <w:rsid w:val="00E7676F"/>
    <w:rsid w:val="00E7767C"/>
    <w:rsid w:val="00E77805"/>
    <w:rsid w:val="00E77C72"/>
    <w:rsid w:val="00E801F8"/>
    <w:rsid w:val="00E8167D"/>
    <w:rsid w:val="00E818F1"/>
    <w:rsid w:val="00E81BCF"/>
    <w:rsid w:val="00E8217A"/>
    <w:rsid w:val="00E82708"/>
    <w:rsid w:val="00E8399A"/>
    <w:rsid w:val="00E839A4"/>
    <w:rsid w:val="00E839CE"/>
    <w:rsid w:val="00E83AB6"/>
    <w:rsid w:val="00E83EE2"/>
    <w:rsid w:val="00E86047"/>
    <w:rsid w:val="00E86711"/>
    <w:rsid w:val="00E86798"/>
    <w:rsid w:val="00E87172"/>
    <w:rsid w:val="00E90BD7"/>
    <w:rsid w:val="00E90CAB"/>
    <w:rsid w:val="00E90E54"/>
    <w:rsid w:val="00E9118C"/>
    <w:rsid w:val="00E911AC"/>
    <w:rsid w:val="00E914A9"/>
    <w:rsid w:val="00E92595"/>
    <w:rsid w:val="00E92FE6"/>
    <w:rsid w:val="00E93342"/>
    <w:rsid w:val="00E94929"/>
    <w:rsid w:val="00E9535A"/>
    <w:rsid w:val="00E9569C"/>
    <w:rsid w:val="00E959AC"/>
    <w:rsid w:val="00E968B6"/>
    <w:rsid w:val="00E96D3C"/>
    <w:rsid w:val="00E97839"/>
    <w:rsid w:val="00E97BE5"/>
    <w:rsid w:val="00EA2148"/>
    <w:rsid w:val="00EA2C19"/>
    <w:rsid w:val="00EA3031"/>
    <w:rsid w:val="00EA3072"/>
    <w:rsid w:val="00EA3B39"/>
    <w:rsid w:val="00EA3B87"/>
    <w:rsid w:val="00EA3BBF"/>
    <w:rsid w:val="00EA3EA7"/>
    <w:rsid w:val="00EA4F63"/>
    <w:rsid w:val="00EA5703"/>
    <w:rsid w:val="00EA5851"/>
    <w:rsid w:val="00EA5BB1"/>
    <w:rsid w:val="00EA6786"/>
    <w:rsid w:val="00EA689E"/>
    <w:rsid w:val="00EA778B"/>
    <w:rsid w:val="00EA7C5F"/>
    <w:rsid w:val="00EA7FAC"/>
    <w:rsid w:val="00EB0480"/>
    <w:rsid w:val="00EB0E25"/>
    <w:rsid w:val="00EB1BF9"/>
    <w:rsid w:val="00EB1D2C"/>
    <w:rsid w:val="00EB2497"/>
    <w:rsid w:val="00EB2A4F"/>
    <w:rsid w:val="00EB2ACC"/>
    <w:rsid w:val="00EB2D9B"/>
    <w:rsid w:val="00EB2F4D"/>
    <w:rsid w:val="00EB3AF2"/>
    <w:rsid w:val="00EB3C52"/>
    <w:rsid w:val="00EB51C7"/>
    <w:rsid w:val="00EB5858"/>
    <w:rsid w:val="00EB5DEF"/>
    <w:rsid w:val="00EB61E5"/>
    <w:rsid w:val="00EB67AA"/>
    <w:rsid w:val="00EB70B5"/>
    <w:rsid w:val="00EB780C"/>
    <w:rsid w:val="00EC0AEF"/>
    <w:rsid w:val="00EC27B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4083"/>
    <w:rsid w:val="00ED525B"/>
    <w:rsid w:val="00ED5337"/>
    <w:rsid w:val="00ED59E7"/>
    <w:rsid w:val="00ED7403"/>
    <w:rsid w:val="00ED7AA8"/>
    <w:rsid w:val="00EE057C"/>
    <w:rsid w:val="00EE0858"/>
    <w:rsid w:val="00EE1CC8"/>
    <w:rsid w:val="00EE236A"/>
    <w:rsid w:val="00EE2649"/>
    <w:rsid w:val="00EE2BF9"/>
    <w:rsid w:val="00EE3015"/>
    <w:rsid w:val="00EE31AF"/>
    <w:rsid w:val="00EE34A1"/>
    <w:rsid w:val="00EE41A1"/>
    <w:rsid w:val="00EE50C5"/>
    <w:rsid w:val="00EE536C"/>
    <w:rsid w:val="00EE53E7"/>
    <w:rsid w:val="00EE6B18"/>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4AE7"/>
    <w:rsid w:val="00F2516C"/>
    <w:rsid w:val="00F2560A"/>
    <w:rsid w:val="00F25B7F"/>
    <w:rsid w:val="00F25D74"/>
    <w:rsid w:val="00F2644C"/>
    <w:rsid w:val="00F26992"/>
    <w:rsid w:val="00F26F0E"/>
    <w:rsid w:val="00F27167"/>
    <w:rsid w:val="00F276E4"/>
    <w:rsid w:val="00F2789C"/>
    <w:rsid w:val="00F30B89"/>
    <w:rsid w:val="00F310A3"/>
    <w:rsid w:val="00F31B8A"/>
    <w:rsid w:val="00F31FDD"/>
    <w:rsid w:val="00F323A8"/>
    <w:rsid w:val="00F3251D"/>
    <w:rsid w:val="00F334EB"/>
    <w:rsid w:val="00F34DC1"/>
    <w:rsid w:val="00F34DEA"/>
    <w:rsid w:val="00F35DBE"/>
    <w:rsid w:val="00F36B23"/>
    <w:rsid w:val="00F370C9"/>
    <w:rsid w:val="00F37101"/>
    <w:rsid w:val="00F377CE"/>
    <w:rsid w:val="00F40084"/>
    <w:rsid w:val="00F40094"/>
    <w:rsid w:val="00F40646"/>
    <w:rsid w:val="00F42591"/>
    <w:rsid w:val="00F426C8"/>
    <w:rsid w:val="00F4377C"/>
    <w:rsid w:val="00F44809"/>
    <w:rsid w:val="00F45459"/>
    <w:rsid w:val="00F46D5A"/>
    <w:rsid w:val="00F47305"/>
    <w:rsid w:val="00F5036E"/>
    <w:rsid w:val="00F519A9"/>
    <w:rsid w:val="00F52AF5"/>
    <w:rsid w:val="00F53204"/>
    <w:rsid w:val="00F53337"/>
    <w:rsid w:val="00F53860"/>
    <w:rsid w:val="00F54021"/>
    <w:rsid w:val="00F542AA"/>
    <w:rsid w:val="00F543D3"/>
    <w:rsid w:val="00F551B0"/>
    <w:rsid w:val="00F55452"/>
    <w:rsid w:val="00F55ACE"/>
    <w:rsid w:val="00F55CC1"/>
    <w:rsid w:val="00F55F33"/>
    <w:rsid w:val="00F56A49"/>
    <w:rsid w:val="00F56C72"/>
    <w:rsid w:val="00F60D33"/>
    <w:rsid w:val="00F60D74"/>
    <w:rsid w:val="00F61136"/>
    <w:rsid w:val="00F615F1"/>
    <w:rsid w:val="00F6166A"/>
    <w:rsid w:val="00F624A5"/>
    <w:rsid w:val="00F62A5C"/>
    <w:rsid w:val="00F62D15"/>
    <w:rsid w:val="00F6398A"/>
    <w:rsid w:val="00F63C51"/>
    <w:rsid w:val="00F64C5A"/>
    <w:rsid w:val="00F660EE"/>
    <w:rsid w:val="00F66D81"/>
    <w:rsid w:val="00F67C3E"/>
    <w:rsid w:val="00F70281"/>
    <w:rsid w:val="00F707C2"/>
    <w:rsid w:val="00F707EE"/>
    <w:rsid w:val="00F710EA"/>
    <w:rsid w:val="00F73249"/>
    <w:rsid w:val="00F73524"/>
    <w:rsid w:val="00F73E9C"/>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06D9"/>
    <w:rsid w:val="00F921D2"/>
    <w:rsid w:val="00F92334"/>
    <w:rsid w:val="00F937E1"/>
    <w:rsid w:val="00F93EFB"/>
    <w:rsid w:val="00F94647"/>
    <w:rsid w:val="00F9509F"/>
    <w:rsid w:val="00F9524E"/>
    <w:rsid w:val="00F9557D"/>
    <w:rsid w:val="00F958CB"/>
    <w:rsid w:val="00F95BEE"/>
    <w:rsid w:val="00F95E95"/>
    <w:rsid w:val="00F966D6"/>
    <w:rsid w:val="00F96B6E"/>
    <w:rsid w:val="00F971CA"/>
    <w:rsid w:val="00F97B8D"/>
    <w:rsid w:val="00FA001C"/>
    <w:rsid w:val="00FA0211"/>
    <w:rsid w:val="00FA197C"/>
    <w:rsid w:val="00FA1B8A"/>
    <w:rsid w:val="00FA311C"/>
    <w:rsid w:val="00FA39AD"/>
    <w:rsid w:val="00FA3C84"/>
    <w:rsid w:val="00FA46ED"/>
    <w:rsid w:val="00FA4A5E"/>
    <w:rsid w:val="00FA4B22"/>
    <w:rsid w:val="00FA5829"/>
    <w:rsid w:val="00FA746C"/>
    <w:rsid w:val="00FA7B8D"/>
    <w:rsid w:val="00FB0C83"/>
    <w:rsid w:val="00FB1043"/>
    <w:rsid w:val="00FB20F3"/>
    <w:rsid w:val="00FB226D"/>
    <w:rsid w:val="00FB3041"/>
    <w:rsid w:val="00FB43AC"/>
    <w:rsid w:val="00FB4676"/>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E05FC"/>
    <w:rsid w:val="00FE0693"/>
    <w:rsid w:val="00FE086E"/>
    <w:rsid w:val="00FE0AF4"/>
    <w:rsid w:val="00FE0FCB"/>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01"/>
    <w:rsid w:val="00FF6AA1"/>
    <w:rsid w:val="00FF781D"/>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E87172"/>
    <w:rPr>
      <w:b/>
      <w:bCs/>
    </w:rPr>
  </w:style>
  <w:style w:type="paragraph" w:customStyle="1" w:styleId="temp">
    <w:name w:val="temp"/>
    <w:basedOn w:val="Normal"/>
    <w:rsid w:val="00F950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F9509F"/>
  </w:style>
  <w:style w:type="character" w:customStyle="1" w:styleId="ng-star-inserted">
    <w:name w:val="ng-star-inserted"/>
    <w:basedOn w:val="Fuentedeprrafopredeter"/>
    <w:rsid w:val="00F9509F"/>
  </w:style>
  <w:style w:type="character" w:customStyle="1" w:styleId="registros-movil-hide">
    <w:name w:val="registros-movil-hide"/>
    <w:basedOn w:val="Fuentedeprrafopredeter"/>
    <w:rsid w:val="00D25B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79786431">
      <w:bodyDiv w:val="1"/>
      <w:marLeft w:val="0"/>
      <w:marRight w:val="0"/>
      <w:marTop w:val="0"/>
      <w:marBottom w:val="0"/>
      <w:divBdr>
        <w:top w:val="none" w:sz="0" w:space="0" w:color="auto"/>
        <w:left w:val="none" w:sz="0" w:space="0" w:color="auto"/>
        <w:bottom w:val="none" w:sz="0" w:space="0" w:color="auto"/>
        <w:right w:val="none" w:sz="0" w:space="0" w:color="auto"/>
      </w:divBdr>
    </w:div>
    <w:div w:id="228422609">
      <w:bodyDiv w:val="1"/>
      <w:marLeft w:val="0"/>
      <w:marRight w:val="0"/>
      <w:marTop w:val="0"/>
      <w:marBottom w:val="0"/>
      <w:divBdr>
        <w:top w:val="none" w:sz="0" w:space="0" w:color="auto"/>
        <w:left w:val="none" w:sz="0" w:space="0" w:color="auto"/>
        <w:bottom w:val="none" w:sz="0" w:space="0" w:color="auto"/>
        <w:right w:val="none" w:sz="0" w:space="0" w:color="auto"/>
      </w:divBdr>
    </w:div>
    <w:div w:id="620496177">
      <w:bodyDiv w:val="1"/>
      <w:marLeft w:val="0"/>
      <w:marRight w:val="0"/>
      <w:marTop w:val="0"/>
      <w:marBottom w:val="0"/>
      <w:divBdr>
        <w:top w:val="none" w:sz="0" w:space="0" w:color="auto"/>
        <w:left w:val="none" w:sz="0" w:space="0" w:color="auto"/>
        <w:bottom w:val="none" w:sz="0" w:space="0" w:color="auto"/>
        <w:right w:val="none" w:sz="0" w:space="0" w:color="auto"/>
      </w:divBdr>
    </w:div>
    <w:div w:id="640038022">
      <w:bodyDiv w:val="1"/>
      <w:marLeft w:val="0"/>
      <w:marRight w:val="0"/>
      <w:marTop w:val="0"/>
      <w:marBottom w:val="0"/>
      <w:divBdr>
        <w:top w:val="none" w:sz="0" w:space="0" w:color="auto"/>
        <w:left w:val="none" w:sz="0" w:space="0" w:color="auto"/>
        <w:bottom w:val="none" w:sz="0" w:space="0" w:color="auto"/>
        <w:right w:val="none" w:sz="0" w:space="0" w:color="auto"/>
      </w:divBdr>
      <w:divsChild>
        <w:div w:id="77942637">
          <w:marLeft w:val="0"/>
          <w:marRight w:val="0"/>
          <w:marTop w:val="300"/>
          <w:marBottom w:val="0"/>
          <w:divBdr>
            <w:top w:val="none" w:sz="0" w:space="0" w:color="auto"/>
            <w:left w:val="none" w:sz="0" w:space="0" w:color="auto"/>
            <w:bottom w:val="none" w:sz="0" w:space="0" w:color="auto"/>
            <w:right w:val="none" w:sz="0" w:space="0" w:color="auto"/>
          </w:divBdr>
          <w:divsChild>
            <w:div w:id="54283533">
              <w:marLeft w:val="0"/>
              <w:marRight w:val="0"/>
              <w:marTop w:val="0"/>
              <w:marBottom w:val="0"/>
              <w:divBdr>
                <w:top w:val="none" w:sz="0" w:space="0" w:color="auto"/>
                <w:left w:val="none" w:sz="0" w:space="0" w:color="auto"/>
                <w:bottom w:val="none" w:sz="0" w:space="0" w:color="auto"/>
                <w:right w:val="none" w:sz="0" w:space="0" w:color="auto"/>
              </w:divBdr>
              <w:divsChild>
                <w:div w:id="1235507793">
                  <w:marLeft w:val="0"/>
                  <w:marRight w:val="0"/>
                  <w:marTop w:val="0"/>
                  <w:marBottom w:val="0"/>
                  <w:divBdr>
                    <w:top w:val="none" w:sz="0" w:space="0" w:color="auto"/>
                    <w:left w:val="none" w:sz="0" w:space="0" w:color="auto"/>
                    <w:bottom w:val="none" w:sz="0" w:space="0" w:color="auto"/>
                    <w:right w:val="none" w:sz="0" w:space="0" w:color="auto"/>
                  </w:divBdr>
                  <w:divsChild>
                    <w:div w:id="569972973">
                      <w:marLeft w:val="0"/>
                      <w:marRight w:val="0"/>
                      <w:marTop w:val="0"/>
                      <w:marBottom w:val="0"/>
                      <w:divBdr>
                        <w:top w:val="none" w:sz="0" w:space="0" w:color="auto"/>
                        <w:left w:val="none" w:sz="0" w:space="0" w:color="auto"/>
                        <w:bottom w:val="none" w:sz="0" w:space="0" w:color="auto"/>
                        <w:right w:val="none" w:sz="0" w:space="0" w:color="auto"/>
                      </w:divBdr>
                      <w:divsChild>
                        <w:div w:id="98794175">
                          <w:marLeft w:val="0"/>
                          <w:marRight w:val="0"/>
                          <w:marTop w:val="0"/>
                          <w:marBottom w:val="0"/>
                          <w:divBdr>
                            <w:top w:val="single" w:sz="6" w:space="0" w:color="auto"/>
                            <w:left w:val="single" w:sz="6" w:space="0" w:color="auto"/>
                            <w:bottom w:val="single" w:sz="6" w:space="0" w:color="auto"/>
                            <w:right w:val="single" w:sz="6" w:space="0" w:color="auto"/>
                          </w:divBdr>
                          <w:divsChild>
                            <w:div w:id="1714500648">
                              <w:marLeft w:val="0"/>
                              <w:marRight w:val="0"/>
                              <w:marTop w:val="0"/>
                              <w:marBottom w:val="0"/>
                              <w:divBdr>
                                <w:top w:val="none" w:sz="0" w:space="0" w:color="auto"/>
                                <w:left w:val="none" w:sz="0" w:space="0" w:color="auto"/>
                                <w:bottom w:val="none" w:sz="0" w:space="0" w:color="auto"/>
                                <w:right w:val="none" w:sz="0" w:space="0" w:color="auto"/>
                              </w:divBdr>
                              <w:divsChild>
                                <w:div w:id="1250693356">
                                  <w:marLeft w:val="0"/>
                                  <w:marRight w:val="0"/>
                                  <w:marTop w:val="0"/>
                                  <w:marBottom w:val="0"/>
                                  <w:divBdr>
                                    <w:top w:val="none" w:sz="0" w:space="0" w:color="auto"/>
                                    <w:left w:val="none" w:sz="0" w:space="0" w:color="auto"/>
                                    <w:bottom w:val="none" w:sz="0" w:space="0" w:color="auto"/>
                                    <w:right w:val="none" w:sz="0" w:space="0" w:color="auto"/>
                                  </w:divBdr>
                                  <w:divsChild>
                                    <w:div w:id="624124046">
                                      <w:marLeft w:val="0"/>
                                      <w:marRight w:val="0"/>
                                      <w:marTop w:val="0"/>
                                      <w:marBottom w:val="0"/>
                                      <w:divBdr>
                                        <w:top w:val="none" w:sz="0" w:space="0" w:color="auto"/>
                                        <w:left w:val="none" w:sz="0" w:space="0" w:color="auto"/>
                                        <w:bottom w:val="none" w:sz="0" w:space="0" w:color="auto"/>
                                        <w:right w:val="none" w:sz="0" w:space="0" w:color="auto"/>
                                      </w:divBdr>
                                    </w:div>
                                    <w:div w:id="1118912320">
                                      <w:marLeft w:val="0"/>
                                      <w:marRight w:val="0"/>
                                      <w:marTop w:val="0"/>
                                      <w:marBottom w:val="0"/>
                                      <w:divBdr>
                                        <w:top w:val="none" w:sz="0" w:space="0" w:color="auto"/>
                                        <w:left w:val="none" w:sz="0" w:space="0" w:color="auto"/>
                                        <w:bottom w:val="none" w:sz="0" w:space="0" w:color="auto"/>
                                        <w:right w:val="none" w:sz="0" w:space="0" w:color="auto"/>
                                      </w:divBdr>
                                    </w:div>
                                    <w:div w:id="65263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155685609">
      <w:bodyDiv w:val="1"/>
      <w:marLeft w:val="0"/>
      <w:marRight w:val="0"/>
      <w:marTop w:val="0"/>
      <w:marBottom w:val="0"/>
      <w:divBdr>
        <w:top w:val="none" w:sz="0" w:space="0" w:color="auto"/>
        <w:left w:val="none" w:sz="0" w:space="0" w:color="auto"/>
        <w:bottom w:val="none" w:sz="0" w:space="0" w:color="auto"/>
        <w:right w:val="none" w:sz="0" w:space="0" w:color="auto"/>
      </w:divBdr>
    </w:div>
    <w:div w:id="1202985717">
      <w:bodyDiv w:val="1"/>
      <w:marLeft w:val="0"/>
      <w:marRight w:val="0"/>
      <w:marTop w:val="0"/>
      <w:marBottom w:val="0"/>
      <w:divBdr>
        <w:top w:val="none" w:sz="0" w:space="0" w:color="auto"/>
        <w:left w:val="none" w:sz="0" w:space="0" w:color="auto"/>
        <w:bottom w:val="none" w:sz="0" w:space="0" w:color="auto"/>
        <w:right w:val="none" w:sz="0" w:space="0" w:color="auto"/>
      </w:divBdr>
      <w:divsChild>
        <w:div w:id="1206022934">
          <w:marLeft w:val="0"/>
          <w:marRight w:val="0"/>
          <w:marTop w:val="0"/>
          <w:marBottom w:val="0"/>
          <w:divBdr>
            <w:top w:val="none" w:sz="0" w:space="0" w:color="auto"/>
            <w:left w:val="none" w:sz="0" w:space="0" w:color="auto"/>
            <w:bottom w:val="none" w:sz="0" w:space="0" w:color="auto"/>
            <w:right w:val="none" w:sz="0" w:space="0" w:color="auto"/>
          </w:divBdr>
        </w:div>
        <w:div w:id="1029839009">
          <w:marLeft w:val="0"/>
          <w:marRight w:val="0"/>
          <w:marTop w:val="0"/>
          <w:marBottom w:val="0"/>
          <w:divBdr>
            <w:top w:val="none" w:sz="0" w:space="0" w:color="auto"/>
            <w:left w:val="none" w:sz="0" w:space="0" w:color="auto"/>
            <w:bottom w:val="none" w:sz="0" w:space="0" w:color="auto"/>
            <w:right w:val="none" w:sz="0" w:space="0" w:color="auto"/>
          </w:divBdr>
        </w:div>
        <w:div w:id="1916501762">
          <w:marLeft w:val="0"/>
          <w:marRight w:val="0"/>
          <w:marTop w:val="0"/>
          <w:marBottom w:val="0"/>
          <w:divBdr>
            <w:top w:val="none" w:sz="0" w:space="0" w:color="auto"/>
            <w:left w:val="none" w:sz="0" w:space="0" w:color="auto"/>
            <w:bottom w:val="none" w:sz="0" w:space="0" w:color="auto"/>
            <w:right w:val="none" w:sz="0" w:space="0" w:color="auto"/>
          </w:divBdr>
        </w:div>
        <w:div w:id="433748839">
          <w:marLeft w:val="0"/>
          <w:marRight w:val="0"/>
          <w:marTop w:val="0"/>
          <w:marBottom w:val="0"/>
          <w:divBdr>
            <w:top w:val="none" w:sz="0" w:space="0" w:color="auto"/>
            <w:left w:val="none" w:sz="0" w:space="0" w:color="auto"/>
            <w:bottom w:val="none" w:sz="0" w:space="0" w:color="auto"/>
            <w:right w:val="none" w:sz="0" w:space="0" w:color="auto"/>
          </w:divBdr>
        </w:div>
        <w:div w:id="1157497806">
          <w:marLeft w:val="0"/>
          <w:marRight w:val="0"/>
          <w:marTop w:val="0"/>
          <w:marBottom w:val="0"/>
          <w:divBdr>
            <w:top w:val="none" w:sz="0" w:space="0" w:color="auto"/>
            <w:left w:val="none" w:sz="0" w:space="0" w:color="auto"/>
            <w:bottom w:val="none" w:sz="0" w:space="0" w:color="auto"/>
            <w:right w:val="none" w:sz="0" w:space="0" w:color="auto"/>
          </w:divBdr>
        </w:div>
        <w:div w:id="1890452557">
          <w:marLeft w:val="0"/>
          <w:marRight w:val="0"/>
          <w:marTop w:val="0"/>
          <w:marBottom w:val="0"/>
          <w:divBdr>
            <w:top w:val="none" w:sz="0" w:space="0" w:color="auto"/>
            <w:left w:val="none" w:sz="0" w:space="0" w:color="auto"/>
            <w:bottom w:val="none" w:sz="0" w:space="0" w:color="auto"/>
            <w:right w:val="none" w:sz="0" w:space="0" w:color="auto"/>
          </w:divBdr>
        </w:div>
        <w:div w:id="6566744">
          <w:marLeft w:val="0"/>
          <w:marRight w:val="0"/>
          <w:marTop w:val="0"/>
          <w:marBottom w:val="0"/>
          <w:divBdr>
            <w:top w:val="none" w:sz="0" w:space="0" w:color="auto"/>
            <w:left w:val="none" w:sz="0" w:space="0" w:color="auto"/>
            <w:bottom w:val="none" w:sz="0" w:space="0" w:color="auto"/>
            <w:right w:val="none" w:sz="0" w:space="0" w:color="auto"/>
          </w:divBdr>
        </w:div>
      </w:divsChild>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648435439">
      <w:bodyDiv w:val="1"/>
      <w:marLeft w:val="0"/>
      <w:marRight w:val="0"/>
      <w:marTop w:val="0"/>
      <w:marBottom w:val="0"/>
      <w:divBdr>
        <w:top w:val="none" w:sz="0" w:space="0" w:color="auto"/>
        <w:left w:val="none" w:sz="0" w:space="0" w:color="auto"/>
        <w:bottom w:val="none" w:sz="0" w:space="0" w:color="auto"/>
        <w:right w:val="none" w:sz="0" w:space="0" w:color="auto"/>
      </w:divBdr>
      <w:divsChild>
        <w:div w:id="1773043373">
          <w:marLeft w:val="0"/>
          <w:marRight w:val="0"/>
          <w:marTop w:val="0"/>
          <w:marBottom w:val="0"/>
          <w:divBdr>
            <w:top w:val="none" w:sz="0" w:space="0" w:color="auto"/>
            <w:left w:val="none" w:sz="0" w:space="0" w:color="auto"/>
            <w:bottom w:val="none" w:sz="0" w:space="0" w:color="auto"/>
            <w:right w:val="none" w:sz="0" w:space="0" w:color="auto"/>
          </w:divBdr>
        </w:div>
        <w:div w:id="1683701212">
          <w:marLeft w:val="0"/>
          <w:marRight w:val="0"/>
          <w:marTop w:val="0"/>
          <w:marBottom w:val="0"/>
          <w:divBdr>
            <w:top w:val="none" w:sz="0" w:space="0" w:color="auto"/>
            <w:left w:val="none" w:sz="0" w:space="0" w:color="auto"/>
            <w:bottom w:val="none" w:sz="0" w:space="0" w:color="auto"/>
            <w:right w:val="none" w:sz="0" w:space="0" w:color="auto"/>
          </w:divBdr>
        </w:div>
        <w:div w:id="859704702">
          <w:marLeft w:val="0"/>
          <w:marRight w:val="0"/>
          <w:marTop w:val="0"/>
          <w:marBottom w:val="0"/>
          <w:divBdr>
            <w:top w:val="none" w:sz="0" w:space="0" w:color="auto"/>
            <w:left w:val="none" w:sz="0" w:space="0" w:color="auto"/>
            <w:bottom w:val="none" w:sz="0" w:space="0" w:color="auto"/>
            <w:right w:val="none" w:sz="0" w:space="0" w:color="auto"/>
          </w:divBdr>
        </w:div>
        <w:div w:id="488863326">
          <w:marLeft w:val="0"/>
          <w:marRight w:val="0"/>
          <w:marTop w:val="0"/>
          <w:marBottom w:val="0"/>
          <w:divBdr>
            <w:top w:val="none" w:sz="0" w:space="0" w:color="auto"/>
            <w:left w:val="none" w:sz="0" w:space="0" w:color="auto"/>
            <w:bottom w:val="none" w:sz="0" w:space="0" w:color="auto"/>
            <w:right w:val="none" w:sz="0" w:space="0" w:color="auto"/>
          </w:divBdr>
        </w:div>
        <w:div w:id="510099254">
          <w:marLeft w:val="0"/>
          <w:marRight w:val="0"/>
          <w:marTop w:val="0"/>
          <w:marBottom w:val="0"/>
          <w:divBdr>
            <w:top w:val="none" w:sz="0" w:space="0" w:color="auto"/>
            <w:left w:val="none" w:sz="0" w:space="0" w:color="auto"/>
            <w:bottom w:val="none" w:sz="0" w:space="0" w:color="auto"/>
            <w:right w:val="none" w:sz="0" w:space="0" w:color="auto"/>
          </w:divBdr>
        </w:div>
        <w:div w:id="1759935200">
          <w:marLeft w:val="0"/>
          <w:marRight w:val="0"/>
          <w:marTop w:val="0"/>
          <w:marBottom w:val="0"/>
          <w:divBdr>
            <w:top w:val="none" w:sz="0" w:space="0" w:color="auto"/>
            <w:left w:val="none" w:sz="0" w:space="0" w:color="auto"/>
            <w:bottom w:val="none" w:sz="0" w:space="0" w:color="auto"/>
            <w:right w:val="none" w:sz="0" w:space="0" w:color="auto"/>
          </w:divBdr>
        </w:div>
        <w:div w:id="431585801">
          <w:marLeft w:val="0"/>
          <w:marRight w:val="0"/>
          <w:marTop w:val="0"/>
          <w:marBottom w:val="0"/>
          <w:divBdr>
            <w:top w:val="none" w:sz="0" w:space="0" w:color="auto"/>
            <w:left w:val="none" w:sz="0" w:space="0" w:color="auto"/>
            <w:bottom w:val="none" w:sz="0" w:space="0" w:color="auto"/>
            <w:right w:val="none" w:sz="0" w:space="0" w:color="auto"/>
          </w:divBdr>
        </w:div>
      </w:divsChild>
    </w:div>
    <w:div w:id="1774519268">
      <w:bodyDiv w:val="1"/>
      <w:marLeft w:val="0"/>
      <w:marRight w:val="0"/>
      <w:marTop w:val="0"/>
      <w:marBottom w:val="0"/>
      <w:divBdr>
        <w:top w:val="none" w:sz="0" w:space="0" w:color="auto"/>
        <w:left w:val="none" w:sz="0" w:space="0" w:color="auto"/>
        <w:bottom w:val="none" w:sz="0" w:space="0" w:color="auto"/>
        <w:right w:val="none" w:sz="0" w:space="0" w:color="auto"/>
      </w:divBdr>
    </w:div>
    <w:div w:id="2078821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E2406B-E0EB-4931-9436-16F8C2577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22</Pages>
  <Words>7936</Words>
  <Characters>43651</Characters>
  <Application>Microsoft Office Word</Application>
  <DocSecurity>0</DocSecurity>
  <Lines>363</Lines>
  <Paragraphs>102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51485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35</cp:revision>
  <cp:lastPrinted>2021-05-25T20:16:00Z</cp:lastPrinted>
  <dcterms:created xsi:type="dcterms:W3CDTF">2021-05-14T02:18:00Z</dcterms:created>
  <dcterms:modified xsi:type="dcterms:W3CDTF">2021-09-21T19:40:00Z</dcterms:modified>
</cp:coreProperties>
</file>