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rsidRPr="00697DC9" w14:paraId="57DA8808" w14:textId="77777777" w:rsidTr="00571114">
        <w:tc>
          <w:tcPr>
            <w:tcW w:w="2356" w:type="dxa"/>
          </w:tcPr>
          <w:p w14:paraId="5A0BF651" w14:textId="77777777" w:rsidR="00571114" w:rsidRDefault="00571114">
            <w:pPr>
              <w:spacing w:after="0" w:line="240" w:lineRule="auto"/>
              <w:rPr>
                <w:rFonts w:ascii="Arial" w:hAnsi="Arial" w:cs="Arial"/>
                <w:b/>
                <w:sz w:val="26"/>
                <w:szCs w:val="26"/>
                <w:lang w:val="es-ES"/>
              </w:rPr>
            </w:pPr>
          </w:p>
        </w:tc>
        <w:tc>
          <w:tcPr>
            <w:tcW w:w="7426" w:type="dxa"/>
          </w:tcPr>
          <w:p w14:paraId="17F55A72" w14:textId="77777777" w:rsidR="00571114" w:rsidRPr="00697DC9" w:rsidRDefault="00571114">
            <w:pPr>
              <w:tabs>
                <w:tab w:val="left" w:pos="3103"/>
              </w:tabs>
              <w:spacing w:after="0" w:line="240" w:lineRule="auto"/>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sidRPr="00697DC9">
              <w:rPr>
                <w:rFonts w:ascii="Arial" w:hAnsi="Arial" w:cs="Arial"/>
                <w:b/>
                <w:iCs/>
                <w:caps/>
                <w:sz w:val="26"/>
                <w:szCs w:val="26"/>
                <w:lang w:val="es-ES"/>
              </w:rPr>
              <w:t>SALA SUPERIOR DEL TRIBUNAL DE justicia administrativa DEL ESTADO de oaxaca.</w:t>
            </w:r>
          </w:p>
          <w:p w14:paraId="3A9B72CC" w14:textId="77777777" w:rsidR="00571114" w:rsidRPr="00697DC9"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697DC9">
              <w:rPr>
                <w:rFonts w:ascii="Arial" w:eastAsia="PMingLiU" w:hAnsi="Arial" w:cs="Arial"/>
                <w:b/>
                <w:iCs/>
                <w:caps/>
                <w:sz w:val="26"/>
                <w:szCs w:val="26"/>
                <w:lang w:val="es-PE" w:eastAsia="zh-TW"/>
              </w:rPr>
              <w:t xml:space="preserve">               </w:t>
            </w:r>
          </w:p>
          <w:p w14:paraId="788FDC77" w14:textId="26E47656" w:rsidR="00571114" w:rsidRPr="00697DC9"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697DC9">
              <w:rPr>
                <w:rFonts w:ascii="Arial" w:eastAsia="PMingLiU" w:hAnsi="Arial" w:cs="Arial"/>
                <w:b/>
                <w:iCs/>
                <w:caps/>
                <w:sz w:val="26"/>
                <w:szCs w:val="26"/>
                <w:lang w:val="es-PE" w:eastAsia="zh-TW"/>
              </w:rPr>
              <w:t xml:space="preserve">               RECURSO DE REVISIÓN: </w:t>
            </w:r>
            <w:r w:rsidR="002678AA" w:rsidRPr="00697DC9">
              <w:rPr>
                <w:rFonts w:ascii="Arial" w:eastAsia="PMingLiU" w:hAnsi="Arial" w:cs="Arial"/>
                <w:b/>
                <w:iCs/>
                <w:caps/>
                <w:sz w:val="26"/>
                <w:szCs w:val="26"/>
                <w:lang w:val="es-PE" w:eastAsia="zh-TW"/>
              </w:rPr>
              <w:t>0</w:t>
            </w:r>
            <w:r w:rsidR="00FB1B12" w:rsidRPr="00697DC9">
              <w:rPr>
                <w:rFonts w:ascii="Arial" w:eastAsia="PMingLiU" w:hAnsi="Arial" w:cs="Arial"/>
                <w:b/>
                <w:iCs/>
                <w:caps/>
                <w:sz w:val="26"/>
                <w:szCs w:val="26"/>
                <w:lang w:val="es-PE" w:eastAsia="zh-TW"/>
              </w:rPr>
              <w:t>1</w:t>
            </w:r>
            <w:r w:rsidR="00B73F5D" w:rsidRPr="00697DC9">
              <w:rPr>
                <w:rFonts w:ascii="Arial" w:eastAsia="PMingLiU" w:hAnsi="Arial" w:cs="Arial"/>
                <w:b/>
                <w:iCs/>
                <w:caps/>
                <w:sz w:val="26"/>
                <w:szCs w:val="26"/>
                <w:lang w:val="es-PE" w:eastAsia="zh-TW"/>
              </w:rPr>
              <w:t>6</w:t>
            </w:r>
            <w:r w:rsidR="00FB1B12" w:rsidRPr="00697DC9">
              <w:rPr>
                <w:rFonts w:ascii="Arial" w:eastAsia="PMingLiU" w:hAnsi="Arial" w:cs="Arial"/>
                <w:b/>
                <w:iCs/>
                <w:caps/>
                <w:sz w:val="26"/>
                <w:szCs w:val="26"/>
                <w:lang w:val="es-PE" w:eastAsia="zh-TW"/>
              </w:rPr>
              <w:t>3</w:t>
            </w:r>
            <w:r w:rsidR="001A4A0D" w:rsidRPr="00697DC9">
              <w:rPr>
                <w:rFonts w:ascii="Arial" w:eastAsia="PMingLiU" w:hAnsi="Arial" w:cs="Arial"/>
                <w:b/>
                <w:iCs/>
                <w:caps/>
                <w:sz w:val="26"/>
                <w:szCs w:val="26"/>
                <w:lang w:val="es-PE" w:eastAsia="zh-TW"/>
              </w:rPr>
              <w:t>/20</w:t>
            </w:r>
            <w:r w:rsidR="00FB1B12" w:rsidRPr="00697DC9">
              <w:rPr>
                <w:rFonts w:ascii="Arial" w:eastAsia="PMingLiU" w:hAnsi="Arial" w:cs="Arial"/>
                <w:b/>
                <w:iCs/>
                <w:caps/>
                <w:sz w:val="26"/>
                <w:szCs w:val="26"/>
                <w:lang w:val="es-PE" w:eastAsia="zh-TW"/>
              </w:rPr>
              <w:t>20</w:t>
            </w:r>
            <w:r w:rsidRPr="00697DC9">
              <w:rPr>
                <w:rFonts w:ascii="Arial" w:eastAsia="PMingLiU" w:hAnsi="Arial" w:cs="Arial"/>
                <w:b/>
                <w:iCs/>
                <w:caps/>
                <w:sz w:val="26"/>
                <w:szCs w:val="26"/>
                <w:lang w:val="es-PE" w:eastAsia="zh-TW"/>
              </w:rPr>
              <w:t>.</w:t>
            </w:r>
          </w:p>
          <w:p w14:paraId="4209B1B3" w14:textId="77777777" w:rsidR="00571114" w:rsidRPr="00697DC9"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1F4A7628" w14:textId="1168CDD1" w:rsidR="00FC0A05" w:rsidRPr="00697DC9" w:rsidRDefault="00571114" w:rsidP="00FC0A05">
            <w:pPr>
              <w:tabs>
                <w:tab w:val="center" w:pos="4252"/>
                <w:tab w:val="right" w:pos="8504"/>
              </w:tabs>
              <w:spacing w:after="0" w:line="240" w:lineRule="auto"/>
              <w:ind w:left="1119" w:right="709" w:hanging="1119"/>
              <w:jc w:val="both"/>
              <w:rPr>
                <w:rFonts w:ascii="Arial" w:eastAsia="PMingLiU" w:hAnsi="Arial" w:cs="Arial"/>
                <w:b/>
                <w:iCs/>
                <w:caps/>
                <w:sz w:val="26"/>
                <w:szCs w:val="26"/>
                <w:lang w:val="es-ES" w:eastAsia="zh-TW"/>
              </w:rPr>
            </w:pPr>
            <w:r w:rsidRPr="00697DC9">
              <w:rPr>
                <w:rFonts w:ascii="Arial" w:eastAsia="PMingLiU" w:hAnsi="Arial" w:cs="Arial"/>
                <w:b/>
                <w:iCs/>
                <w:caps/>
                <w:sz w:val="26"/>
                <w:szCs w:val="26"/>
                <w:lang w:val="es-PE" w:eastAsia="zh-TW"/>
              </w:rPr>
              <w:t xml:space="preserve">                EXPEDIENTE</w:t>
            </w:r>
            <w:r w:rsidRPr="00697DC9">
              <w:rPr>
                <w:rFonts w:ascii="Arial" w:eastAsia="PMingLiU" w:hAnsi="Arial" w:cs="Arial"/>
                <w:b/>
                <w:iCs/>
                <w:caps/>
                <w:sz w:val="26"/>
                <w:szCs w:val="26"/>
                <w:lang w:val="es-ES" w:eastAsia="zh-TW"/>
              </w:rPr>
              <w:t>:</w:t>
            </w:r>
            <w:r w:rsidR="00FC0A05" w:rsidRPr="00697DC9">
              <w:rPr>
                <w:rFonts w:ascii="Arial" w:eastAsia="PMingLiU" w:hAnsi="Arial" w:cs="Arial"/>
                <w:b/>
                <w:iCs/>
                <w:caps/>
                <w:sz w:val="26"/>
                <w:szCs w:val="26"/>
                <w:lang w:val="es-ES" w:eastAsia="zh-TW"/>
              </w:rPr>
              <w:t xml:space="preserve"> </w:t>
            </w:r>
            <w:r w:rsidR="00B73F5D" w:rsidRPr="00697DC9">
              <w:rPr>
                <w:rFonts w:ascii="Arial" w:eastAsia="PMingLiU" w:hAnsi="Arial" w:cs="Arial"/>
                <w:b/>
                <w:iCs/>
                <w:caps/>
                <w:sz w:val="26"/>
                <w:szCs w:val="26"/>
                <w:lang w:val="es-ES" w:eastAsia="zh-TW"/>
              </w:rPr>
              <w:t>0099</w:t>
            </w:r>
            <w:r w:rsidR="00FC0A05" w:rsidRPr="00697DC9">
              <w:rPr>
                <w:rFonts w:ascii="Arial" w:eastAsia="PMingLiU" w:hAnsi="Arial" w:cs="Arial"/>
                <w:b/>
                <w:iCs/>
                <w:caps/>
                <w:sz w:val="26"/>
                <w:szCs w:val="26"/>
                <w:lang w:val="es-ES" w:eastAsia="zh-TW"/>
              </w:rPr>
              <w:t xml:space="preserve">/2020 DE LA </w:t>
            </w:r>
            <w:r w:rsidR="00B73F5D" w:rsidRPr="00697DC9">
              <w:rPr>
                <w:rFonts w:ascii="Arial" w:eastAsia="PMingLiU" w:hAnsi="Arial" w:cs="Arial"/>
                <w:b/>
                <w:iCs/>
                <w:caps/>
                <w:sz w:val="26"/>
                <w:szCs w:val="26"/>
                <w:lang w:val="es-ES" w:eastAsia="zh-TW"/>
              </w:rPr>
              <w:t>CUARTA</w:t>
            </w:r>
            <w:r w:rsidR="00FC0A05" w:rsidRPr="00697DC9">
              <w:rPr>
                <w:rFonts w:ascii="Arial" w:eastAsia="PMingLiU" w:hAnsi="Arial" w:cs="Arial"/>
                <w:b/>
                <w:iCs/>
                <w:caps/>
                <w:sz w:val="26"/>
                <w:szCs w:val="26"/>
                <w:lang w:val="es-ES" w:eastAsia="zh-TW"/>
              </w:rPr>
              <w:t xml:space="preserve"> SALA UNITARIA DE PRIMERA INSTANCIA, </w:t>
            </w:r>
            <w:r w:rsidR="00C14A4F">
              <w:rPr>
                <w:rFonts w:ascii="Arial" w:eastAsia="PMingLiU" w:hAnsi="Arial" w:cs="Arial"/>
                <w:b/>
                <w:iCs/>
                <w:caps/>
                <w:sz w:val="26"/>
                <w:szCs w:val="26"/>
                <w:lang w:val="es-ES" w:eastAsia="zh-TW"/>
              </w:rPr>
              <w:t xml:space="preserve">(anterior </w:t>
            </w:r>
            <w:r w:rsidR="002678AA" w:rsidRPr="00697DC9">
              <w:rPr>
                <w:rFonts w:ascii="Arial" w:eastAsia="PMingLiU" w:hAnsi="Arial" w:cs="Arial"/>
                <w:b/>
                <w:iCs/>
                <w:caps/>
                <w:sz w:val="26"/>
                <w:szCs w:val="26"/>
                <w:lang w:val="es-ES" w:eastAsia="zh-TW"/>
              </w:rPr>
              <w:t>0</w:t>
            </w:r>
            <w:r w:rsidR="00B73F5D" w:rsidRPr="00697DC9">
              <w:rPr>
                <w:rFonts w:ascii="Arial" w:eastAsia="PMingLiU" w:hAnsi="Arial" w:cs="Arial"/>
                <w:b/>
                <w:iCs/>
                <w:caps/>
                <w:sz w:val="26"/>
                <w:szCs w:val="26"/>
                <w:lang w:val="es-ES" w:eastAsia="zh-TW"/>
              </w:rPr>
              <w:t>085</w:t>
            </w:r>
            <w:r w:rsidR="00FC0A05" w:rsidRPr="00697DC9">
              <w:rPr>
                <w:rFonts w:ascii="Arial" w:eastAsia="PMingLiU" w:hAnsi="Arial" w:cs="Arial"/>
                <w:b/>
                <w:iCs/>
                <w:caps/>
                <w:sz w:val="26"/>
                <w:szCs w:val="26"/>
                <w:lang w:val="es-ES" w:eastAsia="zh-TW"/>
              </w:rPr>
              <w:t>/2019 DE LA SÉPTIMA SALA UNITARIA DE PRIMERA INSTANCIA</w:t>
            </w:r>
            <w:r w:rsidR="00C14A4F">
              <w:rPr>
                <w:rFonts w:ascii="Arial" w:eastAsia="PMingLiU" w:hAnsi="Arial" w:cs="Arial"/>
                <w:b/>
                <w:iCs/>
                <w:caps/>
                <w:sz w:val="26"/>
                <w:szCs w:val="26"/>
                <w:lang w:val="es-ES" w:eastAsia="zh-TW"/>
              </w:rPr>
              <w:t>)</w:t>
            </w:r>
            <w:r w:rsidR="00FC0A05" w:rsidRPr="00697DC9">
              <w:rPr>
                <w:rFonts w:ascii="Arial" w:eastAsia="PMingLiU" w:hAnsi="Arial" w:cs="Arial"/>
                <w:b/>
                <w:iCs/>
                <w:caps/>
                <w:sz w:val="26"/>
                <w:szCs w:val="26"/>
                <w:lang w:val="es-ES" w:eastAsia="zh-TW"/>
              </w:rPr>
              <w:t>.</w:t>
            </w:r>
          </w:p>
          <w:p w14:paraId="4C6B07CD" w14:textId="77777777" w:rsidR="00FC0A05" w:rsidRPr="00697DC9" w:rsidRDefault="00FC0A05" w:rsidP="00FC0A05">
            <w:pPr>
              <w:tabs>
                <w:tab w:val="center" w:pos="4252"/>
                <w:tab w:val="right" w:pos="8504"/>
              </w:tabs>
              <w:spacing w:after="0" w:line="240" w:lineRule="auto"/>
              <w:ind w:left="1119" w:right="709" w:hanging="1119"/>
              <w:jc w:val="both"/>
              <w:rPr>
                <w:rFonts w:ascii="Arial" w:eastAsia="PMingLiU" w:hAnsi="Arial" w:cs="Arial"/>
                <w:b/>
                <w:iCs/>
                <w:caps/>
                <w:sz w:val="26"/>
                <w:szCs w:val="26"/>
                <w:lang w:val="es-ES" w:eastAsia="zh-TW"/>
              </w:rPr>
            </w:pPr>
          </w:p>
          <w:p w14:paraId="1BA65A15" w14:textId="65D6791D" w:rsidR="00571114" w:rsidRPr="00697DC9" w:rsidRDefault="00571114" w:rsidP="00FC0A05">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697DC9">
              <w:rPr>
                <w:rFonts w:ascii="Arial" w:eastAsia="PMingLiU" w:hAnsi="Arial" w:cs="Arial"/>
                <w:b/>
                <w:iCs/>
                <w:caps/>
                <w:sz w:val="26"/>
                <w:szCs w:val="26"/>
                <w:lang w:val="es-PE" w:eastAsia="zh-TW"/>
              </w:rPr>
              <w:t xml:space="preserve">                ponente:</w:t>
            </w:r>
            <w:r w:rsidR="00632281" w:rsidRPr="00697DC9">
              <w:rPr>
                <w:rFonts w:ascii="Arial" w:eastAsia="PMingLiU" w:hAnsi="Arial" w:cs="Arial"/>
                <w:b/>
                <w:iCs/>
                <w:caps/>
                <w:sz w:val="26"/>
                <w:szCs w:val="26"/>
                <w:lang w:val="es-PE" w:eastAsia="zh-TW"/>
              </w:rPr>
              <w:t xml:space="preserve"> MAGISTRADO</w:t>
            </w:r>
            <w:r w:rsidR="00C4450E" w:rsidRPr="00697DC9">
              <w:rPr>
                <w:rFonts w:ascii="Arial" w:eastAsia="PMingLiU" w:hAnsi="Arial" w:cs="Arial"/>
                <w:b/>
                <w:iCs/>
                <w:caps/>
                <w:sz w:val="26"/>
                <w:szCs w:val="26"/>
                <w:lang w:val="es-PE" w:eastAsia="zh-TW"/>
              </w:rPr>
              <w:t xml:space="preserve"> ABRAHAM SANTIAGO SORIANO.</w:t>
            </w:r>
          </w:p>
        </w:tc>
      </w:tr>
      <w:tr w:rsidR="00571114" w:rsidRPr="00697DC9" w14:paraId="2E2732D1" w14:textId="77777777" w:rsidTr="00571114">
        <w:tc>
          <w:tcPr>
            <w:tcW w:w="2356" w:type="dxa"/>
          </w:tcPr>
          <w:p w14:paraId="75A181C8" w14:textId="77777777" w:rsidR="00571114" w:rsidRPr="00697DC9"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Pr="00697DC9" w:rsidRDefault="00571114">
            <w:pPr>
              <w:tabs>
                <w:tab w:val="left" w:pos="3103"/>
              </w:tabs>
              <w:spacing w:after="0" w:line="240" w:lineRule="auto"/>
              <w:ind w:left="2961" w:hanging="2961"/>
              <w:jc w:val="both"/>
              <w:rPr>
                <w:rFonts w:ascii="Arial" w:hAnsi="Arial" w:cs="Arial"/>
                <w:b/>
                <w:iCs/>
                <w:caps/>
                <w:sz w:val="26"/>
                <w:szCs w:val="26"/>
                <w:lang w:val="es-ES"/>
              </w:rPr>
            </w:pPr>
            <w:r w:rsidRPr="00697DC9">
              <w:rPr>
                <w:rFonts w:ascii="Arial" w:hAnsi="Arial" w:cs="Arial"/>
                <w:b/>
                <w:i/>
                <w:iCs/>
                <w:caps/>
                <w:sz w:val="26"/>
                <w:szCs w:val="26"/>
                <w:lang w:val="es-ES"/>
              </w:rPr>
              <w:t xml:space="preserve">                                   </w:t>
            </w:r>
          </w:p>
        </w:tc>
      </w:tr>
      <w:tr w:rsidR="00571114" w:rsidRPr="00697DC9" w14:paraId="63E4C78C" w14:textId="77777777" w:rsidTr="00571114">
        <w:tc>
          <w:tcPr>
            <w:tcW w:w="2356" w:type="dxa"/>
          </w:tcPr>
          <w:p w14:paraId="30D53E9D" w14:textId="77777777" w:rsidR="00571114" w:rsidRPr="00697DC9" w:rsidRDefault="00571114">
            <w:pPr>
              <w:spacing w:after="0" w:line="240" w:lineRule="auto"/>
              <w:rPr>
                <w:rFonts w:ascii="Arial" w:hAnsi="Arial" w:cs="Arial"/>
                <w:b/>
                <w:sz w:val="26"/>
                <w:szCs w:val="26"/>
                <w:lang w:val="es-ES"/>
              </w:rPr>
            </w:pPr>
          </w:p>
        </w:tc>
        <w:tc>
          <w:tcPr>
            <w:tcW w:w="7426" w:type="dxa"/>
          </w:tcPr>
          <w:p w14:paraId="7FCFD9D5" w14:textId="77777777" w:rsidR="00571114" w:rsidRPr="00697DC9"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2970C1A4" w:rsidR="00571114" w:rsidRPr="00697DC9" w:rsidRDefault="00571114" w:rsidP="00FD3AA9">
      <w:pPr>
        <w:spacing w:after="0" w:line="360" w:lineRule="auto"/>
        <w:jc w:val="both"/>
        <w:rPr>
          <w:rFonts w:ascii="Arial" w:hAnsi="Arial" w:cs="Arial"/>
          <w:bCs/>
          <w:sz w:val="26"/>
          <w:szCs w:val="26"/>
          <w:lang w:val="es-ES"/>
        </w:rPr>
      </w:pPr>
      <w:r w:rsidRPr="00697DC9">
        <w:rPr>
          <w:rFonts w:ascii="Arial" w:hAnsi="Arial" w:cs="Arial"/>
          <w:b/>
          <w:sz w:val="26"/>
          <w:szCs w:val="26"/>
          <w:lang w:val="es-ES"/>
        </w:rPr>
        <w:t>OAXACA DE JUÁREZ, OAXACA</w:t>
      </w:r>
      <w:r w:rsidR="00603280" w:rsidRPr="00697DC9">
        <w:rPr>
          <w:rFonts w:ascii="Arial" w:hAnsi="Arial" w:cs="Arial"/>
          <w:b/>
          <w:sz w:val="26"/>
          <w:szCs w:val="26"/>
          <w:lang w:val="es-ES"/>
        </w:rPr>
        <w:t>,</w:t>
      </w:r>
      <w:r w:rsidRPr="00697DC9">
        <w:rPr>
          <w:rFonts w:ascii="Arial" w:hAnsi="Arial" w:cs="Arial"/>
          <w:b/>
          <w:sz w:val="26"/>
          <w:szCs w:val="26"/>
          <w:lang w:val="es-ES"/>
        </w:rPr>
        <w:t xml:space="preserve"> A </w:t>
      </w:r>
      <w:r w:rsidR="00FA5437" w:rsidRPr="00697DC9">
        <w:rPr>
          <w:rFonts w:ascii="Arial" w:hAnsi="Arial" w:cs="Arial"/>
          <w:b/>
          <w:sz w:val="26"/>
          <w:szCs w:val="26"/>
          <w:lang w:val="es-ES"/>
        </w:rPr>
        <w:t>VEINTIOCHO</w:t>
      </w:r>
      <w:r w:rsidRPr="00697DC9">
        <w:rPr>
          <w:rFonts w:ascii="Arial" w:hAnsi="Arial" w:cs="Arial"/>
          <w:b/>
          <w:sz w:val="26"/>
          <w:szCs w:val="26"/>
          <w:lang w:val="es-ES"/>
        </w:rPr>
        <w:t xml:space="preserve"> DE</w:t>
      </w:r>
      <w:r w:rsidR="002678AA" w:rsidRPr="00697DC9">
        <w:rPr>
          <w:rFonts w:ascii="Arial" w:hAnsi="Arial" w:cs="Arial"/>
          <w:b/>
          <w:sz w:val="26"/>
          <w:szCs w:val="26"/>
          <w:lang w:val="es-ES"/>
        </w:rPr>
        <w:t xml:space="preserve"> </w:t>
      </w:r>
      <w:r w:rsidR="00FA5437" w:rsidRPr="00697DC9">
        <w:rPr>
          <w:rFonts w:ascii="Arial" w:hAnsi="Arial" w:cs="Arial"/>
          <w:b/>
          <w:sz w:val="26"/>
          <w:szCs w:val="26"/>
          <w:lang w:val="es-ES"/>
        </w:rPr>
        <w:t>OCTUBRE</w:t>
      </w:r>
      <w:r w:rsidRPr="00697DC9">
        <w:rPr>
          <w:rFonts w:ascii="Arial" w:hAnsi="Arial" w:cs="Arial"/>
          <w:b/>
          <w:sz w:val="26"/>
          <w:szCs w:val="26"/>
          <w:lang w:val="es-ES"/>
        </w:rPr>
        <w:t xml:space="preserve"> DE DOS MIL </w:t>
      </w:r>
      <w:r w:rsidR="00885AF1" w:rsidRPr="00697DC9">
        <w:rPr>
          <w:rFonts w:ascii="Arial" w:hAnsi="Arial" w:cs="Arial"/>
          <w:b/>
          <w:sz w:val="26"/>
          <w:szCs w:val="26"/>
          <w:lang w:val="es-ES"/>
        </w:rPr>
        <w:t>VEINTIUNO</w:t>
      </w:r>
      <w:r w:rsidR="00885AF1" w:rsidRPr="00697DC9">
        <w:rPr>
          <w:rFonts w:ascii="Arial" w:hAnsi="Arial" w:cs="Arial"/>
          <w:bCs/>
          <w:sz w:val="26"/>
          <w:szCs w:val="26"/>
          <w:lang w:val="es-ES"/>
        </w:rPr>
        <w:t>. -</w:t>
      </w:r>
      <w:r w:rsidRPr="00697DC9">
        <w:rPr>
          <w:rFonts w:ascii="Arial" w:hAnsi="Arial" w:cs="Arial"/>
          <w:bCs/>
          <w:sz w:val="26"/>
          <w:szCs w:val="26"/>
          <w:lang w:val="es-ES"/>
        </w:rPr>
        <w:t xml:space="preserve"> - - - - - - - - - - - - - - - - - - - - - - - - - - - - - - - - </w:t>
      </w:r>
      <w:r w:rsidR="00885AF1" w:rsidRPr="00697DC9">
        <w:rPr>
          <w:rFonts w:ascii="Arial" w:hAnsi="Arial" w:cs="Arial"/>
          <w:bCs/>
          <w:sz w:val="26"/>
          <w:szCs w:val="26"/>
          <w:lang w:val="es-ES"/>
        </w:rPr>
        <w:t>- -</w:t>
      </w:r>
      <w:r w:rsidR="00FD3AA9" w:rsidRPr="00697DC9">
        <w:rPr>
          <w:rFonts w:ascii="Arial" w:hAnsi="Arial" w:cs="Arial"/>
          <w:bCs/>
          <w:sz w:val="26"/>
          <w:szCs w:val="26"/>
          <w:lang w:val="es-ES"/>
        </w:rPr>
        <w:t xml:space="preserve"> </w:t>
      </w:r>
    </w:p>
    <w:p w14:paraId="60C766CC" w14:textId="14FDB3FA" w:rsidR="001913C4" w:rsidRDefault="001913C4" w:rsidP="00947C97">
      <w:pPr>
        <w:spacing w:after="0" w:line="360" w:lineRule="auto"/>
        <w:jc w:val="both"/>
        <w:rPr>
          <w:rFonts w:ascii="Arial" w:hAnsi="Arial" w:cs="Arial"/>
          <w:sz w:val="26"/>
          <w:szCs w:val="26"/>
        </w:rPr>
      </w:pPr>
      <w:r w:rsidRPr="00697DC9">
        <w:rPr>
          <w:rFonts w:ascii="Arial" w:eastAsia="Calibri" w:hAnsi="Arial" w:cs="Arial"/>
          <w:sz w:val="26"/>
          <w:szCs w:val="26"/>
        </w:rPr>
        <w:t xml:space="preserve">     Por recibido el Cuaderno de Revisión </w:t>
      </w:r>
      <w:r w:rsidRPr="00697DC9">
        <w:rPr>
          <w:rFonts w:ascii="Arial" w:eastAsia="Calibri" w:hAnsi="Arial" w:cs="Arial"/>
          <w:b/>
          <w:bCs/>
          <w:sz w:val="26"/>
          <w:szCs w:val="26"/>
        </w:rPr>
        <w:t>0</w:t>
      </w:r>
      <w:r w:rsidRPr="00697DC9">
        <w:rPr>
          <w:rFonts w:ascii="Arial" w:eastAsia="PMingLiU" w:hAnsi="Arial" w:cs="Arial"/>
          <w:b/>
          <w:iCs/>
          <w:caps/>
          <w:sz w:val="26"/>
          <w:szCs w:val="26"/>
          <w:lang w:val="es-PE" w:eastAsia="zh-TW"/>
        </w:rPr>
        <w:t xml:space="preserve">163/2020 </w:t>
      </w:r>
      <w:r w:rsidRPr="00697DC9">
        <w:rPr>
          <w:rFonts w:ascii="Arial" w:eastAsia="Calibri" w:hAnsi="Arial" w:cs="Arial"/>
          <w:sz w:val="26"/>
          <w:szCs w:val="26"/>
        </w:rPr>
        <w:t xml:space="preserve">que remite la Secretaría General de Acuerdos, con motivo del recurso de revisión interpuesto por </w:t>
      </w:r>
      <w:bookmarkStart w:id="0" w:name="_Hlk79242089"/>
      <w:r w:rsidR="00D341F6">
        <w:rPr>
          <w:rFonts w:ascii="Arial" w:hAnsi="Arial" w:cs="Arial"/>
          <w:b/>
          <w:bCs/>
          <w:sz w:val="26"/>
          <w:szCs w:val="26"/>
        </w:rPr>
        <w:t>***********</w:t>
      </w:r>
      <w:r w:rsidRPr="00697DC9">
        <w:rPr>
          <w:rFonts w:ascii="Arial" w:eastAsia="Calibri" w:hAnsi="Arial" w:cs="Arial"/>
          <w:b/>
          <w:sz w:val="26"/>
          <w:szCs w:val="26"/>
        </w:rPr>
        <w:t>, REPRESENTANTE LEGAL DE LA PERSONA MORAL DENOMINADA “</w:t>
      </w:r>
      <w:bookmarkEnd w:id="0"/>
      <w:r w:rsidR="00D341F6">
        <w:rPr>
          <w:rFonts w:ascii="Arial" w:hAnsi="Arial" w:cs="Arial"/>
          <w:b/>
          <w:bCs/>
          <w:sz w:val="26"/>
          <w:szCs w:val="26"/>
        </w:rPr>
        <w:t>***********</w:t>
      </w:r>
      <w:r w:rsidR="00D341F6">
        <w:rPr>
          <w:rFonts w:ascii="Arial" w:hAnsi="Arial" w:cs="Arial"/>
          <w:b/>
          <w:bCs/>
          <w:sz w:val="26"/>
          <w:szCs w:val="26"/>
        </w:rPr>
        <w:t xml:space="preserve">” </w:t>
      </w:r>
      <w:r w:rsidRPr="00697DC9">
        <w:rPr>
          <w:rFonts w:ascii="Arial" w:hAnsi="Arial" w:cs="Arial"/>
          <w:bCs/>
          <w:sz w:val="26"/>
          <w:szCs w:val="26"/>
        </w:rPr>
        <w:t>en contra de la resolución de doce de febrero de dos mil veinte</w:t>
      </w:r>
      <w:r w:rsidRPr="00697DC9">
        <w:rPr>
          <w:rFonts w:ascii="Arial" w:hAnsi="Arial" w:cs="Arial"/>
          <w:sz w:val="26"/>
          <w:szCs w:val="26"/>
        </w:rPr>
        <w:t>, dictada</w:t>
      </w:r>
      <w:r w:rsidRPr="00697DC9">
        <w:rPr>
          <w:rFonts w:ascii="Arial" w:hAnsi="Arial" w:cs="Arial"/>
          <w:bCs/>
          <w:sz w:val="26"/>
          <w:szCs w:val="26"/>
        </w:rPr>
        <w:t xml:space="preserve"> </w:t>
      </w:r>
      <w:r w:rsidR="00C14A4F">
        <w:rPr>
          <w:rFonts w:ascii="Arial" w:hAnsi="Arial" w:cs="Arial"/>
          <w:bCs/>
          <w:sz w:val="26"/>
          <w:szCs w:val="26"/>
        </w:rPr>
        <w:t xml:space="preserve">en el juicio de </w:t>
      </w:r>
      <w:r w:rsidR="00C14A4F" w:rsidRPr="00697DC9">
        <w:rPr>
          <w:rFonts w:ascii="Arial" w:hAnsi="Arial" w:cs="Arial"/>
          <w:bCs/>
          <w:sz w:val="26"/>
          <w:szCs w:val="26"/>
        </w:rPr>
        <w:t>nulidad 0085/2019</w:t>
      </w:r>
      <w:r w:rsidR="00C14A4F">
        <w:rPr>
          <w:rFonts w:ascii="Arial" w:hAnsi="Arial" w:cs="Arial"/>
          <w:bCs/>
          <w:sz w:val="26"/>
          <w:szCs w:val="26"/>
        </w:rPr>
        <w:t xml:space="preserve"> </w:t>
      </w:r>
      <w:r w:rsidRPr="00697DC9">
        <w:rPr>
          <w:rFonts w:ascii="Arial" w:hAnsi="Arial" w:cs="Arial"/>
          <w:bCs/>
          <w:sz w:val="26"/>
          <w:szCs w:val="26"/>
        </w:rPr>
        <w:t xml:space="preserve">por la </w:t>
      </w:r>
      <w:r w:rsidR="00C14A4F">
        <w:rPr>
          <w:rFonts w:ascii="Arial" w:hAnsi="Arial" w:cs="Arial"/>
          <w:bCs/>
          <w:sz w:val="26"/>
          <w:szCs w:val="26"/>
        </w:rPr>
        <w:t xml:space="preserve">entonces </w:t>
      </w:r>
      <w:r w:rsidRPr="00697DC9">
        <w:rPr>
          <w:rFonts w:ascii="Arial" w:hAnsi="Arial" w:cs="Arial"/>
          <w:bCs/>
          <w:sz w:val="26"/>
          <w:szCs w:val="26"/>
        </w:rPr>
        <w:t>Séptima Sala Unitaria de Primera Instancia</w:t>
      </w:r>
      <w:r w:rsidR="00C14A4F">
        <w:rPr>
          <w:rFonts w:ascii="Arial" w:hAnsi="Arial" w:cs="Arial"/>
          <w:bCs/>
          <w:sz w:val="26"/>
          <w:szCs w:val="26"/>
        </w:rPr>
        <w:t>, actualmente</w:t>
      </w:r>
      <w:r w:rsidRPr="00697DC9">
        <w:rPr>
          <w:rFonts w:ascii="Arial" w:hAnsi="Arial" w:cs="Arial"/>
          <w:bCs/>
          <w:sz w:val="26"/>
          <w:szCs w:val="26"/>
        </w:rPr>
        <w:t xml:space="preserve"> </w:t>
      </w:r>
      <w:r w:rsidR="00C14A4F" w:rsidRPr="00697DC9">
        <w:rPr>
          <w:rFonts w:ascii="Arial" w:hAnsi="Arial" w:cs="Arial"/>
          <w:bCs/>
          <w:sz w:val="26"/>
          <w:szCs w:val="26"/>
        </w:rPr>
        <w:t>0099/2020</w:t>
      </w:r>
      <w:r w:rsidR="00C14A4F">
        <w:rPr>
          <w:rFonts w:ascii="Arial" w:hAnsi="Arial" w:cs="Arial"/>
          <w:bCs/>
          <w:sz w:val="26"/>
          <w:szCs w:val="26"/>
        </w:rPr>
        <w:t xml:space="preserve"> del índice de la </w:t>
      </w:r>
      <w:r w:rsidRPr="00697DC9">
        <w:rPr>
          <w:rFonts w:ascii="Arial" w:hAnsi="Arial" w:cs="Arial"/>
          <w:bCs/>
          <w:sz w:val="26"/>
          <w:szCs w:val="26"/>
        </w:rPr>
        <w:t>Cuarta Sala Unitaria de Primera Instancia</w:t>
      </w:r>
      <w:r w:rsidR="00C14A4F">
        <w:rPr>
          <w:rFonts w:ascii="Arial" w:hAnsi="Arial" w:cs="Arial"/>
          <w:bCs/>
          <w:sz w:val="26"/>
          <w:szCs w:val="26"/>
        </w:rPr>
        <w:t xml:space="preserve"> de este Tribunal</w:t>
      </w:r>
      <w:r w:rsidRPr="00697DC9">
        <w:rPr>
          <w:rFonts w:ascii="Arial" w:hAnsi="Arial" w:cs="Arial"/>
          <w:bCs/>
          <w:sz w:val="26"/>
          <w:szCs w:val="26"/>
        </w:rPr>
        <w:t xml:space="preserve"> </w:t>
      </w:r>
      <w:bookmarkStart w:id="1" w:name="_Hlk74753393"/>
      <w:r w:rsidR="00C14A4F">
        <w:rPr>
          <w:rFonts w:ascii="Arial" w:hAnsi="Arial" w:cs="Arial"/>
          <w:bCs/>
          <w:sz w:val="26"/>
          <w:szCs w:val="26"/>
        </w:rPr>
        <w:t xml:space="preserve"> acorde a lo dispuesto </w:t>
      </w:r>
      <w:r w:rsidRPr="00697DC9">
        <w:rPr>
          <w:rFonts w:ascii="Arial" w:hAnsi="Arial" w:cs="Arial"/>
          <w:bCs/>
          <w:sz w:val="26"/>
          <w:szCs w:val="26"/>
        </w:rPr>
        <w:t>en el Acuerdo General AG/TJAO/13/2020 del Pleno de este Tribunal</w:t>
      </w:r>
      <w:bookmarkEnd w:id="1"/>
      <w:r w:rsidRPr="00697DC9">
        <w:rPr>
          <w:rFonts w:ascii="Arial" w:hAnsi="Arial" w:cs="Arial"/>
          <w:bCs/>
          <w:sz w:val="26"/>
          <w:szCs w:val="26"/>
        </w:rPr>
        <w:t xml:space="preserve">; en </w:t>
      </w:r>
      <w:r w:rsidR="004604A6">
        <w:rPr>
          <w:rFonts w:ascii="Arial" w:hAnsi="Arial" w:cs="Arial"/>
          <w:bCs/>
          <w:sz w:val="26"/>
          <w:szCs w:val="26"/>
        </w:rPr>
        <w:t xml:space="preserve">el que se determinó la reasignación del presente expediente </w:t>
      </w:r>
      <w:r w:rsidRPr="00697DC9">
        <w:rPr>
          <w:rFonts w:ascii="Arial" w:eastAsia="Calibri" w:hAnsi="Arial" w:cs="Arial"/>
          <w:sz w:val="26"/>
          <w:szCs w:val="26"/>
        </w:rPr>
        <w:t xml:space="preserve">relativo al juicio promovido por </w:t>
      </w:r>
      <w:r w:rsidRPr="00697DC9">
        <w:rPr>
          <w:rFonts w:ascii="Arial" w:eastAsia="Calibri" w:hAnsi="Arial" w:cs="Arial"/>
          <w:b/>
          <w:sz w:val="26"/>
          <w:szCs w:val="26"/>
        </w:rPr>
        <w:t xml:space="preserve">EL RECURRENTE </w:t>
      </w:r>
      <w:r w:rsidRPr="00697DC9">
        <w:rPr>
          <w:rFonts w:ascii="Arial" w:eastAsia="Calibri" w:hAnsi="Arial" w:cs="Arial"/>
          <w:sz w:val="26"/>
          <w:szCs w:val="26"/>
        </w:rPr>
        <w:t xml:space="preserve">en contra de </w:t>
      </w:r>
      <w:r w:rsidRPr="00697DC9">
        <w:rPr>
          <w:rFonts w:ascii="Arial" w:eastAsia="Calibri" w:hAnsi="Arial" w:cs="Arial"/>
          <w:b/>
          <w:sz w:val="26"/>
          <w:szCs w:val="26"/>
        </w:rPr>
        <w:t xml:space="preserve">ERIKA GUADALUPE HERNÁNDEZ PRADO, en su carácter de POLICÍA VIAL ADSCRITA A LA DIRECCIÓN DE SEGURIDAD PÚBLICA, VIALIDAD Y PROTECCIÓN CIUDADANA  DEL MUNICIPIO DE OAXACA DE JUÁREZ, OAXACA; </w:t>
      </w:r>
      <w:r w:rsidRPr="00697DC9">
        <w:rPr>
          <w:rFonts w:ascii="Arial" w:eastAsia="Calibri" w:hAnsi="Arial" w:cs="Arial"/>
          <w:sz w:val="26"/>
          <w:szCs w:val="26"/>
        </w:rPr>
        <w:t>en tal virtud,</w:t>
      </w:r>
      <w:r w:rsidRPr="00697DC9">
        <w:rPr>
          <w:rFonts w:ascii="Arial" w:eastAsia="Calibri" w:hAnsi="Arial" w:cs="Arial"/>
          <w:b/>
          <w:sz w:val="26"/>
          <w:szCs w:val="26"/>
        </w:rPr>
        <w:t xml:space="preserve"> </w:t>
      </w:r>
      <w:r w:rsidRPr="00697DC9">
        <w:rPr>
          <w:rFonts w:ascii="Arial" w:hAnsi="Arial" w:cs="Arial"/>
          <w:sz w:val="26"/>
          <w:szCs w:val="26"/>
        </w:rPr>
        <w:t>con fundamento en los artículos 236, 237 y 238, de la Ley de Procedimiento y Justicia Administrativa para el Estado de Oaxaca, se admite. En consecuencia, se procede a dictar resolución en los siguientes términos:</w:t>
      </w:r>
      <w:r w:rsidR="00B63E48">
        <w:rPr>
          <w:rFonts w:ascii="Arial" w:hAnsi="Arial" w:cs="Arial"/>
          <w:sz w:val="26"/>
          <w:szCs w:val="26"/>
        </w:rPr>
        <w:t xml:space="preserve">- - - - - - - - - - - </w:t>
      </w:r>
    </w:p>
    <w:p w14:paraId="12E8F8DE" w14:textId="77777777" w:rsidR="00B63E48" w:rsidRPr="00697DC9" w:rsidRDefault="00B63E48" w:rsidP="00B63E48">
      <w:pPr>
        <w:pStyle w:val="Sinespaciado"/>
      </w:pPr>
    </w:p>
    <w:p w14:paraId="5CBF7B72" w14:textId="12FB10D1" w:rsidR="001913C4" w:rsidRPr="00697DC9" w:rsidRDefault="001913C4" w:rsidP="001913C4">
      <w:pPr>
        <w:spacing w:after="0" w:line="360" w:lineRule="auto"/>
        <w:ind w:firstLine="708"/>
        <w:jc w:val="both"/>
        <w:rPr>
          <w:rFonts w:ascii="Arial" w:hAnsi="Arial" w:cs="Arial"/>
          <w:b/>
          <w:bCs/>
          <w:sz w:val="26"/>
          <w:szCs w:val="26"/>
          <w:lang w:val="es-ES"/>
        </w:rPr>
      </w:pPr>
      <w:r w:rsidRPr="00697DC9">
        <w:rPr>
          <w:rFonts w:ascii="Arial" w:hAnsi="Arial" w:cs="Arial"/>
          <w:sz w:val="26"/>
          <w:szCs w:val="26"/>
        </w:rPr>
        <w:t xml:space="preserve">                            </w:t>
      </w:r>
      <w:r w:rsidRPr="00697DC9">
        <w:rPr>
          <w:rFonts w:ascii="Arial" w:hAnsi="Arial" w:cs="Arial"/>
          <w:b/>
          <w:bCs/>
          <w:sz w:val="26"/>
          <w:szCs w:val="26"/>
          <w:lang w:val="es-ES"/>
        </w:rPr>
        <w:t xml:space="preserve"> R E S U L T A N D O </w:t>
      </w:r>
    </w:p>
    <w:p w14:paraId="5E00F97B" w14:textId="6055C7EC" w:rsidR="001913C4" w:rsidRPr="00697DC9" w:rsidRDefault="001913C4" w:rsidP="001913C4">
      <w:pPr>
        <w:spacing w:after="0" w:line="360" w:lineRule="auto"/>
        <w:ind w:firstLine="708"/>
        <w:jc w:val="both"/>
        <w:rPr>
          <w:rFonts w:ascii="Arial" w:hAnsi="Arial" w:cs="Arial"/>
          <w:sz w:val="26"/>
          <w:szCs w:val="26"/>
          <w:lang w:val="es-ES"/>
        </w:rPr>
      </w:pPr>
      <w:r w:rsidRPr="00697DC9">
        <w:rPr>
          <w:rFonts w:ascii="Arial" w:hAnsi="Arial" w:cs="Arial"/>
          <w:b/>
          <w:bCs/>
          <w:sz w:val="26"/>
          <w:szCs w:val="26"/>
          <w:lang w:val="es-ES"/>
        </w:rPr>
        <w:t xml:space="preserve">PRIMERO. </w:t>
      </w:r>
      <w:r w:rsidRPr="00697DC9">
        <w:rPr>
          <w:rFonts w:ascii="Arial" w:hAnsi="Arial" w:cs="Arial"/>
          <w:sz w:val="26"/>
          <w:szCs w:val="26"/>
          <w:lang w:val="es-ES"/>
        </w:rPr>
        <w:t>Inconforme con la sentencia de doce de febrero de dos mil veinte dictad</w:t>
      </w:r>
      <w:r w:rsidR="00C03EC7" w:rsidRPr="00697DC9">
        <w:rPr>
          <w:rFonts w:ascii="Arial" w:hAnsi="Arial" w:cs="Arial"/>
          <w:sz w:val="26"/>
          <w:szCs w:val="26"/>
          <w:lang w:val="es-ES"/>
        </w:rPr>
        <w:t>a</w:t>
      </w:r>
      <w:r w:rsidRPr="00697DC9">
        <w:rPr>
          <w:rFonts w:ascii="Arial" w:hAnsi="Arial" w:cs="Arial"/>
          <w:sz w:val="26"/>
          <w:szCs w:val="26"/>
          <w:lang w:val="es-ES"/>
        </w:rPr>
        <w:t xml:space="preserve"> por la entonces Séptima</w:t>
      </w:r>
      <w:r w:rsidRPr="00697DC9">
        <w:rPr>
          <w:rFonts w:ascii="Arial" w:eastAsia="Calibri" w:hAnsi="Arial" w:cs="Arial"/>
          <w:sz w:val="26"/>
          <w:szCs w:val="26"/>
        </w:rPr>
        <w:t xml:space="preserve"> </w:t>
      </w:r>
      <w:r w:rsidRPr="00697DC9">
        <w:rPr>
          <w:rFonts w:ascii="Arial" w:hAnsi="Arial" w:cs="Arial"/>
          <w:sz w:val="26"/>
          <w:szCs w:val="26"/>
          <w:lang w:val="es-ES"/>
        </w:rPr>
        <w:t xml:space="preserve">Sala Unitaria de Primera Instancia de este Tribunal, </w:t>
      </w:r>
      <w:r w:rsidR="00D341F6">
        <w:rPr>
          <w:rFonts w:ascii="Arial" w:hAnsi="Arial" w:cs="Arial"/>
          <w:b/>
          <w:bCs/>
          <w:sz w:val="26"/>
          <w:szCs w:val="26"/>
        </w:rPr>
        <w:t>***********</w:t>
      </w:r>
      <w:r w:rsidRPr="00697DC9">
        <w:rPr>
          <w:rFonts w:ascii="Arial" w:eastAsia="Calibri" w:hAnsi="Arial" w:cs="Arial"/>
          <w:b/>
          <w:sz w:val="26"/>
          <w:szCs w:val="26"/>
        </w:rPr>
        <w:t>, REPRESENTANTE LEGAL DE LA PERSONA MORAL DENOMINADA “</w:t>
      </w:r>
      <w:r w:rsidR="00D341F6">
        <w:rPr>
          <w:rFonts w:ascii="Arial" w:hAnsi="Arial" w:cs="Arial"/>
          <w:b/>
          <w:bCs/>
          <w:sz w:val="26"/>
          <w:szCs w:val="26"/>
        </w:rPr>
        <w:t>***********</w:t>
      </w:r>
      <w:r w:rsidRPr="00697DC9">
        <w:rPr>
          <w:rFonts w:ascii="Arial" w:eastAsia="Calibri" w:hAnsi="Arial" w:cs="Arial"/>
          <w:b/>
          <w:sz w:val="26"/>
          <w:szCs w:val="26"/>
        </w:rPr>
        <w:t xml:space="preserve">” </w:t>
      </w:r>
      <w:r w:rsidRPr="00697DC9">
        <w:rPr>
          <w:rFonts w:ascii="Arial" w:hAnsi="Arial" w:cs="Arial"/>
          <w:sz w:val="26"/>
          <w:szCs w:val="26"/>
          <w:lang w:val="es-ES"/>
        </w:rPr>
        <w:t>interpuso en su contra recurso de revisión. - - - - -</w:t>
      </w:r>
      <w:r w:rsidR="00D341F6">
        <w:rPr>
          <w:rFonts w:ascii="Arial" w:hAnsi="Arial" w:cs="Arial"/>
          <w:sz w:val="26"/>
          <w:szCs w:val="26"/>
          <w:lang w:val="es-ES"/>
        </w:rPr>
        <w:t xml:space="preserve"> - - - - - - - - - - - - - - - - - - - - - - - - - - - - </w:t>
      </w:r>
    </w:p>
    <w:p w14:paraId="4EDAF653" w14:textId="77777777" w:rsidR="00632281" w:rsidRPr="00697DC9" w:rsidRDefault="00632281" w:rsidP="001913C4">
      <w:pPr>
        <w:spacing w:after="0" w:line="360" w:lineRule="auto"/>
        <w:ind w:firstLine="708"/>
        <w:jc w:val="both"/>
        <w:rPr>
          <w:rFonts w:ascii="Arial" w:hAnsi="Arial" w:cs="Arial"/>
          <w:b/>
          <w:bCs/>
          <w:sz w:val="26"/>
          <w:szCs w:val="26"/>
        </w:rPr>
      </w:pPr>
    </w:p>
    <w:p w14:paraId="67287676" w14:textId="3BA0E151" w:rsidR="001913C4" w:rsidRDefault="001913C4" w:rsidP="001913C4">
      <w:pPr>
        <w:spacing w:after="0" w:line="360" w:lineRule="auto"/>
        <w:ind w:firstLine="708"/>
        <w:jc w:val="both"/>
        <w:rPr>
          <w:rFonts w:ascii="Arial" w:hAnsi="Arial" w:cs="Arial"/>
          <w:sz w:val="26"/>
          <w:szCs w:val="26"/>
        </w:rPr>
      </w:pPr>
      <w:r w:rsidRPr="00697DC9">
        <w:rPr>
          <w:rFonts w:ascii="Arial" w:hAnsi="Arial" w:cs="Arial"/>
          <w:b/>
          <w:bCs/>
          <w:sz w:val="26"/>
          <w:szCs w:val="26"/>
        </w:rPr>
        <w:lastRenderedPageBreak/>
        <w:t xml:space="preserve">SEGUNDO. </w:t>
      </w:r>
      <w:r w:rsidRPr="00697DC9">
        <w:rPr>
          <w:rFonts w:ascii="Arial" w:hAnsi="Arial" w:cs="Arial"/>
          <w:sz w:val="26"/>
          <w:szCs w:val="26"/>
        </w:rPr>
        <w:t xml:space="preserve">Los puntos resolutivos de la resolución impugnada son los siguientes: </w:t>
      </w:r>
      <w:r w:rsidR="003627EA">
        <w:rPr>
          <w:rFonts w:ascii="Arial" w:hAnsi="Arial" w:cs="Arial"/>
          <w:sz w:val="26"/>
          <w:szCs w:val="26"/>
        </w:rPr>
        <w:t xml:space="preserve">- - - - - - - - - - - - - - - - - - - - - - - - - - - - - - - - - - - - - - </w:t>
      </w:r>
    </w:p>
    <w:p w14:paraId="25F0A596" w14:textId="77777777" w:rsidR="003627EA" w:rsidRPr="00697DC9" w:rsidRDefault="003627EA" w:rsidP="003627EA">
      <w:pPr>
        <w:pStyle w:val="Sinespaciado"/>
      </w:pPr>
    </w:p>
    <w:p w14:paraId="1655891A" w14:textId="77777777" w:rsidR="001913C4" w:rsidRPr="00697DC9" w:rsidRDefault="001913C4" w:rsidP="001913C4">
      <w:pPr>
        <w:ind w:left="709" w:right="992"/>
        <w:jc w:val="both"/>
        <w:rPr>
          <w:rFonts w:ascii="Arial" w:hAnsi="Arial" w:cs="Arial"/>
          <w:i/>
          <w:sz w:val="24"/>
          <w:szCs w:val="24"/>
        </w:rPr>
      </w:pPr>
      <w:bookmarkStart w:id="2" w:name="_Hlk74733274"/>
      <w:r w:rsidRPr="00697DC9">
        <w:rPr>
          <w:rFonts w:ascii="Arial" w:hAnsi="Arial" w:cs="Arial"/>
          <w:i/>
          <w:sz w:val="24"/>
          <w:szCs w:val="24"/>
        </w:rPr>
        <w:t>“…</w:t>
      </w:r>
      <w:r w:rsidRPr="00697DC9">
        <w:rPr>
          <w:rFonts w:ascii="Arial" w:hAnsi="Arial" w:cs="Arial"/>
          <w:b/>
          <w:i/>
          <w:sz w:val="24"/>
          <w:szCs w:val="24"/>
        </w:rPr>
        <w:t>PRIMERO. -</w:t>
      </w:r>
      <w:r w:rsidRPr="00697DC9">
        <w:rPr>
          <w:rFonts w:ascii="Arial" w:hAnsi="Arial" w:cs="Arial"/>
          <w:i/>
          <w:sz w:val="24"/>
          <w:szCs w:val="24"/>
        </w:rPr>
        <w:t xml:space="preserve"> Esta Séptima Sala de Primera Instancia del Tribunal de Justicia Administrativa del Estado de Oaxaca, es legalmente competente para conocer y resolver del presente Juicio de Nulidad. - - - - - - - - - - - - - - - - - - - - - - - - - - - - - - - -</w:t>
      </w:r>
    </w:p>
    <w:p w14:paraId="6A796410" w14:textId="77777777" w:rsidR="001913C4" w:rsidRPr="00697DC9" w:rsidRDefault="001913C4" w:rsidP="001913C4">
      <w:pPr>
        <w:ind w:left="709" w:right="992"/>
        <w:jc w:val="both"/>
        <w:rPr>
          <w:rFonts w:ascii="Arial" w:hAnsi="Arial" w:cs="Arial"/>
          <w:i/>
          <w:sz w:val="24"/>
          <w:szCs w:val="24"/>
        </w:rPr>
      </w:pPr>
      <w:r w:rsidRPr="00697DC9">
        <w:rPr>
          <w:rFonts w:ascii="Arial" w:hAnsi="Arial" w:cs="Arial"/>
          <w:b/>
          <w:i/>
          <w:sz w:val="24"/>
          <w:szCs w:val="24"/>
        </w:rPr>
        <w:t>SEGUNDO. -</w:t>
      </w:r>
      <w:r w:rsidRPr="00697DC9">
        <w:rPr>
          <w:rFonts w:ascii="Arial" w:hAnsi="Arial" w:cs="Arial"/>
          <w:i/>
          <w:sz w:val="24"/>
          <w:szCs w:val="24"/>
        </w:rPr>
        <w:t xml:space="preserve"> Se actualizó causal de improcedencia del Juicio, prevista en la fracción II del artículo 161 de la Ley de Procedimiento y Justicia Administrativa para el Estado de Oaxaca, y como consecuencia SE SOBRESEE EL JUICIO, en términos del considerando CUARTO de esta resolución. - - - - </w:t>
      </w:r>
    </w:p>
    <w:p w14:paraId="4E00ADCD" w14:textId="41289CC1" w:rsidR="001913C4" w:rsidRPr="00697DC9" w:rsidRDefault="001913C4" w:rsidP="001913C4">
      <w:pPr>
        <w:ind w:left="709" w:right="992"/>
        <w:jc w:val="both"/>
        <w:rPr>
          <w:rFonts w:ascii="Arial" w:hAnsi="Arial" w:cs="Arial"/>
          <w:i/>
          <w:iCs/>
          <w:sz w:val="24"/>
          <w:szCs w:val="24"/>
        </w:rPr>
      </w:pPr>
      <w:r w:rsidRPr="00697DC9">
        <w:rPr>
          <w:rFonts w:ascii="Arial" w:hAnsi="Arial" w:cs="Arial"/>
          <w:b/>
          <w:i/>
          <w:sz w:val="24"/>
          <w:szCs w:val="24"/>
        </w:rPr>
        <w:t>TERCERO. -</w:t>
      </w:r>
      <w:r w:rsidRPr="00697DC9">
        <w:rPr>
          <w:rFonts w:ascii="Arial" w:hAnsi="Arial" w:cs="Arial"/>
          <w:i/>
          <w:sz w:val="24"/>
          <w:szCs w:val="24"/>
        </w:rPr>
        <w:t xml:space="preserve"> Conforme a lo dispuesto en el artículo 172 fracción I y 173 fracciones I y II, de la Ley de Procedimiento y Justicia Administrativa para el Estado de Oaxaca, </w:t>
      </w:r>
      <w:r w:rsidRPr="00697DC9">
        <w:rPr>
          <w:rFonts w:ascii="Arial" w:hAnsi="Arial" w:cs="Arial"/>
          <w:b/>
          <w:i/>
          <w:sz w:val="24"/>
          <w:szCs w:val="24"/>
        </w:rPr>
        <w:t>NOTIFÍQUESE PERSONALMENTE A LA PARTE ACTORA Y POR OFICIO A LA AUTORIDAD DEMANDADA. CÚMPLASE</w:t>
      </w:r>
      <w:r w:rsidRPr="00697DC9">
        <w:rPr>
          <w:rFonts w:ascii="Arial" w:hAnsi="Arial" w:cs="Arial"/>
          <w:i/>
          <w:sz w:val="24"/>
          <w:szCs w:val="24"/>
        </w:rPr>
        <w:t>...</w:t>
      </w:r>
      <w:r w:rsidRPr="00697DC9">
        <w:rPr>
          <w:rFonts w:ascii="Arial" w:hAnsi="Arial" w:cs="Arial"/>
          <w:i/>
          <w:iCs/>
          <w:sz w:val="24"/>
          <w:szCs w:val="24"/>
        </w:rPr>
        <w:t>”.</w:t>
      </w:r>
    </w:p>
    <w:p w14:paraId="4E126058" w14:textId="77777777" w:rsidR="00632281" w:rsidRPr="00697DC9" w:rsidRDefault="00632281" w:rsidP="001913C4">
      <w:pPr>
        <w:ind w:left="709" w:right="992"/>
        <w:jc w:val="both"/>
        <w:rPr>
          <w:rFonts w:ascii="Arial" w:hAnsi="Arial" w:cs="Arial"/>
          <w:i/>
          <w:sz w:val="24"/>
          <w:szCs w:val="24"/>
        </w:rPr>
      </w:pPr>
    </w:p>
    <w:bookmarkEnd w:id="2"/>
    <w:p w14:paraId="0B187235" w14:textId="3851195A" w:rsidR="001913C4" w:rsidRPr="00697DC9" w:rsidRDefault="001913C4" w:rsidP="001913C4">
      <w:pPr>
        <w:spacing w:after="0" w:line="360" w:lineRule="auto"/>
        <w:rPr>
          <w:rFonts w:ascii="Arial" w:eastAsia="Times New Roman" w:hAnsi="Arial" w:cs="Arial"/>
          <w:b/>
          <w:bCs/>
          <w:sz w:val="26"/>
          <w:szCs w:val="26"/>
          <w:lang w:val="es-ES" w:eastAsia="es-ES"/>
        </w:rPr>
      </w:pPr>
      <w:r w:rsidRPr="00697DC9">
        <w:rPr>
          <w:rFonts w:ascii="Arial" w:eastAsia="Times New Roman" w:hAnsi="Arial" w:cs="Arial"/>
          <w:b/>
          <w:bCs/>
          <w:sz w:val="26"/>
          <w:szCs w:val="26"/>
          <w:lang w:val="es-ES" w:eastAsia="es-ES"/>
        </w:rPr>
        <w:t xml:space="preserve">                                    C O N S I D E R A N D O </w:t>
      </w:r>
    </w:p>
    <w:p w14:paraId="43E221D6" w14:textId="77777777" w:rsidR="001913C4" w:rsidRPr="00697DC9" w:rsidRDefault="001913C4" w:rsidP="001913C4">
      <w:pPr>
        <w:spacing w:line="360" w:lineRule="auto"/>
        <w:ind w:firstLine="708"/>
        <w:jc w:val="both"/>
        <w:rPr>
          <w:rFonts w:ascii="Arial" w:hAnsi="Arial" w:cs="Arial"/>
          <w:bCs/>
          <w:iCs/>
          <w:sz w:val="26"/>
          <w:szCs w:val="26"/>
          <w:lang w:eastAsia="es-ES"/>
        </w:rPr>
      </w:pPr>
      <w:r w:rsidRPr="00697DC9">
        <w:rPr>
          <w:rFonts w:ascii="Arial" w:hAnsi="Arial" w:cs="Arial"/>
          <w:b/>
          <w:bCs/>
          <w:iCs/>
          <w:sz w:val="26"/>
          <w:szCs w:val="26"/>
        </w:rPr>
        <w:t xml:space="preserve">PRIMERO. </w:t>
      </w:r>
      <w:r w:rsidRPr="00697DC9">
        <w:rPr>
          <w:rFonts w:ascii="Arial" w:hAnsi="Arial" w:cs="Arial"/>
          <w:bCs/>
          <w:iCs/>
          <w:sz w:val="26"/>
          <w:szCs w:val="26"/>
        </w:rPr>
        <w:t xml:space="preserve">Esta Sala Superior es competente para conocer del presente asunto, </w:t>
      </w:r>
      <w:r w:rsidRPr="00697DC9">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sidRPr="00697DC9">
        <w:rPr>
          <w:rFonts w:ascii="Arial" w:hAnsi="Arial" w:cs="Arial"/>
          <w:bCs/>
          <w:iCs/>
          <w:sz w:val="26"/>
          <w:szCs w:val="26"/>
        </w:rPr>
        <w:t>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numerales</w:t>
      </w:r>
      <w:r w:rsidRPr="00697DC9">
        <w:rPr>
          <w:rFonts w:ascii="Arial" w:hAnsi="Arial" w:cs="Arial"/>
          <w:bCs/>
          <w:iCs/>
          <w:sz w:val="26"/>
          <w:szCs w:val="26"/>
          <w:lang w:eastAsia="es-ES"/>
        </w:rPr>
        <w:t xml:space="preserve"> 1, 118, 119, 120, 123 segundo párrafo, 125, 130 fracción I, 131, 231, 236 fracción VI y 238 de la Ley de Procedimiento y Justicia Administrativa para el Estado de Oaxaca, dado que se trata de un Recurso de Revisión interpuesto en contra de la resolución de doce de febrero de dos mil veinte que sobreseyó el juicio, dictada por la entonces Séptima Sala Unitaria de Primera Instancia en el expediente del juicio de nulidad </w:t>
      </w:r>
      <w:r w:rsidRPr="00697DC9">
        <w:rPr>
          <w:rFonts w:ascii="Arial" w:hAnsi="Arial" w:cs="Arial"/>
          <w:b/>
          <w:iCs/>
          <w:sz w:val="26"/>
          <w:szCs w:val="26"/>
          <w:lang w:eastAsia="es-ES"/>
        </w:rPr>
        <w:t>0085</w:t>
      </w:r>
      <w:r w:rsidRPr="00697DC9">
        <w:rPr>
          <w:rFonts w:ascii="Arial" w:hAnsi="Arial" w:cs="Arial"/>
          <w:b/>
          <w:bCs/>
          <w:iCs/>
          <w:sz w:val="26"/>
          <w:szCs w:val="26"/>
          <w:lang w:eastAsia="es-ES"/>
        </w:rPr>
        <w:t xml:space="preserve">/2019, </w:t>
      </w:r>
      <w:r w:rsidRPr="00697DC9">
        <w:rPr>
          <w:rFonts w:ascii="Arial" w:hAnsi="Arial" w:cs="Arial"/>
          <w:iCs/>
          <w:sz w:val="26"/>
          <w:szCs w:val="26"/>
          <w:lang w:eastAsia="es-ES"/>
        </w:rPr>
        <w:t>reasignado a la Cuarta Sala Unitaria de Primera Instancia, con el número</w:t>
      </w:r>
      <w:r w:rsidRPr="00697DC9">
        <w:rPr>
          <w:rFonts w:ascii="Arial" w:hAnsi="Arial" w:cs="Arial"/>
          <w:b/>
          <w:bCs/>
          <w:iCs/>
          <w:sz w:val="26"/>
          <w:szCs w:val="26"/>
          <w:lang w:eastAsia="es-ES"/>
        </w:rPr>
        <w:t xml:space="preserve"> 0099/2020</w:t>
      </w:r>
      <w:r w:rsidRPr="00697DC9">
        <w:rPr>
          <w:rFonts w:ascii="Arial" w:hAnsi="Arial" w:cs="Arial"/>
          <w:bCs/>
          <w:iCs/>
          <w:sz w:val="26"/>
          <w:szCs w:val="26"/>
          <w:lang w:eastAsia="es-ES"/>
        </w:rPr>
        <w:t xml:space="preserve">.- - - - - - - - - - - </w:t>
      </w:r>
    </w:p>
    <w:p w14:paraId="5538ECA0" w14:textId="00BF77AD" w:rsidR="001913C4" w:rsidRPr="00697DC9" w:rsidRDefault="001913C4" w:rsidP="001913C4">
      <w:pPr>
        <w:spacing w:line="360" w:lineRule="auto"/>
        <w:jc w:val="both"/>
        <w:rPr>
          <w:rFonts w:ascii="Arial" w:hAnsi="Arial" w:cs="Arial"/>
          <w:sz w:val="26"/>
          <w:szCs w:val="26"/>
        </w:rPr>
      </w:pPr>
      <w:r w:rsidRPr="00697DC9">
        <w:rPr>
          <w:rFonts w:ascii="Arial" w:hAnsi="Arial" w:cs="Arial"/>
          <w:bCs/>
          <w:iCs/>
          <w:sz w:val="26"/>
          <w:szCs w:val="26"/>
          <w:lang w:eastAsia="es-ES"/>
        </w:rPr>
        <w:t xml:space="preserve">     </w:t>
      </w:r>
      <w:r w:rsidRPr="00697DC9">
        <w:rPr>
          <w:rFonts w:ascii="Arial" w:hAnsi="Arial" w:cs="Arial"/>
          <w:b/>
          <w:bCs/>
          <w:sz w:val="26"/>
          <w:szCs w:val="26"/>
        </w:rPr>
        <w:t>SEGUNDO.</w:t>
      </w:r>
      <w:r w:rsidRPr="00697DC9">
        <w:rPr>
          <w:rFonts w:ascii="Arial" w:eastAsia="Calibri" w:hAnsi="Arial" w:cs="Arial"/>
          <w:bCs/>
          <w:sz w:val="26"/>
          <w:szCs w:val="26"/>
        </w:rPr>
        <w:t xml:space="preserve"> </w:t>
      </w:r>
      <w:r w:rsidRPr="00697DC9">
        <w:rPr>
          <w:rFonts w:ascii="Arial" w:hAnsi="Arial" w:cs="Arial"/>
          <w:bCs/>
          <w:sz w:val="26"/>
          <w:szCs w:val="26"/>
        </w:rPr>
        <w:t xml:space="preserve">Los agravios hechos valer se encuentran expuestos en el escrito respectivo del recurrente, por lo que no existe necesidad de transcribirlos, al no transgredirse derecho alguno, como tampoco se </w:t>
      </w:r>
      <w:r w:rsidRPr="00697DC9">
        <w:rPr>
          <w:rFonts w:ascii="Arial" w:hAnsi="Arial" w:cs="Arial"/>
          <w:bCs/>
          <w:sz w:val="26"/>
          <w:szCs w:val="26"/>
        </w:rPr>
        <w:lastRenderedPageBreak/>
        <w:t>vulnera disposición expresa que imponga tal obligación</w:t>
      </w:r>
      <w:r w:rsidRPr="00697DC9">
        <w:rPr>
          <w:rFonts w:ascii="Arial" w:hAnsi="Arial" w:cs="Arial"/>
          <w:sz w:val="26"/>
          <w:szCs w:val="26"/>
        </w:rPr>
        <w:t>. En apoyo a lo anterior, se invoca el siguiente criterio Jurisprudencial</w:t>
      </w:r>
      <w:r w:rsidRPr="00697DC9">
        <w:rPr>
          <w:rStyle w:val="Refdenotaalpie"/>
          <w:rFonts w:ascii="Arial" w:hAnsi="Arial" w:cs="Arial"/>
          <w:sz w:val="26"/>
          <w:szCs w:val="26"/>
        </w:rPr>
        <w:footnoteReference w:id="1"/>
      </w:r>
      <w:r w:rsidRPr="00697DC9">
        <w:rPr>
          <w:rFonts w:ascii="Arial" w:hAnsi="Arial" w:cs="Arial"/>
          <w:sz w:val="26"/>
          <w:szCs w:val="26"/>
        </w:rPr>
        <w:t>:</w:t>
      </w:r>
      <w:r w:rsidR="00F40516">
        <w:rPr>
          <w:rFonts w:ascii="Arial" w:hAnsi="Arial" w:cs="Arial"/>
          <w:sz w:val="26"/>
          <w:szCs w:val="26"/>
        </w:rPr>
        <w:t xml:space="preserve"> - - - - - - - - - - - -</w:t>
      </w:r>
    </w:p>
    <w:p w14:paraId="03DAA6D2" w14:textId="49FABBC9" w:rsidR="001913C4" w:rsidRPr="00F40516" w:rsidRDefault="001913C4" w:rsidP="00632281">
      <w:pPr>
        <w:spacing w:before="240"/>
        <w:ind w:left="851" w:right="616"/>
        <w:jc w:val="both"/>
        <w:rPr>
          <w:rFonts w:ascii="Arial" w:eastAsia="Calibri" w:hAnsi="Arial" w:cs="Arial"/>
          <w:b/>
          <w:bCs/>
          <w:i/>
          <w:sz w:val="24"/>
          <w:szCs w:val="24"/>
          <w:lang w:val="es-ES" w:eastAsia="en-US"/>
        </w:rPr>
      </w:pPr>
      <w:r w:rsidRPr="00F40516">
        <w:rPr>
          <w:rFonts w:ascii="Arial" w:eastAsia="Calibri" w:hAnsi="Arial" w:cs="Arial"/>
          <w:b/>
          <w:bCs/>
          <w:i/>
          <w:sz w:val="24"/>
          <w:szCs w:val="24"/>
        </w:rPr>
        <w:t xml:space="preserve">“CONCEPTOS DE VIOLACIÓN O AGRAVIOS. PARA CUMPLIR CON LOS PRINCIPIOS DE CONGRUENCIA Y EXHAUSTIVIDAD EN LAS SENTENCIAS DE AMPARO ES INNECESARIA SU TRANSCRIPCIÓN. </w:t>
      </w:r>
      <w:r w:rsidRPr="00F40516">
        <w:rPr>
          <w:rFonts w:ascii="Arial" w:eastAsia="Calibri" w:hAnsi="Arial" w:cs="Arial"/>
          <w:bCs/>
          <w:i/>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63E80F4" w14:textId="77777777" w:rsidR="001913C4" w:rsidRPr="00697DC9" w:rsidRDefault="001913C4" w:rsidP="001913C4">
      <w:pPr>
        <w:spacing w:line="360" w:lineRule="auto"/>
        <w:ind w:firstLine="709"/>
        <w:jc w:val="both"/>
        <w:rPr>
          <w:rFonts w:ascii="Arial" w:eastAsia="Calibri" w:hAnsi="Arial" w:cs="Arial"/>
          <w:bCs/>
          <w:sz w:val="26"/>
          <w:szCs w:val="26"/>
        </w:rPr>
      </w:pPr>
      <w:r w:rsidRPr="00697DC9">
        <w:rPr>
          <w:rFonts w:ascii="Arial" w:eastAsia="Calibri" w:hAnsi="Arial" w:cs="Arial"/>
          <w:b/>
          <w:bCs/>
          <w:sz w:val="26"/>
          <w:szCs w:val="26"/>
        </w:rPr>
        <w:t>TERCERO. En el primer agravio</w:t>
      </w:r>
      <w:r w:rsidRPr="00697DC9">
        <w:rPr>
          <w:rFonts w:ascii="Arial" w:eastAsia="Calibri" w:hAnsi="Arial" w:cs="Arial"/>
          <w:bCs/>
          <w:sz w:val="26"/>
          <w:szCs w:val="26"/>
        </w:rPr>
        <w:t>, el recurrente manifiesta que existe ilegalidad en la resolución que impugna al sobreseer el juicio la Sala de Primera Instancia; toda vez que, mediante acuerdo de fecha veintisiete de agosto de dos mil diecinueve se tuvo por acreditada la personalidad del representante legal; ya que existe un acuerdo previo donde se tiene por reconocida la personalidad, el cual no fue revocado ni mucho menos se interpuso algún incidente de falta de personalidad durante la sustanciación del juicio. - - - - - - - - - - - - - - - - - - - - - - - - - - -</w:t>
      </w:r>
    </w:p>
    <w:p w14:paraId="56E61975" w14:textId="7D92E7F0" w:rsidR="001913C4" w:rsidRPr="00697DC9" w:rsidRDefault="001913C4" w:rsidP="001913C4">
      <w:pPr>
        <w:spacing w:line="360" w:lineRule="auto"/>
        <w:jc w:val="both"/>
        <w:rPr>
          <w:rFonts w:ascii="Arial" w:eastAsia="Calibri" w:hAnsi="Arial" w:cs="Arial"/>
          <w:bCs/>
          <w:sz w:val="26"/>
          <w:szCs w:val="26"/>
        </w:rPr>
      </w:pPr>
      <w:r w:rsidRPr="00697DC9">
        <w:rPr>
          <w:rFonts w:ascii="Arial" w:eastAsia="Calibri" w:hAnsi="Arial" w:cs="Arial"/>
          <w:bCs/>
          <w:sz w:val="26"/>
          <w:szCs w:val="26"/>
        </w:rPr>
        <w:t xml:space="preserve">      Continúa </w:t>
      </w:r>
      <w:r w:rsidR="00C03EC7" w:rsidRPr="00697DC9">
        <w:rPr>
          <w:rFonts w:ascii="Arial" w:eastAsia="Calibri" w:hAnsi="Arial" w:cs="Arial"/>
          <w:bCs/>
          <w:sz w:val="26"/>
          <w:szCs w:val="26"/>
        </w:rPr>
        <w:t>alegando el recurrente</w:t>
      </w:r>
      <w:r w:rsidRPr="00697DC9">
        <w:rPr>
          <w:rFonts w:ascii="Arial" w:eastAsia="Calibri" w:hAnsi="Arial" w:cs="Arial"/>
          <w:bCs/>
          <w:sz w:val="26"/>
          <w:szCs w:val="26"/>
        </w:rPr>
        <w:t xml:space="preserve"> que, si la Sala de Primera Instancia tenía la duda sobre la representación legal, en caso que existiera oscuridad en la demanda o alguna omisión, en aras de tutelar el derecho humano de tutela judicial efectiva y debido proceso del mismo actor, debió haber un requerimiento para subsanar o aclarar la irregularidad planteada, o bien se haya regularizado el procedimiento, motivos por los cuales considera  el Tribunal no juzgó bajo la luz de l</w:t>
      </w:r>
      <w:r w:rsidR="00C03EC7" w:rsidRPr="00697DC9">
        <w:rPr>
          <w:rFonts w:ascii="Arial" w:eastAsia="Calibri" w:hAnsi="Arial" w:cs="Arial"/>
          <w:bCs/>
          <w:sz w:val="26"/>
          <w:szCs w:val="26"/>
        </w:rPr>
        <w:t>os</w:t>
      </w:r>
      <w:r w:rsidRPr="00697DC9">
        <w:rPr>
          <w:rFonts w:ascii="Arial" w:eastAsia="Calibri" w:hAnsi="Arial" w:cs="Arial"/>
          <w:bCs/>
          <w:sz w:val="26"/>
          <w:szCs w:val="26"/>
        </w:rPr>
        <w:t xml:space="preserve"> principios pro </w:t>
      </w:r>
      <w:r w:rsidRPr="00697DC9">
        <w:rPr>
          <w:rFonts w:ascii="Arial" w:eastAsia="Calibri" w:hAnsi="Arial" w:cs="Arial"/>
          <w:bCs/>
          <w:sz w:val="26"/>
          <w:szCs w:val="26"/>
        </w:rPr>
        <w:lastRenderedPageBreak/>
        <w:t>persona, tutela judicial efectiva y principio de audiencia, consagrados en los artículos 1, 14 y 17, de la Constitución Política de los Estados Unidos Mexicanos.</w:t>
      </w:r>
      <w:r w:rsidR="00AD274B">
        <w:rPr>
          <w:rFonts w:ascii="Arial" w:eastAsia="Calibri" w:hAnsi="Arial" w:cs="Arial"/>
          <w:bCs/>
          <w:sz w:val="26"/>
          <w:szCs w:val="26"/>
        </w:rPr>
        <w:t>- - - - - -  - - - - - - - - - - - - - -  -- - - - - - - - - - - - - - - - - - - - - - -</w:t>
      </w:r>
    </w:p>
    <w:p w14:paraId="546B916B" w14:textId="28821947" w:rsidR="001913C4" w:rsidRPr="00697DC9" w:rsidRDefault="001913C4" w:rsidP="001913C4">
      <w:pPr>
        <w:spacing w:line="360" w:lineRule="auto"/>
        <w:jc w:val="both"/>
        <w:rPr>
          <w:rFonts w:ascii="Arial" w:eastAsia="Calibri" w:hAnsi="Arial" w:cs="Arial"/>
          <w:bCs/>
          <w:sz w:val="26"/>
          <w:szCs w:val="26"/>
        </w:rPr>
      </w:pPr>
      <w:r w:rsidRPr="00697DC9">
        <w:rPr>
          <w:rFonts w:ascii="Arial" w:eastAsia="Calibri" w:hAnsi="Arial" w:cs="Arial"/>
          <w:bCs/>
          <w:sz w:val="26"/>
          <w:szCs w:val="26"/>
        </w:rPr>
        <w:t xml:space="preserve">     Agrega que, el instrumento notarial que exhibió en juicio con el que acreditó su personalidad, otorgaba indicios suficientes con los que daba certeza para que la Sala primigenia pudiera considerar que la persona que promovía en la demanda inicial era el representante de la persona moral, de manera que debió concluir que dicho documento </w:t>
      </w:r>
      <w:r w:rsidR="009B7FAA" w:rsidRPr="00697DC9">
        <w:rPr>
          <w:rFonts w:ascii="Arial" w:eastAsia="Calibri" w:hAnsi="Arial" w:cs="Arial"/>
          <w:bCs/>
          <w:sz w:val="26"/>
          <w:szCs w:val="26"/>
        </w:rPr>
        <w:t>tenía</w:t>
      </w:r>
      <w:r w:rsidRPr="00697DC9">
        <w:rPr>
          <w:rFonts w:ascii="Arial" w:eastAsia="Calibri" w:hAnsi="Arial" w:cs="Arial"/>
          <w:bCs/>
          <w:sz w:val="26"/>
          <w:szCs w:val="26"/>
        </w:rPr>
        <w:t xml:space="preserve"> los elementos necesarios para arrojar la certeza </w:t>
      </w:r>
      <w:r w:rsidR="00947C97" w:rsidRPr="00697DC9">
        <w:rPr>
          <w:rFonts w:ascii="Arial" w:eastAsia="Calibri" w:hAnsi="Arial" w:cs="Arial"/>
          <w:bCs/>
          <w:sz w:val="26"/>
          <w:szCs w:val="26"/>
        </w:rPr>
        <w:t xml:space="preserve">de </w:t>
      </w:r>
      <w:r w:rsidRPr="00697DC9">
        <w:rPr>
          <w:rFonts w:ascii="Arial" w:eastAsia="Calibri" w:hAnsi="Arial" w:cs="Arial"/>
          <w:bCs/>
          <w:sz w:val="26"/>
          <w:szCs w:val="26"/>
        </w:rPr>
        <w:t xml:space="preserve">que el actor era el representante legal de la persona moral a que representa, como se puede observar de dicha documental la persona que presidió la Asamblea fue el mismo actor </w:t>
      </w:r>
      <w:r w:rsidR="00D341F6">
        <w:rPr>
          <w:rFonts w:ascii="Arial" w:hAnsi="Arial" w:cs="Arial"/>
          <w:b/>
          <w:bCs/>
          <w:sz w:val="26"/>
          <w:szCs w:val="26"/>
        </w:rPr>
        <w:t>***********</w:t>
      </w:r>
      <w:r w:rsidRPr="00697DC9">
        <w:rPr>
          <w:rFonts w:ascii="Arial" w:eastAsia="Calibri" w:hAnsi="Arial" w:cs="Arial"/>
          <w:bCs/>
          <w:sz w:val="26"/>
          <w:szCs w:val="26"/>
        </w:rPr>
        <w:t>, al ser el Administrador Único de la persona moral que representa. (</w:t>
      </w:r>
      <w:proofErr w:type="gramStart"/>
      <w:r w:rsidRPr="00697DC9">
        <w:rPr>
          <w:rFonts w:ascii="Arial" w:eastAsia="Calibri" w:hAnsi="Arial" w:cs="Arial"/>
          <w:bCs/>
          <w:sz w:val="26"/>
          <w:szCs w:val="26"/>
        </w:rPr>
        <w:t>transcribe</w:t>
      </w:r>
      <w:proofErr w:type="gramEnd"/>
      <w:r w:rsidRPr="00697DC9">
        <w:rPr>
          <w:rFonts w:ascii="Arial" w:eastAsia="Calibri" w:hAnsi="Arial" w:cs="Arial"/>
          <w:bCs/>
          <w:sz w:val="26"/>
          <w:szCs w:val="26"/>
        </w:rPr>
        <w:t xml:space="preserve"> parte del poder notarial) - - </w:t>
      </w:r>
      <w:r w:rsidR="00D341F6">
        <w:rPr>
          <w:rFonts w:ascii="Arial" w:eastAsia="Calibri" w:hAnsi="Arial" w:cs="Arial"/>
          <w:bCs/>
          <w:sz w:val="26"/>
          <w:szCs w:val="26"/>
        </w:rPr>
        <w:t xml:space="preserve"> </w:t>
      </w:r>
    </w:p>
    <w:p w14:paraId="3DB68FA3" w14:textId="6DCBA10B" w:rsidR="001913C4" w:rsidRPr="00697DC9" w:rsidRDefault="001913C4" w:rsidP="001913C4">
      <w:pPr>
        <w:spacing w:line="360" w:lineRule="auto"/>
        <w:jc w:val="both"/>
        <w:rPr>
          <w:rFonts w:ascii="Arial" w:eastAsia="Calibri" w:hAnsi="Arial" w:cs="Arial"/>
          <w:bCs/>
          <w:sz w:val="26"/>
          <w:szCs w:val="26"/>
        </w:rPr>
      </w:pPr>
      <w:r w:rsidRPr="00697DC9">
        <w:rPr>
          <w:rFonts w:ascii="Arial" w:eastAsia="Calibri" w:hAnsi="Arial" w:cs="Arial"/>
          <w:bCs/>
          <w:sz w:val="26"/>
          <w:szCs w:val="26"/>
        </w:rPr>
        <w:t xml:space="preserve">      Concluye que, los artículos 10, 142 y 147, de la Ley General de Sociedades Mercantiles, señala que la representación legal de las personas morales corresponde a su administrador, lo cual por disposición de Ley, se considera ilegal que la autoridad recurrida motive su decisión con sus facultades como sería representar legalmente a dicha empresa ante las autoridades judiciales; por lo que, la Sala de Primera Instancia soslaya el contenido del artículo 10</w:t>
      </w:r>
      <w:r w:rsidR="00C03EC7" w:rsidRPr="00697DC9">
        <w:rPr>
          <w:rFonts w:ascii="Arial" w:eastAsia="Calibri" w:hAnsi="Arial" w:cs="Arial"/>
          <w:bCs/>
          <w:sz w:val="26"/>
          <w:szCs w:val="26"/>
        </w:rPr>
        <w:t>,</w:t>
      </w:r>
      <w:r w:rsidRPr="00697DC9">
        <w:rPr>
          <w:rFonts w:ascii="Arial" w:eastAsia="Calibri" w:hAnsi="Arial" w:cs="Arial"/>
          <w:bCs/>
          <w:sz w:val="26"/>
          <w:szCs w:val="26"/>
        </w:rPr>
        <w:t xml:space="preserve"> y, </w:t>
      </w:r>
      <w:r w:rsidR="00C03EC7" w:rsidRPr="00697DC9">
        <w:rPr>
          <w:rFonts w:ascii="Arial" w:eastAsia="Calibri" w:hAnsi="Arial" w:cs="Arial"/>
          <w:bCs/>
          <w:sz w:val="26"/>
          <w:szCs w:val="26"/>
        </w:rPr>
        <w:t xml:space="preserve">los </w:t>
      </w:r>
      <w:r w:rsidRPr="00697DC9">
        <w:rPr>
          <w:rFonts w:ascii="Arial" w:eastAsia="Calibri" w:hAnsi="Arial" w:cs="Arial"/>
          <w:bCs/>
          <w:sz w:val="26"/>
          <w:szCs w:val="26"/>
        </w:rPr>
        <w:t>demás mencionados de la Ley General de Sociedades Mercantiles, aunado que en la misma acta se advierte de manera notoria al actor su calidad de Administrador Único. - - - - - - - - - - - - - - - - - - - - - - - - - - - - - - - - - - - - -</w:t>
      </w:r>
    </w:p>
    <w:p w14:paraId="1FB12AEC" w14:textId="5BF6FFC0" w:rsidR="001913C4" w:rsidRPr="00697DC9" w:rsidRDefault="001913C4" w:rsidP="001913C4">
      <w:pPr>
        <w:spacing w:line="360" w:lineRule="auto"/>
        <w:jc w:val="both"/>
        <w:rPr>
          <w:rFonts w:ascii="Arial" w:eastAsia="Calibri" w:hAnsi="Arial" w:cs="Arial"/>
          <w:bCs/>
          <w:sz w:val="26"/>
          <w:szCs w:val="26"/>
        </w:rPr>
      </w:pPr>
      <w:r w:rsidRPr="00697DC9">
        <w:rPr>
          <w:rFonts w:ascii="Arial" w:eastAsia="Calibri" w:hAnsi="Arial" w:cs="Arial"/>
          <w:bCs/>
          <w:sz w:val="26"/>
          <w:szCs w:val="26"/>
        </w:rPr>
        <w:t xml:space="preserve">    Invoca el actor los siguientes criterios, de rubros siguientes: </w:t>
      </w:r>
      <w:r w:rsidRPr="00697DC9">
        <w:rPr>
          <w:rFonts w:ascii="Arial" w:eastAsia="Calibri" w:hAnsi="Arial" w:cs="Arial"/>
          <w:bCs/>
          <w:i/>
          <w:sz w:val="24"/>
          <w:szCs w:val="24"/>
        </w:rPr>
        <w:t>“SOCIEDADES, SU REPRESENTANTE NO REQUIERE ACEPTAR FORMALMENTE EL CARGO CONFERIDO POR LA ASAMBLEA, BASTANDO LA EJECUCIÓN DE ESA REPRESENTACIÓN PARA TENERLA POR PERFECCIONADA.” y “REPRESENTANTE LEGAL Y ADMINISTRADOR DE SOCIEDADES. DIFERENCIAS ENTRE REPRESENTACIÓN FUNCIONAL U ORGÁNICA Y MANDATO.”</w:t>
      </w:r>
      <w:r w:rsidR="003E1F87">
        <w:rPr>
          <w:rFonts w:ascii="Arial" w:eastAsia="Calibri" w:hAnsi="Arial" w:cs="Arial"/>
          <w:bCs/>
          <w:i/>
          <w:sz w:val="24"/>
          <w:szCs w:val="24"/>
        </w:rPr>
        <w:t>- - - - - - - - - -</w:t>
      </w:r>
    </w:p>
    <w:p w14:paraId="6AC856E1" w14:textId="6088D422" w:rsidR="001913C4" w:rsidRPr="00697DC9" w:rsidRDefault="001913C4" w:rsidP="001913C4">
      <w:pPr>
        <w:spacing w:line="360" w:lineRule="auto"/>
        <w:jc w:val="both"/>
        <w:rPr>
          <w:rFonts w:ascii="Arial" w:eastAsia="Calibri" w:hAnsi="Arial" w:cs="Arial"/>
          <w:bCs/>
          <w:sz w:val="26"/>
          <w:szCs w:val="26"/>
        </w:rPr>
      </w:pPr>
      <w:r w:rsidRPr="00697DC9">
        <w:rPr>
          <w:rFonts w:ascii="Arial" w:eastAsia="Calibri" w:hAnsi="Arial" w:cs="Arial"/>
          <w:b/>
          <w:bCs/>
          <w:sz w:val="26"/>
          <w:szCs w:val="26"/>
        </w:rPr>
        <w:t xml:space="preserve">        En el segundo agravio</w:t>
      </w:r>
      <w:r w:rsidRPr="00697DC9">
        <w:rPr>
          <w:rFonts w:ascii="Arial" w:eastAsia="Calibri" w:hAnsi="Arial" w:cs="Arial"/>
          <w:bCs/>
          <w:sz w:val="26"/>
          <w:szCs w:val="26"/>
        </w:rPr>
        <w:t xml:space="preserve">, señala </w:t>
      </w:r>
      <w:r w:rsidR="00C03EC7" w:rsidRPr="00697DC9">
        <w:rPr>
          <w:rFonts w:ascii="Arial" w:eastAsia="Calibri" w:hAnsi="Arial" w:cs="Arial"/>
          <w:bCs/>
          <w:sz w:val="26"/>
          <w:szCs w:val="26"/>
        </w:rPr>
        <w:t>el</w:t>
      </w:r>
      <w:r w:rsidRPr="00697DC9">
        <w:rPr>
          <w:rFonts w:ascii="Arial" w:eastAsia="Calibri" w:hAnsi="Arial" w:cs="Arial"/>
          <w:bCs/>
          <w:sz w:val="26"/>
          <w:szCs w:val="26"/>
        </w:rPr>
        <w:t xml:space="preserve"> ahora recurrente que</w:t>
      </w:r>
      <w:r w:rsidR="00C03EC7" w:rsidRPr="00697DC9">
        <w:rPr>
          <w:rFonts w:ascii="Arial" w:eastAsia="Calibri" w:hAnsi="Arial" w:cs="Arial"/>
          <w:bCs/>
          <w:sz w:val="26"/>
          <w:szCs w:val="26"/>
        </w:rPr>
        <w:t>,</w:t>
      </w:r>
      <w:r w:rsidRPr="00697DC9">
        <w:rPr>
          <w:rFonts w:ascii="Arial" w:eastAsia="Calibri" w:hAnsi="Arial" w:cs="Arial"/>
          <w:bCs/>
          <w:sz w:val="26"/>
          <w:szCs w:val="26"/>
        </w:rPr>
        <w:t xml:space="preserve"> el sobreseimiento emitido por la Sala de Primera Instancia viola los derechos fundamentales de su representada como lo son los de audiencia, debido proceso, tutela judicial efectiva y pro persona; dado que, la Séptima Sala debió requerir a su representada, en caso de oscuridad e imprecisión en la demanda, conforme a lo establecido en el </w:t>
      </w:r>
      <w:r w:rsidRPr="00697DC9">
        <w:rPr>
          <w:rFonts w:ascii="Arial" w:eastAsia="Calibri" w:hAnsi="Arial" w:cs="Arial"/>
          <w:bCs/>
          <w:sz w:val="26"/>
          <w:szCs w:val="26"/>
        </w:rPr>
        <w:lastRenderedPageBreak/>
        <w:t>artículo 179, de la Ley de Procedimiento y Justicia Administrativa para el Estado de Oaxaca, para que exhibiera el documento con el que se acreditara la personalidad, para el caso de que se considerar</w:t>
      </w:r>
      <w:r w:rsidR="00947C97" w:rsidRPr="00697DC9">
        <w:rPr>
          <w:rFonts w:ascii="Arial" w:eastAsia="Calibri" w:hAnsi="Arial" w:cs="Arial"/>
          <w:bCs/>
          <w:sz w:val="26"/>
          <w:szCs w:val="26"/>
        </w:rPr>
        <w:t>a</w:t>
      </w:r>
      <w:r w:rsidRPr="00697DC9">
        <w:rPr>
          <w:rFonts w:ascii="Arial" w:eastAsia="Calibri" w:hAnsi="Arial" w:cs="Arial"/>
          <w:bCs/>
          <w:sz w:val="26"/>
          <w:szCs w:val="26"/>
        </w:rPr>
        <w:t xml:space="preserve"> que no se anexaron, circunstancia que no aconteció. - - - - - - - - - - - - - - - - - - -</w:t>
      </w:r>
    </w:p>
    <w:p w14:paraId="22B9E9F4" w14:textId="16166391" w:rsidR="001913C4" w:rsidRPr="00697DC9" w:rsidRDefault="001913C4" w:rsidP="001913C4">
      <w:pPr>
        <w:spacing w:line="360" w:lineRule="auto"/>
        <w:jc w:val="both"/>
        <w:rPr>
          <w:rFonts w:ascii="Arial" w:eastAsia="Calibri" w:hAnsi="Arial" w:cs="Arial"/>
          <w:bCs/>
          <w:sz w:val="26"/>
          <w:szCs w:val="26"/>
        </w:rPr>
      </w:pPr>
      <w:r w:rsidRPr="00697DC9">
        <w:rPr>
          <w:rFonts w:ascii="Arial" w:eastAsia="Calibri" w:hAnsi="Arial" w:cs="Arial"/>
          <w:bCs/>
          <w:sz w:val="26"/>
          <w:szCs w:val="26"/>
        </w:rPr>
        <w:t xml:space="preserve">    Asimismo, manifestó que conforme al principio de la interpretación más favorable para el gobernado y conforme al principio pro persona contenido en el artículo 1° de la Constitución Política de los Estados Unidos Mexicanos, la integración de todas las normas contenidas en la ley que rige el procedimiento desahogado en esta instancia, la autoridad recurrida debió de realizar una composición conforme </w:t>
      </w:r>
      <w:r w:rsidR="00947C97" w:rsidRPr="00697DC9">
        <w:rPr>
          <w:rFonts w:ascii="Arial" w:eastAsia="Calibri" w:hAnsi="Arial" w:cs="Arial"/>
          <w:bCs/>
          <w:sz w:val="26"/>
          <w:szCs w:val="26"/>
        </w:rPr>
        <w:t>a</w:t>
      </w:r>
      <w:r w:rsidRPr="00697DC9">
        <w:rPr>
          <w:rFonts w:ascii="Arial" w:eastAsia="Calibri" w:hAnsi="Arial" w:cs="Arial"/>
          <w:bCs/>
          <w:sz w:val="26"/>
          <w:szCs w:val="26"/>
        </w:rPr>
        <w:t xml:space="preserve"> los dispositivos legales contenidos en la Ley de Procedimiento y Justicia Administrativa para el Estado de Oaxaca, para con ello cumplir con el deber de respetar, proteger y garantizar los derechos humanos, atendiendo el principio de progresividad. - - - - - - - - - - - - - - - - - - - - - - - - - - - - - - - - -</w:t>
      </w:r>
    </w:p>
    <w:p w14:paraId="515104FD" w14:textId="22D2C319" w:rsidR="001913C4" w:rsidRPr="00697DC9" w:rsidRDefault="001913C4" w:rsidP="001913C4">
      <w:pPr>
        <w:spacing w:line="360" w:lineRule="auto"/>
        <w:jc w:val="both"/>
        <w:rPr>
          <w:rFonts w:ascii="Arial" w:hAnsi="Arial" w:cs="Arial"/>
          <w:bCs/>
          <w:sz w:val="26"/>
          <w:szCs w:val="26"/>
        </w:rPr>
      </w:pPr>
      <w:r w:rsidRPr="00697DC9">
        <w:rPr>
          <w:rFonts w:ascii="Arial" w:hAnsi="Arial" w:cs="Arial"/>
          <w:b/>
          <w:bCs/>
          <w:sz w:val="26"/>
          <w:szCs w:val="26"/>
        </w:rPr>
        <w:t xml:space="preserve">      Ahora</w:t>
      </w:r>
      <w:r w:rsidRPr="00697DC9">
        <w:rPr>
          <w:rFonts w:ascii="Arial" w:hAnsi="Arial" w:cs="Arial"/>
          <w:bCs/>
          <w:sz w:val="26"/>
          <w:szCs w:val="26"/>
        </w:rPr>
        <w:t xml:space="preserve">, de las constancias de autos que integran el expediente de nulidad de origen remitidas para la sustanciación del presente asunto, con pleno valor probatorio en términos del artículo 203, fracción I, de la Ley de Procedimiento y Justicia Administrativa para el Estado de Oaxaca, por tratarse de actuaciones judiciales, se transcribe el considerando cuarto de la resolución que se revisa: </w:t>
      </w:r>
      <w:r w:rsidR="00A96DC3">
        <w:rPr>
          <w:rFonts w:ascii="Arial" w:hAnsi="Arial" w:cs="Arial"/>
          <w:bCs/>
          <w:sz w:val="26"/>
          <w:szCs w:val="26"/>
        </w:rPr>
        <w:t xml:space="preserve">- - - - - - - - - - - - - - - </w:t>
      </w:r>
    </w:p>
    <w:p w14:paraId="6ED25A9A" w14:textId="192CC749" w:rsidR="001913C4" w:rsidRPr="00697DC9" w:rsidRDefault="001913C4" w:rsidP="001913C4">
      <w:pPr>
        <w:spacing w:line="360" w:lineRule="auto"/>
        <w:ind w:left="426" w:right="758"/>
        <w:jc w:val="both"/>
        <w:rPr>
          <w:rFonts w:ascii="Arial" w:hAnsi="Arial" w:cs="Arial"/>
          <w:i/>
          <w:sz w:val="24"/>
          <w:szCs w:val="24"/>
        </w:rPr>
      </w:pPr>
      <w:r w:rsidRPr="00697DC9">
        <w:rPr>
          <w:rFonts w:ascii="Arial" w:hAnsi="Arial" w:cs="Arial"/>
          <w:i/>
          <w:sz w:val="24"/>
          <w:szCs w:val="24"/>
        </w:rPr>
        <w:t xml:space="preserve">“… </w:t>
      </w:r>
      <w:r w:rsidRPr="00697DC9">
        <w:rPr>
          <w:rFonts w:ascii="Arial" w:hAnsi="Arial" w:cs="Arial"/>
          <w:b/>
          <w:i/>
          <w:sz w:val="24"/>
          <w:szCs w:val="24"/>
        </w:rPr>
        <w:t>CUARTO.-</w:t>
      </w:r>
      <w:r w:rsidRPr="00697DC9">
        <w:rPr>
          <w:rFonts w:ascii="Arial" w:hAnsi="Arial" w:cs="Arial"/>
          <w:i/>
          <w:sz w:val="24"/>
          <w:szCs w:val="24"/>
        </w:rPr>
        <w:t xml:space="preserve"> La personalidad con la que comparece a este Juicio el actor </w:t>
      </w:r>
      <w:r w:rsidR="00D341F6">
        <w:rPr>
          <w:rFonts w:ascii="Arial" w:hAnsi="Arial" w:cs="Arial"/>
          <w:b/>
          <w:bCs/>
          <w:sz w:val="26"/>
          <w:szCs w:val="26"/>
        </w:rPr>
        <w:t>***********</w:t>
      </w:r>
      <w:r w:rsidRPr="00697DC9">
        <w:rPr>
          <w:rFonts w:ascii="Arial" w:hAnsi="Arial" w:cs="Arial"/>
          <w:i/>
          <w:sz w:val="24"/>
          <w:szCs w:val="24"/>
        </w:rPr>
        <w:t xml:space="preserve">, en Representación Legal de la </w:t>
      </w:r>
      <w:r w:rsidR="00D341F6">
        <w:rPr>
          <w:rFonts w:ascii="Arial" w:hAnsi="Arial" w:cs="Arial"/>
          <w:b/>
          <w:bCs/>
          <w:sz w:val="26"/>
          <w:szCs w:val="26"/>
        </w:rPr>
        <w:t>***********</w:t>
      </w:r>
      <w:r w:rsidRPr="00697DC9">
        <w:rPr>
          <w:rFonts w:ascii="Arial" w:hAnsi="Arial" w:cs="Arial"/>
          <w:i/>
          <w:sz w:val="24"/>
          <w:szCs w:val="24"/>
        </w:rPr>
        <w:t xml:space="preserve">, </w:t>
      </w:r>
      <w:r w:rsidRPr="00697DC9">
        <w:rPr>
          <w:rFonts w:ascii="Arial" w:hAnsi="Arial" w:cs="Arial"/>
          <w:b/>
          <w:i/>
          <w:sz w:val="24"/>
          <w:szCs w:val="24"/>
        </w:rPr>
        <w:t>no quedó acreditada;</w:t>
      </w:r>
      <w:r w:rsidRPr="00697DC9">
        <w:rPr>
          <w:rFonts w:ascii="Arial" w:hAnsi="Arial" w:cs="Arial"/>
          <w:i/>
          <w:sz w:val="24"/>
          <w:szCs w:val="24"/>
        </w:rPr>
        <w:t xml:space="preserve"> pues el artículo 148 segundo párrafo de la Ley de Procedimiento y Justicia Administrativa para el Estado de Oaxaca, dispone que las personas morales serán representadas por quienes tengan el carácter de representantes legales, o de apoderados, de acuerdo con sus escrituras constitutivas, e instrumentos idóneos, y para acreditar su personalidad el ciudadano </w:t>
      </w:r>
      <w:r w:rsidR="00D341F6">
        <w:rPr>
          <w:rFonts w:ascii="Arial" w:hAnsi="Arial" w:cs="Arial"/>
          <w:b/>
          <w:bCs/>
          <w:sz w:val="26"/>
          <w:szCs w:val="26"/>
        </w:rPr>
        <w:t>***********</w:t>
      </w:r>
      <w:r w:rsidRPr="00697DC9">
        <w:rPr>
          <w:rFonts w:ascii="Arial" w:hAnsi="Arial" w:cs="Arial"/>
          <w:i/>
          <w:sz w:val="24"/>
          <w:szCs w:val="24"/>
        </w:rPr>
        <w:t xml:space="preserve">, remitió copia certificada del instrumento notarial número 11,916, volumen 164, pasado ante la fe del Notario Público número Sesenta y tres en el Estado, consistente en la protocolización del acta de asamblea general extraordinaria de la sociedad denominada </w:t>
      </w:r>
      <w:r w:rsidR="00D341F6">
        <w:rPr>
          <w:rFonts w:ascii="Arial" w:hAnsi="Arial" w:cs="Arial"/>
          <w:b/>
          <w:bCs/>
          <w:sz w:val="26"/>
          <w:szCs w:val="26"/>
        </w:rPr>
        <w:t>***********</w:t>
      </w:r>
      <w:r w:rsidRPr="00697DC9">
        <w:rPr>
          <w:rFonts w:ascii="Arial" w:hAnsi="Arial" w:cs="Arial"/>
          <w:i/>
          <w:sz w:val="24"/>
          <w:szCs w:val="24"/>
        </w:rPr>
        <w:t xml:space="preserve">, de fecha veintisiete de enero de dos mil dieciséis (27/01/2016), con su respectiva boleta de ingreso o inscripción en el Registro Público de Comercio de Oaxaca, con número de folio </w:t>
      </w:r>
      <w:r w:rsidR="00D341F6">
        <w:rPr>
          <w:rFonts w:ascii="Arial" w:hAnsi="Arial" w:cs="Arial"/>
          <w:b/>
          <w:bCs/>
          <w:sz w:val="26"/>
          <w:szCs w:val="26"/>
        </w:rPr>
        <w:t>***********</w:t>
      </w:r>
      <w:r w:rsidRPr="00697DC9">
        <w:rPr>
          <w:rFonts w:ascii="Arial" w:hAnsi="Arial" w:cs="Arial"/>
          <w:i/>
          <w:sz w:val="24"/>
          <w:szCs w:val="24"/>
        </w:rPr>
        <w:t xml:space="preserve">; documentos de los cuáles se advierte el otorgamiento de poder general para pleitos y cobranzas a favor </w:t>
      </w:r>
      <w:r w:rsidRPr="00697DC9">
        <w:rPr>
          <w:rFonts w:ascii="Arial" w:hAnsi="Arial" w:cs="Arial"/>
          <w:i/>
          <w:sz w:val="24"/>
          <w:szCs w:val="24"/>
        </w:rPr>
        <w:lastRenderedPageBreak/>
        <w:t xml:space="preserve">del ciudadano </w:t>
      </w:r>
      <w:r w:rsidR="00D341F6">
        <w:rPr>
          <w:rFonts w:ascii="Arial" w:hAnsi="Arial" w:cs="Arial"/>
          <w:b/>
          <w:bCs/>
          <w:sz w:val="26"/>
          <w:szCs w:val="26"/>
        </w:rPr>
        <w:t>***********</w:t>
      </w:r>
      <w:r w:rsidRPr="00697DC9">
        <w:rPr>
          <w:rFonts w:ascii="Arial" w:hAnsi="Arial" w:cs="Arial"/>
          <w:i/>
          <w:sz w:val="24"/>
          <w:szCs w:val="24"/>
        </w:rPr>
        <w:t xml:space="preserve">, persona distinta del actor, y si bien es cierto del texto del acta de asamblea extraordinaria se advierte  plasmado: “Presidio la reunión el señor </w:t>
      </w:r>
      <w:r w:rsidR="00D341F6">
        <w:rPr>
          <w:rFonts w:ascii="Arial" w:hAnsi="Arial" w:cs="Arial"/>
          <w:b/>
          <w:bCs/>
          <w:sz w:val="26"/>
          <w:szCs w:val="26"/>
        </w:rPr>
        <w:t>***********</w:t>
      </w:r>
      <w:r w:rsidRPr="00697DC9">
        <w:rPr>
          <w:rFonts w:ascii="Arial" w:hAnsi="Arial" w:cs="Arial"/>
          <w:i/>
          <w:sz w:val="24"/>
          <w:szCs w:val="24"/>
        </w:rPr>
        <w:t xml:space="preserve">, por ser el Administrador Único de la Sociedad..”; lo cierto es, que el documento protocolizado remitido no es el acta constitutiva de la persona moral denominada </w:t>
      </w:r>
      <w:r w:rsidR="00633EE8">
        <w:rPr>
          <w:rFonts w:ascii="Arial" w:hAnsi="Arial" w:cs="Arial"/>
          <w:b/>
          <w:bCs/>
          <w:sz w:val="26"/>
          <w:szCs w:val="26"/>
        </w:rPr>
        <w:t>***********</w:t>
      </w:r>
      <w:r w:rsidRPr="00697DC9">
        <w:rPr>
          <w:rFonts w:ascii="Arial" w:hAnsi="Arial" w:cs="Arial"/>
          <w:i/>
          <w:sz w:val="24"/>
          <w:szCs w:val="24"/>
        </w:rPr>
        <w:t xml:space="preserve">, en la que se advierta el nombramiento del actor con tal carácter y tampoco las facultades en el otorgadas, como sería la de representar legalmente a dicha empresa ante autoridades judiciales, consecuentemente, el ciudadano </w:t>
      </w:r>
      <w:r w:rsidR="00633EE8">
        <w:rPr>
          <w:rFonts w:ascii="Arial" w:hAnsi="Arial" w:cs="Arial"/>
          <w:b/>
          <w:bCs/>
          <w:sz w:val="26"/>
          <w:szCs w:val="26"/>
        </w:rPr>
        <w:t>***********</w:t>
      </w:r>
      <w:r w:rsidRPr="00697DC9">
        <w:rPr>
          <w:rFonts w:ascii="Arial" w:hAnsi="Arial" w:cs="Arial"/>
          <w:i/>
          <w:sz w:val="24"/>
          <w:szCs w:val="24"/>
        </w:rPr>
        <w:t>,  no puede actuar en el presente Juicio</w:t>
      </w:r>
      <w:r w:rsidR="00C03EC7" w:rsidRPr="00697DC9">
        <w:rPr>
          <w:rFonts w:ascii="Arial" w:hAnsi="Arial" w:cs="Arial"/>
          <w:i/>
          <w:sz w:val="24"/>
          <w:szCs w:val="24"/>
        </w:rPr>
        <w:t xml:space="preserve"> (sic)</w:t>
      </w:r>
      <w:r w:rsidRPr="00697DC9">
        <w:rPr>
          <w:rFonts w:ascii="Arial" w:hAnsi="Arial" w:cs="Arial"/>
          <w:i/>
          <w:sz w:val="24"/>
          <w:szCs w:val="24"/>
        </w:rPr>
        <w:t xml:space="preserve"> en nombre de la persona moral que dice representar, pues no justificó las facultades que tiene para ello, y por ende, tampoco quedó acreditada la afectación a su interés jurídico y o legítimo, actualizando así la causal de </w:t>
      </w:r>
      <w:r w:rsidRPr="00697DC9">
        <w:rPr>
          <w:rFonts w:ascii="Arial" w:hAnsi="Arial" w:cs="Arial"/>
          <w:b/>
          <w:i/>
          <w:sz w:val="24"/>
          <w:szCs w:val="24"/>
        </w:rPr>
        <w:t>IMPROCEDENCIA</w:t>
      </w:r>
      <w:r w:rsidRPr="00697DC9">
        <w:rPr>
          <w:rFonts w:ascii="Arial" w:hAnsi="Arial" w:cs="Arial"/>
          <w:i/>
          <w:sz w:val="24"/>
          <w:szCs w:val="24"/>
        </w:rPr>
        <w:t xml:space="preserve"> del Juicio, prevista en la fracción II del artículo 161 de la Ley de Procedimiento y Justicia Administrativa para el Estado de Oaxaca, y como consecuencia se </w:t>
      </w:r>
      <w:r w:rsidRPr="00697DC9">
        <w:rPr>
          <w:rFonts w:ascii="Arial" w:hAnsi="Arial" w:cs="Arial"/>
          <w:b/>
          <w:i/>
          <w:sz w:val="24"/>
          <w:szCs w:val="24"/>
        </w:rPr>
        <w:t>SOBRESEE</w:t>
      </w:r>
      <w:r w:rsidRPr="00697DC9">
        <w:rPr>
          <w:rFonts w:ascii="Arial" w:hAnsi="Arial" w:cs="Arial"/>
          <w:i/>
          <w:sz w:val="24"/>
          <w:szCs w:val="24"/>
        </w:rPr>
        <w:t xml:space="preserve"> el Juicio</w:t>
      </w:r>
      <w:r w:rsidR="00C03EC7" w:rsidRPr="00697DC9">
        <w:rPr>
          <w:rFonts w:ascii="Arial" w:hAnsi="Arial" w:cs="Arial"/>
          <w:i/>
          <w:sz w:val="24"/>
          <w:szCs w:val="24"/>
        </w:rPr>
        <w:t xml:space="preserve"> (sic)</w:t>
      </w:r>
      <w:r w:rsidRPr="00697DC9">
        <w:rPr>
          <w:rFonts w:ascii="Arial" w:hAnsi="Arial" w:cs="Arial"/>
          <w:i/>
          <w:sz w:val="24"/>
          <w:szCs w:val="24"/>
        </w:rPr>
        <w:t xml:space="preserve"> de conformidad con el artículo 162 fracción II de la Ley en comento, lo cual impide entrar al estudio de fondo el presente asunto...</w:t>
      </w:r>
      <w:r w:rsidRPr="00697DC9">
        <w:rPr>
          <w:rFonts w:ascii="Arial" w:hAnsi="Arial" w:cs="Arial"/>
          <w:i/>
          <w:iCs/>
          <w:sz w:val="24"/>
          <w:szCs w:val="24"/>
        </w:rPr>
        <w:t>”.</w:t>
      </w:r>
    </w:p>
    <w:p w14:paraId="717BFE84" w14:textId="35B57752" w:rsidR="003250CA" w:rsidRPr="00697DC9" w:rsidRDefault="00EE78A6" w:rsidP="003250CA">
      <w:pPr>
        <w:spacing w:line="360" w:lineRule="auto"/>
        <w:jc w:val="both"/>
        <w:rPr>
          <w:rFonts w:ascii="Arial" w:hAnsi="Arial" w:cs="Arial"/>
          <w:bCs/>
          <w:sz w:val="26"/>
          <w:szCs w:val="26"/>
        </w:rPr>
      </w:pPr>
      <w:r w:rsidRPr="00697DC9">
        <w:rPr>
          <w:rFonts w:ascii="Arial" w:hAnsi="Arial" w:cs="Arial"/>
          <w:b/>
          <w:bCs/>
          <w:sz w:val="26"/>
          <w:szCs w:val="26"/>
        </w:rPr>
        <w:t xml:space="preserve">     </w:t>
      </w:r>
      <w:r w:rsidR="00EB0603">
        <w:rPr>
          <w:rFonts w:ascii="Arial" w:hAnsi="Arial" w:cs="Arial"/>
          <w:b/>
          <w:bCs/>
          <w:sz w:val="26"/>
          <w:szCs w:val="26"/>
        </w:rPr>
        <w:t xml:space="preserve">  </w:t>
      </w:r>
      <w:r w:rsidR="00CB51ED" w:rsidRPr="00697DC9">
        <w:rPr>
          <w:rFonts w:ascii="Arial" w:hAnsi="Arial" w:cs="Arial"/>
          <w:b/>
          <w:bCs/>
          <w:sz w:val="26"/>
          <w:szCs w:val="26"/>
        </w:rPr>
        <w:t>Ahora bien</w:t>
      </w:r>
      <w:r w:rsidR="00CB51ED" w:rsidRPr="00697DC9">
        <w:rPr>
          <w:rFonts w:ascii="Arial" w:hAnsi="Arial" w:cs="Arial"/>
          <w:bCs/>
          <w:sz w:val="26"/>
          <w:szCs w:val="26"/>
        </w:rPr>
        <w:t>, de</w:t>
      </w:r>
      <w:r w:rsidRPr="00697DC9">
        <w:rPr>
          <w:rFonts w:ascii="Arial" w:hAnsi="Arial" w:cs="Arial"/>
          <w:bCs/>
          <w:sz w:val="26"/>
          <w:szCs w:val="26"/>
        </w:rPr>
        <w:t xml:space="preserve">l análisis integral de los agravios esgrimidos por el ahora recurrente en confrontación con las consideraciones vertidas en la resolución en revisión, esta Sala Superior </w:t>
      </w:r>
      <w:r w:rsidRPr="00697DC9">
        <w:rPr>
          <w:rFonts w:ascii="Arial" w:hAnsi="Arial" w:cs="Arial"/>
          <w:b/>
          <w:bCs/>
          <w:sz w:val="26"/>
          <w:szCs w:val="26"/>
        </w:rPr>
        <w:t>declara sustancialmente fundados</w:t>
      </w:r>
      <w:r w:rsidRPr="00697DC9">
        <w:rPr>
          <w:rFonts w:ascii="Arial" w:hAnsi="Arial" w:cs="Arial"/>
          <w:bCs/>
          <w:sz w:val="26"/>
          <w:szCs w:val="26"/>
        </w:rPr>
        <w:t xml:space="preserve"> los motivos de inconformidad expuestos.</w:t>
      </w:r>
      <w:r w:rsidR="00025973" w:rsidRPr="00697DC9">
        <w:rPr>
          <w:rFonts w:ascii="Arial" w:hAnsi="Arial" w:cs="Arial"/>
          <w:bCs/>
          <w:sz w:val="26"/>
          <w:szCs w:val="26"/>
        </w:rPr>
        <w:t xml:space="preserve"> - - - - - - - - - - - - - - -</w:t>
      </w:r>
    </w:p>
    <w:p w14:paraId="5E64556A" w14:textId="670257A1" w:rsidR="000D2FF5" w:rsidRPr="00697DC9" w:rsidRDefault="000D2FF5" w:rsidP="000E33FD">
      <w:pPr>
        <w:spacing w:before="100" w:beforeAutospacing="1" w:after="100" w:afterAutospacing="1" w:line="360" w:lineRule="auto"/>
        <w:jc w:val="both"/>
        <w:rPr>
          <w:rFonts w:ascii="Arial" w:eastAsia="Times New Roman" w:hAnsi="Arial" w:cs="Arial"/>
          <w:color w:val="000000"/>
          <w:sz w:val="26"/>
          <w:szCs w:val="26"/>
        </w:rPr>
      </w:pPr>
      <w:r w:rsidRPr="00697DC9">
        <w:rPr>
          <w:rFonts w:ascii="Arial" w:eastAsia="Times New Roman" w:hAnsi="Arial" w:cs="Arial"/>
          <w:color w:val="000000"/>
          <w:sz w:val="26"/>
          <w:szCs w:val="26"/>
        </w:rPr>
        <w:t>     </w:t>
      </w:r>
      <w:r w:rsidR="00025973" w:rsidRPr="00697DC9">
        <w:rPr>
          <w:rFonts w:ascii="Arial" w:eastAsia="Times New Roman" w:hAnsi="Arial" w:cs="Arial"/>
          <w:color w:val="000000"/>
          <w:sz w:val="26"/>
          <w:szCs w:val="26"/>
        </w:rPr>
        <w:t xml:space="preserve"> </w:t>
      </w:r>
      <w:r w:rsidR="00120FC5" w:rsidRPr="00697DC9">
        <w:rPr>
          <w:rFonts w:ascii="Arial" w:eastAsia="Times New Roman" w:hAnsi="Arial" w:cs="Arial"/>
          <w:color w:val="000000"/>
          <w:sz w:val="26"/>
          <w:szCs w:val="26"/>
        </w:rPr>
        <w:t>Esto es así, porque la Sala de Primera Instancia de forma incongruente señala como motivo para tomar la decisión de sobreseer el juicio,</w:t>
      </w:r>
      <w:r w:rsidR="001913C4" w:rsidRPr="00697DC9">
        <w:rPr>
          <w:rFonts w:ascii="Arial" w:eastAsia="Times New Roman" w:hAnsi="Arial" w:cs="Arial"/>
          <w:color w:val="000000"/>
          <w:sz w:val="26"/>
          <w:szCs w:val="26"/>
        </w:rPr>
        <w:t xml:space="preserve"> el </w:t>
      </w:r>
      <w:r w:rsidR="00120FC5" w:rsidRPr="00697DC9">
        <w:rPr>
          <w:rFonts w:ascii="Arial" w:eastAsia="Times New Roman" w:hAnsi="Arial" w:cs="Arial"/>
          <w:color w:val="000000"/>
          <w:sz w:val="26"/>
          <w:szCs w:val="26"/>
        </w:rPr>
        <w:t>no acredit</w:t>
      </w:r>
      <w:r w:rsidR="00D87172" w:rsidRPr="00697DC9">
        <w:rPr>
          <w:rFonts w:ascii="Arial" w:eastAsia="Times New Roman" w:hAnsi="Arial" w:cs="Arial"/>
          <w:color w:val="000000"/>
          <w:sz w:val="26"/>
          <w:szCs w:val="26"/>
        </w:rPr>
        <w:t>ar</w:t>
      </w:r>
      <w:r w:rsidR="00120FC5" w:rsidRPr="00697DC9">
        <w:rPr>
          <w:rFonts w:ascii="Arial" w:eastAsia="Times New Roman" w:hAnsi="Arial" w:cs="Arial"/>
          <w:color w:val="000000"/>
          <w:sz w:val="26"/>
          <w:szCs w:val="26"/>
        </w:rPr>
        <w:t xml:space="preserve"> </w:t>
      </w:r>
      <w:r w:rsidR="00102161" w:rsidRPr="00697DC9">
        <w:rPr>
          <w:rFonts w:ascii="Arial" w:eastAsia="Times New Roman" w:hAnsi="Arial" w:cs="Arial"/>
          <w:color w:val="000000"/>
          <w:sz w:val="26"/>
          <w:szCs w:val="26"/>
        </w:rPr>
        <w:t xml:space="preserve">su personalidad como representante legal de la persona moral denominada </w:t>
      </w:r>
      <w:r w:rsidR="00102161" w:rsidRPr="00633EE8">
        <w:rPr>
          <w:rFonts w:ascii="Arial" w:eastAsia="Times New Roman" w:hAnsi="Arial" w:cs="Arial"/>
          <w:b/>
          <w:color w:val="000000"/>
          <w:sz w:val="26"/>
          <w:szCs w:val="26"/>
        </w:rPr>
        <w:t>“</w:t>
      </w:r>
      <w:r w:rsidR="00633EE8">
        <w:rPr>
          <w:rFonts w:ascii="Arial" w:hAnsi="Arial" w:cs="Arial"/>
          <w:b/>
          <w:bCs/>
          <w:sz w:val="26"/>
          <w:szCs w:val="26"/>
        </w:rPr>
        <w:t>***********</w:t>
      </w:r>
      <w:r w:rsidR="00633EE8">
        <w:rPr>
          <w:rFonts w:ascii="Arial" w:hAnsi="Arial" w:cs="Arial"/>
          <w:b/>
          <w:bCs/>
          <w:sz w:val="26"/>
          <w:szCs w:val="26"/>
        </w:rPr>
        <w:t>”</w:t>
      </w:r>
      <w:r w:rsidR="00102161" w:rsidRPr="00697DC9">
        <w:rPr>
          <w:rFonts w:ascii="Arial" w:eastAsia="Times New Roman" w:hAnsi="Arial" w:cs="Arial"/>
          <w:color w:val="000000"/>
          <w:sz w:val="26"/>
          <w:szCs w:val="26"/>
        </w:rPr>
        <w:t xml:space="preserve">., </w:t>
      </w:r>
      <w:r w:rsidR="009D4B18" w:rsidRPr="00697DC9">
        <w:rPr>
          <w:rFonts w:ascii="Arial" w:eastAsia="Times New Roman" w:hAnsi="Arial" w:cs="Arial"/>
          <w:color w:val="000000"/>
          <w:sz w:val="26"/>
          <w:szCs w:val="26"/>
        </w:rPr>
        <w:t>esto aun cuando</w:t>
      </w:r>
      <w:r w:rsidR="00025973" w:rsidRPr="00697DC9">
        <w:rPr>
          <w:rFonts w:ascii="Arial" w:eastAsia="Times New Roman" w:hAnsi="Arial" w:cs="Arial"/>
          <w:color w:val="000000"/>
          <w:sz w:val="26"/>
          <w:szCs w:val="26"/>
        </w:rPr>
        <w:t xml:space="preserve"> la misma Sala</w:t>
      </w:r>
      <w:r w:rsidR="009D4B18" w:rsidRPr="00697DC9">
        <w:rPr>
          <w:rFonts w:ascii="Arial" w:eastAsia="Times New Roman" w:hAnsi="Arial" w:cs="Arial"/>
          <w:color w:val="000000"/>
          <w:sz w:val="26"/>
          <w:szCs w:val="26"/>
        </w:rPr>
        <w:t xml:space="preserve"> le tuvo</w:t>
      </w:r>
      <w:r w:rsidR="00102161" w:rsidRPr="00697DC9">
        <w:rPr>
          <w:rFonts w:ascii="Arial" w:eastAsia="Times New Roman" w:hAnsi="Arial" w:cs="Arial"/>
          <w:color w:val="000000"/>
          <w:sz w:val="26"/>
          <w:szCs w:val="26"/>
        </w:rPr>
        <w:t xml:space="preserve"> como acreditada mediante el acuerdo admisorio de fecha</w:t>
      </w:r>
      <w:r w:rsidR="00E01EF8" w:rsidRPr="00697DC9">
        <w:rPr>
          <w:rFonts w:ascii="Arial" w:eastAsia="Times New Roman" w:hAnsi="Arial" w:cs="Arial"/>
          <w:color w:val="000000"/>
          <w:sz w:val="26"/>
          <w:szCs w:val="26"/>
        </w:rPr>
        <w:t xml:space="preserve"> </w:t>
      </w:r>
      <w:r w:rsidR="00102161" w:rsidRPr="00697DC9">
        <w:rPr>
          <w:rFonts w:ascii="Arial" w:eastAsia="Times New Roman" w:hAnsi="Arial" w:cs="Arial"/>
          <w:color w:val="000000"/>
          <w:sz w:val="26"/>
          <w:szCs w:val="26"/>
        </w:rPr>
        <w:t xml:space="preserve"> veintisiete de agosto de dos mil diecinueve</w:t>
      </w:r>
      <w:r w:rsidR="009D4B18" w:rsidRPr="00697DC9">
        <w:rPr>
          <w:rFonts w:ascii="Arial" w:eastAsia="Times New Roman" w:hAnsi="Arial" w:cs="Arial"/>
          <w:color w:val="000000"/>
          <w:sz w:val="26"/>
          <w:szCs w:val="26"/>
        </w:rPr>
        <w:t xml:space="preserve">, que en la parte que interesa dice: </w:t>
      </w:r>
      <w:r w:rsidR="009D4B18" w:rsidRPr="00697DC9">
        <w:rPr>
          <w:rFonts w:ascii="Arial" w:eastAsia="Times New Roman" w:hAnsi="Arial" w:cs="Arial"/>
          <w:i/>
          <w:color w:val="000000"/>
          <w:sz w:val="24"/>
          <w:szCs w:val="24"/>
        </w:rPr>
        <w:t xml:space="preserve">“…Por recibida la demanda en la Oficialía de Partes Común de este Tribunal, el día veintiséis de agosto del presente año, promovida por el C. </w:t>
      </w:r>
      <w:r w:rsidR="00633EE8">
        <w:rPr>
          <w:rFonts w:ascii="Arial" w:hAnsi="Arial" w:cs="Arial"/>
          <w:b/>
          <w:bCs/>
          <w:sz w:val="26"/>
          <w:szCs w:val="26"/>
        </w:rPr>
        <w:t>***********</w:t>
      </w:r>
      <w:r w:rsidR="009D4B18" w:rsidRPr="00697DC9">
        <w:rPr>
          <w:rFonts w:ascii="Arial" w:eastAsia="Times New Roman" w:hAnsi="Arial" w:cs="Arial"/>
          <w:i/>
          <w:color w:val="000000"/>
          <w:sz w:val="24"/>
          <w:szCs w:val="24"/>
        </w:rPr>
        <w:t xml:space="preserve">, Representante de la persona moral </w:t>
      </w:r>
      <w:r w:rsidR="00633EE8" w:rsidRPr="00633EE8">
        <w:rPr>
          <w:rFonts w:ascii="Arial" w:eastAsia="Times New Roman" w:hAnsi="Arial" w:cs="Arial"/>
          <w:b/>
          <w:i/>
          <w:color w:val="000000"/>
          <w:sz w:val="24"/>
          <w:szCs w:val="24"/>
        </w:rPr>
        <w:t>“</w:t>
      </w:r>
      <w:r w:rsidR="00633EE8" w:rsidRPr="00633EE8">
        <w:rPr>
          <w:rFonts w:ascii="Arial" w:hAnsi="Arial" w:cs="Arial"/>
          <w:b/>
          <w:bCs/>
          <w:sz w:val="26"/>
          <w:szCs w:val="26"/>
        </w:rPr>
        <w:t>*</w:t>
      </w:r>
      <w:r w:rsidR="00633EE8">
        <w:rPr>
          <w:rFonts w:ascii="Arial" w:hAnsi="Arial" w:cs="Arial"/>
          <w:b/>
          <w:bCs/>
          <w:sz w:val="26"/>
          <w:szCs w:val="26"/>
        </w:rPr>
        <w:t>**********</w:t>
      </w:r>
      <w:r w:rsidR="00633EE8">
        <w:rPr>
          <w:rFonts w:ascii="Arial" w:hAnsi="Arial" w:cs="Arial"/>
          <w:b/>
          <w:bCs/>
          <w:sz w:val="26"/>
          <w:szCs w:val="26"/>
        </w:rPr>
        <w:t>”</w:t>
      </w:r>
      <w:r w:rsidR="009D4B18" w:rsidRPr="00697DC9">
        <w:rPr>
          <w:rFonts w:ascii="Arial" w:eastAsia="Times New Roman" w:hAnsi="Arial" w:cs="Arial"/>
          <w:i/>
          <w:color w:val="000000"/>
          <w:sz w:val="24"/>
          <w:szCs w:val="24"/>
        </w:rPr>
        <w:t>per</w:t>
      </w:r>
      <w:r w:rsidR="00A94A82" w:rsidRPr="00697DC9">
        <w:rPr>
          <w:rFonts w:ascii="Arial" w:eastAsia="Times New Roman" w:hAnsi="Arial" w:cs="Arial"/>
          <w:i/>
          <w:color w:val="000000"/>
          <w:sz w:val="24"/>
          <w:szCs w:val="24"/>
        </w:rPr>
        <w:t>sonalidad</w:t>
      </w:r>
      <w:r w:rsidR="009D4B18" w:rsidRPr="00697DC9">
        <w:rPr>
          <w:rFonts w:ascii="Arial" w:eastAsia="Times New Roman" w:hAnsi="Arial" w:cs="Arial"/>
          <w:i/>
          <w:color w:val="000000"/>
          <w:sz w:val="24"/>
          <w:szCs w:val="24"/>
        </w:rPr>
        <w:t xml:space="preserve"> que acredita con copia certificada del </w:t>
      </w:r>
      <w:r w:rsidR="00A94A82" w:rsidRPr="00697DC9">
        <w:rPr>
          <w:rFonts w:ascii="Arial" w:eastAsia="Times New Roman" w:hAnsi="Arial" w:cs="Arial"/>
          <w:i/>
          <w:color w:val="000000"/>
          <w:sz w:val="24"/>
          <w:szCs w:val="24"/>
        </w:rPr>
        <w:t>Instrumento</w:t>
      </w:r>
      <w:r w:rsidR="009D4B18" w:rsidRPr="00697DC9">
        <w:rPr>
          <w:rFonts w:ascii="Arial" w:eastAsia="Times New Roman" w:hAnsi="Arial" w:cs="Arial"/>
          <w:i/>
          <w:color w:val="000000"/>
          <w:sz w:val="24"/>
          <w:szCs w:val="24"/>
        </w:rPr>
        <w:t xml:space="preserve"> Notarial número once mil novecientos </w:t>
      </w:r>
      <w:r w:rsidR="00A94A82" w:rsidRPr="00697DC9">
        <w:rPr>
          <w:rFonts w:ascii="Arial" w:eastAsia="Times New Roman" w:hAnsi="Arial" w:cs="Arial"/>
          <w:i/>
          <w:color w:val="000000"/>
          <w:sz w:val="24"/>
          <w:szCs w:val="24"/>
        </w:rPr>
        <w:t>dieciséis</w:t>
      </w:r>
      <w:r w:rsidR="009D4B18" w:rsidRPr="00697DC9">
        <w:rPr>
          <w:rFonts w:ascii="Arial" w:eastAsia="Times New Roman" w:hAnsi="Arial" w:cs="Arial"/>
          <w:i/>
          <w:color w:val="000000"/>
          <w:sz w:val="24"/>
          <w:szCs w:val="24"/>
        </w:rPr>
        <w:t xml:space="preserve">, volumen ciento </w:t>
      </w:r>
      <w:r w:rsidR="00A94A82" w:rsidRPr="00697DC9">
        <w:rPr>
          <w:rFonts w:ascii="Arial" w:eastAsia="Times New Roman" w:hAnsi="Arial" w:cs="Arial"/>
          <w:i/>
          <w:color w:val="000000"/>
          <w:sz w:val="24"/>
          <w:szCs w:val="24"/>
        </w:rPr>
        <w:t>sesenta</w:t>
      </w:r>
      <w:r w:rsidR="009D4B18" w:rsidRPr="00697DC9">
        <w:rPr>
          <w:rFonts w:ascii="Arial" w:eastAsia="Times New Roman" w:hAnsi="Arial" w:cs="Arial"/>
          <w:i/>
          <w:color w:val="000000"/>
          <w:sz w:val="24"/>
          <w:szCs w:val="24"/>
        </w:rPr>
        <w:t xml:space="preserve"> y cuatro, pasado ante la fe del Notario Público; contra actos de la C. ERIKA GUADALUPE HERNÁNDEZ PRADO, </w:t>
      </w:r>
      <w:r w:rsidR="00A94A82" w:rsidRPr="00697DC9">
        <w:rPr>
          <w:rFonts w:ascii="Arial" w:eastAsia="Times New Roman" w:hAnsi="Arial" w:cs="Arial"/>
          <w:i/>
          <w:color w:val="000000"/>
          <w:sz w:val="24"/>
          <w:szCs w:val="24"/>
        </w:rPr>
        <w:t>Policía</w:t>
      </w:r>
      <w:r w:rsidR="009D4B18" w:rsidRPr="00697DC9">
        <w:rPr>
          <w:rFonts w:ascii="Arial" w:eastAsia="Times New Roman" w:hAnsi="Arial" w:cs="Arial"/>
          <w:i/>
          <w:color w:val="000000"/>
          <w:sz w:val="24"/>
          <w:szCs w:val="24"/>
        </w:rPr>
        <w:t xml:space="preserve"> Vial con número estadístico PV-78 </w:t>
      </w:r>
      <w:r w:rsidR="00A94A82" w:rsidRPr="00697DC9">
        <w:rPr>
          <w:rFonts w:ascii="Arial" w:eastAsia="Times New Roman" w:hAnsi="Arial" w:cs="Arial"/>
          <w:i/>
          <w:color w:val="000000"/>
          <w:sz w:val="24"/>
          <w:szCs w:val="24"/>
        </w:rPr>
        <w:t>adscrita</w:t>
      </w:r>
      <w:r w:rsidR="009D4B18" w:rsidRPr="00697DC9">
        <w:rPr>
          <w:rFonts w:ascii="Arial" w:eastAsia="Times New Roman" w:hAnsi="Arial" w:cs="Arial"/>
          <w:i/>
          <w:color w:val="000000"/>
          <w:sz w:val="24"/>
          <w:szCs w:val="24"/>
        </w:rPr>
        <w:t xml:space="preserve"> a la </w:t>
      </w:r>
      <w:r w:rsidR="00A94A82" w:rsidRPr="00697DC9">
        <w:rPr>
          <w:rFonts w:ascii="Arial" w:eastAsia="Times New Roman" w:hAnsi="Arial" w:cs="Arial"/>
          <w:i/>
          <w:color w:val="000000"/>
          <w:sz w:val="24"/>
          <w:szCs w:val="24"/>
        </w:rPr>
        <w:t>Dirección</w:t>
      </w:r>
      <w:r w:rsidR="009D4B18" w:rsidRPr="00697DC9">
        <w:rPr>
          <w:rFonts w:ascii="Arial" w:eastAsia="Times New Roman" w:hAnsi="Arial" w:cs="Arial"/>
          <w:i/>
          <w:color w:val="000000"/>
          <w:sz w:val="24"/>
          <w:szCs w:val="24"/>
        </w:rPr>
        <w:t xml:space="preserve"> de Seguridad Pública, Vialidad y </w:t>
      </w:r>
      <w:r w:rsidR="00A94A82" w:rsidRPr="00697DC9">
        <w:rPr>
          <w:rFonts w:ascii="Arial" w:eastAsia="Times New Roman" w:hAnsi="Arial" w:cs="Arial"/>
          <w:i/>
          <w:color w:val="000000"/>
          <w:sz w:val="24"/>
          <w:szCs w:val="24"/>
        </w:rPr>
        <w:t>Prot</w:t>
      </w:r>
      <w:bookmarkStart w:id="3" w:name="_GoBack"/>
      <w:bookmarkEnd w:id="3"/>
      <w:r w:rsidR="00A94A82" w:rsidRPr="00697DC9">
        <w:rPr>
          <w:rFonts w:ascii="Arial" w:eastAsia="Times New Roman" w:hAnsi="Arial" w:cs="Arial"/>
          <w:i/>
          <w:color w:val="000000"/>
          <w:sz w:val="24"/>
          <w:szCs w:val="24"/>
        </w:rPr>
        <w:t>ección</w:t>
      </w:r>
      <w:r w:rsidR="009D4B18" w:rsidRPr="00697DC9">
        <w:rPr>
          <w:rFonts w:ascii="Arial" w:eastAsia="Times New Roman" w:hAnsi="Arial" w:cs="Arial"/>
          <w:i/>
          <w:color w:val="000000"/>
          <w:sz w:val="24"/>
          <w:szCs w:val="24"/>
        </w:rPr>
        <w:t xml:space="preserve"> Ciudadana, </w:t>
      </w:r>
      <w:r w:rsidR="00A94A82" w:rsidRPr="00697DC9">
        <w:rPr>
          <w:rFonts w:ascii="Arial" w:eastAsia="Times New Roman" w:hAnsi="Arial" w:cs="Arial"/>
          <w:i/>
          <w:color w:val="000000"/>
          <w:sz w:val="24"/>
          <w:szCs w:val="24"/>
        </w:rPr>
        <w:t>Subdirección</w:t>
      </w:r>
      <w:r w:rsidR="009D4B18" w:rsidRPr="00697DC9">
        <w:rPr>
          <w:rFonts w:ascii="Arial" w:eastAsia="Times New Roman" w:hAnsi="Arial" w:cs="Arial"/>
          <w:i/>
          <w:color w:val="000000"/>
          <w:sz w:val="24"/>
          <w:szCs w:val="24"/>
        </w:rPr>
        <w:t xml:space="preserve"> de Tránsito y Movilidad del Municipio de Oaxaca de </w:t>
      </w:r>
      <w:r w:rsidR="00A94A82" w:rsidRPr="00697DC9">
        <w:rPr>
          <w:rFonts w:ascii="Arial" w:eastAsia="Times New Roman" w:hAnsi="Arial" w:cs="Arial"/>
          <w:i/>
          <w:color w:val="000000"/>
          <w:sz w:val="24"/>
          <w:szCs w:val="24"/>
        </w:rPr>
        <w:t>Juárez</w:t>
      </w:r>
      <w:r w:rsidR="009D4B18" w:rsidRPr="00697DC9">
        <w:rPr>
          <w:rFonts w:ascii="Arial" w:eastAsia="Times New Roman" w:hAnsi="Arial" w:cs="Arial"/>
          <w:i/>
          <w:color w:val="000000"/>
          <w:sz w:val="24"/>
          <w:szCs w:val="24"/>
        </w:rPr>
        <w:t xml:space="preserve">; en consecuencia, </w:t>
      </w:r>
      <w:r w:rsidR="00A94A82" w:rsidRPr="00697DC9">
        <w:rPr>
          <w:rFonts w:ascii="Arial" w:eastAsia="Times New Roman" w:hAnsi="Arial" w:cs="Arial"/>
          <w:i/>
          <w:color w:val="000000"/>
          <w:sz w:val="24"/>
          <w:szCs w:val="24"/>
        </w:rPr>
        <w:t>fórmese</w:t>
      </w:r>
      <w:r w:rsidR="009D4B18" w:rsidRPr="00697DC9">
        <w:rPr>
          <w:rFonts w:ascii="Arial" w:eastAsia="Times New Roman" w:hAnsi="Arial" w:cs="Arial"/>
          <w:i/>
          <w:color w:val="000000"/>
          <w:sz w:val="24"/>
          <w:szCs w:val="24"/>
        </w:rPr>
        <w:t xml:space="preserve"> </w:t>
      </w:r>
      <w:r w:rsidR="009D4B18" w:rsidRPr="00697DC9">
        <w:rPr>
          <w:rFonts w:ascii="Arial" w:eastAsia="Times New Roman" w:hAnsi="Arial" w:cs="Arial"/>
          <w:i/>
          <w:color w:val="000000"/>
          <w:sz w:val="24"/>
          <w:szCs w:val="24"/>
        </w:rPr>
        <w:lastRenderedPageBreak/>
        <w:t xml:space="preserve">expediente y </w:t>
      </w:r>
      <w:r w:rsidR="00A94A82" w:rsidRPr="00697DC9">
        <w:rPr>
          <w:rFonts w:ascii="Arial" w:eastAsia="Times New Roman" w:hAnsi="Arial" w:cs="Arial"/>
          <w:i/>
          <w:color w:val="000000"/>
          <w:sz w:val="24"/>
          <w:szCs w:val="24"/>
        </w:rPr>
        <w:t>regístrese</w:t>
      </w:r>
      <w:r w:rsidR="009D4B18" w:rsidRPr="00697DC9">
        <w:rPr>
          <w:rFonts w:ascii="Arial" w:eastAsia="Times New Roman" w:hAnsi="Arial" w:cs="Arial"/>
          <w:i/>
          <w:color w:val="000000"/>
          <w:sz w:val="24"/>
          <w:szCs w:val="24"/>
        </w:rPr>
        <w:t xml:space="preserve"> su ingreso en el Libro de </w:t>
      </w:r>
      <w:r w:rsidR="00A94A82" w:rsidRPr="00697DC9">
        <w:rPr>
          <w:rFonts w:ascii="Arial" w:eastAsia="Times New Roman" w:hAnsi="Arial" w:cs="Arial"/>
          <w:i/>
          <w:color w:val="000000"/>
          <w:sz w:val="24"/>
          <w:szCs w:val="24"/>
        </w:rPr>
        <w:t>Gobierno</w:t>
      </w:r>
      <w:r w:rsidR="009D4B18" w:rsidRPr="00697DC9">
        <w:rPr>
          <w:rFonts w:ascii="Arial" w:eastAsia="Times New Roman" w:hAnsi="Arial" w:cs="Arial"/>
          <w:i/>
          <w:color w:val="000000"/>
          <w:sz w:val="24"/>
          <w:szCs w:val="24"/>
        </w:rPr>
        <w:t xml:space="preserve"> que para tal </w:t>
      </w:r>
      <w:r w:rsidR="00A94A82" w:rsidRPr="00697DC9">
        <w:rPr>
          <w:rFonts w:ascii="Arial" w:eastAsia="Times New Roman" w:hAnsi="Arial" w:cs="Arial"/>
          <w:i/>
          <w:color w:val="000000"/>
          <w:sz w:val="24"/>
          <w:szCs w:val="24"/>
        </w:rPr>
        <w:t>efecto</w:t>
      </w:r>
      <w:r w:rsidR="009D4B18" w:rsidRPr="00697DC9">
        <w:rPr>
          <w:rFonts w:ascii="Arial" w:eastAsia="Times New Roman" w:hAnsi="Arial" w:cs="Arial"/>
          <w:i/>
          <w:color w:val="000000"/>
          <w:sz w:val="24"/>
          <w:szCs w:val="24"/>
        </w:rPr>
        <w:t xml:space="preserve"> lleva esta Séptima Sala </w:t>
      </w:r>
      <w:r w:rsidR="00A94A82" w:rsidRPr="00697DC9">
        <w:rPr>
          <w:rFonts w:ascii="Arial" w:eastAsia="Times New Roman" w:hAnsi="Arial" w:cs="Arial"/>
          <w:i/>
          <w:color w:val="000000"/>
          <w:sz w:val="24"/>
          <w:szCs w:val="24"/>
        </w:rPr>
        <w:t>Unitaria</w:t>
      </w:r>
      <w:r w:rsidR="009D4B18" w:rsidRPr="00697DC9">
        <w:rPr>
          <w:rFonts w:ascii="Arial" w:eastAsia="Times New Roman" w:hAnsi="Arial" w:cs="Arial"/>
          <w:i/>
          <w:color w:val="000000"/>
          <w:sz w:val="24"/>
          <w:szCs w:val="24"/>
        </w:rPr>
        <w:t xml:space="preserve"> con el número 0085/2019…”</w:t>
      </w:r>
      <w:r w:rsidR="00A94A82" w:rsidRPr="00697DC9">
        <w:rPr>
          <w:rFonts w:ascii="Arial" w:eastAsia="Times New Roman" w:hAnsi="Arial" w:cs="Arial"/>
          <w:i/>
          <w:color w:val="000000"/>
          <w:sz w:val="24"/>
          <w:szCs w:val="24"/>
        </w:rPr>
        <w:t xml:space="preserve">; </w:t>
      </w:r>
      <w:r w:rsidR="00816E2F" w:rsidRPr="00697DC9">
        <w:rPr>
          <w:rFonts w:ascii="Arial" w:eastAsia="Times New Roman" w:hAnsi="Arial" w:cs="Arial"/>
          <w:b/>
          <w:color w:val="000000"/>
          <w:sz w:val="26"/>
          <w:szCs w:val="26"/>
        </w:rPr>
        <w:t>con lo que se evidencia que toma una decisión ilegal al revocar sus propias determinaciones</w:t>
      </w:r>
      <w:bookmarkStart w:id="4" w:name="_Hlk84884504"/>
      <w:r w:rsidR="00624E0A" w:rsidRPr="00697DC9">
        <w:rPr>
          <w:rFonts w:ascii="Arial" w:eastAsia="Times New Roman" w:hAnsi="Arial" w:cs="Arial"/>
          <w:color w:val="000000"/>
          <w:sz w:val="26"/>
          <w:szCs w:val="26"/>
        </w:rPr>
        <w:t xml:space="preserve">, pues </w:t>
      </w:r>
      <w:r w:rsidR="00632281" w:rsidRPr="00697DC9">
        <w:rPr>
          <w:rFonts w:ascii="Arial" w:eastAsia="Times New Roman" w:hAnsi="Arial" w:cs="Arial"/>
          <w:color w:val="000000"/>
          <w:sz w:val="26"/>
          <w:szCs w:val="26"/>
        </w:rPr>
        <w:t xml:space="preserve">la Sala de Primera Instancia al exponer </w:t>
      </w:r>
      <w:r w:rsidR="00C03EC7" w:rsidRPr="00697DC9">
        <w:rPr>
          <w:rFonts w:ascii="Arial" w:eastAsia="Times New Roman" w:hAnsi="Arial" w:cs="Arial"/>
          <w:color w:val="000000"/>
          <w:sz w:val="26"/>
          <w:szCs w:val="26"/>
        </w:rPr>
        <w:t>su</w:t>
      </w:r>
      <w:r w:rsidR="00632281" w:rsidRPr="00697DC9">
        <w:rPr>
          <w:rFonts w:ascii="Arial" w:eastAsia="Times New Roman" w:hAnsi="Arial" w:cs="Arial"/>
          <w:color w:val="000000"/>
          <w:sz w:val="26"/>
          <w:szCs w:val="26"/>
        </w:rPr>
        <w:t xml:space="preserve"> consideración </w:t>
      </w:r>
      <w:r w:rsidR="00B61944" w:rsidRPr="00697DC9">
        <w:rPr>
          <w:rFonts w:ascii="Arial" w:eastAsia="Times New Roman" w:hAnsi="Arial" w:cs="Arial"/>
          <w:color w:val="000000"/>
          <w:sz w:val="26"/>
          <w:szCs w:val="26"/>
        </w:rPr>
        <w:t>en el acuerdo de admisión</w:t>
      </w:r>
      <w:r w:rsidR="00C03EC7" w:rsidRPr="00697DC9">
        <w:rPr>
          <w:rFonts w:ascii="Arial" w:eastAsia="Times New Roman" w:hAnsi="Arial" w:cs="Arial"/>
          <w:color w:val="000000"/>
          <w:sz w:val="26"/>
          <w:szCs w:val="26"/>
        </w:rPr>
        <w:t>,</w:t>
      </w:r>
      <w:r w:rsidR="00B61944" w:rsidRPr="00697DC9">
        <w:rPr>
          <w:rFonts w:ascii="Arial" w:eastAsia="Times New Roman" w:hAnsi="Arial" w:cs="Arial"/>
          <w:color w:val="000000"/>
          <w:sz w:val="26"/>
          <w:szCs w:val="26"/>
        </w:rPr>
        <w:t xml:space="preserve"> se </w:t>
      </w:r>
      <w:r w:rsidR="00632281" w:rsidRPr="00697DC9">
        <w:rPr>
          <w:rFonts w:ascii="Arial" w:eastAsia="Times New Roman" w:hAnsi="Arial" w:cs="Arial"/>
          <w:color w:val="000000"/>
          <w:sz w:val="26"/>
          <w:szCs w:val="26"/>
        </w:rPr>
        <w:t xml:space="preserve">presupone que hizo el análisis del instrumento notarial exhibido por la parte actora </w:t>
      </w:r>
      <w:r w:rsidR="00624E0A" w:rsidRPr="00697DC9">
        <w:rPr>
          <w:rFonts w:ascii="Arial" w:eastAsia="Times New Roman" w:hAnsi="Arial" w:cs="Arial"/>
          <w:color w:val="000000"/>
          <w:sz w:val="26"/>
          <w:szCs w:val="26"/>
        </w:rPr>
        <w:t xml:space="preserve">el acreditamiento de la personalidad en el acuerdo de inicio, </w:t>
      </w:r>
      <w:r w:rsidR="00C03EC7" w:rsidRPr="00697DC9">
        <w:rPr>
          <w:rFonts w:ascii="Arial" w:eastAsia="Times New Roman" w:hAnsi="Arial" w:cs="Arial"/>
          <w:color w:val="000000"/>
          <w:sz w:val="26"/>
          <w:szCs w:val="26"/>
        </w:rPr>
        <w:t>que</w:t>
      </w:r>
      <w:r w:rsidR="00B61944" w:rsidRPr="00697DC9">
        <w:rPr>
          <w:rFonts w:ascii="Arial" w:eastAsia="Times New Roman" w:hAnsi="Arial" w:cs="Arial"/>
          <w:color w:val="000000"/>
          <w:sz w:val="26"/>
          <w:szCs w:val="26"/>
        </w:rPr>
        <w:t xml:space="preserve"> </w:t>
      </w:r>
      <w:r w:rsidR="00624E0A" w:rsidRPr="00697DC9">
        <w:rPr>
          <w:rFonts w:ascii="Arial" w:eastAsia="Times New Roman" w:hAnsi="Arial" w:cs="Arial"/>
          <w:color w:val="000000"/>
          <w:sz w:val="26"/>
          <w:szCs w:val="26"/>
        </w:rPr>
        <w:t xml:space="preserve">únicamente </w:t>
      </w:r>
      <w:r w:rsidRPr="00697DC9">
        <w:rPr>
          <w:rFonts w:ascii="Arial" w:eastAsia="Times New Roman" w:hAnsi="Arial" w:cs="Arial"/>
          <w:color w:val="000000"/>
          <w:sz w:val="26"/>
          <w:szCs w:val="26"/>
        </w:rPr>
        <w:t>sería susceptible de ser revocad</w:t>
      </w:r>
      <w:r w:rsidR="00624E0A" w:rsidRPr="00697DC9">
        <w:rPr>
          <w:rFonts w:ascii="Arial" w:eastAsia="Times New Roman" w:hAnsi="Arial" w:cs="Arial"/>
          <w:color w:val="000000"/>
          <w:sz w:val="26"/>
          <w:szCs w:val="26"/>
        </w:rPr>
        <w:t>o</w:t>
      </w:r>
      <w:r w:rsidRPr="00697DC9">
        <w:rPr>
          <w:rFonts w:ascii="Arial" w:eastAsia="Times New Roman" w:hAnsi="Arial" w:cs="Arial"/>
          <w:color w:val="000000"/>
          <w:sz w:val="26"/>
          <w:szCs w:val="26"/>
        </w:rPr>
        <w:t>, modificad</w:t>
      </w:r>
      <w:r w:rsidR="00624E0A" w:rsidRPr="00697DC9">
        <w:rPr>
          <w:rFonts w:ascii="Arial" w:eastAsia="Times New Roman" w:hAnsi="Arial" w:cs="Arial"/>
          <w:color w:val="000000"/>
          <w:sz w:val="26"/>
          <w:szCs w:val="26"/>
        </w:rPr>
        <w:t>o</w:t>
      </w:r>
      <w:r w:rsidRPr="00697DC9">
        <w:rPr>
          <w:rFonts w:ascii="Arial" w:eastAsia="Times New Roman" w:hAnsi="Arial" w:cs="Arial"/>
          <w:color w:val="000000"/>
          <w:sz w:val="26"/>
          <w:szCs w:val="26"/>
        </w:rPr>
        <w:t xml:space="preserve"> o anulad</w:t>
      </w:r>
      <w:r w:rsidR="00624E0A" w:rsidRPr="00697DC9">
        <w:rPr>
          <w:rFonts w:ascii="Arial" w:eastAsia="Times New Roman" w:hAnsi="Arial" w:cs="Arial"/>
          <w:color w:val="000000"/>
          <w:sz w:val="26"/>
          <w:szCs w:val="26"/>
        </w:rPr>
        <w:t>o</w:t>
      </w:r>
      <w:r w:rsidRPr="00697DC9">
        <w:rPr>
          <w:rFonts w:ascii="Arial" w:eastAsia="Times New Roman" w:hAnsi="Arial" w:cs="Arial"/>
          <w:color w:val="000000"/>
          <w:sz w:val="26"/>
          <w:szCs w:val="26"/>
        </w:rPr>
        <w:t>, sólo por el órgano superior, a través del medio de impugnación correspondiente</w:t>
      </w:r>
      <w:r w:rsidR="00624E0A" w:rsidRPr="00697DC9">
        <w:rPr>
          <w:rFonts w:ascii="Arial" w:eastAsia="Times New Roman" w:hAnsi="Arial" w:cs="Arial"/>
          <w:color w:val="000000"/>
          <w:sz w:val="26"/>
          <w:szCs w:val="26"/>
        </w:rPr>
        <w:t xml:space="preserve"> promovido por su contraparte, lo que no aconteció, provocando así la preclusión de ese derecho de la autoridad demandada</w:t>
      </w:r>
      <w:r w:rsidR="000E33FD" w:rsidRPr="00697DC9">
        <w:rPr>
          <w:rFonts w:ascii="Arial" w:eastAsia="Times New Roman" w:hAnsi="Arial" w:cs="Arial"/>
          <w:color w:val="000000"/>
          <w:sz w:val="26"/>
          <w:szCs w:val="26"/>
        </w:rPr>
        <w:t>, que es</w:t>
      </w:r>
      <w:r w:rsidRPr="00697DC9">
        <w:rPr>
          <w:rFonts w:ascii="Arial" w:eastAsia="Times New Roman" w:hAnsi="Arial" w:cs="Arial"/>
          <w:color w:val="000000"/>
          <w:sz w:val="36"/>
          <w:szCs w:val="36"/>
        </w:rPr>
        <w:t xml:space="preserve"> </w:t>
      </w:r>
      <w:r w:rsidRPr="00697DC9">
        <w:rPr>
          <w:rFonts w:ascii="Arial" w:eastAsia="Times New Roman" w:hAnsi="Arial" w:cs="Arial"/>
          <w:color w:val="000000"/>
          <w:sz w:val="26"/>
          <w:szCs w:val="26"/>
        </w:rPr>
        <w:t>la pérdida, extinción o consumación de una facultad procesal</w:t>
      </w:r>
      <w:bookmarkEnd w:id="4"/>
      <w:r w:rsidRPr="00697DC9">
        <w:rPr>
          <w:rFonts w:ascii="Arial" w:eastAsia="Times New Roman" w:hAnsi="Arial" w:cs="Arial"/>
          <w:color w:val="000000"/>
          <w:sz w:val="26"/>
          <w:szCs w:val="26"/>
        </w:rPr>
        <w:t>.</w:t>
      </w:r>
      <w:r w:rsidRPr="00697DC9">
        <w:rPr>
          <w:rFonts w:ascii="Times New Roman" w:eastAsia="Times New Roman" w:hAnsi="Times New Roman" w:cs="Times New Roman"/>
          <w:color w:val="000000"/>
          <w:sz w:val="26"/>
          <w:szCs w:val="26"/>
        </w:rPr>
        <w:t> </w:t>
      </w:r>
      <w:r w:rsidR="00025973" w:rsidRPr="00697DC9">
        <w:rPr>
          <w:rFonts w:ascii="Times New Roman" w:eastAsia="Times New Roman" w:hAnsi="Times New Roman" w:cs="Times New Roman"/>
          <w:color w:val="000000"/>
          <w:sz w:val="26"/>
          <w:szCs w:val="26"/>
        </w:rPr>
        <w:t>- - - - - -  - - - - - -  - - - -  - - - - -  - -</w:t>
      </w:r>
      <w:r w:rsidR="00B61944" w:rsidRPr="00697DC9">
        <w:rPr>
          <w:rFonts w:ascii="Times New Roman" w:eastAsia="Times New Roman" w:hAnsi="Times New Roman" w:cs="Times New Roman"/>
          <w:color w:val="000000"/>
          <w:sz w:val="26"/>
          <w:szCs w:val="26"/>
        </w:rPr>
        <w:t xml:space="preserve"> - - - - - - - - - - - - - - - - - - - - - - </w:t>
      </w:r>
    </w:p>
    <w:p w14:paraId="4A2DA4C4" w14:textId="5617BFAA" w:rsidR="000D2FF5" w:rsidRPr="00697DC9" w:rsidRDefault="000D2FF5" w:rsidP="000E33FD">
      <w:pPr>
        <w:spacing w:before="100" w:beforeAutospacing="1" w:after="100" w:afterAutospacing="1" w:line="360" w:lineRule="auto"/>
        <w:jc w:val="both"/>
        <w:rPr>
          <w:rFonts w:ascii="Times New Roman" w:eastAsia="Times New Roman" w:hAnsi="Times New Roman" w:cs="Times New Roman"/>
          <w:color w:val="000000"/>
          <w:sz w:val="26"/>
          <w:szCs w:val="26"/>
        </w:rPr>
      </w:pPr>
      <w:r w:rsidRPr="00697DC9">
        <w:rPr>
          <w:rFonts w:ascii="Times New Roman" w:eastAsia="Times New Roman" w:hAnsi="Times New Roman" w:cs="Times New Roman"/>
          <w:color w:val="000000"/>
          <w:sz w:val="26"/>
          <w:szCs w:val="26"/>
        </w:rPr>
        <w:t>     </w:t>
      </w:r>
      <w:r w:rsidR="006B3C5F">
        <w:rPr>
          <w:rFonts w:ascii="Times New Roman" w:eastAsia="Times New Roman" w:hAnsi="Times New Roman" w:cs="Times New Roman"/>
          <w:color w:val="000000"/>
          <w:sz w:val="26"/>
          <w:szCs w:val="26"/>
        </w:rPr>
        <w:t xml:space="preserve">  </w:t>
      </w:r>
      <w:r w:rsidRPr="00697DC9">
        <w:rPr>
          <w:rFonts w:ascii="Arial" w:eastAsia="Times New Roman" w:hAnsi="Arial" w:cs="Arial"/>
          <w:color w:val="000000"/>
          <w:sz w:val="26"/>
          <w:szCs w:val="26"/>
        </w:rPr>
        <w:t>La importancia de la preclusión radica en que, por virtud de ella, las distintas etapas del proceso adquieren firmeza, lo que permite que éstas sirvan de apoyo a las fases subsecuentes, para que dicho proceso se desenvuelva en forma ágil y, en su caso, en el menor tiempo posible pueda emitirse la sentencia que solucione la controversia planteada por las partes, en observancia al principio de impartición de justicia pronta, previsto en el artículo 17, párrafo segundo, de la Constitución Política de los Estados Unidos Mexicanos.</w:t>
      </w:r>
      <w:r w:rsidRPr="00697DC9">
        <w:rPr>
          <w:rFonts w:ascii="Times New Roman" w:eastAsia="Times New Roman" w:hAnsi="Times New Roman" w:cs="Times New Roman"/>
          <w:color w:val="000000"/>
          <w:sz w:val="26"/>
          <w:szCs w:val="26"/>
        </w:rPr>
        <w:t> </w:t>
      </w:r>
      <w:r w:rsidR="00DF7BFD" w:rsidRPr="00697DC9">
        <w:rPr>
          <w:rFonts w:ascii="Times New Roman" w:eastAsia="Times New Roman" w:hAnsi="Times New Roman" w:cs="Times New Roman"/>
          <w:color w:val="000000"/>
          <w:sz w:val="26"/>
          <w:szCs w:val="26"/>
        </w:rPr>
        <w:t>- - - - - - - - - - - - - - - - - - -  - - - -  - - - - - - -</w:t>
      </w:r>
    </w:p>
    <w:p w14:paraId="1530751B" w14:textId="7FAEDB41" w:rsidR="00D33363" w:rsidRPr="00697DC9" w:rsidRDefault="000D2FF5" w:rsidP="000E33FD">
      <w:pPr>
        <w:spacing w:before="100" w:beforeAutospacing="1" w:after="100" w:afterAutospacing="1" w:line="360" w:lineRule="auto"/>
        <w:jc w:val="both"/>
        <w:rPr>
          <w:rFonts w:ascii="Arial" w:hAnsi="Arial" w:cs="Arial"/>
          <w:bCs/>
          <w:sz w:val="26"/>
          <w:szCs w:val="26"/>
        </w:rPr>
      </w:pPr>
      <w:bookmarkStart w:id="5" w:name="_Hlk84884689"/>
      <w:r w:rsidRPr="00697DC9">
        <w:rPr>
          <w:rFonts w:ascii="Arial" w:eastAsia="Times New Roman" w:hAnsi="Arial" w:cs="Arial"/>
          <w:color w:val="000000"/>
          <w:sz w:val="26"/>
          <w:szCs w:val="26"/>
        </w:rPr>
        <w:t>     </w:t>
      </w:r>
      <w:r w:rsidR="00583EE0" w:rsidRPr="00697DC9">
        <w:rPr>
          <w:rFonts w:ascii="Arial" w:eastAsia="Times New Roman" w:hAnsi="Arial" w:cs="Arial"/>
          <w:color w:val="000000"/>
          <w:sz w:val="26"/>
          <w:szCs w:val="26"/>
        </w:rPr>
        <w:t xml:space="preserve">Sirve de orientación para el caso concreto la </w:t>
      </w:r>
      <w:r w:rsidR="001913C4" w:rsidRPr="00697DC9">
        <w:rPr>
          <w:rFonts w:ascii="Arial" w:eastAsia="Times New Roman" w:hAnsi="Arial" w:cs="Arial"/>
          <w:color w:val="000000"/>
          <w:sz w:val="26"/>
          <w:szCs w:val="26"/>
        </w:rPr>
        <w:t xml:space="preserve">siguiente </w:t>
      </w:r>
      <w:r w:rsidR="00583EE0" w:rsidRPr="00697DC9">
        <w:rPr>
          <w:rFonts w:ascii="Arial" w:eastAsia="Times New Roman" w:hAnsi="Arial" w:cs="Arial"/>
          <w:color w:val="000000"/>
          <w:sz w:val="26"/>
          <w:szCs w:val="26"/>
        </w:rPr>
        <w:t>Tesis Aislada</w:t>
      </w:r>
      <w:r w:rsidR="001913C4" w:rsidRPr="00697DC9">
        <w:rPr>
          <w:rStyle w:val="Refdenotaalpie"/>
          <w:rFonts w:ascii="Arial" w:eastAsia="Times New Roman" w:hAnsi="Arial" w:cs="Arial"/>
          <w:color w:val="000000"/>
          <w:sz w:val="26"/>
          <w:szCs w:val="26"/>
        </w:rPr>
        <w:footnoteReference w:id="2"/>
      </w:r>
      <w:r w:rsidR="001913C4" w:rsidRPr="00697DC9">
        <w:rPr>
          <w:rFonts w:ascii="Arial" w:eastAsia="Times New Roman" w:hAnsi="Arial" w:cs="Arial"/>
          <w:color w:val="000000"/>
          <w:sz w:val="26"/>
          <w:szCs w:val="26"/>
        </w:rPr>
        <w:t>:</w:t>
      </w:r>
    </w:p>
    <w:p w14:paraId="106A25BA" w14:textId="0E11398B" w:rsidR="00B9380F" w:rsidRPr="00697DC9" w:rsidRDefault="00583EE0" w:rsidP="00632281">
      <w:pPr>
        <w:shd w:val="clear" w:color="auto" w:fill="FFFFFF"/>
        <w:spacing w:before="100" w:beforeAutospacing="1" w:after="100" w:afterAutospacing="1"/>
        <w:ind w:left="851" w:right="616"/>
        <w:jc w:val="both"/>
        <w:rPr>
          <w:rFonts w:ascii="Arial" w:eastAsia="Times New Roman" w:hAnsi="Arial" w:cs="Arial"/>
          <w:b/>
          <w:bCs/>
          <w:i/>
          <w:color w:val="212529"/>
          <w:sz w:val="24"/>
          <w:szCs w:val="24"/>
        </w:rPr>
      </w:pPr>
      <w:r w:rsidRPr="00697DC9">
        <w:rPr>
          <w:rFonts w:ascii="Arial" w:eastAsia="Times New Roman" w:hAnsi="Arial" w:cs="Arial"/>
          <w:b/>
          <w:bCs/>
          <w:i/>
          <w:color w:val="212529"/>
          <w:sz w:val="24"/>
          <w:szCs w:val="24"/>
        </w:rPr>
        <w:t xml:space="preserve">“PERSONALIDAD. LA PREVENCIÓN QUE ORDENA ACREDITARLA CON DOCUMENTO DIVERSO AL ADJUNTADO A LA DEMANDA DEBE DESAHOGARSE EN EL PLAZO Y FORMA ORDENADOS CUANDO EXISTE UNA DETERMINACIÓN FIRME, YA QUE EL JUZGADOR NO PUEDE REVOCAR SU PROPIA DETERMINACIÓN CUANDO ÉSTA TIENE EFICACIA DE COSA JUZGADA. </w:t>
      </w:r>
      <w:r w:rsidRPr="00697DC9">
        <w:rPr>
          <w:rFonts w:ascii="Arial" w:eastAsia="Times New Roman" w:hAnsi="Arial" w:cs="Arial"/>
          <w:i/>
          <w:color w:val="212529"/>
          <w:sz w:val="24"/>
          <w:szCs w:val="24"/>
        </w:rPr>
        <w:t xml:space="preserve">Es contrario a derecho considerar que la modificación a una ley, realizada con anterioridad a la emisión del dictado de un auto firme, implica que éste deba dejarse sin efectos, a pesar de que en dicho proveído, correcta o incorrectamente, se estimó que quienes comparecieron en nombre de una persona moral oficial carecen de personalidad y que, por tanto, debían exhibir, dentro del plazo de diez días, un documento adicional al adjuntado a la demanda, con el apercibimiento de que de no exhibirlo en dicho plazo se sobreseería el juicio y se devolverían los documentos; </w:t>
      </w:r>
      <w:r w:rsidRPr="00697DC9">
        <w:rPr>
          <w:rFonts w:ascii="Arial" w:eastAsia="Times New Roman" w:hAnsi="Arial" w:cs="Arial"/>
          <w:i/>
          <w:color w:val="212529"/>
          <w:sz w:val="24"/>
          <w:szCs w:val="24"/>
        </w:rPr>
        <w:lastRenderedPageBreak/>
        <w:t>puesto que se trata de una determinación firme, que tiene eficacia de cosa juzgada, en tanto que es evidente que el interesado debe subsanar el pretendido defecto en el plazo fijado y mediante la exhibición del documento precisado por el Juez, ya que de no hacerse así se estaría dando una segunda oportunidad al enjuiciante al permitirle desahogar una prevención de una manera diversa a la ordenada en un proveído firme y acreditar su personalidad, con violación al principio de igualdad de las partes, aunado a que no es permitido a las autoridades judiciales revocar sus propias determinaciones, ya que un principio de justicia y de orden social exige que tengan firmeza las decisiones emitidas en un juicio y estabilidad los derechos que en ellas se conceden a las partes.”</w:t>
      </w:r>
    </w:p>
    <w:bookmarkEnd w:id="5"/>
    <w:p w14:paraId="599AA32A" w14:textId="796D898E" w:rsidR="00B61944" w:rsidRDefault="00321D44" w:rsidP="00CD016E">
      <w:pPr>
        <w:widowControl w:val="0"/>
        <w:tabs>
          <w:tab w:val="left" w:pos="0"/>
        </w:tabs>
        <w:spacing w:before="240" w:after="0" w:line="360" w:lineRule="auto"/>
        <w:ind w:right="18"/>
        <w:jc w:val="both"/>
        <w:rPr>
          <w:rFonts w:ascii="Arial" w:eastAsia="Calibri" w:hAnsi="Arial" w:cs="Arial"/>
          <w:bCs/>
          <w:sz w:val="26"/>
          <w:szCs w:val="26"/>
        </w:rPr>
      </w:pPr>
      <w:r w:rsidRPr="00697DC9">
        <w:rPr>
          <w:rFonts w:ascii="Arial" w:hAnsi="Arial" w:cs="Arial"/>
          <w:b/>
          <w:iCs/>
          <w:sz w:val="26"/>
          <w:szCs w:val="26"/>
        </w:rPr>
        <w:t xml:space="preserve">   </w:t>
      </w:r>
      <w:r w:rsidR="00760CAE" w:rsidRPr="00697DC9">
        <w:rPr>
          <w:rFonts w:ascii="Arial" w:hAnsi="Arial" w:cs="Arial"/>
          <w:b/>
          <w:iCs/>
          <w:sz w:val="26"/>
          <w:szCs w:val="26"/>
        </w:rPr>
        <w:t xml:space="preserve">  </w:t>
      </w:r>
      <w:r w:rsidRPr="00697DC9">
        <w:rPr>
          <w:rFonts w:ascii="Arial" w:hAnsi="Arial" w:cs="Arial"/>
          <w:b/>
          <w:iCs/>
          <w:sz w:val="26"/>
          <w:szCs w:val="26"/>
        </w:rPr>
        <w:t xml:space="preserve">  </w:t>
      </w:r>
      <w:r w:rsidR="00D33363" w:rsidRPr="00697DC9">
        <w:rPr>
          <w:rFonts w:ascii="Arial" w:hAnsi="Arial" w:cs="Arial"/>
          <w:b/>
          <w:iCs/>
          <w:sz w:val="26"/>
          <w:szCs w:val="26"/>
        </w:rPr>
        <w:t>Es  entonces</w:t>
      </w:r>
      <w:r w:rsidR="00D33363" w:rsidRPr="00697DC9">
        <w:rPr>
          <w:rFonts w:ascii="Arial" w:hAnsi="Arial" w:cs="Arial"/>
          <w:b/>
          <w:bCs/>
          <w:iCs/>
          <w:sz w:val="26"/>
          <w:szCs w:val="26"/>
        </w:rPr>
        <w:t xml:space="preserve"> </w:t>
      </w:r>
      <w:r w:rsidR="00D33363" w:rsidRPr="00697DC9">
        <w:rPr>
          <w:rFonts w:ascii="Arial" w:hAnsi="Arial" w:cs="Arial"/>
          <w:b/>
          <w:iCs/>
          <w:sz w:val="26"/>
          <w:szCs w:val="26"/>
        </w:rPr>
        <w:t>que</w:t>
      </w:r>
      <w:r w:rsidR="00632281" w:rsidRPr="00697DC9">
        <w:rPr>
          <w:rFonts w:ascii="Arial" w:hAnsi="Arial" w:cs="Arial"/>
          <w:bCs/>
          <w:iCs/>
          <w:sz w:val="26"/>
          <w:szCs w:val="26"/>
        </w:rPr>
        <w:t>,</w:t>
      </w:r>
      <w:r w:rsidRPr="00697DC9">
        <w:rPr>
          <w:rFonts w:ascii="Arial" w:hAnsi="Arial" w:cs="Arial"/>
          <w:bCs/>
          <w:iCs/>
          <w:sz w:val="26"/>
          <w:szCs w:val="26"/>
        </w:rPr>
        <w:t xml:space="preserve"> con el sobreseimiento del juicio</w:t>
      </w:r>
      <w:r w:rsidR="00D33363" w:rsidRPr="00697DC9">
        <w:rPr>
          <w:rFonts w:ascii="Arial" w:hAnsi="Arial" w:cs="Arial"/>
          <w:bCs/>
          <w:iCs/>
          <w:sz w:val="26"/>
          <w:szCs w:val="26"/>
        </w:rPr>
        <w:t xml:space="preserve"> se </w:t>
      </w:r>
      <w:r w:rsidR="00760CAE" w:rsidRPr="00697DC9">
        <w:rPr>
          <w:rFonts w:ascii="Arial" w:hAnsi="Arial" w:cs="Arial"/>
          <w:bCs/>
          <w:iCs/>
          <w:sz w:val="26"/>
          <w:szCs w:val="26"/>
        </w:rPr>
        <w:t>a</w:t>
      </w:r>
      <w:r w:rsidRPr="00697DC9">
        <w:rPr>
          <w:rFonts w:ascii="Arial" w:hAnsi="Arial" w:cs="Arial"/>
          <w:bCs/>
          <w:iCs/>
          <w:sz w:val="26"/>
          <w:szCs w:val="26"/>
        </w:rPr>
        <w:t>dvierte</w:t>
      </w:r>
      <w:r w:rsidR="00D33363" w:rsidRPr="00697DC9">
        <w:rPr>
          <w:rFonts w:ascii="Arial" w:hAnsi="Arial" w:cs="Arial"/>
          <w:bCs/>
          <w:iCs/>
          <w:sz w:val="26"/>
          <w:szCs w:val="26"/>
        </w:rPr>
        <w:t xml:space="preserve"> que la Sala primigenia no estudió el fondo del asunto, es decir, no analizó los conceptos de impugnación vertidos por el actor en su escrito de demanda,</w:t>
      </w:r>
      <w:r w:rsidR="00D33363" w:rsidRPr="00697DC9">
        <w:rPr>
          <w:rFonts w:ascii="Arial" w:eastAsia="Calibri" w:hAnsi="Arial" w:cs="Arial"/>
          <w:bCs/>
          <w:sz w:val="26"/>
          <w:szCs w:val="26"/>
        </w:rPr>
        <w:t xml:space="preserve"> </w:t>
      </w:r>
      <w:r w:rsidRPr="00697DC9">
        <w:rPr>
          <w:rFonts w:ascii="Arial" w:eastAsia="Calibri" w:hAnsi="Arial" w:cs="Arial"/>
          <w:bCs/>
          <w:sz w:val="26"/>
          <w:szCs w:val="26"/>
        </w:rPr>
        <w:t>transgrediendo</w:t>
      </w:r>
      <w:r w:rsidR="00D33363" w:rsidRPr="00697DC9">
        <w:rPr>
          <w:rFonts w:ascii="Arial" w:eastAsia="Calibri" w:hAnsi="Arial" w:cs="Arial"/>
          <w:bCs/>
          <w:sz w:val="26"/>
          <w:szCs w:val="26"/>
        </w:rPr>
        <w:t xml:space="preserve"> así en perjuicio de la parte actora los principios de exhaustividad y congruencia de las sentencias, </w:t>
      </w:r>
      <w:r w:rsidR="00D33363" w:rsidRPr="00697DC9">
        <w:rPr>
          <w:rFonts w:ascii="Arial" w:hAnsi="Arial" w:cs="Arial"/>
          <w:bCs/>
          <w:iCs/>
          <w:sz w:val="26"/>
          <w:szCs w:val="26"/>
        </w:rPr>
        <w:t>que exige el derecho de legalidad previsto en el artículo 16, párrafo primero, de la Constitucional Política de los Estados Unidos Mexicanos</w:t>
      </w:r>
      <w:r w:rsidR="00D33363" w:rsidRPr="00697DC9">
        <w:rPr>
          <w:rFonts w:ascii="Arial" w:eastAsia="Calibri" w:hAnsi="Arial" w:cs="Arial"/>
          <w:bCs/>
          <w:sz w:val="26"/>
          <w:szCs w:val="26"/>
        </w:rPr>
        <w:t>, así como el principio de justicia completa previsto en el artículo 17</w:t>
      </w:r>
      <w:r w:rsidR="00CD016E" w:rsidRPr="00697DC9">
        <w:rPr>
          <w:rFonts w:ascii="Arial" w:eastAsia="Calibri" w:hAnsi="Arial" w:cs="Arial"/>
          <w:bCs/>
          <w:sz w:val="26"/>
          <w:szCs w:val="26"/>
        </w:rPr>
        <w:t>,</w:t>
      </w:r>
      <w:r w:rsidR="00D33363" w:rsidRPr="00697DC9">
        <w:rPr>
          <w:rFonts w:ascii="Arial" w:eastAsia="Calibri" w:hAnsi="Arial" w:cs="Arial"/>
          <w:bCs/>
          <w:sz w:val="26"/>
          <w:szCs w:val="26"/>
        </w:rPr>
        <w:t xml:space="preserve"> de la Constitución Política de los Estados Unidos Mexicanos</w:t>
      </w:r>
      <w:r w:rsidR="00CD016E" w:rsidRPr="00697DC9">
        <w:rPr>
          <w:rFonts w:ascii="Arial" w:eastAsia="Calibri" w:hAnsi="Arial" w:cs="Arial"/>
          <w:bCs/>
          <w:sz w:val="26"/>
          <w:szCs w:val="26"/>
        </w:rPr>
        <w:t>, invocándose por ser aplicables los siguientes criterios jurisprudenciales:</w:t>
      </w:r>
      <w:r w:rsidR="007C1248">
        <w:rPr>
          <w:rFonts w:ascii="Arial" w:eastAsia="Calibri" w:hAnsi="Arial" w:cs="Arial"/>
          <w:bCs/>
          <w:sz w:val="26"/>
          <w:szCs w:val="26"/>
        </w:rPr>
        <w:t xml:space="preserve">- - - - - - - - - - - - - - - </w:t>
      </w:r>
    </w:p>
    <w:p w14:paraId="7A4302D2" w14:textId="77777777" w:rsidR="007C1248" w:rsidRPr="00697DC9" w:rsidRDefault="007C1248" w:rsidP="007C1248">
      <w:pPr>
        <w:pStyle w:val="Sinespaciado"/>
        <w:rPr>
          <w:rFonts w:eastAsia="Calibri"/>
        </w:rPr>
      </w:pPr>
    </w:p>
    <w:p w14:paraId="393D4CDF" w14:textId="77777777" w:rsidR="00CD016E" w:rsidRPr="00697DC9" w:rsidRDefault="00CD016E" w:rsidP="00632281">
      <w:pPr>
        <w:spacing w:after="120"/>
        <w:ind w:left="851" w:right="616"/>
        <w:jc w:val="both"/>
        <w:rPr>
          <w:rFonts w:ascii="Arial" w:eastAsia="Calibri" w:hAnsi="Arial" w:cs="Arial"/>
          <w:bCs/>
          <w:i/>
          <w:iCs/>
          <w:sz w:val="24"/>
          <w:szCs w:val="24"/>
        </w:rPr>
      </w:pPr>
      <w:r w:rsidRPr="00697DC9">
        <w:rPr>
          <w:rFonts w:ascii="Arial" w:eastAsia="Calibri" w:hAnsi="Arial" w:cs="Arial"/>
          <w:bCs/>
          <w:i/>
          <w:iCs/>
          <w:sz w:val="24"/>
          <w:szCs w:val="24"/>
        </w:rPr>
        <w:t>“</w:t>
      </w:r>
      <w:r w:rsidRPr="00697DC9">
        <w:rPr>
          <w:rFonts w:ascii="Arial" w:eastAsia="Calibri" w:hAnsi="Arial" w:cs="Arial"/>
          <w:b/>
          <w:i/>
          <w:iCs/>
          <w:sz w:val="24"/>
          <w:szCs w:val="24"/>
        </w:rPr>
        <w:t>FUNDAMENTACIÓN Y MOTIVACIÓN DE LAS RESOLUCIONES JURISDICCIONALES, DEBEN ANALIZARSE A LA LUZ DE LOS ARTÍCULOS 14 Y 16 DE LA CONSTITUCIÓN POLÍTICA DE LOS ESTADOS UNIDOS MEXICANOS, RESPECTIVAMENTE.</w:t>
      </w:r>
      <w:r w:rsidRPr="00697DC9">
        <w:rPr>
          <w:rFonts w:ascii="Arial" w:eastAsia="Calibri" w:hAnsi="Arial" w:cs="Arial"/>
          <w:bCs/>
          <w:i/>
          <w:iCs/>
          <w:sz w:val="24"/>
          <w:szCs w:val="24"/>
        </w:rPr>
        <w:t xml:space="preserve"> Entre las diversas garantías contenidas en el segundo párrafo del artículo 14 de la Constitución Política de los Estados Unidos Mexicanos, sustento de la garantía de audiencia, está la relativa al respeto de las formalidades esenciales del procedimiento, también conocida como de debido proceso legal, la cual se refiere al cumplimiento de las condiciones fundamentales que deben satisfacerse en el procedimiento jurisdiccional que concluye con el dictado de una resolución que dirime las cuestiones debatidas. Esta garantía obliga al juzgador a decidir las controversias sometidas a su conocimiento, considerando todos y cada uno de los argumentos aducidos en la demanda, en su contestación, así como las demás pretensiones deducidas oportunamente en el pleito, de tal forma que se condene o absuelva al demandado, resolviendo sobre todos los puntos litigiosos materia del debate. Sin embargo, esta determinación del juzgador no debe desvincularse de lo dispuesto por el primer párrafo del artículo 16 constitucional, que impone a las autoridades la obligación de fundar y motivar debidamente los actos que emitan, esto es, que se expresen las razones de derecho y los motivos de hecho </w:t>
      </w:r>
      <w:r w:rsidRPr="00697DC9">
        <w:rPr>
          <w:rFonts w:ascii="Arial" w:eastAsia="Calibri" w:hAnsi="Arial" w:cs="Arial"/>
          <w:bCs/>
          <w:i/>
          <w:iCs/>
          <w:sz w:val="24"/>
          <w:szCs w:val="24"/>
        </w:rPr>
        <w:lastRenderedPageBreak/>
        <w:t>considerados para su dictado, los cuales deberán ser reales, ciertos e investidos de la fuerza legal suficiente para provocar el acto de autoridad. Ahora bien, como a las garantías individuales previstas en la Carta Magna les son aplicables las consideraciones sobre la supremacía constitucional en términos de su artículo 133, es indudable que las resoluciones que emitan deben cumplir con las garantías de debido proceso legal y de legalidad contenidas en los artículos 14 y 16 de la Constitución Política de los Estados Unidos Mexicanos. Así, la fundamentación y motivación de una resolución jurisdiccional se encuentra en el análisis exhaustivo de los puntos que integran la litis, es decir, en el estudio de las acciones y excepciones del debate, apoyándose en el o los preceptos jurídicos que permiten expedirla y que establezcan la hipótesis que genere su emisión, así como en la exposición concreta de las circunstancias especiales, razones particulares o causas inmediatas tomadas en consideración para la emisión del acto, siendo necesario, además, que exista adecuación entre los motivos aducidos y las normas aplicables al caso”.</w:t>
      </w:r>
      <w:r w:rsidRPr="00697DC9">
        <w:rPr>
          <w:rStyle w:val="Refdenotaalpie"/>
          <w:rFonts w:ascii="Arial" w:eastAsia="Calibri" w:hAnsi="Arial" w:cs="Arial"/>
          <w:bCs/>
          <w:i/>
          <w:iCs/>
          <w:sz w:val="24"/>
          <w:szCs w:val="24"/>
        </w:rPr>
        <w:footnoteReference w:id="3"/>
      </w:r>
    </w:p>
    <w:p w14:paraId="7FBAE964" w14:textId="18E0C45F" w:rsidR="00CD016E" w:rsidRDefault="00CD016E" w:rsidP="00CD016E">
      <w:pPr>
        <w:spacing w:after="120"/>
        <w:ind w:right="49"/>
        <w:jc w:val="both"/>
        <w:rPr>
          <w:rFonts w:ascii="Arial" w:eastAsia="Calibri" w:hAnsi="Arial" w:cs="Arial"/>
          <w:bCs/>
          <w:sz w:val="26"/>
          <w:szCs w:val="26"/>
        </w:rPr>
      </w:pPr>
      <w:r w:rsidRPr="00697DC9">
        <w:rPr>
          <w:rFonts w:ascii="Arial" w:eastAsia="Calibri" w:hAnsi="Arial" w:cs="Arial"/>
          <w:bCs/>
          <w:sz w:val="26"/>
          <w:szCs w:val="26"/>
        </w:rPr>
        <w:t xml:space="preserve">    También es aplicable el siguiente criterio jurisprudencial</w:t>
      </w:r>
      <w:r w:rsidRPr="00697DC9">
        <w:rPr>
          <w:rStyle w:val="Refdenotaalpie"/>
          <w:rFonts w:ascii="Arial" w:eastAsia="Calibri" w:hAnsi="Arial" w:cs="Arial"/>
          <w:bCs/>
          <w:sz w:val="26"/>
          <w:szCs w:val="26"/>
        </w:rPr>
        <w:footnoteReference w:id="4"/>
      </w:r>
      <w:r w:rsidRPr="00697DC9">
        <w:rPr>
          <w:rFonts w:ascii="Arial" w:eastAsia="Calibri" w:hAnsi="Arial" w:cs="Arial"/>
          <w:bCs/>
          <w:sz w:val="26"/>
          <w:szCs w:val="26"/>
        </w:rPr>
        <w:t>:</w:t>
      </w:r>
      <w:r w:rsidR="00D46FC5">
        <w:rPr>
          <w:rFonts w:ascii="Arial" w:eastAsia="Calibri" w:hAnsi="Arial" w:cs="Arial"/>
          <w:bCs/>
          <w:sz w:val="26"/>
          <w:szCs w:val="26"/>
        </w:rPr>
        <w:t xml:space="preserve"> - - - - - -</w:t>
      </w:r>
    </w:p>
    <w:p w14:paraId="01DA268A" w14:textId="77777777" w:rsidR="00D46FC5" w:rsidRPr="00697DC9" w:rsidRDefault="00D46FC5" w:rsidP="00D46FC5">
      <w:pPr>
        <w:pStyle w:val="Sinespaciado"/>
        <w:rPr>
          <w:rFonts w:eastAsia="Calibri"/>
        </w:rPr>
      </w:pPr>
    </w:p>
    <w:p w14:paraId="40988E20" w14:textId="77777777" w:rsidR="00CD016E" w:rsidRPr="00697DC9" w:rsidRDefault="00CD016E" w:rsidP="00632281">
      <w:pPr>
        <w:spacing w:after="120"/>
        <w:ind w:left="851" w:right="616"/>
        <w:jc w:val="both"/>
        <w:rPr>
          <w:rFonts w:ascii="Arial" w:eastAsia="Calibri" w:hAnsi="Arial" w:cs="Arial"/>
          <w:bCs/>
          <w:i/>
          <w:iCs/>
          <w:sz w:val="24"/>
          <w:szCs w:val="24"/>
        </w:rPr>
      </w:pPr>
      <w:r w:rsidRPr="00697DC9">
        <w:rPr>
          <w:rFonts w:ascii="Arial" w:eastAsia="Calibri" w:hAnsi="Arial" w:cs="Arial"/>
          <w:bCs/>
          <w:i/>
          <w:iCs/>
          <w:sz w:val="24"/>
          <w:szCs w:val="24"/>
        </w:rPr>
        <w:t>“</w:t>
      </w:r>
      <w:r w:rsidRPr="00697DC9">
        <w:rPr>
          <w:rFonts w:ascii="Arial" w:eastAsia="Calibri" w:hAnsi="Arial" w:cs="Arial"/>
          <w:b/>
          <w:i/>
          <w:iCs/>
          <w:sz w:val="24"/>
          <w:szCs w:val="24"/>
        </w:rPr>
        <w:t>CONGRUENCIA Y EXHAUSTIVIDAD, PRINCIPIOS DE. SUS DIFERENCIAS Y CASO EN QUE EL LAUDO INCUMPLE EL SEGUNDO DE ELLOS.</w:t>
      </w:r>
      <w:r w:rsidRPr="00697DC9">
        <w:rPr>
          <w:rFonts w:ascii="Arial" w:eastAsia="Calibri" w:hAnsi="Arial" w:cs="Arial"/>
          <w:bCs/>
          <w:i/>
          <w:iCs/>
          <w:sz w:val="24"/>
          <w:szCs w:val="24"/>
        </w:rPr>
        <w:t xml:space="preserve"> Del artículo 842 de la Ley Federal del Trabajo se advierte la existencia de dos principios fundamentales o requisitos de fondo que deben observarse en el dictado del laudo: el de congruencia y el de exhaustividad. El primero es explícito, en tanto que el segundo queda imbíbito en la disposición legal. Así, el principio de congruencia está referido a que el laudo debe ser congruente no sólo consigo mismo, sino también con la litis, tal como haya quedado establecida en la etapa oportuna; de ahí que se hable, por un lado, de congruencia interna, entendida como aquella característica de que el laudo no contenga resoluciones o afirmaciones que se contradigan entre sí y, por otro, de congruencia externa, que en sí atañe a la concordancia que debe haber con la demanda y contestación formuladas por las partes, esto es, que el laudo no distorsione o altere lo pedido o lo alegado en la defensa sino que sólo se ocupe de las pretensiones de las partes y de éstas, sin introducir cuestión alguna que no se hubiere reclamado, ni de condenar o de absolver a alguien que no fue parte en el juicio laboral. Mientras que el de exhaustividad está relacionado con el examen que debe efectuar la autoridad respecto de todas las cuestiones o puntos litigiosos, sin omitir ninguno de ellos, es decir, dicho principio implica la obligación del juzgador de decidir las controversias que se sometan a su conocimiento tomando en cuenta los argumentos aducidos tanto en la demanda como en </w:t>
      </w:r>
      <w:r w:rsidRPr="00697DC9">
        <w:rPr>
          <w:rFonts w:ascii="Arial" w:eastAsia="Calibri" w:hAnsi="Arial" w:cs="Arial"/>
          <w:bCs/>
          <w:i/>
          <w:iCs/>
          <w:sz w:val="24"/>
          <w:szCs w:val="24"/>
        </w:rPr>
        <w:lastRenderedPageBreak/>
        <w:t>aquellos en los que se sustenta la contestación y demás pretensiones hechas valer oportunamente en el juicio, de tal forma que se condene o absuelva al demandado, resolviendo sobre todos y cada uno de los puntos litigiosos que hubieran sido materia del debate. Por tanto, cuando la autoridad laboral dicta un laudo sin resolver sobre algún punto litigioso, en realidad no resulta contrario al principio de congruencia, sino al de exhaustividad, pues lejos de distorsionar o alterar la litis, su proceder se reduce a omitir el examen y pronunciamiento de una cuestión controvertida que oportunamente se le planteó, lo que permite, entonces, hablar de un laudo propiamente incompleto, falto de exhaustividad, precisamente porque la congruencia -externa- significa que sólo debe ocuparse de las personas que contendieron como partes y de sus pretensiones; mientras que la exhaustividad implica que el laudo ha de ocuparse de todos los puntos discutibles. Consecuentemente, si el laudo no satisface esto último, es inconcuso que resulta contrario al principio de exhaustividad que emerge del artículo 842 de la Ley Federal del Trabajo, traduciéndose en un laudo incompleto, con la consiguiente violación a la garantía consagrada en el artículo 17 de la Constitución Federal.”</w:t>
      </w:r>
    </w:p>
    <w:p w14:paraId="37913193" w14:textId="2DBB1FC3" w:rsidR="00CD016E" w:rsidRPr="00697DC9" w:rsidRDefault="00CD016E" w:rsidP="00CD016E">
      <w:pPr>
        <w:spacing w:after="120" w:line="360" w:lineRule="auto"/>
        <w:ind w:right="49"/>
        <w:jc w:val="both"/>
        <w:rPr>
          <w:rFonts w:ascii="Arial" w:eastAsia="Calibri" w:hAnsi="Arial" w:cs="Arial"/>
          <w:bCs/>
          <w:sz w:val="26"/>
          <w:szCs w:val="26"/>
        </w:rPr>
      </w:pPr>
      <w:r w:rsidRPr="00697DC9">
        <w:rPr>
          <w:rFonts w:ascii="Arial" w:eastAsia="Calibri" w:hAnsi="Arial" w:cs="Arial"/>
          <w:bCs/>
          <w:sz w:val="26"/>
          <w:szCs w:val="26"/>
        </w:rPr>
        <w:t xml:space="preserve">  Asimismo, es aplicable el siguiente criterio jurisprudencial</w:t>
      </w:r>
      <w:r w:rsidRPr="00697DC9">
        <w:rPr>
          <w:rStyle w:val="Refdenotaalpie"/>
          <w:rFonts w:ascii="Arial" w:eastAsia="Calibri" w:hAnsi="Arial" w:cs="Arial"/>
          <w:bCs/>
          <w:sz w:val="26"/>
          <w:szCs w:val="26"/>
        </w:rPr>
        <w:footnoteReference w:id="5"/>
      </w:r>
      <w:r w:rsidRPr="00697DC9">
        <w:rPr>
          <w:rFonts w:ascii="Arial" w:eastAsia="Calibri" w:hAnsi="Arial" w:cs="Arial"/>
          <w:bCs/>
          <w:sz w:val="26"/>
          <w:szCs w:val="26"/>
        </w:rPr>
        <w:t>:</w:t>
      </w:r>
      <w:r w:rsidR="00C47813">
        <w:rPr>
          <w:rFonts w:ascii="Arial" w:eastAsia="Calibri" w:hAnsi="Arial" w:cs="Arial"/>
          <w:bCs/>
          <w:sz w:val="26"/>
          <w:szCs w:val="26"/>
        </w:rPr>
        <w:t xml:space="preserve"> - - - - - </w:t>
      </w:r>
    </w:p>
    <w:p w14:paraId="670378C4" w14:textId="43E008F9" w:rsidR="00CD016E" w:rsidRPr="0080177D" w:rsidRDefault="00CD016E" w:rsidP="00632281">
      <w:pPr>
        <w:spacing w:after="120"/>
        <w:ind w:left="851" w:right="616"/>
        <w:jc w:val="both"/>
        <w:rPr>
          <w:rFonts w:ascii="Arial" w:eastAsia="Calibri" w:hAnsi="Arial" w:cs="Arial"/>
          <w:bCs/>
          <w:i/>
          <w:iCs/>
          <w:color w:val="000000" w:themeColor="text1"/>
          <w:sz w:val="24"/>
          <w:szCs w:val="24"/>
          <w:lang w:eastAsia="en-US"/>
        </w:rPr>
      </w:pPr>
      <w:r w:rsidRPr="0080177D">
        <w:rPr>
          <w:rFonts w:ascii="Arial" w:eastAsia="Calibri" w:hAnsi="Arial" w:cs="Arial"/>
          <w:bCs/>
          <w:i/>
          <w:iCs/>
          <w:sz w:val="24"/>
          <w:szCs w:val="24"/>
        </w:rPr>
        <w:t>“</w:t>
      </w:r>
      <w:r w:rsidRPr="0080177D">
        <w:rPr>
          <w:rFonts w:ascii="Arial" w:eastAsia="Calibri" w:hAnsi="Arial" w:cs="Arial"/>
          <w:b/>
          <w:i/>
          <w:iCs/>
          <w:sz w:val="24"/>
          <w:szCs w:val="24"/>
        </w:rPr>
        <w:t>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w:t>
      </w:r>
      <w:r w:rsidRPr="0080177D">
        <w:rPr>
          <w:rFonts w:ascii="Arial" w:eastAsia="Calibri" w:hAnsi="Arial" w:cs="Arial"/>
          <w:bCs/>
          <w:i/>
          <w:iCs/>
          <w:sz w:val="24"/>
          <w:szCs w:val="24"/>
        </w:rPr>
        <w:t xml:space="preserve"> La garantía individual de acceso a la impartición de justicia consagra a favor de los gobernados los siguientes principios: 1. De justicia pronta, que se traduce en la obligación de las autoridades encargadas de su impartición de resolver las controversias ante ellas planteadas, dentro de los términos y plazos que para tal efecto establezcan las leyes; 2. De justicia completa, consistente en que la autoridad que conoce del asunto emita pronunciamiento respecto de todos y cada uno de los aspectos debatidos cuyo estudio sea necesario, y garantice al gobernado la obtención de una resolución en la que, mediante la aplicación de la ley al caso concreto, se resuelva si le asiste o no la razón sobre los derechos que le garanticen la tutela jurisdiccional que ha solicitado; 3. De justicia imparcial, que significa que el juzgador emita una resolución apegada a derecho, y sin favoritismo respecto de alguna de las partes o arbitrariedad en su sentido; y, 4. De justicia gratuita, que estriba en que los órganos del Estado encargados de su impartición, así como los servidores públicos a quienes se les encomienda dicha función, no cobrarán a las partes en conflicto emolumento alguno por la prestación de ese servicio público. Ahora bien, si la citada </w:t>
      </w:r>
      <w:r w:rsidRPr="0080177D">
        <w:rPr>
          <w:rFonts w:ascii="Arial" w:eastAsia="Calibri" w:hAnsi="Arial" w:cs="Arial"/>
          <w:bCs/>
          <w:i/>
          <w:iCs/>
          <w:sz w:val="24"/>
          <w:szCs w:val="24"/>
        </w:rPr>
        <w:lastRenderedPageBreak/>
        <w:t>garantía constitucional está encaminada a asegurar que las autoridades encargadas de aplicarla lo hagan de manera pronta, completa, gratuita e imparcial, es claro que las autoridades que se encuentran obligadas a la observancia de la totalidad de los derechos que la integran son todas aquellas que realizan actos materialmente jurisdiccionales, es decir, las que en su ámbito de competencia tienen la atribución necesaria para dirimir un conflicto suscitado entre diversos sujetos de derecho, independientemente de que se trate de órganos judiciales, o bien, sólo materialmente jurisdiccionales.”</w:t>
      </w:r>
    </w:p>
    <w:p w14:paraId="0C3C2695" w14:textId="125B3646" w:rsidR="00D33363" w:rsidRPr="00697DC9" w:rsidRDefault="00D33363" w:rsidP="00D33363">
      <w:pPr>
        <w:spacing w:line="360" w:lineRule="auto"/>
        <w:ind w:firstLine="708"/>
        <w:jc w:val="both"/>
        <w:rPr>
          <w:rFonts w:ascii="Arial" w:eastAsia="Calibri" w:hAnsi="Arial"/>
          <w:sz w:val="26"/>
          <w:szCs w:val="26"/>
        </w:rPr>
      </w:pPr>
      <w:r w:rsidRPr="00697DC9">
        <w:rPr>
          <w:rFonts w:ascii="Arial" w:eastAsia="Calibri" w:hAnsi="Arial"/>
          <w:b/>
          <w:sz w:val="26"/>
          <w:szCs w:val="26"/>
        </w:rPr>
        <w:t>Consecuentemente</w:t>
      </w:r>
      <w:r w:rsidRPr="00697DC9">
        <w:rPr>
          <w:rFonts w:ascii="Arial" w:eastAsia="Calibri" w:hAnsi="Arial"/>
          <w:sz w:val="26"/>
          <w:szCs w:val="26"/>
        </w:rPr>
        <w:t xml:space="preserve">, a </w:t>
      </w:r>
      <w:r w:rsidRPr="00697DC9">
        <w:rPr>
          <w:rFonts w:ascii="Arial" w:hAnsi="Arial" w:cs="Arial"/>
          <w:sz w:val="26"/>
          <w:szCs w:val="26"/>
        </w:rPr>
        <w:t xml:space="preserve">fin de reparar el agravio cometido al </w:t>
      </w:r>
      <w:r w:rsidR="00913797" w:rsidRPr="00697DC9">
        <w:rPr>
          <w:rFonts w:ascii="Arial" w:hAnsi="Arial" w:cs="Arial"/>
          <w:sz w:val="26"/>
          <w:szCs w:val="26"/>
        </w:rPr>
        <w:t xml:space="preserve">ahora </w:t>
      </w:r>
      <w:r w:rsidRPr="00697DC9">
        <w:rPr>
          <w:rFonts w:ascii="Arial" w:hAnsi="Arial" w:cs="Arial"/>
          <w:sz w:val="26"/>
          <w:szCs w:val="26"/>
        </w:rPr>
        <w:t xml:space="preserve">recurrente, lo procedente es </w:t>
      </w:r>
      <w:r w:rsidRPr="00697DC9">
        <w:rPr>
          <w:rFonts w:ascii="Arial" w:hAnsi="Arial" w:cs="Arial"/>
          <w:b/>
          <w:sz w:val="26"/>
          <w:szCs w:val="26"/>
        </w:rPr>
        <w:t xml:space="preserve">REVOCAR </w:t>
      </w:r>
      <w:r w:rsidRPr="00697DC9">
        <w:rPr>
          <w:rFonts w:ascii="Arial" w:hAnsi="Arial" w:cs="Arial"/>
          <w:sz w:val="26"/>
          <w:szCs w:val="26"/>
        </w:rPr>
        <w:t xml:space="preserve">la </w:t>
      </w:r>
      <w:r w:rsidR="00913797" w:rsidRPr="00697DC9">
        <w:rPr>
          <w:rFonts w:ascii="Arial" w:hAnsi="Arial" w:cs="Arial"/>
          <w:sz w:val="26"/>
          <w:szCs w:val="26"/>
        </w:rPr>
        <w:t>resolución</w:t>
      </w:r>
      <w:r w:rsidRPr="00697DC9">
        <w:rPr>
          <w:rFonts w:ascii="Arial" w:hAnsi="Arial" w:cs="Arial"/>
          <w:sz w:val="26"/>
          <w:szCs w:val="26"/>
        </w:rPr>
        <w:t xml:space="preserve"> d</w:t>
      </w:r>
      <w:r w:rsidR="00913797" w:rsidRPr="00697DC9">
        <w:rPr>
          <w:rFonts w:ascii="Arial" w:hAnsi="Arial" w:cs="Arial"/>
          <w:sz w:val="26"/>
          <w:szCs w:val="26"/>
        </w:rPr>
        <w:t>e doce de febrero de dos mil veinte</w:t>
      </w:r>
      <w:r w:rsidRPr="00697DC9">
        <w:rPr>
          <w:rFonts w:ascii="Arial" w:hAnsi="Arial" w:cs="Arial"/>
          <w:sz w:val="26"/>
          <w:szCs w:val="26"/>
        </w:rPr>
        <w:t xml:space="preserve">, </w:t>
      </w:r>
      <w:r w:rsidRPr="00697DC9">
        <w:rPr>
          <w:rFonts w:ascii="Arial" w:hAnsi="Arial" w:cs="Arial"/>
          <w:bCs/>
          <w:color w:val="000000"/>
          <w:sz w:val="26"/>
          <w:szCs w:val="26"/>
        </w:rPr>
        <w:t xml:space="preserve">devolviéndose los autos a la Sala de origen, a fin de que </w:t>
      </w:r>
      <w:r w:rsidRPr="00697DC9">
        <w:rPr>
          <w:rFonts w:ascii="Arial" w:hAnsi="Arial" w:cs="Arial"/>
          <w:b/>
          <w:bCs/>
          <w:color w:val="000000"/>
          <w:sz w:val="26"/>
          <w:szCs w:val="26"/>
        </w:rPr>
        <w:t>agote su jurisdicción</w:t>
      </w:r>
      <w:r w:rsidR="00913797" w:rsidRPr="00697DC9">
        <w:rPr>
          <w:rFonts w:ascii="Arial" w:hAnsi="Arial" w:cs="Arial"/>
          <w:bCs/>
          <w:color w:val="000000"/>
          <w:sz w:val="26"/>
          <w:szCs w:val="26"/>
        </w:rPr>
        <w:t xml:space="preserve"> por</w:t>
      </w:r>
      <w:r w:rsidRPr="00697DC9">
        <w:rPr>
          <w:rFonts w:ascii="Arial" w:hAnsi="Arial" w:cs="Arial"/>
          <w:bCs/>
          <w:color w:val="000000"/>
          <w:sz w:val="26"/>
          <w:szCs w:val="26"/>
        </w:rPr>
        <w:t xml:space="preserve"> las consideraciones expuestas por esta Sala Superior, debiendo realizar el estudio del fondo del asunto</w:t>
      </w:r>
      <w:r w:rsidRPr="00697DC9">
        <w:rPr>
          <w:rFonts w:ascii="Arial" w:hAnsi="Arial" w:cs="Arial"/>
          <w:sz w:val="28"/>
          <w:szCs w:val="28"/>
        </w:rPr>
        <w:t xml:space="preserve">, </w:t>
      </w:r>
      <w:r w:rsidRPr="00697DC9">
        <w:rPr>
          <w:rFonts w:ascii="Arial" w:hAnsi="Arial" w:cs="Arial"/>
          <w:sz w:val="26"/>
          <w:szCs w:val="26"/>
        </w:rPr>
        <w:t xml:space="preserve">a fin de resolver sobre las pretensiones planteadas por la parte actora, sin que ello implique reenvío, </w:t>
      </w:r>
      <w:r w:rsidR="00947C97" w:rsidRPr="00697DC9">
        <w:rPr>
          <w:rFonts w:ascii="Arial" w:hAnsi="Arial" w:cs="Arial"/>
          <w:sz w:val="26"/>
          <w:szCs w:val="26"/>
        </w:rPr>
        <w:t xml:space="preserve">en </w:t>
      </w:r>
      <w:r w:rsidRPr="00697DC9">
        <w:rPr>
          <w:rFonts w:ascii="Arial" w:hAnsi="Arial" w:cs="Arial"/>
          <w:sz w:val="26"/>
          <w:szCs w:val="26"/>
        </w:rPr>
        <w:t xml:space="preserve">virtud </w:t>
      </w:r>
      <w:r w:rsidR="00947C97" w:rsidRPr="00697DC9">
        <w:rPr>
          <w:rFonts w:ascii="Arial" w:hAnsi="Arial" w:cs="Arial"/>
          <w:sz w:val="26"/>
          <w:szCs w:val="26"/>
        </w:rPr>
        <w:t>de</w:t>
      </w:r>
      <w:r w:rsidRPr="00697DC9">
        <w:rPr>
          <w:rFonts w:ascii="Arial" w:hAnsi="Arial" w:cs="Arial"/>
          <w:sz w:val="26"/>
          <w:szCs w:val="26"/>
        </w:rPr>
        <w:t xml:space="preserve"> que este órgano revisor no tiene facultades para pronunciarse de un asunto, donde el juzgador de primera instancia no agotó la obligación que le impone la ley para resolver acerca de todas las cuestiones sometidas a su consideración</w:t>
      </w:r>
      <w:r w:rsidRPr="00697DC9">
        <w:rPr>
          <w:rFonts w:ascii="Arial" w:eastAsia="Calibri" w:hAnsi="Arial" w:cs="Arial"/>
          <w:sz w:val="26"/>
          <w:szCs w:val="26"/>
        </w:rPr>
        <w:t xml:space="preserve">, como lo establece el artículo </w:t>
      </w:r>
      <w:r w:rsidR="00CD016E" w:rsidRPr="00697DC9">
        <w:rPr>
          <w:rFonts w:ascii="Arial" w:eastAsia="Calibri" w:hAnsi="Arial" w:cs="Arial"/>
          <w:sz w:val="26"/>
          <w:szCs w:val="26"/>
        </w:rPr>
        <w:t>207,</w:t>
      </w:r>
      <w:r w:rsidRPr="00697DC9">
        <w:rPr>
          <w:rFonts w:ascii="Arial" w:eastAsia="Calibri" w:hAnsi="Arial" w:cs="Arial"/>
          <w:sz w:val="26"/>
          <w:szCs w:val="26"/>
        </w:rPr>
        <w:t xml:space="preserve"> de la Ley de </w:t>
      </w:r>
      <w:r w:rsidR="00CD016E" w:rsidRPr="00697DC9">
        <w:rPr>
          <w:rFonts w:ascii="Arial" w:eastAsia="Calibri" w:hAnsi="Arial" w:cs="Arial"/>
          <w:sz w:val="26"/>
          <w:szCs w:val="26"/>
        </w:rPr>
        <w:t xml:space="preserve">Procedimiento y </w:t>
      </w:r>
      <w:r w:rsidRPr="00697DC9">
        <w:rPr>
          <w:rFonts w:ascii="Arial" w:eastAsia="Calibri" w:hAnsi="Arial" w:cs="Arial"/>
          <w:sz w:val="26"/>
          <w:szCs w:val="26"/>
        </w:rPr>
        <w:t>Justicia Administrativa para el Estado de Oaxaca.</w:t>
      </w:r>
      <w:r w:rsidR="006211B5" w:rsidRPr="00697DC9">
        <w:rPr>
          <w:rFonts w:ascii="Arial" w:eastAsia="Calibri" w:hAnsi="Arial" w:cs="Arial"/>
          <w:sz w:val="26"/>
          <w:szCs w:val="26"/>
        </w:rPr>
        <w:t xml:space="preserve"> - - - - - - - - - - - - - - - - - - - - - - </w:t>
      </w:r>
    </w:p>
    <w:p w14:paraId="7AA0DEE4" w14:textId="68F82DDB" w:rsidR="00D33363" w:rsidRPr="00697DC9" w:rsidRDefault="00D33363" w:rsidP="00CD016E">
      <w:pPr>
        <w:spacing w:line="360" w:lineRule="auto"/>
        <w:ind w:firstLine="708"/>
        <w:jc w:val="both"/>
        <w:rPr>
          <w:rFonts w:ascii="Arial" w:eastAsia="Calibri" w:hAnsi="Arial" w:cs="Arial"/>
          <w:bCs/>
          <w:sz w:val="26"/>
          <w:szCs w:val="26"/>
        </w:rPr>
      </w:pPr>
      <w:bookmarkStart w:id="6" w:name="_Hlk84885183"/>
      <w:r w:rsidRPr="00697DC9">
        <w:rPr>
          <w:rFonts w:ascii="Arial" w:eastAsia="Calibri" w:hAnsi="Arial" w:cs="Arial"/>
          <w:bCs/>
          <w:sz w:val="26"/>
          <w:szCs w:val="26"/>
        </w:rPr>
        <w:t>Tiene aplicación el criterio emitido por la Sala Superior de este Tribunal,</w:t>
      </w:r>
      <w:r w:rsidR="00CD016E" w:rsidRPr="00697DC9">
        <w:rPr>
          <w:rFonts w:ascii="Arial" w:eastAsia="Calibri" w:hAnsi="Arial" w:cs="Arial"/>
          <w:bCs/>
          <w:sz w:val="26"/>
          <w:szCs w:val="26"/>
        </w:rPr>
        <w:t xml:space="preserve"> que dice</w:t>
      </w:r>
      <w:r w:rsidR="00CD016E" w:rsidRPr="00697DC9">
        <w:rPr>
          <w:rStyle w:val="Refdenotaalpie"/>
          <w:rFonts w:ascii="Arial" w:eastAsia="Calibri" w:hAnsi="Arial" w:cs="Arial"/>
          <w:bCs/>
          <w:sz w:val="26"/>
          <w:szCs w:val="26"/>
        </w:rPr>
        <w:footnoteReference w:id="6"/>
      </w:r>
      <w:r w:rsidR="00CD016E" w:rsidRPr="00697DC9">
        <w:rPr>
          <w:rFonts w:ascii="Arial" w:eastAsia="Calibri" w:hAnsi="Arial" w:cs="Arial"/>
          <w:bCs/>
          <w:sz w:val="26"/>
          <w:szCs w:val="26"/>
        </w:rPr>
        <w:t>:</w:t>
      </w:r>
      <w:r w:rsidR="0015354B">
        <w:rPr>
          <w:rFonts w:ascii="Arial" w:eastAsia="Calibri" w:hAnsi="Arial" w:cs="Arial"/>
          <w:bCs/>
          <w:sz w:val="26"/>
          <w:szCs w:val="26"/>
        </w:rPr>
        <w:t xml:space="preserve"> - - - - - - - - - - - - - - - - - - - - - - - - - - - - - - - - - - - - - -</w:t>
      </w:r>
    </w:p>
    <w:p w14:paraId="0893DCF3" w14:textId="77777777" w:rsidR="00D33363" w:rsidRPr="0047051E" w:rsidRDefault="00D33363" w:rsidP="0047051E">
      <w:pPr>
        <w:ind w:left="851" w:right="616"/>
        <w:jc w:val="both"/>
        <w:rPr>
          <w:rFonts w:ascii="Arial" w:hAnsi="Arial" w:cs="Arial"/>
          <w:bCs/>
          <w:i/>
          <w:sz w:val="24"/>
          <w:szCs w:val="24"/>
        </w:rPr>
      </w:pPr>
      <w:r w:rsidRPr="0047051E">
        <w:rPr>
          <w:rFonts w:ascii="Arial" w:hAnsi="Arial" w:cs="Arial"/>
          <w:b/>
          <w:bCs/>
          <w:i/>
          <w:sz w:val="24"/>
          <w:szCs w:val="24"/>
        </w:rPr>
        <w:t xml:space="preserve"> “SENTENCIA PARA EFECTOS. LA SALA SUPERIOR AL RESOLVER EL RECURSO DE REVISIÓN NO PUEDE DICTARLA CUANDO LA PRIMERA INSTANCIA NO AGOTÓ SU JURISDICCIÓN.</w:t>
      </w:r>
      <w:r w:rsidRPr="0047051E">
        <w:rPr>
          <w:rFonts w:ascii="Arial" w:hAnsi="Arial" w:cs="Arial"/>
          <w:bCs/>
          <w:i/>
          <w:sz w:val="24"/>
          <w:szCs w:val="24"/>
        </w:rPr>
        <w:t xml:space="preserve"> Conforme al artículo 177, fracción I, de la ley de Justicia Administrativa, las sentencias que emita este Tribunal deberán contener la fijación clara y precisa de los puntos controvertidos; luego, si la Sala de Primera Instancia, emite una sentencia en la que no se pronuncie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p>
    <w:p w14:paraId="79868AE3" w14:textId="06B4715C" w:rsidR="002416DD" w:rsidRPr="00697DC9" w:rsidRDefault="002416DD" w:rsidP="002416DD">
      <w:pPr>
        <w:spacing w:after="120" w:line="360" w:lineRule="auto"/>
        <w:jc w:val="both"/>
        <w:rPr>
          <w:rFonts w:ascii="Arial" w:hAnsi="Arial" w:cs="Arial"/>
          <w:bCs/>
          <w:sz w:val="24"/>
          <w:szCs w:val="24"/>
        </w:rPr>
      </w:pPr>
      <w:r w:rsidRPr="00697DC9">
        <w:rPr>
          <w:rFonts w:ascii="Arial" w:eastAsia="Calibri" w:hAnsi="Arial" w:cs="Arial"/>
          <w:bCs/>
          <w:sz w:val="26"/>
          <w:szCs w:val="26"/>
        </w:rPr>
        <w:lastRenderedPageBreak/>
        <w:t xml:space="preserve">       </w:t>
      </w:r>
      <w:r w:rsidR="00D33363" w:rsidRPr="00697DC9">
        <w:rPr>
          <w:rFonts w:ascii="Arial" w:eastAsia="Calibri" w:hAnsi="Arial" w:cs="Arial"/>
          <w:bCs/>
          <w:sz w:val="26"/>
          <w:szCs w:val="26"/>
        </w:rPr>
        <w:t xml:space="preserve"> </w:t>
      </w:r>
      <w:r w:rsidRPr="00697DC9">
        <w:rPr>
          <w:rFonts w:ascii="Arial" w:hAnsi="Arial" w:cs="Arial"/>
          <w:bCs/>
          <w:sz w:val="24"/>
          <w:szCs w:val="24"/>
        </w:rPr>
        <w:t>También sirve como orientación la</w:t>
      </w:r>
      <w:r w:rsidR="00CD016E" w:rsidRPr="00697DC9">
        <w:rPr>
          <w:rFonts w:ascii="Arial" w:hAnsi="Arial" w:cs="Arial"/>
          <w:bCs/>
          <w:sz w:val="24"/>
          <w:szCs w:val="24"/>
        </w:rPr>
        <w:t xml:space="preserve"> siguiente</w:t>
      </w:r>
      <w:r w:rsidRPr="00697DC9">
        <w:rPr>
          <w:rFonts w:ascii="Arial" w:hAnsi="Arial" w:cs="Arial"/>
          <w:bCs/>
          <w:sz w:val="24"/>
          <w:szCs w:val="24"/>
        </w:rPr>
        <w:t xml:space="preserve"> Tesis Aislada</w:t>
      </w:r>
      <w:r w:rsidR="00CD016E" w:rsidRPr="00697DC9">
        <w:rPr>
          <w:rStyle w:val="Refdenotaalpie"/>
          <w:rFonts w:ascii="Arial" w:hAnsi="Arial" w:cs="Arial"/>
          <w:bCs/>
          <w:sz w:val="24"/>
          <w:szCs w:val="24"/>
        </w:rPr>
        <w:footnoteReference w:id="7"/>
      </w:r>
      <w:r w:rsidR="00CD016E" w:rsidRPr="00697DC9">
        <w:rPr>
          <w:rFonts w:ascii="Arial" w:hAnsi="Arial" w:cs="Arial"/>
          <w:bCs/>
          <w:sz w:val="24"/>
          <w:szCs w:val="24"/>
        </w:rPr>
        <w:t>:</w:t>
      </w:r>
      <w:r w:rsidR="0047051E">
        <w:rPr>
          <w:rFonts w:ascii="Arial" w:hAnsi="Arial" w:cs="Arial"/>
          <w:bCs/>
          <w:sz w:val="24"/>
          <w:szCs w:val="24"/>
        </w:rPr>
        <w:t xml:space="preserve"> - - - - - - </w:t>
      </w:r>
    </w:p>
    <w:p w14:paraId="398B30DC" w14:textId="6E8DA812" w:rsidR="002416DD" w:rsidRPr="00697DC9" w:rsidRDefault="002416DD" w:rsidP="002416DD">
      <w:pPr>
        <w:widowControl w:val="0"/>
        <w:autoSpaceDE w:val="0"/>
        <w:autoSpaceDN w:val="0"/>
        <w:adjustRightInd w:val="0"/>
        <w:spacing w:after="120"/>
        <w:ind w:left="851" w:right="616"/>
        <w:jc w:val="both"/>
        <w:rPr>
          <w:rFonts w:ascii="Arial" w:eastAsia="Times New Roman" w:hAnsi="Arial" w:cs="Times New Roman"/>
          <w:i/>
          <w:color w:val="000000"/>
          <w:sz w:val="24"/>
          <w:szCs w:val="24"/>
        </w:rPr>
      </w:pPr>
      <w:r w:rsidRPr="00697DC9">
        <w:rPr>
          <w:rFonts w:ascii="Arial" w:eastAsia="Times New Roman" w:hAnsi="Arial" w:cs="Times New Roman"/>
          <w:b/>
          <w:i/>
          <w:color w:val="000000"/>
          <w:sz w:val="24"/>
          <w:szCs w:val="24"/>
        </w:rPr>
        <w:t xml:space="preserve"> “</w:t>
      </w:r>
      <w:r w:rsidR="00947C97" w:rsidRPr="00697DC9">
        <w:rPr>
          <w:rFonts w:ascii="Arial" w:eastAsia="Times New Roman" w:hAnsi="Arial" w:cs="Times New Roman"/>
          <w:b/>
          <w:i/>
          <w:color w:val="000000"/>
          <w:sz w:val="24"/>
          <w:szCs w:val="24"/>
        </w:rPr>
        <w:t>REENVÍO</w:t>
      </w:r>
      <w:r w:rsidRPr="00697DC9">
        <w:rPr>
          <w:rFonts w:ascii="Arial" w:eastAsia="Times New Roman" w:hAnsi="Arial" w:cs="Times New Roman"/>
          <w:b/>
          <w:i/>
          <w:color w:val="000000"/>
          <w:sz w:val="24"/>
          <w:szCs w:val="24"/>
        </w:rPr>
        <w:t xml:space="preserve">. EL TRIBUNAL DE ALZADA NO TIENE FACULTADES PARA FALLAR UN ASUNTO EN QUE EL JUEZ NATURAL AUN NO HA PRONUNCIADO SENTENCIA. </w:t>
      </w:r>
      <w:r w:rsidRPr="00697DC9">
        <w:rPr>
          <w:rFonts w:ascii="Arial" w:eastAsia="Times New Roman" w:hAnsi="Arial" w:cs="Times New Roman"/>
          <w:i/>
          <w:color w:val="000000"/>
          <w:sz w:val="24"/>
          <w:szCs w:val="24"/>
        </w:rPr>
        <w:t>Cuando en la legislación respectiva no se establezca la existencia del reenvío, la facultad de que se encuentra investido el Tribunal de Alzada para resolver un asunto en uso de la plenitud de jurisdicción y para corregir por sí mismo las omisiones o errores cometidos por su inferior, no se actualiza cuando el juez de los autos aún no ha pronunciado sentencia definitiva con la que ponga fin a la instancia, porque en tal situación no está agotada la facultad y la obligación que la ley le refiere al juez natural para fallar el negocio.”</w:t>
      </w:r>
    </w:p>
    <w:bookmarkEnd w:id="6"/>
    <w:p w14:paraId="2BDE2E48" w14:textId="24C55830" w:rsidR="002416DD" w:rsidRPr="00697DC9" w:rsidRDefault="002416DD" w:rsidP="002416DD">
      <w:pPr>
        <w:widowControl w:val="0"/>
        <w:tabs>
          <w:tab w:val="left" w:pos="0"/>
        </w:tabs>
        <w:spacing w:before="240" w:after="0" w:line="360" w:lineRule="auto"/>
        <w:ind w:right="18"/>
        <w:jc w:val="both"/>
        <w:rPr>
          <w:rFonts w:ascii="Arial" w:eastAsiaTheme="minorHAnsi" w:hAnsi="Arial" w:cs="Arial"/>
          <w:sz w:val="26"/>
          <w:szCs w:val="26"/>
        </w:rPr>
      </w:pPr>
      <w:r w:rsidRPr="00697DC9">
        <w:rPr>
          <w:rFonts w:ascii="Arial" w:eastAsia="Calibri" w:hAnsi="Arial" w:cs="Arial"/>
          <w:bCs/>
          <w:sz w:val="26"/>
          <w:szCs w:val="26"/>
        </w:rPr>
        <w:t xml:space="preserve">       Al ser, </w:t>
      </w:r>
      <w:r w:rsidRPr="00697DC9">
        <w:rPr>
          <w:rFonts w:ascii="Arial" w:eastAsia="Calibri" w:hAnsi="Arial" w:cs="Arial"/>
          <w:b/>
          <w:bCs/>
          <w:sz w:val="26"/>
          <w:szCs w:val="26"/>
        </w:rPr>
        <w:t>sustancialmente</w:t>
      </w:r>
      <w:r w:rsidRPr="00697DC9">
        <w:rPr>
          <w:rFonts w:ascii="Arial" w:eastAsia="Calibri" w:hAnsi="Arial" w:cs="Arial"/>
          <w:bCs/>
          <w:sz w:val="26"/>
          <w:szCs w:val="26"/>
        </w:rPr>
        <w:t xml:space="preserve"> </w:t>
      </w:r>
      <w:r w:rsidRPr="00697DC9">
        <w:rPr>
          <w:rFonts w:ascii="Arial" w:eastAsia="Calibri" w:hAnsi="Arial" w:cs="Arial"/>
          <w:b/>
          <w:bCs/>
          <w:sz w:val="26"/>
          <w:szCs w:val="26"/>
        </w:rPr>
        <w:t>fundados</w:t>
      </w:r>
      <w:r w:rsidRPr="00697DC9">
        <w:rPr>
          <w:rFonts w:ascii="Arial" w:eastAsia="Calibri" w:hAnsi="Arial" w:cs="Arial"/>
          <w:bCs/>
          <w:sz w:val="26"/>
          <w:szCs w:val="26"/>
        </w:rPr>
        <w:t xml:space="preserve"> los agravios expuestos por el ahora recurrente, lo procedente es </w:t>
      </w:r>
      <w:r w:rsidRPr="00697DC9">
        <w:rPr>
          <w:rFonts w:ascii="Arial" w:eastAsia="Calibri" w:hAnsi="Arial" w:cs="Arial"/>
          <w:b/>
          <w:bCs/>
          <w:sz w:val="26"/>
          <w:szCs w:val="26"/>
        </w:rPr>
        <w:t xml:space="preserve">REVOCAR </w:t>
      </w:r>
      <w:r w:rsidRPr="00697DC9">
        <w:rPr>
          <w:rFonts w:ascii="Arial" w:eastAsia="Calibri" w:hAnsi="Arial" w:cs="Arial"/>
          <w:bCs/>
          <w:sz w:val="26"/>
          <w:szCs w:val="26"/>
        </w:rPr>
        <w:t xml:space="preserve">la resolución impugnada; y, </w:t>
      </w:r>
      <w:r w:rsidRPr="00697DC9">
        <w:rPr>
          <w:rFonts w:ascii="Arial" w:hAnsi="Arial" w:cs="Arial"/>
          <w:sz w:val="26"/>
          <w:szCs w:val="26"/>
        </w:rPr>
        <w:t>con fundamento en los</w:t>
      </w:r>
      <w:r w:rsidR="00A3716A" w:rsidRPr="00697DC9">
        <w:rPr>
          <w:rFonts w:ascii="Arial" w:hAnsi="Arial" w:cs="Arial"/>
          <w:sz w:val="26"/>
          <w:szCs w:val="26"/>
        </w:rPr>
        <w:t xml:space="preserve"> </w:t>
      </w:r>
      <w:r w:rsidRPr="00697DC9">
        <w:rPr>
          <w:rFonts w:ascii="Arial" w:hAnsi="Arial" w:cs="Arial"/>
          <w:sz w:val="26"/>
          <w:szCs w:val="26"/>
        </w:rPr>
        <w:t>artículos 237 y 238 de la Ley de Procedimiento y Justicia Administrativa para el Estado de Oaxaca, se:</w:t>
      </w:r>
      <w:r w:rsidR="0047051E">
        <w:rPr>
          <w:rFonts w:ascii="Arial" w:hAnsi="Arial" w:cs="Arial"/>
          <w:sz w:val="26"/>
          <w:szCs w:val="26"/>
        </w:rPr>
        <w:t xml:space="preserve"> - - - - - - - - - - - - </w:t>
      </w:r>
    </w:p>
    <w:p w14:paraId="05A24924" w14:textId="77777777" w:rsidR="002416DD" w:rsidRPr="00697DC9" w:rsidRDefault="002416DD" w:rsidP="002416DD">
      <w:pPr>
        <w:pStyle w:val="Sinespaciado"/>
        <w:spacing w:before="240" w:line="360" w:lineRule="auto"/>
        <w:rPr>
          <w:rFonts w:ascii="Arial" w:hAnsi="Arial" w:cs="Arial"/>
          <w:b/>
          <w:sz w:val="24"/>
          <w:szCs w:val="24"/>
        </w:rPr>
      </w:pPr>
      <w:r w:rsidRPr="00697DC9">
        <w:rPr>
          <w:rFonts w:ascii="Arial" w:hAnsi="Arial" w:cs="Arial"/>
          <w:b/>
          <w:sz w:val="24"/>
          <w:szCs w:val="24"/>
        </w:rPr>
        <w:t xml:space="preserve">                                                        R E S U E L V E</w:t>
      </w:r>
    </w:p>
    <w:p w14:paraId="06FFD818" w14:textId="41D4FB56" w:rsidR="00B17644" w:rsidRDefault="002416DD" w:rsidP="002416DD">
      <w:pPr>
        <w:spacing w:after="0" w:line="360" w:lineRule="auto"/>
        <w:ind w:right="49" w:firstLine="567"/>
        <w:jc w:val="both"/>
        <w:rPr>
          <w:rFonts w:ascii="Arial" w:hAnsi="Arial" w:cs="Arial"/>
          <w:color w:val="000000"/>
          <w:sz w:val="26"/>
          <w:szCs w:val="26"/>
        </w:rPr>
      </w:pPr>
      <w:r w:rsidRPr="00697DC9">
        <w:rPr>
          <w:rFonts w:ascii="Arial" w:hAnsi="Arial" w:cs="Arial"/>
          <w:b/>
          <w:sz w:val="26"/>
          <w:szCs w:val="26"/>
        </w:rPr>
        <w:t>PRIMERO.</w:t>
      </w:r>
      <w:r w:rsidRPr="00697DC9">
        <w:rPr>
          <w:rFonts w:ascii="Arial" w:hAnsi="Arial" w:cs="Arial"/>
          <w:sz w:val="26"/>
          <w:szCs w:val="26"/>
        </w:rPr>
        <w:t xml:space="preserve"> </w:t>
      </w:r>
      <w:r w:rsidRPr="00697DC9">
        <w:rPr>
          <w:rFonts w:ascii="Arial" w:hAnsi="Arial" w:cs="Arial"/>
          <w:color w:val="000000"/>
          <w:sz w:val="26"/>
          <w:szCs w:val="26"/>
        </w:rPr>
        <w:t xml:space="preserve">Se </w:t>
      </w:r>
      <w:r w:rsidRPr="00697DC9">
        <w:rPr>
          <w:rFonts w:ascii="Arial" w:hAnsi="Arial" w:cs="Arial"/>
          <w:b/>
          <w:color w:val="000000"/>
          <w:sz w:val="26"/>
          <w:szCs w:val="26"/>
        </w:rPr>
        <w:t xml:space="preserve">REVOCA </w:t>
      </w:r>
      <w:r w:rsidRPr="00697DC9">
        <w:rPr>
          <w:rFonts w:ascii="Arial" w:hAnsi="Arial" w:cs="Arial"/>
          <w:color w:val="000000"/>
          <w:sz w:val="26"/>
          <w:szCs w:val="26"/>
        </w:rPr>
        <w:t>la resolución recurrida de fecha doce de febrero de dos mil veinte, para que se devuelvan</w:t>
      </w:r>
      <w:r w:rsidRPr="00697DC9">
        <w:rPr>
          <w:rFonts w:ascii="Arial" w:hAnsi="Arial" w:cs="Arial"/>
          <w:bCs/>
          <w:color w:val="000000"/>
          <w:sz w:val="26"/>
          <w:szCs w:val="26"/>
        </w:rPr>
        <w:t xml:space="preserve"> los autos a la Sala de origen a fin de que </w:t>
      </w:r>
      <w:r w:rsidRPr="00697DC9">
        <w:rPr>
          <w:rFonts w:ascii="Arial" w:hAnsi="Arial" w:cs="Arial"/>
          <w:b/>
          <w:bCs/>
          <w:color w:val="000000"/>
          <w:sz w:val="26"/>
          <w:szCs w:val="26"/>
        </w:rPr>
        <w:t>agote su jurisdicción,</w:t>
      </w:r>
      <w:r w:rsidRPr="00697DC9">
        <w:rPr>
          <w:rFonts w:ascii="Arial" w:hAnsi="Arial" w:cs="Arial"/>
          <w:color w:val="000000"/>
          <w:sz w:val="26"/>
          <w:szCs w:val="26"/>
        </w:rPr>
        <w:t xml:space="preserve"> por las razones expuestas en esta resolución. </w:t>
      </w:r>
      <w:r w:rsidR="006211B5" w:rsidRPr="00697DC9">
        <w:rPr>
          <w:rFonts w:ascii="Arial" w:hAnsi="Arial" w:cs="Arial"/>
          <w:color w:val="000000"/>
          <w:sz w:val="26"/>
          <w:szCs w:val="26"/>
        </w:rPr>
        <w:t>- - - - - - - -  - - - -  - - - - -  - - - -  - - -  - - -  - - - - - -  - -</w:t>
      </w:r>
    </w:p>
    <w:p w14:paraId="22BADA2D" w14:textId="77777777" w:rsidR="0047051E" w:rsidRPr="00697DC9" w:rsidRDefault="0047051E" w:rsidP="0047051E">
      <w:pPr>
        <w:pStyle w:val="Sinespaciado"/>
      </w:pPr>
    </w:p>
    <w:p w14:paraId="63617230" w14:textId="3002AD96" w:rsidR="00B17644" w:rsidRPr="00697DC9" w:rsidRDefault="00571114" w:rsidP="00422629">
      <w:pPr>
        <w:spacing w:after="0" w:line="360" w:lineRule="auto"/>
        <w:ind w:right="51"/>
        <w:jc w:val="both"/>
        <w:rPr>
          <w:rFonts w:ascii="Arial" w:eastAsia="Calibri" w:hAnsi="Arial" w:cs="Arial"/>
          <w:b/>
          <w:sz w:val="26"/>
          <w:szCs w:val="26"/>
        </w:rPr>
      </w:pPr>
      <w:r w:rsidRPr="00697DC9">
        <w:rPr>
          <w:rFonts w:ascii="Arial" w:hAnsi="Arial" w:cs="Arial"/>
          <w:sz w:val="26"/>
          <w:szCs w:val="26"/>
        </w:rPr>
        <w:t xml:space="preserve"> </w:t>
      </w:r>
      <w:r w:rsidR="00A3716A" w:rsidRPr="00697DC9">
        <w:rPr>
          <w:rFonts w:ascii="Arial" w:hAnsi="Arial" w:cs="Arial"/>
          <w:sz w:val="26"/>
          <w:szCs w:val="26"/>
        </w:rPr>
        <w:t xml:space="preserve">      </w:t>
      </w:r>
      <w:r w:rsidRPr="00697DC9">
        <w:rPr>
          <w:rFonts w:ascii="Arial" w:eastAsia="Calibri" w:hAnsi="Arial" w:cs="Arial"/>
          <w:b/>
          <w:sz w:val="26"/>
          <w:szCs w:val="26"/>
        </w:rPr>
        <w:t>SEGUNDO.</w:t>
      </w:r>
      <w:r w:rsidR="002416DD" w:rsidRPr="00697DC9">
        <w:rPr>
          <w:rFonts w:ascii="Arial" w:eastAsia="Calibri" w:hAnsi="Arial" w:cs="Arial"/>
          <w:b/>
          <w:sz w:val="26"/>
          <w:szCs w:val="26"/>
        </w:rPr>
        <w:t xml:space="preserve"> </w:t>
      </w:r>
      <w:r w:rsidRPr="00697DC9">
        <w:rPr>
          <w:rFonts w:ascii="Arial" w:hAnsi="Arial" w:cs="Arial"/>
          <w:b/>
          <w:sz w:val="26"/>
          <w:szCs w:val="26"/>
        </w:rPr>
        <w:t xml:space="preserve">NOTIFÍQUESE Y CÚMPLASE, </w:t>
      </w:r>
      <w:r w:rsidRPr="00697DC9">
        <w:rPr>
          <w:rFonts w:ascii="Arial" w:hAnsi="Arial" w:cs="Arial"/>
          <w:sz w:val="26"/>
          <w:szCs w:val="26"/>
        </w:rPr>
        <w:t xml:space="preserve">remítase copia certificada de la presente resolución a la </w:t>
      </w:r>
      <w:r w:rsidR="002416DD" w:rsidRPr="00697DC9">
        <w:rPr>
          <w:rFonts w:ascii="Arial" w:hAnsi="Arial" w:cs="Arial"/>
          <w:sz w:val="26"/>
          <w:szCs w:val="26"/>
        </w:rPr>
        <w:t>Cuart</w:t>
      </w:r>
      <w:r w:rsidR="00FF5D9A" w:rsidRPr="00697DC9">
        <w:rPr>
          <w:rFonts w:ascii="Arial" w:hAnsi="Arial" w:cs="Arial"/>
          <w:sz w:val="26"/>
          <w:szCs w:val="26"/>
        </w:rPr>
        <w:t>a</w:t>
      </w:r>
      <w:r w:rsidRPr="00697DC9">
        <w:rPr>
          <w:rFonts w:ascii="Arial" w:hAnsi="Arial" w:cs="Arial"/>
          <w:sz w:val="26"/>
          <w:szCs w:val="26"/>
        </w:rPr>
        <w:t xml:space="preserve"> Sala Unitaria de Primera Instancia de este Tribunal y en su oportunidad archívese el presente cuaderno de revisión como asunto </w:t>
      </w:r>
      <w:r w:rsidR="00E31B6C" w:rsidRPr="00697DC9">
        <w:rPr>
          <w:rFonts w:ascii="Arial" w:hAnsi="Arial" w:cs="Arial"/>
          <w:sz w:val="26"/>
          <w:szCs w:val="26"/>
        </w:rPr>
        <w:t xml:space="preserve">concluido. </w:t>
      </w:r>
      <w:r w:rsidR="00A3716A" w:rsidRPr="00697DC9">
        <w:rPr>
          <w:rFonts w:ascii="Arial" w:hAnsi="Arial" w:cs="Arial"/>
          <w:sz w:val="26"/>
          <w:szCs w:val="26"/>
        </w:rPr>
        <w:t>- - - - - - - - - - - - - - - - - - -</w:t>
      </w:r>
    </w:p>
    <w:p w14:paraId="32F4AB10" w14:textId="5CBC55EB" w:rsidR="00825682" w:rsidRDefault="00825682" w:rsidP="00825682">
      <w:pPr>
        <w:widowControl w:val="0"/>
        <w:tabs>
          <w:tab w:val="left" w:pos="7938"/>
          <w:tab w:val="left" w:pos="8222"/>
        </w:tabs>
        <w:spacing w:before="120" w:after="100" w:afterAutospacing="1" w:line="360" w:lineRule="auto"/>
        <w:ind w:right="49"/>
        <w:jc w:val="both"/>
        <w:rPr>
          <w:rFonts w:ascii="Arial" w:hAnsi="Arial" w:cs="Arial"/>
          <w:sz w:val="26"/>
          <w:szCs w:val="26"/>
        </w:rPr>
      </w:pPr>
      <w:r>
        <w:rPr>
          <w:rFonts w:ascii="Arial" w:eastAsia="Calibri" w:hAnsi="Arial" w:cs="Arial"/>
          <w:sz w:val="26"/>
          <w:szCs w:val="26"/>
        </w:rPr>
        <w:t xml:space="preserve">       Así por unanimidad de votos, lo resolvieron y firmaron </w:t>
      </w:r>
      <w:r>
        <w:rPr>
          <w:rFonts w:ascii="Arial" w:hAnsi="Arial" w:cs="Arial"/>
          <w:sz w:val="26"/>
          <w:szCs w:val="26"/>
        </w:rPr>
        <w:t xml:space="preserve">los Magistrados integrantes de la Sala Superior, Manuel Velasco Alcántara, Abraham Santiago Soriano </w:t>
      </w:r>
      <w:r>
        <w:rPr>
          <w:rFonts w:ascii="Arial" w:hAnsi="Arial" w:cs="Arial"/>
          <w:b/>
          <w:bCs/>
          <w:sz w:val="26"/>
          <w:szCs w:val="26"/>
        </w:rPr>
        <w:t>(ponente)</w:t>
      </w:r>
      <w:r>
        <w:rPr>
          <w:rFonts w:ascii="Arial" w:hAnsi="Arial" w:cs="Arial"/>
          <w:sz w:val="26"/>
          <w:szCs w:val="26"/>
        </w:rPr>
        <w:t xml:space="preserve">, Raúl Palomares Palomino, Gloria del Carmen Camacho Meza y Paulo José Luis Tapia Palacios, quienes actúan con el Licenciado Juan Edy García Coronado, Secretario General de Acuerdos de este Tribunal, que autoriza y da fe. </w:t>
      </w:r>
    </w:p>
    <w:p w14:paraId="6F53415A" w14:textId="77777777" w:rsidR="00825682" w:rsidRDefault="00825682" w:rsidP="00825682">
      <w:pPr>
        <w:spacing w:after="0" w:line="240" w:lineRule="auto"/>
        <w:rPr>
          <w:rFonts w:ascii="Arial" w:eastAsia="Times New Roman" w:hAnsi="Arial" w:cs="Arial"/>
          <w:sz w:val="26"/>
          <w:szCs w:val="26"/>
        </w:rPr>
      </w:pPr>
    </w:p>
    <w:p w14:paraId="67FF10E7" w14:textId="77777777" w:rsidR="00825682" w:rsidRDefault="00825682" w:rsidP="00E2792F">
      <w:pPr>
        <w:spacing w:after="0" w:line="240" w:lineRule="auto"/>
        <w:jc w:val="center"/>
        <w:rPr>
          <w:rFonts w:ascii="Arial" w:eastAsia="Times New Roman" w:hAnsi="Arial" w:cs="Arial"/>
          <w:sz w:val="26"/>
          <w:szCs w:val="26"/>
        </w:rPr>
      </w:pPr>
    </w:p>
    <w:p w14:paraId="52AB5978" w14:textId="77777777" w:rsidR="00825682" w:rsidRDefault="00825682" w:rsidP="00E2792F">
      <w:pPr>
        <w:spacing w:after="0" w:line="240" w:lineRule="auto"/>
        <w:jc w:val="center"/>
        <w:rPr>
          <w:rFonts w:ascii="Arial" w:eastAsiaTheme="minorHAnsi" w:hAnsi="Arial" w:cs="Arial"/>
          <w:b/>
          <w:sz w:val="14"/>
          <w:szCs w:val="26"/>
        </w:rPr>
      </w:pPr>
      <w:r>
        <w:rPr>
          <w:rFonts w:ascii="Arial" w:eastAsia="Times New Roman" w:hAnsi="Arial" w:cs="Arial"/>
          <w:sz w:val="26"/>
          <w:szCs w:val="26"/>
        </w:rPr>
        <w:t>MAGISTRADO MANUEL VELASCO ALCÁNTARA</w:t>
      </w:r>
    </w:p>
    <w:p w14:paraId="12943167" w14:textId="77777777" w:rsidR="00825682" w:rsidRDefault="00825682" w:rsidP="00E2792F">
      <w:pPr>
        <w:spacing w:after="0" w:line="240" w:lineRule="auto"/>
        <w:ind w:firstLine="567"/>
        <w:jc w:val="center"/>
        <w:rPr>
          <w:rFonts w:ascii="Arial" w:hAnsi="Arial" w:cs="Arial"/>
          <w:sz w:val="26"/>
          <w:szCs w:val="26"/>
        </w:rPr>
      </w:pPr>
      <w:r>
        <w:rPr>
          <w:rFonts w:ascii="Arial" w:hAnsi="Arial" w:cs="Arial"/>
          <w:sz w:val="26"/>
          <w:szCs w:val="26"/>
        </w:rPr>
        <w:t>PRESIDENTE</w:t>
      </w:r>
    </w:p>
    <w:p w14:paraId="5A3809F8" w14:textId="2B117AEB" w:rsidR="00825682" w:rsidRPr="00530247" w:rsidRDefault="00530247" w:rsidP="00825682">
      <w:pPr>
        <w:jc w:val="center"/>
        <w:rPr>
          <w:rFonts w:ascii="Arial" w:eastAsiaTheme="minorHAnsi" w:hAnsi="Arial" w:cs="Arial"/>
          <w:b/>
          <w:bCs/>
          <w:sz w:val="20"/>
          <w:szCs w:val="20"/>
          <w:lang w:eastAsia="en-US"/>
        </w:rPr>
      </w:pPr>
      <w:r w:rsidRPr="00530247">
        <w:rPr>
          <w:rFonts w:ascii="Arial" w:eastAsiaTheme="minorHAnsi" w:hAnsi="Arial" w:cs="Arial"/>
          <w:b/>
          <w:bCs/>
          <w:sz w:val="20"/>
          <w:szCs w:val="20"/>
          <w:lang w:eastAsia="en-US"/>
        </w:rPr>
        <w:t>LAS PRESENTES FIRMAS CORRESPONDEN AL RECURSO DE REVISIÓN 0163/2020.</w:t>
      </w:r>
    </w:p>
    <w:p w14:paraId="32E348DC" w14:textId="77777777" w:rsidR="00825682" w:rsidRDefault="00825682" w:rsidP="00825682">
      <w:pPr>
        <w:rPr>
          <w:rFonts w:ascii="Arial" w:hAnsi="Arial" w:cs="Arial"/>
          <w:sz w:val="26"/>
          <w:szCs w:val="26"/>
        </w:rPr>
      </w:pPr>
    </w:p>
    <w:p w14:paraId="546EEAA0" w14:textId="58A54D08" w:rsidR="00825682" w:rsidRDefault="00825682" w:rsidP="00825682">
      <w:pPr>
        <w:rPr>
          <w:rFonts w:ascii="Arial" w:hAnsi="Arial" w:cs="Arial"/>
          <w:sz w:val="26"/>
          <w:szCs w:val="26"/>
        </w:rPr>
      </w:pPr>
    </w:p>
    <w:p w14:paraId="58890691" w14:textId="77777777" w:rsidR="00530247" w:rsidRDefault="00530247" w:rsidP="00825682">
      <w:pPr>
        <w:rPr>
          <w:rFonts w:ascii="Arial" w:hAnsi="Arial" w:cs="Arial"/>
          <w:sz w:val="26"/>
          <w:szCs w:val="26"/>
        </w:rPr>
      </w:pPr>
    </w:p>
    <w:p w14:paraId="3E2BD9A3" w14:textId="77777777" w:rsidR="00825682" w:rsidRDefault="00825682" w:rsidP="00825682">
      <w:pPr>
        <w:jc w:val="center"/>
        <w:rPr>
          <w:rFonts w:ascii="Arial" w:hAnsi="Arial" w:cs="Arial"/>
          <w:sz w:val="26"/>
          <w:szCs w:val="26"/>
        </w:rPr>
      </w:pPr>
    </w:p>
    <w:p w14:paraId="33491011" w14:textId="77777777" w:rsidR="00825682" w:rsidRDefault="00825682" w:rsidP="00825682">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14FA2B74" w14:textId="77777777" w:rsidR="00825682" w:rsidRDefault="00825682" w:rsidP="00825682">
      <w:pPr>
        <w:rPr>
          <w:rFonts w:ascii="Arial" w:hAnsi="Arial" w:cs="Arial"/>
          <w:sz w:val="26"/>
          <w:szCs w:val="26"/>
        </w:rPr>
      </w:pPr>
    </w:p>
    <w:p w14:paraId="5C61BB5C" w14:textId="77777777" w:rsidR="00825682" w:rsidRDefault="00825682" w:rsidP="00825682">
      <w:pPr>
        <w:rPr>
          <w:rFonts w:ascii="Arial" w:hAnsi="Arial" w:cs="Arial"/>
          <w:sz w:val="26"/>
          <w:szCs w:val="26"/>
        </w:rPr>
      </w:pPr>
    </w:p>
    <w:p w14:paraId="2C5D976F" w14:textId="77777777" w:rsidR="00825682" w:rsidRDefault="00825682" w:rsidP="00825682">
      <w:pPr>
        <w:rPr>
          <w:rFonts w:ascii="Arial" w:hAnsi="Arial" w:cs="Arial"/>
          <w:sz w:val="26"/>
          <w:szCs w:val="26"/>
        </w:rPr>
      </w:pPr>
    </w:p>
    <w:p w14:paraId="1D873D17" w14:textId="77777777" w:rsidR="00825682" w:rsidRDefault="00825682" w:rsidP="00825682">
      <w:pPr>
        <w:rPr>
          <w:rFonts w:ascii="Arial" w:hAnsi="Arial" w:cs="Arial"/>
          <w:sz w:val="26"/>
          <w:szCs w:val="26"/>
        </w:rPr>
      </w:pPr>
    </w:p>
    <w:p w14:paraId="683F64EF" w14:textId="77777777" w:rsidR="00825682" w:rsidRDefault="00825682" w:rsidP="00825682">
      <w:pPr>
        <w:rPr>
          <w:rFonts w:ascii="Arial" w:hAnsi="Arial" w:cs="Arial"/>
          <w:sz w:val="26"/>
          <w:szCs w:val="26"/>
        </w:rPr>
      </w:pPr>
      <w:r>
        <w:rPr>
          <w:rFonts w:ascii="Arial" w:hAnsi="Arial" w:cs="Arial"/>
          <w:sz w:val="26"/>
          <w:szCs w:val="26"/>
        </w:rPr>
        <w:t xml:space="preserve">                   MAGISTRADO RAÚL PALOMARES PALOMINO</w:t>
      </w:r>
    </w:p>
    <w:p w14:paraId="63100CE6" w14:textId="77777777" w:rsidR="00825682" w:rsidRDefault="00825682" w:rsidP="00825682">
      <w:pPr>
        <w:rPr>
          <w:rFonts w:ascii="Arial" w:hAnsi="Arial" w:cs="Arial"/>
          <w:sz w:val="26"/>
          <w:szCs w:val="26"/>
        </w:rPr>
      </w:pPr>
    </w:p>
    <w:p w14:paraId="79CBB8DB" w14:textId="77777777" w:rsidR="00825682" w:rsidRDefault="00825682" w:rsidP="00825682">
      <w:pPr>
        <w:rPr>
          <w:rFonts w:ascii="Arial" w:hAnsi="Arial" w:cs="Arial"/>
          <w:sz w:val="26"/>
          <w:szCs w:val="26"/>
        </w:rPr>
      </w:pPr>
    </w:p>
    <w:p w14:paraId="177F9994" w14:textId="77777777" w:rsidR="00825682" w:rsidRDefault="00825682" w:rsidP="00825682">
      <w:pPr>
        <w:rPr>
          <w:rFonts w:ascii="Arial" w:hAnsi="Arial" w:cs="Arial"/>
          <w:sz w:val="26"/>
          <w:szCs w:val="26"/>
        </w:rPr>
      </w:pPr>
    </w:p>
    <w:p w14:paraId="15338B86" w14:textId="77777777" w:rsidR="00825682" w:rsidRDefault="00825682" w:rsidP="00825682">
      <w:pPr>
        <w:rPr>
          <w:rFonts w:ascii="Arial" w:hAnsi="Arial" w:cs="Arial"/>
          <w:b/>
          <w:bCs/>
          <w:sz w:val="20"/>
          <w:szCs w:val="20"/>
        </w:rPr>
      </w:pPr>
    </w:p>
    <w:p w14:paraId="757C5577" w14:textId="77777777" w:rsidR="00825682" w:rsidRDefault="00825682" w:rsidP="00825682">
      <w:pPr>
        <w:jc w:val="center"/>
        <w:rPr>
          <w:rFonts w:ascii="Arial" w:hAnsi="Arial" w:cs="Arial"/>
          <w:sz w:val="26"/>
          <w:szCs w:val="26"/>
        </w:rPr>
      </w:pPr>
      <w:r>
        <w:rPr>
          <w:rFonts w:ascii="Arial" w:hAnsi="Arial" w:cs="Arial"/>
          <w:sz w:val="26"/>
          <w:szCs w:val="26"/>
        </w:rPr>
        <w:t>MAGISTRADA GLORIA DEL CARMEN CAMACHO MEZA</w:t>
      </w:r>
    </w:p>
    <w:p w14:paraId="3DE7A281" w14:textId="77777777" w:rsidR="00825682" w:rsidRDefault="00825682" w:rsidP="00825682">
      <w:pPr>
        <w:rPr>
          <w:rFonts w:ascii="Arial" w:hAnsi="Arial" w:cs="Arial"/>
          <w:sz w:val="26"/>
          <w:szCs w:val="26"/>
        </w:rPr>
      </w:pPr>
    </w:p>
    <w:p w14:paraId="7A51F478" w14:textId="720C028F" w:rsidR="00825682" w:rsidRDefault="00825682" w:rsidP="00825682">
      <w:pPr>
        <w:rPr>
          <w:rFonts w:ascii="Arial" w:hAnsi="Arial" w:cs="Arial"/>
          <w:sz w:val="26"/>
          <w:szCs w:val="26"/>
        </w:rPr>
      </w:pPr>
    </w:p>
    <w:p w14:paraId="51CB19B1" w14:textId="77777777" w:rsidR="00530247" w:rsidRDefault="00530247" w:rsidP="00825682">
      <w:pPr>
        <w:rPr>
          <w:rFonts w:ascii="Arial" w:hAnsi="Arial" w:cs="Arial"/>
          <w:sz w:val="26"/>
          <w:szCs w:val="26"/>
        </w:rPr>
      </w:pPr>
    </w:p>
    <w:p w14:paraId="351C95FB" w14:textId="77777777" w:rsidR="00825682" w:rsidRDefault="00825682" w:rsidP="00825682">
      <w:pPr>
        <w:rPr>
          <w:rFonts w:ascii="Arial" w:hAnsi="Arial" w:cs="Arial"/>
          <w:sz w:val="26"/>
          <w:szCs w:val="26"/>
        </w:rPr>
      </w:pPr>
    </w:p>
    <w:p w14:paraId="24B297BA" w14:textId="77777777" w:rsidR="00825682" w:rsidRDefault="00825682" w:rsidP="00825682">
      <w:pPr>
        <w:tabs>
          <w:tab w:val="left" w:pos="1680"/>
          <w:tab w:val="center" w:pos="4277"/>
        </w:tabs>
        <w:spacing w:line="360" w:lineRule="auto"/>
        <w:rPr>
          <w:rFonts w:ascii="Arial" w:hAnsi="Arial" w:cs="Arial"/>
          <w:b/>
          <w:bCs/>
          <w:sz w:val="18"/>
          <w:szCs w:val="18"/>
        </w:rPr>
      </w:pPr>
    </w:p>
    <w:p w14:paraId="7273705E" w14:textId="77777777" w:rsidR="00825682" w:rsidRDefault="00825682" w:rsidP="00825682">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51AAB005" w14:textId="1BCDE0A3" w:rsidR="00825682" w:rsidRDefault="00825682" w:rsidP="00825682">
      <w:pPr>
        <w:tabs>
          <w:tab w:val="left" w:pos="1680"/>
          <w:tab w:val="center" w:pos="4277"/>
        </w:tabs>
        <w:spacing w:line="360" w:lineRule="auto"/>
        <w:rPr>
          <w:rFonts w:ascii="Arial" w:hAnsi="Arial" w:cs="Arial"/>
          <w:sz w:val="26"/>
          <w:szCs w:val="26"/>
        </w:rPr>
      </w:pPr>
    </w:p>
    <w:p w14:paraId="442F9FA3" w14:textId="77777777" w:rsidR="00530247" w:rsidRDefault="00530247" w:rsidP="00825682">
      <w:pPr>
        <w:tabs>
          <w:tab w:val="left" w:pos="1680"/>
          <w:tab w:val="center" w:pos="4277"/>
        </w:tabs>
        <w:spacing w:line="360" w:lineRule="auto"/>
        <w:rPr>
          <w:rFonts w:ascii="Arial" w:hAnsi="Arial" w:cs="Arial"/>
          <w:sz w:val="26"/>
          <w:szCs w:val="26"/>
        </w:rPr>
      </w:pPr>
    </w:p>
    <w:p w14:paraId="1C2FA2FC" w14:textId="77777777" w:rsidR="00825682" w:rsidRDefault="00825682" w:rsidP="00825682">
      <w:pPr>
        <w:tabs>
          <w:tab w:val="left" w:pos="1680"/>
          <w:tab w:val="center" w:pos="4277"/>
        </w:tabs>
        <w:spacing w:line="360" w:lineRule="auto"/>
        <w:jc w:val="center"/>
        <w:rPr>
          <w:rFonts w:ascii="Arial" w:hAnsi="Arial" w:cs="Arial"/>
          <w:sz w:val="26"/>
          <w:szCs w:val="26"/>
        </w:rPr>
      </w:pPr>
    </w:p>
    <w:p w14:paraId="6A8C57FD" w14:textId="77777777" w:rsidR="00825682" w:rsidRDefault="00825682" w:rsidP="00825682">
      <w:pPr>
        <w:spacing w:after="0" w:line="240" w:lineRule="auto"/>
        <w:jc w:val="center"/>
        <w:rPr>
          <w:rFonts w:ascii="Arial" w:hAnsi="Arial" w:cs="Arial"/>
          <w:sz w:val="26"/>
          <w:szCs w:val="26"/>
        </w:rPr>
      </w:pPr>
      <w:r>
        <w:rPr>
          <w:rFonts w:ascii="Arial" w:hAnsi="Arial" w:cs="Arial"/>
          <w:sz w:val="26"/>
          <w:szCs w:val="26"/>
        </w:rPr>
        <w:t>LICENCIADO JUAN EDY GARCÍA CORONADO.</w:t>
      </w:r>
    </w:p>
    <w:p w14:paraId="251878D4" w14:textId="77777777" w:rsidR="00825682" w:rsidRDefault="00825682" w:rsidP="00825682">
      <w:pPr>
        <w:spacing w:after="0" w:line="240" w:lineRule="auto"/>
        <w:jc w:val="center"/>
      </w:pPr>
      <w:r>
        <w:rPr>
          <w:rFonts w:ascii="Arial" w:hAnsi="Arial" w:cs="Arial"/>
          <w:sz w:val="26"/>
          <w:szCs w:val="26"/>
        </w:rPr>
        <w:t>SECRETARIO GENERAL DE ACUERDOS</w:t>
      </w:r>
    </w:p>
    <w:p w14:paraId="36E0106B" w14:textId="77777777" w:rsidR="00825682" w:rsidRDefault="00825682" w:rsidP="00825682">
      <w:r>
        <w:t xml:space="preserve"> </w:t>
      </w:r>
    </w:p>
    <w:p w14:paraId="50453FE0" w14:textId="47410B9E" w:rsidR="00BA258A" w:rsidRPr="000338EE" w:rsidRDefault="00AA7F37" w:rsidP="000338EE">
      <w:pPr>
        <w:rPr>
          <w:lang w:val="es-ES"/>
        </w:rPr>
      </w:pPr>
      <w:r>
        <w:tab/>
        <w:t xml:space="preserve">  </w:t>
      </w:r>
    </w:p>
    <w:sectPr w:rsidR="00BA258A" w:rsidRPr="000338EE" w:rsidSect="00C14A4F">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C690E" w14:textId="77777777" w:rsidR="00247651" w:rsidRDefault="00247651">
      <w:pPr>
        <w:spacing w:after="0" w:line="240" w:lineRule="auto"/>
      </w:pPr>
      <w:r>
        <w:separator/>
      </w:r>
    </w:p>
  </w:endnote>
  <w:endnote w:type="continuationSeparator" w:id="0">
    <w:p w14:paraId="45D45290" w14:textId="77777777" w:rsidR="00247651" w:rsidRDefault="00247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C8163F" w:rsidRDefault="00C8163F">
    <w:pPr>
      <w:pStyle w:val="Piedepgina"/>
      <w:jc w:val="center"/>
    </w:pPr>
  </w:p>
  <w:p w14:paraId="195FF414" w14:textId="77777777" w:rsidR="00C8163F" w:rsidRDefault="00C8163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A80625" w14:textId="77777777" w:rsidR="00247651" w:rsidRDefault="00247651">
      <w:pPr>
        <w:spacing w:after="0" w:line="240" w:lineRule="auto"/>
      </w:pPr>
      <w:r>
        <w:separator/>
      </w:r>
    </w:p>
  </w:footnote>
  <w:footnote w:type="continuationSeparator" w:id="0">
    <w:p w14:paraId="72D6FA8C" w14:textId="77777777" w:rsidR="00247651" w:rsidRDefault="00247651">
      <w:pPr>
        <w:spacing w:after="0" w:line="240" w:lineRule="auto"/>
      </w:pPr>
      <w:r>
        <w:continuationSeparator/>
      </w:r>
    </w:p>
  </w:footnote>
  <w:footnote w:id="1">
    <w:p w14:paraId="2C2A9AC2" w14:textId="77777777" w:rsidR="001913C4" w:rsidRDefault="001913C4" w:rsidP="001913C4">
      <w:pPr>
        <w:pStyle w:val="Textonotapie"/>
        <w:jc w:val="both"/>
      </w:pPr>
      <w:r>
        <w:rPr>
          <w:rStyle w:val="Refdenotaalpie"/>
        </w:rPr>
        <w:footnoteRef/>
      </w:r>
      <w:r>
        <w:t xml:space="preserve"> </w:t>
      </w:r>
      <w:r w:rsidRPr="00880F28">
        <w:t xml:space="preserve"> 2a./J. 58/2010 emitida por la Segunda Sala de la Suprema Corte de Justicia de la Nación, con número de registro 164618, publicada en la Gaceta del Semanario Judicial de la Federación, Tomo XXXI, Mayo de 2010, visible a página 830, Novena Época</w:t>
      </w:r>
      <w:r>
        <w:t>.</w:t>
      </w:r>
    </w:p>
  </w:footnote>
  <w:footnote w:id="2">
    <w:p w14:paraId="11CDBB06" w14:textId="2A9F4D2F" w:rsidR="001913C4" w:rsidRDefault="001913C4" w:rsidP="001913C4">
      <w:pPr>
        <w:pStyle w:val="Textonotapie"/>
        <w:jc w:val="both"/>
      </w:pPr>
      <w:r>
        <w:rPr>
          <w:rStyle w:val="Refdenotaalpie"/>
        </w:rPr>
        <w:footnoteRef/>
      </w:r>
      <w:r>
        <w:t xml:space="preserve"> </w:t>
      </w:r>
      <w:r w:rsidRPr="001913C4">
        <w:t>I.14o.C.55 C, emitida por los Tribunales Colegiados de Circuito, publicada en el Tomo XXVIII, Octubre de 2008, página 2393, Novena Época, del Semanario Judicial de la Federación y su Gaceta, con registro digital 168595</w:t>
      </w:r>
      <w:r>
        <w:t>.</w:t>
      </w:r>
    </w:p>
  </w:footnote>
  <w:footnote w:id="3">
    <w:p w14:paraId="043D7EBE" w14:textId="77777777" w:rsidR="00CD016E" w:rsidRDefault="00CD016E" w:rsidP="00CD016E">
      <w:pPr>
        <w:pStyle w:val="Textonotapie"/>
        <w:jc w:val="both"/>
      </w:pPr>
      <w:r>
        <w:rPr>
          <w:rStyle w:val="Refdenotaalpie"/>
        </w:rPr>
        <w:footnoteRef/>
      </w:r>
      <w:r>
        <w:t xml:space="preserve"> </w:t>
      </w:r>
      <w:r w:rsidRPr="006102A9">
        <w:t xml:space="preserve"> 268, Apéndice de 2011, Tomo I, Constitucional 3, Derechos Fundamentales Primera Parte- SCJN Décima Tercera Sección- Fundamentación y Motivación, visible a p</w:t>
      </w:r>
      <w:r>
        <w:t>á</w:t>
      </w:r>
      <w:r w:rsidRPr="006102A9">
        <w:t>gina 1241, Primera Sala, Novena Época</w:t>
      </w:r>
      <w:r>
        <w:t>, con registro digital 176546.</w:t>
      </w:r>
    </w:p>
  </w:footnote>
  <w:footnote w:id="4">
    <w:p w14:paraId="46340229" w14:textId="77777777" w:rsidR="00CD016E" w:rsidRDefault="00CD016E" w:rsidP="00CD016E">
      <w:pPr>
        <w:pStyle w:val="Textonotapie"/>
      </w:pPr>
      <w:r>
        <w:rPr>
          <w:rStyle w:val="Refdenotaalpie"/>
        </w:rPr>
        <w:footnoteRef/>
      </w:r>
      <w:r>
        <w:t xml:space="preserve"> </w:t>
      </w:r>
      <w:r w:rsidRPr="00B53D35">
        <w:t>IV.2o.T. J/44, publicada en el Semanario Judicial de la Federación, Tomo XXI, marzo de 2005, visible a pagina 959, de los Tribunales Colegiados de Circuito, Novena Época</w:t>
      </w:r>
      <w:r>
        <w:t>, con registro digital 182221.</w:t>
      </w:r>
    </w:p>
  </w:footnote>
  <w:footnote w:id="5">
    <w:p w14:paraId="5443AF24" w14:textId="77777777" w:rsidR="00CD016E" w:rsidRDefault="00CD016E" w:rsidP="00CD016E">
      <w:pPr>
        <w:pStyle w:val="Textonotapie"/>
      </w:pPr>
      <w:r>
        <w:rPr>
          <w:rStyle w:val="Refdenotaalpie"/>
        </w:rPr>
        <w:footnoteRef/>
      </w:r>
      <w:r>
        <w:t xml:space="preserve"> </w:t>
      </w:r>
      <w:r w:rsidRPr="00B53D35">
        <w:t>2ª./J. 192/2007, publicada por la Segunda Sala de la Suprema Corte de Justicia de la Nación, en la página 209 del Tomo XXVI, octubre de 2007 del Semanario Judicial de la Federación, Novena Época</w:t>
      </w:r>
      <w:r>
        <w:t>, con registro digital 171257.</w:t>
      </w:r>
    </w:p>
  </w:footnote>
  <w:footnote w:id="6">
    <w:p w14:paraId="3A6CBDD0" w14:textId="699509D8" w:rsidR="00CD016E" w:rsidRDefault="00CD016E">
      <w:pPr>
        <w:pStyle w:val="Textonotapie"/>
      </w:pPr>
      <w:r>
        <w:rPr>
          <w:rStyle w:val="Refdenotaalpie"/>
        </w:rPr>
        <w:footnoteRef/>
      </w:r>
      <w:r>
        <w:t xml:space="preserve"> </w:t>
      </w:r>
      <w:r w:rsidRPr="00CD016E">
        <w:t>Tesis TCASS0008/2011TO.1AD, Número de Registro 8, Primera Época, fuente Boletín número 1 del Tribunal de lo Contencioso Administrativo para el Estado de Oaxaca, Tomo I, Enero de 2011, visible a página 8</w:t>
      </w:r>
      <w:r>
        <w:t>.</w:t>
      </w:r>
    </w:p>
  </w:footnote>
  <w:footnote w:id="7">
    <w:p w14:paraId="04374494" w14:textId="369D669D" w:rsidR="00CD016E" w:rsidRDefault="00CD016E" w:rsidP="00CD016E">
      <w:pPr>
        <w:pStyle w:val="Textonotapie"/>
        <w:jc w:val="both"/>
      </w:pPr>
      <w:r>
        <w:rPr>
          <w:rStyle w:val="Refdenotaalpie"/>
        </w:rPr>
        <w:footnoteRef/>
      </w:r>
      <w:r>
        <w:t xml:space="preserve">Tesis  </w:t>
      </w:r>
      <w:r w:rsidRPr="00CD016E">
        <w:t>sostenida por Tribunales Colegiados de Circuito, Octava Época, con número de registro 223025, del Semanario Judicial de la Federación, Tomo VII, Mayo de 1991, visible a página 277</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C8163F" w:rsidRDefault="007166D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8163F">
          <w:fldChar w:fldCharType="begin"/>
        </w:r>
        <w:r w:rsidR="00C8163F">
          <w:instrText>PAGE   \* MERGEFORMAT</w:instrText>
        </w:r>
        <w:r w:rsidR="00C8163F">
          <w:fldChar w:fldCharType="separate"/>
        </w:r>
        <w:r w:rsidR="00633EE8" w:rsidRPr="00633EE8">
          <w:rPr>
            <w:noProof/>
            <w:lang w:val="es-ES"/>
          </w:rPr>
          <w:t>6</w:t>
        </w:r>
        <w:r w:rsidR="00C8163F">
          <w:fldChar w:fldCharType="end"/>
        </w:r>
      </w:p>
    </w:sdtContent>
  </w:sdt>
  <w:p w14:paraId="0E68208C" w14:textId="77777777" w:rsidR="00C8163F" w:rsidRDefault="00C8163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C8163F" w:rsidRDefault="007166D1">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8163F">
          <w:fldChar w:fldCharType="begin"/>
        </w:r>
        <w:r w:rsidR="00C8163F">
          <w:instrText>PAGE   \* MERGEFORMAT</w:instrText>
        </w:r>
        <w:r w:rsidR="00C8163F">
          <w:fldChar w:fldCharType="separate"/>
        </w:r>
        <w:r w:rsidR="00633EE8" w:rsidRPr="00633EE8">
          <w:rPr>
            <w:noProof/>
            <w:lang w:val="es-ES"/>
          </w:rPr>
          <w:t>5</w:t>
        </w:r>
        <w:r w:rsidR="00C8163F">
          <w:fldChar w:fldCharType="end"/>
        </w:r>
      </w:sdtContent>
    </w:sdt>
  </w:p>
  <w:p w14:paraId="51E22156" w14:textId="78C081E3" w:rsidR="00C8163F" w:rsidRDefault="00C8163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C8163F" w:rsidRDefault="007166D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22141CC"/>
    <w:multiLevelType w:val="hybridMultilevel"/>
    <w:tmpl w:val="AC500416"/>
    <w:lvl w:ilvl="0" w:tplc="6BAC022C">
      <w:start w:val="1"/>
      <w:numFmt w:val="lowerLetter"/>
      <w:lvlText w:val="%1)"/>
      <w:lvlJc w:val="left"/>
      <w:pPr>
        <w:ind w:left="1365" w:hanging="360"/>
      </w:pPr>
      <w:rPr>
        <w:rFonts w:hint="default"/>
      </w:rPr>
    </w:lvl>
    <w:lvl w:ilvl="1" w:tplc="080A0019" w:tentative="1">
      <w:start w:val="1"/>
      <w:numFmt w:val="lowerLetter"/>
      <w:lvlText w:val="%2."/>
      <w:lvlJc w:val="left"/>
      <w:pPr>
        <w:ind w:left="2085" w:hanging="360"/>
      </w:pPr>
    </w:lvl>
    <w:lvl w:ilvl="2" w:tplc="080A001B" w:tentative="1">
      <w:start w:val="1"/>
      <w:numFmt w:val="lowerRoman"/>
      <w:lvlText w:val="%3."/>
      <w:lvlJc w:val="right"/>
      <w:pPr>
        <w:ind w:left="2805" w:hanging="180"/>
      </w:pPr>
    </w:lvl>
    <w:lvl w:ilvl="3" w:tplc="080A000F" w:tentative="1">
      <w:start w:val="1"/>
      <w:numFmt w:val="decimal"/>
      <w:lvlText w:val="%4."/>
      <w:lvlJc w:val="left"/>
      <w:pPr>
        <w:ind w:left="3525" w:hanging="360"/>
      </w:pPr>
    </w:lvl>
    <w:lvl w:ilvl="4" w:tplc="080A0019" w:tentative="1">
      <w:start w:val="1"/>
      <w:numFmt w:val="lowerLetter"/>
      <w:lvlText w:val="%5."/>
      <w:lvlJc w:val="left"/>
      <w:pPr>
        <w:ind w:left="4245" w:hanging="360"/>
      </w:pPr>
    </w:lvl>
    <w:lvl w:ilvl="5" w:tplc="080A001B" w:tentative="1">
      <w:start w:val="1"/>
      <w:numFmt w:val="lowerRoman"/>
      <w:lvlText w:val="%6."/>
      <w:lvlJc w:val="right"/>
      <w:pPr>
        <w:ind w:left="4965" w:hanging="180"/>
      </w:pPr>
    </w:lvl>
    <w:lvl w:ilvl="6" w:tplc="080A000F" w:tentative="1">
      <w:start w:val="1"/>
      <w:numFmt w:val="decimal"/>
      <w:lvlText w:val="%7."/>
      <w:lvlJc w:val="left"/>
      <w:pPr>
        <w:ind w:left="5685" w:hanging="360"/>
      </w:pPr>
    </w:lvl>
    <w:lvl w:ilvl="7" w:tplc="080A0019" w:tentative="1">
      <w:start w:val="1"/>
      <w:numFmt w:val="lowerLetter"/>
      <w:lvlText w:val="%8."/>
      <w:lvlJc w:val="left"/>
      <w:pPr>
        <w:ind w:left="6405" w:hanging="360"/>
      </w:pPr>
    </w:lvl>
    <w:lvl w:ilvl="8" w:tplc="080A001B" w:tentative="1">
      <w:start w:val="1"/>
      <w:numFmt w:val="lowerRoman"/>
      <w:lvlText w:val="%9."/>
      <w:lvlJc w:val="right"/>
      <w:pPr>
        <w:ind w:left="7125" w:hanging="180"/>
      </w:pPr>
    </w:lvl>
  </w:abstractNum>
  <w:abstractNum w:abstractNumId="7">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6601625"/>
    <w:multiLevelType w:val="hybridMultilevel"/>
    <w:tmpl w:val="718C9F96"/>
    <w:lvl w:ilvl="0" w:tplc="C47204E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1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C2D7A1D"/>
    <w:multiLevelType w:val="hybridMultilevel"/>
    <w:tmpl w:val="CC268714"/>
    <w:lvl w:ilvl="0" w:tplc="7A8CB43A">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nsid w:val="32E11CE1"/>
    <w:multiLevelType w:val="hybridMultilevel"/>
    <w:tmpl w:val="651E922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1">
    <w:nsid w:val="59944033"/>
    <w:multiLevelType w:val="hybridMultilevel"/>
    <w:tmpl w:val="298E8CA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4"/>
  </w:num>
  <w:num w:numId="2">
    <w:abstractNumId w:val="7"/>
  </w:num>
  <w:num w:numId="3">
    <w:abstractNumId w:val="3"/>
  </w:num>
  <w:num w:numId="4">
    <w:abstractNumId w:val="19"/>
  </w:num>
  <w:num w:numId="5">
    <w:abstractNumId w:val="23"/>
  </w:num>
  <w:num w:numId="6">
    <w:abstractNumId w:val="13"/>
  </w:num>
  <w:num w:numId="7">
    <w:abstractNumId w:val="11"/>
  </w:num>
  <w:num w:numId="8">
    <w:abstractNumId w:val="5"/>
  </w:num>
  <w:num w:numId="9">
    <w:abstractNumId w:val="10"/>
  </w:num>
  <w:num w:numId="10">
    <w:abstractNumId w:val="18"/>
  </w:num>
  <w:num w:numId="11">
    <w:abstractNumId w:val="20"/>
  </w:num>
  <w:num w:numId="12">
    <w:abstractNumId w:val="4"/>
  </w:num>
  <w:num w:numId="13">
    <w:abstractNumId w:val="9"/>
  </w:num>
  <w:num w:numId="14">
    <w:abstractNumId w:val="0"/>
  </w:num>
  <w:num w:numId="15">
    <w:abstractNumId w:val="22"/>
  </w:num>
  <w:num w:numId="16">
    <w:abstractNumId w:val="1"/>
  </w:num>
  <w:num w:numId="17">
    <w:abstractNumId w:val="2"/>
  </w:num>
  <w:num w:numId="18">
    <w:abstractNumId w:val="17"/>
  </w:num>
  <w:num w:numId="19">
    <w:abstractNumId w:val="12"/>
  </w:num>
  <w:num w:numId="20">
    <w:abstractNumId w:val="16"/>
  </w:num>
  <w:num w:numId="21">
    <w:abstractNumId w:val="21"/>
  </w:num>
  <w:num w:numId="22">
    <w:abstractNumId w:val="15"/>
  </w:num>
  <w:num w:numId="23">
    <w:abstractNumId w:val="14"/>
  </w:num>
  <w:num w:numId="24">
    <w:abstractNumId w:val="8"/>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6F8F"/>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973"/>
    <w:rsid w:val="00025BEB"/>
    <w:rsid w:val="000262A2"/>
    <w:rsid w:val="000264DD"/>
    <w:rsid w:val="00026C11"/>
    <w:rsid w:val="000306D4"/>
    <w:rsid w:val="00030BAF"/>
    <w:rsid w:val="0003194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6B4"/>
    <w:rsid w:val="000441B5"/>
    <w:rsid w:val="00044C5F"/>
    <w:rsid w:val="000450F5"/>
    <w:rsid w:val="0004577C"/>
    <w:rsid w:val="000466B1"/>
    <w:rsid w:val="000466D5"/>
    <w:rsid w:val="00051B18"/>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2601"/>
    <w:rsid w:val="00083375"/>
    <w:rsid w:val="0008342F"/>
    <w:rsid w:val="00085132"/>
    <w:rsid w:val="0008514D"/>
    <w:rsid w:val="00085F46"/>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E5E"/>
    <w:rsid w:val="000A12C0"/>
    <w:rsid w:val="000A1491"/>
    <w:rsid w:val="000A17DF"/>
    <w:rsid w:val="000A18A6"/>
    <w:rsid w:val="000A200A"/>
    <w:rsid w:val="000A2550"/>
    <w:rsid w:val="000A27AC"/>
    <w:rsid w:val="000A335C"/>
    <w:rsid w:val="000A33D9"/>
    <w:rsid w:val="000A33F5"/>
    <w:rsid w:val="000A425C"/>
    <w:rsid w:val="000A5540"/>
    <w:rsid w:val="000A578F"/>
    <w:rsid w:val="000A58B5"/>
    <w:rsid w:val="000A5D36"/>
    <w:rsid w:val="000A5FA8"/>
    <w:rsid w:val="000A6C87"/>
    <w:rsid w:val="000B007E"/>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1BB"/>
    <w:rsid w:val="000D2714"/>
    <w:rsid w:val="000D2A1F"/>
    <w:rsid w:val="000D2FF5"/>
    <w:rsid w:val="000D3E85"/>
    <w:rsid w:val="000D42B5"/>
    <w:rsid w:val="000D4AFE"/>
    <w:rsid w:val="000D5397"/>
    <w:rsid w:val="000D558F"/>
    <w:rsid w:val="000D5746"/>
    <w:rsid w:val="000D6E87"/>
    <w:rsid w:val="000D7314"/>
    <w:rsid w:val="000D7B89"/>
    <w:rsid w:val="000D7C8C"/>
    <w:rsid w:val="000E1E0D"/>
    <w:rsid w:val="000E33F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4643"/>
    <w:rsid w:val="000F50E8"/>
    <w:rsid w:val="000F54B0"/>
    <w:rsid w:val="000F5C41"/>
    <w:rsid w:val="000F5DE0"/>
    <w:rsid w:val="000F62C3"/>
    <w:rsid w:val="000F75AF"/>
    <w:rsid w:val="000F77DE"/>
    <w:rsid w:val="001001A4"/>
    <w:rsid w:val="001002F5"/>
    <w:rsid w:val="001019F2"/>
    <w:rsid w:val="00102161"/>
    <w:rsid w:val="001025E5"/>
    <w:rsid w:val="00102AFD"/>
    <w:rsid w:val="00102D3E"/>
    <w:rsid w:val="00103DAF"/>
    <w:rsid w:val="00104022"/>
    <w:rsid w:val="001041F6"/>
    <w:rsid w:val="00105858"/>
    <w:rsid w:val="00105C03"/>
    <w:rsid w:val="0010644A"/>
    <w:rsid w:val="0010719A"/>
    <w:rsid w:val="001108F3"/>
    <w:rsid w:val="00110AE7"/>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0FC5"/>
    <w:rsid w:val="00121DE8"/>
    <w:rsid w:val="00122E48"/>
    <w:rsid w:val="00122E4F"/>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54B"/>
    <w:rsid w:val="00153976"/>
    <w:rsid w:val="00153BE4"/>
    <w:rsid w:val="001542BE"/>
    <w:rsid w:val="00154490"/>
    <w:rsid w:val="001556F9"/>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0F71"/>
    <w:rsid w:val="001711A1"/>
    <w:rsid w:val="00172205"/>
    <w:rsid w:val="0017260E"/>
    <w:rsid w:val="001729D0"/>
    <w:rsid w:val="00172B51"/>
    <w:rsid w:val="00172C89"/>
    <w:rsid w:val="00174916"/>
    <w:rsid w:val="0017568D"/>
    <w:rsid w:val="00175C14"/>
    <w:rsid w:val="001761CB"/>
    <w:rsid w:val="0017651E"/>
    <w:rsid w:val="00177868"/>
    <w:rsid w:val="001778B4"/>
    <w:rsid w:val="001779CB"/>
    <w:rsid w:val="00177B53"/>
    <w:rsid w:val="00181DB0"/>
    <w:rsid w:val="00181DBD"/>
    <w:rsid w:val="001826D0"/>
    <w:rsid w:val="0018345B"/>
    <w:rsid w:val="0018356C"/>
    <w:rsid w:val="0018358B"/>
    <w:rsid w:val="00183EE9"/>
    <w:rsid w:val="0018454F"/>
    <w:rsid w:val="001846BB"/>
    <w:rsid w:val="001854BD"/>
    <w:rsid w:val="00185DC5"/>
    <w:rsid w:val="00186701"/>
    <w:rsid w:val="00186FB3"/>
    <w:rsid w:val="00186FE8"/>
    <w:rsid w:val="0018765B"/>
    <w:rsid w:val="001913C4"/>
    <w:rsid w:val="00192287"/>
    <w:rsid w:val="001923AE"/>
    <w:rsid w:val="001924B2"/>
    <w:rsid w:val="00193379"/>
    <w:rsid w:val="0019343F"/>
    <w:rsid w:val="00194B7B"/>
    <w:rsid w:val="001951A3"/>
    <w:rsid w:val="00195583"/>
    <w:rsid w:val="001A0745"/>
    <w:rsid w:val="001A0EBE"/>
    <w:rsid w:val="001A0EFE"/>
    <w:rsid w:val="001A1302"/>
    <w:rsid w:val="001A16CC"/>
    <w:rsid w:val="001A18E1"/>
    <w:rsid w:val="001A2144"/>
    <w:rsid w:val="001A2E1D"/>
    <w:rsid w:val="001A2FDB"/>
    <w:rsid w:val="001A340F"/>
    <w:rsid w:val="001A3755"/>
    <w:rsid w:val="001A4127"/>
    <w:rsid w:val="001A4A0D"/>
    <w:rsid w:val="001A4A9B"/>
    <w:rsid w:val="001A4E1C"/>
    <w:rsid w:val="001A554E"/>
    <w:rsid w:val="001A652D"/>
    <w:rsid w:val="001A6EBE"/>
    <w:rsid w:val="001A6F68"/>
    <w:rsid w:val="001A7533"/>
    <w:rsid w:val="001A77FB"/>
    <w:rsid w:val="001B009D"/>
    <w:rsid w:val="001B034A"/>
    <w:rsid w:val="001B035C"/>
    <w:rsid w:val="001B046F"/>
    <w:rsid w:val="001B13DB"/>
    <w:rsid w:val="001B17F6"/>
    <w:rsid w:val="001B2B31"/>
    <w:rsid w:val="001B341D"/>
    <w:rsid w:val="001B3A10"/>
    <w:rsid w:val="001B3B5C"/>
    <w:rsid w:val="001B4F32"/>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C7FDF"/>
    <w:rsid w:val="001D07F6"/>
    <w:rsid w:val="001D0DCF"/>
    <w:rsid w:val="001D31A6"/>
    <w:rsid w:val="001D3B81"/>
    <w:rsid w:val="001D40CC"/>
    <w:rsid w:val="001D4D61"/>
    <w:rsid w:val="001D4D8C"/>
    <w:rsid w:val="001D5282"/>
    <w:rsid w:val="001D529D"/>
    <w:rsid w:val="001D577C"/>
    <w:rsid w:val="001D694C"/>
    <w:rsid w:val="001D734D"/>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BB2"/>
    <w:rsid w:val="00203FD3"/>
    <w:rsid w:val="00205A55"/>
    <w:rsid w:val="0020618A"/>
    <w:rsid w:val="00206222"/>
    <w:rsid w:val="0020694D"/>
    <w:rsid w:val="00206B99"/>
    <w:rsid w:val="002073D2"/>
    <w:rsid w:val="002078AA"/>
    <w:rsid w:val="00210159"/>
    <w:rsid w:val="00210261"/>
    <w:rsid w:val="0021074F"/>
    <w:rsid w:val="00210928"/>
    <w:rsid w:val="00210A35"/>
    <w:rsid w:val="002111AC"/>
    <w:rsid w:val="0021188E"/>
    <w:rsid w:val="002122EA"/>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56A3"/>
    <w:rsid w:val="00227445"/>
    <w:rsid w:val="00227471"/>
    <w:rsid w:val="00230A56"/>
    <w:rsid w:val="00230D10"/>
    <w:rsid w:val="00231036"/>
    <w:rsid w:val="00232D7F"/>
    <w:rsid w:val="00233D35"/>
    <w:rsid w:val="0023417B"/>
    <w:rsid w:val="002350A1"/>
    <w:rsid w:val="002369EA"/>
    <w:rsid w:val="002371FF"/>
    <w:rsid w:val="00237985"/>
    <w:rsid w:val="00237D5A"/>
    <w:rsid w:val="00237DC2"/>
    <w:rsid w:val="00240A4A"/>
    <w:rsid w:val="00240C99"/>
    <w:rsid w:val="002416DD"/>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51"/>
    <w:rsid w:val="002476CF"/>
    <w:rsid w:val="00247875"/>
    <w:rsid w:val="00247B10"/>
    <w:rsid w:val="00247D11"/>
    <w:rsid w:val="00247E15"/>
    <w:rsid w:val="00247ECF"/>
    <w:rsid w:val="0025043B"/>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6732A"/>
    <w:rsid w:val="002678AA"/>
    <w:rsid w:val="00270087"/>
    <w:rsid w:val="002706C1"/>
    <w:rsid w:val="00270831"/>
    <w:rsid w:val="0027275E"/>
    <w:rsid w:val="00272A7D"/>
    <w:rsid w:val="00273171"/>
    <w:rsid w:val="002745CD"/>
    <w:rsid w:val="002748AA"/>
    <w:rsid w:val="00275418"/>
    <w:rsid w:val="00276F9F"/>
    <w:rsid w:val="002805AC"/>
    <w:rsid w:val="00280919"/>
    <w:rsid w:val="00281661"/>
    <w:rsid w:val="002826C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7DD"/>
    <w:rsid w:val="00293B1D"/>
    <w:rsid w:val="00293E41"/>
    <w:rsid w:val="00296748"/>
    <w:rsid w:val="0029713B"/>
    <w:rsid w:val="00297709"/>
    <w:rsid w:val="00297C79"/>
    <w:rsid w:val="002A0081"/>
    <w:rsid w:val="002A0713"/>
    <w:rsid w:val="002A18E6"/>
    <w:rsid w:val="002A1AAC"/>
    <w:rsid w:val="002A280A"/>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5C4"/>
    <w:rsid w:val="002B2706"/>
    <w:rsid w:val="002B3BA3"/>
    <w:rsid w:val="002B4040"/>
    <w:rsid w:val="002B5C09"/>
    <w:rsid w:val="002B5C82"/>
    <w:rsid w:val="002B62B3"/>
    <w:rsid w:val="002B6893"/>
    <w:rsid w:val="002B6B9D"/>
    <w:rsid w:val="002B6C19"/>
    <w:rsid w:val="002B6D0D"/>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5182"/>
    <w:rsid w:val="002D6E4D"/>
    <w:rsid w:val="002D724E"/>
    <w:rsid w:val="002D7BA0"/>
    <w:rsid w:val="002D7D41"/>
    <w:rsid w:val="002E0D3D"/>
    <w:rsid w:val="002E1666"/>
    <w:rsid w:val="002E1DDF"/>
    <w:rsid w:val="002E2D79"/>
    <w:rsid w:val="002E3358"/>
    <w:rsid w:val="002E3511"/>
    <w:rsid w:val="002E3777"/>
    <w:rsid w:val="002E3B43"/>
    <w:rsid w:val="002E3D1C"/>
    <w:rsid w:val="002E515A"/>
    <w:rsid w:val="002E5953"/>
    <w:rsid w:val="002E5971"/>
    <w:rsid w:val="002E5EAB"/>
    <w:rsid w:val="002E6032"/>
    <w:rsid w:val="002E60D4"/>
    <w:rsid w:val="002E773F"/>
    <w:rsid w:val="002E791E"/>
    <w:rsid w:val="002F02E0"/>
    <w:rsid w:val="002F19AF"/>
    <w:rsid w:val="002F1B7B"/>
    <w:rsid w:val="002F1C6A"/>
    <w:rsid w:val="002F1FCB"/>
    <w:rsid w:val="002F21AE"/>
    <w:rsid w:val="002F282F"/>
    <w:rsid w:val="002F2BC5"/>
    <w:rsid w:val="002F32F4"/>
    <w:rsid w:val="002F3B18"/>
    <w:rsid w:val="002F3DC5"/>
    <w:rsid w:val="002F4F72"/>
    <w:rsid w:val="002F511C"/>
    <w:rsid w:val="002F5E12"/>
    <w:rsid w:val="002F5F9B"/>
    <w:rsid w:val="002F67C7"/>
    <w:rsid w:val="002F6A1D"/>
    <w:rsid w:val="002F6EC3"/>
    <w:rsid w:val="002F7173"/>
    <w:rsid w:val="002F7484"/>
    <w:rsid w:val="002F77C3"/>
    <w:rsid w:val="00301CB4"/>
    <w:rsid w:val="00302960"/>
    <w:rsid w:val="00302FB3"/>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1D44"/>
    <w:rsid w:val="00322486"/>
    <w:rsid w:val="00323295"/>
    <w:rsid w:val="00323848"/>
    <w:rsid w:val="00323FF5"/>
    <w:rsid w:val="00324627"/>
    <w:rsid w:val="0032464C"/>
    <w:rsid w:val="00324B78"/>
    <w:rsid w:val="003250CA"/>
    <w:rsid w:val="003253CA"/>
    <w:rsid w:val="003264D7"/>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2A"/>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33"/>
    <w:rsid w:val="003538E6"/>
    <w:rsid w:val="003549F9"/>
    <w:rsid w:val="00354CF7"/>
    <w:rsid w:val="00355B94"/>
    <w:rsid w:val="00355E72"/>
    <w:rsid w:val="0035659D"/>
    <w:rsid w:val="00360508"/>
    <w:rsid w:val="003611E4"/>
    <w:rsid w:val="0036133D"/>
    <w:rsid w:val="003617D9"/>
    <w:rsid w:val="00361938"/>
    <w:rsid w:val="003625FB"/>
    <w:rsid w:val="003627EA"/>
    <w:rsid w:val="003633B9"/>
    <w:rsid w:val="003636DE"/>
    <w:rsid w:val="003646B9"/>
    <w:rsid w:val="003646E5"/>
    <w:rsid w:val="003652C6"/>
    <w:rsid w:val="003654A6"/>
    <w:rsid w:val="00365D74"/>
    <w:rsid w:val="003660A9"/>
    <w:rsid w:val="00366829"/>
    <w:rsid w:val="003668C0"/>
    <w:rsid w:val="0036711C"/>
    <w:rsid w:val="003701BC"/>
    <w:rsid w:val="00370629"/>
    <w:rsid w:val="003708D3"/>
    <w:rsid w:val="00371249"/>
    <w:rsid w:val="003726E1"/>
    <w:rsid w:val="00374012"/>
    <w:rsid w:val="003743D7"/>
    <w:rsid w:val="003749C0"/>
    <w:rsid w:val="003750D6"/>
    <w:rsid w:val="003752B5"/>
    <w:rsid w:val="0037599C"/>
    <w:rsid w:val="00375FDD"/>
    <w:rsid w:val="00377F41"/>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5D5A"/>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63C"/>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4DF"/>
    <w:rsid w:val="003D0C96"/>
    <w:rsid w:val="003D13F0"/>
    <w:rsid w:val="003D1CAA"/>
    <w:rsid w:val="003D4395"/>
    <w:rsid w:val="003D474C"/>
    <w:rsid w:val="003D5393"/>
    <w:rsid w:val="003D5398"/>
    <w:rsid w:val="003D5BAD"/>
    <w:rsid w:val="003D5F20"/>
    <w:rsid w:val="003D6E19"/>
    <w:rsid w:val="003D737D"/>
    <w:rsid w:val="003D7E33"/>
    <w:rsid w:val="003E0C30"/>
    <w:rsid w:val="003E0F2A"/>
    <w:rsid w:val="003E1CD9"/>
    <w:rsid w:val="003E1F87"/>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1D08"/>
    <w:rsid w:val="0041258E"/>
    <w:rsid w:val="00412C2F"/>
    <w:rsid w:val="0041486D"/>
    <w:rsid w:val="0041584F"/>
    <w:rsid w:val="00415924"/>
    <w:rsid w:val="004165A7"/>
    <w:rsid w:val="00416F89"/>
    <w:rsid w:val="004173E6"/>
    <w:rsid w:val="00417B7B"/>
    <w:rsid w:val="004211BE"/>
    <w:rsid w:val="0042205F"/>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4A6"/>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051E"/>
    <w:rsid w:val="0047274B"/>
    <w:rsid w:val="00472B3D"/>
    <w:rsid w:val="00472D90"/>
    <w:rsid w:val="00473EB5"/>
    <w:rsid w:val="0047647A"/>
    <w:rsid w:val="004771E5"/>
    <w:rsid w:val="00477357"/>
    <w:rsid w:val="00477E07"/>
    <w:rsid w:val="004804CF"/>
    <w:rsid w:val="00480A69"/>
    <w:rsid w:val="004813E0"/>
    <w:rsid w:val="0048356A"/>
    <w:rsid w:val="00483B0E"/>
    <w:rsid w:val="00484AE9"/>
    <w:rsid w:val="00485508"/>
    <w:rsid w:val="0048659E"/>
    <w:rsid w:val="00486775"/>
    <w:rsid w:val="00486C18"/>
    <w:rsid w:val="00486E2E"/>
    <w:rsid w:val="004874A4"/>
    <w:rsid w:val="00491E99"/>
    <w:rsid w:val="004929E7"/>
    <w:rsid w:val="00492F5A"/>
    <w:rsid w:val="0049318A"/>
    <w:rsid w:val="00493A5B"/>
    <w:rsid w:val="00494F0A"/>
    <w:rsid w:val="00495547"/>
    <w:rsid w:val="004961AD"/>
    <w:rsid w:val="00496339"/>
    <w:rsid w:val="004967A0"/>
    <w:rsid w:val="00496C40"/>
    <w:rsid w:val="00497059"/>
    <w:rsid w:val="00497082"/>
    <w:rsid w:val="004973EC"/>
    <w:rsid w:val="004976DE"/>
    <w:rsid w:val="00497B15"/>
    <w:rsid w:val="004A054C"/>
    <w:rsid w:val="004A0617"/>
    <w:rsid w:val="004A1A63"/>
    <w:rsid w:val="004A2326"/>
    <w:rsid w:val="004A2A39"/>
    <w:rsid w:val="004A3054"/>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4BCB"/>
    <w:rsid w:val="004B5540"/>
    <w:rsid w:val="004B5F62"/>
    <w:rsid w:val="004B6800"/>
    <w:rsid w:val="004B69CB"/>
    <w:rsid w:val="004B6B98"/>
    <w:rsid w:val="004B748E"/>
    <w:rsid w:val="004B7C5E"/>
    <w:rsid w:val="004C05E4"/>
    <w:rsid w:val="004C1578"/>
    <w:rsid w:val="004C1927"/>
    <w:rsid w:val="004C2276"/>
    <w:rsid w:val="004C2693"/>
    <w:rsid w:val="004C3A42"/>
    <w:rsid w:val="004C4721"/>
    <w:rsid w:val="004C4B13"/>
    <w:rsid w:val="004C4B5E"/>
    <w:rsid w:val="004C5064"/>
    <w:rsid w:val="004C513B"/>
    <w:rsid w:val="004C537F"/>
    <w:rsid w:val="004C54F2"/>
    <w:rsid w:val="004C5B4E"/>
    <w:rsid w:val="004C62A2"/>
    <w:rsid w:val="004C643F"/>
    <w:rsid w:val="004C6683"/>
    <w:rsid w:val="004C715A"/>
    <w:rsid w:val="004D0174"/>
    <w:rsid w:val="004D0799"/>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E75C0"/>
    <w:rsid w:val="004F026D"/>
    <w:rsid w:val="004F0402"/>
    <w:rsid w:val="004F07B7"/>
    <w:rsid w:val="004F12C9"/>
    <w:rsid w:val="004F1A00"/>
    <w:rsid w:val="004F1B13"/>
    <w:rsid w:val="004F28AC"/>
    <w:rsid w:val="004F2A92"/>
    <w:rsid w:val="004F2E5D"/>
    <w:rsid w:val="004F2E7C"/>
    <w:rsid w:val="004F421C"/>
    <w:rsid w:val="004F4289"/>
    <w:rsid w:val="004F48BF"/>
    <w:rsid w:val="004F5821"/>
    <w:rsid w:val="004F5919"/>
    <w:rsid w:val="004F674E"/>
    <w:rsid w:val="004F6C74"/>
    <w:rsid w:val="005001E5"/>
    <w:rsid w:val="00500A0B"/>
    <w:rsid w:val="00500C4C"/>
    <w:rsid w:val="005016CA"/>
    <w:rsid w:val="00502093"/>
    <w:rsid w:val="00502177"/>
    <w:rsid w:val="0050345B"/>
    <w:rsid w:val="00504E19"/>
    <w:rsid w:val="005063B6"/>
    <w:rsid w:val="00506A1C"/>
    <w:rsid w:val="0050734D"/>
    <w:rsid w:val="00507642"/>
    <w:rsid w:val="00507AB3"/>
    <w:rsid w:val="00510956"/>
    <w:rsid w:val="00510F23"/>
    <w:rsid w:val="0051133B"/>
    <w:rsid w:val="005115C3"/>
    <w:rsid w:val="00514DAF"/>
    <w:rsid w:val="00515288"/>
    <w:rsid w:val="00515B21"/>
    <w:rsid w:val="00515CF2"/>
    <w:rsid w:val="00517079"/>
    <w:rsid w:val="005177F2"/>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0247"/>
    <w:rsid w:val="00531B2A"/>
    <w:rsid w:val="00531B72"/>
    <w:rsid w:val="00531C8C"/>
    <w:rsid w:val="00531DC6"/>
    <w:rsid w:val="005324A4"/>
    <w:rsid w:val="005329F9"/>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6F5"/>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4A"/>
    <w:rsid w:val="00561B8F"/>
    <w:rsid w:val="0056210B"/>
    <w:rsid w:val="00562D03"/>
    <w:rsid w:val="0056306D"/>
    <w:rsid w:val="005632DA"/>
    <w:rsid w:val="00563692"/>
    <w:rsid w:val="00563B9C"/>
    <w:rsid w:val="00564488"/>
    <w:rsid w:val="0056508D"/>
    <w:rsid w:val="00566E97"/>
    <w:rsid w:val="00567465"/>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57B6"/>
    <w:rsid w:val="00576025"/>
    <w:rsid w:val="00577656"/>
    <w:rsid w:val="0057772B"/>
    <w:rsid w:val="00580176"/>
    <w:rsid w:val="005802AF"/>
    <w:rsid w:val="00581327"/>
    <w:rsid w:val="005817AB"/>
    <w:rsid w:val="00582C57"/>
    <w:rsid w:val="00583EE0"/>
    <w:rsid w:val="00584BAB"/>
    <w:rsid w:val="00584EFB"/>
    <w:rsid w:val="0058621D"/>
    <w:rsid w:val="00586D72"/>
    <w:rsid w:val="00586E4F"/>
    <w:rsid w:val="00587330"/>
    <w:rsid w:val="00587984"/>
    <w:rsid w:val="00587A84"/>
    <w:rsid w:val="00587B46"/>
    <w:rsid w:val="00590AF7"/>
    <w:rsid w:val="00592360"/>
    <w:rsid w:val="00593333"/>
    <w:rsid w:val="005960D3"/>
    <w:rsid w:val="005967CF"/>
    <w:rsid w:val="005973A7"/>
    <w:rsid w:val="005A0825"/>
    <w:rsid w:val="005A09A3"/>
    <w:rsid w:val="005A1FEE"/>
    <w:rsid w:val="005A273F"/>
    <w:rsid w:val="005A3583"/>
    <w:rsid w:val="005A3F3A"/>
    <w:rsid w:val="005A4118"/>
    <w:rsid w:val="005A453F"/>
    <w:rsid w:val="005A493F"/>
    <w:rsid w:val="005A6A9E"/>
    <w:rsid w:val="005A752F"/>
    <w:rsid w:val="005B1184"/>
    <w:rsid w:val="005B1E67"/>
    <w:rsid w:val="005B2365"/>
    <w:rsid w:val="005B296A"/>
    <w:rsid w:val="005B3184"/>
    <w:rsid w:val="005B36F5"/>
    <w:rsid w:val="005B3BB9"/>
    <w:rsid w:val="005B3F3B"/>
    <w:rsid w:val="005B5E4D"/>
    <w:rsid w:val="005B5F09"/>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595"/>
    <w:rsid w:val="005D58F0"/>
    <w:rsid w:val="005D60DE"/>
    <w:rsid w:val="005D65FC"/>
    <w:rsid w:val="005D6747"/>
    <w:rsid w:val="005D6918"/>
    <w:rsid w:val="005E08EE"/>
    <w:rsid w:val="005E2E62"/>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3A39"/>
    <w:rsid w:val="005F45C2"/>
    <w:rsid w:val="005F4ECF"/>
    <w:rsid w:val="005F52FF"/>
    <w:rsid w:val="005F569A"/>
    <w:rsid w:val="005F6073"/>
    <w:rsid w:val="005F6196"/>
    <w:rsid w:val="005F61B4"/>
    <w:rsid w:val="005F6454"/>
    <w:rsid w:val="005F7759"/>
    <w:rsid w:val="005F7852"/>
    <w:rsid w:val="005F7F60"/>
    <w:rsid w:val="0060041C"/>
    <w:rsid w:val="0060055A"/>
    <w:rsid w:val="00600877"/>
    <w:rsid w:val="006012BD"/>
    <w:rsid w:val="006017E9"/>
    <w:rsid w:val="00601C04"/>
    <w:rsid w:val="00602086"/>
    <w:rsid w:val="00602AAE"/>
    <w:rsid w:val="006031E8"/>
    <w:rsid w:val="00603280"/>
    <w:rsid w:val="00603EE5"/>
    <w:rsid w:val="0060537D"/>
    <w:rsid w:val="00605582"/>
    <w:rsid w:val="00605720"/>
    <w:rsid w:val="00605C0C"/>
    <w:rsid w:val="00605C57"/>
    <w:rsid w:val="00605C73"/>
    <w:rsid w:val="0060626C"/>
    <w:rsid w:val="006065FF"/>
    <w:rsid w:val="00607309"/>
    <w:rsid w:val="0060770D"/>
    <w:rsid w:val="00607F3D"/>
    <w:rsid w:val="00610C46"/>
    <w:rsid w:val="00614079"/>
    <w:rsid w:val="00614188"/>
    <w:rsid w:val="00615362"/>
    <w:rsid w:val="006157B6"/>
    <w:rsid w:val="00615A62"/>
    <w:rsid w:val="00615EBC"/>
    <w:rsid w:val="00616F1D"/>
    <w:rsid w:val="00616FA1"/>
    <w:rsid w:val="006175E6"/>
    <w:rsid w:val="00617C77"/>
    <w:rsid w:val="00620031"/>
    <w:rsid w:val="0062006E"/>
    <w:rsid w:val="00620357"/>
    <w:rsid w:val="00620FB8"/>
    <w:rsid w:val="006211B5"/>
    <w:rsid w:val="006214D7"/>
    <w:rsid w:val="00621B71"/>
    <w:rsid w:val="00622BEF"/>
    <w:rsid w:val="0062386E"/>
    <w:rsid w:val="00624802"/>
    <w:rsid w:val="00624E0A"/>
    <w:rsid w:val="00624F20"/>
    <w:rsid w:val="00625F4E"/>
    <w:rsid w:val="00626096"/>
    <w:rsid w:val="006279BE"/>
    <w:rsid w:val="006304BB"/>
    <w:rsid w:val="0063071F"/>
    <w:rsid w:val="00630C62"/>
    <w:rsid w:val="00631207"/>
    <w:rsid w:val="00631467"/>
    <w:rsid w:val="00632281"/>
    <w:rsid w:val="0063273E"/>
    <w:rsid w:val="00633242"/>
    <w:rsid w:val="00633EE8"/>
    <w:rsid w:val="00633FA0"/>
    <w:rsid w:val="00634534"/>
    <w:rsid w:val="00634A6C"/>
    <w:rsid w:val="00634EF5"/>
    <w:rsid w:val="00636401"/>
    <w:rsid w:val="00636905"/>
    <w:rsid w:val="00636A93"/>
    <w:rsid w:val="00636E9A"/>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1673"/>
    <w:rsid w:val="00651A57"/>
    <w:rsid w:val="00652231"/>
    <w:rsid w:val="0065228A"/>
    <w:rsid w:val="00654244"/>
    <w:rsid w:val="006546B6"/>
    <w:rsid w:val="006547BB"/>
    <w:rsid w:val="006555CA"/>
    <w:rsid w:val="00655BA3"/>
    <w:rsid w:val="006560E3"/>
    <w:rsid w:val="006564ED"/>
    <w:rsid w:val="00656C6E"/>
    <w:rsid w:val="0066116D"/>
    <w:rsid w:val="00662290"/>
    <w:rsid w:val="00663F47"/>
    <w:rsid w:val="00664AC4"/>
    <w:rsid w:val="00664FB0"/>
    <w:rsid w:val="0066505B"/>
    <w:rsid w:val="00665ACE"/>
    <w:rsid w:val="00666712"/>
    <w:rsid w:val="0066701C"/>
    <w:rsid w:val="006671D4"/>
    <w:rsid w:val="0066750D"/>
    <w:rsid w:val="00667F2F"/>
    <w:rsid w:val="00671338"/>
    <w:rsid w:val="00671D6E"/>
    <w:rsid w:val="00672CE0"/>
    <w:rsid w:val="00672F8D"/>
    <w:rsid w:val="006730DE"/>
    <w:rsid w:val="006730F3"/>
    <w:rsid w:val="00673B33"/>
    <w:rsid w:val="006747AB"/>
    <w:rsid w:val="00676465"/>
    <w:rsid w:val="00676710"/>
    <w:rsid w:val="006775C4"/>
    <w:rsid w:val="0068056E"/>
    <w:rsid w:val="00681AC1"/>
    <w:rsid w:val="00681EE7"/>
    <w:rsid w:val="00682165"/>
    <w:rsid w:val="00683178"/>
    <w:rsid w:val="0068325D"/>
    <w:rsid w:val="00684F50"/>
    <w:rsid w:val="00685785"/>
    <w:rsid w:val="00685E24"/>
    <w:rsid w:val="00686F6A"/>
    <w:rsid w:val="00687828"/>
    <w:rsid w:val="00687BEB"/>
    <w:rsid w:val="0069006F"/>
    <w:rsid w:val="00690738"/>
    <w:rsid w:val="00691515"/>
    <w:rsid w:val="006923E0"/>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97DC9"/>
    <w:rsid w:val="006A03BD"/>
    <w:rsid w:val="006A07C1"/>
    <w:rsid w:val="006A136B"/>
    <w:rsid w:val="006A19D5"/>
    <w:rsid w:val="006A28FD"/>
    <w:rsid w:val="006A326C"/>
    <w:rsid w:val="006A52BF"/>
    <w:rsid w:val="006A5821"/>
    <w:rsid w:val="006A5A6C"/>
    <w:rsid w:val="006A61E5"/>
    <w:rsid w:val="006A654C"/>
    <w:rsid w:val="006A68DB"/>
    <w:rsid w:val="006A6B9A"/>
    <w:rsid w:val="006A7061"/>
    <w:rsid w:val="006B03F7"/>
    <w:rsid w:val="006B0A9C"/>
    <w:rsid w:val="006B0B08"/>
    <w:rsid w:val="006B10A8"/>
    <w:rsid w:val="006B10B6"/>
    <w:rsid w:val="006B1B86"/>
    <w:rsid w:val="006B208B"/>
    <w:rsid w:val="006B2C8A"/>
    <w:rsid w:val="006B3504"/>
    <w:rsid w:val="006B3C5F"/>
    <w:rsid w:val="006B3C7A"/>
    <w:rsid w:val="006B454E"/>
    <w:rsid w:val="006B462B"/>
    <w:rsid w:val="006B46C9"/>
    <w:rsid w:val="006B4FD6"/>
    <w:rsid w:val="006B511B"/>
    <w:rsid w:val="006B5508"/>
    <w:rsid w:val="006B5F34"/>
    <w:rsid w:val="006B7267"/>
    <w:rsid w:val="006C1371"/>
    <w:rsid w:val="006C1F9E"/>
    <w:rsid w:val="006C2F23"/>
    <w:rsid w:val="006C2FB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481E"/>
    <w:rsid w:val="006E4CFA"/>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FF1"/>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520C"/>
    <w:rsid w:val="00746015"/>
    <w:rsid w:val="00746730"/>
    <w:rsid w:val="0075000B"/>
    <w:rsid w:val="00751760"/>
    <w:rsid w:val="0075227D"/>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CAE"/>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94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4FE0"/>
    <w:rsid w:val="007A530A"/>
    <w:rsid w:val="007A65AF"/>
    <w:rsid w:val="007A719C"/>
    <w:rsid w:val="007A726F"/>
    <w:rsid w:val="007A757A"/>
    <w:rsid w:val="007B08F4"/>
    <w:rsid w:val="007B0A40"/>
    <w:rsid w:val="007B14D2"/>
    <w:rsid w:val="007B34BC"/>
    <w:rsid w:val="007B38A6"/>
    <w:rsid w:val="007B452B"/>
    <w:rsid w:val="007B4EEE"/>
    <w:rsid w:val="007B5EBB"/>
    <w:rsid w:val="007B6119"/>
    <w:rsid w:val="007B65D2"/>
    <w:rsid w:val="007B6AD5"/>
    <w:rsid w:val="007B6B01"/>
    <w:rsid w:val="007C04A2"/>
    <w:rsid w:val="007C0BCE"/>
    <w:rsid w:val="007C1248"/>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2BEE"/>
    <w:rsid w:val="007D303D"/>
    <w:rsid w:val="007D3939"/>
    <w:rsid w:val="007D3BCC"/>
    <w:rsid w:val="007D3CE0"/>
    <w:rsid w:val="007D404D"/>
    <w:rsid w:val="007D45CB"/>
    <w:rsid w:val="007D4645"/>
    <w:rsid w:val="007D5692"/>
    <w:rsid w:val="007D6461"/>
    <w:rsid w:val="007E0AE9"/>
    <w:rsid w:val="007E2210"/>
    <w:rsid w:val="007E24AB"/>
    <w:rsid w:val="007E30BD"/>
    <w:rsid w:val="007E3210"/>
    <w:rsid w:val="007E32FC"/>
    <w:rsid w:val="007E4266"/>
    <w:rsid w:val="007E4EA5"/>
    <w:rsid w:val="007E5A5C"/>
    <w:rsid w:val="007E72CD"/>
    <w:rsid w:val="007E7A9C"/>
    <w:rsid w:val="007F0BA9"/>
    <w:rsid w:val="007F1373"/>
    <w:rsid w:val="007F14CC"/>
    <w:rsid w:val="007F17A3"/>
    <w:rsid w:val="007F1A1A"/>
    <w:rsid w:val="007F1ECE"/>
    <w:rsid w:val="007F2DD4"/>
    <w:rsid w:val="007F35C6"/>
    <w:rsid w:val="007F3BF0"/>
    <w:rsid w:val="007F4049"/>
    <w:rsid w:val="007F4460"/>
    <w:rsid w:val="007F4946"/>
    <w:rsid w:val="007F4B42"/>
    <w:rsid w:val="007F5B11"/>
    <w:rsid w:val="007F7CB7"/>
    <w:rsid w:val="007F7F91"/>
    <w:rsid w:val="0080177D"/>
    <w:rsid w:val="00801A10"/>
    <w:rsid w:val="00801F35"/>
    <w:rsid w:val="00803391"/>
    <w:rsid w:val="008036A1"/>
    <w:rsid w:val="00803D63"/>
    <w:rsid w:val="00804302"/>
    <w:rsid w:val="0080478E"/>
    <w:rsid w:val="00805B95"/>
    <w:rsid w:val="008061D6"/>
    <w:rsid w:val="008068C9"/>
    <w:rsid w:val="00806D14"/>
    <w:rsid w:val="0080728A"/>
    <w:rsid w:val="00807D76"/>
    <w:rsid w:val="00811182"/>
    <w:rsid w:val="00811407"/>
    <w:rsid w:val="00811B44"/>
    <w:rsid w:val="008122E4"/>
    <w:rsid w:val="00812B26"/>
    <w:rsid w:val="00812C11"/>
    <w:rsid w:val="00812D5A"/>
    <w:rsid w:val="00813494"/>
    <w:rsid w:val="00813755"/>
    <w:rsid w:val="008161D5"/>
    <w:rsid w:val="00816E2F"/>
    <w:rsid w:val="00817A06"/>
    <w:rsid w:val="00817E79"/>
    <w:rsid w:val="0082001A"/>
    <w:rsid w:val="008205D0"/>
    <w:rsid w:val="0082070E"/>
    <w:rsid w:val="00820D99"/>
    <w:rsid w:val="00820E06"/>
    <w:rsid w:val="008211F5"/>
    <w:rsid w:val="00823863"/>
    <w:rsid w:val="008240AB"/>
    <w:rsid w:val="008241FC"/>
    <w:rsid w:val="00824B51"/>
    <w:rsid w:val="00825682"/>
    <w:rsid w:val="00825DF2"/>
    <w:rsid w:val="00826459"/>
    <w:rsid w:val="008264A3"/>
    <w:rsid w:val="00826F27"/>
    <w:rsid w:val="008270BC"/>
    <w:rsid w:val="008309C8"/>
    <w:rsid w:val="008309F3"/>
    <w:rsid w:val="00830C58"/>
    <w:rsid w:val="008312B3"/>
    <w:rsid w:val="0083287B"/>
    <w:rsid w:val="0083298A"/>
    <w:rsid w:val="00832A83"/>
    <w:rsid w:val="00832D2B"/>
    <w:rsid w:val="00833114"/>
    <w:rsid w:val="00835668"/>
    <w:rsid w:val="008357D2"/>
    <w:rsid w:val="008370CF"/>
    <w:rsid w:val="00837CEF"/>
    <w:rsid w:val="00840873"/>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DED"/>
    <w:rsid w:val="00866DF0"/>
    <w:rsid w:val="008672F5"/>
    <w:rsid w:val="00867672"/>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657F"/>
    <w:rsid w:val="00877503"/>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5AF1"/>
    <w:rsid w:val="008866BD"/>
    <w:rsid w:val="00887311"/>
    <w:rsid w:val="00887B04"/>
    <w:rsid w:val="00890833"/>
    <w:rsid w:val="00890911"/>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0AC"/>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7EC"/>
    <w:rsid w:val="008C2809"/>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05C"/>
    <w:rsid w:val="00907C15"/>
    <w:rsid w:val="0091170B"/>
    <w:rsid w:val="00911817"/>
    <w:rsid w:val="00911884"/>
    <w:rsid w:val="00912F68"/>
    <w:rsid w:val="009132F6"/>
    <w:rsid w:val="009133A9"/>
    <w:rsid w:val="00913418"/>
    <w:rsid w:val="00913797"/>
    <w:rsid w:val="009137F9"/>
    <w:rsid w:val="00913C08"/>
    <w:rsid w:val="00915282"/>
    <w:rsid w:val="0091567A"/>
    <w:rsid w:val="00920287"/>
    <w:rsid w:val="00920947"/>
    <w:rsid w:val="0092099A"/>
    <w:rsid w:val="00920C90"/>
    <w:rsid w:val="00921428"/>
    <w:rsid w:val="00921E9D"/>
    <w:rsid w:val="009220E0"/>
    <w:rsid w:val="0092244D"/>
    <w:rsid w:val="00922FD0"/>
    <w:rsid w:val="00923104"/>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2F79"/>
    <w:rsid w:val="00945295"/>
    <w:rsid w:val="0094562D"/>
    <w:rsid w:val="00946E68"/>
    <w:rsid w:val="00946FB0"/>
    <w:rsid w:val="009473C5"/>
    <w:rsid w:val="009475F5"/>
    <w:rsid w:val="00947785"/>
    <w:rsid w:val="0094786C"/>
    <w:rsid w:val="00947C97"/>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178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B7FAA"/>
    <w:rsid w:val="009C0461"/>
    <w:rsid w:val="009C0566"/>
    <w:rsid w:val="009C1468"/>
    <w:rsid w:val="009C16E5"/>
    <w:rsid w:val="009C24D1"/>
    <w:rsid w:val="009C3841"/>
    <w:rsid w:val="009C607A"/>
    <w:rsid w:val="009C6929"/>
    <w:rsid w:val="009C6A52"/>
    <w:rsid w:val="009C72C2"/>
    <w:rsid w:val="009D0950"/>
    <w:rsid w:val="009D183B"/>
    <w:rsid w:val="009D20C4"/>
    <w:rsid w:val="009D2378"/>
    <w:rsid w:val="009D267D"/>
    <w:rsid w:val="009D30C1"/>
    <w:rsid w:val="009D3356"/>
    <w:rsid w:val="009D3CB7"/>
    <w:rsid w:val="009D3DBF"/>
    <w:rsid w:val="009D4901"/>
    <w:rsid w:val="009D4B18"/>
    <w:rsid w:val="009D4C43"/>
    <w:rsid w:val="009D5068"/>
    <w:rsid w:val="009D5281"/>
    <w:rsid w:val="009D5AC5"/>
    <w:rsid w:val="009D5D6A"/>
    <w:rsid w:val="009D6566"/>
    <w:rsid w:val="009D6EC6"/>
    <w:rsid w:val="009D7058"/>
    <w:rsid w:val="009D76EB"/>
    <w:rsid w:val="009E01AF"/>
    <w:rsid w:val="009E0336"/>
    <w:rsid w:val="009E0367"/>
    <w:rsid w:val="009E08CA"/>
    <w:rsid w:val="009E10EC"/>
    <w:rsid w:val="009E10F6"/>
    <w:rsid w:val="009E1628"/>
    <w:rsid w:val="009E2622"/>
    <w:rsid w:val="009E2B95"/>
    <w:rsid w:val="009E2F5D"/>
    <w:rsid w:val="009E34FA"/>
    <w:rsid w:val="009E3D69"/>
    <w:rsid w:val="009E3DB9"/>
    <w:rsid w:val="009E4B0C"/>
    <w:rsid w:val="009E4B72"/>
    <w:rsid w:val="009E646B"/>
    <w:rsid w:val="009E7B07"/>
    <w:rsid w:val="009F050C"/>
    <w:rsid w:val="009F1587"/>
    <w:rsid w:val="009F2591"/>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C8E"/>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2"/>
    <w:rsid w:val="00A3583F"/>
    <w:rsid w:val="00A360DF"/>
    <w:rsid w:val="00A36936"/>
    <w:rsid w:val="00A37129"/>
    <w:rsid w:val="00A3716A"/>
    <w:rsid w:val="00A37825"/>
    <w:rsid w:val="00A4105D"/>
    <w:rsid w:val="00A41757"/>
    <w:rsid w:val="00A417FE"/>
    <w:rsid w:val="00A41FA8"/>
    <w:rsid w:val="00A41FF8"/>
    <w:rsid w:val="00A426F3"/>
    <w:rsid w:val="00A42E01"/>
    <w:rsid w:val="00A44166"/>
    <w:rsid w:val="00A448E0"/>
    <w:rsid w:val="00A456F5"/>
    <w:rsid w:val="00A45C71"/>
    <w:rsid w:val="00A4628E"/>
    <w:rsid w:val="00A47209"/>
    <w:rsid w:val="00A47455"/>
    <w:rsid w:val="00A47FB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1165"/>
    <w:rsid w:val="00A64280"/>
    <w:rsid w:val="00A64C7D"/>
    <w:rsid w:val="00A64E0F"/>
    <w:rsid w:val="00A65392"/>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0497"/>
    <w:rsid w:val="00A92C9A"/>
    <w:rsid w:val="00A9370A"/>
    <w:rsid w:val="00A94A82"/>
    <w:rsid w:val="00A94E2C"/>
    <w:rsid w:val="00A94F2D"/>
    <w:rsid w:val="00A95DD5"/>
    <w:rsid w:val="00A96022"/>
    <w:rsid w:val="00A966F4"/>
    <w:rsid w:val="00A96770"/>
    <w:rsid w:val="00A96DC3"/>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4FB1"/>
    <w:rsid w:val="00AB511E"/>
    <w:rsid w:val="00AB5C16"/>
    <w:rsid w:val="00AB5C8E"/>
    <w:rsid w:val="00AB628D"/>
    <w:rsid w:val="00AB72BB"/>
    <w:rsid w:val="00AB73B7"/>
    <w:rsid w:val="00AC00B1"/>
    <w:rsid w:val="00AC0229"/>
    <w:rsid w:val="00AC12CF"/>
    <w:rsid w:val="00AC154D"/>
    <w:rsid w:val="00AC2548"/>
    <w:rsid w:val="00AC3C32"/>
    <w:rsid w:val="00AC3DB8"/>
    <w:rsid w:val="00AD100C"/>
    <w:rsid w:val="00AD2540"/>
    <w:rsid w:val="00AD274B"/>
    <w:rsid w:val="00AD3206"/>
    <w:rsid w:val="00AD38ED"/>
    <w:rsid w:val="00AD39D6"/>
    <w:rsid w:val="00AD3C97"/>
    <w:rsid w:val="00AD40FF"/>
    <w:rsid w:val="00AD4282"/>
    <w:rsid w:val="00AD4316"/>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39"/>
    <w:rsid w:val="00AF1B42"/>
    <w:rsid w:val="00AF2172"/>
    <w:rsid w:val="00AF3B8C"/>
    <w:rsid w:val="00AF3E80"/>
    <w:rsid w:val="00AF4CB2"/>
    <w:rsid w:val="00AF4E0C"/>
    <w:rsid w:val="00AF4E17"/>
    <w:rsid w:val="00AF580C"/>
    <w:rsid w:val="00AF5B71"/>
    <w:rsid w:val="00AF67FD"/>
    <w:rsid w:val="00AF6C6B"/>
    <w:rsid w:val="00AF6E07"/>
    <w:rsid w:val="00AF72B1"/>
    <w:rsid w:val="00B0093A"/>
    <w:rsid w:val="00B00AAC"/>
    <w:rsid w:val="00B02152"/>
    <w:rsid w:val="00B0229E"/>
    <w:rsid w:val="00B02BB1"/>
    <w:rsid w:val="00B02F70"/>
    <w:rsid w:val="00B02FB6"/>
    <w:rsid w:val="00B03ACC"/>
    <w:rsid w:val="00B04123"/>
    <w:rsid w:val="00B049EC"/>
    <w:rsid w:val="00B04DD6"/>
    <w:rsid w:val="00B050D6"/>
    <w:rsid w:val="00B074B9"/>
    <w:rsid w:val="00B0768C"/>
    <w:rsid w:val="00B10264"/>
    <w:rsid w:val="00B1212B"/>
    <w:rsid w:val="00B125A0"/>
    <w:rsid w:val="00B13177"/>
    <w:rsid w:val="00B13E8D"/>
    <w:rsid w:val="00B15165"/>
    <w:rsid w:val="00B1560A"/>
    <w:rsid w:val="00B15852"/>
    <w:rsid w:val="00B161B4"/>
    <w:rsid w:val="00B16887"/>
    <w:rsid w:val="00B17644"/>
    <w:rsid w:val="00B176C8"/>
    <w:rsid w:val="00B17813"/>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2FA5"/>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D2B"/>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BAE"/>
    <w:rsid w:val="00B56F11"/>
    <w:rsid w:val="00B60E54"/>
    <w:rsid w:val="00B6152A"/>
    <w:rsid w:val="00B61944"/>
    <w:rsid w:val="00B61A36"/>
    <w:rsid w:val="00B61E5C"/>
    <w:rsid w:val="00B6208F"/>
    <w:rsid w:val="00B6219D"/>
    <w:rsid w:val="00B62B0D"/>
    <w:rsid w:val="00B62E87"/>
    <w:rsid w:val="00B635E2"/>
    <w:rsid w:val="00B636E6"/>
    <w:rsid w:val="00B63A8C"/>
    <w:rsid w:val="00B63E48"/>
    <w:rsid w:val="00B646C8"/>
    <w:rsid w:val="00B64DB8"/>
    <w:rsid w:val="00B65654"/>
    <w:rsid w:val="00B658F8"/>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3F5D"/>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38A"/>
    <w:rsid w:val="00B8477B"/>
    <w:rsid w:val="00B84DE7"/>
    <w:rsid w:val="00B85245"/>
    <w:rsid w:val="00B854B7"/>
    <w:rsid w:val="00B85BB6"/>
    <w:rsid w:val="00B8650B"/>
    <w:rsid w:val="00B868FA"/>
    <w:rsid w:val="00B86B3C"/>
    <w:rsid w:val="00B876BF"/>
    <w:rsid w:val="00B87BE7"/>
    <w:rsid w:val="00B87E94"/>
    <w:rsid w:val="00B90116"/>
    <w:rsid w:val="00B90ED9"/>
    <w:rsid w:val="00B91714"/>
    <w:rsid w:val="00B923B6"/>
    <w:rsid w:val="00B9293A"/>
    <w:rsid w:val="00B93021"/>
    <w:rsid w:val="00B9380F"/>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14C"/>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7112"/>
    <w:rsid w:val="00BC7894"/>
    <w:rsid w:val="00BD0C00"/>
    <w:rsid w:val="00BD0DA0"/>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38FF"/>
    <w:rsid w:val="00C03EC7"/>
    <w:rsid w:val="00C045DA"/>
    <w:rsid w:val="00C04F09"/>
    <w:rsid w:val="00C056CD"/>
    <w:rsid w:val="00C05725"/>
    <w:rsid w:val="00C060AE"/>
    <w:rsid w:val="00C06237"/>
    <w:rsid w:val="00C06404"/>
    <w:rsid w:val="00C06502"/>
    <w:rsid w:val="00C067A6"/>
    <w:rsid w:val="00C070C1"/>
    <w:rsid w:val="00C0780B"/>
    <w:rsid w:val="00C07BB8"/>
    <w:rsid w:val="00C07CCB"/>
    <w:rsid w:val="00C1015F"/>
    <w:rsid w:val="00C1063F"/>
    <w:rsid w:val="00C11D9D"/>
    <w:rsid w:val="00C1296A"/>
    <w:rsid w:val="00C13E95"/>
    <w:rsid w:val="00C14A18"/>
    <w:rsid w:val="00C14A4F"/>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147"/>
    <w:rsid w:val="00C268F6"/>
    <w:rsid w:val="00C2697D"/>
    <w:rsid w:val="00C27D1A"/>
    <w:rsid w:val="00C31200"/>
    <w:rsid w:val="00C31A08"/>
    <w:rsid w:val="00C31BE7"/>
    <w:rsid w:val="00C32229"/>
    <w:rsid w:val="00C32DE7"/>
    <w:rsid w:val="00C32F73"/>
    <w:rsid w:val="00C32FD3"/>
    <w:rsid w:val="00C341CB"/>
    <w:rsid w:val="00C350E9"/>
    <w:rsid w:val="00C3542E"/>
    <w:rsid w:val="00C35B5E"/>
    <w:rsid w:val="00C370A0"/>
    <w:rsid w:val="00C4017A"/>
    <w:rsid w:val="00C404FF"/>
    <w:rsid w:val="00C40770"/>
    <w:rsid w:val="00C41357"/>
    <w:rsid w:val="00C41799"/>
    <w:rsid w:val="00C41B56"/>
    <w:rsid w:val="00C4244D"/>
    <w:rsid w:val="00C42C2F"/>
    <w:rsid w:val="00C43455"/>
    <w:rsid w:val="00C43B8F"/>
    <w:rsid w:val="00C4450E"/>
    <w:rsid w:val="00C44980"/>
    <w:rsid w:val="00C44E18"/>
    <w:rsid w:val="00C44E23"/>
    <w:rsid w:val="00C45268"/>
    <w:rsid w:val="00C455CD"/>
    <w:rsid w:val="00C4582D"/>
    <w:rsid w:val="00C45BBF"/>
    <w:rsid w:val="00C46708"/>
    <w:rsid w:val="00C474EF"/>
    <w:rsid w:val="00C47813"/>
    <w:rsid w:val="00C500D2"/>
    <w:rsid w:val="00C50922"/>
    <w:rsid w:val="00C51440"/>
    <w:rsid w:val="00C52089"/>
    <w:rsid w:val="00C52BD4"/>
    <w:rsid w:val="00C53204"/>
    <w:rsid w:val="00C53E87"/>
    <w:rsid w:val="00C55CDE"/>
    <w:rsid w:val="00C56885"/>
    <w:rsid w:val="00C56AE3"/>
    <w:rsid w:val="00C56D20"/>
    <w:rsid w:val="00C57069"/>
    <w:rsid w:val="00C57680"/>
    <w:rsid w:val="00C57997"/>
    <w:rsid w:val="00C60F3A"/>
    <w:rsid w:val="00C6124E"/>
    <w:rsid w:val="00C613CF"/>
    <w:rsid w:val="00C6230B"/>
    <w:rsid w:val="00C6257D"/>
    <w:rsid w:val="00C632FA"/>
    <w:rsid w:val="00C635D0"/>
    <w:rsid w:val="00C64273"/>
    <w:rsid w:val="00C647F8"/>
    <w:rsid w:val="00C65B9B"/>
    <w:rsid w:val="00C65CE0"/>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163F"/>
    <w:rsid w:val="00C81ADA"/>
    <w:rsid w:val="00C83543"/>
    <w:rsid w:val="00C83651"/>
    <w:rsid w:val="00C83754"/>
    <w:rsid w:val="00C83F2B"/>
    <w:rsid w:val="00C843FD"/>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A62B6"/>
    <w:rsid w:val="00CA6806"/>
    <w:rsid w:val="00CA7A6D"/>
    <w:rsid w:val="00CB1AC1"/>
    <w:rsid w:val="00CB26F2"/>
    <w:rsid w:val="00CB2BAE"/>
    <w:rsid w:val="00CB3166"/>
    <w:rsid w:val="00CB40D4"/>
    <w:rsid w:val="00CB4885"/>
    <w:rsid w:val="00CB51ED"/>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5EF4"/>
    <w:rsid w:val="00CC71C6"/>
    <w:rsid w:val="00CC7E7D"/>
    <w:rsid w:val="00CD016E"/>
    <w:rsid w:val="00CD0968"/>
    <w:rsid w:val="00CD1491"/>
    <w:rsid w:val="00CD2580"/>
    <w:rsid w:val="00CD2A5B"/>
    <w:rsid w:val="00CD3739"/>
    <w:rsid w:val="00CD3AE0"/>
    <w:rsid w:val="00CD3B16"/>
    <w:rsid w:val="00CD4B83"/>
    <w:rsid w:val="00CD5020"/>
    <w:rsid w:val="00CD58BA"/>
    <w:rsid w:val="00CD6145"/>
    <w:rsid w:val="00CD64DE"/>
    <w:rsid w:val="00CD6D50"/>
    <w:rsid w:val="00CD7638"/>
    <w:rsid w:val="00CD7C96"/>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298C"/>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6DB"/>
    <w:rsid w:val="00D30DBA"/>
    <w:rsid w:val="00D30EC7"/>
    <w:rsid w:val="00D33362"/>
    <w:rsid w:val="00D33363"/>
    <w:rsid w:val="00D33C0D"/>
    <w:rsid w:val="00D341F6"/>
    <w:rsid w:val="00D34C41"/>
    <w:rsid w:val="00D35BC6"/>
    <w:rsid w:val="00D3610F"/>
    <w:rsid w:val="00D3635F"/>
    <w:rsid w:val="00D36532"/>
    <w:rsid w:val="00D367F9"/>
    <w:rsid w:val="00D371E9"/>
    <w:rsid w:val="00D37FBA"/>
    <w:rsid w:val="00D40A87"/>
    <w:rsid w:val="00D40C8E"/>
    <w:rsid w:val="00D4166E"/>
    <w:rsid w:val="00D418AA"/>
    <w:rsid w:val="00D41CA2"/>
    <w:rsid w:val="00D42026"/>
    <w:rsid w:val="00D424A2"/>
    <w:rsid w:val="00D4251B"/>
    <w:rsid w:val="00D42ECA"/>
    <w:rsid w:val="00D43649"/>
    <w:rsid w:val="00D44BD1"/>
    <w:rsid w:val="00D45359"/>
    <w:rsid w:val="00D46FC5"/>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1D7C"/>
    <w:rsid w:val="00D72097"/>
    <w:rsid w:val="00D72510"/>
    <w:rsid w:val="00D73167"/>
    <w:rsid w:val="00D7322F"/>
    <w:rsid w:val="00D73481"/>
    <w:rsid w:val="00D73C07"/>
    <w:rsid w:val="00D743AB"/>
    <w:rsid w:val="00D74799"/>
    <w:rsid w:val="00D74FDC"/>
    <w:rsid w:val="00D7536B"/>
    <w:rsid w:val="00D75AD5"/>
    <w:rsid w:val="00D77067"/>
    <w:rsid w:val="00D81033"/>
    <w:rsid w:val="00D81136"/>
    <w:rsid w:val="00D82C07"/>
    <w:rsid w:val="00D82CE9"/>
    <w:rsid w:val="00D8317A"/>
    <w:rsid w:val="00D832F2"/>
    <w:rsid w:val="00D84AEE"/>
    <w:rsid w:val="00D8502A"/>
    <w:rsid w:val="00D850ED"/>
    <w:rsid w:val="00D85E53"/>
    <w:rsid w:val="00D865D9"/>
    <w:rsid w:val="00D86B99"/>
    <w:rsid w:val="00D87172"/>
    <w:rsid w:val="00D9154A"/>
    <w:rsid w:val="00D923F4"/>
    <w:rsid w:val="00D93271"/>
    <w:rsid w:val="00D93F15"/>
    <w:rsid w:val="00D9475D"/>
    <w:rsid w:val="00D96319"/>
    <w:rsid w:val="00D964D8"/>
    <w:rsid w:val="00DA020A"/>
    <w:rsid w:val="00DA07B6"/>
    <w:rsid w:val="00DA0CA2"/>
    <w:rsid w:val="00DA158D"/>
    <w:rsid w:val="00DA1D14"/>
    <w:rsid w:val="00DA2D8D"/>
    <w:rsid w:val="00DA3B52"/>
    <w:rsid w:val="00DA4151"/>
    <w:rsid w:val="00DA4B87"/>
    <w:rsid w:val="00DA5129"/>
    <w:rsid w:val="00DA54E7"/>
    <w:rsid w:val="00DA5795"/>
    <w:rsid w:val="00DA5945"/>
    <w:rsid w:val="00DA62CE"/>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1E63"/>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BFD"/>
    <w:rsid w:val="00DF7D55"/>
    <w:rsid w:val="00E00E3A"/>
    <w:rsid w:val="00E013E9"/>
    <w:rsid w:val="00E013EF"/>
    <w:rsid w:val="00E017F2"/>
    <w:rsid w:val="00E01B2C"/>
    <w:rsid w:val="00E01EF8"/>
    <w:rsid w:val="00E02578"/>
    <w:rsid w:val="00E0267C"/>
    <w:rsid w:val="00E02932"/>
    <w:rsid w:val="00E02CE1"/>
    <w:rsid w:val="00E03B4B"/>
    <w:rsid w:val="00E043FA"/>
    <w:rsid w:val="00E04ACE"/>
    <w:rsid w:val="00E05EA9"/>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92F"/>
    <w:rsid w:val="00E27B4B"/>
    <w:rsid w:val="00E3028E"/>
    <w:rsid w:val="00E311CE"/>
    <w:rsid w:val="00E31B6C"/>
    <w:rsid w:val="00E31D2B"/>
    <w:rsid w:val="00E31E30"/>
    <w:rsid w:val="00E31E40"/>
    <w:rsid w:val="00E33520"/>
    <w:rsid w:val="00E33741"/>
    <w:rsid w:val="00E33D3D"/>
    <w:rsid w:val="00E341FA"/>
    <w:rsid w:val="00E351B8"/>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435"/>
    <w:rsid w:val="00E447FF"/>
    <w:rsid w:val="00E44850"/>
    <w:rsid w:val="00E455A1"/>
    <w:rsid w:val="00E45DF0"/>
    <w:rsid w:val="00E45F05"/>
    <w:rsid w:val="00E478B0"/>
    <w:rsid w:val="00E47A30"/>
    <w:rsid w:val="00E50E09"/>
    <w:rsid w:val="00E51F55"/>
    <w:rsid w:val="00E531FE"/>
    <w:rsid w:val="00E540CA"/>
    <w:rsid w:val="00E54462"/>
    <w:rsid w:val="00E54583"/>
    <w:rsid w:val="00E55F46"/>
    <w:rsid w:val="00E5633C"/>
    <w:rsid w:val="00E56E97"/>
    <w:rsid w:val="00E56EE4"/>
    <w:rsid w:val="00E57504"/>
    <w:rsid w:val="00E60A17"/>
    <w:rsid w:val="00E60A80"/>
    <w:rsid w:val="00E621FE"/>
    <w:rsid w:val="00E62CBA"/>
    <w:rsid w:val="00E63E08"/>
    <w:rsid w:val="00E648F7"/>
    <w:rsid w:val="00E64CC9"/>
    <w:rsid w:val="00E65D50"/>
    <w:rsid w:val="00E65E40"/>
    <w:rsid w:val="00E67861"/>
    <w:rsid w:val="00E67D3C"/>
    <w:rsid w:val="00E702B9"/>
    <w:rsid w:val="00E71269"/>
    <w:rsid w:val="00E71EAE"/>
    <w:rsid w:val="00E74F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4988"/>
    <w:rsid w:val="00E86047"/>
    <w:rsid w:val="00E86711"/>
    <w:rsid w:val="00E86798"/>
    <w:rsid w:val="00E90BD7"/>
    <w:rsid w:val="00E90CAB"/>
    <w:rsid w:val="00E90E54"/>
    <w:rsid w:val="00E9118C"/>
    <w:rsid w:val="00E911AC"/>
    <w:rsid w:val="00E914A9"/>
    <w:rsid w:val="00E92595"/>
    <w:rsid w:val="00E92824"/>
    <w:rsid w:val="00E92FE6"/>
    <w:rsid w:val="00E93342"/>
    <w:rsid w:val="00E94929"/>
    <w:rsid w:val="00E9535A"/>
    <w:rsid w:val="00E9569C"/>
    <w:rsid w:val="00E968B6"/>
    <w:rsid w:val="00E96D3C"/>
    <w:rsid w:val="00E97839"/>
    <w:rsid w:val="00E97BE5"/>
    <w:rsid w:val="00EA20EB"/>
    <w:rsid w:val="00EA2148"/>
    <w:rsid w:val="00EA2C19"/>
    <w:rsid w:val="00EA3031"/>
    <w:rsid w:val="00EA3072"/>
    <w:rsid w:val="00EA3B39"/>
    <w:rsid w:val="00EA3B87"/>
    <w:rsid w:val="00EA3BBF"/>
    <w:rsid w:val="00EA3EA7"/>
    <w:rsid w:val="00EA4F63"/>
    <w:rsid w:val="00EA5703"/>
    <w:rsid w:val="00EA689E"/>
    <w:rsid w:val="00EA7C5F"/>
    <w:rsid w:val="00EA7E12"/>
    <w:rsid w:val="00EA7FAC"/>
    <w:rsid w:val="00EB0480"/>
    <w:rsid w:val="00EB0603"/>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6C9B"/>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6F46"/>
    <w:rsid w:val="00ED7403"/>
    <w:rsid w:val="00ED7AA8"/>
    <w:rsid w:val="00EE057C"/>
    <w:rsid w:val="00EE070A"/>
    <w:rsid w:val="00EE0858"/>
    <w:rsid w:val="00EE1CC8"/>
    <w:rsid w:val="00EE236A"/>
    <w:rsid w:val="00EE23FE"/>
    <w:rsid w:val="00EE2649"/>
    <w:rsid w:val="00EE3015"/>
    <w:rsid w:val="00EE31AF"/>
    <w:rsid w:val="00EE34A1"/>
    <w:rsid w:val="00EE41A1"/>
    <w:rsid w:val="00EE50C5"/>
    <w:rsid w:val="00EE536C"/>
    <w:rsid w:val="00EE53E7"/>
    <w:rsid w:val="00EE71BF"/>
    <w:rsid w:val="00EE73E5"/>
    <w:rsid w:val="00EE78A6"/>
    <w:rsid w:val="00EE7B44"/>
    <w:rsid w:val="00EE7D04"/>
    <w:rsid w:val="00EE7FB9"/>
    <w:rsid w:val="00EF09AC"/>
    <w:rsid w:val="00EF14D1"/>
    <w:rsid w:val="00EF1DD2"/>
    <w:rsid w:val="00EF58F2"/>
    <w:rsid w:val="00EF60C8"/>
    <w:rsid w:val="00EF6733"/>
    <w:rsid w:val="00EF6AD7"/>
    <w:rsid w:val="00F006A9"/>
    <w:rsid w:val="00F009EB"/>
    <w:rsid w:val="00F017FB"/>
    <w:rsid w:val="00F01F0F"/>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37A3B"/>
    <w:rsid w:val="00F40084"/>
    <w:rsid w:val="00F40094"/>
    <w:rsid w:val="00F40516"/>
    <w:rsid w:val="00F40646"/>
    <w:rsid w:val="00F42591"/>
    <w:rsid w:val="00F426C8"/>
    <w:rsid w:val="00F4377C"/>
    <w:rsid w:val="00F44809"/>
    <w:rsid w:val="00F45459"/>
    <w:rsid w:val="00F46D5A"/>
    <w:rsid w:val="00F47305"/>
    <w:rsid w:val="00F5036E"/>
    <w:rsid w:val="00F519A9"/>
    <w:rsid w:val="00F52AF5"/>
    <w:rsid w:val="00F53204"/>
    <w:rsid w:val="00F533F1"/>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3E9C"/>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2721"/>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AD1"/>
    <w:rsid w:val="00FA3C84"/>
    <w:rsid w:val="00FA46ED"/>
    <w:rsid w:val="00FA4A5E"/>
    <w:rsid w:val="00FA4B22"/>
    <w:rsid w:val="00FA5437"/>
    <w:rsid w:val="00FA5829"/>
    <w:rsid w:val="00FA746C"/>
    <w:rsid w:val="00FA7B8D"/>
    <w:rsid w:val="00FB0C83"/>
    <w:rsid w:val="00FB1043"/>
    <w:rsid w:val="00FB1B12"/>
    <w:rsid w:val="00FB20F3"/>
    <w:rsid w:val="00FB43AC"/>
    <w:rsid w:val="00FB47EA"/>
    <w:rsid w:val="00FB567E"/>
    <w:rsid w:val="00FB7C38"/>
    <w:rsid w:val="00FB7F1F"/>
    <w:rsid w:val="00FC0033"/>
    <w:rsid w:val="00FC00D5"/>
    <w:rsid w:val="00FC054A"/>
    <w:rsid w:val="00FC0790"/>
    <w:rsid w:val="00FC0A05"/>
    <w:rsid w:val="00FC0A0D"/>
    <w:rsid w:val="00FC0F4A"/>
    <w:rsid w:val="00FC1289"/>
    <w:rsid w:val="00FC16C4"/>
    <w:rsid w:val="00FC2C91"/>
    <w:rsid w:val="00FC3459"/>
    <w:rsid w:val="00FC387F"/>
    <w:rsid w:val="00FC4C6D"/>
    <w:rsid w:val="00FC4DC2"/>
    <w:rsid w:val="00FC5311"/>
    <w:rsid w:val="00FC6A00"/>
    <w:rsid w:val="00FC6C11"/>
    <w:rsid w:val="00FC7940"/>
    <w:rsid w:val="00FC7B46"/>
    <w:rsid w:val="00FC7B74"/>
    <w:rsid w:val="00FD0CFA"/>
    <w:rsid w:val="00FD1246"/>
    <w:rsid w:val="00FD1CE7"/>
    <w:rsid w:val="00FD1D4B"/>
    <w:rsid w:val="00FD1F76"/>
    <w:rsid w:val="00FD230C"/>
    <w:rsid w:val="00FD2612"/>
    <w:rsid w:val="00FD30CD"/>
    <w:rsid w:val="00FD3AA9"/>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33EF"/>
    <w:rsid w:val="00FF479B"/>
    <w:rsid w:val="00FF5100"/>
    <w:rsid w:val="00FF5C53"/>
    <w:rsid w:val="00FF5D9A"/>
    <w:rsid w:val="00FF63AC"/>
    <w:rsid w:val="00FF6AA1"/>
    <w:rsid w:val="00FF7735"/>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9D09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9D0950"/>
  </w:style>
  <w:style w:type="character" w:customStyle="1" w:styleId="ng-star-inserted">
    <w:name w:val="ng-star-inserted"/>
    <w:basedOn w:val="Fuentedeprrafopredeter"/>
    <w:rsid w:val="009D0950"/>
  </w:style>
  <w:style w:type="character" w:customStyle="1" w:styleId="corte4fondoCar">
    <w:name w:val="corte4 fondo Car"/>
    <w:basedOn w:val="Fuentedeprrafopredeter"/>
    <w:locked/>
    <w:rsid w:val="00B8438A"/>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37432">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15217522">
      <w:bodyDiv w:val="1"/>
      <w:marLeft w:val="0"/>
      <w:marRight w:val="0"/>
      <w:marTop w:val="0"/>
      <w:marBottom w:val="0"/>
      <w:divBdr>
        <w:top w:val="none" w:sz="0" w:space="0" w:color="auto"/>
        <w:left w:val="none" w:sz="0" w:space="0" w:color="auto"/>
        <w:bottom w:val="none" w:sz="0" w:space="0" w:color="auto"/>
        <w:right w:val="none" w:sz="0" w:space="0" w:color="auto"/>
      </w:divBdr>
    </w:div>
    <w:div w:id="501316581">
      <w:bodyDiv w:val="1"/>
      <w:marLeft w:val="0"/>
      <w:marRight w:val="0"/>
      <w:marTop w:val="0"/>
      <w:marBottom w:val="0"/>
      <w:divBdr>
        <w:top w:val="none" w:sz="0" w:space="0" w:color="auto"/>
        <w:left w:val="none" w:sz="0" w:space="0" w:color="auto"/>
        <w:bottom w:val="none" w:sz="0" w:space="0" w:color="auto"/>
        <w:right w:val="none" w:sz="0" w:space="0" w:color="auto"/>
      </w:divBdr>
    </w:div>
    <w:div w:id="58458191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79189426">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64276925">
      <w:bodyDiv w:val="1"/>
      <w:marLeft w:val="0"/>
      <w:marRight w:val="0"/>
      <w:marTop w:val="0"/>
      <w:marBottom w:val="0"/>
      <w:divBdr>
        <w:top w:val="none" w:sz="0" w:space="0" w:color="auto"/>
        <w:left w:val="none" w:sz="0" w:space="0" w:color="auto"/>
        <w:bottom w:val="none" w:sz="0" w:space="0" w:color="auto"/>
        <w:right w:val="none" w:sz="0" w:space="0" w:color="auto"/>
      </w:divBdr>
    </w:div>
    <w:div w:id="1586526074">
      <w:bodyDiv w:val="1"/>
      <w:marLeft w:val="0"/>
      <w:marRight w:val="0"/>
      <w:marTop w:val="0"/>
      <w:marBottom w:val="0"/>
      <w:divBdr>
        <w:top w:val="none" w:sz="0" w:space="0" w:color="auto"/>
        <w:left w:val="none" w:sz="0" w:space="0" w:color="auto"/>
        <w:bottom w:val="none" w:sz="0" w:space="0" w:color="auto"/>
        <w:right w:val="none" w:sz="0" w:space="0" w:color="auto"/>
      </w:divBdr>
    </w:div>
    <w:div w:id="1697197913">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 w:id="209685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EDD8C-3FE9-40A0-AB7E-06A76B272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13</Pages>
  <Words>4705</Words>
  <Characters>25883</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35</cp:revision>
  <cp:lastPrinted>2021-06-11T18:15:00Z</cp:lastPrinted>
  <dcterms:created xsi:type="dcterms:W3CDTF">2021-10-12T03:53:00Z</dcterms:created>
  <dcterms:modified xsi:type="dcterms:W3CDTF">2022-02-08T18:19:00Z</dcterms:modified>
</cp:coreProperties>
</file>