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11D60" w:rsidRPr="00195BF9" w14:paraId="27E2DA36" w14:textId="77777777" w:rsidTr="00374B1F">
        <w:trPr>
          <w:trHeight w:val="587"/>
        </w:trPr>
        <w:tc>
          <w:tcPr>
            <w:tcW w:w="2356" w:type="dxa"/>
          </w:tcPr>
          <w:p w14:paraId="7258D087" w14:textId="77777777" w:rsidR="00611D60" w:rsidRPr="00195BF9" w:rsidRDefault="00611D60" w:rsidP="00426D79">
            <w:pPr>
              <w:spacing w:after="0" w:line="240" w:lineRule="auto"/>
              <w:rPr>
                <w:rFonts w:ascii="Arial" w:hAnsi="Arial" w:cs="Arial"/>
                <w:b/>
                <w:sz w:val="24"/>
                <w:szCs w:val="24"/>
              </w:rPr>
            </w:pPr>
            <w:r w:rsidRPr="00195BF9">
              <w:rPr>
                <w:rFonts w:ascii="Arial" w:hAnsi="Arial" w:cs="Arial"/>
                <w:b/>
                <w:sz w:val="24"/>
                <w:szCs w:val="24"/>
              </w:rPr>
              <w:t xml:space="preserve">     </w:t>
            </w:r>
          </w:p>
        </w:tc>
        <w:tc>
          <w:tcPr>
            <w:tcW w:w="7426" w:type="dxa"/>
          </w:tcPr>
          <w:p w14:paraId="5444C7DF" w14:textId="77777777" w:rsidR="00611D60" w:rsidRPr="00195BF9" w:rsidRDefault="00611D60" w:rsidP="00426D79">
            <w:pPr>
              <w:tabs>
                <w:tab w:val="left" w:pos="3103"/>
              </w:tabs>
              <w:spacing w:after="0" w:line="240" w:lineRule="auto"/>
              <w:ind w:left="2394"/>
              <w:jc w:val="both"/>
              <w:rPr>
                <w:rFonts w:ascii="Arial" w:hAnsi="Arial" w:cs="Arial"/>
                <w:b/>
                <w:i/>
                <w:iCs/>
                <w:caps/>
                <w:sz w:val="24"/>
                <w:szCs w:val="24"/>
              </w:rPr>
            </w:pPr>
            <w:r w:rsidRPr="00195BF9">
              <w:rPr>
                <w:rFonts w:ascii="Arial" w:hAnsi="Arial" w:cs="Arial"/>
                <w:b/>
                <w:i/>
                <w:iCs/>
                <w:caps/>
                <w:sz w:val="24"/>
                <w:szCs w:val="24"/>
              </w:rPr>
              <w:t xml:space="preserve">                       </w:t>
            </w:r>
          </w:p>
          <w:p w14:paraId="6DB4A787" w14:textId="77777777" w:rsidR="00611D60" w:rsidRPr="00195BF9" w:rsidRDefault="00611D60" w:rsidP="005C2192">
            <w:pPr>
              <w:tabs>
                <w:tab w:val="left" w:pos="3103"/>
              </w:tabs>
              <w:spacing w:after="0" w:line="240" w:lineRule="auto"/>
              <w:ind w:left="1050" w:right="703"/>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14:paraId="468BC700" w14:textId="77777777" w:rsidR="00611D60" w:rsidRPr="00195BF9" w:rsidRDefault="00611D60" w:rsidP="005C2192">
            <w:pPr>
              <w:pStyle w:val="Encabezado"/>
              <w:tabs>
                <w:tab w:val="clear" w:pos="4252"/>
              </w:tabs>
              <w:ind w:left="1050" w:right="703"/>
              <w:jc w:val="both"/>
              <w:rPr>
                <w:rFonts w:ascii="Arial" w:hAnsi="Arial" w:cs="Arial"/>
                <w:b/>
                <w:iCs/>
                <w:caps/>
                <w:lang w:val="es-PE"/>
              </w:rPr>
            </w:pPr>
            <w:r w:rsidRPr="00195BF9">
              <w:rPr>
                <w:rFonts w:ascii="Arial" w:hAnsi="Arial" w:cs="Arial"/>
                <w:b/>
                <w:iCs/>
                <w:caps/>
                <w:lang w:val="es-PE"/>
              </w:rPr>
              <w:t xml:space="preserve">               </w:t>
            </w:r>
          </w:p>
          <w:p w14:paraId="7B5E26A2" w14:textId="77777777" w:rsidR="00611D60" w:rsidRDefault="00DD6CE1" w:rsidP="005C2192">
            <w:pPr>
              <w:pStyle w:val="Encabezado"/>
              <w:tabs>
                <w:tab w:val="clear" w:pos="4252"/>
              </w:tabs>
              <w:ind w:left="1050" w:right="703"/>
              <w:jc w:val="both"/>
              <w:rPr>
                <w:rFonts w:ascii="Arial" w:hAnsi="Arial" w:cs="Arial"/>
                <w:b/>
                <w:iCs/>
                <w:caps/>
                <w:lang w:val="es-PE"/>
              </w:rPr>
            </w:pPr>
            <w:r>
              <w:rPr>
                <w:rFonts w:ascii="Arial" w:hAnsi="Arial" w:cs="Arial"/>
                <w:b/>
                <w:iCs/>
                <w:caps/>
                <w:lang w:val="es-PE"/>
              </w:rPr>
              <w:t xml:space="preserve">RECURSO DE REVISIÓN:   </w:t>
            </w:r>
            <w:r w:rsidR="00045924">
              <w:rPr>
                <w:rFonts w:ascii="Arial" w:hAnsi="Arial" w:cs="Arial"/>
                <w:b/>
                <w:iCs/>
                <w:caps/>
                <w:lang w:val="es-PE"/>
              </w:rPr>
              <w:t>0</w:t>
            </w:r>
            <w:r w:rsidR="001904B7">
              <w:rPr>
                <w:rFonts w:ascii="Arial" w:hAnsi="Arial" w:cs="Arial"/>
                <w:b/>
                <w:iCs/>
                <w:caps/>
                <w:lang w:val="es-PE"/>
              </w:rPr>
              <w:t>169</w:t>
            </w:r>
            <w:r w:rsidR="00045924">
              <w:rPr>
                <w:rFonts w:ascii="Arial" w:hAnsi="Arial" w:cs="Arial"/>
                <w:b/>
                <w:iCs/>
                <w:caps/>
                <w:lang w:val="es-PE"/>
              </w:rPr>
              <w:t>/2021.</w:t>
            </w:r>
            <w:r w:rsidR="00611D60" w:rsidRPr="00195BF9">
              <w:rPr>
                <w:rFonts w:ascii="Arial" w:hAnsi="Arial" w:cs="Arial"/>
                <w:b/>
                <w:iCs/>
                <w:caps/>
                <w:lang w:val="es-PE"/>
              </w:rPr>
              <w:t xml:space="preserve"> </w:t>
            </w:r>
          </w:p>
          <w:p w14:paraId="65FD1AAC" w14:textId="77777777" w:rsidR="00611D60" w:rsidRDefault="00611D60" w:rsidP="005C2192">
            <w:pPr>
              <w:pStyle w:val="Encabezado"/>
              <w:tabs>
                <w:tab w:val="clear" w:pos="4252"/>
              </w:tabs>
              <w:ind w:left="1050" w:right="703"/>
              <w:jc w:val="both"/>
              <w:rPr>
                <w:rFonts w:ascii="Arial" w:hAnsi="Arial" w:cs="Arial"/>
                <w:b/>
                <w:iCs/>
                <w:caps/>
                <w:lang w:val="es-PE"/>
              </w:rPr>
            </w:pPr>
          </w:p>
          <w:p w14:paraId="39F52235" w14:textId="394E46F0" w:rsidR="00611D60" w:rsidRPr="00195BF9" w:rsidRDefault="00DD6CE1" w:rsidP="005C2192">
            <w:pPr>
              <w:pStyle w:val="Encabezado"/>
              <w:tabs>
                <w:tab w:val="clear" w:pos="4252"/>
              </w:tabs>
              <w:ind w:left="1050" w:right="703"/>
              <w:jc w:val="both"/>
              <w:rPr>
                <w:rFonts w:ascii="Arial" w:hAnsi="Arial" w:cs="Arial"/>
                <w:b/>
                <w:iCs/>
                <w:caps/>
                <w:lang w:val="es-PE"/>
              </w:rPr>
            </w:pPr>
            <w:r>
              <w:rPr>
                <w:rFonts w:ascii="Arial" w:hAnsi="Arial" w:cs="Arial"/>
                <w:b/>
                <w:iCs/>
                <w:caps/>
                <w:lang w:val="es-PE"/>
              </w:rPr>
              <w:t xml:space="preserve">EXPEDIENTE: </w:t>
            </w:r>
            <w:r w:rsidR="00045924">
              <w:rPr>
                <w:rFonts w:ascii="Arial" w:hAnsi="Arial" w:cs="Arial"/>
                <w:b/>
                <w:iCs/>
                <w:caps/>
                <w:lang w:val="es-PE"/>
              </w:rPr>
              <w:t>01</w:t>
            </w:r>
            <w:r w:rsidR="001904B7">
              <w:rPr>
                <w:rFonts w:ascii="Arial" w:hAnsi="Arial" w:cs="Arial"/>
                <w:b/>
                <w:iCs/>
                <w:caps/>
                <w:lang w:val="es-PE"/>
              </w:rPr>
              <w:t>56</w:t>
            </w:r>
            <w:r w:rsidR="00045924">
              <w:rPr>
                <w:rFonts w:ascii="Arial" w:hAnsi="Arial" w:cs="Arial"/>
                <w:b/>
                <w:iCs/>
                <w:caps/>
                <w:lang w:val="es-PE"/>
              </w:rPr>
              <w:t>/2020</w:t>
            </w:r>
            <w:r w:rsidR="00611D60" w:rsidRPr="00195BF9">
              <w:rPr>
                <w:rFonts w:ascii="Arial" w:hAnsi="Arial" w:cs="Arial"/>
                <w:b/>
                <w:iCs/>
                <w:caps/>
                <w:lang w:val="es-PE"/>
              </w:rPr>
              <w:t xml:space="preserve"> DE LA </w:t>
            </w:r>
            <w:r w:rsidR="001904B7">
              <w:rPr>
                <w:rFonts w:ascii="Arial" w:hAnsi="Arial" w:cs="Arial"/>
                <w:b/>
                <w:iCs/>
                <w:caps/>
                <w:lang w:val="es-PE"/>
              </w:rPr>
              <w:t>SEXTA</w:t>
            </w:r>
            <w:r w:rsidR="00045924">
              <w:rPr>
                <w:rFonts w:ascii="Arial" w:hAnsi="Arial" w:cs="Arial"/>
                <w:b/>
                <w:iCs/>
                <w:caps/>
                <w:lang w:val="es-PE"/>
              </w:rPr>
              <w:t xml:space="preserve"> </w:t>
            </w:r>
            <w:r w:rsidR="00611D60" w:rsidRPr="00195BF9">
              <w:rPr>
                <w:rFonts w:ascii="Arial" w:hAnsi="Arial" w:cs="Arial"/>
                <w:b/>
                <w:iCs/>
                <w:caps/>
                <w:lang w:val="es-PE"/>
              </w:rPr>
              <w:t>SALA UNITARIA DE PRIMERA INSTANCIA</w:t>
            </w:r>
            <w:r w:rsidR="00045924">
              <w:rPr>
                <w:rFonts w:ascii="Arial" w:hAnsi="Arial" w:cs="Arial"/>
                <w:b/>
                <w:iCs/>
                <w:caps/>
                <w:lang w:val="es-PE"/>
              </w:rPr>
              <w:t>.</w:t>
            </w:r>
          </w:p>
          <w:p w14:paraId="0C2E3069" w14:textId="77777777" w:rsidR="00611D60" w:rsidRPr="00195BF9" w:rsidRDefault="00611D60" w:rsidP="005C2192">
            <w:pPr>
              <w:pStyle w:val="Encabezado"/>
              <w:tabs>
                <w:tab w:val="clear" w:pos="4252"/>
              </w:tabs>
              <w:ind w:left="1050" w:right="703"/>
              <w:jc w:val="both"/>
              <w:rPr>
                <w:rFonts w:ascii="Arial" w:hAnsi="Arial" w:cs="Arial"/>
                <w:b/>
                <w:iCs/>
                <w:caps/>
                <w:lang w:val="es-PE"/>
              </w:rPr>
            </w:pPr>
            <w:r w:rsidRPr="00195BF9">
              <w:rPr>
                <w:rFonts w:ascii="Arial" w:hAnsi="Arial" w:cs="Arial"/>
                <w:b/>
                <w:iCs/>
                <w:caps/>
                <w:lang w:val="es-PE"/>
              </w:rPr>
              <w:t xml:space="preserve">       </w:t>
            </w:r>
          </w:p>
          <w:p w14:paraId="6303E7DC" w14:textId="77777777" w:rsidR="00611D60" w:rsidRPr="00195BF9" w:rsidRDefault="00611D60" w:rsidP="005C2192">
            <w:pPr>
              <w:pStyle w:val="Encabezado"/>
              <w:tabs>
                <w:tab w:val="clear" w:pos="4252"/>
              </w:tabs>
              <w:ind w:left="1050" w:right="703"/>
              <w:jc w:val="both"/>
              <w:rPr>
                <w:rFonts w:ascii="Arial" w:hAnsi="Arial" w:cs="Arial"/>
                <w:b/>
                <w:iCs/>
                <w:caps/>
                <w:lang w:val="es-PE"/>
              </w:rPr>
            </w:pPr>
            <w:r w:rsidRPr="00195BF9">
              <w:rPr>
                <w:rFonts w:ascii="Arial" w:hAnsi="Arial" w:cs="Arial"/>
                <w:b/>
                <w:iCs/>
                <w:caps/>
                <w:lang w:val="es-PE"/>
              </w:rPr>
              <w:t>ponente:</w:t>
            </w:r>
            <w:r w:rsidR="00A033AA">
              <w:rPr>
                <w:rFonts w:ascii="Arial" w:hAnsi="Arial" w:cs="Arial"/>
                <w:b/>
                <w:iCs/>
                <w:caps/>
                <w:lang w:val="es-PE"/>
              </w:rPr>
              <w:t xml:space="preserve"> magistradA</w:t>
            </w:r>
            <w:r w:rsidR="00060E3D">
              <w:rPr>
                <w:rFonts w:ascii="Arial" w:hAnsi="Arial" w:cs="Arial"/>
                <w:b/>
                <w:iCs/>
                <w:caps/>
                <w:lang w:val="es-PE"/>
              </w:rPr>
              <w:t xml:space="preserve"> </w:t>
            </w:r>
            <w:r w:rsidR="00045924">
              <w:rPr>
                <w:rFonts w:ascii="Arial" w:hAnsi="Arial" w:cs="Arial"/>
                <w:b/>
                <w:iCs/>
                <w:caps/>
                <w:lang w:val="es-PE"/>
              </w:rPr>
              <w:t>GLORIA DEL CARMEN CAMACHO MEZA.</w:t>
            </w:r>
          </w:p>
        </w:tc>
      </w:tr>
      <w:tr w:rsidR="00611D60" w:rsidRPr="00195BF9" w14:paraId="09F36319" w14:textId="77777777" w:rsidTr="00426D79">
        <w:tc>
          <w:tcPr>
            <w:tcW w:w="2356" w:type="dxa"/>
          </w:tcPr>
          <w:p w14:paraId="44DA03B0" w14:textId="77777777" w:rsidR="00611D60" w:rsidRPr="00195BF9" w:rsidRDefault="00611D60" w:rsidP="00426D79">
            <w:pPr>
              <w:spacing w:after="0" w:line="240" w:lineRule="auto"/>
              <w:rPr>
                <w:rFonts w:ascii="Arial" w:hAnsi="Arial" w:cs="Arial"/>
                <w:b/>
                <w:sz w:val="24"/>
                <w:szCs w:val="24"/>
              </w:rPr>
            </w:pPr>
          </w:p>
        </w:tc>
        <w:tc>
          <w:tcPr>
            <w:tcW w:w="7426" w:type="dxa"/>
          </w:tcPr>
          <w:p w14:paraId="7ACC4802" w14:textId="77777777" w:rsidR="00611D60" w:rsidRPr="00195BF9" w:rsidRDefault="00611D60" w:rsidP="00426D79">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611D60" w:rsidRPr="00195BF9" w14:paraId="20C64DE2" w14:textId="77777777" w:rsidTr="00426D79">
        <w:tc>
          <w:tcPr>
            <w:tcW w:w="2356" w:type="dxa"/>
          </w:tcPr>
          <w:p w14:paraId="592D7EFC" w14:textId="77777777" w:rsidR="00611D60" w:rsidRPr="00195BF9" w:rsidRDefault="00611D60" w:rsidP="00426D79">
            <w:pPr>
              <w:spacing w:after="0" w:line="240" w:lineRule="auto"/>
              <w:rPr>
                <w:rFonts w:ascii="Arial" w:hAnsi="Arial" w:cs="Arial"/>
                <w:b/>
                <w:sz w:val="24"/>
                <w:szCs w:val="24"/>
              </w:rPr>
            </w:pPr>
          </w:p>
        </w:tc>
        <w:tc>
          <w:tcPr>
            <w:tcW w:w="7426" w:type="dxa"/>
          </w:tcPr>
          <w:p w14:paraId="416D7FA2" w14:textId="77777777" w:rsidR="00611D60" w:rsidRPr="00195BF9" w:rsidRDefault="00611D60" w:rsidP="00426D79">
            <w:pPr>
              <w:tabs>
                <w:tab w:val="left" w:pos="3103"/>
              </w:tabs>
              <w:spacing w:after="0" w:line="240" w:lineRule="auto"/>
              <w:ind w:left="2961" w:hanging="2961"/>
              <w:jc w:val="both"/>
              <w:rPr>
                <w:rFonts w:ascii="Arial" w:hAnsi="Arial" w:cs="Arial"/>
                <w:b/>
                <w:i/>
                <w:iCs/>
                <w:caps/>
                <w:sz w:val="24"/>
                <w:szCs w:val="24"/>
              </w:rPr>
            </w:pPr>
          </w:p>
        </w:tc>
      </w:tr>
    </w:tbl>
    <w:p w14:paraId="72A69D62" w14:textId="54818A20" w:rsidR="00611D60" w:rsidRPr="00985F01" w:rsidRDefault="00611D60" w:rsidP="00374B1F">
      <w:pPr>
        <w:spacing w:line="360" w:lineRule="auto"/>
        <w:jc w:val="both"/>
        <w:rPr>
          <w:rFonts w:ascii="Arial" w:hAnsi="Arial" w:cs="Arial"/>
          <w:b/>
          <w:sz w:val="26"/>
          <w:szCs w:val="26"/>
          <w:lang w:val="es-MX"/>
        </w:rPr>
      </w:pPr>
      <w:r w:rsidRPr="00985F01">
        <w:rPr>
          <w:rFonts w:ascii="Arial" w:hAnsi="Arial" w:cs="Arial"/>
          <w:b/>
          <w:sz w:val="26"/>
          <w:szCs w:val="26"/>
          <w:lang w:val="es-MX"/>
        </w:rPr>
        <w:t xml:space="preserve">OAXACA DE JUÁREZ, OAXACA, </w:t>
      </w:r>
      <w:r w:rsidR="00374B1F" w:rsidRPr="00985F01">
        <w:rPr>
          <w:rFonts w:ascii="Arial" w:hAnsi="Arial" w:cs="Arial"/>
          <w:b/>
          <w:sz w:val="26"/>
          <w:szCs w:val="26"/>
          <w:lang w:val="es-MX"/>
        </w:rPr>
        <w:t xml:space="preserve">A </w:t>
      </w:r>
      <w:r w:rsidR="00374B1F">
        <w:rPr>
          <w:rFonts w:ascii="Arial" w:hAnsi="Arial" w:cs="Arial"/>
          <w:b/>
          <w:sz w:val="26"/>
          <w:szCs w:val="26"/>
          <w:lang w:val="es-MX"/>
        </w:rPr>
        <w:t xml:space="preserve">VEINTIOCHO DE OCTUBRE </w:t>
      </w:r>
      <w:r w:rsidR="006B2CAA">
        <w:rPr>
          <w:rFonts w:ascii="Arial" w:hAnsi="Arial" w:cs="Arial"/>
          <w:b/>
          <w:sz w:val="26"/>
          <w:szCs w:val="26"/>
          <w:lang w:val="es-MX"/>
        </w:rPr>
        <w:t>DE DOS MIL VEINTIUNO</w:t>
      </w:r>
      <w:r w:rsidRPr="00985F01">
        <w:rPr>
          <w:rFonts w:ascii="Arial" w:hAnsi="Arial" w:cs="Arial"/>
          <w:b/>
          <w:sz w:val="26"/>
          <w:szCs w:val="26"/>
          <w:lang w:val="es-MX"/>
        </w:rPr>
        <w:t>. - - - - - - - - - - - - - - - - - - - - - - - - - - - - - - - - - - -</w:t>
      </w:r>
      <w:r w:rsidR="00985F01">
        <w:rPr>
          <w:rFonts w:ascii="Arial" w:hAnsi="Arial" w:cs="Arial"/>
          <w:b/>
          <w:sz w:val="26"/>
          <w:szCs w:val="26"/>
          <w:lang w:val="es-MX"/>
        </w:rPr>
        <w:t xml:space="preserve"> </w:t>
      </w:r>
    </w:p>
    <w:p w14:paraId="5278881A" w14:textId="6DDABDE3" w:rsidR="00AC6562" w:rsidRDefault="00060E3D" w:rsidP="009A2E12">
      <w:pPr>
        <w:spacing w:line="360" w:lineRule="auto"/>
        <w:jc w:val="both"/>
        <w:rPr>
          <w:rFonts w:ascii="Arial" w:hAnsi="Arial" w:cs="Arial"/>
          <w:sz w:val="26"/>
          <w:szCs w:val="26"/>
          <w:lang w:val="es-MX"/>
        </w:rPr>
      </w:pPr>
      <w:r w:rsidRPr="00985F01">
        <w:rPr>
          <w:rFonts w:ascii="Arial" w:hAnsi="Arial" w:cs="Arial"/>
          <w:sz w:val="26"/>
          <w:szCs w:val="26"/>
          <w:lang w:val="es-MX"/>
        </w:rPr>
        <w:t xml:space="preserve">      </w:t>
      </w:r>
      <w:r w:rsidR="00C46753">
        <w:rPr>
          <w:rFonts w:ascii="Arial" w:hAnsi="Arial" w:cs="Arial"/>
          <w:sz w:val="26"/>
          <w:szCs w:val="26"/>
          <w:lang w:val="es-MX"/>
        </w:rPr>
        <w:tab/>
      </w:r>
      <w:r w:rsidR="00611D60" w:rsidRPr="00985F01">
        <w:rPr>
          <w:rFonts w:ascii="Arial" w:hAnsi="Arial" w:cs="Arial"/>
          <w:sz w:val="26"/>
          <w:szCs w:val="26"/>
          <w:lang w:val="es-MX"/>
        </w:rPr>
        <w:t xml:space="preserve">Por recibido el Cuaderno de Revisión </w:t>
      </w:r>
      <w:r w:rsidR="00C46753">
        <w:rPr>
          <w:rFonts w:ascii="Arial" w:hAnsi="Arial" w:cs="Arial"/>
          <w:b/>
          <w:sz w:val="26"/>
          <w:szCs w:val="26"/>
          <w:lang w:val="es-MX"/>
        </w:rPr>
        <w:t>0169/</w:t>
      </w:r>
      <w:r w:rsidR="006B2CAA">
        <w:rPr>
          <w:rFonts w:ascii="Arial" w:hAnsi="Arial" w:cs="Arial"/>
          <w:b/>
          <w:sz w:val="26"/>
          <w:szCs w:val="26"/>
          <w:lang w:val="es-MX"/>
        </w:rPr>
        <w:t>2021</w:t>
      </w:r>
      <w:r w:rsidR="00611D60" w:rsidRPr="00985F01">
        <w:rPr>
          <w:rFonts w:ascii="Arial" w:hAnsi="Arial" w:cs="Arial"/>
          <w:sz w:val="26"/>
          <w:szCs w:val="26"/>
          <w:lang w:val="es-MX"/>
        </w:rPr>
        <w:t>, que remite la Secretaría General de Acuerdos, con motivo del recurso de revisión interpuesto po</w:t>
      </w:r>
      <w:r w:rsidR="00D85971" w:rsidRPr="00985F01">
        <w:rPr>
          <w:rFonts w:ascii="Arial" w:hAnsi="Arial" w:cs="Arial"/>
          <w:sz w:val="26"/>
          <w:szCs w:val="26"/>
          <w:lang w:val="es-MX"/>
        </w:rPr>
        <w:t xml:space="preserve">r </w:t>
      </w:r>
      <w:r w:rsidR="00FC68A6">
        <w:rPr>
          <w:rFonts w:ascii="Arial" w:hAnsi="Arial" w:cs="Arial"/>
          <w:b/>
          <w:bCs/>
          <w:sz w:val="26"/>
          <w:szCs w:val="26"/>
        </w:rPr>
        <w:t>***********</w:t>
      </w:r>
      <w:r w:rsidR="00FC68A6">
        <w:rPr>
          <w:rFonts w:ascii="Arial" w:hAnsi="Arial" w:cs="Arial"/>
          <w:b/>
          <w:bCs/>
          <w:sz w:val="26"/>
          <w:szCs w:val="26"/>
        </w:rPr>
        <w:t xml:space="preserve"> </w:t>
      </w:r>
      <w:r w:rsidR="00C46753">
        <w:rPr>
          <w:rFonts w:ascii="Arial" w:hAnsi="Arial" w:cs="Arial"/>
          <w:b/>
          <w:bCs/>
          <w:sz w:val="26"/>
          <w:szCs w:val="26"/>
          <w:lang w:val="es-MX"/>
        </w:rPr>
        <w:t xml:space="preserve">o </w:t>
      </w:r>
      <w:r w:rsidR="00FC68A6">
        <w:rPr>
          <w:rFonts w:ascii="Arial" w:hAnsi="Arial" w:cs="Arial"/>
          <w:b/>
          <w:bCs/>
          <w:sz w:val="26"/>
          <w:szCs w:val="26"/>
        </w:rPr>
        <w:t>***********</w:t>
      </w:r>
      <w:r w:rsidR="00C46753" w:rsidRPr="003776A9">
        <w:rPr>
          <w:rFonts w:ascii="Arial" w:hAnsi="Arial" w:cs="Arial"/>
          <w:b/>
          <w:bCs/>
          <w:sz w:val="26"/>
          <w:szCs w:val="26"/>
          <w:lang w:val="es-MX"/>
        </w:rPr>
        <w:t xml:space="preserve">, </w:t>
      </w:r>
      <w:r w:rsidR="00FC68A6">
        <w:rPr>
          <w:rFonts w:ascii="Arial" w:hAnsi="Arial" w:cs="Arial"/>
          <w:b/>
          <w:bCs/>
          <w:sz w:val="26"/>
          <w:szCs w:val="26"/>
        </w:rPr>
        <w:t>***********</w:t>
      </w:r>
      <w:r w:rsidR="00FC68A6">
        <w:rPr>
          <w:rFonts w:ascii="Arial" w:hAnsi="Arial" w:cs="Arial"/>
          <w:b/>
          <w:bCs/>
          <w:sz w:val="26"/>
          <w:szCs w:val="26"/>
        </w:rPr>
        <w:t xml:space="preserve"> </w:t>
      </w:r>
      <w:r w:rsidR="00C46753" w:rsidRPr="003776A9">
        <w:rPr>
          <w:rFonts w:ascii="Arial" w:hAnsi="Arial" w:cs="Arial"/>
          <w:b/>
          <w:bCs/>
          <w:sz w:val="26"/>
          <w:szCs w:val="26"/>
          <w:lang w:val="es-MX"/>
        </w:rPr>
        <w:t xml:space="preserve">Y </w:t>
      </w:r>
      <w:r w:rsidR="00FC68A6">
        <w:rPr>
          <w:rFonts w:ascii="Arial" w:hAnsi="Arial" w:cs="Arial"/>
          <w:b/>
          <w:bCs/>
          <w:sz w:val="26"/>
          <w:szCs w:val="26"/>
        </w:rPr>
        <w:t>***********</w:t>
      </w:r>
      <w:r w:rsidR="00C46753" w:rsidRPr="003776A9">
        <w:rPr>
          <w:rFonts w:ascii="Arial" w:hAnsi="Arial" w:cs="Arial"/>
          <w:b/>
          <w:bCs/>
          <w:sz w:val="26"/>
          <w:szCs w:val="26"/>
          <w:lang w:val="es-MX"/>
        </w:rPr>
        <w:t xml:space="preserve">, </w:t>
      </w:r>
      <w:r w:rsidR="00611D60" w:rsidRPr="003776A9">
        <w:rPr>
          <w:rFonts w:ascii="Arial" w:hAnsi="Arial" w:cs="Arial"/>
          <w:sz w:val="26"/>
          <w:szCs w:val="26"/>
          <w:lang w:val="es-MX"/>
        </w:rPr>
        <w:t>en contra de</w:t>
      </w:r>
      <w:r w:rsidR="005B4E44" w:rsidRPr="003776A9">
        <w:rPr>
          <w:rFonts w:ascii="Arial" w:hAnsi="Arial" w:cs="Arial"/>
          <w:sz w:val="26"/>
          <w:szCs w:val="26"/>
          <w:lang w:val="es-MX"/>
        </w:rPr>
        <w:t>l acuerdo</w:t>
      </w:r>
      <w:r w:rsidR="00D85971" w:rsidRPr="003776A9">
        <w:rPr>
          <w:rFonts w:ascii="Arial" w:hAnsi="Arial" w:cs="Arial"/>
          <w:sz w:val="26"/>
          <w:szCs w:val="26"/>
          <w:lang w:val="es-MX"/>
        </w:rPr>
        <w:t xml:space="preserve"> de </w:t>
      </w:r>
      <w:r w:rsidR="00C46753" w:rsidRPr="003776A9">
        <w:rPr>
          <w:rFonts w:ascii="Arial" w:hAnsi="Arial" w:cs="Arial"/>
          <w:sz w:val="26"/>
          <w:szCs w:val="26"/>
          <w:lang w:val="es-MX"/>
        </w:rPr>
        <w:t>catorce de abril de dos mil veintiuno</w:t>
      </w:r>
      <w:r w:rsidR="006B2CAA" w:rsidRPr="003776A9">
        <w:rPr>
          <w:rFonts w:ascii="Arial" w:hAnsi="Arial" w:cs="Arial"/>
          <w:sz w:val="26"/>
          <w:szCs w:val="26"/>
          <w:lang w:val="es-MX"/>
        </w:rPr>
        <w:t>,</w:t>
      </w:r>
      <w:r w:rsidR="00C46753" w:rsidRPr="003776A9">
        <w:rPr>
          <w:rFonts w:ascii="Arial" w:hAnsi="Arial" w:cs="Arial"/>
          <w:sz w:val="26"/>
          <w:szCs w:val="26"/>
          <w:lang w:val="es-MX"/>
        </w:rPr>
        <w:t xml:space="preserve"> dictado</w:t>
      </w:r>
      <w:r w:rsidR="00550A42" w:rsidRPr="003776A9">
        <w:rPr>
          <w:rFonts w:ascii="Arial" w:hAnsi="Arial" w:cs="Arial"/>
          <w:sz w:val="26"/>
          <w:szCs w:val="26"/>
          <w:lang w:val="es-MX"/>
        </w:rPr>
        <w:t xml:space="preserve"> por </w:t>
      </w:r>
      <w:r w:rsidR="00611D60" w:rsidRPr="003776A9">
        <w:rPr>
          <w:rFonts w:ascii="Arial" w:hAnsi="Arial" w:cs="Arial"/>
          <w:sz w:val="26"/>
          <w:szCs w:val="26"/>
          <w:lang w:val="es-MX"/>
        </w:rPr>
        <w:t xml:space="preserve">la </w:t>
      </w:r>
      <w:r w:rsidR="00C46753" w:rsidRPr="003776A9">
        <w:rPr>
          <w:rFonts w:ascii="Arial" w:hAnsi="Arial" w:cs="Arial"/>
          <w:sz w:val="26"/>
          <w:szCs w:val="26"/>
          <w:lang w:val="es-MX"/>
        </w:rPr>
        <w:t>Sexta</w:t>
      </w:r>
      <w:r w:rsidR="006B2CAA" w:rsidRPr="003776A9">
        <w:rPr>
          <w:rFonts w:ascii="Arial" w:hAnsi="Arial" w:cs="Arial"/>
          <w:sz w:val="26"/>
          <w:szCs w:val="26"/>
          <w:lang w:val="es-MX"/>
        </w:rPr>
        <w:t xml:space="preserve"> </w:t>
      </w:r>
      <w:r w:rsidR="00611D60" w:rsidRPr="003776A9">
        <w:rPr>
          <w:rFonts w:ascii="Arial" w:hAnsi="Arial" w:cs="Arial"/>
          <w:sz w:val="26"/>
          <w:szCs w:val="26"/>
          <w:lang w:val="es-MX"/>
        </w:rPr>
        <w:t xml:space="preserve">Sala Unitaria del Tribunal de Justicia Administrativa del Estado de Oaxaca en el expediente </w:t>
      </w:r>
      <w:r w:rsidR="00C46753" w:rsidRPr="003776A9">
        <w:rPr>
          <w:rFonts w:ascii="Arial" w:hAnsi="Arial" w:cs="Arial"/>
          <w:b/>
          <w:sz w:val="26"/>
          <w:szCs w:val="26"/>
          <w:lang w:val="es-MX"/>
        </w:rPr>
        <w:t>0156</w:t>
      </w:r>
      <w:r w:rsidR="006B2CAA" w:rsidRPr="003776A9">
        <w:rPr>
          <w:rFonts w:ascii="Arial" w:hAnsi="Arial" w:cs="Arial"/>
          <w:b/>
          <w:sz w:val="26"/>
          <w:szCs w:val="26"/>
          <w:lang w:val="es-MX"/>
        </w:rPr>
        <w:t>/2020</w:t>
      </w:r>
      <w:r w:rsidR="00611D60" w:rsidRPr="003776A9">
        <w:rPr>
          <w:rFonts w:ascii="Arial" w:hAnsi="Arial" w:cs="Arial"/>
          <w:sz w:val="26"/>
          <w:szCs w:val="26"/>
          <w:lang w:val="es-MX"/>
        </w:rPr>
        <w:t xml:space="preserve"> de su índice, relativo al juicio de nulidad promovido</w:t>
      </w:r>
      <w:r w:rsidR="00122C3E" w:rsidRPr="003776A9">
        <w:rPr>
          <w:rFonts w:ascii="Arial" w:hAnsi="Arial" w:cs="Arial"/>
          <w:sz w:val="26"/>
          <w:szCs w:val="26"/>
          <w:lang w:val="es-MX"/>
        </w:rPr>
        <w:t xml:space="preserve"> </w:t>
      </w:r>
      <w:r w:rsidR="00611D60" w:rsidRPr="003776A9">
        <w:rPr>
          <w:rFonts w:ascii="Arial" w:hAnsi="Arial" w:cs="Arial"/>
          <w:sz w:val="26"/>
          <w:szCs w:val="26"/>
          <w:lang w:val="es-MX"/>
        </w:rPr>
        <w:t>por</w:t>
      </w:r>
      <w:r w:rsidR="00611D60" w:rsidRPr="003776A9">
        <w:rPr>
          <w:rFonts w:ascii="Arial" w:hAnsi="Arial" w:cs="Arial"/>
          <w:b/>
          <w:sz w:val="26"/>
          <w:szCs w:val="26"/>
          <w:lang w:val="es-MX"/>
        </w:rPr>
        <w:t xml:space="preserve"> </w:t>
      </w:r>
      <w:r w:rsidR="00C46753" w:rsidRPr="003776A9">
        <w:rPr>
          <w:rFonts w:ascii="Arial" w:hAnsi="Arial" w:cs="Arial"/>
          <w:b/>
          <w:sz w:val="26"/>
          <w:szCs w:val="26"/>
          <w:lang w:val="es-MX"/>
        </w:rPr>
        <w:t>LOS RECURRENTES</w:t>
      </w:r>
      <w:r w:rsidR="00C46753" w:rsidRPr="003776A9">
        <w:rPr>
          <w:rFonts w:ascii="Arial" w:hAnsi="Arial" w:cs="Arial"/>
          <w:b/>
          <w:bCs/>
          <w:sz w:val="26"/>
          <w:szCs w:val="26"/>
          <w:lang w:val="es-MX"/>
        </w:rPr>
        <w:t>,</w:t>
      </w:r>
      <w:r w:rsidR="00C46753" w:rsidRPr="003776A9">
        <w:rPr>
          <w:rFonts w:ascii="Arial" w:hAnsi="Arial" w:cs="Arial"/>
          <w:sz w:val="26"/>
          <w:szCs w:val="26"/>
          <w:lang w:val="es-MX"/>
        </w:rPr>
        <w:t xml:space="preserve"> en contra del </w:t>
      </w:r>
      <w:r w:rsidR="00C46753" w:rsidRPr="003776A9">
        <w:rPr>
          <w:rFonts w:ascii="Arial" w:hAnsi="Arial" w:cs="Arial"/>
          <w:b/>
          <w:bCs/>
          <w:sz w:val="26"/>
          <w:szCs w:val="26"/>
          <w:lang w:val="es-MX"/>
        </w:rPr>
        <w:t xml:space="preserve">TITULAR DEL ÓRGANO DE FISCALIZACIÓN DEL ESTADO DE OAXACA Y COORDINADORA DE COBRO COACTIVO DE LA DIRECCIÓN DE INGRESOS Y RECAUDACIÓN DE LA SECRETARÍA DE FINANZAS DEL ESTADO DE OAXACA, </w:t>
      </w:r>
      <w:r w:rsidR="00611D60" w:rsidRPr="003776A9">
        <w:rPr>
          <w:rFonts w:ascii="Arial" w:hAnsi="Arial" w:cs="Arial"/>
          <w:sz w:val="26"/>
          <w:szCs w:val="26"/>
          <w:lang w:val="es-MX"/>
        </w:rPr>
        <w:t>por lo que con fundamento en los artículos 2</w:t>
      </w:r>
      <w:r w:rsidR="009A2E12" w:rsidRPr="003776A9">
        <w:rPr>
          <w:rFonts w:ascii="Arial" w:hAnsi="Arial" w:cs="Arial"/>
          <w:sz w:val="26"/>
          <w:szCs w:val="26"/>
          <w:lang w:val="es-MX"/>
        </w:rPr>
        <w:t>3</w:t>
      </w:r>
      <w:r w:rsidR="00611D60" w:rsidRPr="003776A9">
        <w:rPr>
          <w:rFonts w:ascii="Arial" w:hAnsi="Arial" w:cs="Arial"/>
          <w:sz w:val="26"/>
          <w:szCs w:val="26"/>
          <w:lang w:val="es-MX"/>
        </w:rPr>
        <w:t>6 y 2</w:t>
      </w:r>
      <w:r w:rsidR="009A2E12" w:rsidRPr="003776A9">
        <w:rPr>
          <w:rFonts w:ascii="Arial" w:hAnsi="Arial" w:cs="Arial"/>
          <w:sz w:val="26"/>
          <w:szCs w:val="26"/>
          <w:lang w:val="es-MX"/>
        </w:rPr>
        <w:t>3</w:t>
      </w:r>
      <w:r w:rsidR="00611D60" w:rsidRPr="003776A9">
        <w:rPr>
          <w:rFonts w:ascii="Arial" w:hAnsi="Arial" w:cs="Arial"/>
          <w:sz w:val="26"/>
          <w:szCs w:val="26"/>
          <w:lang w:val="es-MX"/>
        </w:rPr>
        <w:t xml:space="preserve">7 de la Ley de </w:t>
      </w:r>
      <w:r w:rsidR="009A2E12" w:rsidRPr="003776A9">
        <w:rPr>
          <w:rFonts w:ascii="Arial" w:hAnsi="Arial" w:cs="Arial"/>
          <w:sz w:val="26"/>
          <w:szCs w:val="26"/>
          <w:lang w:val="es-MX"/>
        </w:rPr>
        <w:t xml:space="preserve">Procedimiento y </w:t>
      </w:r>
      <w:r w:rsidR="00611D60" w:rsidRPr="003776A9">
        <w:rPr>
          <w:rFonts w:ascii="Arial" w:hAnsi="Arial" w:cs="Arial"/>
          <w:sz w:val="26"/>
          <w:szCs w:val="26"/>
          <w:lang w:val="es-MX"/>
        </w:rPr>
        <w:t>Justicia Administrativa para el Estado de Oax</w:t>
      </w:r>
      <w:r w:rsidR="00985F01" w:rsidRPr="003776A9">
        <w:rPr>
          <w:rFonts w:ascii="Arial" w:hAnsi="Arial" w:cs="Arial"/>
          <w:sz w:val="26"/>
          <w:szCs w:val="26"/>
          <w:lang w:val="es-MX"/>
        </w:rPr>
        <w:t>aca</w:t>
      </w:r>
      <w:r w:rsidR="001C35FA" w:rsidRPr="003776A9">
        <w:rPr>
          <w:rFonts w:ascii="Arial" w:hAnsi="Arial" w:cs="Arial"/>
          <w:sz w:val="26"/>
          <w:szCs w:val="26"/>
          <w:lang w:val="es-MX"/>
        </w:rPr>
        <w:t xml:space="preserve">, </w:t>
      </w:r>
      <w:r w:rsidR="00611D60" w:rsidRPr="003776A9">
        <w:rPr>
          <w:rFonts w:ascii="Arial" w:hAnsi="Arial" w:cs="Arial"/>
          <w:sz w:val="26"/>
          <w:szCs w:val="26"/>
          <w:lang w:val="es-MX"/>
        </w:rPr>
        <w:t>se procede a dictar resolución en los siguientes términos:</w:t>
      </w:r>
      <w:r w:rsidR="009A2E12" w:rsidRPr="003776A9">
        <w:rPr>
          <w:rFonts w:ascii="Arial" w:hAnsi="Arial" w:cs="Arial"/>
          <w:sz w:val="26"/>
          <w:szCs w:val="26"/>
          <w:lang w:val="es-MX"/>
        </w:rPr>
        <w:t xml:space="preserve">- - - - - - - - - - - - - - - - - - - - - - - - - - - - - -  - - - - - - - - - - - - - - - </w:t>
      </w:r>
    </w:p>
    <w:p w14:paraId="7CF0A0F9" w14:textId="750A2C14" w:rsidR="00611D60" w:rsidRPr="003776A9" w:rsidRDefault="00611D60" w:rsidP="00AC6562">
      <w:pPr>
        <w:spacing w:line="360" w:lineRule="auto"/>
        <w:jc w:val="center"/>
        <w:rPr>
          <w:rFonts w:ascii="Arial" w:hAnsi="Arial" w:cs="Arial"/>
          <w:bCs/>
          <w:sz w:val="26"/>
          <w:szCs w:val="26"/>
          <w:lang w:val="es-MX"/>
        </w:rPr>
      </w:pPr>
      <w:r w:rsidRPr="003776A9">
        <w:rPr>
          <w:rFonts w:ascii="Arial" w:hAnsi="Arial" w:cs="Arial"/>
          <w:b/>
          <w:bCs/>
          <w:sz w:val="26"/>
          <w:szCs w:val="26"/>
          <w:lang w:val="es-MX"/>
        </w:rPr>
        <w:t>R E S U L T A N D O</w:t>
      </w:r>
    </w:p>
    <w:p w14:paraId="365C71B6" w14:textId="7D7D08E5" w:rsidR="00611D60" w:rsidRPr="003776A9" w:rsidRDefault="00611D60" w:rsidP="00611D60">
      <w:pPr>
        <w:spacing w:line="360" w:lineRule="auto"/>
        <w:ind w:firstLine="709"/>
        <w:jc w:val="both"/>
        <w:rPr>
          <w:rFonts w:ascii="Arial" w:hAnsi="Arial" w:cs="Arial"/>
          <w:sz w:val="26"/>
          <w:szCs w:val="26"/>
          <w:lang w:val="es-MX"/>
        </w:rPr>
      </w:pPr>
      <w:r w:rsidRPr="003776A9">
        <w:rPr>
          <w:rFonts w:ascii="Arial" w:hAnsi="Arial" w:cs="Arial"/>
          <w:b/>
          <w:bCs/>
          <w:sz w:val="26"/>
          <w:szCs w:val="26"/>
          <w:lang w:val="es-MX"/>
        </w:rPr>
        <w:t xml:space="preserve">PRIMERO. </w:t>
      </w:r>
      <w:r w:rsidRPr="003776A9">
        <w:rPr>
          <w:rFonts w:ascii="Arial" w:hAnsi="Arial" w:cs="Arial"/>
          <w:sz w:val="26"/>
          <w:szCs w:val="26"/>
          <w:lang w:val="es-MX"/>
        </w:rPr>
        <w:t xml:space="preserve">Inconforme con </w:t>
      </w:r>
      <w:r w:rsidR="005B4E44" w:rsidRPr="003776A9">
        <w:rPr>
          <w:rFonts w:ascii="Arial" w:hAnsi="Arial" w:cs="Arial"/>
          <w:sz w:val="26"/>
          <w:szCs w:val="26"/>
          <w:lang w:val="es-MX"/>
        </w:rPr>
        <w:t xml:space="preserve">el acuerdo dictado el </w:t>
      </w:r>
      <w:r w:rsidR="00C46753" w:rsidRPr="003776A9">
        <w:rPr>
          <w:rFonts w:ascii="Arial" w:hAnsi="Arial" w:cs="Arial"/>
          <w:sz w:val="26"/>
          <w:szCs w:val="26"/>
          <w:lang w:val="es-MX"/>
        </w:rPr>
        <w:t>catorce de abril de dos mil veintiuno,</w:t>
      </w:r>
      <w:r w:rsidR="005B4E44" w:rsidRPr="003776A9">
        <w:rPr>
          <w:rFonts w:ascii="Arial" w:hAnsi="Arial" w:cs="Arial"/>
          <w:sz w:val="26"/>
          <w:szCs w:val="26"/>
          <w:lang w:val="es-MX"/>
        </w:rPr>
        <w:t xml:space="preserve"> por </w:t>
      </w:r>
      <w:r w:rsidR="00EB2813" w:rsidRPr="003776A9">
        <w:rPr>
          <w:rFonts w:ascii="Arial" w:hAnsi="Arial" w:cs="Arial"/>
          <w:sz w:val="26"/>
          <w:szCs w:val="26"/>
          <w:lang w:val="es-MX"/>
        </w:rPr>
        <w:t>la</w:t>
      </w:r>
      <w:r w:rsidR="005B4E44" w:rsidRPr="003776A9">
        <w:rPr>
          <w:rFonts w:ascii="Arial" w:hAnsi="Arial" w:cs="Arial"/>
          <w:sz w:val="26"/>
          <w:szCs w:val="26"/>
          <w:lang w:val="es-MX"/>
        </w:rPr>
        <w:t xml:space="preserve"> Se</w:t>
      </w:r>
      <w:r w:rsidR="00C46753" w:rsidRPr="003776A9">
        <w:rPr>
          <w:rFonts w:ascii="Arial" w:hAnsi="Arial" w:cs="Arial"/>
          <w:sz w:val="26"/>
          <w:szCs w:val="26"/>
          <w:lang w:val="es-MX"/>
        </w:rPr>
        <w:t>xta</w:t>
      </w:r>
      <w:r w:rsidRPr="003776A9">
        <w:rPr>
          <w:rFonts w:ascii="Arial" w:hAnsi="Arial" w:cs="Arial"/>
          <w:sz w:val="26"/>
          <w:szCs w:val="26"/>
          <w:lang w:val="es-MX"/>
        </w:rPr>
        <w:t xml:space="preserve"> Sala Unitaria de Primera Instancia, </w:t>
      </w:r>
      <w:r w:rsidR="00FC68A6">
        <w:rPr>
          <w:rFonts w:ascii="Arial" w:hAnsi="Arial" w:cs="Arial"/>
          <w:b/>
          <w:bCs/>
          <w:sz w:val="26"/>
          <w:szCs w:val="26"/>
        </w:rPr>
        <w:t xml:space="preserve">*********** </w:t>
      </w:r>
      <w:r w:rsidR="00FC68A6">
        <w:rPr>
          <w:rFonts w:ascii="Arial" w:hAnsi="Arial" w:cs="Arial"/>
          <w:b/>
          <w:bCs/>
          <w:sz w:val="26"/>
          <w:szCs w:val="26"/>
          <w:lang w:val="es-MX"/>
        </w:rPr>
        <w:t xml:space="preserve">o </w:t>
      </w:r>
      <w:r w:rsidR="00FC68A6">
        <w:rPr>
          <w:rFonts w:ascii="Arial" w:hAnsi="Arial" w:cs="Arial"/>
          <w:b/>
          <w:bCs/>
          <w:sz w:val="26"/>
          <w:szCs w:val="26"/>
        </w:rPr>
        <w:t>***********</w:t>
      </w:r>
      <w:r w:rsidR="00FC68A6" w:rsidRPr="003776A9">
        <w:rPr>
          <w:rFonts w:ascii="Arial" w:hAnsi="Arial" w:cs="Arial"/>
          <w:b/>
          <w:bCs/>
          <w:sz w:val="26"/>
          <w:szCs w:val="26"/>
          <w:lang w:val="es-MX"/>
        </w:rPr>
        <w:t xml:space="preserve">, </w:t>
      </w:r>
      <w:r w:rsidR="00FC68A6">
        <w:rPr>
          <w:rFonts w:ascii="Arial" w:hAnsi="Arial" w:cs="Arial"/>
          <w:b/>
          <w:bCs/>
          <w:sz w:val="26"/>
          <w:szCs w:val="26"/>
        </w:rPr>
        <w:t xml:space="preserve">*********** </w:t>
      </w:r>
      <w:r w:rsidR="00FC68A6" w:rsidRPr="003776A9">
        <w:rPr>
          <w:rFonts w:ascii="Arial" w:hAnsi="Arial" w:cs="Arial"/>
          <w:b/>
          <w:bCs/>
          <w:sz w:val="26"/>
          <w:szCs w:val="26"/>
          <w:lang w:val="es-MX"/>
        </w:rPr>
        <w:t xml:space="preserve">Y </w:t>
      </w:r>
      <w:r w:rsidR="00FC68A6">
        <w:rPr>
          <w:rFonts w:ascii="Arial" w:hAnsi="Arial" w:cs="Arial"/>
          <w:b/>
          <w:bCs/>
          <w:sz w:val="26"/>
          <w:szCs w:val="26"/>
        </w:rPr>
        <w:t>***********</w:t>
      </w:r>
      <w:r w:rsidR="00985F01" w:rsidRPr="003776A9">
        <w:rPr>
          <w:rFonts w:ascii="Arial" w:hAnsi="Arial" w:cs="Arial"/>
          <w:b/>
          <w:bCs/>
          <w:sz w:val="26"/>
          <w:szCs w:val="26"/>
          <w:lang w:val="es-MX"/>
        </w:rPr>
        <w:t>,</w:t>
      </w:r>
      <w:r w:rsidRPr="003776A9">
        <w:rPr>
          <w:rFonts w:ascii="Arial" w:hAnsi="Arial" w:cs="Arial"/>
          <w:sz w:val="26"/>
          <w:szCs w:val="26"/>
          <w:lang w:val="es-MX"/>
        </w:rPr>
        <w:t xml:space="preserve"> interpone</w:t>
      </w:r>
      <w:r w:rsidR="00C46753" w:rsidRPr="003776A9">
        <w:rPr>
          <w:rFonts w:ascii="Arial" w:hAnsi="Arial" w:cs="Arial"/>
          <w:sz w:val="26"/>
          <w:szCs w:val="26"/>
          <w:lang w:val="es-MX"/>
        </w:rPr>
        <w:t>n</w:t>
      </w:r>
      <w:r w:rsidRPr="003776A9">
        <w:rPr>
          <w:rFonts w:ascii="Arial" w:hAnsi="Arial" w:cs="Arial"/>
          <w:sz w:val="26"/>
          <w:szCs w:val="26"/>
          <w:lang w:val="es-MX"/>
        </w:rPr>
        <w:t xml:space="preserve"> en su contra recurso de revisión.</w:t>
      </w:r>
      <w:r w:rsidR="005B4E44" w:rsidRPr="003776A9">
        <w:rPr>
          <w:rFonts w:ascii="Arial" w:hAnsi="Arial" w:cs="Arial"/>
          <w:sz w:val="26"/>
          <w:szCs w:val="26"/>
          <w:lang w:val="es-MX"/>
        </w:rPr>
        <w:t xml:space="preserve">- - - - - </w:t>
      </w:r>
      <w:r w:rsidR="00EB2813" w:rsidRPr="003776A9">
        <w:rPr>
          <w:rFonts w:ascii="Arial" w:hAnsi="Arial" w:cs="Arial"/>
          <w:sz w:val="26"/>
          <w:szCs w:val="26"/>
          <w:lang w:val="es-MX"/>
        </w:rPr>
        <w:t xml:space="preserve">- - - - - - - - - - - - - - - - - - - - - - - - - - - - </w:t>
      </w:r>
      <w:r w:rsidR="00FC68A6">
        <w:rPr>
          <w:rFonts w:ascii="Arial" w:hAnsi="Arial" w:cs="Arial"/>
          <w:sz w:val="26"/>
          <w:szCs w:val="26"/>
          <w:lang w:val="es-MX"/>
        </w:rPr>
        <w:t xml:space="preserve">- - - - - </w:t>
      </w:r>
    </w:p>
    <w:p w14:paraId="13831355" w14:textId="46D6716D" w:rsidR="005B4E44" w:rsidRPr="003776A9" w:rsidRDefault="00611D60" w:rsidP="00611D60">
      <w:pPr>
        <w:spacing w:after="0" w:line="360" w:lineRule="auto"/>
        <w:jc w:val="both"/>
        <w:rPr>
          <w:rFonts w:ascii="Arial" w:eastAsia="Calibri" w:hAnsi="Arial" w:cs="Arial"/>
          <w:sz w:val="24"/>
          <w:szCs w:val="24"/>
        </w:rPr>
      </w:pPr>
      <w:r w:rsidRPr="003776A9">
        <w:rPr>
          <w:rFonts w:ascii="Arial" w:hAnsi="Arial" w:cs="Arial"/>
          <w:b/>
          <w:bCs/>
          <w:sz w:val="24"/>
          <w:szCs w:val="24"/>
          <w:lang w:val="es-MX"/>
        </w:rPr>
        <w:tab/>
        <w:t xml:space="preserve">SEGUNDO.- </w:t>
      </w:r>
      <w:r w:rsidR="005B4E44" w:rsidRPr="003776A9">
        <w:rPr>
          <w:rFonts w:ascii="Arial" w:hAnsi="Arial" w:cs="Arial"/>
          <w:sz w:val="24"/>
          <w:szCs w:val="24"/>
          <w:lang w:val="es-MX"/>
        </w:rPr>
        <w:t>El acuerdo recurrido e</w:t>
      </w:r>
      <w:r w:rsidR="009821D2" w:rsidRPr="003776A9">
        <w:rPr>
          <w:rFonts w:ascii="Arial" w:hAnsi="Arial" w:cs="Arial"/>
          <w:sz w:val="24"/>
          <w:szCs w:val="24"/>
          <w:lang w:val="es-MX"/>
        </w:rPr>
        <w:t>n la parte que interesa se señala</w:t>
      </w:r>
      <w:r w:rsidR="005B4E44" w:rsidRPr="003776A9">
        <w:rPr>
          <w:rFonts w:ascii="Arial" w:hAnsi="Arial" w:cs="Arial"/>
          <w:sz w:val="24"/>
          <w:szCs w:val="24"/>
          <w:lang w:val="es-MX"/>
        </w:rPr>
        <w:t xml:space="preserve">:- - </w:t>
      </w:r>
    </w:p>
    <w:p w14:paraId="268970E8" w14:textId="77777777" w:rsidR="005B4E44" w:rsidRPr="003776A9" w:rsidRDefault="00985F01" w:rsidP="00006D93">
      <w:pPr>
        <w:spacing w:after="0" w:line="360" w:lineRule="auto"/>
        <w:ind w:left="1134" w:right="1345" w:firstLine="282"/>
        <w:jc w:val="both"/>
        <w:rPr>
          <w:rFonts w:ascii="Arial" w:hAnsi="Arial" w:cs="Arial"/>
          <w:bCs/>
          <w:i/>
          <w:iCs/>
        </w:rPr>
      </w:pPr>
      <w:r w:rsidRPr="003776A9">
        <w:rPr>
          <w:rFonts w:ascii="Arial" w:hAnsi="Arial" w:cs="Arial"/>
          <w:b/>
          <w:bCs/>
          <w:i/>
          <w:iCs/>
        </w:rPr>
        <w:t>“</w:t>
      </w:r>
      <w:r w:rsidR="009821D2" w:rsidRPr="003776A9">
        <w:rPr>
          <w:rFonts w:ascii="Arial" w:hAnsi="Arial" w:cs="Arial"/>
          <w:bCs/>
          <w:i/>
          <w:iCs/>
        </w:rPr>
        <w:t>[…]</w:t>
      </w:r>
    </w:p>
    <w:p w14:paraId="01BD43A2" w14:textId="507C7CD1" w:rsidR="00006D93" w:rsidRPr="00006D93" w:rsidRDefault="00244523" w:rsidP="007D4A71">
      <w:pPr>
        <w:spacing w:before="120" w:after="0"/>
        <w:ind w:left="851" w:right="1349"/>
        <w:jc w:val="both"/>
        <w:rPr>
          <w:rFonts w:ascii="Arial" w:hAnsi="Arial" w:cs="Arial"/>
          <w:i/>
        </w:rPr>
      </w:pPr>
      <w:r w:rsidRPr="003776A9">
        <w:rPr>
          <w:rFonts w:ascii="Arial" w:hAnsi="Arial" w:cs="Arial"/>
          <w:bCs/>
          <w:i/>
          <w:iCs/>
        </w:rPr>
        <w:tab/>
      </w:r>
      <w:r w:rsidR="00006D93" w:rsidRPr="003776A9">
        <w:rPr>
          <w:rFonts w:ascii="Arial" w:hAnsi="Arial" w:cs="Arial"/>
          <w:i/>
        </w:rPr>
        <w:t xml:space="preserve">Por recibido en la Oficialía de Partes Común de Primera Instancia de este Tribunal el día dieciséis de marzo del presente año, el escrito de </w:t>
      </w:r>
      <w:r w:rsidR="00FC68A6">
        <w:rPr>
          <w:rFonts w:ascii="Arial" w:hAnsi="Arial" w:cs="Arial"/>
          <w:b/>
          <w:bCs/>
          <w:sz w:val="26"/>
          <w:szCs w:val="26"/>
        </w:rPr>
        <w:t xml:space="preserve">*********** </w:t>
      </w:r>
      <w:r w:rsidR="00FC68A6">
        <w:rPr>
          <w:rFonts w:ascii="Arial" w:hAnsi="Arial" w:cs="Arial"/>
          <w:b/>
          <w:bCs/>
          <w:sz w:val="26"/>
          <w:szCs w:val="26"/>
          <w:lang w:val="es-MX"/>
        </w:rPr>
        <w:t xml:space="preserve">o </w:t>
      </w:r>
      <w:r w:rsidR="00FC68A6">
        <w:rPr>
          <w:rFonts w:ascii="Arial" w:hAnsi="Arial" w:cs="Arial"/>
          <w:b/>
          <w:bCs/>
          <w:sz w:val="26"/>
          <w:szCs w:val="26"/>
        </w:rPr>
        <w:t>***********</w:t>
      </w:r>
      <w:r w:rsidR="00FC68A6" w:rsidRPr="003776A9">
        <w:rPr>
          <w:rFonts w:ascii="Arial" w:hAnsi="Arial" w:cs="Arial"/>
          <w:b/>
          <w:bCs/>
          <w:sz w:val="26"/>
          <w:szCs w:val="26"/>
          <w:lang w:val="es-MX"/>
        </w:rPr>
        <w:t xml:space="preserve">, </w:t>
      </w:r>
      <w:r w:rsidR="00FC68A6">
        <w:rPr>
          <w:rFonts w:ascii="Arial" w:hAnsi="Arial" w:cs="Arial"/>
          <w:b/>
          <w:bCs/>
          <w:sz w:val="26"/>
          <w:szCs w:val="26"/>
        </w:rPr>
        <w:t xml:space="preserve">*********** </w:t>
      </w:r>
      <w:r w:rsidR="00FC68A6" w:rsidRPr="003776A9">
        <w:rPr>
          <w:rFonts w:ascii="Arial" w:hAnsi="Arial" w:cs="Arial"/>
          <w:b/>
          <w:bCs/>
          <w:sz w:val="26"/>
          <w:szCs w:val="26"/>
          <w:lang w:val="es-MX"/>
        </w:rPr>
        <w:t xml:space="preserve">Y </w:t>
      </w:r>
      <w:r w:rsidR="00FC68A6">
        <w:rPr>
          <w:rFonts w:ascii="Arial" w:hAnsi="Arial" w:cs="Arial"/>
          <w:b/>
          <w:bCs/>
          <w:sz w:val="26"/>
          <w:szCs w:val="26"/>
        </w:rPr>
        <w:t>***********</w:t>
      </w:r>
      <w:r w:rsidR="00006D93" w:rsidRPr="003776A9">
        <w:rPr>
          <w:rFonts w:ascii="Arial" w:hAnsi="Arial" w:cs="Arial"/>
          <w:bCs/>
          <w:i/>
        </w:rPr>
        <w:t>, con el que, exhibe original de mandamiento de ejecución 330411022000682 de once de febrero de dos mil veinte y acta</w:t>
      </w:r>
      <w:r w:rsidR="00006D93" w:rsidRPr="00006D93">
        <w:rPr>
          <w:rFonts w:ascii="Arial" w:hAnsi="Arial" w:cs="Arial"/>
          <w:bCs/>
          <w:i/>
        </w:rPr>
        <w:t xml:space="preserve"> de requerimiento de pago, suscrito por la Coordinación de Cobro Coactivo de la Dirección de Ingresos y Recaudación de la Secretaría de Finanzas del </w:t>
      </w:r>
      <w:r w:rsidR="00006D93" w:rsidRPr="00006D93">
        <w:rPr>
          <w:rFonts w:ascii="Arial" w:hAnsi="Arial" w:cs="Arial"/>
          <w:bCs/>
          <w:i/>
        </w:rPr>
        <w:lastRenderedPageBreak/>
        <w:t xml:space="preserve">Gobierno del Estado de Oaxaca; </w:t>
      </w:r>
      <w:r w:rsidR="00006D93" w:rsidRPr="00006D93">
        <w:rPr>
          <w:rFonts w:ascii="Arial" w:hAnsi="Arial" w:cs="Arial"/>
          <w:i/>
        </w:rPr>
        <w:t>visto su contenido; SE ACUERDA. Por auto de catorce de octubre de dos mil veinte, se requirió a los promoventes para que dentro del plazo de tres días hábiles subsecuentes a aquel en que surtiera efectos la notificación de dicho acuerdo; indicara el lugar</w:t>
      </w:r>
      <w:r w:rsidR="00C40B3C">
        <w:rPr>
          <w:rFonts w:ascii="Arial" w:hAnsi="Arial" w:cs="Arial"/>
          <w:i/>
        </w:rPr>
        <w:t>,</w:t>
      </w:r>
      <w:r w:rsidR="00006D93" w:rsidRPr="00006D93">
        <w:rPr>
          <w:rFonts w:ascii="Arial" w:hAnsi="Arial" w:cs="Arial"/>
          <w:i/>
        </w:rPr>
        <w:t xml:space="preserve"> donde se encuentran las documentales consistentes en sentencia de veinte de febrero de dos mil diecinueve emitida en el expediente ASE/UAJ/P.R/077/2015 suscrita por el Titular de la Unidad de Asuntos Jurídicos del Órgano Superior de Fiscalización del Estado de Oaxaca, así como el mandamiento de ejecución número 330411022000682, suscrita por la Coordinadora de Cobro Coactivo de la Dirección de Ingresos y Recaudación de la Secretaría de Finanzas del Gobierno del Estado de Oaxaca, para su desahogo o bien señalara si con anterioridad a la presentación de la demanda solicitaron las copias de estas y de ser así exhibieran el acuse correspondiente; sin embargo, de su escrito se advierte que únicamente exhibió el mandamiento de ejecución 330411022000682 y acta de requerimiento, omitiendo la exhibición de la sentencia que indicó; no obstante esto, aun cuando el cumplimiento es parcial, esta juzgadora está en posibilidad de pronunciarse respecto a la admisión de la demanda.- - - -</w:t>
      </w:r>
      <w:r w:rsidR="00006D93">
        <w:rPr>
          <w:rFonts w:ascii="Arial" w:hAnsi="Arial" w:cs="Arial"/>
          <w:i/>
        </w:rPr>
        <w:t xml:space="preserve"> - - - - - - - - - - - - - - - - - - - - - - - - - - - - - - - - - - </w:t>
      </w:r>
    </w:p>
    <w:p w14:paraId="54D85F0A" w14:textId="1586EED1" w:rsidR="00006D93" w:rsidRPr="00006D93" w:rsidRDefault="00006D93" w:rsidP="007D4A71">
      <w:pPr>
        <w:spacing w:before="120" w:after="0"/>
        <w:ind w:left="851" w:right="1349" w:firstLine="709"/>
        <w:jc w:val="both"/>
        <w:rPr>
          <w:rFonts w:ascii="Arial" w:hAnsi="Arial" w:cs="Arial"/>
          <w:i/>
        </w:rPr>
      </w:pPr>
      <w:r w:rsidRPr="00006D93">
        <w:rPr>
          <w:rFonts w:ascii="Arial" w:hAnsi="Arial" w:cs="Arial"/>
          <w:i/>
        </w:rPr>
        <w:t xml:space="preserve">Del escrito inicial de demanda se obtiene que los promoventes señalan como actos o resoluciones impugnadas la sentencia de veinte de febrero de dos mil diecinueve emitida en el expediente ASE/UAJ/P.R/077/2015, así como el mandamiento de ejecución número 330411022000682; señalando como autoridades demandadas al </w:t>
      </w:r>
      <w:r w:rsidRPr="00006D93">
        <w:rPr>
          <w:rFonts w:ascii="Arial" w:hAnsi="Arial" w:cs="Arial"/>
          <w:b/>
          <w:bCs/>
          <w:i/>
        </w:rPr>
        <w:t>T</w:t>
      </w:r>
      <w:r w:rsidR="00C40B3C">
        <w:rPr>
          <w:rFonts w:ascii="Arial" w:hAnsi="Arial" w:cs="Arial"/>
          <w:b/>
          <w:bCs/>
          <w:i/>
        </w:rPr>
        <w:t>IT</w:t>
      </w:r>
      <w:r w:rsidRPr="00006D93">
        <w:rPr>
          <w:rFonts w:ascii="Arial" w:hAnsi="Arial" w:cs="Arial"/>
          <w:b/>
          <w:bCs/>
          <w:i/>
        </w:rPr>
        <w:t xml:space="preserve">ULAR DE LA UNIDAD DE ASUNTOS JURÍDICOS DEL ÓRGANO SUPERIOR DE FISCALIZACIÓN DEL ESTADO DE OAXACA </w:t>
      </w:r>
      <w:r w:rsidRPr="00006D93">
        <w:rPr>
          <w:rFonts w:ascii="Arial" w:hAnsi="Arial" w:cs="Arial"/>
          <w:i/>
        </w:rPr>
        <w:t xml:space="preserve">y a la </w:t>
      </w:r>
      <w:r w:rsidRPr="00006D93">
        <w:rPr>
          <w:rFonts w:ascii="Arial" w:hAnsi="Arial" w:cs="Arial"/>
          <w:b/>
          <w:bCs/>
          <w:i/>
        </w:rPr>
        <w:t>COORDINADORA DE COBRO COACTIVO DE LA DIRECCIÓN DE INGRESOS Y RECAUDACIÓN DE LA SECRETARÍA DE FINANZAS DEL GOBIERNO DEL ESTADO DE OAXACA.</w:t>
      </w:r>
      <w:r w:rsidRPr="00006D93">
        <w:rPr>
          <w:rFonts w:ascii="Arial" w:hAnsi="Arial" w:cs="Arial"/>
          <w:i/>
        </w:rPr>
        <w:t xml:space="preserve">- - - - - - - - - - - - - - - - - - - - - - - - - - - - </w:t>
      </w:r>
    </w:p>
    <w:p w14:paraId="0BC2DD87" w14:textId="7AD75B2E" w:rsidR="00006D93" w:rsidRPr="00006D93" w:rsidRDefault="00006D93" w:rsidP="007D4A71">
      <w:pPr>
        <w:spacing w:before="120" w:after="0"/>
        <w:ind w:left="851" w:right="1349" w:firstLine="709"/>
        <w:jc w:val="both"/>
        <w:rPr>
          <w:rFonts w:ascii="Arial" w:hAnsi="Arial" w:cs="Arial"/>
          <w:bCs/>
          <w:i/>
        </w:rPr>
      </w:pPr>
      <w:r w:rsidRPr="00006D93">
        <w:rPr>
          <w:rFonts w:ascii="Arial" w:hAnsi="Arial" w:cs="Arial"/>
          <w:i/>
        </w:rPr>
        <w:t>A</w:t>
      </w:r>
      <w:r w:rsidRPr="00006D93">
        <w:rPr>
          <w:rFonts w:ascii="Arial" w:hAnsi="Arial" w:cs="Arial"/>
          <w:bCs/>
          <w:i/>
        </w:rPr>
        <w:t>l respecto cabe resaltar, que el artículo 130 fracción VI de la Ley de Procedimiento y Justicia Administrativa para el Estado de Oaxaca, establece: “</w:t>
      </w:r>
      <w:r w:rsidRPr="00006D93">
        <w:rPr>
          <w:rFonts w:ascii="Arial" w:hAnsi="Arial" w:cs="Arial"/>
          <w:bCs/>
          <w:i/>
          <w:iCs/>
        </w:rPr>
        <w:t>La Sala Superior tendrá las siguientes atribuciones: … VI. Conocer, substanciar y resolver mediante juicio las resoluciones en materia de responsabilidad administrativa que emita el Órgano Superior de Fiscalización del Estado de Oaxaca, la Secretaría de la Contraloría y Transparencia Gubernamental o los Órganos de Control Interno de la Administración Pública Estatal o Municipal…</w:t>
      </w:r>
      <w:r w:rsidRPr="00006D93">
        <w:rPr>
          <w:rFonts w:ascii="Arial" w:hAnsi="Arial" w:cs="Arial"/>
          <w:bCs/>
          <w:i/>
        </w:rPr>
        <w:t>”; como se ve dicho precepto legal es puntual en señalar, que en materia de responsabilidades administrativas, las resoluciones que emita el Órgano Superior de Fiscalización del Estado de Oaxaca, la Secretaría de la Contraloría y Transparencia Gubernamental o los Órganos de Control Interno de la Administración Pública Estatal o Municipal, serán conocidos, substanciados y resueltos mediante juicio por la Sala Superior de este Tribunal. Por su parte el artículo 24 fracción I de la Ley Orgánica del Tribunal de Justicia Administrativa para el Estado de Oaxaca, señala: “</w:t>
      </w:r>
      <w:r w:rsidRPr="00006D93">
        <w:rPr>
          <w:rFonts w:ascii="Arial" w:hAnsi="Arial" w:cs="Arial"/>
          <w:b/>
          <w:i/>
          <w:iCs/>
        </w:rPr>
        <w:t xml:space="preserve">Artículo 24.- </w:t>
      </w:r>
      <w:r w:rsidRPr="00006D93">
        <w:rPr>
          <w:rFonts w:ascii="Arial" w:hAnsi="Arial" w:cs="Arial"/>
          <w:bCs/>
          <w:i/>
          <w:iCs/>
        </w:rPr>
        <w:t>Son atribuciones de la Sala Superior: I. Resolver el recurso de revisión y Juicio de Inconformidad previstos en la Ley…</w:t>
      </w:r>
      <w:r w:rsidRPr="00006D93">
        <w:rPr>
          <w:rFonts w:ascii="Arial" w:hAnsi="Arial" w:cs="Arial"/>
          <w:bCs/>
          <w:i/>
        </w:rPr>
        <w:t>”.- - - - - - - - - - -</w:t>
      </w:r>
      <w:r>
        <w:rPr>
          <w:rFonts w:ascii="Arial" w:hAnsi="Arial" w:cs="Arial"/>
          <w:bCs/>
          <w:i/>
        </w:rPr>
        <w:t xml:space="preserve"> - - - - - - - </w:t>
      </w:r>
    </w:p>
    <w:p w14:paraId="4DB934D2" w14:textId="2E0B9D6F" w:rsidR="00006D93" w:rsidRPr="00006D93" w:rsidRDefault="00006D93" w:rsidP="007D4A71">
      <w:pPr>
        <w:spacing w:before="120" w:after="0"/>
        <w:ind w:left="851" w:right="1349" w:firstLine="709"/>
        <w:jc w:val="both"/>
        <w:rPr>
          <w:rFonts w:ascii="Arial" w:hAnsi="Arial" w:cs="Arial"/>
          <w:bCs/>
          <w:i/>
        </w:rPr>
      </w:pPr>
      <w:r w:rsidRPr="00006D93">
        <w:rPr>
          <w:rFonts w:ascii="Arial" w:hAnsi="Arial" w:cs="Arial"/>
          <w:bCs/>
          <w:i/>
        </w:rPr>
        <w:lastRenderedPageBreak/>
        <w:t xml:space="preserve">De lo anteriormente precisado, se evidencia que el acto demandado por </w:t>
      </w:r>
      <w:r w:rsidR="00FC68A6">
        <w:rPr>
          <w:rFonts w:ascii="Arial" w:hAnsi="Arial" w:cs="Arial"/>
          <w:b/>
          <w:bCs/>
          <w:sz w:val="26"/>
          <w:szCs w:val="26"/>
        </w:rPr>
        <w:t xml:space="preserve">*********** </w:t>
      </w:r>
      <w:r w:rsidR="00FC68A6">
        <w:rPr>
          <w:rFonts w:ascii="Arial" w:hAnsi="Arial" w:cs="Arial"/>
          <w:b/>
          <w:bCs/>
          <w:sz w:val="26"/>
          <w:szCs w:val="26"/>
          <w:lang w:val="es-MX"/>
        </w:rPr>
        <w:t xml:space="preserve">o </w:t>
      </w:r>
      <w:r w:rsidR="00FC68A6">
        <w:rPr>
          <w:rFonts w:ascii="Arial" w:hAnsi="Arial" w:cs="Arial"/>
          <w:b/>
          <w:bCs/>
          <w:sz w:val="26"/>
          <w:szCs w:val="26"/>
        </w:rPr>
        <w:t>***********</w:t>
      </w:r>
      <w:r w:rsidR="00FC68A6" w:rsidRPr="003776A9">
        <w:rPr>
          <w:rFonts w:ascii="Arial" w:hAnsi="Arial" w:cs="Arial"/>
          <w:b/>
          <w:bCs/>
          <w:sz w:val="26"/>
          <w:szCs w:val="26"/>
          <w:lang w:val="es-MX"/>
        </w:rPr>
        <w:t xml:space="preserve">, </w:t>
      </w:r>
      <w:r w:rsidR="00FC68A6">
        <w:rPr>
          <w:rFonts w:ascii="Arial" w:hAnsi="Arial" w:cs="Arial"/>
          <w:b/>
          <w:bCs/>
          <w:sz w:val="26"/>
          <w:szCs w:val="26"/>
        </w:rPr>
        <w:t xml:space="preserve">*********** </w:t>
      </w:r>
      <w:r w:rsidR="00FC68A6" w:rsidRPr="003776A9">
        <w:rPr>
          <w:rFonts w:ascii="Arial" w:hAnsi="Arial" w:cs="Arial"/>
          <w:b/>
          <w:bCs/>
          <w:sz w:val="26"/>
          <w:szCs w:val="26"/>
          <w:lang w:val="es-MX"/>
        </w:rPr>
        <w:t xml:space="preserve">Y </w:t>
      </w:r>
      <w:r w:rsidR="00FC68A6">
        <w:rPr>
          <w:rFonts w:ascii="Arial" w:hAnsi="Arial" w:cs="Arial"/>
          <w:b/>
          <w:bCs/>
          <w:sz w:val="26"/>
          <w:szCs w:val="26"/>
        </w:rPr>
        <w:t>***********</w:t>
      </w:r>
      <w:r w:rsidRPr="003776A9">
        <w:rPr>
          <w:rFonts w:ascii="Arial" w:hAnsi="Arial" w:cs="Arial"/>
          <w:bCs/>
          <w:i/>
        </w:rPr>
        <w:t>, no es de competencia</w:t>
      </w:r>
      <w:r w:rsidRPr="00006D93">
        <w:rPr>
          <w:rFonts w:ascii="Arial" w:hAnsi="Arial" w:cs="Arial"/>
          <w:bCs/>
          <w:i/>
        </w:rPr>
        <w:t xml:space="preserve"> para su conocimiento y resolución de la Primera Instancia de este Tribunal mediante el juicio de nulidad, pues como ya quedó precisado con antelación, y como los propios </w:t>
      </w:r>
      <w:proofErr w:type="spellStart"/>
      <w:r w:rsidRPr="00006D93">
        <w:rPr>
          <w:rFonts w:ascii="Arial" w:hAnsi="Arial" w:cs="Arial"/>
          <w:bCs/>
          <w:i/>
        </w:rPr>
        <w:t>promoventes</w:t>
      </w:r>
      <w:proofErr w:type="spellEnd"/>
      <w:r w:rsidRPr="00006D93">
        <w:rPr>
          <w:rFonts w:ascii="Arial" w:hAnsi="Arial" w:cs="Arial"/>
          <w:bCs/>
          <w:i/>
        </w:rPr>
        <w:t xml:space="preserve"> lo indican lo que demandan es una sentencia emitida por el Titular de la Unidad de Asuntos Jurídicos del </w:t>
      </w:r>
      <w:r w:rsidRPr="00006D93">
        <w:rPr>
          <w:rFonts w:ascii="Arial" w:hAnsi="Arial" w:cs="Arial"/>
          <w:i/>
        </w:rPr>
        <w:t xml:space="preserve">Órgano Superior de Fiscalización del Estado de Oaxaca, se entiende emitido dentro de un procedimiento </w:t>
      </w:r>
      <w:r w:rsidRPr="00006D93">
        <w:rPr>
          <w:rFonts w:ascii="Arial" w:hAnsi="Arial" w:cs="Arial"/>
          <w:bCs/>
          <w:i/>
        </w:rPr>
        <w:t>de responsabilidad administrativa</w:t>
      </w:r>
      <w:r w:rsidRPr="00006D93">
        <w:rPr>
          <w:rFonts w:ascii="Arial" w:hAnsi="Arial" w:cs="Arial"/>
          <w:i/>
        </w:rPr>
        <w:t>;</w:t>
      </w:r>
      <w:r w:rsidRPr="00006D93">
        <w:rPr>
          <w:rFonts w:ascii="Arial" w:hAnsi="Arial" w:cs="Arial"/>
          <w:bCs/>
          <w:i/>
        </w:rPr>
        <w:t xml:space="preserve"> siendo tal acto, materia del Juicio de Inconformidad, conforme lo previsto el citado artículo 130 fracción VI de la Ley de Procedimiento y Justicia Administrativa para el Estado de Oaxaca.- - - - - - - - - </w:t>
      </w:r>
      <w:r w:rsidR="00FC68A6">
        <w:rPr>
          <w:rFonts w:ascii="Arial" w:hAnsi="Arial" w:cs="Arial"/>
          <w:bCs/>
          <w:i/>
        </w:rPr>
        <w:t xml:space="preserve"> </w:t>
      </w:r>
    </w:p>
    <w:p w14:paraId="552C3FA5" w14:textId="36411BE1" w:rsidR="00006D93" w:rsidRPr="00006D93" w:rsidRDefault="00006D93" w:rsidP="007D4A71">
      <w:pPr>
        <w:spacing w:before="120" w:after="0"/>
        <w:ind w:left="851" w:right="1349" w:firstLine="709"/>
        <w:jc w:val="both"/>
        <w:rPr>
          <w:rFonts w:ascii="Arial" w:eastAsia="Calibri" w:hAnsi="Arial" w:cs="Arial"/>
          <w:bCs/>
          <w:i/>
        </w:rPr>
      </w:pPr>
      <w:r w:rsidRPr="00006D93">
        <w:rPr>
          <w:rFonts w:ascii="Arial" w:hAnsi="Arial" w:cs="Arial"/>
          <w:bCs/>
          <w:i/>
        </w:rPr>
        <w:t>Ahora en cuanto al mandamiento de ejecución 330411022000682 emitido por la Coordinadora de Cobro Coactivo de la Dirección de Ingresos y Recaudación de la Secretaría de Finanzas del Estado de Oaxaca, debe señalarse; que e</w:t>
      </w:r>
      <w:r w:rsidRPr="00006D93">
        <w:rPr>
          <w:rFonts w:ascii="Arial" w:eastAsia="Calibri" w:hAnsi="Arial" w:cs="Arial"/>
          <w:bCs/>
          <w:i/>
        </w:rPr>
        <w:t>l artículo 133 fracción II de la Ley de Procedimiento de Justicia Administrativa para el Estado de Oaxaca, establece: “</w:t>
      </w:r>
      <w:r w:rsidRPr="00006D93">
        <w:rPr>
          <w:rFonts w:ascii="Arial" w:hAnsi="Arial" w:cs="Arial"/>
          <w:b/>
          <w:i/>
        </w:rPr>
        <w:t xml:space="preserve">ARTÍCULO 133.- </w:t>
      </w:r>
      <w:r w:rsidRPr="00006D93">
        <w:rPr>
          <w:rFonts w:ascii="Arial" w:hAnsi="Arial" w:cs="Arial"/>
          <w:i/>
        </w:rPr>
        <w:t xml:space="preserve">Las Salas Unitarias del Tribunal son competentes para conocer y resolver los juicios que se promuevan en contra de: … II. Las resoluciones dictadas por las autoridades fiscales, estatales, municipales y de sus órganos descentralizados, en que se determine la existencia de una obligación fiscal, </w:t>
      </w:r>
      <w:r w:rsidRPr="003776A9">
        <w:rPr>
          <w:rFonts w:ascii="Arial" w:hAnsi="Arial" w:cs="Arial"/>
          <w:i/>
        </w:rPr>
        <w:t>se fijé</w:t>
      </w:r>
      <w:r w:rsidR="003776A9">
        <w:rPr>
          <w:rFonts w:ascii="Arial" w:hAnsi="Arial" w:cs="Arial"/>
          <w:i/>
        </w:rPr>
        <w:t xml:space="preserve"> (sic)</w:t>
      </w:r>
      <w:r w:rsidRPr="00006D93">
        <w:rPr>
          <w:rFonts w:ascii="Arial" w:hAnsi="Arial" w:cs="Arial"/>
          <w:i/>
        </w:rPr>
        <w:t xml:space="preserve"> está en cantidad liquida o se den las bases para su liquidación, nieguen la devolución de cantidades que procedan conforme a la ley o cualquiera otra que cause agravios de carácter fiscal”; como se ve, dicho precepto legal </w:t>
      </w:r>
      <w:r w:rsidRPr="00006D93">
        <w:rPr>
          <w:rFonts w:ascii="Arial" w:eastAsia="Calibri" w:hAnsi="Arial" w:cs="Arial"/>
          <w:bCs/>
          <w:i/>
        </w:rPr>
        <w:t>en lo que interesa y corresponde al tema, establece que las Salas Unitarias de este Tribunal, son competentes para conocer y resolver de los juicios que se promuevan en contra de las resoluciones dictadas por autoridades fiscales, en que se determine la existencia de una obligación fiscal.</w:t>
      </w:r>
      <w:r>
        <w:rPr>
          <w:rFonts w:ascii="Arial" w:eastAsia="Calibri" w:hAnsi="Arial" w:cs="Arial"/>
          <w:bCs/>
          <w:i/>
        </w:rPr>
        <w:t>- -</w:t>
      </w:r>
      <w:r w:rsidR="004D7445">
        <w:rPr>
          <w:rFonts w:ascii="Arial" w:eastAsia="Calibri" w:hAnsi="Arial" w:cs="Arial"/>
          <w:bCs/>
          <w:i/>
        </w:rPr>
        <w:t xml:space="preserve"> - - - - - - - - - - - - - - - - - - - - - - - - - - - - - - - </w:t>
      </w:r>
    </w:p>
    <w:p w14:paraId="1D92713D" w14:textId="1F683FEE" w:rsidR="00006D93" w:rsidRPr="00006D93" w:rsidRDefault="00006D93" w:rsidP="007D4A71">
      <w:pPr>
        <w:spacing w:before="120" w:after="0"/>
        <w:ind w:left="851" w:right="1349" w:firstLine="709"/>
        <w:jc w:val="both"/>
        <w:rPr>
          <w:rFonts w:ascii="Arial" w:eastAsia="Calibri" w:hAnsi="Arial" w:cs="Arial"/>
          <w:bCs/>
          <w:i/>
        </w:rPr>
      </w:pPr>
      <w:r w:rsidRPr="00006D93">
        <w:rPr>
          <w:rFonts w:ascii="Arial" w:eastAsia="Calibri" w:hAnsi="Arial" w:cs="Arial"/>
          <w:bCs/>
          <w:i/>
        </w:rPr>
        <w:t xml:space="preserve">Al respecto cabe precisar, que el mandamiento de ejecución del crédito fiscal demandado y emitido por la Coordinadora de Cobro Coactivo de la Secretaría de Finanzas del Estado de Oaxaca, no resulta ser una resolución en la que se haya determinado la existencia de una obligación fiscal, porque dicho mandamiento de ejecución como su propio nombre lo dice, es el acto que emitió la autoridad fiscal, para dar inicio al procedimiento administrativo de ejecución, con la finalidad de solicitar al contribuyente el pago del crédito fiscal determinado mediante resolución emitida por el Titular de la Unidad de Asuntos Jurídicos del Órgano Superior de Fiscalización del Estado de Oaxaca, por concepto de resarcimiento de daños, que sería la resolución determinante; lo anterior en base a lo así preceptuado por el artículo 97 de la Ley de Fiscalización Superior para el Estado de Oaxaca, que puntualmente establece: </w:t>
      </w:r>
      <w:r w:rsidRPr="00006D93">
        <w:rPr>
          <w:rFonts w:ascii="Arial" w:hAnsi="Arial" w:cs="Arial"/>
          <w:i/>
        </w:rPr>
        <w:t>“</w:t>
      </w:r>
      <w:r w:rsidRPr="00006D93">
        <w:rPr>
          <w:rFonts w:ascii="Arial" w:hAnsi="Arial" w:cs="Arial"/>
          <w:b/>
          <w:i/>
          <w:iCs/>
        </w:rPr>
        <w:t>Artículo 97</w:t>
      </w:r>
      <w:r w:rsidRPr="00006D93">
        <w:rPr>
          <w:rFonts w:ascii="Arial" w:hAnsi="Arial" w:cs="Arial"/>
          <w:i/>
          <w:iCs/>
        </w:rPr>
        <w:t xml:space="preserve">.- Las multas que imponga la Auditoría tendrán el carácter de créditos fiscales, se fijarán en cantidad líquida y se harán efectivas a través de la Secretaría de Finanzas del Gobierno del Estado, conforme al procedimiento administrativo de ejecución previsto en el Código Fiscal para el Estado de Oaxaca y demás disposiciones aplicables. El importe que se obtenga por el cobro de multas, deberá ser entregado por la Secretaría de Finanzas del Gobierno del Estado a la Auditoria, dentro de los </w:t>
      </w:r>
      <w:r w:rsidRPr="00006D93">
        <w:rPr>
          <w:rFonts w:ascii="Arial" w:hAnsi="Arial" w:cs="Arial"/>
          <w:i/>
          <w:iCs/>
        </w:rPr>
        <w:lastRenderedPageBreak/>
        <w:t>quince días hábiles siguientes a la conclusión del trimestre en que se haya obtenido el cobro, para constituir el Fondo de Fiscalización.</w:t>
      </w:r>
      <w:r w:rsidRPr="00006D93">
        <w:rPr>
          <w:rFonts w:ascii="Arial" w:hAnsi="Arial" w:cs="Arial"/>
          <w:i/>
        </w:rPr>
        <w:t>”; como se ve dicho artículo señala que</w:t>
      </w:r>
      <w:r w:rsidRPr="00006D93">
        <w:rPr>
          <w:rFonts w:ascii="Arial" w:hAnsi="Arial" w:cs="Arial"/>
          <w:b/>
          <w:bCs/>
          <w:i/>
        </w:rPr>
        <w:t xml:space="preserve"> </w:t>
      </w:r>
      <w:r w:rsidRPr="00006D93">
        <w:rPr>
          <w:rFonts w:ascii="Arial" w:eastAsia="Calibri" w:hAnsi="Arial" w:cs="Arial"/>
          <w:bCs/>
          <w:i/>
        </w:rPr>
        <w:t xml:space="preserve">las multas que imponga la Auditoría, tendrán el carácter de créditos fiscales, las que se harán efectivas a través de la Secretaría de Finanzas, conforme al procedimiento administrativo de ejecución, previsto en el Código Fiscal para el Estado de Oaxaca.- - - - - - - - - - - - - - - - - - - - - - - - - </w:t>
      </w:r>
      <w:r>
        <w:rPr>
          <w:rFonts w:ascii="Arial" w:eastAsia="Calibri" w:hAnsi="Arial" w:cs="Arial"/>
          <w:bCs/>
          <w:i/>
        </w:rPr>
        <w:t>- - - - - - -</w:t>
      </w:r>
      <w:r w:rsidR="004D7445">
        <w:rPr>
          <w:rFonts w:ascii="Arial" w:eastAsia="Calibri" w:hAnsi="Arial" w:cs="Arial"/>
          <w:bCs/>
          <w:i/>
        </w:rPr>
        <w:t xml:space="preserve"> - - - - - - - </w:t>
      </w:r>
    </w:p>
    <w:p w14:paraId="160EF1E7" w14:textId="4D1627E4" w:rsidR="00006D93" w:rsidRPr="00006D93" w:rsidRDefault="00006D93" w:rsidP="007D4A71">
      <w:pPr>
        <w:spacing w:before="120" w:after="0"/>
        <w:ind w:left="851" w:right="1349" w:firstLine="709"/>
        <w:jc w:val="both"/>
        <w:rPr>
          <w:rFonts w:ascii="Arial" w:eastAsia="Calibri" w:hAnsi="Arial" w:cs="Arial"/>
          <w:bCs/>
          <w:i/>
        </w:rPr>
      </w:pPr>
      <w:r w:rsidRPr="00006D93">
        <w:rPr>
          <w:rFonts w:ascii="Arial" w:eastAsia="Calibri" w:hAnsi="Arial" w:cs="Arial"/>
          <w:bCs/>
          <w:i/>
        </w:rPr>
        <w:t xml:space="preserve">Por tanto, al ser el mandamiento de ejecución demandado, únicamente el acto emitido por la autoridad fiscal Coordinadora de Cobro Coactivo de la Secretaría de Finanzas, para hacer exigible el pago de la multa impuesta (crédito fiscal), y no una resolución en la que se haya decretado la existencia de una obligación fiscal, pues esta como ya se reiteró con anterioridad, se determinó en la resolución emitida por el Titular de la Unidad de Asuntos Jurídicos del Órgano Superior de Fiscalización del Estado de Oaxaca; que no puede encuadrarse en el supuesto previsto por la fracción II del artículo 133 de la Ley de Procedimiento y Justicia Administrativa para el Estado de Oaxaca, para el conocimiento y resolución de esta Sexta Sala Unitaria de Primera Instancia.- </w:t>
      </w:r>
    </w:p>
    <w:p w14:paraId="5662DBFF" w14:textId="3E5A0987" w:rsidR="00006D93" w:rsidRPr="00006D93" w:rsidRDefault="00006D93" w:rsidP="007D4A71">
      <w:pPr>
        <w:spacing w:before="120" w:after="0"/>
        <w:ind w:left="851" w:right="1349" w:firstLine="709"/>
        <w:jc w:val="both"/>
        <w:rPr>
          <w:rFonts w:ascii="Arial" w:eastAsia="Calibri" w:hAnsi="Arial" w:cs="Arial"/>
          <w:bCs/>
          <w:i/>
        </w:rPr>
      </w:pPr>
      <w:r w:rsidRPr="00006D93">
        <w:rPr>
          <w:rFonts w:ascii="Arial" w:eastAsia="Calibri" w:hAnsi="Arial" w:cs="Arial"/>
          <w:bCs/>
          <w:i/>
        </w:rPr>
        <w:t xml:space="preserve">Aunado a los anterior, el artículo 133 fracción VIII de la Ley de Procedimiento y Justicia Administrativa para el Estado de Oaxaca, dispone: </w:t>
      </w:r>
      <w:r w:rsidRPr="00006D93">
        <w:rPr>
          <w:rFonts w:ascii="Arial" w:hAnsi="Arial" w:cs="Arial"/>
          <w:i/>
        </w:rPr>
        <w:t>“</w:t>
      </w:r>
      <w:r w:rsidRPr="00006D93">
        <w:rPr>
          <w:rFonts w:ascii="Arial" w:hAnsi="Arial" w:cs="Arial"/>
          <w:b/>
          <w:i/>
        </w:rPr>
        <w:t xml:space="preserve">ARTÍCULO 133.- </w:t>
      </w:r>
      <w:r w:rsidRPr="00006D93">
        <w:rPr>
          <w:rFonts w:ascii="Arial" w:hAnsi="Arial" w:cs="Arial"/>
          <w:i/>
        </w:rPr>
        <w:t xml:space="preserve">Las Salas Unitarias del Tribunal son competentes para conocer y resolver los juicios que se promuevan en contra de:…VIII. El procedimiento administrativo de ejecución cuando el afectado en dicho procedimiento opte por no interponer el recurso ordinario ante las autoridades competentes y cuando afirme: a) Que el crédito que le exige se ha extinguido legalmente; b) Que el monto del crédito es inferior al exigible; c) Que es poseedor, a título de propietario, del bien embargado; y d) Que el procedimiento coactivo no se ajuste a la ley. En este caso, la oposición no se podrá hacer valer, sino contra la resolución que apruebe el remate; salvo que se trate de resoluciones cuya ejecución </w:t>
      </w:r>
      <w:r w:rsidRPr="003776A9">
        <w:rPr>
          <w:rFonts w:ascii="Arial" w:hAnsi="Arial" w:cs="Arial"/>
          <w:i/>
        </w:rPr>
        <w:t>material sea</w:t>
      </w:r>
      <w:r w:rsidR="003776A9" w:rsidRPr="003776A9">
        <w:rPr>
          <w:rFonts w:ascii="Arial" w:hAnsi="Arial" w:cs="Arial"/>
          <w:i/>
        </w:rPr>
        <w:t xml:space="preserve"> (sic)</w:t>
      </w:r>
      <w:r w:rsidRPr="003776A9">
        <w:rPr>
          <w:rFonts w:ascii="Arial" w:hAnsi="Arial" w:cs="Arial"/>
          <w:i/>
        </w:rPr>
        <w:t xml:space="preserve"> imposible</w:t>
      </w:r>
      <w:r w:rsidRPr="00006D93">
        <w:rPr>
          <w:rFonts w:ascii="Arial" w:hAnsi="Arial" w:cs="Arial"/>
          <w:i/>
        </w:rPr>
        <w:t xml:space="preserve"> reparación…”; del texto transcrito se desprende, </w:t>
      </w:r>
      <w:r w:rsidRPr="00006D93">
        <w:rPr>
          <w:rFonts w:ascii="Arial" w:eastAsia="Calibri" w:hAnsi="Arial" w:cs="Arial"/>
          <w:bCs/>
          <w:i/>
        </w:rPr>
        <w:t xml:space="preserve">que las Salas Unitarias del Tribunal, son competentes para conocer y resolver de los juicios que se promuevan en contra del procedimiento administrativo de ejecución, con la </w:t>
      </w:r>
      <w:r w:rsidRPr="00006D93">
        <w:rPr>
          <w:rFonts w:ascii="Arial" w:eastAsia="Calibri" w:hAnsi="Arial" w:cs="Arial"/>
          <w:b/>
          <w:bCs/>
          <w:i/>
        </w:rPr>
        <w:t>condición</w:t>
      </w:r>
      <w:r w:rsidRPr="00006D93">
        <w:rPr>
          <w:rFonts w:ascii="Arial" w:eastAsia="Calibri" w:hAnsi="Arial" w:cs="Arial"/>
          <w:bCs/>
          <w:i/>
        </w:rPr>
        <w:t xml:space="preserve"> de que: </w:t>
      </w:r>
      <w:r w:rsidRPr="00006D93">
        <w:rPr>
          <w:rFonts w:ascii="Arial" w:eastAsia="Calibri" w:hAnsi="Arial" w:cs="Arial"/>
          <w:b/>
          <w:bCs/>
          <w:i/>
        </w:rPr>
        <w:t>1</w:t>
      </w:r>
      <w:r w:rsidRPr="00006D93">
        <w:rPr>
          <w:rFonts w:ascii="Arial" w:eastAsia="Calibri" w:hAnsi="Arial" w:cs="Arial"/>
          <w:bCs/>
          <w:i/>
        </w:rPr>
        <w:t xml:space="preserve">. Opten por no interponer el recurso ordinario en sede administrativa; </w:t>
      </w:r>
      <w:r w:rsidRPr="00006D93">
        <w:rPr>
          <w:rFonts w:ascii="Arial" w:eastAsia="Calibri" w:hAnsi="Arial" w:cs="Arial"/>
          <w:b/>
          <w:bCs/>
          <w:i/>
        </w:rPr>
        <w:t>2</w:t>
      </w:r>
      <w:r w:rsidRPr="00006D93">
        <w:rPr>
          <w:rFonts w:ascii="Arial" w:eastAsia="Calibri" w:hAnsi="Arial" w:cs="Arial"/>
          <w:bCs/>
          <w:i/>
        </w:rPr>
        <w:t xml:space="preserve">. Afirme que el crédito exigido se ha extinguido legalmente, </w:t>
      </w:r>
      <w:r w:rsidRPr="00006D93">
        <w:rPr>
          <w:rFonts w:ascii="Arial" w:eastAsia="Calibri" w:hAnsi="Arial" w:cs="Arial"/>
          <w:b/>
          <w:bCs/>
          <w:i/>
        </w:rPr>
        <w:t>3.</w:t>
      </w:r>
      <w:r w:rsidRPr="00006D93">
        <w:rPr>
          <w:rFonts w:ascii="Arial" w:eastAsia="Calibri" w:hAnsi="Arial" w:cs="Arial"/>
          <w:bCs/>
          <w:i/>
        </w:rPr>
        <w:t xml:space="preserve"> Q</w:t>
      </w:r>
      <w:r w:rsidRPr="00006D93">
        <w:rPr>
          <w:rFonts w:ascii="Arial" w:hAnsi="Arial" w:cs="Arial"/>
          <w:i/>
        </w:rPr>
        <w:t xml:space="preserve">ue el monto del crédito es inferior al exigible, </w:t>
      </w:r>
      <w:r w:rsidRPr="00006D93">
        <w:rPr>
          <w:rFonts w:ascii="Arial" w:hAnsi="Arial" w:cs="Arial"/>
          <w:b/>
          <w:i/>
        </w:rPr>
        <w:t xml:space="preserve">4. </w:t>
      </w:r>
      <w:r w:rsidR="003776A9" w:rsidRPr="003776A9">
        <w:rPr>
          <w:rFonts w:ascii="Arial" w:hAnsi="Arial" w:cs="Arial"/>
          <w:i/>
        </w:rPr>
        <w:t>q</w:t>
      </w:r>
      <w:r w:rsidRPr="003776A9">
        <w:rPr>
          <w:rFonts w:ascii="Arial" w:hAnsi="Arial" w:cs="Arial"/>
          <w:i/>
        </w:rPr>
        <w:t>u</w:t>
      </w:r>
      <w:r w:rsidRPr="00006D93">
        <w:rPr>
          <w:rFonts w:ascii="Arial" w:hAnsi="Arial" w:cs="Arial"/>
          <w:i/>
        </w:rPr>
        <w:t>e</w:t>
      </w:r>
      <w:r w:rsidR="003776A9">
        <w:rPr>
          <w:rFonts w:ascii="Arial" w:hAnsi="Arial" w:cs="Arial"/>
          <w:i/>
        </w:rPr>
        <w:t xml:space="preserve"> (sic)</w:t>
      </w:r>
      <w:r w:rsidRPr="00006D93">
        <w:rPr>
          <w:rFonts w:ascii="Arial" w:hAnsi="Arial" w:cs="Arial"/>
          <w:i/>
        </w:rPr>
        <w:t xml:space="preserve"> es poseedor, a título de propietario del bien embargado; </w:t>
      </w:r>
      <w:r w:rsidRPr="00006D93">
        <w:rPr>
          <w:rFonts w:ascii="Arial" w:hAnsi="Arial" w:cs="Arial"/>
          <w:b/>
          <w:i/>
        </w:rPr>
        <w:t xml:space="preserve">5. </w:t>
      </w:r>
      <w:r w:rsidRPr="00006D93">
        <w:rPr>
          <w:rFonts w:ascii="Arial" w:hAnsi="Arial" w:cs="Arial"/>
          <w:i/>
        </w:rPr>
        <w:t xml:space="preserve">Que el procedimiento coactivo no se ajustó a la ley; y </w:t>
      </w:r>
      <w:r w:rsidRPr="00006D93">
        <w:rPr>
          <w:rFonts w:ascii="Arial" w:hAnsi="Arial" w:cs="Arial"/>
          <w:b/>
          <w:i/>
        </w:rPr>
        <w:t>6</w:t>
      </w:r>
      <w:r w:rsidRPr="00006D93">
        <w:rPr>
          <w:rFonts w:ascii="Arial" w:hAnsi="Arial" w:cs="Arial"/>
          <w:i/>
        </w:rPr>
        <w:t>. Que en caso de señalar que el procedimiento coactivo no se ajustó a la ley, la oposición no se podrá hacer valer, sino contra la resolución que apruebe el remate</w:t>
      </w:r>
      <w:r w:rsidRPr="003776A9">
        <w:rPr>
          <w:rFonts w:ascii="Arial" w:hAnsi="Arial" w:cs="Arial"/>
          <w:i/>
        </w:rPr>
        <w:t xml:space="preserve">; salvo </w:t>
      </w:r>
      <w:r w:rsidR="003776A9" w:rsidRPr="003776A9">
        <w:rPr>
          <w:rFonts w:ascii="Arial" w:hAnsi="Arial" w:cs="Arial"/>
          <w:i/>
        </w:rPr>
        <w:t xml:space="preserve">(sic) </w:t>
      </w:r>
      <w:r w:rsidRPr="003776A9">
        <w:rPr>
          <w:rFonts w:ascii="Arial" w:hAnsi="Arial" w:cs="Arial"/>
          <w:i/>
        </w:rPr>
        <w:t>se trate</w:t>
      </w:r>
      <w:r w:rsidRPr="00006D93">
        <w:rPr>
          <w:rFonts w:ascii="Arial" w:hAnsi="Arial" w:cs="Arial"/>
          <w:i/>
        </w:rPr>
        <w:t xml:space="preserve"> de resoluciones cuya ejecución material sea de imposible reparación; </w:t>
      </w:r>
      <w:r w:rsidRPr="00006D93">
        <w:rPr>
          <w:rFonts w:ascii="Arial" w:hAnsi="Arial" w:cs="Arial"/>
          <w:b/>
          <w:i/>
        </w:rPr>
        <w:t>s</w:t>
      </w:r>
      <w:r w:rsidRPr="00006D93">
        <w:rPr>
          <w:rFonts w:ascii="Arial" w:eastAsia="Calibri" w:hAnsi="Arial" w:cs="Arial"/>
          <w:b/>
          <w:bCs/>
          <w:i/>
        </w:rPr>
        <w:t>upuestos</w:t>
      </w:r>
      <w:r w:rsidRPr="00006D93">
        <w:rPr>
          <w:rFonts w:ascii="Arial" w:eastAsia="Calibri" w:hAnsi="Arial" w:cs="Arial"/>
          <w:bCs/>
          <w:i/>
        </w:rPr>
        <w:t xml:space="preserve"> 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ajustó a la Ley, debe existir la resolución que aprobó el remate, lo cual tampoco acontece.- - - - - - - - - - - - - - - - - - - - </w:t>
      </w:r>
    </w:p>
    <w:p w14:paraId="299E9E81" w14:textId="6B418EF4" w:rsidR="00006D93" w:rsidRPr="00006D93" w:rsidRDefault="00006D93" w:rsidP="007D4A71">
      <w:pPr>
        <w:autoSpaceDE w:val="0"/>
        <w:autoSpaceDN w:val="0"/>
        <w:adjustRightInd w:val="0"/>
        <w:spacing w:before="120" w:after="0"/>
        <w:ind w:left="851" w:right="1349" w:firstLine="709"/>
        <w:jc w:val="both"/>
        <w:rPr>
          <w:rFonts w:ascii="Arial" w:hAnsi="Arial" w:cs="Arial"/>
          <w:i/>
        </w:rPr>
      </w:pPr>
      <w:r w:rsidRPr="00006D93">
        <w:rPr>
          <w:rFonts w:ascii="Arial" w:hAnsi="Arial" w:cs="Arial"/>
          <w:bCs/>
          <w:i/>
        </w:rPr>
        <w:t>Por lo anteriormente precisado,</w:t>
      </w:r>
      <w:r w:rsidRPr="00006D93">
        <w:rPr>
          <w:rFonts w:ascii="Arial" w:hAnsi="Arial" w:cs="Arial"/>
          <w:b/>
          <w:i/>
        </w:rPr>
        <w:t xml:space="preserve"> </w:t>
      </w:r>
      <w:r w:rsidRPr="00006D93">
        <w:rPr>
          <w:rFonts w:ascii="Arial" w:hAnsi="Arial" w:cs="Arial"/>
          <w:i/>
        </w:rPr>
        <w:t xml:space="preserve">con fundamento en los artículos 130 fracción VI, 132 fracciones II y VII, 158, 161 </w:t>
      </w:r>
      <w:r w:rsidRPr="00006D93">
        <w:rPr>
          <w:rFonts w:ascii="Arial" w:hAnsi="Arial" w:cs="Arial"/>
          <w:i/>
        </w:rPr>
        <w:lastRenderedPageBreak/>
        <w:t xml:space="preserve">fracción X y 182 fracción I de la Ley de Procedimiento y Justicia Administrativa para el Estado de Oaxaca, se determina </w:t>
      </w:r>
      <w:r w:rsidRPr="00006D93">
        <w:rPr>
          <w:rFonts w:ascii="Arial" w:hAnsi="Arial" w:cs="Arial"/>
          <w:b/>
          <w:i/>
        </w:rPr>
        <w:t xml:space="preserve">DESECHAR </w:t>
      </w:r>
      <w:r w:rsidRPr="00006D93">
        <w:rPr>
          <w:rFonts w:ascii="Arial" w:hAnsi="Arial" w:cs="Arial"/>
          <w:i/>
        </w:rPr>
        <w:t xml:space="preserve">la demanda de cuenta, por notoriamente improcedente.- - - -- - - - - - - - - - - - - - - - - - </w:t>
      </w:r>
      <w:r w:rsidR="004D7445">
        <w:rPr>
          <w:rFonts w:ascii="Arial" w:hAnsi="Arial" w:cs="Arial"/>
          <w:i/>
        </w:rPr>
        <w:t>- - - - - - - - - - - - - -</w:t>
      </w:r>
    </w:p>
    <w:p w14:paraId="45337EAC" w14:textId="71F9ABFD" w:rsidR="00006D93" w:rsidRPr="00006D93" w:rsidRDefault="00006D93" w:rsidP="007D4A71">
      <w:pPr>
        <w:spacing w:before="120" w:after="0"/>
        <w:ind w:left="851" w:right="1349" w:firstLine="567"/>
        <w:jc w:val="both"/>
        <w:rPr>
          <w:rFonts w:ascii="Arial" w:hAnsi="Arial" w:cs="Arial"/>
          <w:i/>
        </w:rPr>
      </w:pPr>
      <w:r w:rsidRPr="00006D93">
        <w:rPr>
          <w:rFonts w:ascii="Arial" w:hAnsi="Arial" w:cs="Arial"/>
          <w:b/>
          <w:i/>
        </w:rPr>
        <w:t>NOTIFÍQUESE</w:t>
      </w:r>
      <w:r w:rsidRPr="00006D93">
        <w:rPr>
          <w:rFonts w:ascii="Arial" w:hAnsi="Arial" w:cs="Arial"/>
          <w:i/>
        </w:rPr>
        <w:t xml:space="preserve"> personalmente a los actores en términos de los artículos 172 fracción I y 173 fracciones I y II de la Ley de Procedimiento y Justicia Administrativa para el Estado de Oaxaca.-</w:t>
      </w:r>
      <w:r w:rsidRPr="00006D93">
        <w:rPr>
          <w:rFonts w:ascii="Arial" w:hAnsi="Arial" w:cs="Arial"/>
          <w:b/>
          <w:i/>
          <w:iCs/>
        </w:rPr>
        <w:t xml:space="preserve"> CÚMPLASE</w:t>
      </w:r>
      <w:r w:rsidRPr="00006D93">
        <w:rPr>
          <w:rFonts w:ascii="Arial" w:eastAsia="Batang" w:hAnsi="Arial" w:cs="Arial"/>
          <w:i/>
        </w:rPr>
        <w:t xml:space="preserve">. </w:t>
      </w:r>
      <w:r>
        <w:rPr>
          <w:rFonts w:ascii="Arial" w:eastAsia="Batang" w:hAnsi="Arial" w:cs="Arial"/>
          <w:i/>
        </w:rPr>
        <w:t>“</w:t>
      </w:r>
      <w:r w:rsidRPr="00006D93">
        <w:rPr>
          <w:rFonts w:ascii="Arial" w:eastAsia="Batang" w:hAnsi="Arial" w:cs="Arial"/>
          <w:i/>
        </w:rPr>
        <w:t xml:space="preserve">-  - - - - - - - - - - - - - - </w:t>
      </w:r>
      <w:r>
        <w:rPr>
          <w:rFonts w:ascii="Arial" w:eastAsia="Batang" w:hAnsi="Arial" w:cs="Arial"/>
          <w:i/>
        </w:rPr>
        <w:t xml:space="preserve">- - - - - - - - - - - - </w:t>
      </w:r>
    </w:p>
    <w:p w14:paraId="638F7515" w14:textId="20CA2DB0" w:rsidR="00611D60" w:rsidRPr="00DC53EE" w:rsidRDefault="00611D60" w:rsidP="001B5531">
      <w:pPr>
        <w:spacing w:before="240" w:line="360" w:lineRule="auto"/>
        <w:jc w:val="center"/>
        <w:rPr>
          <w:rFonts w:ascii="Arial" w:hAnsi="Arial" w:cs="Arial"/>
          <w:b/>
          <w:bCs/>
          <w:sz w:val="26"/>
          <w:szCs w:val="26"/>
          <w:lang w:val="es-MX"/>
        </w:rPr>
      </w:pPr>
      <w:r w:rsidRPr="00DC53EE">
        <w:rPr>
          <w:rFonts w:ascii="Arial" w:hAnsi="Arial" w:cs="Arial"/>
          <w:b/>
          <w:bCs/>
          <w:sz w:val="26"/>
          <w:szCs w:val="26"/>
          <w:lang w:val="es-MX"/>
        </w:rPr>
        <w:t>C O N S I D E R A N D O</w:t>
      </w:r>
    </w:p>
    <w:p w14:paraId="118B965A" w14:textId="5D4573BE" w:rsidR="00DC53EE" w:rsidRPr="005049C7" w:rsidRDefault="00DC53EE" w:rsidP="00DC53EE">
      <w:pPr>
        <w:spacing w:line="360" w:lineRule="auto"/>
        <w:ind w:firstLine="708"/>
        <w:jc w:val="both"/>
        <w:rPr>
          <w:rFonts w:ascii="Arial" w:hAnsi="Arial" w:cs="Arial"/>
          <w:bCs/>
          <w:iCs/>
          <w:sz w:val="26"/>
          <w:szCs w:val="26"/>
          <w:lang w:eastAsia="es-ES"/>
        </w:rPr>
      </w:pPr>
      <w:r w:rsidRPr="005049C7">
        <w:rPr>
          <w:rFonts w:ascii="Arial" w:hAnsi="Arial" w:cs="Arial"/>
          <w:b/>
          <w:bCs/>
          <w:iCs/>
          <w:sz w:val="26"/>
          <w:szCs w:val="26"/>
        </w:rPr>
        <w:t xml:space="preserve">PRIMERO. </w:t>
      </w:r>
      <w:r w:rsidRPr="005049C7">
        <w:rPr>
          <w:rFonts w:ascii="Arial" w:hAnsi="Arial" w:cs="Arial"/>
          <w:bCs/>
          <w:iCs/>
          <w:sz w:val="26"/>
          <w:szCs w:val="26"/>
        </w:rPr>
        <w:t xml:space="preserve">Esta Sala Superior es competente para conocer del presente asunto, </w:t>
      </w:r>
      <w:r w:rsidRPr="005049C7">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5049C7">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numerales</w:t>
      </w:r>
      <w:r w:rsidRPr="005049C7">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del acuerdo de </w:t>
      </w:r>
      <w:r w:rsidR="00AF68DF">
        <w:rPr>
          <w:rFonts w:ascii="Arial" w:hAnsi="Arial" w:cs="Arial"/>
          <w:bCs/>
          <w:iCs/>
          <w:sz w:val="26"/>
          <w:szCs w:val="26"/>
          <w:lang w:eastAsia="es-ES"/>
        </w:rPr>
        <w:t>catorce de abril de dos mil veintiuno</w:t>
      </w:r>
      <w:r w:rsidRPr="005049C7">
        <w:rPr>
          <w:rFonts w:ascii="Arial" w:hAnsi="Arial" w:cs="Arial"/>
          <w:bCs/>
          <w:iCs/>
          <w:sz w:val="26"/>
          <w:szCs w:val="26"/>
          <w:lang w:eastAsia="es-ES"/>
        </w:rPr>
        <w:t xml:space="preserve">, dictado por la </w:t>
      </w:r>
      <w:r w:rsidR="00AF68DF">
        <w:rPr>
          <w:rFonts w:ascii="Arial" w:hAnsi="Arial" w:cs="Arial"/>
          <w:bCs/>
          <w:iCs/>
          <w:sz w:val="26"/>
          <w:szCs w:val="26"/>
          <w:lang w:eastAsia="es-ES"/>
        </w:rPr>
        <w:t>Sexta</w:t>
      </w:r>
      <w:r w:rsidRPr="005049C7">
        <w:rPr>
          <w:rFonts w:ascii="Arial" w:hAnsi="Arial" w:cs="Arial"/>
          <w:bCs/>
          <w:iCs/>
          <w:sz w:val="26"/>
          <w:szCs w:val="26"/>
          <w:lang w:eastAsia="es-ES"/>
        </w:rPr>
        <w:t xml:space="preserve"> Sala Unitaria de Primera Instancia en el juicio de nulidad </w:t>
      </w:r>
      <w:r>
        <w:rPr>
          <w:rFonts w:ascii="Arial" w:eastAsia="Calibri" w:hAnsi="Arial" w:cs="Arial"/>
          <w:b/>
          <w:sz w:val="26"/>
          <w:szCs w:val="26"/>
        </w:rPr>
        <w:t>0</w:t>
      </w:r>
      <w:r w:rsidR="00AF68DF">
        <w:rPr>
          <w:rFonts w:ascii="Arial" w:eastAsia="Calibri" w:hAnsi="Arial" w:cs="Arial"/>
          <w:b/>
          <w:sz w:val="26"/>
          <w:szCs w:val="26"/>
        </w:rPr>
        <w:t>156</w:t>
      </w:r>
      <w:r>
        <w:rPr>
          <w:rFonts w:ascii="Arial" w:eastAsia="Calibri" w:hAnsi="Arial" w:cs="Arial"/>
          <w:b/>
          <w:sz w:val="26"/>
          <w:szCs w:val="26"/>
        </w:rPr>
        <w:t>/2020</w:t>
      </w:r>
      <w:r w:rsidRPr="005049C7">
        <w:rPr>
          <w:rFonts w:ascii="Arial" w:hAnsi="Arial" w:cs="Arial"/>
          <w:bCs/>
          <w:iCs/>
          <w:sz w:val="26"/>
          <w:szCs w:val="26"/>
          <w:lang w:eastAsia="es-ES"/>
        </w:rPr>
        <w:t xml:space="preserve">.- - - </w:t>
      </w:r>
    </w:p>
    <w:p w14:paraId="3313A781" w14:textId="78E56DDB" w:rsidR="00DC53EE" w:rsidRDefault="00DC53EE" w:rsidP="00DC53EE">
      <w:pPr>
        <w:spacing w:after="120" w:line="360" w:lineRule="auto"/>
        <w:ind w:firstLine="567"/>
        <w:jc w:val="both"/>
        <w:rPr>
          <w:rFonts w:ascii="Arial" w:hAnsi="Arial" w:cs="Arial"/>
          <w:color w:val="000000"/>
          <w:sz w:val="26"/>
          <w:szCs w:val="26"/>
        </w:rPr>
      </w:pPr>
      <w:r w:rsidRPr="005049C7">
        <w:rPr>
          <w:rFonts w:ascii="Arial" w:hAnsi="Arial" w:cs="Arial"/>
          <w:bCs/>
          <w:iCs/>
          <w:sz w:val="26"/>
          <w:szCs w:val="26"/>
          <w:lang w:eastAsia="es-ES"/>
        </w:rPr>
        <w:t xml:space="preserve"> </w:t>
      </w:r>
      <w:r w:rsidRPr="005049C7">
        <w:rPr>
          <w:rFonts w:ascii="Arial" w:hAnsi="Arial" w:cs="Arial"/>
          <w:bCs/>
          <w:iCs/>
          <w:sz w:val="26"/>
          <w:szCs w:val="26"/>
          <w:lang w:eastAsia="es-ES"/>
        </w:rPr>
        <w:tab/>
      </w:r>
      <w:r w:rsidRPr="005049C7">
        <w:rPr>
          <w:rFonts w:ascii="Arial" w:hAnsi="Arial" w:cs="Arial"/>
          <w:b/>
          <w:bCs/>
          <w:sz w:val="26"/>
          <w:szCs w:val="26"/>
        </w:rPr>
        <w:t>SEGUNDO.</w:t>
      </w:r>
      <w:r>
        <w:rPr>
          <w:rFonts w:ascii="Arial" w:hAnsi="Arial" w:cs="Arial"/>
          <w:b/>
          <w:bCs/>
          <w:sz w:val="26"/>
          <w:szCs w:val="26"/>
        </w:rPr>
        <w:t xml:space="preserve"> </w:t>
      </w:r>
      <w:r>
        <w:rPr>
          <w:rFonts w:ascii="Arial" w:hAnsi="Arial" w:cs="Arial"/>
          <w:bCs/>
          <w:color w:val="000000"/>
          <w:sz w:val="26"/>
          <w:szCs w:val="26"/>
        </w:rPr>
        <w:t xml:space="preserve">De las constancias que integran el expediente principal, a las que se les otorga pleno valor probatorio conforme lo dispuesto por el artículo </w:t>
      </w:r>
      <w:r w:rsidR="003236AB">
        <w:rPr>
          <w:rFonts w:ascii="Arial" w:eastAsia="Calibri" w:hAnsi="Arial" w:cs="Arial"/>
          <w:bCs/>
          <w:sz w:val="26"/>
          <w:szCs w:val="26"/>
        </w:rPr>
        <w:t>20</w:t>
      </w:r>
      <w:r w:rsidR="003236AB" w:rsidRPr="00FB703E">
        <w:rPr>
          <w:rFonts w:ascii="Arial" w:eastAsia="Calibri" w:hAnsi="Arial" w:cs="Arial"/>
          <w:bCs/>
          <w:sz w:val="26"/>
          <w:szCs w:val="26"/>
        </w:rPr>
        <w:t>3 fracción I</w:t>
      </w:r>
      <w:r w:rsidR="003236AB">
        <w:rPr>
          <w:rStyle w:val="Refdenotaalpie"/>
          <w:rFonts w:ascii="Arial" w:eastAsia="Calibri" w:hAnsi="Arial" w:cs="Arial"/>
          <w:bCs/>
          <w:sz w:val="26"/>
          <w:szCs w:val="26"/>
        </w:rPr>
        <w:footnoteReference w:id="1"/>
      </w:r>
      <w:r w:rsidR="003236AB" w:rsidRPr="00FB703E">
        <w:rPr>
          <w:rFonts w:ascii="Arial" w:eastAsia="Calibri" w:hAnsi="Arial" w:cs="Arial"/>
          <w:bCs/>
          <w:sz w:val="26"/>
          <w:szCs w:val="26"/>
        </w:rPr>
        <w:t xml:space="preserve"> de la Ley de </w:t>
      </w:r>
      <w:r w:rsidR="003236AB">
        <w:rPr>
          <w:rFonts w:ascii="Arial" w:eastAsia="Calibri" w:hAnsi="Arial" w:cs="Arial"/>
          <w:bCs/>
          <w:sz w:val="26"/>
          <w:szCs w:val="26"/>
        </w:rPr>
        <w:t xml:space="preserve">Procedimiento y </w:t>
      </w:r>
      <w:r w:rsidR="003236AB" w:rsidRPr="00FB703E">
        <w:rPr>
          <w:rFonts w:ascii="Arial" w:eastAsia="Calibri" w:hAnsi="Arial" w:cs="Arial"/>
          <w:bCs/>
          <w:sz w:val="26"/>
          <w:szCs w:val="26"/>
        </w:rPr>
        <w:t>Justicia Administrativa para el Estado de Oaxaca,</w:t>
      </w:r>
      <w:r>
        <w:rPr>
          <w:rFonts w:ascii="Arial" w:hAnsi="Arial" w:cs="Arial"/>
          <w:bCs/>
          <w:color w:val="000000"/>
          <w:sz w:val="26"/>
          <w:szCs w:val="26"/>
        </w:rPr>
        <w:t xml:space="preserve"> por tratarse de actuaciones judiciales, se advierte que</w:t>
      </w:r>
      <w:r>
        <w:rPr>
          <w:rFonts w:ascii="Arial" w:hAnsi="Arial" w:cs="Arial"/>
          <w:color w:val="000000"/>
          <w:sz w:val="26"/>
          <w:szCs w:val="26"/>
        </w:rPr>
        <w:t xml:space="preserve"> </w:t>
      </w:r>
      <w:r w:rsidR="00FC68A6">
        <w:rPr>
          <w:rFonts w:ascii="Arial" w:hAnsi="Arial" w:cs="Arial"/>
          <w:b/>
          <w:bCs/>
          <w:sz w:val="26"/>
          <w:szCs w:val="26"/>
        </w:rPr>
        <w:t xml:space="preserve">*********** </w:t>
      </w:r>
      <w:r w:rsidR="00FC68A6">
        <w:rPr>
          <w:rFonts w:ascii="Arial" w:hAnsi="Arial" w:cs="Arial"/>
          <w:b/>
          <w:bCs/>
          <w:sz w:val="26"/>
          <w:szCs w:val="26"/>
          <w:lang w:val="es-MX"/>
        </w:rPr>
        <w:t xml:space="preserve">o </w:t>
      </w:r>
      <w:r w:rsidR="00FC68A6">
        <w:rPr>
          <w:rFonts w:ascii="Arial" w:hAnsi="Arial" w:cs="Arial"/>
          <w:b/>
          <w:bCs/>
          <w:sz w:val="26"/>
          <w:szCs w:val="26"/>
        </w:rPr>
        <w:t>***********</w:t>
      </w:r>
      <w:r w:rsidR="00FC68A6" w:rsidRPr="003776A9">
        <w:rPr>
          <w:rFonts w:ascii="Arial" w:hAnsi="Arial" w:cs="Arial"/>
          <w:b/>
          <w:bCs/>
          <w:sz w:val="26"/>
          <w:szCs w:val="26"/>
          <w:lang w:val="es-MX"/>
        </w:rPr>
        <w:t xml:space="preserve">, </w:t>
      </w:r>
      <w:r w:rsidR="00FC68A6">
        <w:rPr>
          <w:rFonts w:ascii="Arial" w:hAnsi="Arial" w:cs="Arial"/>
          <w:b/>
          <w:bCs/>
          <w:sz w:val="26"/>
          <w:szCs w:val="26"/>
        </w:rPr>
        <w:t xml:space="preserve">*********** </w:t>
      </w:r>
      <w:r w:rsidR="00FC68A6" w:rsidRPr="003776A9">
        <w:rPr>
          <w:rFonts w:ascii="Arial" w:hAnsi="Arial" w:cs="Arial"/>
          <w:b/>
          <w:bCs/>
          <w:sz w:val="26"/>
          <w:szCs w:val="26"/>
          <w:lang w:val="es-MX"/>
        </w:rPr>
        <w:t xml:space="preserve">Y </w:t>
      </w:r>
      <w:r w:rsidR="00FC68A6">
        <w:rPr>
          <w:rFonts w:ascii="Arial" w:hAnsi="Arial" w:cs="Arial"/>
          <w:b/>
          <w:bCs/>
          <w:sz w:val="26"/>
          <w:szCs w:val="26"/>
        </w:rPr>
        <w:t>***********</w:t>
      </w:r>
      <w:r>
        <w:rPr>
          <w:rFonts w:ascii="Arial" w:hAnsi="Arial" w:cs="Arial"/>
          <w:sz w:val="26"/>
          <w:szCs w:val="26"/>
        </w:rPr>
        <w:t xml:space="preserve">, </w:t>
      </w:r>
      <w:r>
        <w:rPr>
          <w:rFonts w:ascii="Arial" w:hAnsi="Arial" w:cs="Arial"/>
          <w:color w:val="000000"/>
          <w:sz w:val="26"/>
          <w:szCs w:val="26"/>
        </w:rPr>
        <w:t>present</w:t>
      </w:r>
      <w:r w:rsidR="00AF68DF">
        <w:rPr>
          <w:rFonts w:ascii="Arial" w:hAnsi="Arial" w:cs="Arial"/>
          <w:color w:val="000000"/>
          <w:sz w:val="26"/>
          <w:szCs w:val="26"/>
        </w:rPr>
        <w:t>aron</w:t>
      </w:r>
      <w:r>
        <w:rPr>
          <w:rFonts w:ascii="Arial" w:hAnsi="Arial" w:cs="Arial"/>
          <w:color w:val="000000"/>
          <w:sz w:val="26"/>
          <w:szCs w:val="26"/>
        </w:rPr>
        <w:t xml:space="preserve"> recurso de revisión en contra del acuerdo dictado el </w:t>
      </w:r>
      <w:r w:rsidR="00AF68DF">
        <w:rPr>
          <w:rFonts w:ascii="Arial" w:hAnsi="Arial" w:cs="Arial"/>
          <w:color w:val="000000"/>
          <w:sz w:val="26"/>
          <w:szCs w:val="26"/>
        </w:rPr>
        <w:t>catorce de abril de dos mil veintiuno</w:t>
      </w:r>
      <w:r>
        <w:rPr>
          <w:rFonts w:ascii="Arial" w:hAnsi="Arial" w:cs="Arial"/>
          <w:color w:val="000000"/>
          <w:sz w:val="26"/>
          <w:szCs w:val="26"/>
        </w:rPr>
        <w:t xml:space="preserve">, el cual fue recibido en la Oficialía de Partes Común de Primera  Instancia de este Tribunal de Justicia Administrativa del Estado de Oaxaca, el </w:t>
      </w:r>
      <w:r w:rsidR="00AF68DF">
        <w:rPr>
          <w:rFonts w:ascii="Arial" w:hAnsi="Arial" w:cs="Arial"/>
          <w:color w:val="000000"/>
          <w:sz w:val="26"/>
          <w:szCs w:val="26"/>
        </w:rPr>
        <w:t>veintiséis de mayo del año en curso</w:t>
      </w:r>
      <w:r>
        <w:rPr>
          <w:rFonts w:ascii="Arial" w:hAnsi="Arial" w:cs="Arial"/>
          <w:color w:val="000000"/>
          <w:sz w:val="26"/>
          <w:szCs w:val="26"/>
        </w:rPr>
        <w:t xml:space="preserve">.- - - - - - - - </w:t>
      </w:r>
      <w:r w:rsidR="003236AB">
        <w:rPr>
          <w:rFonts w:ascii="Arial" w:hAnsi="Arial" w:cs="Arial"/>
          <w:color w:val="000000"/>
          <w:sz w:val="26"/>
          <w:szCs w:val="26"/>
        </w:rPr>
        <w:t>- - - - - - -</w:t>
      </w:r>
      <w:r w:rsidR="00FC68A6">
        <w:rPr>
          <w:rFonts w:ascii="Arial" w:hAnsi="Arial" w:cs="Arial"/>
          <w:color w:val="000000"/>
          <w:sz w:val="26"/>
          <w:szCs w:val="26"/>
        </w:rPr>
        <w:t xml:space="preserve"> - - - - - - - - - - - - - - - </w:t>
      </w:r>
      <w:r w:rsidR="003236AB">
        <w:rPr>
          <w:rFonts w:ascii="Arial" w:hAnsi="Arial" w:cs="Arial"/>
          <w:color w:val="000000"/>
          <w:sz w:val="26"/>
          <w:szCs w:val="26"/>
        </w:rPr>
        <w:t xml:space="preserve">- - - </w:t>
      </w:r>
      <w:r w:rsidR="00FC68A6">
        <w:rPr>
          <w:rFonts w:ascii="Arial" w:hAnsi="Arial" w:cs="Arial"/>
          <w:color w:val="000000"/>
          <w:sz w:val="26"/>
          <w:szCs w:val="26"/>
        </w:rPr>
        <w:t xml:space="preserve">- - - - - - - - - </w:t>
      </w:r>
    </w:p>
    <w:p w14:paraId="140DCB2B" w14:textId="5E0028D5" w:rsidR="00DC53EE" w:rsidRDefault="00DC53EE" w:rsidP="00E811A0">
      <w:pPr>
        <w:spacing w:before="240" w:after="0" w:line="360" w:lineRule="auto"/>
        <w:ind w:firstLine="567"/>
        <w:jc w:val="both"/>
        <w:rPr>
          <w:rFonts w:ascii="Arial" w:hAnsi="Arial" w:cs="Arial"/>
          <w:color w:val="000000"/>
          <w:sz w:val="26"/>
          <w:szCs w:val="26"/>
        </w:rPr>
      </w:pPr>
      <w:r>
        <w:rPr>
          <w:rFonts w:ascii="Arial" w:hAnsi="Arial" w:cs="Arial"/>
          <w:color w:val="000000"/>
          <w:sz w:val="26"/>
          <w:szCs w:val="26"/>
        </w:rPr>
        <w:t xml:space="preserve">Ahora, el artículo 237 de la Ley de Procedimiento y Justicia Administrativa para el Estado de Oaxaca, establece:- - - - - - - - - - - - - - </w:t>
      </w:r>
    </w:p>
    <w:p w14:paraId="7037F926" w14:textId="77777777" w:rsidR="00DC53EE" w:rsidRDefault="00DC53EE" w:rsidP="0059719D">
      <w:pPr>
        <w:tabs>
          <w:tab w:val="left" w:pos="7371"/>
        </w:tabs>
        <w:spacing w:before="240" w:after="0"/>
        <w:ind w:left="851" w:right="1325"/>
        <w:jc w:val="both"/>
        <w:rPr>
          <w:rFonts w:ascii="Arial" w:hAnsi="Arial" w:cs="Arial"/>
          <w:i/>
          <w:color w:val="000000"/>
        </w:rPr>
      </w:pPr>
      <w:r w:rsidRPr="00EE2440">
        <w:rPr>
          <w:rFonts w:ascii="Arial" w:hAnsi="Arial" w:cs="Arial"/>
          <w:i/>
          <w:color w:val="000000"/>
        </w:rPr>
        <w:lastRenderedPageBreak/>
        <w:t xml:space="preserve"> “</w:t>
      </w:r>
      <w:r>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3236AB">
        <w:rPr>
          <w:rFonts w:ascii="Arial" w:hAnsi="Arial" w:cs="Arial"/>
          <w:i/>
          <w:color w:val="000000"/>
        </w:rPr>
        <w:t>n de la resolución recurrida…”</w:t>
      </w:r>
    </w:p>
    <w:p w14:paraId="2E5E206A" w14:textId="1D5BA67F" w:rsidR="00DC53EE" w:rsidRDefault="00DC53EE" w:rsidP="00E811A0">
      <w:pPr>
        <w:spacing w:before="240" w:after="0"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3236AB">
        <w:rPr>
          <w:rFonts w:ascii="Arial" w:hAnsi="Arial" w:cs="Arial"/>
          <w:color w:val="000000"/>
          <w:sz w:val="26"/>
          <w:szCs w:val="26"/>
        </w:rPr>
        <w:tab/>
      </w:r>
      <w:r>
        <w:rPr>
          <w:rFonts w:ascii="Arial" w:hAnsi="Arial" w:cs="Arial"/>
          <w:color w:val="000000"/>
          <w:sz w:val="26"/>
          <w:szCs w:val="26"/>
        </w:rPr>
        <w:t xml:space="preserve">Y, el diverso artículo 170, segundo párrafo de la citada Ley, señala:- - </w:t>
      </w:r>
      <w:r w:rsidR="00FD76FC">
        <w:rPr>
          <w:rFonts w:ascii="Arial" w:hAnsi="Arial" w:cs="Arial"/>
          <w:color w:val="000000"/>
          <w:sz w:val="26"/>
          <w:szCs w:val="26"/>
        </w:rPr>
        <w:t xml:space="preserve">- - - - - - - - - - - - - -  - - - - - - - - - - - - - - - - - - - - - - - - - - - - - - </w:t>
      </w:r>
    </w:p>
    <w:p w14:paraId="6C0E54DA" w14:textId="77777777" w:rsidR="00DC53EE" w:rsidRDefault="00DC53EE" w:rsidP="00CF5BE4">
      <w:pPr>
        <w:tabs>
          <w:tab w:val="left" w:pos="7655"/>
        </w:tabs>
        <w:spacing w:before="240" w:after="0"/>
        <w:ind w:left="851" w:right="1325"/>
        <w:jc w:val="both"/>
        <w:rPr>
          <w:rFonts w:ascii="Arial" w:hAnsi="Arial" w:cs="Arial"/>
          <w:i/>
          <w:color w:val="000000"/>
        </w:rPr>
      </w:pPr>
      <w:r w:rsidRPr="00EE2440">
        <w:rPr>
          <w:rFonts w:ascii="Arial" w:hAnsi="Arial" w:cs="Arial"/>
          <w:i/>
          <w:color w:val="000000"/>
        </w:rPr>
        <w:t xml:space="preserve"> “</w:t>
      </w:r>
      <w:r>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de aquel en que se realicen</w:t>
      </w:r>
      <w:r w:rsidR="00C4116A">
        <w:rPr>
          <w:rFonts w:ascii="Arial" w:hAnsi="Arial" w:cs="Arial"/>
          <w:i/>
          <w:color w:val="000000"/>
        </w:rPr>
        <w:t xml:space="preserve">.” </w:t>
      </w:r>
    </w:p>
    <w:p w14:paraId="572E66D6" w14:textId="55926BA7" w:rsidR="00C4116A" w:rsidRDefault="00DC53EE" w:rsidP="00FD76FC">
      <w:pPr>
        <w:spacing w:before="240" w:after="0" w:line="360" w:lineRule="auto"/>
        <w:ind w:firstLine="709"/>
        <w:jc w:val="both"/>
        <w:rPr>
          <w:rFonts w:ascii="Arial" w:hAnsi="Arial" w:cs="Arial"/>
          <w:color w:val="000000"/>
          <w:sz w:val="26"/>
          <w:szCs w:val="26"/>
        </w:rPr>
      </w:pPr>
      <w:r>
        <w:rPr>
          <w:rFonts w:ascii="Arial" w:hAnsi="Arial" w:cs="Arial"/>
          <w:color w:val="000000"/>
          <w:sz w:val="26"/>
          <w:szCs w:val="26"/>
        </w:rPr>
        <w:t>Así se tiene que el acuerdo que recurre</w:t>
      </w:r>
      <w:r w:rsidR="007E1117">
        <w:rPr>
          <w:rFonts w:ascii="Arial" w:hAnsi="Arial" w:cs="Arial"/>
          <w:color w:val="000000"/>
          <w:sz w:val="26"/>
          <w:szCs w:val="26"/>
        </w:rPr>
        <w:t xml:space="preserve">n los revisionistas, </w:t>
      </w:r>
      <w:r>
        <w:rPr>
          <w:rFonts w:ascii="Arial" w:hAnsi="Arial" w:cs="Arial"/>
          <w:color w:val="000000"/>
          <w:sz w:val="26"/>
          <w:szCs w:val="26"/>
        </w:rPr>
        <w:t>le</w:t>
      </w:r>
      <w:r w:rsidR="00AF68DF">
        <w:rPr>
          <w:rFonts w:ascii="Arial" w:hAnsi="Arial" w:cs="Arial"/>
          <w:color w:val="000000"/>
          <w:sz w:val="26"/>
          <w:szCs w:val="26"/>
        </w:rPr>
        <w:t>s</w:t>
      </w:r>
      <w:r>
        <w:rPr>
          <w:rFonts w:ascii="Arial" w:hAnsi="Arial" w:cs="Arial"/>
          <w:color w:val="000000"/>
          <w:sz w:val="26"/>
          <w:szCs w:val="26"/>
        </w:rPr>
        <w:t xml:space="preserve"> fue notificad</w:t>
      </w:r>
      <w:r w:rsidR="003236AB">
        <w:rPr>
          <w:rFonts w:ascii="Arial" w:hAnsi="Arial" w:cs="Arial"/>
          <w:color w:val="000000"/>
          <w:sz w:val="26"/>
          <w:szCs w:val="26"/>
        </w:rPr>
        <w:t>o</w:t>
      </w:r>
      <w:r>
        <w:rPr>
          <w:rFonts w:ascii="Arial" w:hAnsi="Arial" w:cs="Arial"/>
          <w:color w:val="000000"/>
          <w:sz w:val="26"/>
          <w:szCs w:val="26"/>
        </w:rPr>
        <w:t xml:space="preserve"> el </w:t>
      </w:r>
      <w:r w:rsidR="00AF68DF">
        <w:rPr>
          <w:rFonts w:ascii="Arial" w:hAnsi="Arial" w:cs="Arial"/>
          <w:color w:val="000000"/>
          <w:sz w:val="26"/>
          <w:szCs w:val="26"/>
        </w:rPr>
        <w:t>diecisiete de mayo</w:t>
      </w:r>
      <w:r w:rsidR="003236AB">
        <w:rPr>
          <w:rFonts w:ascii="Arial" w:hAnsi="Arial" w:cs="Arial"/>
          <w:color w:val="000000"/>
          <w:sz w:val="26"/>
          <w:szCs w:val="26"/>
        </w:rPr>
        <w:t xml:space="preserve"> de dos mil veintiuno</w:t>
      </w:r>
      <w:r>
        <w:rPr>
          <w:rFonts w:ascii="Arial" w:hAnsi="Arial" w:cs="Arial"/>
          <w:color w:val="000000"/>
          <w:sz w:val="26"/>
          <w:szCs w:val="26"/>
        </w:rPr>
        <w:t xml:space="preserve">, como así consta </w:t>
      </w:r>
      <w:r w:rsidR="007E1117">
        <w:rPr>
          <w:rFonts w:ascii="Arial" w:hAnsi="Arial" w:cs="Arial"/>
          <w:color w:val="000000"/>
          <w:sz w:val="26"/>
          <w:szCs w:val="26"/>
        </w:rPr>
        <w:t>en</w:t>
      </w:r>
      <w:r>
        <w:rPr>
          <w:rFonts w:ascii="Arial" w:hAnsi="Arial" w:cs="Arial"/>
          <w:color w:val="000000"/>
          <w:sz w:val="26"/>
          <w:szCs w:val="26"/>
        </w:rPr>
        <w:t xml:space="preserve"> la </w:t>
      </w:r>
      <w:r w:rsidR="00AF68DF">
        <w:rPr>
          <w:rFonts w:ascii="Arial" w:hAnsi="Arial" w:cs="Arial"/>
          <w:color w:val="000000"/>
          <w:sz w:val="26"/>
          <w:szCs w:val="26"/>
        </w:rPr>
        <w:t xml:space="preserve">razón de </w:t>
      </w:r>
      <w:r>
        <w:rPr>
          <w:rFonts w:ascii="Arial" w:hAnsi="Arial" w:cs="Arial"/>
          <w:color w:val="000000"/>
          <w:sz w:val="26"/>
          <w:szCs w:val="26"/>
        </w:rPr>
        <w:t xml:space="preserve">notificación </w:t>
      </w:r>
      <w:r w:rsidR="003236AB">
        <w:rPr>
          <w:rFonts w:ascii="Arial" w:hAnsi="Arial" w:cs="Arial"/>
          <w:color w:val="000000"/>
          <w:sz w:val="26"/>
          <w:szCs w:val="26"/>
        </w:rPr>
        <w:t xml:space="preserve">por </w:t>
      </w:r>
      <w:r w:rsidR="00AF68DF">
        <w:rPr>
          <w:rFonts w:ascii="Arial" w:hAnsi="Arial" w:cs="Arial"/>
          <w:color w:val="000000"/>
          <w:sz w:val="26"/>
          <w:szCs w:val="26"/>
        </w:rPr>
        <w:t xml:space="preserve">comparecencia </w:t>
      </w:r>
      <w:r>
        <w:rPr>
          <w:rFonts w:ascii="Arial" w:hAnsi="Arial" w:cs="Arial"/>
          <w:color w:val="000000"/>
          <w:sz w:val="26"/>
          <w:szCs w:val="26"/>
        </w:rPr>
        <w:t>(folio</w:t>
      </w:r>
      <w:r w:rsidR="00AF68DF">
        <w:rPr>
          <w:rFonts w:ascii="Arial" w:hAnsi="Arial" w:cs="Arial"/>
          <w:color w:val="000000"/>
          <w:sz w:val="26"/>
          <w:szCs w:val="26"/>
        </w:rPr>
        <w:t xml:space="preserve"> cuarenta y uno</w:t>
      </w:r>
      <w:r>
        <w:rPr>
          <w:rFonts w:ascii="Arial" w:hAnsi="Arial" w:cs="Arial"/>
          <w:color w:val="000000"/>
          <w:sz w:val="26"/>
          <w:szCs w:val="26"/>
        </w:rPr>
        <w:t xml:space="preserve"> del expediente principal),  surtiendo efectos el </w:t>
      </w:r>
      <w:r w:rsidR="00AF68DF">
        <w:rPr>
          <w:rFonts w:ascii="Arial" w:hAnsi="Arial" w:cs="Arial"/>
          <w:color w:val="000000"/>
          <w:sz w:val="26"/>
          <w:szCs w:val="26"/>
        </w:rPr>
        <w:t xml:space="preserve">dieciocho </w:t>
      </w:r>
      <w:r>
        <w:rPr>
          <w:rFonts w:ascii="Arial" w:hAnsi="Arial" w:cs="Arial"/>
          <w:color w:val="000000"/>
          <w:sz w:val="26"/>
          <w:szCs w:val="26"/>
        </w:rPr>
        <w:t xml:space="preserve">del </w:t>
      </w:r>
      <w:r w:rsidR="003236AB">
        <w:rPr>
          <w:rFonts w:ascii="Arial" w:hAnsi="Arial" w:cs="Arial"/>
          <w:color w:val="000000"/>
          <w:sz w:val="26"/>
          <w:szCs w:val="26"/>
        </w:rPr>
        <w:t xml:space="preserve">citado mes y </w:t>
      </w:r>
      <w:r>
        <w:rPr>
          <w:rFonts w:ascii="Arial" w:hAnsi="Arial" w:cs="Arial"/>
          <w:color w:val="000000"/>
          <w:sz w:val="26"/>
          <w:szCs w:val="26"/>
        </w:rPr>
        <w:t xml:space="preserve"> año, día hábil siguiente a la realización de la referida notificación, por lo que el plazo aludido transcurrió del </w:t>
      </w:r>
      <w:r w:rsidR="003236AB">
        <w:rPr>
          <w:rFonts w:ascii="Arial" w:hAnsi="Arial" w:cs="Arial"/>
          <w:color w:val="000000"/>
          <w:sz w:val="26"/>
          <w:szCs w:val="26"/>
        </w:rPr>
        <w:t xml:space="preserve">diecinueve al veinticinco de </w:t>
      </w:r>
      <w:r w:rsidR="00AF68DF">
        <w:rPr>
          <w:rFonts w:ascii="Arial" w:hAnsi="Arial" w:cs="Arial"/>
          <w:color w:val="000000"/>
          <w:sz w:val="26"/>
          <w:szCs w:val="26"/>
        </w:rPr>
        <w:t>mayo</w:t>
      </w:r>
      <w:r w:rsidR="003236AB">
        <w:rPr>
          <w:rFonts w:ascii="Arial" w:hAnsi="Arial" w:cs="Arial"/>
          <w:color w:val="000000"/>
          <w:sz w:val="26"/>
          <w:szCs w:val="26"/>
        </w:rPr>
        <w:t xml:space="preserve"> de dos mil veintiuno</w:t>
      </w:r>
      <w:r>
        <w:rPr>
          <w:rFonts w:ascii="Arial" w:hAnsi="Arial" w:cs="Arial"/>
          <w:color w:val="000000"/>
          <w:sz w:val="26"/>
          <w:szCs w:val="26"/>
        </w:rPr>
        <w:t xml:space="preserve">, sin contar </w:t>
      </w:r>
      <w:r w:rsidR="003236AB">
        <w:rPr>
          <w:rFonts w:ascii="Arial" w:hAnsi="Arial" w:cs="Arial"/>
          <w:color w:val="000000"/>
          <w:sz w:val="26"/>
          <w:szCs w:val="26"/>
        </w:rPr>
        <w:t xml:space="preserve">los días </w:t>
      </w:r>
      <w:r w:rsidR="00AF68DF">
        <w:rPr>
          <w:rFonts w:ascii="Arial" w:hAnsi="Arial" w:cs="Arial"/>
          <w:color w:val="000000"/>
          <w:sz w:val="26"/>
          <w:szCs w:val="26"/>
        </w:rPr>
        <w:t>veintidós y veintitrés</w:t>
      </w:r>
      <w:r w:rsidR="003236AB">
        <w:rPr>
          <w:rFonts w:ascii="Arial" w:hAnsi="Arial" w:cs="Arial"/>
          <w:color w:val="000000"/>
          <w:sz w:val="26"/>
          <w:szCs w:val="26"/>
        </w:rPr>
        <w:t xml:space="preserve"> por tratarse de días inhábiles al corresponder a sábado y domingo. </w:t>
      </w:r>
      <w:r w:rsidR="00BA3249">
        <w:rPr>
          <w:rFonts w:ascii="Arial" w:hAnsi="Arial" w:cs="Arial"/>
          <w:color w:val="000000"/>
          <w:sz w:val="26"/>
          <w:szCs w:val="26"/>
        </w:rPr>
        <w:t xml:space="preserve">Como se advierte del calendario siguiente:- </w:t>
      </w:r>
      <w:r w:rsidR="00FD76FC">
        <w:rPr>
          <w:rFonts w:ascii="Arial" w:hAnsi="Arial" w:cs="Arial"/>
          <w:color w:val="000000"/>
          <w:sz w:val="26"/>
          <w:szCs w:val="26"/>
        </w:rPr>
        <w:t xml:space="preserve">- - - - - - - - - - - - - -  - - - - - - - - - - - - - - - - - - - </w:t>
      </w:r>
    </w:p>
    <w:p w14:paraId="2A2BFCE1" w14:textId="77777777" w:rsidR="00E811A0" w:rsidRDefault="00E811A0" w:rsidP="00C4116A">
      <w:pPr>
        <w:spacing w:after="0" w:line="360" w:lineRule="auto"/>
        <w:ind w:firstLine="709"/>
        <w:jc w:val="both"/>
        <w:rPr>
          <w:rFonts w:ascii="Arial" w:hAnsi="Arial" w:cs="Arial"/>
          <w:color w:val="000000"/>
          <w:sz w:val="26"/>
          <w:szCs w:val="26"/>
        </w:rPr>
      </w:pPr>
    </w:p>
    <w:tbl>
      <w:tblPr>
        <w:tblStyle w:val="Tablaconcuadrcula"/>
        <w:tblW w:w="7890" w:type="dxa"/>
        <w:tblInd w:w="474" w:type="dxa"/>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1161"/>
        <w:gridCol w:w="1097"/>
        <w:gridCol w:w="1006"/>
        <w:gridCol w:w="1161"/>
        <w:gridCol w:w="1004"/>
        <w:gridCol w:w="1128"/>
        <w:gridCol w:w="1333"/>
      </w:tblGrid>
      <w:tr w:rsidR="004D741A" w14:paraId="7CE3B70C" w14:textId="77777777" w:rsidTr="00C4116A">
        <w:trPr>
          <w:trHeight w:val="299"/>
        </w:trPr>
        <w:tc>
          <w:tcPr>
            <w:tcW w:w="7890" w:type="dxa"/>
            <w:gridSpan w:val="7"/>
          </w:tcPr>
          <w:p w14:paraId="7491151C" w14:textId="77777777" w:rsidR="004D741A" w:rsidRPr="00533313" w:rsidRDefault="00AF68DF" w:rsidP="00C4116A">
            <w:pPr>
              <w:spacing w:after="0" w:line="360" w:lineRule="auto"/>
              <w:jc w:val="center"/>
              <w:rPr>
                <w:rFonts w:ascii="Arial" w:hAnsi="Arial" w:cs="Arial"/>
                <w:b/>
                <w:bCs/>
              </w:rPr>
            </w:pPr>
            <w:r>
              <w:rPr>
                <w:rFonts w:ascii="Arial" w:hAnsi="Arial" w:cs="Arial"/>
                <w:b/>
                <w:bCs/>
              </w:rPr>
              <w:t>MAYO</w:t>
            </w:r>
          </w:p>
        </w:tc>
      </w:tr>
      <w:tr w:rsidR="0098259F" w:rsidRPr="000A1388" w14:paraId="1D07B12C"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161" w:type="dxa"/>
          </w:tcPr>
          <w:p w14:paraId="46F24C82" w14:textId="77777777" w:rsidR="00C4116A" w:rsidRPr="00C4116A" w:rsidRDefault="00C4116A" w:rsidP="004D741A">
            <w:pPr>
              <w:jc w:val="center"/>
              <w:rPr>
                <w:rFonts w:ascii="Arial" w:hAnsi="Arial" w:cs="Arial"/>
                <w:b/>
                <w:sz w:val="20"/>
                <w:szCs w:val="20"/>
              </w:rPr>
            </w:pPr>
            <w:r>
              <w:rPr>
                <w:rFonts w:ascii="Arial" w:hAnsi="Arial" w:cs="Arial"/>
                <w:b/>
                <w:sz w:val="20"/>
                <w:szCs w:val="20"/>
              </w:rPr>
              <w:t>LUN</w:t>
            </w:r>
          </w:p>
        </w:tc>
        <w:tc>
          <w:tcPr>
            <w:tcW w:w="1097" w:type="dxa"/>
            <w:shd w:val="clear" w:color="auto" w:fill="auto"/>
          </w:tcPr>
          <w:p w14:paraId="586DE886"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MAR</w:t>
            </w:r>
          </w:p>
        </w:tc>
        <w:tc>
          <w:tcPr>
            <w:tcW w:w="1006" w:type="dxa"/>
            <w:shd w:val="clear" w:color="auto" w:fill="auto"/>
          </w:tcPr>
          <w:p w14:paraId="0B7E3998"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MIER</w:t>
            </w:r>
          </w:p>
        </w:tc>
        <w:tc>
          <w:tcPr>
            <w:tcW w:w="1161" w:type="dxa"/>
            <w:shd w:val="clear" w:color="auto" w:fill="auto"/>
          </w:tcPr>
          <w:p w14:paraId="047438B1"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JUE</w:t>
            </w:r>
          </w:p>
        </w:tc>
        <w:tc>
          <w:tcPr>
            <w:tcW w:w="1004" w:type="dxa"/>
            <w:shd w:val="clear" w:color="auto" w:fill="auto"/>
          </w:tcPr>
          <w:p w14:paraId="79AF81D0"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VIER</w:t>
            </w:r>
          </w:p>
        </w:tc>
        <w:tc>
          <w:tcPr>
            <w:tcW w:w="1128" w:type="dxa"/>
            <w:shd w:val="clear" w:color="auto" w:fill="auto"/>
          </w:tcPr>
          <w:p w14:paraId="5D140C83"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SAB</w:t>
            </w:r>
          </w:p>
        </w:tc>
        <w:tc>
          <w:tcPr>
            <w:tcW w:w="1333" w:type="dxa"/>
            <w:shd w:val="clear" w:color="auto" w:fill="auto"/>
          </w:tcPr>
          <w:p w14:paraId="6530D27B"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DOM</w:t>
            </w:r>
          </w:p>
        </w:tc>
      </w:tr>
      <w:tr w:rsidR="0098259F" w:rsidRPr="000A1388" w14:paraId="2A701E03"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161" w:type="dxa"/>
          </w:tcPr>
          <w:p w14:paraId="4B249B75" w14:textId="77777777" w:rsidR="000A1388" w:rsidRDefault="000A1388" w:rsidP="004D741A">
            <w:pPr>
              <w:jc w:val="center"/>
              <w:rPr>
                <w:rFonts w:ascii="Arial" w:hAnsi="Arial" w:cs="Arial"/>
                <w:sz w:val="20"/>
                <w:szCs w:val="20"/>
              </w:rPr>
            </w:pPr>
          </w:p>
        </w:tc>
        <w:tc>
          <w:tcPr>
            <w:tcW w:w="1097" w:type="dxa"/>
            <w:shd w:val="clear" w:color="auto" w:fill="auto"/>
          </w:tcPr>
          <w:p w14:paraId="566CB35D" w14:textId="77777777" w:rsidR="000A1388" w:rsidRDefault="000A1388" w:rsidP="004D741A">
            <w:pPr>
              <w:jc w:val="center"/>
              <w:rPr>
                <w:rFonts w:ascii="Arial" w:hAnsi="Arial" w:cs="Arial"/>
                <w:sz w:val="20"/>
                <w:szCs w:val="20"/>
              </w:rPr>
            </w:pPr>
          </w:p>
        </w:tc>
        <w:tc>
          <w:tcPr>
            <w:tcW w:w="1006" w:type="dxa"/>
            <w:shd w:val="clear" w:color="auto" w:fill="auto"/>
          </w:tcPr>
          <w:p w14:paraId="2329EB27" w14:textId="77777777" w:rsidR="000A1388" w:rsidRDefault="000A1388" w:rsidP="004D741A">
            <w:pPr>
              <w:jc w:val="center"/>
              <w:rPr>
                <w:rFonts w:ascii="Arial" w:hAnsi="Arial" w:cs="Arial"/>
                <w:sz w:val="20"/>
                <w:szCs w:val="20"/>
              </w:rPr>
            </w:pPr>
          </w:p>
        </w:tc>
        <w:tc>
          <w:tcPr>
            <w:tcW w:w="1161" w:type="dxa"/>
            <w:shd w:val="clear" w:color="auto" w:fill="auto"/>
          </w:tcPr>
          <w:p w14:paraId="1A2EEE05" w14:textId="77777777" w:rsidR="000A1388" w:rsidRDefault="000A1388" w:rsidP="004D741A">
            <w:pPr>
              <w:jc w:val="center"/>
              <w:rPr>
                <w:rFonts w:ascii="Arial" w:hAnsi="Arial" w:cs="Arial"/>
                <w:sz w:val="20"/>
                <w:szCs w:val="20"/>
              </w:rPr>
            </w:pPr>
          </w:p>
        </w:tc>
        <w:tc>
          <w:tcPr>
            <w:tcW w:w="1004" w:type="dxa"/>
            <w:shd w:val="clear" w:color="auto" w:fill="auto"/>
          </w:tcPr>
          <w:p w14:paraId="156DE7CC" w14:textId="77777777" w:rsidR="000A1388" w:rsidRDefault="000A1388" w:rsidP="004D741A">
            <w:pPr>
              <w:jc w:val="center"/>
              <w:rPr>
                <w:rFonts w:ascii="Arial" w:hAnsi="Arial" w:cs="Arial"/>
                <w:sz w:val="20"/>
                <w:szCs w:val="20"/>
              </w:rPr>
            </w:pPr>
          </w:p>
        </w:tc>
        <w:tc>
          <w:tcPr>
            <w:tcW w:w="1128" w:type="dxa"/>
            <w:shd w:val="clear" w:color="auto" w:fill="auto"/>
          </w:tcPr>
          <w:p w14:paraId="34623681" w14:textId="77777777" w:rsidR="000A1388" w:rsidRDefault="00AF68DF" w:rsidP="004D741A">
            <w:pPr>
              <w:jc w:val="center"/>
              <w:rPr>
                <w:rFonts w:ascii="Arial" w:hAnsi="Arial" w:cs="Arial"/>
                <w:sz w:val="20"/>
                <w:szCs w:val="20"/>
              </w:rPr>
            </w:pPr>
            <w:r>
              <w:rPr>
                <w:rFonts w:ascii="Arial" w:hAnsi="Arial" w:cs="Arial"/>
                <w:sz w:val="20"/>
                <w:szCs w:val="20"/>
              </w:rPr>
              <w:t>1</w:t>
            </w:r>
          </w:p>
        </w:tc>
        <w:tc>
          <w:tcPr>
            <w:tcW w:w="1333" w:type="dxa"/>
            <w:shd w:val="clear" w:color="auto" w:fill="auto"/>
          </w:tcPr>
          <w:p w14:paraId="36D1D1F3" w14:textId="77777777" w:rsidR="000A1388" w:rsidRDefault="00AF68DF" w:rsidP="004D741A">
            <w:pPr>
              <w:jc w:val="center"/>
              <w:rPr>
                <w:rFonts w:ascii="Arial" w:hAnsi="Arial" w:cs="Arial"/>
                <w:sz w:val="20"/>
                <w:szCs w:val="20"/>
              </w:rPr>
            </w:pPr>
            <w:r>
              <w:rPr>
                <w:rFonts w:ascii="Arial" w:hAnsi="Arial" w:cs="Arial"/>
                <w:sz w:val="20"/>
                <w:szCs w:val="20"/>
              </w:rPr>
              <w:t>2</w:t>
            </w:r>
          </w:p>
        </w:tc>
      </w:tr>
      <w:tr w:rsidR="0098259F" w:rsidRPr="000A1388" w14:paraId="38F5D196"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161" w:type="dxa"/>
          </w:tcPr>
          <w:p w14:paraId="2A3C1E8D" w14:textId="77777777" w:rsidR="004D741A" w:rsidRPr="00533313" w:rsidRDefault="00AF68DF" w:rsidP="004D741A">
            <w:pPr>
              <w:jc w:val="center"/>
              <w:rPr>
                <w:rFonts w:ascii="Arial" w:hAnsi="Arial" w:cs="Arial"/>
                <w:sz w:val="20"/>
                <w:szCs w:val="20"/>
              </w:rPr>
            </w:pPr>
            <w:r>
              <w:rPr>
                <w:rFonts w:ascii="Arial" w:hAnsi="Arial" w:cs="Arial"/>
                <w:sz w:val="20"/>
                <w:szCs w:val="20"/>
              </w:rPr>
              <w:t>3</w:t>
            </w:r>
          </w:p>
        </w:tc>
        <w:tc>
          <w:tcPr>
            <w:tcW w:w="1097" w:type="dxa"/>
            <w:shd w:val="clear" w:color="auto" w:fill="auto"/>
          </w:tcPr>
          <w:p w14:paraId="5F6CC94F" w14:textId="77777777" w:rsidR="004D741A" w:rsidRPr="00533313" w:rsidRDefault="00AF68DF" w:rsidP="004D741A">
            <w:pPr>
              <w:jc w:val="center"/>
              <w:rPr>
                <w:rFonts w:ascii="Arial" w:hAnsi="Arial" w:cs="Arial"/>
                <w:sz w:val="20"/>
                <w:szCs w:val="20"/>
              </w:rPr>
            </w:pPr>
            <w:r>
              <w:rPr>
                <w:rFonts w:ascii="Arial" w:hAnsi="Arial" w:cs="Arial"/>
                <w:sz w:val="20"/>
                <w:szCs w:val="20"/>
              </w:rPr>
              <w:t>4</w:t>
            </w:r>
          </w:p>
        </w:tc>
        <w:tc>
          <w:tcPr>
            <w:tcW w:w="1006" w:type="dxa"/>
            <w:shd w:val="clear" w:color="auto" w:fill="auto"/>
          </w:tcPr>
          <w:p w14:paraId="6B73BD7A" w14:textId="77777777" w:rsidR="004D741A" w:rsidRPr="00533313" w:rsidRDefault="00AF68DF" w:rsidP="004D741A">
            <w:pPr>
              <w:jc w:val="center"/>
              <w:rPr>
                <w:rFonts w:ascii="Arial" w:hAnsi="Arial" w:cs="Arial"/>
                <w:sz w:val="20"/>
                <w:szCs w:val="20"/>
              </w:rPr>
            </w:pPr>
            <w:r>
              <w:rPr>
                <w:rFonts w:ascii="Arial" w:hAnsi="Arial" w:cs="Arial"/>
                <w:sz w:val="20"/>
                <w:szCs w:val="20"/>
              </w:rPr>
              <w:t>5</w:t>
            </w:r>
          </w:p>
        </w:tc>
        <w:tc>
          <w:tcPr>
            <w:tcW w:w="1161" w:type="dxa"/>
            <w:shd w:val="clear" w:color="auto" w:fill="auto"/>
          </w:tcPr>
          <w:p w14:paraId="5238F318" w14:textId="77777777" w:rsidR="004D741A" w:rsidRPr="00533313" w:rsidRDefault="00AF68DF" w:rsidP="004D741A">
            <w:pPr>
              <w:jc w:val="center"/>
              <w:rPr>
                <w:rFonts w:ascii="Arial" w:hAnsi="Arial" w:cs="Arial"/>
                <w:sz w:val="20"/>
                <w:szCs w:val="20"/>
              </w:rPr>
            </w:pPr>
            <w:r>
              <w:rPr>
                <w:rFonts w:ascii="Arial" w:hAnsi="Arial" w:cs="Arial"/>
                <w:sz w:val="20"/>
                <w:szCs w:val="20"/>
              </w:rPr>
              <w:t>6</w:t>
            </w:r>
          </w:p>
        </w:tc>
        <w:tc>
          <w:tcPr>
            <w:tcW w:w="1004" w:type="dxa"/>
            <w:shd w:val="clear" w:color="auto" w:fill="auto"/>
          </w:tcPr>
          <w:p w14:paraId="6DD2D0A2" w14:textId="77777777" w:rsidR="004D741A" w:rsidRPr="00533313" w:rsidRDefault="00AF68DF" w:rsidP="004D741A">
            <w:pPr>
              <w:jc w:val="center"/>
              <w:rPr>
                <w:rFonts w:ascii="Arial" w:hAnsi="Arial" w:cs="Arial"/>
                <w:sz w:val="20"/>
                <w:szCs w:val="20"/>
              </w:rPr>
            </w:pPr>
            <w:r>
              <w:rPr>
                <w:rFonts w:ascii="Arial" w:hAnsi="Arial" w:cs="Arial"/>
                <w:sz w:val="20"/>
                <w:szCs w:val="20"/>
              </w:rPr>
              <w:t>7</w:t>
            </w:r>
          </w:p>
        </w:tc>
        <w:tc>
          <w:tcPr>
            <w:tcW w:w="1128" w:type="dxa"/>
            <w:shd w:val="clear" w:color="auto" w:fill="auto"/>
          </w:tcPr>
          <w:p w14:paraId="4B9ACCCA" w14:textId="77777777" w:rsidR="004D741A" w:rsidRPr="00533313" w:rsidRDefault="00AF68DF" w:rsidP="004D741A">
            <w:pPr>
              <w:jc w:val="center"/>
              <w:rPr>
                <w:rFonts w:ascii="Arial" w:hAnsi="Arial" w:cs="Arial"/>
                <w:sz w:val="20"/>
                <w:szCs w:val="20"/>
              </w:rPr>
            </w:pPr>
            <w:r>
              <w:rPr>
                <w:rFonts w:ascii="Arial" w:hAnsi="Arial" w:cs="Arial"/>
                <w:sz w:val="20"/>
                <w:szCs w:val="20"/>
              </w:rPr>
              <w:t>8</w:t>
            </w:r>
          </w:p>
        </w:tc>
        <w:tc>
          <w:tcPr>
            <w:tcW w:w="1333" w:type="dxa"/>
            <w:shd w:val="clear" w:color="auto" w:fill="auto"/>
          </w:tcPr>
          <w:p w14:paraId="0CAF37A1" w14:textId="77777777" w:rsidR="004D741A" w:rsidRPr="00533313" w:rsidRDefault="00AF68DF" w:rsidP="004D741A">
            <w:pPr>
              <w:jc w:val="center"/>
              <w:rPr>
                <w:rFonts w:ascii="Arial" w:hAnsi="Arial" w:cs="Arial"/>
                <w:sz w:val="20"/>
                <w:szCs w:val="20"/>
              </w:rPr>
            </w:pPr>
            <w:r>
              <w:rPr>
                <w:rFonts w:ascii="Arial" w:hAnsi="Arial" w:cs="Arial"/>
                <w:sz w:val="20"/>
                <w:szCs w:val="20"/>
              </w:rPr>
              <w:t>9</w:t>
            </w:r>
          </w:p>
        </w:tc>
      </w:tr>
      <w:tr w:rsidR="0098259F" w14:paraId="471B2A94" w14:textId="77777777" w:rsidTr="00AF68DF">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27"/>
        </w:trPr>
        <w:tc>
          <w:tcPr>
            <w:tcW w:w="1161" w:type="dxa"/>
            <w:shd w:val="clear" w:color="auto" w:fill="auto"/>
          </w:tcPr>
          <w:p w14:paraId="497646E0" w14:textId="77777777" w:rsidR="004D741A" w:rsidRPr="00533313" w:rsidRDefault="00AF68DF" w:rsidP="00ED1DC2">
            <w:pPr>
              <w:jc w:val="center"/>
              <w:rPr>
                <w:rFonts w:ascii="Arial" w:hAnsi="Arial" w:cs="Arial"/>
                <w:sz w:val="20"/>
                <w:szCs w:val="20"/>
              </w:rPr>
            </w:pPr>
            <w:r>
              <w:rPr>
                <w:rFonts w:ascii="Arial" w:hAnsi="Arial" w:cs="Arial"/>
                <w:sz w:val="20"/>
                <w:szCs w:val="20"/>
              </w:rPr>
              <w:t>10</w:t>
            </w:r>
          </w:p>
        </w:tc>
        <w:tc>
          <w:tcPr>
            <w:tcW w:w="1097" w:type="dxa"/>
            <w:shd w:val="clear" w:color="auto" w:fill="auto"/>
          </w:tcPr>
          <w:p w14:paraId="5989E1FB" w14:textId="77777777" w:rsidR="004D741A" w:rsidRPr="00533313" w:rsidRDefault="00AF68DF" w:rsidP="00ED1DC2">
            <w:pPr>
              <w:jc w:val="center"/>
              <w:rPr>
                <w:rFonts w:ascii="Arial" w:hAnsi="Arial" w:cs="Arial"/>
                <w:sz w:val="20"/>
                <w:szCs w:val="20"/>
              </w:rPr>
            </w:pPr>
            <w:r>
              <w:rPr>
                <w:rFonts w:ascii="Arial" w:hAnsi="Arial" w:cs="Arial"/>
                <w:sz w:val="20"/>
                <w:szCs w:val="20"/>
              </w:rPr>
              <w:t>11</w:t>
            </w:r>
          </w:p>
        </w:tc>
        <w:tc>
          <w:tcPr>
            <w:tcW w:w="1006" w:type="dxa"/>
            <w:shd w:val="clear" w:color="auto" w:fill="auto"/>
          </w:tcPr>
          <w:p w14:paraId="19AF3586" w14:textId="77777777" w:rsidR="004D741A" w:rsidRPr="00533313" w:rsidRDefault="00AF68DF" w:rsidP="00ED1DC2">
            <w:pPr>
              <w:jc w:val="center"/>
              <w:rPr>
                <w:rFonts w:ascii="Arial" w:hAnsi="Arial" w:cs="Arial"/>
                <w:sz w:val="20"/>
                <w:szCs w:val="20"/>
              </w:rPr>
            </w:pPr>
            <w:r>
              <w:rPr>
                <w:rFonts w:ascii="Arial" w:hAnsi="Arial" w:cs="Arial"/>
                <w:sz w:val="20"/>
                <w:szCs w:val="20"/>
              </w:rPr>
              <w:t>12</w:t>
            </w:r>
          </w:p>
        </w:tc>
        <w:tc>
          <w:tcPr>
            <w:tcW w:w="1161" w:type="dxa"/>
            <w:shd w:val="clear" w:color="auto" w:fill="auto"/>
          </w:tcPr>
          <w:p w14:paraId="71A51943" w14:textId="77777777" w:rsidR="000A1388" w:rsidRPr="00533313" w:rsidRDefault="00AF68DF" w:rsidP="00ED1DC2">
            <w:pPr>
              <w:jc w:val="center"/>
              <w:rPr>
                <w:rFonts w:ascii="Arial" w:hAnsi="Arial" w:cs="Arial"/>
                <w:sz w:val="20"/>
                <w:szCs w:val="20"/>
              </w:rPr>
            </w:pPr>
            <w:r>
              <w:rPr>
                <w:rFonts w:ascii="Arial" w:hAnsi="Arial" w:cs="Arial"/>
                <w:sz w:val="20"/>
                <w:szCs w:val="20"/>
              </w:rPr>
              <w:t>13</w:t>
            </w:r>
          </w:p>
        </w:tc>
        <w:tc>
          <w:tcPr>
            <w:tcW w:w="1004" w:type="dxa"/>
            <w:shd w:val="clear" w:color="auto" w:fill="auto"/>
          </w:tcPr>
          <w:p w14:paraId="65C71965" w14:textId="77777777" w:rsidR="000A1388" w:rsidRPr="00533313" w:rsidRDefault="00AF68DF" w:rsidP="00ED1DC2">
            <w:pPr>
              <w:jc w:val="center"/>
              <w:rPr>
                <w:rFonts w:ascii="Arial" w:hAnsi="Arial" w:cs="Arial"/>
                <w:sz w:val="20"/>
                <w:szCs w:val="20"/>
              </w:rPr>
            </w:pPr>
            <w:r>
              <w:rPr>
                <w:rFonts w:ascii="Arial" w:hAnsi="Arial" w:cs="Arial"/>
                <w:sz w:val="20"/>
                <w:szCs w:val="20"/>
              </w:rPr>
              <w:t>14</w:t>
            </w:r>
          </w:p>
        </w:tc>
        <w:tc>
          <w:tcPr>
            <w:tcW w:w="1128" w:type="dxa"/>
            <w:shd w:val="clear" w:color="auto" w:fill="auto"/>
          </w:tcPr>
          <w:p w14:paraId="222633DA" w14:textId="77777777" w:rsidR="000A1388" w:rsidRPr="00533313" w:rsidRDefault="00AF68DF" w:rsidP="00ED1DC2">
            <w:pPr>
              <w:jc w:val="center"/>
              <w:rPr>
                <w:rFonts w:ascii="Arial" w:hAnsi="Arial" w:cs="Arial"/>
                <w:sz w:val="20"/>
                <w:szCs w:val="20"/>
              </w:rPr>
            </w:pPr>
            <w:r>
              <w:rPr>
                <w:rFonts w:ascii="Arial" w:hAnsi="Arial" w:cs="Arial"/>
                <w:sz w:val="20"/>
                <w:szCs w:val="20"/>
              </w:rPr>
              <w:t>15</w:t>
            </w:r>
          </w:p>
        </w:tc>
        <w:tc>
          <w:tcPr>
            <w:tcW w:w="1333" w:type="dxa"/>
            <w:shd w:val="clear" w:color="auto" w:fill="auto"/>
          </w:tcPr>
          <w:p w14:paraId="2E9FE4D9" w14:textId="77777777" w:rsidR="000A1388" w:rsidRPr="00533313" w:rsidRDefault="00AF68DF" w:rsidP="00ED1DC2">
            <w:pPr>
              <w:jc w:val="center"/>
              <w:rPr>
                <w:rFonts w:ascii="Arial" w:hAnsi="Arial" w:cs="Arial"/>
                <w:sz w:val="20"/>
                <w:szCs w:val="20"/>
              </w:rPr>
            </w:pPr>
            <w:r>
              <w:rPr>
                <w:rFonts w:ascii="Arial" w:hAnsi="Arial" w:cs="Arial"/>
                <w:sz w:val="20"/>
                <w:szCs w:val="20"/>
              </w:rPr>
              <w:t>16</w:t>
            </w:r>
          </w:p>
        </w:tc>
      </w:tr>
      <w:tr w:rsidR="0098259F" w14:paraId="6530CA70" w14:textId="77777777" w:rsidTr="0098259F">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trPr>
        <w:tc>
          <w:tcPr>
            <w:tcW w:w="1161" w:type="dxa"/>
            <w:shd w:val="clear" w:color="auto" w:fill="BFBFBF" w:themeFill="background1" w:themeFillShade="BF"/>
          </w:tcPr>
          <w:p w14:paraId="783D501F" w14:textId="77777777" w:rsidR="000A1388" w:rsidRDefault="00AF68DF" w:rsidP="00ED1DC2">
            <w:pPr>
              <w:jc w:val="center"/>
              <w:rPr>
                <w:rFonts w:ascii="Arial" w:hAnsi="Arial" w:cs="Arial"/>
                <w:sz w:val="20"/>
                <w:szCs w:val="20"/>
              </w:rPr>
            </w:pPr>
            <w:r>
              <w:rPr>
                <w:rFonts w:ascii="Arial" w:hAnsi="Arial" w:cs="Arial"/>
                <w:sz w:val="20"/>
                <w:szCs w:val="20"/>
              </w:rPr>
              <w:t>17</w:t>
            </w:r>
          </w:p>
          <w:p w14:paraId="6337A5BA" w14:textId="77777777" w:rsidR="0098259F" w:rsidRDefault="0098259F" w:rsidP="00E033DD">
            <w:pPr>
              <w:jc w:val="center"/>
              <w:rPr>
                <w:rFonts w:ascii="Arial" w:hAnsi="Arial" w:cs="Arial"/>
                <w:sz w:val="20"/>
                <w:szCs w:val="20"/>
              </w:rPr>
            </w:pPr>
            <w:r>
              <w:rPr>
                <w:rFonts w:ascii="Arial" w:hAnsi="Arial" w:cs="Arial"/>
                <w:sz w:val="20"/>
                <w:szCs w:val="20"/>
              </w:rPr>
              <w:t>notifica</w:t>
            </w:r>
          </w:p>
        </w:tc>
        <w:tc>
          <w:tcPr>
            <w:tcW w:w="1097" w:type="dxa"/>
            <w:shd w:val="clear" w:color="auto" w:fill="D9D9D9" w:themeFill="background1" w:themeFillShade="D9"/>
          </w:tcPr>
          <w:p w14:paraId="68DDC322" w14:textId="77777777" w:rsidR="000A1388" w:rsidRDefault="00AF68DF" w:rsidP="00ED1DC2">
            <w:pPr>
              <w:jc w:val="center"/>
              <w:rPr>
                <w:rFonts w:ascii="Arial" w:hAnsi="Arial" w:cs="Arial"/>
                <w:sz w:val="20"/>
                <w:szCs w:val="20"/>
              </w:rPr>
            </w:pPr>
            <w:r>
              <w:rPr>
                <w:rFonts w:ascii="Arial" w:hAnsi="Arial" w:cs="Arial"/>
                <w:sz w:val="20"/>
                <w:szCs w:val="20"/>
              </w:rPr>
              <w:t>18</w:t>
            </w:r>
          </w:p>
          <w:p w14:paraId="1E93E524" w14:textId="77777777" w:rsidR="0098259F" w:rsidRDefault="0098259F" w:rsidP="00E033DD">
            <w:pPr>
              <w:jc w:val="center"/>
              <w:rPr>
                <w:rFonts w:ascii="Arial" w:hAnsi="Arial" w:cs="Arial"/>
                <w:sz w:val="20"/>
                <w:szCs w:val="20"/>
              </w:rPr>
            </w:pPr>
            <w:r>
              <w:rPr>
                <w:rFonts w:ascii="Arial" w:hAnsi="Arial" w:cs="Arial"/>
                <w:sz w:val="20"/>
                <w:szCs w:val="20"/>
              </w:rPr>
              <w:t xml:space="preserve">surte efectos </w:t>
            </w:r>
          </w:p>
        </w:tc>
        <w:tc>
          <w:tcPr>
            <w:tcW w:w="1006" w:type="dxa"/>
            <w:shd w:val="clear" w:color="auto" w:fill="A6A6A6" w:themeFill="background1" w:themeFillShade="A6"/>
          </w:tcPr>
          <w:p w14:paraId="2ACA5E3C" w14:textId="77777777" w:rsidR="004D741A" w:rsidRPr="0098259F" w:rsidRDefault="00AF68DF" w:rsidP="00ED1DC2">
            <w:pPr>
              <w:jc w:val="center"/>
              <w:rPr>
                <w:rFonts w:ascii="Arial" w:hAnsi="Arial" w:cs="Arial"/>
                <w:b/>
                <w:sz w:val="20"/>
                <w:szCs w:val="20"/>
              </w:rPr>
            </w:pPr>
            <w:r w:rsidRPr="0098259F">
              <w:rPr>
                <w:rFonts w:ascii="Arial" w:hAnsi="Arial" w:cs="Arial"/>
                <w:b/>
                <w:sz w:val="20"/>
                <w:szCs w:val="20"/>
              </w:rPr>
              <w:t>19</w:t>
            </w:r>
          </w:p>
          <w:p w14:paraId="308DFA91" w14:textId="77777777" w:rsidR="0098259F" w:rsidRDefault="0098259F" w:rsidP="0098259F">
            <w:pPr>
              <w:pStyle w:val="Prrafodelista"/>
              <w:numPr>
                <w:ilvl w:val="0"/>
                <w:numId w:val="4"/>
              </w:numPr>
              <w:ind w:left="364"/>
              <w:jc w:val="center"/>
              <w:rPr>
                <w:rFonts w:ascii="Arial" w:hAnsi="Arial" w:cs="Arial"/>
                <w:sz w:val="20"/>
                <w:szCs w:val="20"/>
              </w:rPr>
            </w:pPr>
          </w:p>
          <w:p w14:paraId="51D24D30" w14:textId="77777777" w:rsidR="000A1388" w:rsidRPr="0098259F" w:rsidRDefault="000A1388" w:rsidP="0098259F">
            <w:pPr>
              <w:ind w:left="4"/>
              <w:rPr>
                <w:rFonts w:ascii="Arial" w:hAnsi="Arial" w:cs="Arial"/>
                <w:sz w:val="20"/>
                <w:szCs w:val="20"/>
              </w:rPr>
            </w:pPr>
          </w:p>
        </w:tc>
        <w:tc>
          <w:tcPr>
            <w:tcW w:w="1161" w:type="dxa"/>
            <w:shd w:val="clear" w:color="auto" w:fill="A6A6A6" w:themeFill="background1" w:themeFillShade="A6"/>
          </w:tcPr>
          <w:p w14:paraId="0BE81357" w14:textId="77777777" w:rsidR="004D741A" w:rsidRPr="00AF68DF" w:rsidRDefault="00AF68DF" w:rsidP="00ED1DC2">
            <w:pPr>
              <w:jc w:val="center"/>
              <w:rPr>
                <w:rFonts w:ascii="Arial" w:hAnsi="Arial" w:cs="Arial"/>
                <w:sz w:val="20"/>
                <w:szCs w:val="20"/>
              </w:rPr>
            </w:pPr>
            <w:r w:rsidRPr="00AF68DF">
              <w:rPr>
                <w:rFonts w:ascii="Arial" w:hAnsi="Arial" w:cs="Arial"/>
                <w:sz w:val="20"/>
                <w:szCs w:val="20"/>
              </w:rPr>
              <w:t>20</w:t>
            </w:r>
          </w:p>
          <w:p w14:paraId="613AAF78" w14:textId="77777777" w:rsidR="000A1388" w:rsidRDefault="0098259F" w:rsidP="00AF68DF">
            <w:pPr>
              <w:jc w:val="center"/>
              <w:rPr>
                <w:rFonts w:ascii="Arial" w:hAnsi="Arial" w:cs="Arial"/>
                <w:sz w:val="20"/>
                <w:szCs w:val="20"/>
              </w:rPr>
            </w:pPr>
            <w:r>
              <w:rPr>
                <w:rFonts w:ascii="Arial" w:hAnsi="Arial" w:cs="Arial"/>
                <w:sz w:val="20"/>
                <w:szCs w:val="20"/>
              </w:rPr>
              <w:t>(2)</w:t>
            </w:r>
          </w:p>
        </w:tc>
        <w:tc>
          <w:tcPr>
            <w:tcW w:w="1004" w:type="dxa"/>
            <w:shd w:val="clear" w:color="auto" w:fill="A6A6A6" w:themeFill="background1" w:themeFillShade="A6"/>
          </w:tcPr>
          <w:p w14:paraId="236A77A5" w14:textId="77777777" w:rsidR="004D741A" w:rsidRDefault="00AF68DF" w:rsidP="00ED1DC2">
            <w:pPr>
              <w:jc w:val="center"/>
              <w:rPr>
                <w:rFonts w:ascii="Arial" w:hAnsi="Arial" w:cs="Arial"/>
                <w:sz w:val="20"/>
                <w:szCs w:val="20"/>
              </w:rPr>
            </w:pPr>
            <w:r>
              <w:rPr>
                <w:rFonts w:ascii="Arial" w:hAnsi="Arial" w:cs="Arial"/>
                <w:sz w:val="20"/>
                <w:szCs w:val="20"/>
              </w:rPr>
              <w:t>21</w:t>
            </w:r>
          </w:p>
          <w:p w14:paraId="467CC1BE" w14:textId="77777777" w:rsidR="0098259F" w:rsidRDefault="0098259F" w:rsidP="00ED1DC2">
            <w:pPr>
              <w:jc w:val="center"/>
              <w:rPr>
                <w:rFonts w:ascii="Arial" w:hAnsi="Arial" w:cs="Arial"/>
                <w:sz w:val="20"/>
                <w:szCs w:val="20"/>
              </w:rPr>
            </w:pPr>
            <w:r>
              <w:rPr>
                <w:rFonts w:ascii="Arial" w:hAnsi="Arial" w:cs="Arial"/>
                <w:sz w:val="20"/>
                <w:szCs w:val="20"/>
              </w:rPr>
              <w:t>(3)</w:t>
            </w:r>
          </w:p>
        </w:tc>
        <w:tc>
          <w:tcPr>
            <w:tcW w:w="1128" w:type="dxa"/>
            <w:shd w:val="clear" w:color="auto" w:fill="7F7F7F" w:themeFill="text1" w:themeFillTint="80"/>
          </w:tcPr>
          <w:p w14:paraId="3B2176D5" w14:textId="77777777" w:rsidR="004D741A" w:rsidRDefault="00AF68DF" w:rsidP="00ED1DC2">
            <w:pPr>
              <w:jc w:val="center"/>
              <w:rPr>
                <w:rFonts w:ascii="Arial" w:hAnsi="Arial" w:cs="Arial"/>
                <w:sz w:val="20"/>
                <w:szCs w:val="20"/>
              </w:rPr>
            </w:pPr>
            <w:r>
              <w:rPr>
                <w:rFonts w:ascii="Arial" w:hAnsi="Arial" w:cs="Arial"/>
                <w:sz w:val="20"/>
                <w:szCs w:val="20"/>
              </w:rPr>
              <w:t>22</w:t>
            </w:r>
          </w:p>
          <w:p w14:paraId="0DD896EF" w14:textId="77777777" w:rsidR="0098259F" w:rsidRDefault="0098259F" w:rsidP="00ED1DC2">
            <w:pPr>
              <w:jc w:val="center"/>
              <w:rPr>
                <w:rFonts w:ascii="Arial" w:hAnsi="Arial" w:cs="Arial"/>
                <w:sz w:val="20"/>
                <w:szCs w:val="20"/>
              </w:rPr>
            </w:pPr>
            <w:r>
              <w:rPr>
                <w:rFonts w:ascii="Arial" w:hAnsi="Arial" w:cs="Arial"/>
                <w:sz w:val="20"/>
                <w:szCs w:val="20"/>
              </w:rPr>
              <w:t>(inhábil)</w:t>
            </w:r>
          </w:p>
        </w:tc>
        <w:tc>
          <w:tcPr>
            <w:tcW w:w="1333" w:type="dxa"/>
            <w:shd w:val="clear" w:color="auto" w:fill="7F7F7F" w:themeFill="text1" w:themeFillTint="80"/>
          </w:tcPr>
          <w:p w14:paraId="4923023A" w14:textId="77777777" w:rsidR="004D741A" w:rsidRDefault="00AF68DF" w:rsidP="004D741A">
            <w:pPr>
              <w:jc w:val="center"/>
              <w:rPr>
                <w:rFonts w:ascii="Arial" w:hAnsi="Arial" w:cs="Arial"/>
                <w:sz w:val="20"/>
                <w:szCs w:val="20"/>
              </w:rPr>
            </w:pPr>
            <w:r>
              <w:rPr>
                <w:rFonts w:ascii="Arial" w:hAnsi="Arial" w:cs="Arial"/>
                <w:sz w:val="20"/>
                <w:szCs w:val="20"/>
              </w:rPr>
              <w:t>23</w:t>
            </w:r>
          </w:p>
          <w:p w14:paraId="5F1935C6" w14:textId="77777777" w:rsidR="0098259F" w:rsidRDefault="0098259F" w:rsidP="004D741A">
            <w:pPr>
              <w:jc w:val="center"/>
              <w:rPr>
                <w:rFonts w:ascii="Arial" w:hAnsi="Arial" w:cs="Arial"/>
                <w:sz w:val="20"/>
                <w:szCs w:val="20"/>
              </w:rPr>
            </w:pPr>
            <w:r>
              <w:rPr>
                <w:rFonts w:ascii="Arial" w:hAnsi="Arial" w:cs="Arial"/>
                <w:sz w:val="20"/>
                <w:szCs w:val="20"/>
              </w:rPr>
              <w:t>(inhábil)</w:t>
            </w:r>
          </w:p>
        </w:tc>
      </w:tr>
      <w:tr w:rsidR="0098259F" w14:paraId="71645AD4" w14:textId="77777777" w:rsidTr="0098259F">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trPr>
        <w:tc>
          <w:tcPr>
            <w:tcW w:w="1161" w:type="dxa"/>
            <w:shd w:val="clear" w:color="auto" w:fill="A6A6A6" w:themeFill="background1" w:themeFillShade="A6"/>
          </w:tcPr>
          <w:p w14:paraId="1BD31EE7" w14:textId="77777777" w:rsidR="00AF68DF" w:rsidRDefault="00AF68DF" w:rsidP="00ED1DC2">
            <w:pPr>
              <w:jc w:val="center"/>
              <w:rPr>
                <w:rFonts w:ascii="Arial" w:hAnsi="Arial" w:cs="Arial"/>
                <w:sz w:val="20"/>
                <w:szCs w:val="20"/>
              </w:rPr>
            </w:pPr>
            <w:r>
              <w:rPr>
                <w:rFonts w:ascii="Arial" w:hAnsi="Arial" w:cs="Arial"/>
                <w:sz w:val="20"/>
                <w:szCs w:val="20"/>
              </w:rPr>
              <w:t>24</w:t>
            </w:r>
          </w:p>
          <w:p w14:paraId="0D555332" w14:textId="77777777" w:rsidR="0098259F" w:rsidRDefault="0098259F" w:rsidP="00ED1DC2">
            <w:pPr>
              <w:jc w:val="center"/>
              <w:rPr>
                <w:rFonts w:ascii="Arial" w:hAnsi="Arial" w:cs="Arial"/>
                <w:sz w:val="20"/>
                <w:szCs w:val="20"/>
              </w:rPr>
            </w:pPr>
            <w:r>
              <w:rPr>
                <w:rFonts w:ascii="Arial" w:hAnsi="Arial" w:cs="Arial"/>
                <w:sz w:val="20"/>
                <w:szCs w:val="20"/>
              </w:rPr>
              <w:t>(4)</w:t>
            </w:r>
          </w:p>
        </w:tc>
        <w:tc>
          <w:tcPr>
            <w:tcW w:w="1097" w:type="dxa"/>
            <w:shd w:val="clear" w:color="auto" w:fill="A6A6A6" w:themeFill="background1" w:themeFillShade="A6"/>
          </w:tcPr>
          <w:p w14:paraId="1D655F63" w14:textId="77777777" w:rsidR="00AF68DF" w:rsidRDefault="00AF68DF" w:rsidP="00ED1DC2">
            <w:pPr>
              <w:jc w:val="center"/>
              <w:rPr>
                <w:rFonts w:ascii="Arial" w:hAnsi="Arial" w:cs="Arial"/>
                <w:b/>
                <w:sz w:val="20"/>
                <w:szCs w:val="20"/>
              </w:rPr>
            </w:pPr>
            <w:r w:rsidRPr="0098259F">
              <w:rPr>
                <w:rFonts w:ascii="Arial" w:hAnsi="Arial" w:cs="Arial"/>
                <w:b/>
                <w:sz w:val="20"/>
                <w:szCs w:val="20"/>
              </w:rPr>
              <w:t>25</w:t>
            </w:r>
          </w:p>
          <w:p w14:paraId="5509119C" w14:textId="77777777" w:rsidR="0098259F" w:rsidRPr="0098259F" w:rsidRDefault="0098259F" w:rsidP="00ED1DC2">
            <w:pPr>
              <w:jc w:val="center"/>
              <w:rPr>
                <w:rFonts w:ascii="Arial" w:hAnsi="Arial" w:cs="Arial"/>
                <w:b/>
                <w:sz w:val="20"/>
                <w:szCs w:val="20"/>
              </w:rPr>
            </w:pPr>
            <w:r>
              <w:rPr>
                <w:rFonts w:ascii="Arial" w:hAnsi="Arial" w:cs="Arial"/>
                <w:b/>
                <w:sz w:val="20"/>
                <w:szCs w:val="20"/>
              </w:rPr>
              <w:t>(5)</w:t>
            </w:r>
          </w:p>
        </w:tc>
        <w:tc>
          <w:tcPr>
            <w:tcW w:w="1006" w:type="dxa"/>
            <w:shd w:val="clear" w:color="auto" w:fill="auto"/>
          </w:tcPr>
          <w:p w14:paraId="57F573CC" w14:textId="77777777" w:rsidR="00AF68DF" w:rsidRDefault="00AF68DF" w:rsidP="00ED1DC2">
            <w:pPr>
              <w:jc w:val="center"/>
              <w:rPr>
                <w:rFonts w:ascii="Arial" w:hAnsi="Arial" w:cs="Arial"/>
                <w:sz w:val="20"/>
                <w:szCs w:val="20"/>
              </w:rPr>
            </w:pPr>
            <w:r>
              <w:rPr>
                <w:rFonts w:ascii="Arial" w:hAnsi="Arial" w:cs="Arial"/>
                <w:sz w:val="20"/>
                <w:szCs w:val="20"/>
              </w:rPr>
              <w:t>26</w:t>
            </w:r>
          </w:p>
        </w:tc>
        <w:tc>
          <w:tcPr>
            <w:tcW w:w="1161" w:type="dxa"/>
            <w:shd w:val="clear" w:color="auto" w:fill="auto"/>
          </w:tcPr>
          <w:p w14:paraId="7E68490C" w14:textId="77777777" w:rsidR="00AF68DF" w:rsidRPr="00AF68DF" w:rsidRDefault="00AF68DF" w:rsidP="00ED1DC2">
            <w:pPr>
              <w:jc w:val="center"/>
              <w:rPr>
                <w:rFonts w:ascii="Arial" w:hAnsi="Arial" w:cs="Arial"/>
                <w:sz w:val="20"/>
                <w:szCs w:val="20"/>
              </w:rPr>
            </w:pPr>
            <w:r w:rsidRPr="00AF68DF">
              <w:rPr>
                <w:rFonts w:ascii="Arial" w:hAnsi="Arial" w:cs="Arial"/>
                <w:sz w:val="20"/>
                <w:szCs w:val="20"/>
              </w:rPr>
              <w:t>27</w:t>
            </w:r>
          </w:p>
        </w:tc>
        <w:tc>
          <w:tcPr>
            <w:tcW w:w="1004" w:type="dxa"/>
            <w:shd w:val="clear" w:color="auto" w:fill="auto"/>
          </w:tcPr>
          <w:p w14:paraId="01C75FCD" w14:textId="77777777" w:rsidR="00AF68DF" w:rsidRDefault="00AF68DF" w:rsidP="00ED1DC2">
            <w:pPr>
              <w:jc w:val="center"/>
              <w:rPr>
                <w:rFonts w:ascii="Arial" w:hAnsi="Arial" w:cs="Arial"/>
                <w:sz w:val="20"/>
                <w:szCs w:val="20"/>
              </w:rPr>
            </w:pPr>
            <w:r>
              <w:rPr>
                <w:rFonts w:ascii="Arial" w:hAnsi="Arial" w:cs="Arial"/>
                <w:sz w:val="20"/>
                <w:szCs w:val="20"/>
              </w:rPr>
              <w:t>28</w:t>
            </w:r>
          </w:p>
        </w:tc>
        <w:tc>
          <w:tcPr>
            <w:tcW w:w="1128" w:type="dxa"/>
            <w:shd w:val="clear" w:color="auto" w:fill="auto"/>
          </w:tcPr>
          <w:p w14:paraId="58B2FA7C" w14:textId="77777777" w:rsidR="00AF68DF" w:rsidRDefault="00AF68DF" w:rsidP="00ED1DC2">
            <w:pPr>
              <w:jc w:val="center"/>
              <w:rPr>
                <w:rFonts w:ascii="Arial" w:hAnsi="Arial" w:cs="Arial"/>
                <w:sz w:val="20"/>
                <w:szCs w:val="20"/>
              </w:rPr>
            </w:pPr>
            <w:r>
              <w:rPr>
                <w:rFonts w:ascii="Arial" w:hAnsi="Arial" w:cs="Arial"/>
                <w:sz w:val="20"/>
                <w:szCs w:val="20"/>
              </w:rPr>
              <w:t>29</w:t>
            </w:r>
          </w:p>
        </w:tc>
        <w:tc>
          <w:tcPr>
            <w:tcW w:w="1333" w:type="dxa"/>
            <w:shd w:val="clear" w:color="auto" w:fill="auto"/>
          </w:tcPr>
          <w:p w14:paraId="65405E09" w14:textId="77777777" w:rsidR="00AF68DF" w:rsidRDefault="00AF68DF" w:rsidP="004D741A">
            <w:pPr>
              <w:jc w:val="center"/>
              <w:rPr>
                <w:rFonts w:ascii="Arial" w:hAnsi="Arial" w:cs="Arial"/>
                <w:sz w:val="20"/>
                <w:szCs w:val="20"/>
              </w:rPr>
            </w:pPr>
            <w:r>
              <w:rPr>
                <w:rFonts w:ascii="Arial" w:hAnsi="Arial" w:cs="Arial"/>
                <w:sz w:val="20"/>
                <w:szCs w:val="20"/>
              </w:rPr>
              <w:t>30</w:t>
            </w:r>
          </w:p>
        </w:tc>
      </w:tr>
      <w:tr w:rsidR="0098259F" w14:paraId="49DB87DA" w14:textId="77777777" w:rsidTr="00AF68DF">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trPr>
        <w:tc>
          <w:tcPr>
            <w:tcW w:w="1161" w:type="dxa"/>
            <w:shd w:val="clear" w:color="auto" w:fill="auto"/>
          </w:tcPr>
          <w:p w14:paraId="31FD75DF" w14:textId="77777777" w:rsidR="00AF68DF" w:rsidRDefault="00AF68DF" w:rsidP="00ED1DC2">
            <w:pPr>
              <w:jc w:val="center"/>
              <w:rPr>
                <w:rFonts w:ascii="Arial" w:hAnsi="Arial" w:cs="Arial"/>
                <w:sz w:val="20"/>
                <w:szCs w:val="20"/>
              </w:rPr>
            </w:pPr>
            <w:r>
              <w:rPr>
                <w:rFonts w:ascii="Arial" w:hAnsi="Arial" w:cs="Arial"/>
                <w:sz w:val="20"/>
                <w:szCs w:val="20"/>
              </w:rPr>
              <w:t>31</w:t>
            </w:r>
          </w:p>
        </w:tc>
        <w:tc>
          <w:tcPr>
            <w:tcW w:w="1097" w:type="dxa"/>
            <w:shd w:val="clear" w:color="auto" w:fill="auto"/>
          </w:tcPr>
          <w:p w14:paraId="639FB36B" w14:textId="77777777" w:rsidR="00AF68DF" w:rsidRDefault="00AF68DF" w:rsidP="00ED1DC2">
            <w:pPr>
              <w:jc w:val="center"/>
              <w:rPr>
                <w:rFonts w:ascii="Arial" w:hAnsi="Arial" w:cs="Arial"/>
                <w:sz w:val="20"/>
                <w:szCs w:val="20"/>
              </w:rPr>
            </w:pPr>
          </w:p>
        </w:tc>
        <w:tc>
          <w:tcPr>
            <w:tcW w:w="1006" w:type="dxa"/>
            <w:shd w:val="clear" w:color="auto" w:fill="auto"/>
          </w:tcPr>
          <w:p w14:paraId="00B2EDAF" w14:textId="77777777" w:rsidR="00AF68DF" w:rsidRDefault="00AF68DF" w:rsidP="00ED1DC2">
            <w:pPr>
              <w:jc w:val="center"/>
              <w:rPr>
                <w:rFonts w:ascii="Arial" w:hAnsi="Arial" w:cs="Arial"/>
                <w:sz w:val="20"/>
                <w:szCs w:val="20"/>
              </w:rPr>
            </w:pPr>
          </w:p>
        </w:tc>
        <w:tc>
          <w:tcPr>
            <w:tcW w:w="1161" w:type="dxa"/>
            <w:shd w:val="clear" w:color="auto" w:fill="auto"/>
          </w:tcPr>
          <w:p w14:paraId="6B5515EF" w14:textId="77777777" w:rsidR="00AF68DF" w:rsidRPr="00AF68DF" w:rsidRDefault="00AF68DF" w:rsidP="00ED1DC2">
            <w:pPr>
              <w:jc w:val="center"/>
              <w:rPr>
                <w:rFonts w:ascii="Arial" w:hAnsi="Arial" w:cs="Arial"/>
                <w:sz w:val="20"/>
                <w:szCs w:val="20"/>
              </w:rPr>
            </w:pPr>
          </w:p>
        </w:tc>
        <w:tc>
          <w:tcPr>
            <w:tcW w:w="1004" w:type="dxa"/>
            <w:shd w:val="clear" w:color="auto" w:fill="auto"/>
          </w:tcPr>
          <w:p w14:paraId="3A3756FB" w14:textId="77777777" w:rsidR="00AF68DF" w:rsidRDefault="00AF68DF" w:rsidP="00ED1DC2">
            <w:pPr>
              <w:jc w:val="center"/>
              <w:rPr>
                <w:rFonts w:ascii="Arial" w:hAnsi="Arial" w:cs="Arial"/>
                <w:sz w:val="20"/>
                <w:szCs w:val="20"/>
              </w:rPr>
            </w:pPr>
          </w:p>
        </w:tc>
        <w:tc>
          <w:tcPr>
            <w:tcW w:w="1128" w:type="dxa"/>
            <w:shd w:val="clear" w:color="auto" w:fill="auto"/>
          </w:tcPr>
          <w:p w14:paraId="7810A270" w14:textId="77777777" w:rsidR="00AF68DF" w:rsidRDefault="00AF68DF" w:rsidP="00ED1DC2">
            <w:pPr>
              <w:jc w:val="center"/>
              <w:rPr>
                <w:rFonts w:ascii="Arial" w:hAnsi="Arial" w:cs="Arial"/>
                <w:sz w:val="20"/>
                <w:szCs w:val="20"/>
              </w:rPr>
            </w:pPr>
          </w:p>
        </w:tc>
        <w:tc>
          <w:tcPr>
            <w:tcW w:w="1333" w:type="dxa"/>
            <w:shd w:val="clear" w:color="auto" w:fill="auto"/>
          </w:tcPr>
          <w:p w14:paraId="313498ED" w14:textId="77777777" w:rsidR="00AF68DF" w:rsidRDefault="00AF68DF" w:rsidP="004D741A">
            <w:pPr>
              <w:jc w:val="center"/>
              <w:rPr>
                <w:rFonts w:ascii="Arial" w:hAnsi="Arial" w:cs="Arial"/>
                <w:sz w:val="20"/>
                <w:szCs w:val="20"/>
              </w:rPr>
            </w:pPr>
          </w:p>
        </w:tc>
      </w:tr>
    </w:tbl>
    <w:p w14:paraId="05F7822D" w14:textId="77777777" w:rsidR="00B160F6" w:rsidRDefault="00B160F6" w:rsidP="00B160F6">
      <w:pPr>
        <w:spacing w:before="120" w:after="0" w:line="360" w:lineRule="auto"/>
        <w:ind w:firstLine="709"/>
        <w:jc w:val="both"/>
        <w:rPr>
          <w:rFonts w:ascii="Arial" w:hAnsi="Arial" w:cs="Arial"/>
          <w:color w:val="000000"/>
          <w:sz w:val="26"/>
          <w:szCs w:val="26"/>
        </w:rPr>
      </w:pPr>
    </w:p>
    <w:p w14:paraId="0349B2DF" w14:textId="6487BCAF" w:rsidR="00DC53EE" w:rsidRDefault="00DC53EE" w:rsidP="00B160F6">
      <w:pPr>
        <w:spacing w:before="120" w:after="0" w:line="360" w:lineRule="auto"/>
        <w:ind w:firstLine="709"/>
        <w:jc w:val="both"/>
        <w:rPr>
          <w:rFonts w:ascii="Arial" w:hAnsi="Arial" w:cs="Arial"/>
          <w:color w:val="000000"/>
          <w:sz w:val="26"/>
          <w:szCs w:val="26"/>
        </w:rPr>
      </w:pPr>
      <w:r>
        <w:rPr>
          <w:rFonts w:ascii="Arial" w:hAnsi="Arial" w:cs="Arial"/>
          <w:color w:val="000000"/>
          <w:sz w:val="26"/>
          <w:szCs w:val="26"/>
        </w:rPr>
        <w:t xml:space="preserve">Lo anterior, de acuerdo a lo dispuesto en los artículos 165 y 168 de la Ley de Procedimiento y Justicia Administrativa para el Estado de Oaxaca, los cuales establecen:- - - - - - - - - - - - - - - - - - - - - - - - - - - - - - </w:t>
      </w:r>
    </w:p>
    <w:p w14:paraId="3D5FC32B" w14:textId="77777777" w:rsidR="00DC53EE" w:rsidRDefault="00DC53EE" w:rsidP="002E05EF">
      <w:pPr>
        <w:spacing w:before="120" w:after="100" w:afterAutospacing="1"/>
        <w:ind w:left="851" w:right="1349"/>
        <w:jc w:val="both"/>
        <w:rPr>
          <w:rFonts w:ascii="Arial" w:hAnsi="Arial" w:cs="Arial"/>
          <w:i/>
          <w:color w:val="000000"/>
        </w:rPr>
      </w:pPr>
      <w:r w:rsidRPr="004642E9">
        <w:rPr>
          <w:rFonts w:ascii="Arial" w:hAnsi="Arial" w:cs="Arial"/>
          <w:i/>
          <w:color w:val="000000"/>
        </w:rPr>
        <w:t xml:space="preserve"> “</w:t>
      </w:r>
      <w:r>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1DCF1E45" w14:textId="77777777" w:rsidR="000A1388" w:rsidRDefault="00DC53EE" w:rsidP="002E05EF">
      <w:pPr>
        <w:spacing w:before="120" w:after="100" w:afterAutospacing="1"/>
        <w:ind w:left="851" w:right="1349"/>
        <w:jc w:val="both"/>
        <w:rPr>
          <w:rFonts w:ascii="Arial" w:hAnsi="Arial" w:cs="Arial"/>
          <w:i/>
          <w:color w:val="000000"/>
        </w:rPr>
      </w:pPr>
      <w:r>
        <w:rPr>
          <w:rFonts w:ascii="Arial" w:hAnsi="Arial" w:cs="Arial"/>
          <w:i/>
          <w:color w:val="000000"/>
        </w:rPr>
        <w:lastRenderedPageBreak/>
        <w:t xml:space="preserve"> </w:t>
      </w:r>
      <w:r w:rsidRPr="004642E9">
        <w:rPr>
          <w:rFonts w:ascii="Arial" w:hAnsi="Arial" w:cs="Arial"/>
          <w:i/>
          <w:color w:val="000000"/>
        </w:rPr>
        <w:t>“</w:t>
      </w:r>
      <w:r w:rsidRPr="004642E9">
        <w:rPr>
          <w:rFonts w:ascii="Arial" w:hAnsi="Arial" w:cs="Arial"/>
          <w:b/>
          <w:i/>
          <w:color w:val="000000"/>
        </w:rPr>
        <w:t>ART</w:t>
      </w:r>
      <w:r>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sujetará a las reglas siguientes</w:t>
      </w:r>
      <w:r w:rsidR="000A1388">
        <w:rPr>
          <w:rFonts w:ascii="Arial" w:hAnsi="Arial" w:cs="Arial"/>
          <w:i/>
          <w:color w:val="000000"/>
        </w:rPr>
        <w:t>:</w:t>
      </w:r>
    </w:p>
    <w:p w14:paraId="2DC8F8C9" w14:textId="77777777" w:rsidR="00DC53EE" w:rsidRPr="004642E9" w:rsidRDefault="00DC53EE" w:rsidP="002E05EF">
      <w:pPr>
        <w:ind w:left="851" w:right="1348"/>
        <w:jc w:val="both"/>
        <w:rPr>
          <w:rFonts w:ascii="Arial" w:hAnsi="Arial" w:cs="Arial"/>
          <w:i/>
          <w:color w:val="000000"/>
        </w:rPr>
      </w:pPr>
      <w:r w:rsidRPr="004642E9">
        <w:rPr>
          <w:rFonts w:ascii="Arial" w:hAnsi="Arial" w:cs="Arial"/>
          <w:i/>
          <w:color w:val="000000"/>
        </w:rPr>
        <w:t xml:space="preserve">I. Empezarán a correr a partir del día siguiente a aquél en que surta efectos la notificación y se incluirá en ellos el día del vencimiento, y- </w:t>
      </w:r>
    </w:p>
    <w:p w14:paraId="11FD07F2" w14:textId="77777777" w:rsidR="00DC53EE" w:rsidRDefault="00DC53EE" w:rsidP="002E05EF">
      <w:pPr>
        <w:spacing w:after="240"/>
        <w:ind w:left="851" w:right="1348"/>
        <w:jc w:val="both"/>
        <w:rPr>
          <w:rFonts w:ascii="Arial" w:hAnsi="Arial" w:cs="Arial"/>
          <w:i/>
          <w:color w:val="000000"/>
        </w:rPr>
      </w:pPr>
      <w:r w:rsidRPr="004642E9">
        <w:rPr>
          <w:rFonts w:ascii="Arial" w:hAnsi="Arial" w:cs="Arial"/>
          <w:i/>
          <w:color w:val="000000"/>
        </w:rPr>
        <w:t>II. Los plazos se</w:t>
      </w:r>
      <w:r w:rsidR="000A1388">
        <w:rPr>
          <w:rFonts w:ascii="Arial" w:hAnsi="Arial" w:cs="Arial"/>
          <w:i/>
          <w:color w:val="000000"/>
        </w:rPr>
        <w:t xml:space="preserve"> contarán por días hábiles.”</w:t>
      </w:r>
    </w:p>
    <w:p w14:paraId="332688FC" w14:textId="465E6BA0" w:rsidR="00DC53EE" w:rsidRDefault="00DC53EE" w:rsidP="00685D24">
      <w:pPr>
        <w:widowControl w:val="0"/>
        <w:tabs>
          <w:tab w:val="left" w:pos="7938"/>
          <w:tab w:val="left" w:pos="8222"/>
        </w:tabs>
        <w:spacing w:before="120"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Por tanto, al haberse presentado el escrito del recurso de revisión el </w:t>
      </w:r>
      <w:r w:rsidR="00B160F6">
        <w:rPr>
          <w:rFonts w:ascii="Arial" w:hAnsi="Arial" w:cs="Arial"/>
          <w:color w:val="000000"/>
          <w:sz w:val="26"/>
          <w:szCs w:val="26"/>
        </w:rPr>
        <w:t xml:space="preserve">veintiséis de mayo </w:t>
      </w:r>
      <w:r w:rsidR="000A1388">
        <w:rPr>
          <w:rFonts w:ascii="Arial" w:hAnsi="Arial" w:cs="Arial"/>
          <w:color w:val="000000"/>
          <w:sz w:val="26"/>
          <w:szCs w:val="26"/>
        </w:rPr>
        <w:t>de dos mil veintiuno</w:t>
      </w:r>
      <w:r>
        <w:rPr>
          <w:rFonts w:ascii="Arial" w:hAnsi="Arial" w:cs="Arial"/>
          <w:color w:val="000000"/>
          <w:sz w:val="26"/>
          <w:szCs w:val="26"/>
        </w:rPr>
        <w:t xml:space="preserve">, como consta del sello de recepción de la Oficialía de Partes Común de este Tribunal de Justicia Administrativa del Estado de Oaxaca, es evidente que se </w:t>
      </w:r>
      <w:r w:rsidR="00C40B3C">
        <w:rPr>
          <w:rFonts w:ascii="Arial" w:hAnsi="Arial" w:cs="Arial"/>
          <w:color w:val="000000"/>
          <w:sz w:val="26"/>
          <w:szCs w:val="26"/>
        </w:rPr>
        <w:t>efectuó</w:t>
      </w:r>
      <w:r>
        <w:rPr>
          <w:rFonts w:ascii="Arial" w:hAnsi="Arial" w:cs="Arial"/>
          <w:color w:val="000000"/>
          <w:sz w:val="26"/>
          <w:szCs w:val="26"/>
        </w:rPr>
        <w:t xml:space="preserve"> fuera del plazo que dispone el artículo 237 de la Ley de la materia, lo que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 xml:space="preserve">- - - - - - - - - - - - - - - - - </w:t>
      </w:r>
    </w:p>
    <w:p w14:paraId="6861FC9E" w14:textId="6EDFE194" w:rsidR="00395E23" w:rsidRDefault="00395E23" w:rsidP="00685D24">
      <w:pPr>
        <w:spacing w:before="120" w:after="0" w:line="360" w:lineRule="auto"/>
        <w:ind w:firstLine="567"/>
        <w:jc w:val="both"/>
        <w:rPr>
          <w:rFonts w:ascii="Arial" w:hAnsi="Arial" w:cs="Arial"/>
          <w:sz w:val="26"/>
          <w:szCs w:val="26"/>
        </w:rPr>
      </w:pPr>
      <w:r>
        <w:rPr>
          <w:rFonts w:ascii="Arial" w:hAnsi="Arial" w:cs="Arial"/>
          <w:sz w:val="26"/>
          <w:szCs w:val="26"/>
        </w:rPr>
        <w:t>Tiene apoyo a la anterior determinación, la Tesis Jurisprudencial XI.1o.A.T. J/1 (10a), publicada en el Semanario Judicial de la Federación y su Gaceta en noviembre del 2013, visible a página 699, Libro XXVI, Tomo 1, de los Tribunales Colegiados de Circuito, Jurisprudencia Constitucional</w:t>
      </w:r>
      <w:r w:rsidR="00CC2A77">
        <w:rPr>
          <w:rFonts w:ascii="Arial" w:hAnsi="Arial" w:cs="Arial"/>
          <w:sz w:val="26"/>
          <w:szCs w:val="26"/>
        </w:rPr>
        <w:t xml:space="preserve">, </w:t>
      </w:r>
      <w:r w:rsidR="00CC2A77" w:rsidRPr="00CC2A77">
        <w:rPr>
          <w:rStyle w:val="bold"/>
          <w:rFonts w:ascii="Arial" w:hAnsi="Arial" w:cs="Arial"/>
          <w:bCs/>
          <w:color w:val="212529"/>
          <w:sz w:val="26"/>
          <w:szCs w:val="26"/>
          <w:shd w:val="clear" w:color="auto" w:fill="FFFFFF"/>
        </w:rPr>
        <w:t>Registro digital: </w:t>
      </w:r>
      <w:r w:rsidR="00CC2A77" w:rsidRPr="00CC2A77">
        <w:rPr>
          <w:rFonts w:ascii="Arial" w:hAnsi="Arial" w:cs="Arial"/>
          <w:color w:val="212529"/>
          <w:sz w:val="26"/>
          <w:szCs w:val="26"/>
          <w:shd w:val="clear" w:color="auto" w:fill="FFFFFF"/>
        </w:rPr>
        <w:t>2004823</w:t>
      </w:r>
      <w:r w:rsidRPr="00CC2A77">
        <w:rPr>
          <w:rFonts w:ascii="Arial" w:hAnsi="Arial" w:cs="Arial"/>
          <w:sz w:val="26"/>
          <w:szCs w:val="26"/>
        </w:rPr>
        <w:t>,</w:t>
      </w:r>
      <w:r>
        <w:rPr>
          <w:rFonts w:ascii="Arial" w:hAnsi="Arial" w:cs="Arial"/>
          <w:sz w:val="26"/>
          <w:szCs w:val="26"/>
        </w:rPr>
        <w:t xml:space="preserve"> Décima Época, que en su rubro y texto dice:- - - - - - - - - - - - </w:t>
      </w:r>
      <w:r w:rsidR="00F76B45">
        <w:rPr>
          <w:rFonts w:ascii="Arial" w:hAnsi="Arial" w:cs="Arial"/>
          <w:sz w:val="26"/>
          <w:szCs w:val="26"/>
        </w:rPr>
        <w:t xml:space="preserve">- - - - - - - - - - - - - - - - - - - - - - - - - - - </w:t>
      </w:r>
    </w:p>
    <w:p w14:paraId="122527C5" w14:textId="77777777" w:rsidR="00395E23" w:rsidRPr="00395E23" w:rsidRDefault="00395E23" w:rsidP="00B160F6">
      <w:pPr>
        <w:spacing w:before="240" w:after="0"/>
        <w:ind w:left="851" w:right="1348"/>
        <w:jc w:val="both"/>
        <w:rPr>
          <w:rFonts w:ascii="Arial" w:hAnsi="Arial" w:cs="Arial"/>
          <w:i/>
        </w:rPr>
      </w:pPr>
      <w:r w:rsidRPr="00395E23">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395E23">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395E23">
        <w:rPr>
          <w:rFonts w:ascii="Arial" w:hAnsi="Arial" w:cs="Arial"/>
          <w:i/>
        </w:rPr>
        <w:t>personae</w:t>
      </w:r>
      <w:proofErr w:type="spellEnd"/>
      <w:r w:rsidRPr="00395E23">
        <w:rPr>
          <w:rFonts w:ascii="Arial" w:hAnsi="Arial" w:cs="Arial"/>
          <w:i/>
        </w:rPr>
        <w:t xml:space="preserve"> (previsto en el artículo 29 de la Convención Americana sobre Derechos Humanos conocida como Pacto de San José de Costa Rica), que implica, inter </w:t>
      </w:r>
      <w:proofErr w:type="spellStart"/>
      <w:r w:rsidRPr="00395E23">
        <w:rPr>
          <w:rFonts w:ascii="Arial" w:hAnsi="Arial" w:cs="Arial"/>
          <w:i/>
        </w:rPr>
        <w:t>alia</w:t>
      </w:r>
      <w:proofErr w:type="spellEnd"/>
      <w:r w:rsidRPr="00395E23">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w:t>
      </w:r>
      <w:r w:rsidRPr="00395E23">
        <w:rPr>
          <w:rFonts w:ascii="Arial" w:hAnsi="Arial" w:cs="Arial"/>
          <w:i/>
        </w:rPr>
        <w:lastRenderedPageBreak/>
        <w:t>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36737966" w14:textId="3973E54E" w:rsidR="00DC53EE" w:rsidRDefault="00DC53EE" w:rsidP="00B160F6">
      <w:pPr>
        <w:widowControl w:val="0"/>
        <w:tabs>
          <w:tab w:val="left" w:pos="7938"/>
          <w:tab w:val="left" w:pos="8222"/>
        </w:tabs>
        <w:spacing w:before="240" w:after="0" w:line="360" w:lineRule="auto"/>
        <w:ind w:right="51" w:firstLine="567"/>
        <w:jc w:val="both"/>
        <w:rPr>
          <w:rFonts w:ascii="Arial" w:eastAsia="Calibri" w:hAnsi="Arial" w:cs="Arial"/>
          <w:sz w:val="26"/>
          <w:szCs w:val="26"/>
        </w:rPr>
      </w:pPr>
      <w:r>
        <w:rPr>
          <w:rFonts w:ascii="Arial" w:eastAsia="Calibri" w:hAnsi="Arial" w:cs="Arial"/>
          <w:sz w:val="26"/>
          <w:szCs w:val="26"/>
        </w:rPr>
        <w:t>En mérito de lo anterior, con fundamento en los artículos 237 y 238 de la Ley de Procedimiento y Justicia Administrativa para el Estado, se:-</w:t>
      </w:r>
      <w:r w:rsidR="00DC04BE">
        <w:rPr>
          <w:rFonts w:ascii="Arial" w:eastAsia="Calibri" w:hAnsi="Arial" w:cs="Arial"/>
          <w:sz w:val="26"/>
          <w:szCs w:val="26"/>
        </w:rPr>
        <w:t xml:space="preserve"> </w:t>
      </w:r>
    </w:p>
    <w:p w14:paraId="070506D0" w14:textId="498D54DA" w:rsidR="00DC53EE" w:rsidRPr="00490392" w:rsidRDefault="00DC53EE" w:rsidP="00490392">
      <w:pPr>
        <w:widowControl w:val="0"/>
        <w:tabs>
          <w:tab w:val="left" w:pos="7938"/>
          <w:tab w:val="left" w:pos="8222"/>
        </w:tabs>
        <w:spacing w:before="120" w:after="0" w:line="360" w:lineRule="auto"/>
        <w:ind w:right="51"/>
        <w:jc w:val="center"/>
        <w:rPr>
          <w:rFonts w:ascii="Arial" w:hAnsi="Arial" w:cs="Arial"/>
          <w:b/>
          <w:sz w:val="26"/>
          <w:szCs w:val="26"/>
        </w:rPr>
      </w:pPr>
      <w:r w:rsidRPr="00490392">
        <w:rPr>
          <w:rFonts w:ascii="Arial" w:hAnsi="Arial" w:cs="Arial"/>
          <w:b/>
          <w:sz w:val="26"/>
          <w:szCs w:val="26"/>
        </w:rPr>
        <w:t>R E S U E L V E</w:t>
      </w:r>
    </w:p>
    <w:p w14:paraId="66E31B59" w14:textId="1D426E02" w:rsidR="00DC53EE" w:rsidRPr="006E472A" w:rsidRDefault="00DC53EE" w:rsidP="00673275">
      <w:pPr>
        <w:widowControl w:val="0"/>
        <w:tabs>
          <w:tab w:val="left" w:pos="7938"/>
          <w:tab w:val="left" w:pos="8222"/>
        </w:tabs>
        <w:spacing w:before="120" w:after="0" w:line="360" w:lineRule="auto"/>
        <w:ind w:right="51" w:firstLine="851"/>
        <w:jc w:val="both"/>
        <w:rPr>
          <w:rFonts w:ascii="Arial" w:eastAsia="Calibri"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del acuerdo </w:t>
      </w:r>
      <w:r w:rsidR="00783993" w:rsidRPr="003776A9">
        <w:rPr>
          <w:rFonts w:ascii="Arial" w:hAnsi="Arial" w:cs="Arial"/>
          <w:sz w:val="26"/>
          <w:szCs w:val="26"/>
        </w:rPr>
        <w:t>catorce de abril de dos mil veintiuno</w:t>
      </w:r>
      <w:r>
        <w:rPr>
          <w:rFonts w:ascii="Arial" w:hAnsi="Arial" w:cs="Arial"/>
          <w:sz w:val="26"/>
          <w:szCs w:val="26"/>
        </w:rPr>
        <w:t xml:space="preserve"> dictado por </w:t>
      </w:r>
      <w:r w:rsidR="00B160F6">
        <w:rPr>
          <w:rFonts w:ascii="Arial" w:hAnsi="Arial" w:cs="Arial"/>
          <w:sz w:val="26"/>
          <w:szCs w:val="26"/>
        </w:rPr>
        <w:t xml:space="preserve">la </w:t>
      </w:r>
      <w:r w:rsidR="00DC04BE">
        <w:rPr>
          <w:rFonts w:ascii="Arial" w:hAnsi="Arial" w:cs="Arial"/>
          <w:sz w:val="26"/>
          <w:szCs w:val="26"/>
        </w:rPr>
        <w:t>Se</w:t>
      </w:r>
      <w:r w:rsidR="00B160F6">
        <w:rPr>
          <w:rFonts w:ascii="Arial" w:hAnsi="Arial" w:cs="Arial"/>
          <w:sz w:val="26"/>
          <w:szCs w:val="26"/>
        </w:rPr>
        <w:t>xta</w:t>
      </w:r>
      <w:r w:rsidR="00DC04BE">
        <w:rPr>
          <w:rFonts w:ascii="Arial" w:hAnsi="Arial" w:cs="Arial"/>
          <w:sz w:val="26"/>
          <w:szCs w:val="26"/>
        </w:rPr>
        <w:t xml:space="preserve"> </w:t>
      </w:r>
      <w:r>
        <w:rPr>
          <w:rFonts w:ascii="Arial" w:hAnsi="Arial" w:cs="Arial"/>
          <w:sz w:val="26"/>
          <w:szCs w:val="26"/>
        </w:rPr>
        <w:t xml:space="preserve">Sala Unitaria del Tribunal de Justicia Administrativa del Estado de Oaxaca, en el expediente </w:t>
      </w:r>
      <w:r w:rsidR="00B160F6">
        <w:rPr>
          <w:rFonts w:ascii="Arial" w:hAnsi="Arial" w:cs="Arial"/>
          <w:b/>
          <w:sz w:val="26"/>
          <w:szCs w:val="26"/>
        </w:rPr>
        <w:t>0156/</w:t>
      </w:r>
      <w:r w:rsidR="00DC04BE">
        <w:rPr>
          <w:rFonts w:ascii="Arial" w:hAnsi="Arial" w:cs="Arial"/>
          <w:b/>
          <w:sz w:val="26"/>
          <w:szCs w:val="26"/>
        </w:rPr>
        <w:t>2020</w:t>
      </w:r>
      <w:r>
        <w:rPr>
          <w:rFonts w:ascii="Arial" w:hAnsi="Arial" w:cs="Arial"/>
          <w:sz w:val="26"/>
          <w:szCs w:val="26"/>
        </w:rPr>
        <w:t xml:space="preserve">, por las razones expuestas en el Considerando Segundo.- - - - - - - - - - - - - - </w:t>
      </w:r>
    </w:p>
    <w:p w14:paraId="5A9210A9" w14:textId="77777777" w:rsidR="00F745E3" w:rsidRDefault="00DC53EE" w:rsidP="00F745E3">
      <w:pPr>
        <w:widowControl w:val="0"/>
        <w:tabs>
          <w:tab w:val="left" w:pos="7938"/>
          <w:tab w:val="left" w:pos="8222"/>
        </w:tabs>
        <w:spacing w:before="120" w:after="100" w:afterAutospacing="1" w:line="360" w:lineRule="auto"/>
        <w:ind w:right="49" w:firstLine="851"/>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B160F6">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revisión como asunto concluido.- - - - - - - - - - - - - - - - - - -</w:t>
      </w:r>
    </w:p>
    <w:p w14:paraId="43D88B50" w14:textId="0A7CA23B" w:rsidR="0081216E" w:rsidRDefault="0081216E" w:rsidP="00F745E3">
      <w:pPr>
        <w:widowControl w:val="0"/>
        <w:tabs>
          <w:tab w:val="left" w:pos="7938"/>
          <w:tab w:val="left" w:pos="8222"/>
        </w:tabs>
        <w:spacing w:before="120" w:after="100" w:afterAutospacing="1" w:line="360" w:lineRule="auto"/>
        <w:ind w:right="49" w:firstLine="851"/>
        <w:jc w:val="both"/>
        <w:rPr>
          <w:rFonts w:ascii="Arial" w:hAnsi="Arial" w:cs="Arial"/>
          <w:sz w:val="26"/>
          <w:szCs w:val="26"/>
        </w:rPr>
      </w:pPr>
      <w:r>
        <w:rPr>
          <w:rFonts w:ascii="Arial" w:eastAsia="Calibri" w:hAnsi="Arial" w:cs="Arial"/>
          <w:sz w:val="26"/>
          <w:szCs w:val="26"/>
        </w:rPr>
        <w:t xml:space="preserve">  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w:t>
      </w:r>
    </w:p>
    <w:p w14:paraId="65655E5E" w14:textId="2C577732" w:rsidR="0081216E" w:rsidRDefault="005B78D0" w:rsidP="0081216E">
      <w:pPr>
        <w:spacing w:after="0" w:line="360" w:lineRule="auto"/>
        <w:ind w:right="51" w:firstLine="567"/>
        <w:jc w:val="center"/>
        <w:rPr>
          <w:rFonts w:ascii="Arial" w:eastAsia="Calibri" w:hAnsi="Arial" w:cs="Arial"/>
          <w:b/>
          <w:sz w:val="18"/>
          <w:szCs w:val="18"/>
        </w:rPr>
      </w:pPr>
      <w:r>
        <w:rPr>
          <w:rFonts w:ascii="Arial" w:eastAsia="Calibri" w:hAnsi="Arial" w:cs="Arial"/>
          <w:b/>
          <w:sz w:val="18"/>
          <w:szCs w:val="18"/>
        </w:rPr>
        <w:t>LAS PRESENTES FIRMAS CORRESPONDEN AL RECURSO DE REVISIÓN 0169/2021.</w:t>
      </w:r>
    </w:p>
    <w:p w14:paraId="7CE221F9" w14:textId="77777777" w:rsidR="0081216E" w:rsidRDefault="0081216E" w:rsidP="0081216E">
      <w:pPr>
        <w:spacing w:after="0" w:line="360" w:lineRule="auto"/>
        <w:ind w:right="51" w:firstLine="567"/>
        <w:jc w:val="center"/>
        <w:rPr>
          <w:rFonts w:ascii="Arial" w:eastAsia="Calibri" w:hAnsi="Arial" w:cs="Arial"/>
          <w:b/>
          <w:sz w:val="18"/>
          <w:szCs w:val="18"/>
        </w:rPr>
      </w:pPr>
    </w:p>
    <w:p w14:paraId="1258C82D" w14:textId="77777777" w:rsidR="0081216E" w:rsidRDefault="0081216E" w:rsidP="0081216E">
      <w:pPr>
        <w:spacing w:after="0" w:line="240" w:lineRule="auto"/>
        <w:rPr>
          <w:rFonts w:ascii="Arial" w:eastAsia="Times New Roman" w:hAnsi="Arial" w:cs="Arial"/>
          <w:sz w:val="26"/>
          <w:szCs w:val="26"/>
        </w:rPr>
      </w:pPr>
    </w:p>
    <w:p w14:paraId="730431B9" w14:textId="32847230" w:rsidR="0081216E" w:rsidRDefault="0081216E" w:rsidP="0081216E">
      <w:pPr>
        <w:spacing w:after="0" w:line="240" w:lineRule="auto"/>
        <w:rPr>
          <w:rFonts w:ascii="Arial" w:eastAsia="Times New Roman" w:hAnsi="Arial" w:cs="Arial"/>
          <w:sz w:val="26"/>
          <w:szCs w:val="26"/>
        </w:rPr>
      </w:pPr>
    </w:p>
    <w:p w14:paraId="1E1D57AF" w14:textId="77777777" w:rsidR="005B78D0" w:rsidRDefault="005B78D0" w:rsidP="0081216E">
      <w:pPr>
        <w:spacing w:after="0" w:line="240" w:lineRule="auto"/>
        <w:rPr>
          <w:rFonts w:ascii="Arial" w:eastAsia="Times New Roman" w:hAnsi="Arial" w:cs="Arial"/>
          <w:sz w:val="26"/>
          <w:szCs w:val="26"/>
        </w:rPr>
      </w:pPr>
    </w:p>
    <w:p w14:paraId="02F47C13" w14:textId="77777777" w:rsidR="0081216E" w:rsidRDefault="0081216E" w:rsidP="0081216E">
      <w:pPr>
        <w:spacing w:after="0" w:line="240" w:lineRule="auto"/>
        <w:ind w:firstLine="567"/>
        <w:jc w:val="center"/>
        <w:rPr>
          <w:rFonts w:ascii="Arial" w:eastAsia="Times New Roman" w:hAnsi="Arial" w:cs="Arial"/>
          <w:sz w:val="26"/>
          <w:szCs w:val="26"/>
        </w:rPr>
      </w:pPr>
    </w:p>
    <w:p w14:paraId="78488DBC" w14:textId="77777777" w:rsidR="0081216E" w:rsidRDefault="0081216E" w:rsidP="0081216E">
      <w:pPr>
        <w:spacing w:after="0" w:line="240" w:lineRule="auto"/>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12726548" w14:textId="77777777" w:rsidR="0081216E" w:rsidRDefault="0081216E" w:rsidP="0081216E">
      <w:pPr>
        <w:spacing w:after="0" w:line="240" w:lineRule="auto"/>
        <w:ind w:firstLine="567"/>
        <w:jc w:val="center"/>
        <w:rPr>
          <w:rFonts w:ascii="Arial" w:eastAsiaTheme="minorEastAsia" w:hAnsi="Arial" w:cs="Arial"/>
          <w:sz w:val="26"/>
          <w:szCs w:val="26"/>
          <w:lang w:eastAsia="es-MX"/>
        </w:rPr>
      </w:pPr>
      <w:r>
        <w:rPr>
          <w:rFonts w:ascii="Arial" w:hAnsi="Arial" w:cs="Arial"/>
          <w:sz w:val="26"/>
          <w:szCs w:val="26"/>
        </w:rPr>
        <w:t>PRESIDENTE</w:t>
      </w:r>
    </w:p>
    <w:p w14:paraId="49A428A3" w14:textId="77777777" w:rsidR="0081216E" w:rsidRDefault="0081216E" w:rsidP="0081216E">
      <w:pPr>
        <w:jc w:val="center"/>
        <w:rPr>
          <w:rFonts w:ascii="Arial" w:hAnsi="Arial" w:cs="Arial"/>
          <w:sz w:val="26"/>
          <w:szCs w:val="26"/>
        </w:rPr>
      </w:pPr>
    </w:p>
    <w:p w14:paraId="5D07ACD1" w14:textId="5136F180" w:rsidR="0081216E" w:rsidRDefault="0081216E" w:rsidP="00D16295">
      <w:pPr>
        <w:rPr>
          <w:rFonts w:ascii="Arial" w:hAnsi="Arial" w:cs="Arial"/>
          <w:sz w:val="26"/>
          <w:szCs w:val="26"/>
        </w:rPr>
      </w:pPr>
    </w:p>
    <w:p w14:paraId="43DB9065" w14:textId="77777777" w:rsidR="00D16295" w:rsidRDefault="00D16295" w:rsidP="00D16295">
      <w:pPr>
        <w:rPr>
          <w:rFonts w:ascii="Arial" w:hAnsi="Arial" w:cs="Arial"/>
          <w:sz w:val="26"/>
          <w:szCs w:val="26"/>
        </w:rPr>
      </w:pPr>
    </w:p>
    <w:p w14:paraId="0A7DA48C" w14:textId="77777777" w:rsidR="0081216E" w:rsidRDefault="0081216E" w:rsidP="0081216E">
      <w:pPr>
        <w:jc w:val="center"/>
        <w:rPr>
          <w:rFonts w:ascii="Arial" w:hAnsi="Arial" w:cs="Arial"/>
          <w:sz w:val="26"/>
          <w:szCs w:val="26"/>
        </w:rPr>
      </w:pPr>
    </w:p>
    <w:p w14:paraId="111E4170" w14:textId="77777777" w:rsidR="0081216E" w:rsidRDefault="0081216E" w:rsidP="0081216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E6D29B6" w14:textId="77777777" w:rsidR="0081216E" w:rsidRDefault="0081216E" w:rsidP="0081216E">
      <w:pPr>
        <w:rPr>
          <w:rFonts w:ascii="Arial" w:hAnsi="Arial" w:cs="Arial"/>
          <w:sz w:val="26"/>
          <w:szCs w:val="26"/>
        </w:rPr>
      </w:pPr>
    </w:p>
    <w:p w14:paraId="50D92D0E" w14:textId="77777777" w:rsidR="00D16295" w:rsidRDefault="00D16295" w:rsidP="0081216E">
      <w:pPr>
        <w:rPr>
          <w:rFonts w:ascii="Arial" w:hAnsi="Arial" w:cs="Arial"/>
          <w:sz w:val="26"/>
          <w:szCs w:val="26"/>
        </w:rPr>
      </w:pPr>
    </w:p>
    <w:p w14:paraId="7CEEF87A" w14:textId="593F44D0" w:rsidR="0081216E" w:rsidRDefault="0081216E" w:rsidP="0081216E">
      <w:pPr>
        <w:rPr>
          <w:rFonts w:ascii="Arial" w:hAnsi="Arial" w:cs="Arial"/>
          <w:sz w:val="26"/>
          <w:szCs w:val="26"/>
        </w:rPr>
      </w:pPr>
    </w:p>
    <w:p w14:paraId="6B3FBC65" w14:textId="77777777" w:rsidR="00D16295" w:rsidRDefault="00D16295" w:rsidP="0081216E">
      <w:pPr>
        <w:rPr>
          <w:rFonts w:ascii="Arial" w:hAnsi="Arial" w:cs="Arial"/>
          <w:sz w:val="26"/>
          <w:szCs w:val="26"/>
        </w:rPr>
      </w:pPr>
    </w:p>
    <w:p w14:paraId="76BF63BE" w14:textId="77777777" w:rsidR="0081216E" w:rsidRDefault="0081216E" w:rsidP="0081216E">
      <w:pPr>
        <w:rPr>
          <w:rFonts w:ascii="Arial" w:hAnsi="Arial" w:cs="Arial"/>
          <w:sz w:val="26"/>
          <w:szCs w:val="26"/>
        </w:rPr>
      </w:pPr>
      <w:r>
        <w:rPr>
          <w:rFonts w:ascii="Arial" w:hAnsi="Arial" w:cs="Arial"/>
          <w:sz w:val="26"/>
          <w:szCs w:val="26"/>
        </w:rPr>
        <w:t xml:space="preserve">                   MAGISTRADO RAÚL PALOMARES PALOMINO</w:t>
      </w:r>
    </w:p>
    <w:p w14:paraId="276260F1" w14:textId="77777777" w:rsidR="0081216E" w:rsidRDefault="0081216E" w:rsidP="0081216E">
      <w:pPr>
        <w:rPr>
          <w:rFonts w:ascii="Arial" w:hAnsi="Arial" w:cs="Arial"/>
          <w:sz w:val="26"/>
          <w:szCs w:val="26"/>
        </w:rPr>
      </w:pPr>
    </w:p>
    <w:p w14:paraId="042DCD34" w14:textId="77777777" w:rsidR="0081216E" w:rsidRDefault="0081216E" w:rsidP="0081216E">
      <w:pPr>
        <w:rPr>
          <w:rFonts w:ascii="Arial" w:hAnsi="Arial" w:cs="Arial"/>
          <w:sz w:val="26"/>
          <w:szCs w:val="26"/>
        </w:rPr>
      </w:pPr>
    </w:p>
    <w:p w14:paraId="080B3D43" w14:textId="77777777" w:rsidR="0081216E" w:rsidRDefault="0081216E" w:rsidP="0081216E">
      <w:pPr>
        <w:jc w:val="center"/>
        <w:rPr>
          <w:rFonts w:ascii="Arial" w:hAnsi="Arial" w:cs="Arial"/>
          <w:sz w:val="26"/>
          <w:szCs w:val="26"/>
        </w:rPr>
      </w:pPr>
    </w:p>
    <w:p w14:paraId="3239F50E" w14:textId="77777777" w:rsidR="0081216E" w:rsidRDefault="0081216E" w:rsidP="0081216E">
      <w:pPr>
        <w:rPr>
          <w:rFonts w:ascii="Arial" w:hAnsi="Arial" w:cs="Arial"/>
          <w:b/>
          <w:bCs/>
          <w:sz w:val="20"/>
          <w:szCs w:val="20"/>
        </w:rPr>
      </w:pPr>
    </w:p>
    <w:p w14:paraId="747AD906" w14:textId="77777777" w:rsidR="0081216E" w:rsidRDefault="0081216E" w:rsidP="0081216E">
      <w:pPr>
        <w:jc w:val="center"/>
        <w:rPr>
          <w:rFonts w:ascii="Arial" w:hAnsi="Arial" w:cs="Arial"/>
          <w:sz w:val="26"/>
          <w:szCs w:val="26"/>
        </w:rPr>
      </w:pPr>
      <w:r>
        <w:rPr>
          <w:rFonts w:ascii="Arial" w:hAnsi="Arial" w:cs="Arial"/>
          <w:sz w:val="26"/>
          <w:szCs w:val="26"/>
        </w:rPr>
        <w:t>MAGISTRADA GLORIA DEL CARMEN CAMACHO MEZA</w:t>
      </w:r>
    </w:p>
    <w:p w14:paraId="0A888C49" w14:textId="36A262C7" w:rsidR="0081216E" w:rsidRDefault="0081216E" w:rsidP="0081216E">
      <w:pPr>
        <w:rPr>
          <w:rFonts w:ascii="Arial" w:hAnsi="Arial" w:cs="Arial"/>
          <w:sz w:val="26"/>
          <w:szCs w:val="26"/>
        </w:rPr>
      </w:pPr>
    </w:p>
    <w:p w14:paraId="5A72912F" w14:textId="239ADB39" w:rsidR="00A8120C" w:rsidRDefault="00A8120C" w:rsidP="0081216E">
      <w:pPr>
        <w:rPr>
          <w:rFonts w:ascii="Arial" w:hAnsi="Arial" w:cs="Arial"/>
          <w:sz w:val="26"/>
          <w:szCs w:val="26"/>
        </w:rPr>
      </w:pPr>
    </w:p>
    <w:p w14:paraId="06D8E324" w14:textId="77777777" w:rsidR="00B84223" w:rsidRDefault="00B84223" w:rsidP="0081216E">
      <w:pPr>
        <w:rPr>
          <w:rFonts w:ascii="Arial" w:hAnsi="Arial" w:cs="Arial"/>
          <w:sz w:val="26"/>
          <w:szCs w:val="26"/>
        </w:rPr>
      </w:pPr>
    </w:p>
    <w:p w14:paraId="74ADCA4E" w14:textId="77777777" w:rsidR="0081216E" w:rsidRDefault="0081216E" w:rsidP="00D16295">
      <w:pPr>
        <w:tabs>
          <w:tab w:val="left" w:pos="1680"/>
          <w:tab w:val="center" w:pos="4277"/>
        </w:tabs>
        <w:spacing w:line="360" w:lineRule="auto"/>
        <w:rPr>
          <w:rFonts w:ascii="Arial" w:hAnsi="Arial" w:cs="Arial"/>
          <w:b/>
          <w:bCs/>
          <w:sz w:val="18"/>
          <w:szCs w:val="18"/>
        </w:rPr>
      </w:pPr>
    </w:p>
    <w:p w14:paraId="4A37166F" w14:textId="77777777" w:rsidR="0081216E" w:rsidRDefault="0081216E" w:rsidP="0081216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B4A01E1" w14:textId="6A685AF1" w:rsidR="00D16295" w:rsidRDefault="00D16295" w:rsidP="00A8120C">
      <w:pPr>
        <w:tabs>
          <w:tab w:val="left" w:pos="1680"/>
          <w:tab w:val="center" w:pos="4277"/>
        </w:tabs>
        <w:spacing w:line="360" w:lineRule="auto"/>
        <w:rPr>
          <w:rFonts w:ascii="Arial" w:hAnsi="Arial" w:cs="Arial"/>
          <w:sz w:val="26"/>
          <w:szCs w:val="26"/>
        </w:rPr>
      </w:pPr>
    </w:p>
    <w:p w14:paraId="2835661B" w14:textId="77777777" w:rsidR="00B84223" w:rsidRDefault="00B84223" w:rsidP="0081216E">
      <w:pPr>
        <w:tabs>
          <w:tab w:val="left" w:pos="1680"/>
          <w:tab w:val="center" w:pos="4277"/>
        </w:tabs>
        <w:spacing w:line="360" w:lineRule="auto"/>
        <w:jc w:val="center"/>
        <w:rPr>
          <w:rFonts w:ascii="Arial" w:hAnsi="Arial" w:cs="Arial"/>
          <w:sz w:val="26"/>
          <w:szCs w:val="26"/>
        </w:rPr>
      </w:pPr>
    </w:p>
    <w:p w14:paraId="0C9342AA" w14:textId="77777777" w:rsidR="0081216E" w:rsidRDefault="0081216E" w:rsidP="0081216E">
      <w:pPr>
        <w:spacing w:after="0" w:line="240" w:lineRule="auto"/>
        <w:jc w:val="center"/>
        <w:rPr>
          <w:rFonts w:ascii="Arial" w:hAnsi="Arial" w:cs="Arial"/>
          <w:sz w:val="26"/>
          <w:szCs w:val="26"/>
        </w:rPr>
      </w:pPr>
      <w:r>
        <w:rPr>
          <w:rFonts w:ascii="Arial" w:hAnsi="Arial" w:cs="Arial"/>
          <w:sz w:val="26"/>
          <w:szCs w:val="26"/>
        </w:rPr>
        <w:t>LICENCIADO JUAN EDY GARCÍA CORONADO.</w:t>
      </w:r>
    </w:p>
    <w:p w14:paraId="087128E3" w14:textId="77777777" w:rsidR="0081216E" w:rsidRDefault="0081216E" w:rsidP="0081216E">
      <w:pPr>
        <w:spacing w:after="0" w:line="240" w:lineRule="auto"/>
        <w:jc w:val="center"/>
      </w:pPr>
      <w:r>
        <w:rPr>
          <w:rFonts w:ascii="Arial" w:hAnsi="Arial" w:cs="Arial"/>
          <w:sz w:val="26"/>
          <w:szCs w:val="26"/>
        </w:rPr>
        <w:t>SECRETARIO GENERAL DE ACUERDOS</w:t>
      </w:r>
    </w:p>
    <w:p w14:paraId="783A379F" w14:textId="77777777" w:rsidR="0081216E" w:rsidRDefault="0081216E" w:rsidP="0081216E">
      <w:r>
        <w:t xml:space="preserve"> </w:t>
      </w:r>
    </w:p>
    <w:p w14:paraId="12E95065" w14:textId="77777777" w:rsidR="003236AB" w:rsidRDefault="003236AB" w:rsidP="003236AB">
      <w:pPr>
        <w:spacing w:after="0" w:line="240" w:lineRule="auto"/>
        <w:jc w:val="center"/>
        <w:rPr>
          <w:rFonts w:ascii="Arial" w:hAnsi="Arial" w:cs="Arial"/>
          <w:sz w:val="26"/>
          <w:szCs w:val="26"/>
        </w:rPr>
      </w:pPr>
    </w:p>
    <w:p w14:paraId="1BBDEA84" w14:textId="77777777" w:rsidR="003236AB" w:rsidRDefault="003236AB" w:rsidP="003236AB">
      <w:pPr>
        <w:spacing w:after="0" w:line="240" w:lineRule="auto"/>
        <w:jc w:val="center"/>
        <w:rPr>
          <w:rFonts w:ascii="Arial" w:hAnsi="Arial" w:cs="Arial"/>
          <w:sz w:val="26"/>
          <w:szCs w:val="26"/>
        </w:rPr>
      </w:pPr>
    </w:p>
    <w:p w14:paraId="5FDA89CA" w14:textId="77777777" w:rsidR="003236AB" w:rsidRDefault="003236AB" w:rsidP="003236AB">
      <w:pPr>
        <w:spacing w:after="0" w:line="240" w:lineRule="auto"/>
        <w:jc w:val="center"/>
        <w:rPr>
          <w:rFonts w:ascii="Arial" w:hAnsi="Arial" w:cs="Arial"/>
          <w:sz w:val="26"/>
          <w:szCs w:val="26"/>
        </w:rPr>
      </w:pPr>
    </w:p>
    <w:p w14:paraId="5DE5014B" w14:textId="77777777" w:rsidR="003236AB" w:rsidRDefault="003236AB" w:rsidP="003236AB">
      <w:pPr>
        <w:spacing w:after="0" w:line="240" w:lineRule="auto"/>
        <w:jc w:val="center"/>
        <w:rPr>
          <w:rFonts w:ascii="Arial" w:hAnsi="Arial" w:cs="Arial"/>
          <w:sz w:val="26"/>
          <w:szCs w:val="26"/>
        </w:rPr>
      </w:pPr>
    </w:p>
    <w:p w14:paraId="356F7E34" w14:textId="77777777" w:rsidR="003236AB" w:rsidRDefault="003236AB" w:rsidP="003236AB">
      <w:pPr>
        <w:spacing w:after="0" w:line="240" w:lineRule="auto"/>
        <w:jc w:val="center"/>
        <w:rPr>
          <w:rFonts w:ascii="Arial" w:hAnsi="Arial" w:cs="Arial"/>
          <w:sz w:val="26"/>
          <w:szCs w:val="26"/>
        </w:rPr>
      </w:pPr>
    </w:p>
    <w:p w14:paraId="11495035" w14:textId="77777777" w:rsidR="003236AB" w:rsidRDefault="003236AB" w:rsidP="003236AB">
      <w:pPr>
        <w:spacing w:after="0" w:line="240" w:lineRule="auto"/>
        <w:jc w:val="center"/>
        <w:rPr>
          <w:rFonts w:ascii="Arial" w:hAnsi="Arial" w:cs="Arial"/>
          <w:sz w:val="26"/>
          <w:szCs w:val="26"/>
        </w:rPr>
      </w:pPr>
    </w:p>
    <w:p w14:paraId="4496C763" w14:textId="77777777" w:rsidR="003236AB" w:rsidRPr="002C65EE" w:rsidRDefault="003236AB" w:rsidP="003236AB">
      <w:pPr>
        <w:spacing w:after="0" w:line="240" w:lineRule="auto"/>
        <w:jc w:val="center"/>
        <w:rPr>
          <w:rFonts w:ascii="Arial" w:hAnsi="Arial" w:cs="Arial"/>
          <w:sz w:val="26"/>
          <w:szCs w:val="26"/>
        </w:rPr>
      </w:pPr>
    </w:p>
    <w:p w14:paraId="34988179" w14:textId="77777777" w:rsidR="0015714F" w:rsidRDefault="0015714F">
      <w:bookmarkStart w:id="0" w:name="_GoBack"/>
      <w:bookmarkEnd w:id="0"/>
    </w:p>
    <w:sectPr w:rsidR="0015714F" w:rsidSect="005867BF">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B1038" w14:textId="77777777" w:rsidR="003C1321" w:rsidRDefault="003C1321">
      <w:pPr>
        <w:spacing w:after="0" w:line="240" w:lineRule="auto"/>
      </w:pPr>
      <w:r>
        <w:separator/>
      </w:r>
    </w:p>
  </w:endnote>
  <w:endnote w:type="continuationSeparator" w:id="0">
    <w:p w14:paraId="1BDAFAEA" w14:textId="77777777" w:rsidR="003C1321" w:rsidRDefault="003C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834CF" w14:textId="77777777" w:rsidR="003C1321" w:rsidRDefault="003C1321">
      <w:pPr>
        <w:spacing w:after="0" w:line="240" w:lineRule="auto"/>
      </w:pPr>
      <w:r>
        <w:separator/>
      </w:r>
    </w:p>
  </w:footnote>
  <w:footnote w:type="continuationSeparator" w:id="0">
    <w:p w14:paraId="22B18377" w14:textId="77777777" w:rsidR="003C1321" w:rsidRDefault="003C1321">
      <w:pPr>
        <w:spacing w:after="0" w:line="240" w:lineRule="auto"/>
      </w:pPr>
      <w:r>
        <w:continuationSeparator/>
      </w:r>
    </w:p>
  </w:footnote>
  <w:footnote w:id="1">
    <w:p w14:paraId="7D6A77CA" w14:textId="77777777" w:rsidR="003236AB" w:rsidRDefault="003236AB" w:rsidP="003236AB">
      <w:pPr>
        <w:pStyle w:val="Textonotapie"/>
      </w:pPr>
      <w:r>
        <w:rPr>
          <w:rStyle w:val="Refdenotaalpie"/>
        </w:rPr>
        <w:footnoteRef/>
      </w:r>
      <w:r>
        <w:t xml:space="preserve"> “</w:t>
      </w:r>
      <w:r w:rsidRPr="00BF099E">
        <w:rPr>
          <w:b/>
          <w:bCs/>
        </w:rPr>
        <w:t>ARTÍCULO 203.-</w:t>
      </w:r>
      <w:r>
        <w:t xml:space="preserve"> La valoración de las pruebas se hará de acuerdo con las siguientes reglas:</w:t>
      </w:r>
    </w:p>
    <w:p w14:paraId="78828D9F" w14:textId="77777777" w:rsidR="003236AB" w:rsidRDefault="003236AB" w:rsidP="003236AB">
      <w:pPr>
        <w:pStyle w:val="Textonotapie"/>
      </w:pPr>
    </w:p>
    <w:p w14:paraId="437FF5BD" w14:textId="77777777" w:rsidR="003236AB" w:rsidRDefault="003236AB" w:rsidP="003236AB">
      <w:pPr>
        <w:pStyle w:val="Textonotapie"/>
      </w:pPr>
      <w:r>
        <w:t>I. Harán prueba plena la confesión expresa de las partes y los actos contenidos en</w:t>
      </w:r>
    </w:p>
    <w:p w14:paraId="1F031992" w14:textId="77777777" w:rsidR="003236AB" w:rsidRDefault="003236AB" w:rsidP="003236AB">
      <w:pPr>
        <w:pStyle w:val="Textonotapie"/>
      </w:pPr>
      <w:r>
        <w:t>documentos públicos, si en éstos últimos se contienen declaraciones de verdad o</w:t>
      </w:r>
    </w:p>
    <w:p w14:paraId="54F8BB92" w14:textId="77777777" w:rsidR="003236AB" w:rsidRDefault="003236AB" w:rsidP="003236AB">
      <w:pPr>
        <w:pStyle w:val="Textonotapie"/>
      </w:pPr>
      <w:r>
        <w:t>manifestaciones de hechos de particulares; 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3035CBA8" w14:textId="77777777" w:rsidR="00426D79" w:rsidRDefault="00426D79">
        <w:pPr>
          <w:pStyle w:val="Encabezado"/>
          <w:jc w:val="center"/>
        </w:pPr>
        <w:r>
          <w:fldChar w:fldCharType="begin"/>
        </w:r>
        <w:r>
          <w:instrText>PAGE   \* MERGEFORMAT</w:instrText>
        </w:r>
        <w:r>
          <w:fldChar w:fldCharType="separate"/>
        </w:r>
        <w:r w:rsidR="00FC68A6">
          <w:rPr>
            <w:noProof/>
          </w:rPr>
          <w:t>8</w:t>
        </w:r>
        <w:r>
          <w:fldChar w:fldCharType="end"/>
        </w:r>
      </w:p>
    </w:sdtContent>
  </w:sdt>
  <w:p w14:paraId="1AD2BEE8" w14:textId="77777777" w:rsidR="00426D79" w:rsidRDefault="00426D7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5EF52E19" w14:textId="75856CB5" w:rsidR="00426D79" w:rsidRDefault="00426D79" w:rsidP="00A8120C">
        <w:pPr>
          <w:pStyle w:val="Encabezado"/>
          <w:jc w:val="center"/>
          <w:rPr>
            <w:noProof/>
          </w:rPr>
        </w:pPr>
        <w:r>
          <w:fldChar w:fldCharType="begin"/>
        </w:r>
        <w:r>
          <w:instrText xml:space="preserve"> PAGE   \* MERGEFORMAT </w:instrText>
        </w:r>
        <w:r>
          <w:fldChar w:fldCharType="separate"/>
        </w:r>
        <w:r w:rsidR="00FC68A6">
          <w:rPr>
            <w:noProof/>
          </w:rPr>
          <w:t>9</w:t>
        </w:r>
        <w:r>
          <w:rPr>
            <w:noProof/>
          </w:rPr>
          <w:fldChar w:fldCharType="end"/>
        </w:r>
      </w:p>
    </w:sdtContent>
  </w:sdt>
  <w:p w14:paraId="7EF65583" w14:textId="79356337" w:rsidR="00426D79" w:rsidRDefault="00FB2862" w:rsidP="00426D79">
    <w:pPr>
      <w:pStyle w:val="Encabezado"/>
      <w:tabs>
        <w:tab w:val="left" w:pos="142"/>
      </w:tabs>
      <w:ind w:left="284"/>
    </w:pPr>
    <w:r w:rsidRPr="007112DA">
      <w:rPr>
        <w:noProof/>
        <w:sz w:val="22"/>
        <w:szCs w:val="22"/>
        <w:lang w:val="es-MX" w:eastAsia="es-MX"/>
      </w:rPr>
      <mc:AlternateContent>
        <mc:Choice Requires="wpg">
          <w:drawing>
            <wp:anchor distT="0" distB="0" distL="114300" distR="114300" simplePos="0" relativeHeight="251657216" behindDoc="0" locked="0" layoutInCell="1" allowOverlap="1" wp14:anchorId="102C2DFE" wp14:editId="15931EB0">
              <wp:simplePos x="0" y="0"/>
              <wp:positionH relativeFrom="margin">
                <wp:posOffset>-1251284</wp:posOffset>
              </wp:positionH>
              <wp:positionV relativeFrom="paragraph">
                <wp:posOffset>4354797</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42EB3A" id="Grupo 3" o:spid="_x0000_s1026" style="position:absolute;margin-left:-98.55pt;margin-top:342.9pt;width:90pt;height:63.6pt;z-index:25166028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r w:rsidR="00FC68A6">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5" type="#_x0000_t75" alt="imagen" style="position:absolute;left:0;text-align:left;margin-left:8.25pt;margin-top:362.1pt;width:413.5pt;height:349.8pt;z-index:-251658240;mso-wrap-edited:f;mso-width-percent:0;mso-height-percent:0;mso-position-horizontal-relative:margin;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A19AD"/>
    <w:multiLevelType w:val="hybridMultilevel"/>
    <w:tmpl w:val="9F9A7142"/>
    <w:lvl w:ilvl="0" w:tplc="3B8611E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80E2E42"/>
    <w:multiLevelType w:val="hybridMultilevel"/>
    <w:tmpl w:val="1B20F2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5A5693A"/>
    <w:multiLevelType w:val="hybridMultilevel"/>
    <w:tmpl w:val="501CDAF0"/>
    <w:lvl w:ilvl="0" w:tplc="FE940F9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84E1A66"/>
    <w:multiLevelType w:val="hybridMultilevel"/>
    <w:tmpl w:val="D39A5ACA"/>
    <w:lvl w:ilvl="0" w:tplc="763C7226">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D60"/>
    <w:rsid w:val="00006D93"/>
    <w:rsid w:val="000079F6"/>
    <w:rsid w:val="00012750"/>
    <w:rsid w:val="00027709"/>
    <w:rsid w:val="00034030"/>
    <w:rsid w:val="000363A8"/>
    <w:rsid w:val="00036750"/>
    <w:rsid w:val="00045924"/>
    <w:rsid w:val="00060E3D"/>
    <w:rsid w:val="000A1388"/>
    <w:rsid w:val="000B23AD"/>
    <w:rsid w:val="000C1117"/>
    <w:rsid w:val="000C64D2"/>
    <w:rsid w:val="000D3840"/>
    <w:rsid w:val="000E1B8E"/>
    <w:rsid w:val="000E35E9"/>
    <w:rsid w:val="001003F0"/>
    <w:rsid w:val="00101352"/>
    <w:rsid w:val="0010339C"/>
    <w:rsid w:val="00122C3E"/>
    <w:rsid w:val="001265FE"/>
    <w:rsid w:val="00134C33"/>
    <w:rsid w:val="00145B16"/>
    <w:rsid w:val="0015047F"/>
    <w:rsid w:val="00151C08"/>
    <w:rsid w:val="001537E0"/>
    <w:rsid w:val="0015714F"/>
    <w:rsid w:val="001739CF"/>
    <w:rsid w:val="001904B7"/>
    <w:rsid w:val="00195EBC"/>
    <w:rsid w:val="001A5C64"/>
    <w:rsid w:val="001B3591"/>
    <w:rsid w:val="001B480E"/>
    <w:rsid w:val="001B5531"/>
    <w:rsid w:val="001C35FA"/>
    <w:rsid w:val="001E4DEB"/>
    <w:rsid w:val="001F2CD7"/>
    <w:rsid w:val="00201B34"/>
    <w:rsid w:val="00244523"/>
    <w:rsid w:val="002470F0"/>
    <w:rsid w:val="00256E06"/>
    <w:rsid w:val="00264CAB"/>
    <w:rsid w:val="00267072"/>
    <w:rsid w:val="00267312"/>
    <w:rsid w:val="00267FF3"/>
    <w:rsid w:val="002728F7"/>
    <w:rsid w:val="00274C89"/>
    <w:rsid w:val="002779C3"/>
    <w:rsid w:val="002A3500"/>
    <w:rsid w:val="002D09CD"/>
    <w:rsid w:val="002E05EF"/>
    <w:rsid w:val="002E0FAA"/>
    <w:rsid w:val="002E28A5"/>
    <w:rsid w:val="00301B40"/>
    <w:rsid w:val="00304999"/>
    <w:rsid w:val="0030678A"/>
    <w:rsid w:val="003236AB"/>
    <w:rsid w:val="00325403"/>
    <w:rsid w:val="00327574"/>
    <w:rsid w:val="00374B1F"/>
    <w:rsid w:val="0037750E"/>
    <w:rsid w:val="003776A9"/>
    <w:rsid w:val="00381980"/>
    <w:rsid w:val="00395E23"/>
    <w:rsid w:val="003C1321"/>
    <w:rsid w:val="003F0637"/>
    <w:rsid w:val="003F6527"/>
    <w:rsid w:val="004049DE"/>
    <w:rsid w:val="00421C19"/>
    <w:rsid w:val="00426D79"/>
    <w:rsid w:val="00434998"/>
    <w:rsid w:val="004467C7"/>
    <w:rsid w:val="00465088"/>
    <w:rsid w:val="00486158"/>
    <w:rsid w:val="00490392"/>
    <w:rsid w:val="004B1CC3"/>
    <w:rsid w:val="004C796E"/>
    <w:rsid w:val="004D725C"/>
    <w:rsid w:val="004D741A"/>
    <w:rsid w:val="004D7445"/>
    <w:rsid w:val="004E50A0"/>
    <w:rsid w:val="004F531C"/>
    <w:rsid w:val="005033D6"/>
    <w:rsid w:val="00527A13"/>
    <w:rsid w:val="005402B1"/>
    <w:rsid w:val="005406AE"/>
    <w:rsid w:val="00542C77"/>
    <w:rsid w:val="00543EF8"/>
    <w:rsid w:val="00550A42"/>
    <w:rsid w:val="00562C00"/>
    <w:rsid w:val="00566FA3"/>
    <w:rsid w:val="0057469A"/>
    <w:rsid w:val="005867BF"/>
    <w:rsid w:val="00586EC5"/>
    <w:rsid w:val="005929E3"/>
    <w:rsid w:val="0059719D"/>
    <w:rsid w:val="005A5826"/>
    <w:rsid w:val="005B481F"/>
    <w:rsid w:val="005B4E44"/>
    <w:rsid w:val="005B665E"/>
    <w:rsid w:val="005B78D0"/>
    <w:rsid w:val="005C2192"/>
    <w:rsid w:val="005C6381"/>
    <w:rsid w:val="005D6C6A"/>
    <w:rsid w:val="005E16C8"/>
    <w:rsid w:val="005E5C4B"/>
    <w:rsid w:val="00604CD5"/>
    <w:rsid w:val="00611D60"/>
    <w:rsid w:val="00626F28"/>
    <w:rsid w:val="00673275"/>
    <w:rsid w:val="00684A40"/>
    <w:rsid w:val="00685D24"/>
    <w:rsid w:val="006A0F3A"/>
    <w:rsid w:val="006B11D0"/>
    <w:rsid w:val="006B2CAA"/>
    <w:rsid w:val="006B7D45"/>
    <w:rsid w:val="006D3650"/>
    <w:rsid w:val="006D4E42"/>
    <w:rsid w:val="006E0864"/>
    <w:rsid w:val="006E7D00"/>
    <w:rsid w:val="00703B29"/>
    <w:rsid w:val="00712A11"/>
    <w:rsid w:val="00721CE0"/>
    <w:rsid w:val="00735B8A"/>
    <w:rsid w:val="00756992"/>
    <w:rsid w:val="00764A9B"/>
    <w:rsid w:val="00770283"/>
    <w:rsid w:val="00770796"/>
    <w:rsid w:val="00783993"/>
    <w:rsid w:val="007A630F"/>
    <w:rsid w:val="007B4CE6"/>
    <w:rsid w:val="007C4A03"/>
    <w:rsid w:val="007D0889"/>
    <w:rsid w:val="007D14D6"/>
    <w:rsid w:val="007D4A71"/>
    <w:rsid w:val="007E1117"/>
    <w:rsid w:val="0081216E"/>
    <w:rsid w:val="008130E7"/>
    <w:rsid w:val="00817A27"/>
    <w:rsid w:val="0082585D"/>
    <w:rsid w:val="00830572"/>
    <w:rsid w:val="008351EF"/>
    <w:rsid w:val="00892CD7"/>
    <w:rsid w:val="008A6553"/>
    <w:rsid w:val="008A664C"/>
    <w:rsid w:val="008C1845"/>
    <w:rsid w:val="008D1D1E"/>
    <w:rsid w:val="008D7BB5"/>
    <w:rsid w:val="008E2DD6"/>
    <w:rsid w:val="009139D7"/>
    <w:rsid w:val="00922F4A"/>
    <w:rsid w:val="0093106B"/>
    <w:rsid w:val="00932999"/>
    <w:rsid w:val="00933FAC"/>
    <w:rsid w:val="009401C0"/>
    <w:rsid w:val="00964C4E"/>
    <w:rsid w:val="0097609B"/>
    <w:rsid w:val="00977E36"/>
    <w:rsid w:val="0098073E"/>
    <w:rsid w:val="009821D2"/>
    <w:rsid w:val="0098259F"/>
    <w:rsid w:val="00985F01"/>
    <w:rsid w:val="009915EE"/>
    <w:rsid w:val="009A2E12"/>
    <w:rsid w:val="009B10A7"/>
    <w:rsid w:val="009B2E9E"/>
    <w:rsid w:val="009E1D2A"/>
    <w:rsid w:val="00A00118"/>
    <w:rsid w:val="00A033AA"/>
    <w:rsid w:val="00A06EDF"/>
    <w:rsid w:val="00A25FCB"/>
    <w:rsid w:val="00A56A9F"/>
    <w:rsid w:val="00A618E5"/>
    <w:rsid w:val="00A72371"/>
    <w:rsid w:val="00A8120C"/>
    <w:rsid w:val="00A92C59"/>
    <w:rsid w:val="00AB52EF"/>
    <w:rsid w:val="00AB53D2"/>
    <w:rsid w:val="00AC07B0"/>
    <w:rsid w:val="00AC6562"/>
    <w:rsid w:val="00AE3796"/>
    <w:rsid w:val="00AF1985"/>
    <w:rsid w:val="00AF68DF"/>
    <w:rsid w:val="00B12D5B"/>
    <w:rsid w:val="00B160F6"/>
    <w:rsid w:val="00B35BBF"/>
    <w:rsid w:val="00B471B5"/>
    <w:rsid w:val="00B5410E"/>
    <w:rsid w:val="00B61C1D"/>
    <w:rsid w:val="00B84223"/>
    <w:rsid w:val="00B966D7"/>
    <w:rsid w:val="00BA3249"/>
    <w:rsid w:val="00BB3E68"/>
    <w:rsid w:val="00BC0EB6"/>
    <w:rsid w:val="00BE2B41"/>
    <w:rsid w:val="00BF5181"/>
    <w:rsid w:val="00C00FE1"/>
    <w:rsid w:val="00C12BE5"/>
    <w:rsid w:val="00C15CD4"/>
    <w:rsid w:val="00C21343"/>
    <w:rsid w:val="00C40B3C"/>
    <w:rsid w:val="00C4116A"/>
    <w:rsid w:val="00C444AF"/>
    <w:rsid w:val="00C4640C"/>
    <w:rsid w:val="00C46753"/>
    <w:rsid w:val="00C57934"/>
    <w:rsid w:val="00C64E8F"/>
    <w:rsid w:val="00C820AD"/>
    <w:rsid w:val="00C86DD8"/>
    <w:rsid w:val="00C90CE2"/>
    <w:rsid w:val="00C9389A"/>
    <w:rsid w:val="00CA41D0"/>
    <w:rsid w:val="00CA6BA1"/>
    <w:rsid w:val="00CB010B"/>
    <w:rsid w:val="00CB4D4C"/>
    <w:rsid w:val="00CC271E"/>
    <w:rsid w:val="00CC2A77"/>
    <w:rsid w:val="00CC5913"/>
    <w:rsid w:val="00CD7E89"/>
    <w:rsid w:val="00CE54A5"/>
    <w:rsid w:val="00CF5BE4"/>
    <w:rsid w:val="00D1087B"/>
    <w:rsid w:val="00D15300"/>
    <w:rsid w:val="00D16295"/>
    <w:rsid w:val="00D27FC1"/>
    <w:rsid w:val="00D40514"/>
    <w:rsid w:val="00D511D1"/>
    <w:rsid w:val="00D72472"/>
    <w:rsid w:val="00D85971"/>
    <w:rsid w:val="00D95B6A"/>
    <w:rsid w:val="00DA4AC1"/>
    <w:rsid w:val="00DC04BE"/>
    <w:rsid w:val="00DC53EE"/>
    <w:rsid w:val="00DD5ABF"/>
    <w:rsid w:val="00DD6CE1"/>
    <w:rsid w:val="00DE12BB"/>
    <w:rsid w:val="00E033DD"/>
    <w:rsid w:val="00E07440"/>
    <w:rsid w:val="00E10A9D"/>
    <w:rsid w:val="00E603E2"/>
    <w:rsid w:val="00E76CE1"/>
    <w:rsid w:val="00E811A0"/>
    <w:rsid w:val="00EA1102"/>
    <w:rsid w:val="00EB2813"/>
    <w:rsid w:val="00EB2ECA"/>
    <w:rsid w:val="00EB32EC"/>
    <w:rsid w:val="00EB53E6"/>
    <w:rsid w:val="00EC39E0"/>
    <w:rsid w:val="00EC4CC8"/>
    <w:rsid w:val="00ED3E69"/>
    <w:rsid w:val="00EE20EA"/>
    <w:rsid w:val="00EE3AAC"/>
    <w:rsid w:val="00EE7BA2"/>
    <w:rsid w:val="00EF20D3"/>
    <w:rsid w:val="00F0643F"/>
    <w:rsid w:val="00F35DC1"/>
    <w:rsid w:val="00F40573"/>
    <w:rsid w:val="00F420B2"/>
    <w:rsid w:val="00F57BD1"/>
    <w:rsid w:val="00F66027"/>
    <w:rsid w:val="00F6635C"/>
    <w:rsid w:val="00F73011"/>
    <w:rsid w:val="00F745E3"/>
    <w:rsid w:val="00F752E9"/>
    <w:rsid w:val="00F7682C"/>
    <w:rsid w:val="00F76B45"/>
    <w:rsid w:val="00F83B04"/>
    <w:rsid w:val="00F92D4B"/>
    <w:rsid w:val="00FA216D"/>
    <w:rsid w:val="00FB2862"/>
    <w:rsid w:val="00FB543D"/>
    <w:rsid w:val="00FC6466"/>
    <w:rsid w:val="00FC68A6"/>
    <w:rsid w:val="00FC799B"/>
    <w:rsid w:val="00FD76FC"/>
    <w:rsid w:val="00FE59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B2C0C"/>
  <w15:chartTrackingRefBased/>
  <w15:docId w15:val="{20C1D4DB-607F-4DAD-B695-EBA72B45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D6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11D6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11D60"/>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F730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3011"/>
    <w:rPr>
      <w:rFonts w:ascii="Segoe UI" w:hAnsi="Segoe UI" w:cs="Segoe UI"/>
      <w:sz w:val="18"/>
      <w:szCs w:val="18"/>
    </w:rPr>
  </w:style>
  <w:style w:type="paragraph" w:styleId="Piedepgina">
    <w:name w:val="footer"/>
    <w:basedOn w:val="Normal"/>
    <w:link w:val="PiedepginaCar"/>
    <w:uiPriority w:val="99"/>
    <w:unhideWhenUsed/>
    <w:rsid w:val="00060E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0E3D"/>
  </w:style>
  <w:style w:type="paragraph" w:styleId="Sinespaciado">
    <w:name w:val="No Spacing"/>
    <w:uiPriority w:val="1"/>
    <w:qFormat/>
    <w:rsid w:val="008130E7"/>
    <w:pPr>
      <w:spacing w:after="0" w:line="240" w:lineRule="auto"/>
    </w:pPr>
  </w:style>
  <w:style w:type="paragraph" w:styleId="Textonotapie">
    <w:name w:val="footnote text"/>
    <w:basedOn w:val="Normal"/>
    <w:link w:val="TextonotapieCar"/>
    <w:uiPriority w:val="99"/>
    <w:unhideWhenUsed/>
    <w:rsid w:val="00FA216D"/>
    <w:pPr>
      <w:spacing w:after="0" w:line="240" w:lineRule="auto"/>
    </w:pPr>
    <w:rPr>
      <w:sz w:val="20"/>
      <w:szCs w:val="20"/>
    </w:rPr>
  </w:style>
  <w:style w:type="character" w:customStyle="1" w:styleId="TextonotapieCar">
    <w:name w:val="Texto nota pie Car"/>
    <w:basedOn w:val="Fuentedeprrafopredeter"/>
    <w:link w:val="Textonotapie"/>
    <w:uiPriority w:val="99"/>
    <w:rsid w:val="00FA216D"/>
    <w:rPr>
      <w:sz w:val="20"/>
      <w:szCs w:val="20"/>
    </w:rPr>
  </w:style>
  <w:style w:type="character" w:styleId="Refdenotaalpie">
    <w:name w:val="footnote reference"/>
    <w:basedOn w:val="Fuentedeprrafopredeter"/>
    <w:uiPriority w:val="99"/>
    <w:semiHidden/>
    <w:unhideWhenUsed/>
    <w:rsid w:val="00FA216D"/>
    <w:rPr>
      <w:vertAlign w:val="superscript"/>
    </w:rPr>
  </w:style>
  <w:style w:type="paragraph" w:styleId="Prrafodelista">
    <w:name w:val="List Paragraph"/>
    <w:basedOn w:val="Normal"/>
    <w:uiPriority w:val="34"/>
    <w:qFormat/>
    <w:rsid w:val="00892CD7"/>
    <w:pPr>
      <w:ind w:left="720"/>
      <w:contextualSpacing/>
    </w:pPr>
  </w:style>
  <w:style w:type="paragraph" w:customStyle="1" w:styleId="Textoindependiente21">
    <w:name w:val="Texto independiente 21"/>
    <w:basedOn w:val="Normal"/>
    <w:rsid w:val="00AC07B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independiente">
    <w:name w:val="Body Text"/>
    <w:basedOn w:val="Normal"/>
    <w:link w:val="TextoindependienteCar"/>
    <w:uiPriority w:val="99"/>
    <w:unhideWhenUsed/>
    <w:rsid w:val="00AC07B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AC07B0"/>
    <w:rPr>
      <w:lang w:val="es-MX"/>
    </w:rPr>
  </w:style>
  <w:style w:type="table" w:styleId="Tablaconcuadrcula">
    <w:name w:val="Table Grid"/>
    <w:basedOn w:val="Tablanormal"/>
    <w:uiPriority w:val="39"/>
    <w:rsid w:val="004D741A"/>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
    <w:name w:val="bold"/>
    <w:basedOn w:val="Fuentedeprrafopredeter"/>
    <w:rsid w:val="00CC2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333242">
      <w:bodyDiv w:val="1"/>
      <w:marLeft w:val="0"/>
      <w:marRight w:val="0"/>
      <w:marTop w:val="0"/>
      <w:marBottom w:val="0"/>
      <w:divBdr>
        <w:top w:val="none" w:sz="0" w:space="0" w:color="auto"/>
        <w:left w:val="none" w:sz="0" w:space="0" w:color="auto"/>
        <w:bottom w:val="none" w:sz="0" w:space="0" w:color="auto"/>
        <w:right w:val="none" w:sz="0" w:space="0" w:color="auto"/>
      </w:divBdr>
    </w:div>
    <w:div w:id="622688235">
      <w:bodyDiv w:val="1"/>
      <w:marLeft w:val="0"/>
      <w:marRight w:val="0"/>
      <w:marTop w:val="0"/>
      <w:marBottom w:val="0"/>
      <w:divBdr>
        <w:top w:val="none" w:sz="0" w:space="0" w:color="auto"/>
        <w:left w:val="none" w:sz="0" w:space="0" w:color="auto"/>
        <w:bottom w:val="none" w:sz="0" w:space="0" w:color="auto"/>
        <w:right w:val="none" w:sz="0" w:space="0" w:color="auto"/>
      </w:divBdr>
    </w:div>
    <w:div w:id="1438141951">
      <w:bodyDiv w:val="1"/>
      <w:marLeft w:val="0"/>
      <w:marRight w:val="0"/>
      <w:marTop w:val="0"/>
      <w:marBottom w:val="0"/>
      <w:divBdr>
        <w:top w:val="none" w:sz="0" w:space="0" w:color="auto"/>
        <w:left w:val="none" w:sz="0" w:space="0" w:color="auto"/>
        <w:bottom w:val="none" w:sz="0" w:space="0" w:color="auto"/>
        <w:right w:val="none" w:sz="0" w:space="0" w:color="auto"/>
      </w:divBdr>
    </w:div>
    <w:div w:id="1985310698">
      <w:bodyDiv w:val="1"/>
      <w:marLeft w:val="0"/>
      <w:marRight w:val="0"/>
      <w:marTop w:val="0"/>
      <w:marBottom w:val="0"/>
      <w:divBdr>
        <w:top w:val="none" w:sz="0" w:space="0" w:color="auto"/>
        <w:left w:val="none" w:sz="0" w:space="0" w:color="auto"/>
        <w:bottom w:val="none" w:sz="0" w:space="0" w:color="auto"/>
        <w:right w:val="none" w:sz="0" w:space="0" w:color="auto"/>
      </w:divBdr>
    </w:div>
    <w:div w:id="2122331821">
      <w:bodyDiv w:val="1"/>
      <w:marLeft w:val="0"/>
      <w:marRight w:val="0"/>
      <w:marTop w:val="0"/>
      <w:marBottom w:val="0"/>
      <w:divBdr>
        <w:top w:val="none" w:sz="0" w:space="0" w:color="auto"/>
        <w:left w:val="none" w:sz="0" w:space="0" w:color="auto"/>
        <w:bottom w:val="none" w:sz="0" w:space="0" w:color="auto"/>
        <w:right w:val="none" w:sz="0" w:space="0" w:color="auto"/>
      </w:divBdr>
      <w:divsChild>
        <w:div w:id="572931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D4E0E-0B95-4078-902D-4FC532B3E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3462</Words>
  <Characters>19043</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52</cp:revision>
  <cp:lastPrinted>2021-11-08T21:45:00Z</cp:lastPrinted>
  <dcterms:created xsi:type="dcterms:W3CDTF">2021-10-14T20:18:00Z</dcterms:created>
  <dcterms:modified xsi:type="dcterms:W3CDTF">2022-02-08T17:55:00Z</dcterms:modified>
</cp:coreProperties>
</file>