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02F9" w:rsidRPr="00E66467" w:rsidRDefault="000802F9" w:rsidP="0042238C">
      <w:pPr>
        <w:tabs>
          <w:tab w:val="center" w:pos="4749"/>
        </w:tabs>
        <w:spacing w:line="360" w:lineRule="auto"/>
        <w:jc w:val="both"/>
        <w:rPr>
          <w:rFonts w:ascii="Arial" w:hAnsi="Arial" w:cs="Arial"/>
          <w:sz w:val="24"/>
          <w:szCs w:val="24"/>
        </w:rPr>
      </w:pPr>
      <w:r w:rsidRPr="000F1C72">
        <w:rPr>
          <w:rFonts w:ascii="Arial" w:hAnsi="Arial" w:cs="Arial"/>
          <w:b/>
          <w:sz w:val="24"/>
          <w:szCs w:val="24"/>
        </w:rPr>
        <w:t>OAXACA DE JUÁREZ, OAXACA</w:t>
      </w:r>
      <w:r w:rsidR="00B42A87">
        <w:rPr>
          <w:rFonts w:ascii="Arial" w:hAnsi="Arial" w:cs="Arial"/>
          <w:b/>
          <w:sz w:val="24"/>
          <w:szCs w:val="24"/>
        </w:rPr>
        <w:t>,</w:t>
      </w:r>
      <w:r w:rsidRPr="000F1C72">
        <w:rPr>
          <w:rFonts w:ascii="Arial" w:hAnsi="Arial" w:cs="Arial"/>
          <w:b/>
          <w:sz w:val="24"/>
          <w:szCs w:val="24"/>
        </w:rPr>
        <w:t xml:space="preserve"> A</w:t>
      </w:r>
      <w:r w:rsidR="00B42A87">
        <w:rPr>
          <w:rFonts w:ascii="Arial" w:hAnsi="Arial" w:cs="Arial"/>
          <w:b/>
          <w:sz w:val="24"/>
          <w:szCs w:val="24"/>
        </w:rPr>
        <w:t xml:space="preserve"> </w:t>
      </w:r>
      <w:r w:rsidR="0042238C">
        <w:rPr>
          <w:rFonts w:ascii="Arial" w:hAnsi="Arial" w:cs="Arial"/>
          <w:b/>
          <w:sz w:val="24"/>
          <w:szCs w:val="24"/>
        </w:rPr>
        <w:t xml:space="preserve">CATORCE DE OCTUBRE </w:t>
      </w:r>
      <w:r w:rsidR="007C46C2">
        <w:rPr>
          <w:rFonts w:ascii="Arial" w:hAnsi="Arial" w:cs="Arial"/>
          <w:b/>
          <w:sz w:val="24"/>
          <w:szCs w:val="24"/>
        </w:rPr>
        <w:t>DE DOS MIL VEINTIUNO</w:t>
      </w:r>
      <w:r w:rsidR="003166ED" w:rsidRPr="00E66467">
        <w:rPr>
          <w:rFonts w:ascii="Arial" w:hAnsi="Arial" w:cs="Arial"/>
          <w:sz w:val="24"/>
          <w:szCs w:val="24"/>
        </w:rPr>
        <w:t xml:space="preserve">. - - - - - - - - - - - - - - - - - - - - - - - - - - - - - - - - - - - - - - - - - - - - - - - - - - - - </w:t>
      </w:r>
      <w:r w:rsidR="0028355E">
        <w:rPr>
          <w:rFonts w:ascii="Arial" w:hAnsi="Arial" w:cs="Arial"/>
          <w:sz w:val="24"/>
          <w:szCs w:val="24"/>
        </w:rPr>
        <w:t xml:space="preserve">- - - </w:t>
      </w:r>
    </w:p>
    <w:p w:rsidR="006604AA" w:rsidRDefault="000802F9" w:rsidP="00217C56">
      <w:pPr>
        <w:pStyle w:val="Sinespaciado"/>
        <w:spacing w:after="240" w:line="360" w:lineRule="auto"/>
        <w:ind w:firstLine="709"/>
        <w:jc w:val="both"/>
        <w:rPr>
          <w:rFonts w:ascii="Arial" w:hAnsi="Arial" w:cs="Arial"/>
          <w:sz w:val="24"/>
          <w:szCs w:val="24"/>
        </w:rPr>
      </w:pPr>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sidR="00D96257">
        <w:rPr>
          <w:rFonts w:ascii="Arial" w:hAnsi="Arial" w:cs="Arial"/>
          <w:b/>
          <w:sz w:val="24"/>
          <w:szCs w:val="24"/>
          <w:lang w:eastAsia="es-ES"/>
        </w:rPr>
        <w:t>0</w:t>
      </w:r>
      <w:r w:rsidR="007C46C2">
        <w:rPr>
          <w:rFonts w:ascii="Arial" w:hAnsi="Arial" w:cs="Arial"/>
          <w:b/>
          <w:sz w:val="24"/>
          <w:szCs w:val="24"/>
          <w:lang w:eastAsia="es-ES"/>
        </w:rPr>
        <w:t>170</w:t>
      </w:r>
      <w:r w:rsidR="001E294D">
        <w:rPr>
          <w:rFonts w:ascii="Arial" w:hAnsi="Arial" w:cs="Arial"/>
          <w:b/>
          <w:sz w:val="24"/>
          <w:szCs w:val="24"/>
          <w:lang w:eastAsia="es-ES"/>
        </w:rPr>
        <w:t>/20</w:t>
      </w:r>
      <w:r w:rsidR="00967B8C">
        <w:rPr>
          <w:rFonts w:ascii="Arial" w:hAnsi="Arial" w:cs="Arial"/>
          <w:b/>
          <w:sz w:val="24"/>
          <w:szCs w:val="24"/>
          <w:lang w:eastAsia="es-ES"/>
        </w:rPr>
        <w:t>20</w:t>
      </w:r>
      <w:r w:rsidRPr="009E202F">
        <w:rPr>
          <w:rFonts w:ascii="Arial" w:hAnsi="Arial" w:cs="Arial"/>
          <w:sz w:val="24"/>
          <w:szCs w:val="24"/>
          <w:lang w:eastAsia="es-ES"/>
        </w:rPr>
        <w:t>, promovido por</w:t>
      </w:r>
      <w:r w:rsidR="00CF5C60">
        <w:rPr>
          <w:rFonts w:ascii="Arial" w:hAnsi="Arial" w:cs="Arial"/>
          <w:sz w:val="24"/>
          <w:szCs w:val="24"/>
          <w:lang w:eastAsia="es-ES"/>
        </w:rPr>
        <w:t xml:space="preserve"> </w:t>
      </w:r>
      <w:r w:rsidR="00402902">
        <w:rPr>
          <w:rFonts w:ascii="Arial" w:eastAsia="Times New Roman" w:hAnsi="Arial" w:cs="Arial"/>
          <w:bCs/>
          <w:iCs/>
          <w:caps/>
          <w:kern w:val="2"/>
          <w:sz w:val="24"/>
          <w:szCs w:val="24"/>
          <w:lang w:val="es-ES_tradnl" w:eastAsia="es-ES"/>
        </w:rPr>
        <w:t>**********</w:t>
      </w:r>
      <w:r w:rsidR="00402902">
        <w:rPr>
          <w:rFonts w:ascii="Arial" w:eastAsia="Times New Roman" w:hAnsi="Arial" w:cs="Arial"/>
          <w:bCs/>
          <w:iCs/>
          <w:caps/>
          <w:kern w:val="2"/>
          <w:sz w:val="24"/>
          <w:szCs w:val="24"/>
          <w:lang w:val="es-ES_tradnl" w:eastAsia="es-ES"/>
        </w:rPr>
        <w:t xml:space="preserve"> </w:t>
      </w:r>
      <w:r w:rsidR="001803E6">
        <w:rPr>
          <w:rFonts w:ascii="Arial" w:hAnsi="Arial" w:cs="Arial"/>
          <w:sz w:val="24"/>
          <w:szCs w:val="24"/>
          <w:lang w:eastAsia="es-ES"/>
        </w:rPr>
        <w:t xml:space="preserve">en </w:t>
      </w:r>
      <w:r w:rsidR="00D96257">
        <w:rPr>
          <w:rFonts w:ascii="Arial" w:eastAsia="Times New Roman" w:hAnsi="Arial" w:cs="Arial"/>
          <w:bCs/>
          <w:iCs/>
          <w:kern w:val="2"/>
          <w:sz w:val="24"/>
          <w:szCs w:val="24"/>
          <w:lang w:val="es-ES_tradnl" w:eastAsia="es-ES"/>
        </w:rPr>
        <w:t>contra del</w:t>
      </w:r>
      <w:r w:rsidR="001803E6">
        <w:rPr>
          <w:rFonts w:ascii="Arial" w:eastAsia="Times New Roman" w:hAnsi="Arial" w:cs="Arial"/>
          <w:bCs/>
          <w:iCs/>
          <w:kern w:val="2"/>
          <w:sz w:val="24"/>
          <w:szCs w:val="24"/>
          <w:lang w:val="es-ES_tradnl" w:eastAsia="es-ES"/>
        </w:rPr>
        <w:t xml:space="preserve"> </w:t>
      </w:r>
      <w:r w:rsidR="00C55168">
        <w:rPr>
          <w:rFonts w:ascii="Arial" w:hAnsi="Arial" w:cs="Arial"/>
          <w:sz w:val="24"/>
          <w:szCs w:val="24"/>
        </w:rPr>
        <w:t xml:space="preserve">acta de infracción con número de folio </w:t>
      </w:r>
      <w:r w:rsidR="00402902">
        <w:rPr>
          <w:rFonts w:ascii="Arial" w:eastAsia="Times New Roman" w:hAnsi="Arial" w:cs="Arial"/>
          <w:bCs/>
          <w:iCs/>
          <w:caps/>
          <w:kern w:val="2"/>
          <w:sz w:val="24"/>
          <w:szCs w:val="24"/>
          <w:lang w:val="es-ES_tradnl" w:eastAsia="es-ES"/>
        </w:rPr>
        <w:t>**********</w:t>
      </w:r>
      <w:r w:rsidR="00C55168" w:rsidRPr="00A76356">
        <w:rPr>
          <w:rFonts w:ascii="Arial" w:hAnsi="Arial" w:cs="Arial"/>
          <w:sz w:val="24"/>
          <w:szCs w:val="24"/>
        </w:rPr>
        <w:t>,</w:t>
      </w:r>
      <w:r w:rsidR="00C55168">
        <w:rPr>
          <w:rFonts w:ascii="Arial" w:hAnsi="Arial" w:cs="Arial"/>
          <w:b/>
          <w:sz w:val="24"/>
          <w:szCs w:val="24"/>
        </w:rPr>
        <w:t xml:space="preserve"> </w:t>
      </w:r>
      <w:r w:rsidR="00C55168">
        <w:rPr>
          <w:rFonts w:ascii="Arial" w:hAnsi="Arial" w:cs="Arial"/>
          <w:sz w:val="24"/>
          <w:szCs w:val="24"/>
        </w:rPr>
        <w:t xml:space="preserve">de </w:t>
      </w:r>
      <w:r w:rsidR="007C46C2">
        <w:rPr>
          <w:rFonts w:ascii="Arial" w:hAnsi="Arial" w:cs="Arial"/>
          <w:sz w:val="24"/>
          <w:szCs w:val="24"/>
        </w:rPr>
        <w:t>diecinueve de noviembre de dos mil veinte</w:t>
      </w:r>
      <w:r w:rsidR="00C55168">
        <w:rPr>
          <w:rFonts w:ascii="Arial" w:eastAsia="Times New Roman" w:hAnsi="Arial" w:cs="Arial"/>
          <w:b/>
          <w:bCs/>
          <w:iCs/>
          <w:kern w:val="2"/>
          <w:sz w:val="24"/>
          <w:szCs w:val="24"/>
          <w:lang w:val="es-ES_tradnl" w:eastAsia="es-ES"/>
        </w:rPr>
        <w:t xml:space="preserve">, </w:t>
      </w:r>
      <w:r w:rsidR="007C46C2">
        <w:rPr>
          <w:rFonts w:ascii="Arial" w:eastAsia="Times New Roman" w:hAnsi="Arial" w:cs="Arial"/>
          <w:sz w:val="24"/>
          <w:szCs w:val="24"/>
          <w:lang w:val="es-ES" w:eastAsia="es-ES"/>
        </w:rPr>
        <w:t>levantada por la</w:t>
      </w:r>
      <w:r w:rsidR="00C55168">
        <w:rPr>
          <w:rFonts w:ascii="Arial" w:eastAsia="Times New Roman" w:hAnsi="Arial" w:cs="Arial"/>
          <w:b/>
          <w:sz w:val="24"/>
          <w:szCs w:val="24"/>
          <w:lang w:val="es-ES" w:eastAsia="es-ES"/>
        </w:rPr>
        <w:t xml:space="preserve"> </w:t>
      </w:r>
      <w:r w:rsidR="001803E6">
        <w:rPr>
          <w:rFonts w:ascii="Arial" w:eastAsia="Times New Roman" w:hAnsi="Arial" w:cs="Arial"/>
          <w:b/>
          <w:bCs/>
          <w:iCs/>
          <w:kern w:val="2"/>
          <w:sz w:val="24"/>
          <w:szCs w:val="24"/>
          <w:lang w:val="es-ES_tradnl" w:eastAsia="es-ES"/>
        </w:rPr>
        <w:t>POLICÍA VI</w:t>
      </w:r>
      <w:r w:rsidR="007C46C2">
        <w:rPr>
          <w:rFonts w:ascii="Arial" w:eastAsia="Times New Roman" w:hAnsi="Arial" w:cs="Arial"/>
          <w:b/>
          <w:bCs/>
          <w:iCs/>
          <w:kern w:val="2"/>
          <w:sz w:val="24"/>
          <w:szCs w:val="24"/>
          <w:lang w:val="es-ES_tradnl" w:eastAsia="es-ES"/>
        </w:rPr>
        <w:t>AL CON NÚMERO ESTADÍSTICO PV-260</w:t>
      </w:r>
      <w:r w:rsidR="001803E6">
        <w:rPr>
          <w:rFonts w:ascii="Arial" w:eastAsia="Times New Roman" w:hAnsi="Arial" w:cs="Arial"/>
          <w:b/>
          <w:bCs/>
          <w:iCs/>
          <w:kern w:val="2"/>
          <w:sz w:val="24"/>
          <w:szCs w:val="24"/>
          <w:lang w:val="es-ES_tradnl" w:eastAsia="es-ES"/>
        </w:rPr>
        <w:t xml:space="preserve">, </w:t>
      </w:r>
      <w:r w:rsidR="007C46C2">
        <w:rPr>
          <w:rFonts w:ascii="Arial" w:eastAsia="Times New Roman" w:hAnsi="Arial" w:cs="Arial"/>
          <w:b/>
          <w:bCs/>
          <w:iCs/>
          <w:kern w:val="2"/>
          <w:sz w:val="24"/>
          <w:szCs w:val="24"/>
          <w:lang w:val="es-ES_tradnl" w:eastAsia="es-ES"/>
        </w:rPr>
        <w:t xml:space="preserve">ADSCRITA </w:t>
      </w:r>
      <w:r w:rsidR="00CD2153">
        <w:rPr>
          <w:rFonts w:ascii="Arial" w:eastAsia="Times New Roman" w:hAnsi="Arial" w:cs="Arial"/>
          <w:b/>
          <w:bCs/>
          <w:iCs/>
          <w:kern w:val="2"/>
          <w:sz w:val="24"/>
          <w:szCs w:val="24"/>
          <w:lang w:val="es-ES_tradnl" w:eastAsia="es-ES"/>
        </w:rPr>
        <w:t>A</w:t>
      </w:r>
      <w:bookmarkStart w:id="0" w:name="_GoBack"/>
      <w:bookmarkEnd w:id="0"/>
      <w:r w:rsidR="00CD2153">
        <w:rPr>
          <w:rFonts w:ascii="Arial" w:eastAsia="Times New Roman" w:hAnsi="Arial" w:cs="Arial"/>
          <w:b/>
          <w:bCs/>
          <w:iCs/>
          <w:kern w:val="2"/>
          <w:sz w:val="24"/>
          <w:szCs w:val="24"/>
          <w:lang w:val="es-ES_tradnl" w:eastAsia="es-ES"/>
        </w:rPr>
        <w:t xml:space="preserve"> </w:t>
      </w:r>
      <w:r w:rsidR="007C46C2">
        <w:rPr>
          <w:rFonts w:ascii="Arial" w:eastAsia="Times New Roman" w:hAnsi="Arial" w:cs="Arial"/>
          <w:b/>
          <w:bCs/>
          <w:iCs/>
          <w:kern w:val="2"/>
          <w:sz w:val="24"/>
          <w:szCs w:val="24"/>
          <w:lang w:val="es-ES_tradnl" w:eastAsia="es-ES"/>
        </w:rPr>
        <w:t xml:space="preserve">LA SUBDIRECCIÓN DE TRÁNSITO Y MOVILIDAD </w:t>
      </w:r>
      <w:r w:rsidR="001803E6">
        <w:rPr>
          <w:rFonts w:ascii="Arial" w:eastAsia="Times New Roman" w:hAnsi="Arial" w:cs="Arial"/>
          <w:b/>
          <w:bCs/>
          <w:iCs/>
          <w:kern w:val="2"/>
          <w:sz w:val="24"/>
          <w:szCs w:val="24"/>
          <w:lang w:val="es-ES_tradnl" w:eastAsia="es-ES"/>
        </w:rPr>
        <w:t>DE</w:t>
      </w:r>
      <w:r w:rsidR="007C46C2">
        <w:rPr>
          <w:rFonts w:ascii="Arial" w:eastAsia="Times New Roman" w:hAnsi="Arial" w:cs="Arial"/>
          <w:b/>
          <w:bCs/>
          <w:iCs/>
          <w:kern w:val="2"/>
          <w:sz w:val="24"/>
          <w:szCs w:val="24"/>
          <w:lang w:val="es-ES_tradnl" w:eastAsia="es-ES"/>
        </w:rPr>
        <w:t>L</w:t>
      </w:r>
      <w:r w:rsidR="001803E6">
        <w:rPr>
          <w:rFonts w:ascii="Arial" w:eastAsia="Times New Roman" w:hAnsi="Arial" w:cs="Arial"/>
          <w:b/>
          <w:bCs/>
          <w:iCs/>
          <w:kern w:val="2"/>
          <w:sz w:val="24"/>
          <w:szCs w:val="24"/>
          <w:lang w:val="es-ES_tradnl" w:eastAsia="es-ES"/>
        </w:rPr>
        <w:t xml:space="preserve"> MUNICIPIO DE OAXACA DE JUÁREZ, OAXACA, </w:t>
      </w:r>
      <w:r w:rsidR="00C55168">
        <w:rPr>
          <w:rFonts w:ascii="Arial" w:hAnsi="Arial" w:cs="Arial"/>
          <w:sz w:val="24"/>
          <w:szCs w:val="24"/>
        </w:rPr>
        <w:t xml:space="preserve">y;  - - - - - - - - - - - - </w:t>
      </w:r>
    </w:p>
    <w:p w:rsidR="000802F9" w:rsidRDefault="000802F9" w:rsidP="00217C56">
      <w:pPr>
        <w:pStyle w:val="Sinespaciado"/>
        <w:spacing w:after="240" w:line="360" w:lineRule="auto"/>
        <w:ind w:firstLine="709"/>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rsidR="007664FA" w:rsidRPr="00552029" w:rsidRDefault="000802F9" w:rsidP="00022A3D">
      <w:pPr>
        <w:spacing w:line="360" w:lineRule="auto"/>
        <w:ind w:right="51" w:firstLine="567"/>
        <w:jc w:val="both"/>
        <w:rPr>
          <w:rFonts w:ascii="Arial" w:eastAsia="Times New Roman" w:hAnsi="Arial" w:cs="Arial"/>
          <w:sz w:val="24"/>
          <w:szCs w:val="24"/>
          <w:lang w:val="es-ES" w:eastAsia="es-ES"/>
        </w:rPr>
      </w:pPr>
      <w:r w:rsidRPr="000F1C72">
        <w:rPr>
          <w:rFonts w:ascii="Arial" w:eastAsia="Times New Roman" w:hAnsi="Arial" w:cs="Arial"/>
          <w:b/>
          <w:bCs/>
          <w:sz w:val="24"/>
          <w:szCs w:val="24"/>
          <w:lang w:val="es-ES" w:eastAsia="es-ES"/>
        </w:rPr>
        <w:t xml:space="preserve">PRIMERO. </w:t>
      </w:r>
      <w:r w:rsidR="00900625">
        <w:rPr>
          <w:rFonts w:ascii="Arial" w:eastAsia="Times New Roman" w:hAnsi="Arial" w:cs="Arial"/>
          <w:sz w:val="24"/>
          <w:szCs w:val="24"/>
          <w:lang w:val="es-ES" w:eastAsia="es-ES"/>
        </w:rPr>
        <w:t xml:space="preserve">Por auto de </w:t>
      </w:r>
      <w:r w:rsidR="005D0E58">
        <w:rPr>
          <w:rFonts w:ascii="Arial" w:eastAsia="Times New Roman" w:hAnsi="Arial" w:cs="Arial"/>
          <w:sz w:val="24"/>
          <w:szCs w:val="24"/>
          <w:lang w:val="es-ES" w:eastAsia="es-ES"/>
        </w:rPr>
        <w:t>treinta de noviembre</w:t>
      </w:r>
      <w:r w:rsidR="007529A5">
        <w:rPr>
          <w:rFonts w:ascii="Arial" w:eastAsia="Times New Roman" w:hAnsi="Arial" w:cs="Arial"/>
          <w:sz w:val="24"/>
          <w:szCs w:val="24"/>
          <w:lang w:val="es-ES" w:eastAsia="es-ES"/>
        </w:rPr>
        <w:t xml:space="preserve"> </w:t>
      </w:r>
      <w:r w:rsidR="00900625">
        <w:rPr>
          <w:rFonts w:ascii="Arial" w:eastAsia="Times New Roman" w:hAnsi="Arial" w:cs="Arial"/>
          <w:sz w:val="24"/>
          <w:szCs w:val="24"/>
          <w:lang w:val="es-ES" w:eastAsia="es-ES"/>
        </w:rPr>
        <w:t xml:space="preserve">de dos mil </w:t>
      </w:r>
      <w:r w:rsidR="007529A5">
        <w:rPr>
          <w:rFonts w:ascii="Arial" w:eastAsia="Times New Roman" w:hAnsi="Arial" w:cs="Arial"/>
          <w:sz w:val="24"/>
          <w:szCs w:val="24"/>
          <w:lang w:val="es-ES" w:eastAsia="es-ES"/>
        </w:rPr>
        <w:t>veinte</w:t>
      </w:r>
      <w:r w:rsidR="00900625">
        <w:rPr>
          <w:rFonts w:ascii="Arial" w:eastAsia="Times New Roman" w:hAnsi="Arial" w:cs="Arial"/>
          <w:sz w:val="24"/>
          <w:szCs w:val="24"/>
          <w:lang w:val="es-ES" w:eastAsia="es-ES"/>
        </w:rPr>
        <w:t>,</w:t>
      </w:r>
      <w:r w:rsidR="008D005F">
        <w:rPr>
          <w:rFonts w:ascii="Arial" w:eastAsia="Times New Roman" w:hAnsi="Arial" w:cs="Arial"/>
          <w:sz w:val="24"/>
          <w:szCs w:val="24"/>
          <w:lang w:val="es-ES" w:eastAsia="es-ES"/>
        </w:rPr>
        <w:t xml:space="preserve"> </w:t>
      </w:r>
      <w:r w:rsidR="008D005F" w:rsidRPr="004A05A4">
        <w:rPr>
          <w:rFonts w:ascii="Arial" w:eastAsia="Times New Roman" w:hAnsi="Arial" w:cs="Arial"/>
          <w:b/>
          <w:sz w:val="24"/>
          <w:szCs w:val="24"/>
          <w:lang w:val="es-ES" w:eastAsia="es-ES"/>
        </w:rPr>
        <w:t>se admitió</w:t>
      </w:r>
      <w:r w:rsidR="008D005F" w:rsidRPr="000F1C72">
        <w:rPr>
          <w:rFonts w:ascii="Arial" w:eastAsia="Times New Roman" w:hAnsi="Arial" w:cs="Arial"/>
          <w:b/>
          <w:sz w:val="24"/>
          <w:szCs w:val="24"/>
          <w:lang w:val="es-ES" w:eastAsia="es-ES"/>
        </w:rPr>
        <w:t xml:space="preserve"> a trámite la demanda</w:t>
      </w:r>
      <w:r w:rsidR="008D005F">
        <w:rPr>
          <w:rFonts w:ascii="Arial" w:eastAsia="Times New Roman" w:hAnsi="Arial" w:cs="Arial"/>
          <w:b/>
          <w:sz w:val="24"/>
          <w:szCs w:val="24"/>
          <w:lang w:val="es-ES" w:eastAsia="es-ES"/>
        </w:rPr>
        <w:t xml:space="preserve"> de nulidad </w:t>
      </w:r>
      <w:r w:rsidR="008D005F">
        <w:rPr>
          <w:rFonts w:ascii="Arial" w:eastAsia="Times New Roman" w:hAnsi="Arial" w:cs="Arial"/>
          <w:sz w:val="24"/>
          <w:szCs w:val="24"/>
          <w:lang w:val="es-ES" w:eastAsia="es-ES"/>
        </w:rPr>
        <w:t xml:space="preserve">de la parte actora, </w:t>
      </w:r>
      <w:r w:rsidR="007664FA" w:rsidRPr="000F1C72">
        <w:rPr>
          <w:rFonts w:ascii="Arial" w:eastAsia="Times New Roman" w:hAnsi="Arial" w:cs="Arial"/>
          <w:sz w:val="24"/>
          <w:szCs w:val="24"/>
          <w:lang w:val="es-ES" w:eastAsia="es-ES"/>
        </w:rPr>
        <w:t xml:space="preserve">ordenándose </w:t>
      </w:r>
      <w:r w:rsidR="007664FA" w:rsidRPr="000F1C72">
        <w:rPr>
          <w:rFonts w:ascii="Arial" w:eastAsia="Times New Roman" w:hAnsi="Arial" w:cs="Arial"/>
          <w:sz w:val="24"/>
          <w:szCs w:val="24"/>
          <w:lang w:val="es-ES_tradnl" w:eastAsia="es-ES"/>
        </w:rPr>
        <w:t xml:space="preserve">notificar, emplazar y correr traslado a la </w:t>
      </w:r>
      <w:r w:rsidR="007664FA">
        <w:rPr>
          <w:rFonts w:ascii="Arial" w:eastAsia="Times New Roman" w:hAnsi="Arial" w:cs="Arial"/>
          <w:b/>
          <w:sz w:val="24"/>
          <w:szCs w:val="24"/>
          <w:lang w:val="es-ES_tradnl" w:eastAsia="es-ES"/>
        </w:rPr>
        <w:t>autoridad demandada</w:t>
      </w:r>
      <w:r w:rsidR="00022A3D">
        <w:rPr>
          <w:rFonts w:ascii="Arial" w:eastAsia="Times New Roman" w:hAnsi="Arial" w:cs="Arial"/>
          <w:b/>
          <w:sz w:val="24"/>
          <w:szCs w:val="24"/>
          <w:lang w:val="es-ES_tradnl" w:eastAsia="es-ES"/>
        </w:rPr>
        <w:t>,</w:t>
      </w:r>
      <w:r w:rsidR="007664FA">
        <w:rPr>
          <w:rFonts w:ascii="Arial" w:eastAsia="Times New Roman" w:hAnsi="Arial" w:cs="Arial"/>
          <w:b/>
          <w:sz w:val="24"/>
          <w:szCs w:val="24"/>
          <w:lang w:val="es-ES_tradnl" w:eastAsia="es-ES"/>
        </w:rPr>
        <w:t xml:space="preserve"> </w:t>
      </w:r>
      <w:r w:rsidR="007664FA" w:rsidRPr="000F1C72">
        <w:rPr>
          <w:rFonts w:ascii="Arial" w:eastAsia="Times New Roman" w:hAnsi="Arial" w:cs="Arial"/>
          <w:sz w:val="24"/>
          <w:szCs w:val="24"/>
          <w:lang w:val="es-ES_tradnl" w:eastAsia="es-ES"/>
        </w:rPr>
        <w:t xml:space="preserve">para que dentro del término de ley la contestara; </w:t>
      </w:r>
      <w:r w:rsidR="007664FA">
        <w:rPr>
          <w:rFonts w:ascii="Arial" w:eastAsia="Times New Roman" w:hAnsi="Arial" w:cs="Arial"/>
          <w:sz w:val="24"/>
          <w:szCs w:val="24"/>
          <w:lang w:val="es-ES_tradnl" w:eastAsia="es-ES"/>
        </w:rPr>
        <w:t xml:space="preserve">apercibida </w:t>
      </w:r>
      <w:r w:rsidR="007664FA" w:rsidRPr="000F1C72">
        <w:rPr>
          <w:rFonts w:ascii="Arial" w:eastAsia="Times New Roman" w:hAnsi="Arial" w:cs="Arial"/>
          <w:sz w:val="24"/>
          <w:szCs w:val="24"/>
          <w:lang w:val="es-ES_tradnl" w:eastAsia="es-ES"/>
        </w:rPr>
        <w:t>que para</w:t>
      </w:r>
      <w:r w:rsidR="007664FA">
        <w:rPr>
          <w:rFonts w:ascii="Arial" w:eastAsia="Times New Roman" w:hAnsi="Arial" w:cs="Arial"/>
          <w:sz w:val="24"/>
          <w:szCs w:val="24"/>
          <w:lang w:val="es-ES_tradnl" w:eastAsia="es-ES"/>
        </w:rPr>
        <w:t xml:space="preserve"> el caso de no hacerlo se </w:t>
      </w:r>
      <w:r w:rsidR="007664FA" w:rsidRPr="000F1C72">
        <w:rPr>
          <w:rFonts w:ascii="Arial" w:eastAsia="Times New Roman" w:hAnsi="Arial" w:cs="Arial"/>
          <w:sz w:val="24"/>
          <w:szCs w:val="24"/>
          <w:lang w:val="es-ES_tradnl" w:eastAsia="es-ES"/>
        </w:rPr>
        <w:t xml:space="preserve">tendría </w:t>
      </w:r>
      <w:r w:rsidR="007664FA">
        <w:rPr>
          <w:rFonts w:ascii="Arial" w:eastAsia="Times New Roman" w:hAnsi="Arial" w:cs="Arial"/>
          <w:sz w:val="24"/>
          <w:szCs w:val="24"/>
          <w:lang w:val="es-ES_tradnl" w:eastAsia="es-ES"/>
        </w:rPr>
        <w:t xml:space="preserve">por </w:t>
      </w:r>
      <w:r w:rsidR="007664FA" w:rsidRPr="000F1C72">
        <w:rPr>
          <w:rFonts w:ascii="Arial" w:eastAsia="Times New Roman" w:hAnsi="Arial" w:cs="Arial"/>
          <w:sz w:val="24"/>
          <w:szCs w:val="24"/>
          <w:lang w:val="es-ES_tradnl" w:eastAsia="es-ES"/>
        </w:rPr>
        <w:t>precluído su derecho y por contestada la demanda en sentido afirma</w:t>
      </w:r>
      <w:r w:rsidR="007664FA">
        <w:rPr>
          <w:rFonts w:ascii="Arial" w:eastAsia="Times New Roman" w:hAnsi="Arial" w:cs="Arial"/>
          <w:sz w:val="24"/>
          <w:szCs w:val="24"/>
          <w:lang w:val="es-ES_tradnl" w:eastAsia="es-ES"/>
        </w:rPr>
        <w:t>tivo, salvo prueba en contrario</w:t>
      </w:r>
      <w:r w:rsidR="00DE5543">
        <w:rPr>
          <w:rFonts w:ascii="Arial" w:eastAsia="Times New Roman" w:hAnsi="Arial" w:cs="Arial"/>
          <w:sz w:val="24"/>
          <w:szCs w:val="24"/>
          <w:lang w:val="es-ES_tradnl" w:eastAsia="es-ES"/>
        </w:rPr>
        <w:t xml:space="preserve">, </w:t>
      </w:r>
      <w:r w:rsidR="007664FA">
        <w:rPr>
          <w:rFonts w:ascii="Arial" w:eastAsia="Times New Roman" w:hAnsi="Arial" w:cs="Arial"/>
          <w:sz w:val="24"/>
          <w:szCs w:val="24"/>
          <w:lang w:val="es-ES_tradnl" w:eastAsia="es-ES"/>
        </w:rPr>
        <w:t>(foja</w:t>
      </w:r>
      <w:r w:rsidR="00FD7317">
        <w:rPr>
          <w:rFonts w:ascii="Arial" w:eastAsia="Times New Roman" w:hAnsi="Arial" w:cs="Arial"/>
          <w:sz w:val="24"/>
          <w:szCs w:val="24"/>
          <w:lang w:val="es-ES_tradnl" w:eastAsia="es-ES"/>
        </w:rPr>
        <w:t xml:space="preserve">s </w:t>
      </w:r>
      <w:r w:rsidR="005D0E58">
        <w:rPr>
          <w:rFonts w:ascii="Arial" w:eastAsia="Times New Roman" w:hAnsi="Arial" w:cs="Arial"/>
          <w:sz w:val="24"/>
          <w:szCs w:val="24"/>
          <w:lang w:val="es-ES_tradnl" w:eastAsia="es-ES"/>
        </w:rPr>
        <w:t>17 y 18</w:t>
      </w:r>
      <w:r w:rsidR="00552029">
        <w:rPr>
          <w:rFonts w:ascii="Arial" w:eastAsia="Times New Roman" w:hAnsi="Arial" w:cs="Arial"/>
          <w:sz w:val="24"/>
          <w:szCs w:val="24"/>
          <w:lang w:val="es-ES_tradnl" w:eastAsia="es-ES"/>
        </w:rPr>
        <w:t>).</w:t>
      </w:r>
    </w:p>
    <w:p w:rsidR="00996106" w:rsidRDefault="009F533D" w:rsidP="00E3495D">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SEGUNDO</w:t>
      </w:r>
      <w:r w:rsidR="000802F9" w:rsidRPr="00C612C7">
        <w:rPr>
          <w:rFonts w:ascii="Arial" w:eastAsia="Times New Roman" w:hAnsi="Arial" w:cs="Arial"/>
          <w:b/>
          <w:sz w:val="24"/>
          <w:szCs w:val="24"/>
          <w:lang w:val="es-ES" w:eastAsia="es-ES"/>
        </w:rPr>
        <w:t xml:space="preserve">. </w:t>
      </w:r>
      <w:r w:rsidR="005D0E58">
        <w:rPr>
          <w:rFonts w:ascii="Arial" w:eastAsia="Times New Roman" w:hAnsi="Arial" w:cs="Arial"/>
          <w:sz w:val="24"/>
          <w:szCs w:val="24"/>
          <w:lang w:val="es-ES" w:eastAsia="es-ES"/>
        </w:rPr>
        <w:t>Por acuerdo de veintiocho de mayo</w:t>
      </w:r>
      <w:r w:rsidR="00954574">
        <w:rPr>
          <w:rFonts w:ascii="Arial" w:eastAsia="Times New Roman" w:hAnsi="Arial" w:cs="Arial"/>
          <w:sz w:val="24"/>
          <w:szCs w:val="24"/>
          <w:lang w:val="es-ES" w:eastAsia="es-ES"/>
        </w:rPr>
        <w:t xml:space="preserve"> de dos mil veintiuno,</w:t>
      </w:r>
      <w:r w:rsidR="00CF5069">
        <w:rPr>
          <w:rFonts w:ascii="Arial" w:eastAsia="Times New Roman" w:hAnsi="Arial" w:cs="Arial"/>
          <w:b/>
          <w:sz w:val="24"/>
          <w:szCs w:val="24"/>
          <w:lang w:val="es-ES" w:eastAsia="es-ES"/>
        </w:rPr>
        <w:t xml:space="preserve"> </w:t>
      </w:r>
      <w:r w:rsidR="00C617A5">
        <w:rPr>
          <w:rFonts w:ascii="Arial" w:eastAsia="Times New Roman" w:hAnsi="Arial" w:cs="Arial"/>
          <w:sz w:val="24"/>
          <w:szCs w:val="24"/>
          <w:lang w:val="es-ES" w:eastAsia="es-ES"/>
        </w:rPr>
        <w:t>se tuvo a la</w:t>
      </w:r>
      <w:r w:rsidR="00CF5069">
        <w:rPr>
          <w:rFonts w:ascii="Arial" w:eastAsia="Times New Roman" w:hAnsi="Arial" w:cs="Arial"/>
          <w:sz w:val="24"/>
          <w:szCs w:val="24"/>
          <w:lang w:val="es-ES" w:eastAsia="es-ES"/>
        </w:rPr>
        <w:t xml:space="preserve"> autoridad demandada</w:t>
      </w:r>
      <w:r w:rsidR="00C617A5">
        <w:rPr>
          <w:rFonts w:ascii="Arial" w:eastAsia="Times New Roman" w:hAnsi="Arial" w:cs="Arial"/>
          <w:sz w:val="24"/>
          <w:szCs w:val="24"/>
          <w:lang w:val="es-ES" w:eastAsia="es-ES"/>
        </w:rPr>
        <w:t xml:space="preserve"> </w:t>
      </w:r>
      <w:r w:rsidR="00C617A5" w:rsidRPr="00C617A5">
        <w:rPr>
          <w:rFonts w:ascii="Arial" w:eastAsia="Times New Roman" w:hAnsi="Arial" w:cs="Arial"/>
          <w:b/>
          <w:sz w:val="24"/>
          <w:szCs w:val="24"/>
          <w:lang w:val="es-ES" w:eastAsia="es-ES"/>
        </w:rPr>
        <w:t>en tiempo</w:t>
      </w:r>
      <w:r w:rsidR="00C617A5">
        <w:rPr>
          <w:rFonts w:ascii="Arial" w:eastAsia="Times New Roman" w:hAnsi="Arial" w:cs="Arial"/>
          <w:sz w:val="24"/>
          <w:szCs w:val="24"/>
          <w:lang w:val="es-ES" w:eastAsia="es-ES"/>
        </w:rPr>
        <w:t xml:space="preserve"> </w:t>
      </w:r>
      <w:r w:rsidR="000E689C">
        <w:rPr>
          <w:rFonts w:ascii="Arial" w:hAnsi="Arial" w:cs="Arial"/>
          <w:b/>
          <w:sz w:val="24"/>
          <w:szCs w:val="24"/>
        </w:rPr>
        <w:t xml:space="preserve">contestando la demanda de nulidad </w:t>
      </w:r>
      <w:r w:rsidR="00A72894">
        <w:rPr>
          <w:rFonts w:ascii="Arial" w:hAnsi="Arial" w:cs="Arial"/>
          <w:b/>
          <w:sz w:val="24"/>
          <w:szCs w:val="24"/>
        </w:rPr>
        <w:t xml:space="preserve">interpuesta por </w:t>
      </w:r>
      <w:r w:rsidR="000E689C">
        <w:rPr>
          <w:rFonts w:ascii="Arial" w:hAnsi="Arial" w:cs="Arial"/>
          <w:b/>
          <w:sz w:val="24"/>
          <w:szCs w:val="24"/>
        </w:rPr>
        <w:t>la parte actora</w:t>
      </w:r>
      <w:r w:rsidR="00876B4A">
        <w:rPr>
          <w:rFonts w:ascii="Arial" w:eastAsia="Times New Roman" w:hAnsi="Arial" w:cs="Arial"/>
          <w:sz w:val="24"/>
          <w:szCs w:val="24"/>
          <w:lang w:val="es-ES" w:eastAsia="es-ES"/>
        </w:rPr>
        <w:t xml:space="preserve">, haciendo valer sus excepciones y defensas, </w:t>
      </w:r>
      <w:r w:rsidR="00876B4A">
        <w:rPr>
          <w:rFonts w:ascii="Arial" w:eastAsia="Times New Roman" w:hAnsi="Arial" w:cs="Arial"/>
          <w:sz w:val="24"/>
          <w:szCs w:val="24"/>
          <w:lang w:val="es-ES_tradnl" w:eastAsia="es-ES"/>
        </w:rPr>
        <w:t>por ofrecidas y admitidas sus pruebas,</w:t>
      </w:r>
      <w:r w:rsidR="005D0E58">
        <w:rPr>
          <w:rFonts w:ascii="Arial" w:eastAsia="Times New Roman" w:hAnsi="Arial" w:cs="Arial"/>
          <w:sz w:val="24"/>
          <w:szCs w:val="24"/>
          <w:lang w:val="es-ES_tradnl" w:eastAsia="es-ES"/>
        </w:rPr>
        <w:t xml:space="preserve"> ordenándose correr traslado a la parte actora para los efectos legales correspondientes; por lo que, se fijó día y hora</w:t>
      </w:r>
      <w:r w:rsidR="00876B4A">
        <w:rPr>
          <w:rFonts w:ascii="Arial" w:eastAsia="Times New Roman" w:hAnsi="Arial" w:cs="Arial"/>
          <w:sz w:val="24"/>
          <w:szCs w:val="24"/>
          <w:lang w:val="es-ES_tradnl" w:eastAsia="es-ES"/>
        </w:rPr>
        <w:t xml:space="preserve"> para que tuviera verificativo la audiencia de Ley (foja</w:t>
      </w:r>
      <w:r w:rsidR="005D0E58">
        <w:rPr>
          <w:rFonts w:ascii="Arial" w:eastAsia="Times New Roman" w:hAnsi="Arial" w:cs="Arial"/>
          <w:sz w:val="24"/>
          <w:szCs w:val="24"/>
          <w:lang w:val="es-ES_tradnl" w:eastAsia="es-ES"/>
        </w:rPr>
        <w:t xml:space="preserve"> 35</w:t>
      </w:r>
      <w:r w:rsidR="00876B4A">
        <w:rPr>
          <w:rFonts w:ascii="Arial" w:eastAsia="Times New Roman" w:hAnsi="Arial" w:cs="Arial"/>
          <w:sz w:val="24"/>
          <w:szCs w:val="24"/>
          <w:lang w:val="es-ES_tradnl" w:eastAsia="es-ES"/>
        </w:rPr>
        <w:t>).</w:t>
      </w:r>
    </w:p>
    <w:p w:rsidR="0087327E" w:rsidRDefault="0087327E" w:rsidP="0087327E">
      <w:pPr>
        <w:spacing w:line="360" w:lineRule="auto"/>
        <w:ind w:right="51" w:firstLine="567"/>
        <w:jc w:val="both"/>
        <w:rPr>
          <w:rFonts w:ascii="Arial" w:hAnsi="Arial" w:cs="Arial"/>
          <w:color w:val="000000"/>
          <w:sz w:val="24"/>
          <w:szCs w:val="24"/>
        </w:rPr>
      </w:pPr>
      <w:r w:rsidRPr="00010B2C">
        <w:rPr>
          <w:rFonts w:ascii="Arial" w:eastAsia="Times New Roman" w:hAnsi="Arial" w:cs="Arial"/>
          <w:b/>
          <w:sz w:val="24"/>
          <w:szCs w:val="24"/>
          <w:lang w:val="es-ES" w:eastAsia="es-ES"/>
        </w:rPr>
        <w:t xml:space="preserve">TERCERO. </w:t>
      </w:r>
      <w:r w:rsidRPr="00010B2C">
        <w:rPr>
          <w:rFonts w:ascii="Arial" w:eastAsia="Times New Roman" w:hAnsi="Arial" w:cs="Arial"/>
          <w:sz w:val="24"/>
          <w:szCs w:val="24"/>
          <w:lang w:val="es-ES" w:eastAsia="es-ES"/>
        </w:rPr>
        <w:t xml:space="preserve">El ocho de octubre de dos mil veintiuno, </w:t>
      </w:r>
      <w:r w:rsidRPr="00010B2C">
        <w:rPr>
          <w:rFonts w:ascii="Arial" w:eastAsia="Times New Roman" w:hAnsi="Arial" w:cs="Arial"/>
          <w:snapToGrid w:val="0"/>
          <w:sz w:val="24"/>
          <w:szCs w:val="24"/>
          <w:lang w:val="es-ES_tradnl" w:eastAsia="es-ES"/>
        </w:rPr>
        <w:t xml:space="preserve">se llevó a cabo la Audiencia de Ley, </w:t>
      </w:r>
      <w:r w:rsidRPr="00010B2C">
        <w:rPr>
          <w:rFonts w:ascii="Arial" w:eastAsia="Times New Roman" w:hAnsi="Arial" w:cs="Arial"/>
          <w:sz w:val="24"/>
          <w:szCs w:val="24"/>
          <w:lang w:eastAsia="es-ES"/>
        </w:rPr>
        <w:t xml:space="preserve">en la que no comparecieron las partes ni persona alguna que legalmente las representara; </w:t>
      </w:r>
      <w:r w:rsidRPr="00010B2C">
        <w:rPr>
          <w:rFonts w:ascii="Arial" w:hAnsi="Arial" w:cs="Arial"/>
          <w:sz w:val="24"/>
          <w:szCs w:val="24"/>
        </w:rPr>
        <w:t>la parte actora formuló alegatos, no así la autoridad demandada,</w:t>
      </w:r>
      <w:r w:rsidRPr="00010B2C">
        <w:rPr>
          <w:rFonts w:ascii="Arial" w:eastAsia="Times New Roman" w:hAnsi="Arial" w:cs="Arial"/>
          <w:color w:val="FF0000"/>
          <w:sz w:val="24"/>
          <w:szCs w:val="24"/>
          <w:lang w:eastAsia="es-ES"/>
        </w:rPr>
        <w:t xml:space="preserve"> </w:t>
      </w:r>
      <w:r w:rsidRPr="00010B2C">
        <w:rPr>
          <w:rFonts w:ascii="Arial" w:eastAsia="Times New Roman" w:hAnsi="Arial" w:cs="Arial"/>
          <w:sz w:val="24"/>
          <w:szCs w:val="24"/>
          <w:lang w:eastAsia="es-ES"/>
        </w:rPr>
        <w:t xml:space="preserve">y </w:t>
      </w:r>
      <w:r w:rsidRPr="00010B2C">
        <w:rPr>
          <w:rFonts w:ascii="Arial" w:eastAsia="Times New Roman" w:hAnsi="Arial" w:cs="Arial"/>
          <w:sz w:val="24"/>
          <w:szCs w:val="24"/>
          <w:lang w:val="es-ES_tradnl" w:eastAsia="es-ES"/>
        </w:rPr>
        <w:t>se citó para oír sentencia, misma que ahora se dicta dentro del término que establece el artículo 205, de la Ley de Procedimiento y Justicia Administrativa para el Estado</w:t>
      </w:r>
      <w:r w:rsidRPr="00010B2C">
        <w:rPr>
          <w:rFonts w:ascii="Arial" w:hAnsi="Arial" w:cs="Arial"/>
          <w:color w:val="000000"/>
          <w:sz w:val="24"/>
          <w:szCs w:val="24"/>
        </w:rPr>
        <w:t>, y; -</w:t>
      </w:r>
      <w:r w:rsidRPr="00E720B2">
        <w:rPr>
          <w:rFonts w:ascii="Arial" w:hAnsi="Arial" w:cs="Arial"/>
          <w:color w:val="000000"/>
          <w:sz w:val="24"/>
          <w:szCs w:val="24"/>
        </w:rPr>
        <w:t xml:space="preserve"> - - - </w:t>
      </w:r>
    </w:p>
    <w:p w:rsidR="00FA5F9A" w:rsidRPr="00C97157" w:rsidRDefault="000802F9" w:rsidP="001E57CA">
      <w:pPr>
        <w:spacing w:line="360" w:lineRule="auto"/>
        <w:ind w:right="51"/>
        <w:jc w:val="center"/>
        <w:rPr>
          <w:rFonts w:ascii="Arial" w:eastAsia="Times New Roman" w:hAnsi="Arial" w:cs="Arial"/>
          <w:b/>
          <w:bCs/>
          <w:sz w:val="24"/>
          <w:szCs w:val="24"/>
          <w:lang w:val="es-ES_tradnl" w:eastAsia="es-ES"/>
        </w:rPr>
      </w:pPr>
      <w:r w:rsidRPr="00FC3A41">
        <w:rPr>
          <w:rFonts w:ascii="Arial" w:eastAsia="Times New Roman" w:hAnsi="Arial" w:cs="Arial"/>
          <w:b/>
          <w:bCs/>
          <w:sz w:val="24"/>
          <w:szCs w:val="24"/>
          <w:lang w:val="es-ES_tradnl" w:eastAsia="es-ES"/>
        </w:rPr>
        <w:t>C O N S I D E R A N D O:</w:t>
      </w:r>
    </w:p>
    <w:p w:rsidR="00F71DEC" w:rsidRDefault="00E3495D" w:rsidP="00F71DEC">
      <w:pPr>
        <w:pStyle w:val="Textoindependienteprimerasangra"/>
        <w:spacing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00F71DEC">
        <w:rPr>
          <w:rFonts w:ascii="Arial" w:eastAsia="Times New Roman" w:hAnsi="Arial" w:cs="Arial"/>
          <w:bCs/>
          <w:sz w:val="24"/>
          <w:szCs w:val="24"/>
          <w:lang w:val="es-ES" w:eastAsia="es-ES"/>
        </w:rPr>
        <w:t xml:space="preserve">Esta </w:t>
      </w:r>
      <w:r w:rsidR="00F71DEC">
        <w:rPr>
          <w:rFonts w:ascii="Arial" w:hAnsi="Arial" w:cs="Arial"/>
          <w:sz w:val="24"/>
          <w:szCs w:val="24"/>
        </w:rPr>
        <w:t xml:space="preserve">Cuarta Sala Unitaria de Primera Instancia del Tribunal de Justicia Administrativa del Estado, </w:t>
      </w:r>
      <w:r w:rsidR="00F71DEC" w:rsidRPr="00D9348D">
        <w:rPr>
          <w:rFonts w:ascii="Arial" w:eastAsia="Times New Roman" w:hAnsi="Arial" w:cs="Arial"/>
          <w:b/>
          <w:bCs/>
          <w:sz w:val="24"/>
          <w:szCs w:val="24"/>
          <w:lang w:val="es-ES" w:eastAsia="es-ES"/>
        </w:rPr>
        <w:t>es competente</w:t>
      </w:r>
      <w:r w:rsidR="00F71DEC">
        <w:rPr>
          <w:rFonts w:ascii="Arial" w:eastAsia="Times New Roman" w:hAnsi="Arial" w:cs="Arial"/>
          <w:bCs/>
          <w:sz w:val="24"/>
          <w:szCs w:val="24"/>
          <w:lang w:val="es-ES" w:eastAsia="es-ES"/>
        </w:rPr>
        <w:t xml:space="preserve"> para conocer y resolver el presente juicio de nulidad promovido en contra de un acto atribuido a autoridad</w:t>
      </w:r>
      <w:r w:rsidR="00734CC5">
        <w:rPr>
          <w:rFonts w:ascii="Arial" w:eastAsia="Times New Roman" w:hAnsi="Arial" w:cs="Arial"/>
          <w:bCs/>
          <w:sz w:val="24"/>
          <w:szCs w:val="24"/>
          <w:lang w:val="es-ES" w:eastAsia="es-ES"/>
        </w:rPr>
        <w:t xml:space="preserve">es </w:t>
      </w:r>
      <w:r w:rsidR="00734CC5">
        <w:rPr>
          <w:rFonts w:ascii="Arial" w:eastAsia="Times New Roman" w:hAnsi="Arial" w:cs="Arial"/>
          <w:bCs/>
          <w:sz w:val="24"/>
          <w:szCs w:val="24"/>
          <w:lang w:val="es-ES" w:eastAsia="es-ES"/>
        </w:rPr>
        <w:lastRenderedPageBreak/>
        <w:t xml:space="preserve">administrativas de carácter </w:t>
      </w:r>
      <w:r w:rsidR="0018179A">
        <w:rPr>
          <w:rFonts w:ascii="Arial" w:eastAsia="Times New Roman" w:hAnsi="Arial" w:cs="Arial"/>
          <w:bCs/>
          <w:sz w:val="24"/>
          <w:szCs w:val="24"/>
          <w:lang w:val="es-ES" w:eastAsia="es-ES"/>
        </w:rPr>
        <w:t>municipal</w:t>
      </w:r>
      <w:r w:rsidR="00F71DEC">
        <w:rPr>
          <w:rFonts w:ascii="Arial" w:eastAsia="Times New Roman" w:hAnsi="Arial" w:cs="Arial"/>
          <w:bCs/>
          <w:sz w:val="24"/>
          <w:szCs w:val="24"/>
          <w:lang w:val="es-ES" w:eastAsia="es-ES"/>
        </w:rPr>
        <w:t xml:space="preserve">, de conformidad con lo dispuesto por el artículo 114 QUÁTER, de </w:t>
      </w:r>
      <w:r w:rsidR="00F71DEC">
        <w:rPr>
          <w:rFonts w:ascii="Arial" w:hAnsi="Arial" w:cs="Arial"/>
          <w:sz w:val="24"/>
          <w:szCs w:val="24"/>
        </w:rPr>
        <w:t xml:space="preserve">la Constitución Política del Estado Libre y Soberano de Oaxaca, en relación con los artículos 119, 120 fracción IV, 129, 132 fracciones I y II, 133 </w:t>
      </w:r>
      <w:r w:rsidR="00135490">
        <w:rPr>
          <w:rFonts w:ascii="Arial" w:hAnsi="Arial" w:cs="Arial"/>
          <w:sz w:val="24"/>
          <w:szCs w:val="24"/>
        </w:rPr>
        <w:t>fracción I</w:t>
      </w:r>
      <w:r w:rsidR="00F71DEC">
        <w:rPr>
          <w:rFonts w:ascii="Arial" w:hAnsi="Arial" w:cs="Arial"/>
          <w:sz w:val="24"/>
          <w:szCs w:val="24"/>
        </w:rPr>
        <w:t xml:space="preserve">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rsidR="00B94A85" w:rsidRDefault="000802F9" w:rsidP="00B94A85">
      <w:pPr>
        <w:spacing w:line="360" w:lineRule="auto"/>
        <w:ind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w:t>
      </w:r>
      <w:r w:rsidR="0093464F">
        <w:rPr>
          <w:rFonts w:ascii="Arial" w:eastAsia="Times New Roman" w:hAnsi="Arial" w:cs="Arial"/>
          <w:sz w:val="24"/>
          <w:szCs w:val="24"/>
          <w:lang w:val="es-ES_tradnl" w:eastAsia="es-ES"/>
        </w:rPr>
        <w:t>de</w:t>
      </w:r>
      <w:r w:rsidR="00E87191">
        <w:rPr>
          <w:rFonts w:ascii="Arial" w:eastAsia="Times New Roman" w:hAnsi="Arial" w:cs="Arial"/>
          <w:sz w:val="24"/>
          <w:szCs w:val="24"/>
          <w:lang w:val="es-ES_tradnl" w:eastAsia="es-ES"/>
        </w:rPr>
        <w:t xml:space="preserve"> </w:t>
      </w:r>
      <w:r w:rsidR="0093464F">
        <w:rPr>
          <w:rFonts w:ascii="Arial" w:eastAsia="Times New Roman" w:hAnsi="Arial" w:cs="Arial"/>
          <w:sz w:val="24"/>
          <w:szCs w:val="24"/>
          <w:lang w:val="es-ES_tradnl" w:eastAsia="es-ES"/>
        </w:rPr>
        <w:t>l</w:t>
      </w:r>
      <w:r w:rsidR="00E87191">
        <w:rPr>
          <w:rFonts w:ascii="Arial" w:eastAsia="Times New Roman" w:hAnsi="Arial" w:cs="Arial"/>
          <w:sz w:val="24"/>
          <w:szCs w:val="24"/>
          <w:lang w:val="es-ES_tradnl" w:eastAsia="es-ES"/>
        </w:rPr>
        <w:t>a</w:t>
      </w:r>
      <w:r w:rsidR="00E3495D">
        <w:rPr>
          <w:rFonts w:ascii="Arial" w:eastAsia="Times New Roman" w:hAnsi="Arial" w:cs="Arial"/>
          <w:sz w:val="24"/>
          <w:szCs w:val="24"/>
          <w:lang w:val="es-ES_tradnl" w:eastAsia="es-ES"/>
        </w:rPr>
        <w:t xml:space="preserve"> </w:t>
      </w:r>
      <w:r w:rsidR="00E3495D" w:rsidRPr="00E3495D">
        <w:rPr>
          <w:rFonts w:ascii="Arial" w:eastAsia="Times New Roman" w:hAnsi="Arial" w:cs="Arial"/>
          <w:b/>
          <w:sz w:val="24"/>
          <w:szCs w:val="24"/>
          <w:lang w:val="es-ES_tradnl" w:eastAsia="es-ES"/>
        </w:rPr>
        <w:t>actor</w:t>
      </w:r>
      <w:r w:rsidR="00E87191">
        <w:rPr>
          <w:rFonts w:ascii="Arial" w:eastAsia="Times New Roman" w:hAnsi="Arial" w:cs="Arial"/>
          <w:b/>
          <w:sz w:val="24"/>
          <w:szCs w:val="24"/>
          <w:lang w:val="es-ES_tradnl" w:eastAsia="es-ES"/>
        </w:rPr>
        <w:t>a</w:t>
      </w:r>
      <w:r w:rsidR="005666BA">
        <w:rPr>
          <w:rFonts w:ascii="Arial" w:eastAsia="Times New Roman" w:hAnsi="Arial" w:cs="Arial"/>
          <w:b/>
          <w:sz w:val="24"/>
          <w:szCs w:val="24"/>
          <w:lang w:val="es-ES_tradnl" w:eastAsia="es-ES"/>
        </w:rPr>
        <w:t xml:space="preserve"> </w:t>
      </w:r>
      <w:r w:rsidR="0058238C">
        <w:rPr>
          <w:rFonts w:ascii="Arial" w:eastAsia="Times New Roman" w:hAnsi="Arial" w:cs="Arial"/>
          <w:sz w:val="24"/>
          <w:szCs w:val="24"/>
          <w:lang w:val="es-ES_tradnl" w:eastAsia="es-ES"/>
        </w:rPr>
        <w:t>quedó acreditada en términos del artículo</w:t>
      </w:r>
      <w:r w:rsidR="0058238C" w:rsidRPr="000F1C72">
        <w:rPr>
          <w:rFonts w:ascii="Arial" w:eastAsia="Times New Roman" w:hAnsi="Arial" w:cs="Arial"/>
          <w:sz w:val="24"/>
          <w:szCs w:val="24"/>
          <w:lang w:val="es-ES_tradnl" w:eastAsia="es-ES"/>
        </w:rPr>
        <w:t xml:space="preserve"> </w:t>
      </w:r>
      <w:r w:rsidR="00781F5F">
        <w:rPr>
          <w:rFonts w:ascii="Arial" w:eastAsia="Times New Roman" w:hAnsi="Arial" w:cs="Arial"/>
          <w:sz w:val="24"/>
          <w:szCs w:val="24"/>
          <w:lang w:val="es-ES_tradnl" w:eastAsia="es-ES"/>
        </w:rPr>
        <w:t>148</w:t>
      </w:r>
      <w:r w:rsidR="0058238C" w:rsidRPr="000F1C72">
        <w:rPr>
          <w:rFonts w:ascii="Arial" w:eastAsia="Times New Roman" w:hAnsi="Arial" w:cs="Arial"/>
          <w:sz w:val="24"/>
          <w:szCs w:val="24"/>
          <w:lang w:val="es-ES_tradnl" w:eastAsia="es-ES"/>
        </w:rPr>
        <w:t xml:space="preserve">, de la Ley de </w:t>
      </w:r>
      <w:r w:rsidR="00781F5F">
        <w:rPr>
          <w:rFonts w:ascii="Arial" w:eastAsia="Times New Roman" w:hAnsi="Arial" w:cs="Arial"/>
          <w:sz w:val="24"/>
          <w:szCs w:val="24"/>
          <w:lang w:val="es-ES_tradnl" w:eastAsia="es-ES"/>
        </w:rPr>
        <w:t xml:space="preserve">Procedimiento y Justicia Administrativa </w:t>
      </w:r>
      <w:r w:rsidR="00B94A85">
        <w:rPr>
          <w:rFonts w:ascii="Arial" w:eastAsia="Times New Roman" w:hAnsi="Arial" w:cs="Arial"/>
          <w:sz w:val="24"/>
          <w:szCs w:val="24"/>
          <w:lang w:val="es-ES_tradnl" w:eastAsia="es-ES"/>
        </w:rPr>
        <w:t>para el Estado, ya que promueve</w:t>
      </w:r>
      <w:r w:rsidR="00781F5F">
        <w:rPr>
          <w:rFonts w:ascii="Arial" w:eastAsia="Times New Roman" w:hAnsi="Arial" w:cs="Arial"/>
          <w:sz w:val="24"/>
          <w:szCs w:val="24"/>
          <w:lang w:val="es-ES_tradnl" w:eastAsia="es-ES"/>
        </w:rPr>
        <w:t xml:space="preserve"> por su propio derecho; </w:t>
      </w:r>
      <w:r w:rsidR="00B94A85">
        <w:rPr>
          <w:rFonts w:ascii="Arial" w:eastAsia="Times New Roman" w:hAnsi="Arial" w:cs="Arial"/>
          <w:sz w:val="24"/>
          <w:szCs w:val="24"/>
          <w:lang w:val="es-ES_tradnl" w:eastAsia="es-ES"/>
        </w:rPr>
        <w:t xml:space="preserve">y </w:t>
      </w:r>
      <w:r w:rsidR="001217D0">
        <w:rPr>
          <w:rFonts w:ascii="Arial" w:eastAsia="Times New Roman" w:hAnsi="Arial" w:cs="Arial"/>
          <w:sz w:val="24"/>
          <w:szCs w:val="24"/>
          <w:lang w:val="es-ES_tradnl" w:eastAsia="es-ES"/>
        </w:rPr>
        <w:t xml:space="preserve">de </w:t>
      </w:r>
      <w:r w:rsidR="00B94A85">
        <w:rPr>
          <w:rFonts w:ascii="Arial" w:eastAsia="Times New Roman" w:hAnsi="Arial" w:cs="Arial"/>
          <w:sz w:val="24"/>
          <w:szCs w:val="24"/>
          <w:lang w:val="es-ES_tradnl" w:eastAsia="es-ES"/>
        </w:rPr>
        <w:t xml:space="preserve">la </w:t>
      </w:r>
      <w:r w:rsidR="00B94A85">
        <w:rPr>
          <w:rFonts w:ascii="Arial" w:eastAsia="Times New Roman" w:hAnsi="Arial" w:cs="Arial"/>
          <w:b/>
          <w:sz w:val="24"/>
          <w:szCs w:val="24"/>
          <w:lang w:val="es-ES_tradnl" w:eastAsia="es-ES"/>
        </w:rPr>
        <w:t>autoridad demandada</w:t>
      </w:r>
      <w:r w:rsidR="001217D0">
        <w:rPr>
          <w:rFonts w:ascii="Arial" w:eastAsia="Times New Roman" w:hAnsi="Arial" w:cs="Arial"/>
          <w:b/>
          <w:sz w:val="24"/>
          <w:szCs w:val="24"/>
          <w:lang w:val="es-ES_tradnl" w:eastAsia="es-ES"/>
        </w:rPr>
        <w:t xml:space="preserve">, </w:t>
      </w:r>
      <w:r w:rsidR="00B94A85">
        <w:rPr>
          <w:rFonts w:ascii="Arial" w:eastAsia="Times New Roman" w:hAnsi="Arial" w:cs="Arial"/>
          <w:sz w:val="24"/>
          <w:szCs w:val="24"/>
          <w:lang w:val="es-ES_tradnl" w:eastAsia="es-ES"/>
        </w:rPr>
        <w:t xml:space="preserve">la </w:t>
      </w:r>
      <w:r w:rsidR="001217D0">
        <w:rPr>
          <w:rFonts w:ascii="Arial" w:eastAsia="Times New Roman" w:hAnsi="Arial" w:cs="Arial"/>
          <w:sz w:val="24"/>
          <w:szCs w:val="24"/>
          <w:lang w:val="es-ES_tradnl" w:eastAsia="es-ES"/>
        </w:rPr>
        <w:t>acredit</w:t>
      </w:r>
      <w:r w:rsidR="00520EB3">
        <w:rPr>
          <w:rFonts w:ascii="Arial" w:eastAsia="Times New Roman" w:hAnsi="Arial" w:cs="Arial"/>
          <w:sz w:val="24"/>
          <w:szCs w:val="24"/>
          <w:lang w:val="es-ES_tradnl" w:eastAsia="es-ES"/>
        </w:rPr>
        <w:t>ó</w:t>
      </w:r>
      <w:r w:rsidR="001217D0">
        <w:rPr>
          <w:rFonts w:ascii="Arial" w:eastAsia="Times New Roman" w:hAnsi="Arial" w:cs="Arial"/>
          <w:sz w:val="24"/>
          <w:szCs w:val="24"/>
          <w:lang w:val="es-ES_tradnl" w:eastAsia="es-ES"/>
        </w:rPr>
        <w:t xml:space="preserve"> </w:t>
      </w:r>
      <w:r w:rsidR="00B94A85">
        <w:rPr>
          <w:rFonts w:ascii="Arial" w:eastAsia="Times New Roman" w:hAnsi="Arial" w:cs="Arial"/>
          <w:sz w:val="24"/>
          <w:szCs w:val="24"/>
          <w:lang w:val="es-ES_tradnl" w:eastAsia="es-ES"/>
        </w:rPr>
        <w:t xml:space="preserve">en términos del artículo </w:t>
      </w:r>
      <w:r w:rsidR="00B94A85" w:rsidRPr="00135490">
        <w:rPr>
          <w:rFonts w:ascii="Arial" w:eastAsia="Times New Roman" w:hAnsi="Arial" w:cs="Arial"/>
          <w:color w:val="0D0D0D" w:themeColor="text1" w:themeTint="F2"/>
          <w:sz w:val="24"/>
          <w:szCs w:val="24"/>
          <w:lang w:val="es-ES_tradnl" w:eastAsia="es-ES"/>
        </w:rPr>
        <w:t>151</w:t>
      </w:r>
      <w:r w:rsidR="00B94A85" w:rsidRPr="00B94A85">
        <w:rPr>
          <w:rFonts w:ascii="Arial" w:eastAsia="Times New Roman" w:hAnsi="Arial" w:cs="Arial"/>
          <w:color w:val="FF0000"/>
          <w:sz w:val="24"/>
          <w:szCs w:val="24"/>
          <w:lang w:val="es-ES_tradnl" w:eastAsia="es-ES"/>
        </w:rPr>
        <w:t xml:space="preserve"> </w:t>
      </w:r>
      <w:r w:rsidR="00B94A85">
        <w:rPr>
          <w:rFonts w:ascii="Arial" w:eastAsia="Times New Roman" w:hAnsi="Arial" w:cs="Arial"/>
          <w:sz w:val="24"/>
          <w:szCs w:val="24"/>
          <w:lang w:val="es-ES_tradnl" w:eastAsia="es-ES"/>
        </w:rPr>
        <w:t>de la Ley citada.</w:t>
      </w:r>
    </w:p>
    <w:p w:rsidR="002C5092" w:rsidRDefault="002C5092" w:rsidP="002C5092">
      <w:pPr>
        <w:spacing w:line="360" w:lineRule="auto"/>
        <w:ind w:firstLine="567"/>
        <w:jc w:val="both"/>
        <w:rPr>
          <w:rFonts w:ascii="Arial" w:eastAsia="Times New Roman" w:hAnsi="Arial" w:cs="Arial"/>
          <w:bCs/>
          <w:sz w:val="24"/>
          <w:szCs w:val="24"/>
          <w:lang w:eastAsia="es-ES"/>
        </w:rPr>
      </w:pPr>
      <w:r>
        <w:rPr>
          <w:rFonts w:ascii="Arial" w:eastAsia="Times New Roman" w:hAnsi="Arial" w:cs="Arial"/>
          <w:b/>
          <w:sz w:val="24"/>
          <w:szCs w:val="24"/>
          <w:lang w:val="es-ES_tradnl" w:eastAsia="es-ES"/>
        </w:rPr>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161 y 162, de la ley de la materia.</w:t>
      </w:r>
    </w:p>
    <w:p w:rsidR="002C5092" w:rsidRDefault="002C5092" w:rsidP="002C5092">
      <w:pPr>
        <w:spacing w:line="360" w:lineRule="auto"/>
        <w:ind w:firstLine="567"/>
        <w:jc w:val="both"/>
        <w:rPr>
          <w:rFonts w:ascii="Arial" w:hAnsi="Arial" w:cs="Arial"/>
          <w:sz w:val="24"/>
          <w:szCs w:val="24"/>
        </w:rPr>
      </w:pPr>
      <w:r>
        <w:rPr>
          <w:rFonts w:ascii="Arial" w:hAnsi="Arial" w:cs="Arial"/>
          <w:sz w:val="24"/>
          <w:szCs w:val="24"/>
        </w:rPr>
        <w:t xml:space="preserve">La </w:t>
      </w:r>
      <w:r>
        <w:rPr>
          <w:rFonts w:ascii="Arial" w:eastAsia="Times New Roman" w:hAnsi="Arial" w:cs="Arial"/>
          <w:bCs/>
          <w:sz w:val="24"/>
          <w:szCs w:val="24"/>
          <w:lang w:val="es-ES_tradnl" w:eastAsia="es-ES"/>
        </w:rPr>
        <w:t>Policía V</w:t>
      </w:r>
      <w:r w:rsidR="00135490">
        <w:rPr>
          <w:rFonts w:ascii="Arial" w:eastAsia="Times New Roman" w:hAnsi="Arial" w:cs="Arial"/>
          <w:bCs/>
          <w:sz w:val="24"/>
          <w:szCs w:val="24"/>
          <w:lang w:val="es-ES_tradnl" w:eastAsia="es-ES"/>
        </w:rPr>
        <w:t>ial con número estadístico PV-260</w:t>
      </w:r>
      <w:r>
        <w:rPr>
          <w:rFonts w:ascii="Arial" w:eastAsia="Times New Roman" w:hAnsi="Arial" w:cs="Arial"/>
          <w:bCs/>
          <w:sz w:val="24"/>
          <w:szCs w:val="24"/>
          <w:lang w:val="es-ES_tradnl" w:eastAsia="es-ES"/>
        </w:rPr>
        <w:t>, adscrita a la Subdirección de Tránsito y Movilidad del Municipio de Oaxaca de Juárez, Oaxaca</w:t>
      </w:r>
      <w:r>
        <w:rPr>
          <w:rFonts w:ascii="Arial" w:hAnsi="Arial" w:cs="Arial"/>
          <w:bCs/>
          <w:sz w:val="24"/>
          <w:szCs w:val="24"/>
        </w:rPr>
        <w:t>,</w:t>
      </w:r>
      <w:r>
        <w:rPr>
          <w:rFonts w:ascii="Arial" w:hAnsi="Arial" w:cs="Arial"/>
          <w:sz w:val="24"/>
          <w:szCs w:val="24"/>
        </w:rPr>
        <w:t xml:space="preserve"> hizo valer como causales de improcedencia las contenidas en las fracciones V, VI y X del artículo 161 de la Ley de Procedimiento y Justicia Administrativa del Estado de Oaxaca, que indican:</w:t>
      </w:r>
    </w:p>
    <w:p w:rsidR="002C5092" w:rsidRDefault="002C5092" w:rsidP="002C5092">
      <w:pPr>
        <w:spacing w:line="240" w:lineRule="auto"/>
        <w:ind w:left="851" w:right="425"/>
        <w:jc w:val="both"/>
        <w:rPr>
          <w:rFonts w:ascii="Arial" w:hAnsi="Arial" w:cs="Arial"/>
          <w:i/>
          <w:szCs w:val="21"/>
        </w:rPr>
      </w:pPr>
      <w:r>
        <w:rPr>
          <w:rFonts w:ascii="Arial" w:hAnsi="Arial" w:cs="Arial"/>
          <w:i/>
          <w:szCs w:val="21"/>
        </w:rPr>
        <w:t>“</w:t>
      </w:r>
      <w:r>
        <w:rPr>
          <w:rFonts w:ascii="Arial" w:hAnsi="Arial" w:cs="Arial"/>
          <w:b/>
          <w:i/>
          <w:szCs w:val="21"/>
        </w:rPr>
        <w:t>Artículo 161</w:t>
      </w:r>
      <w:r>
        <w:rPr>
          <w:rFonts w:ascii="Arial" w:hAnsi="Arial" w:cs="Arial"/>
          <w:i/>
          <w:szCs w:val="21"/>
        </w:rPr>
        <w:t xml:space="preserve">. Es improcedente el juicio ante el Tribunal de lo Contencioso Administrativo contra actos: </w:t>
      </w:r>
    </w:p>
    <w:p w:rsidR="002C5092" w:rsidRDefault="002C5092" w:rsidP="002C5092">
      <w:pPr>
        <w:spacing w:line="240" w:lineRule="auto"/>
        <w:ind w:left="851" w:right="425"/>
        <w:jc w:val="both"/>
        <w:rPr>
          <w:rFonts w:ascii="Arial" w:hAnsi="Arial" w:cs="Arial"/>
          <w:i/>
          <w:szCs w:val="21"/>
        </w:rPr>
      </w:pPr>
      <w:r>
        <w:rPr>
          <w:rFonts w:ascii="Arial" w:hAnsi="Arial" w:cs="Arial"/>
          <w:i/>
          <w:szCs w:val="21"/>
        </w:rPr>
        <w:t>(…)</w:t>
      </w:r>
    </w:p>
    <w:p w:rsidR="002C5092" w:rsidRDefault="002C5092" w:rsidP="002C5092">
      <w:pPr>
        <w:spacing w:line="240" w:lineRule="auto"/>
        <w:ind w:left="851" w:right="425"/>
        <w:jc w:val="both"/>
        <w:rPr>
          <w:rFonts w:ascii="Arial" w:hAnsi="Arial" w:cs="Arial"/>
          <w:i/>
          <w:szCs w:val="21"/>
        </w:rPr>
      </w:pPr>
      <w:r>
        <w:rPr>
          <w:rFonts w:ascii="Arial" w:hAnsi="Arial" w:cs="Arial"/>
          <w:b/>
          <w:i/>
          <w:szCs w:val="21"/>
        </w:rPr>
        <w:t>V.</w:t>
      </w:r>
      <w:r>
        <w:rPr>
          <w:rFonts w:ascii="Arial" w:hAnsi="Arial" w:cs="Arial"/>
          <w:i/>
          <w:szCs w:val="21"/>
        </w:rPr>
        <w:t xml:space="preserve"> Contra actos consumados de un modo irreparable;</w:t>
      </w:r>
    </w:p>
    <w:p w:rsidR="002C5092" w:rsidRDefault="002C5092" w:rsidP="002C5092">
      <w:pPr>
        <w:spacing w:line="240" w:lineRule="auto"/>
        <w:ind w:left="851" w:right="425"/>
        <w:jc w:val="both"/>
        <w:rPr>
          <w:rFonts w:ascii="Arial" w:hAnsi="Arial" w:cs="Arial"/>
          <w:i/>
          <w:szCs w:val="21"/>
        </w:rPr>
      </w:pPr>
      <w:r>
        <w:rPr>
          <w:rFonts w:ascii="Arial" w:hAnsi="Arial" w:cs="Arial"/>
          <w:b/>
          <w:i/>
          <w:szCs w:val="21"/>
        </w:rPr>
        <w:t>VI.</w:t>
      </w:r>
      <w:r>
        <w:rPr>
          <w:rFonts w:ascii="Arial" w:hAnsi="Arial" w:cs="Arial"/>
          <w:i/>
          <w:szCs w:val="21"/>
        </w:rPr>
        <w:t xml:space="preserve"> Contra actos consentidos expresamente o por manifestaciones de voluntad que entrañen ese consentimiento, entendiéndose por éstos últimos, en contra de los cuales no se promueva el juicio dentro del término que para tal efecto señale esta Ley; </w:t>
      </w:r>
    </w:p>
    <w:p w:rsidR="002C5092" w:rsidRDefault="002C5092" w:rsidP="002C5092">
      <w:pPr>
        <w:spacing w:line="240" w:lineRule="auto"/>
        <w:ind w:left="851" w:right="425"/>
        <w:jc w:val="both"/>
        <w:rPr>
          <w:rFonts w:ascii="Arial" w:hAnsi="Arial" w:cs="Arial"/>
          <w:i/>
          <w:szCs w:val="21"/>
        </w:rPr>
      </w:pPr>
      <w:r>
        <w:rPr>
          <w:rFonts w:ascii="Arial" w:hAnsi="Arial" w:cs="Arial"/>
          <w:i/>
          <w:szCs w:val="21"/>
        </w:rPr>
        <w:t>(…)</w:t>
      </w:r>
    </w:p>
    <w:p w:rsidR="002C5092" w:rsidRDefault="002C5092" w:rsidP="002C5092">
      <w:pPr>
        <w:spacing w:before="240" w:line="240" w:lineRule="auto"/>
        <w:ind w:left="851" w:right="425"/>
        <w:jc w:val="both"/>
        <w:rPr>
          <w:rFonts w:ascii="Arial" w:hAnsi="Arial" w:cs="Arial"/>
          <w:i/>
          <w:szCs w:val="21"/>
        </w:rPr>
      </w:pPr>
      <w:r>
        <w:rPr>
          <w:rFonts w:ascii="Arial" w:hAnsi="Arial" w:cs="Arial"/>
          <w:b/>
          <w:i/>
          <w:szCs w:val="21"/>
        </w:rPr>
        <w:t>X.</w:t>
      </w:r>
      <w:r>
        <w:rPr>
          <w:rFonts w:ascii="Arial" w:hAnsi="Arial" w:cs="Arial"/>
          <w:i/>
          <w:szCs w:val="21"/>
        </w:rPr>
        <w:t xml:space="preserve"> En los demás casos en que la improcedencia resulte de alguna disposición de esta Ley o de cualquiera otra de naturaleza administrativa.</w:t>
      </w:r>
    </w:p>
    <w:p w:rsidR="002C5092" w:rsidRDefault="002C5092" w:rsidP="002C5092">
      <w:pPr>
        <w:spacing w:before="240" w:after="0" w:line="240" w:lineRule="auto"/>
        <w:ind w:left="567" w:right="283"/>
        <w:jc w:val="both"/>
        <w:rPr>
          <w:rFonts w:ascii="Arial" w:hAnsi="Arial" w:cs="Arial"/>
          <w:sz w:val="21"/>
          <w:szCs w:val="21"/>
        </w:rPr>
      </w:pPr>
    </w:p>
    <w:p w:rsidR="002C5092" w:rsidRDefault="002C5092" w:rsidP="002C5092">
      <w:pPr>
        <w:spacing w:line="360" w:lineRule="auto"/>
        <w:ind w:right="51" w:firstLine="567"/>
        <w:jc w:val="both"/>
        <w:rPr>
          <w:rFonts w:ascii="Arial" w:hAnsi="Arial" w:cs="Arial"/>
          <w:sz w:val="24"/>
          <w:szCs w:val="24"/>
        </w:rPr>
      </w:pPr>
      <w:r>
        <w:rPr>
          <w:rFonts w:ascii="Arial" w:hAnsi="Arial" w:cs="Arial"/>
          <w:sz w:val="24"/>
          <w:szCs w:val="24"/>
        </w:rPr>
        <w:t xml:space="preserve">La </w:t>
      </w:r>
      <w:r>
        <w:rPr>
          <w:rFonts w:ascii="Arial" w:hAnsi="Arial" w:cs="Arial"/>
          <w:b/>
          <w:sz w:val="24"/>
          <w:szCs w:val="24"/>
        </w:rPr>
        <w:t>causal señalada en la fracción V</w:t>
      </w:r>
      <w:r>
        <w:rPr>
          <w:rFonts w:ascii="Arial" w:hAnsi="Arial" w:cs="Arial"/>
          <w:sz w:val="24"/>
          <w:szCs w:val="24"/>
        </w:rPr>
        <w:t xml:space="preserve"> del artículo trans</w:t>
      </w:r>
      <w:r w:rsidR="00CD2153">
        <w:rPr>
          <w:rFonts w:ascii="Arial" w:hAnsi="Arial" w:cs="Arial"/>
          <w:sz w:val="24"/>
          <w:szCs w:val="24"/>
        </w:rPr>
        <w:t>crito no se configura, ya que la</w:t>
      </w:r>
      <w:r>
        <w:rPr>
          <w:rFonts w:ascii="Arial" w:hAnsi="Arial" w:cs="Arial"/>
          <w:sz w:val="24"/>
          <w:szCs w:val="24"/>
        </w:rPr>
        <w:t xml:space="preserve"> actor</w:t>
      </w:r>
      <w:r w:rsidR="00CD2153">
        <w:rPr>
          <w:rFonts w:ascii="Arial" w:hAnsi="Arial" w:cs="Arial"/>
          <w:sz w:val="24"/>
          <w:szCs w:val="24"/>
        </w:rPr>
        <w:t>a</w:t>
      </w:r>
      <w:r>
        <w:rPr>
          <w:rFonts w:ascii="Arial" w:hAnsi="Arial" w:cs="Arial"/>
          <w:sz w:val="24"/>
          <w:szCs w:val="24"/>
        </w:rPr>
        <w:t xml:space="preserve"> impugna la nulidad del acta de infracción con número de folio </w:t>
      </w:r>
      <w:r w:rsidR="00402902">
        <w:rPr>
          <w:rFonts w:ascii="Arial" w:eastAsia="Times New Roman" w:hAnsi="Arial" w:cs="Arial"/>
          <w:bCs/>
          <w:iCs/>
          <w:caps/>
          <w:kern w:val="2"/>
          <w:sz w:val="24"/>
          <w:szCs w:val="24"/>
          <w:lang w:val="es-ES_tradnl" w:eastAsia="es-ES"/>
        </w:rPr>
        <w:t>**********</w:t>
      </w:r>
      <w:r>
        <w:rPr>
          <w:rFonts w:ascii="Arial" w:hAnsi="Arial" w:cs="Arial"/>
          <w:b/>
          <w:sz w:val="24"/>
          <w:szCs w:val="24"/>
        </w:rPr>
        <w:t xml:space="preserve"> </w:t>
      </w:r>
      <w:r>
        <w:rPr>
          <w:rFonts w:ascii="Arial" w:hAnsi="Arial" w:cs="Arial"/>
          <w:sz w:val="24"/>
          <w:szCs w:val="24"/>
        </w:rPr>
        <w:t xml:space="preserve">de </w:t>
      </w:r>
      <w:r w:rsidR="00032C60">
        <w:rPr>
          <w:rFonts w:ascii="Arial" w:hAnsi="Arial" w:cs="Arial"/>
          <w:sz w:val="24"/>
          <w:szCs w:val="24"/>
        </w:rPr>
        <w:t>diecinueve de noviembre</w:t>
      </w:r>
      <w:r w:rsidR="00674B21">
        <w:rPr>
          <w:rFonts w:ascii="Arial" w:hAnsi="Arial" w:cs="Arial"/>
          <w:sz w:val="24"/>
          <w:szCs w:val="24"/>
        </w:rPr>
        <w:t xml:space="preserve"> </w:t>
      </w:r>
      <w:r>
        <w:rPr>
          <w:rFonts w:ascii="Arial" w:hAnsi="Arial" w:cs="Arial"/>
          <w:sz w:val="24"/>
          <w:szCs w:val="24"/>
        </w:rPr>
        <w:t>de dos mil veinte, debido a que le causa una afectación real y eminente a su esfera jurídica y solicita que se restituyan las cosas al estado que guardaban antes de cometidas las violaciones que se reclama, con la finalidad de que se le reintegre en el goce y disfrute de sus derechos; en consecuencia, no es un acto consumado.</w:t>
      </w:r>
    </w:p>
    <w:p w:rsidR="002C5092" w:rsidRDefault="002C5092" w:rsidP="002C5092">
      <w:pPr>
        <w:spacing w:line="360" w:lineRule="auto"/>
        <w:ind w:right="51" w:firstLine="567"/>
        <w:jc w:val="both"/>
        <w:rPr>
          <w:rFonts w:ascii="Arial" w:hAnsi="Arial" w:cs="Arial"/>
          <w:sz w:val="24"/>
          <w:szCs w:val="24"/>
        </w:rPr>
      </w:pPr>
      <w:r>
        <w:rPr>
          <w:rFonts w:ascii="Arial" w:hAnsi="Arial" w:cs="Arial"/>
          <w:sz w:val="24"/>
          <w:szCs w:val="24"/>
        </w:rPr>
        <w:lastRenderedPageBreak/>
        <w:t xml:space="preserve">Así mismo, no se configura la </w:t>
      </w:r>
      <w:r>
        <w:rPr>
          <w:rFonts w:ascii="Arial" w:hAnsi="Arial" w:cs="Arial"/>
          <w:b/>
          <w:sz w:val="24"/>
          <w:szCs w:val="24"/>
        </w:rPr>
        <w:t>causal contenida en la fracción VI</w:t>
      </w:r>
      <w:r>
        <w:rPr>
          <w:rFonts w:ascii="Arial" w:hAnsi="Arial" w:cs="Arial"/>
          <w:sz w:val="24"/>
          <w:szCs w:val="24"/>
        </w:rPr>
        <w:t xml:space="preserve">, del artículo señalado, ya que la parte actora no consintió el contenido del acta de infracción impugnada, toda vez que de autos del presente juicio no se advierte la existencia de constancia, prueba o manifestación expresa del demandante, que entrañe la aceptación del acta impugnada, prueba de ello, es el presente juicio de nulidad que se resuelve, por ello, </w:t>
      </w:r>
      <w:r>
        <w:rPr>
          <w:rFonts w:ascii="Arial" w:hAnsi="Arial" w:cs="Arial"/>
          <w:b/>
          <w:sz w:val="24"/>
          <w:szCs w:val="24"/>
        </w:rPr>
        <w:t>no es un acto consentido</w:t>
      </w:r>
      <w:r>
        <w:rPr>
          <w:rFonts w:ascii="Arial" w:hAnsi="Arial" w:cs="Arial"/>
          <w:sz w:val="24"/>
          <w:szCs w:val="24"/>
        </w:rPr>
        <w:t xml:space="preserve">, ya que el acta de infracción fue levantada el día </w:t>
      </w:r>
      <w:r w:rsidR="00032C60">
        <w:rPr>
          <w:rFonts w:ascii="Arial" w:hAnsi="Arial" w:cs="Arial"/>
          <w:sz w:val="24"/>
          <w:szCs w:val="24"/>
        </w:rPr>
        <w:t>diecinueve de noviembre</w:t>
      </w:r>
      <w:r w:rsidR="00556011">
        <w:rPr>
          <w:rFonts w:ascii="Arial" w:hAnsi="Arial" w:cs="Arial"/>
          <w:sz w:val="24"/>
          <w:szCs w:val="24"/>
        </w:rPr>
        <w:t xml:space="preserve"> de dos mil veinte</w:t>
      </w:r>
      <w:r>
        <w:rPr>
          <w:rFonts w:ascii="Arial" w:hAnsi="Arial" w:cs="Arial"/>
          <w:sz w:val="24"/>
          <w:szCs w:val="24"/>
        </w:rPr>
        <w:t xml:space="preserve">; </w:t>
      </w:r>
      <w:r>
        <w:rPr>
          <w:rFonts w:ascii="Arial" w:hAnsi="Arial" w:cs="Arial"/>
          <w:bCs/>
          <w:sz w:val="24"/>
          <w:szCs w:val="24"/>
          <w:lang w:eastAsia="es-ES"/>
        </w:rPr>
        <w:t xml:space="preserve">y </w:t>
      </w:r>
      <w:r>
        <w:rPr>
          <w:rFonts w:ascii="Arial" w:hAnsi="Arial" w:cs="Arial"/>
          <w:sz w:val="24"/>
          <w:szCs w:val="24"/>
        </w:rPr>
        <w:t xml:space="preserve">la demanda de nulidad fue presentada el día </w:t>
      </w:r>
      <w:r w:rsidR="00032C60">
        <w:rPr>
          <w:rFonts w:ascii="Arial" w:hAnsi="Arial" w:cs="Arial"/>
          <w:b/>
          <w:sz w:val="24"/>
          <w:szCs w:val="24"/>
        </w:rPr>
        <w:t>veintisiete de noviembre</w:t>
      </w:r>
      <w:r w:rsidR="00556011">
        <w:rPr>
          <w:rFonts w:ascii="Arial" w:hAnsi="Arial" w:cs="Arial"/>
          <w:b/>
          <w:sz w:val="24"/>
          <w:szCs w:val="24"/>
        </w:rPr>
        <w:t xml:space="preserve"> </w:t>
      </w:r>
      <w:r>
        <w:rPr>
          <w:rFonts w:ascii="Arial" w:hAnsi="Arial" w:cs="Arial"/>
          <w:b/>
          <w:sz w:val="24"/>
          <w:szCs w:val="24"/>
        </w:rPr>
        <w:t>de dos mil veinte</w:t>
      </w:r>
      <w:r>
        <w:rPr>
          <w:rFonts w:ascii="Arial" w:hAnsi="Arial" w:cs="Arial"/>
          <w:sz w:val="24"/>
          <w:szCs w:val="24"/>
        </w:rPr>
        <w:t>, en la Oficialía de Partes Común de Primera Instancia de este Tribunal.</w:t>
      </w:r>
    </w:p>
    <w:p w:rsidR="002C5092" w:rsidRDefault="002C5092" w:rsidP="002C5092">
      <w:pPr>
        <w:spacing w:line="360" w:lineRule="auto"/>
        <w:ind w:firstLine="567"/>
        <w:jc w:val="both"/>
        <w:rPr>
          <w:rFonts w:ascii="Arial" w:hAnsi="Arial" w:cs="Arial"/>
          <w:sz w:val="24"/>
          <w:szCs w:val="24"/>
        </w:rPr>
      </w:pPr>
      <w:r>
        <w:rPr>
          <w:rFonts w:ascii="Arial" w:hAnsi="Arial" w:cs="Arial"/>
          <w:sz w:val="24"/>
          <w:szCs w:val="24"/>
        </w:rPr>
        <w:t xml:space="preserve">Por tal razón, si el escrito de demanda fue presentado dentro del término de treinta días </w:t>
      </w:r>
      <w:r w:rsidRPr="0087327E">
        <w:rPr>
          <w:rFonts w:ascii="Arial" w:hAnsi="Arial" w:cs="Arial"/>
          <w:sz w:val="24"/>
          <w:szCs w:val="24"/>
        </w:rPr>
        <w:t>hábiles</w:t>
      </w:r>
      <w:r>
        <w:rPr>
          <w:rFonts w:ascii="Arial" w:hAnsi="Arial" w:cs="Arial"/>
          <w:sz w:val="24"/>
          <w:szCs w:val="24"/>
        </w:rPr>
        <w:t xml:space="preserve"> que prevé el artículo 166</w:t>
      </w:r>
      <w:r w:rsidR="0087327E">
        <w:rPr>
          <w:rFonts w:ascii="Arial" w:hAnsi="Arial" w:cs="Arial"/>
          <w:sz w:val="24"/>
          <w:szCs w:val="24"/>
        </w:rPr>
        <w:t>,</w:t>
      </w:r>
      <w:r>
        <w:rPr>
          <w:rFonts w:ascii="Arial" w:hAnsi="Arial" w:cs="Arial"/>
          <w:sz w:val="24"/>
          <w:szCs w:val="24"/>
        </w:rPr>
        <w:t xml:space="preserve"> de la Ley de la Materia, </w:t>
      </w:r>
      <w:r>
        <w:rPr>
          <w:rFonts w:ascii="Arial" w:hAnsi="Arial" w:cs="Arial"/>
          <w:bCs/>
          <w:sz w:val="24"/>
          <w:szCs w:val="24"/>
        </w:rPr>
        <w:t xml:space="preserve">el juicio se promovió dentro del término citado y, </w:t>
      </w:r>
      <w:r>
        <w:rPr>
          <w:rFonts w:ascii="Arial" w:hAnsi="Arial" w:cs="Arial"/>
          <w:sz w:val="24"/>
          <w:szCs w:val="24"/>
        </w:rPr>
        <w:t>por ende, no se configura la causal de sobreseimiento solicitada por la autoridad demandada.</w:t>
      </w:r>
    </w:p>
    <w:p w:rsidR="002C5092" w:rsidRDefault="002C5092" w:rsidP="002C5092">
      <w:pPr>
        <w:tabs>
          <w:tab w:val="left" w:pos="567"/>
        </w:tabs>
        <w:spacing w:line="360" w:lineRule="auto"/>
        <w:ind w:right="51" w:firstLine="567"/>
        <w:jc w:val="both"/>
        <w:rPr>
          <w:rFonts w:ascii="Arial" w:hAnsi="Arial" w:cs="Arial"/>
          <w:sz w:val="24"/>
          <w:szCs w:val="24"/>
        </w:rPr>
      </w:pPr>
      <w:r>
        <w:rPr>
          <w:rFonts w:ascii="Arial" w:hAnsi="Arial" w:cs="Arial"/>
          <w:sz w:val="24"/>
          <w:szCs w:val="24"/>
        </w:rPr>
        <w:t xml:space="preserve">Por lo que respecta </w:t>
      </w:r>
      <w:r>
        <w:rPr>
          <w:rFonts w:ascii="Arial" w:hAnsi="Arial" w:cs="Arial"/>
          <w:bCs/>
          <w:sz w:val="24"/>
          <w:szCs w:val="24"/>
        </w:rPr>
        <w:t xml:space="preserve">la </w:t>
      </w:r>
      <w:r>
        <w:rPr>
          <w:rFonts w:ascii="Arial" w:hAnsi="Arial" w:cs="Arial"/>
          <w:b/>
          <w:sz w:val="24"/>
          <w:szCs w:val="24"/>
        </w:rPr>
        <w:t>causal de improcedencia</w:t>
      </w:r>
      <w:r>
        <w:rPr>
          <w:rFonts w:ascii="Arial" w:hAnsi="Arial" w:cs="Arial"/>
          <w:sz w:val="24"/>
          <w:szCs w:val="24"/>
        </w:rPr>
        <w:t xml:space="preserve"> </w:t>
      </w:r>
      <w:r>
        <w:rPr>
          <w:rFonts w:ascii="Arial" w:hAnsi="Arial" w:cs="Arial"/>
          <w:b/>
          <w:sz w:val="24"/>
          <w:szCs w:val="24"/>
        </w:rPr>
        <w:t>contenida en la fracción</w:t>
      </w:r>
      <w:r>
        <w:rPr>
          <w:rFonts w:ascii="Arial" w:hAnsi="Arial" w:cs="Arial"/>
          <w:sz w:val="24"/>
          <w:szCs w:val="24"/>
        </w:rPr>
        <w:t xml:space="preserve"> </w:t>
      </w:r>
      <w:r>
        <w:rPr>
          <w:rFonts w:ascii="Arial" w:hAnsi="Arial" w:cs="Arial"/>
          <w:b/>
          <w:sz w:val="24"/>
          <w:szCs w:val="24"/>
        </w:rPr>
        <w:t xml:space="preserve">X </w:t>
      </w:r>
      <w:r>
        <w:rPr>
          <w:rFonts w:ascii="Arial" w:hAnsi="Arial" w:cs="Arial"/>
          <w:sz w:val="24"/>
          <w:szCs w:val="24"/>
        </w:rPr>
        <w:t xml:space="preserve">del artículo 161 de la Ley de Procedimiento y Justicia Administrativa para el Estado de Oaxaca, de autos se advierte que </w:t>
      </w:r>
      <w:r>
        <w:rPr>
          <w:rFonts w:ascii="Arial" w:hAnsi="Arial" w:cs="Arial"/>
          <w:b/>
          <w:sz w:val="24"/>
          <w:szCs w:val="24"/>
        </w:rPr>
        <w:t>no existe</w:t>
      </w:r>
      <w:r>
        <w:rPr>
          <w:rFonts w:ascii="Arial" w:hAnsi="Arial" w:cs="Arial"/>
          <w:sz w:val="24"/>
          <w:szCs w:val="24"/>
        </w:rPr>
        <w:t xml:space="preserve"> ninguna otra causal de improcedencia o sobreseimiento de naturaleza fiscal o administrativa que proceda en este juicio de nulidad y que la autoridad demandada pruebe su existencia.</w:t>
      </w:r>
    </w:p>
    <w:p w:rsidR="002C5092" w:rsidRDefault="002C5092" w:rsidP="002C5092">
      <w:pPr>
        <w:spacing w:line="360" w:lineRule="auto"/>
        <w:ind w:right="51" w:firstLine="567"/>
        <w:jc w:val="both"/>
        <w:rPr>
          <w:rFonts w:ascii="Arial" w:eastAsia="Times New Roman" w:hAnsi="Arial" w:cs="Arial"/>
          <w:b/>
          <w:sz w:val="24"/>
          <w:szCs w:val="24"/>
          <w:lang w:val="es-ES_tradnl" w:eastAsia="es-ES"/>
        </w:rPr>
      </w:pPr>
      <w:r>
        <w:rPr>
          <w:rFonts w:ascii="Arial" w:eastAsia="Times New Roman" w:hAnsi="Arial" w:cs="Arial"/>
          <w:bCs/>
          <w:sz w:val="24"/>
          <w:szCs w:val="24"/>
          <w:lang w:val="es-ES_tradnl" w:eastAsia="es-ES"/>
        </w:rPr>
        <w:t>En consecuencia</w:t>
      </w:r>
      <w:r>
        <w:rPr>
          <w:rFonts w:ascii="Arial" w:eastAsia="Times New Roman" w:hAnsi="Arial" w:cs="Arial"/>
          <w:sz w:val="24"/>
          <w:szCs w:val="24"/>
          <w:lang w:val="es-ES_tradnl" w:eastAsia="es-ES"/>
        </w:rPr>
        <w:t>, al no actualizarse las causales de improcedencia invocadas por la autoridad demandada</w:t>
      </w:r>
      <w:r>
        <w:rPr>
          <w:rFonts w:ascii="Arial" w:eastAsia="Times New Roman" w:hAnsi="Arial" w:cs="Arial"/>
          <w:sz w:val="24"/>
          <w:szCs w:val="24"/>
          <w:lang w:val="es-ES" w:eastAsia="es-ES"/>
        </w:rPr>
        <w:t xml:space="preserve">, </w:t>
      </w:r>
      <w:r>
        <w:rPr>
          <w:rFonts w:ascii="Arial" w:eastAsia="Times New Roman" w:hAnsi="Arial" w:cs="Arial"/>
          <w:b/>
          <w:sz w:val="24"/>
          <w:szCs w:val="24"/>
          <w:lang w:val="es-ES_tradnl" w:eastAsia="es-ES"/>
        </w:rPr>
        <w:t>NO SE SOBRESEE EL JUICIO</w:t>
      </w:r>
      <w:r>
        <w:rPr>
          <w:rFonts w:ascii="Arial" w:eastAsia="Times New Roman" w:hAnsi="Arial" w:cs="Arial"/>
          <w:sz w:val="24"/>
          <w:szCs w:val="24"/>
          <w:lang w:val="es-ES_tradnl" w:eastAsia="es-ES"/>
        </w:rPr>
        <w:t>.</w:t>
      </w:r>
    </w:p>
    <w:p w:rsidR="002C5092" w:rsidRDefault="002C5092" w:rsidP="002C5092">
      <w:pPr>
        <w:spacing w:line="360" w:lineRule="auto"/>
        <w:ind w:right="51" w:firstLine="567"/>
        <w:jc w:val="both"/>
        <w:rPr>
          <w:rFonts w:ascii="Arial" w:hAnsi="Arial" w:cs="Arial"/>
          <w:bCs/>
          <w:sz w:val="24"/>
          <w:szCs w:val="24"/>
          <w:lang w:val="es-ES_tradnl" w:eastAsia="es-ES"/>
        </w:rPr>
      </w:pPr>
      <w:r>
        <w:rPr>
          <w:rFonts w:ascii="Arial" w:hAnsi="Arial" w:cs="Arial"/>
          <w:b/>
          <w:sz w:val="24"/>
          <w:szCs w:val="24"/>
        </w:rPr>
        <w:t xml:space="preserve">CUARTO. </w:t>
      </w:r>
      <w:r w:rsidR="00C64329">
        <w:rPr>
          <w:rFonts w:ascii="Arial" w:hAnsi="Arial" w:cs="Arial"/>
          <w:bCs/>
          <w:sz w:val="24"/>
          <w:szCs w:val="24"/>
        </w:rPr>
        <w:t>La actora</w:t>
      </w:r>
      <w:r>
        <w:rPr>
          <w:rFonts w:ascii="Arial" w:hAnsi="Arial" w:cs="Arial"/>
          <w:bCs/>
          <w:sz w:val="24"/>
          <w:szCs w:val="24"/>
        </w:rPr>
        <w:t xml:space="preserve"> </w:t>
      </w:r>
      <w:r w:rsidR="00402902">
        <w:rPr>
          <w:rFonts w:ascii="Arial" w:eastAsia="Times New Roman" w:hAnsi="Arial" w:cs="Arial"/>
          <w:bCs/>
          <w:iCs/>
          <w:caps/>
          <w:kern w:val="2"/>
          <w:sz w:val="24"/>
          <w:szCs w:val="24"/>
          <w:lang w:val="es-ES_tradnl" w:eastAsia="es-ES"/>
        </w:rPr>
        <w:t>**********</w:t>
      </w:r>
      <w:r>
        <w:rPr>
          <w:rFonts w:ascii="Arial" w:hAnsi="Arial" w:cs="Arial"/>
          <w:bCs/>
          <w:sz w:val="24"/>
          <w:szCs w:val="24"/>
        </w:rPr>
        <w:t xml:space="preserve"> </w:t>
      </w:r>
      <w:r>
        <w:rPr>
          <w:rFonts w:ascii="Arial" w:hAnsi="Arial" w:cs="Arial"/>
          <w:b/>
          <w:sz w:val="24"/>
          <w:szCs w:val="24"/>
        </w:rPr>
        <w:t xml:space="preserve">demandó la nulidad </w:t>
      </w:r>
      <w:r>
        <w:rPr>
          <w:rFonts w:ascii="Arial" w:hAnsi="Arial" w:cs="Arial"/>
          <w:bCs/>
          <w:sz w:val="24"/>
          <w:szCs w:val="24"/>
        </w:rPr>
        <w:t xml:space="preserve">del acta de infracción con número de folio </w:t>
      </w:r>
      <w:r w:rsidR="00402902">
        <w:rPr>
          <w:rFonts w:ascii="Arial" w:eastAsia="Times New Roman" w:hAnsi="Arial" w:cs="Arial"/>
          <w:bCs/>
          <w:iCs/>
          <w:caps/>
          <w:kern w:val="2"/>
          <w:sz w:val="24"/>
          <w:szCs w:val="24"/>
          <w:lang w:val="es-ES_tradnl" w:eastAsia="es-ES"/>
        </w:rPr>
        <w:t>**********</w:t>
      </w:r>
      <w:r>
        <w:rPr>
          <w:rFonts w:ascii="Arial" w:hAnsi="Arial" w:cs="Arial"/>
          <w:bCs/>
          <w:sz w:val="24"/>
          <w:szCs w:val="24"/>
        </w:rPr>
        <w:t xml:space="preserve">, de </w:t>
      </w:r>
      <w:r w:rsidR="00C64329">
        <w:rPr>
          <w:rFonts w:ascii="Arial" w:hAnsi="Arial" w:cs="Arial"/>
          <w:bCs/>
          <w:sz w:val="24"/>
          <w:szCs w:val="24"/>
        </w:rPr>
        <w:t>diecinueve de noviembre</w:t>
      </w:r>
      <w:r w:rsidR="00C24CA7">
        <w:rPr>
          <w:rFonts w:ascii="Arial" w:hAnsi="Arial" w:cs="Arial"/>
          <w:bCs/>
          <w:sz w:val="24"/>
          <w:szCs w:val="24"/>
        </w:rPr>
        <w:t xml:space="preserve"> de dos mil veinte, </w:t>
      </w:r>
      <w:r>
        <w:rPr>
          <w:rFonts w:ascii="Arial" w:hAnsi="Arial" w:cs="Arial"/>
          <w:bCs/>
          <w:sz w:val="24"/>
          <w:szCs w:val="24"/>
          <w:lang w:eastAsia="es-ES"/>
        </w:rPr>
        <w:t>emitida</w:t>
      </w:r>
      <w:r>
        <w:rPr>
          <w:rFonts w:ascii="Arial" w:hAnsi="Arial" w:cs="Arial"/>
          <w:sz w:val="24"/>
          <w:szCs w:val="24"/>
        </w:rPr>
        <w:t xml:space="preserve"> por </w:t>
      </w:r>
      <w:r w:rsidR="00C64329">
        <w:rPr>
          <w:rFonts w:ascii="Arial" w:eastAsia="Times New Roman" w:hAnsi="Arial" w:cs="Arial"/>
          <w:bCs/>
          <w:iCs/>
          <w:kern w:val="2"/>
          <w:sz w:val="24"/>
          <w:szCs w:val="24"/>
          <w:lang w:val="es-ES_tradnl" w:eastAsia="es-ES"/>
        </w:rPr>
        <w:t>la</w:t>
      </w:r>
      <w:r w:rsidR="00C95CF2">
        <w:rPr>
          <w:rFonts w:ascii="Arial" w:eastAsia="Times New Roman" w:hAnsi="Arial" w:cs="Arial"/>
          <w:bCs/>
          <w:iCs/>
          <w:kern w:val="2"/>
          <w:sz w:val="24"/>
          <w:szCs w:val="24"/>
          <w:lang w:val="es-ES_tradnl" w:eastAsia="es-ES"/>
        </w:rPr>
        <w:t xml:space="preserve"> </w:t>
      </w:r>
      <w:r w:rsidR="00C95CF2">
        <w:rPr>
          <w:rFonts w:ascii="Arial" w:eastAsia="Times New Roman" w:hAnsi="Arial" w:cs="Arial"/>
          <w:b/>
          <w:bCs/>
          <w:iCs/>
          <w:kern w:val="2"/>
          <w:sz w:val="24"/>
          <w:szCs w:val="24"/>
          <w:lang w:val="es-ES_tradnl" w:eastAsia="es-ES"/>
        </w:rPr>
        <w:t>Policía Vi</w:t>
      </w:r>
      <w:r w:rsidR="00C64329">
        <w:rPr>
          <w:rFonts w:ascii="Arial" w:eastAsia="Times New Roman" w:hAnsi="Arial" w:cs="Arial"/>
          <w:b/>
          <w:bCs/>
          <w:iCs/>
          <w:kern w:val="2"/>
          <w:sz w:val="24"/>
          <w:szCs w:val="24"/>
          <w:lang w:val="es-ES_tradnl" w:eastAsia="es-ES"/>
        </w:rPr>
        <w:t xml:space="preserve">al con número estadístico PV-260, adscrita a la Subdirección de Tránsito y Movilidad del </w:t>
      </w:r>
      <w:r w:rsidR="00C95CF2">
        <w:rPr>
          <w:rFonts w:ascii="Arial" w:eastAsia="Times New Roman" w:hAnsi="Arial" w:cs="Arial"/>
          <w:b/>
          <w:bCs/>
          <w:iCs/>
          <w:kern w:val="2"/>
          <w:sz w:val="24"/>
          <w:szCs w:val="24"/>
          <w:lang w:val="es-ES_tradnl" w:eastAsia="es-ES"/>
        </w:rPr>
        <w:t>Municipio de Oaxaca de Juárez, Oaxaca</w:t>
      </w:r>
      <w:r w:rsidR="00852518">
        <w:rPr>
          <w:rFonts w:ascii="Arial" w:eastAsia="Times New Roman" w:hAnsi="Arial" w:cs="Arial"/>
          <w:b/>
          <w:bCs/>
          <w:iCs/>
          <w:kern w:val="2"/>
          <w:sz w:val="24"/>
          <w:szCs w:val="24"/>
          <w:lang w:val="es-ES_tradnl" w:eastAsia="es-ES"/>
        </w:rPr>
        <w:t xml:space="preserve">, </w:t>
      </w:r>
      <w:r>
        <w:rPr>
          <w:rFonts w:ascii="Arial" w:hAnsi="Arial" w:cs="Arial"/>
          <w:sz w:val="24"/>
          <w:szCs w:val="24"/>
        </w:rPr>
        <w:t xml:space="preserve">expresando en sus conceptos de impugnación, que ésta no se encuentra debidamente </w:t>
      </w:r>
      <w:r>
        <w:rPr>
          <w:rFonts w:ascii="Arial" w:hAnsi="Arial" w:cs="Arial"/>
          <w:b/>
          <w:sz w:val="24"/>
          <w:szCs w:val="24"/>
        </w:rPr>
        <w:t>fundada y motivada</w:t>
      </w:r>
      <w:r>
        <w:rPr>
          <w:rFonts w:ascii="Arial" w:hAnsi="Arial" w:cs="Arial"/>
          <w:sz w:val="24"/>
          <w:szCs w:val="24"/>
        </w:rPr>
        <w:t>.</w:t>
      </w:r>
    </w:p>
    <w:p w:rsidR="002C5092" w:rsidRDefault="00FB41A7" w:rsidP="002C5092">
      <w:pPr>
        <w:spacing w:line="360" w:lineRule="auto"/>
        <w:ind w:right="18" w:firstLine="567"/>
        <w:jc w:val="both"/>
        <w:rPr>
          <w:rFonts w:ascii="Arial" w:hAnsi="Arial" w:cs="Arial"/>
          <w:sz w:val="24"/>
          <w:szCs w:val="24"/>
        </w:rPr>
      </w:pPr>
      <w:r>
        <w:rPr>
          <w:rFonts w:ascii="Arial" w:hAnsi="Arial" w:cs="Arial"/>
          <w:sz w:val="24"/>
          <w:szCs w:val="24"/>
        </w:rPr>
        <w:t>Ahora, esta</w:t>
      </w:r>
      <w:r w:rsidR="002C5092">
        <w:rPr>
          <w:rFonts w:ascii="Arial" w:hAnsi="Arial" w:cs="Arial"/>
          <w:sz w:val="24"/>
          <w:szCs w:val="24"/>
        </w:rPr>
        <w:t xml:space="preserve"> juzgador</w:t>
      </w:r>
      <w:r>
        <w:rPr>
          <w:rFonts w:ascii="Arial" w:hAnsi="Arial" w:cs="Arial"/>
          <w:sz w:val="24"/>
          <w:szCs w:val="24"/>
        </w:rPr>
        <w:t>a</w:t>
      </w:r>
      <w:r w:rsidR="002C5092">
        <w:rPr>
          <w:rFonts w:ascii="Arial" w:hAnsi="Arial" w:cs="Arial"/>
          <w:sz w:val="24"/>
          <w:szCs w:val="24"/>
        </w:rPr>
        <w:t xml:space="preserve"> procede al análisis del acta de infracción impugnada con número de folio </w:t>
      </w:r>
      <w:r w:rsidR="00402902">
        <w:rPr>
          <w:rFonts w:ascii="Arial" w:eastAsia="Times New Roman" w:hAnsi="Arial" w:cs="Arial"/>
          <w:bCs/>
          <w:iCs/>
          <w:caps/>
          <w:kern w:val="2"/>
          <w:sz w:val="24"/>
          <w:szCs w:val="24"/>
          <w:lang w:val="es-ES_tradnl" w:eastAsia="es-ES"/>
        </w:rPr>
        <w:t>**********</w:t>
      </w:r>
      <w:r w:rsidR="002C5092">
        <w:rPr>
          <w:rFonts w:ascii="Arial" w:hAnsi="Arial" w:cs="Arial"/>
          <w:sz w:val="24"/>
          <w:szCs w:val="24"/>
        </w:rPr>
        <w:t xml:space="preserve">, de </w:t>
      </w:r>
      <w:r>
        <w:rPr>
          <w:rFonts w:ascii="Arial" w:hAnsi="Arial" w:cs="Arial"/>
          <w:sz w:val="24"/>
          <w:szCs w:val="24"/>
        </w:rPr>
        <w:t>diecinueve de noviembre</w:t>
      </w:r>
      <w:r w:rsidR="000B7918">
        <w:rPr>
          <w:rFonts w:ascii="Arial" w:hAnsi="Arial" w:cs="Arial"/>
          <w:sz w:val="24"/>
          <w:szCs w:val="24"/>
        </w:rPr>
        <w:t xml:space="preserve"> </w:t>
      </w:r>
      <w:r w:rsidR="002C5092">
        <w:rPr>
          <w:rFonts w:ascii="Arial" w:hAnsi="Arial" w:cs="Arial"/>
          <w:sz w:val="24"/>
          <w:szCs w:val="24"/>
        </w:rPr>
        <w:t xml:space="preserve">de dos mil veinte, emitida por </w:t>
      </w:r>
      <w:r>
        <w:rPr>
          <w:rFonts w:ascii="Arial" w:hAnsi="Arial" w:cs="Arial"/>
          <w:sz w:val="24"/>
          <w:szCs w:val="24"/>
        </w:rPr>
        <w:t>la</w:t>
      </w:r>
      <w:r w:rsidR="00E16427">
        <w:rPr>
          <w:rFonts w:ascii="Arial" w:hAnsi="Arial" w:cs="Arial"/>
          <w:sz w:val="24"/>
          <w:szCs w:val="24"/>
        </w:rPr>
        <w:t xml:space="preserve"> </w:t>
      </w:r>
      <w:r w:rsidR="00E16427" w:rsidRPr="003202F3">
        <w:rPr>
          <w:rFonts w:ascii="Arial" w:eastAsia="Times New Roman" w:hAnsi="Arial" w:cs="Arial"/>
          <w:bCs/>
          <w:iCs/>
          <w:kern w:val="2"/>
          <w:sz w:val="24"/>
          <w:szCs w:val="24"/>
          <w:lang w:val="es-ES_tradnl" w:eastAsia="es-ES"/>
        </w:rPr>
        <w:t>Policía Vi</w:t>
      </w:r>
      <w:r>
        <w:rPr>
          <w:rFonts w:ascii="Arial" w:eastAsia="Times New Roman" w:hAnsi="Arial" w:cs="Arial"/>
          <w:bCs/>
          <w:iCs/>
          <w:kern w:val="2"/>
          <w:sz w:val="24"/>
          <w:szCs w:val="24"/>
          <w:lang w:val="es-ES_tradnl" w:eastAsia="es-ES"/>
        </w:rPr>
        <w:t>al con número estadístico PV-260</w:t>
      </w:r>
      <w:r w:rsidR="00E16427" w:rsidRPr="003202F3">
        <w:rPr>
          <w:rFonts w:ascii="Arial" w:eastAsia="Times New Roman" w:hAnsi="Arial" w:cs="Arial"/>
          <w:bCs/>
          <w:iCs/>
          <w:kern w:val="2"/>
          <w:sz w:val="24"/>
          <w:szCs w:val="24"/>
          <w:lang w:val="es-ES_tradnl" w:eastAsia="es-ES"/>
        </w:rPr>
        <w:t xml:space="preserve">, </w:t>
      </w:r>
      <w:r>
        <w:rPr>
          <w:rFonts w:ascii="Arial" w:eastAsia="Times New Roman" w:hAnsi="Arial" w:cs="Arial"/>
          <w:bCs/>
          <w:iCs/>
          <w:kern w:val="2"/>
          <w:sz w:val="24"/>
          <w:szCs w:val="24"/>
          <w:lang w:val="es-ES_tradnl" w:eastAsia="es-ES"/>
        </w:rPr>
        <w:t xml:space="preserve">adscrita a la Subdirección de Tránsito y Movilidad </w:t>
      </w:r>
      <w:r w:rsidR="00E16427" w:rsidRPr="003202F3">
        <w:rPr>
          <w:rFonts w:ascii="Arial" w:eastAsia="Times New Roman" w:hAnsi="Arial" w:cs="Arial"/>
          <w:bCs/>
          <w:iCs/>
          <w:kern w:val="2"/>
          <w:sz w:val="24"/>
          <w:szCs w:val="24"/>
          <w:lang w:val="es-ES_tradnl" w:eastAsia="es-ES"/>
        </w:rPr>
        <w:t>de</w:t>
      </w:r>
      <w:r>
        <w:rPr>
          <w:rFonts w:ascii="Arial" w:eastAsia="Times New Roman" w:hAnsi="Arial" w:cs="Arial"/>
          <w:bCs/>
          <w:iCs/>
          <w:kern w:val="2"/>
          <w:sz w:val="24"/>
          <w:szCs w:val="24"/>
          <w:lang w:val="es-ES_tradnl" w:eastAsia="es-ES"/>
        </w:rPr>
        <w:t>l</w:t>
      </w:r>
      <w:r w:rsidR="00E16427" w:rsidRPr="003202F3">
        <w:rPr>
          <w:rFonts w:ascii="Arial" w:eastAsia="Times New Roman" w:hAnsi="Arial" w:cs="Arial"/>
          <w:bCs/>
          <w:iCs/>
          <w:kern w:val="2"/>
          <w:sz w:val="24"/>
          <w:szCs w:val="24"/>
          <w:lang w:val="es-ES_tradnl" w:eastAsia="es-ES"/>
        </w:rPr>
        <w:t xml:space="preserve"> Municipio de Oaxaca de Juárez, Oaxaca</w:t>
      </w:r>
      <w:r w:rsidR="00E16427">
        <w:rPr>
          <w:rFonts w:ascii="Arial" w:eastAsia="Times New Roman" w:hAnsi="Arial" w:cs="Arial"/>
          <w:bCs/>
          <w:iCs/>
          <w:kern w:val="2"/>
          <w:sz w:val="24"/>
          <w:szCs w:val="24"/>
          <w:lang w:val="es-ES_tradnl" w:eastAsia="es-ES"/>
        </w:rPr>
        <w:t xml:space="preserve">, </w:t>
      </w:r>
      <w:r w:rsidR="002C5092">
        <w:rPr>
          <w:rFonts w:ascii="Arial" w:hAnsi="Arial" w:cs="Arial"/>
          <w:color w:val="000000"/>
          <w:sz w:val="24"/>
          <w:szCs w:val="24"/>
        </w:rPr>
        <w:t>a la cual se le confiere valor probatorio pleno, por ser un documento público expedido por un servidor público en ejercicio de sus funciones, en términos del artículo 203 fracción I, de la Ley que rige a este Tribunal.</w:t>
      </w:r>
    </w:p>
    <w:p w:rsidR="00787C61" w:rsidRPr="00293549" w:rsidRDefault="002C5092" w:rsidP="00787C61">
      <w:pPr>
        <w:spacing w:line="360" w:lineRule="auto"/>
        <w:ind w:right="18" w:firstLine="567"/>
        <w:jc w:val="both"/>
        <w:rPr>
          <w:rFonts w:ascii="Arial" w:hAnsi="Arial" w:cs="Arial"/>
          <w:sz w:val="24"/>
          <w:szCs w:val="24"/>
        </w:rPr>
      </w:pPr>
      <w:r>
        <w:rPr>
          <w:rFonts w:ascii="Arial" w:hAnsi="Arial" w:cs="Arial"/>
          <w:color w:val="000000"/>
          <w:sz w:val="24"/>
          <w:szCs w:val="24"/>
        </w:rPr>
        <w:t xml:space="preserve">De ella </w:t>
      </w:r>
      <w:r>
        <w:rPr>
          <w:rFonts w:ascii="Arial" w:hAnsi="Arial" w:cs="Arial"/>
          <w:sz w:val="24"/>
          <w:szCs w:val="24"/>
        </w:rPr>
        <w:t xml:space="preserve">se advierte, que la Policía Vial que lo emitió, en el rubro de </w:t>
      </w:r>
      <w:r>
        <w:rPr>
          <w:rFonts w:ascii="Arial" w:hAnsi="Arial" w:cs="Arial"/>
          <w:b/>
          <w:sz w:val="24"/>
          <w:szCs w:val="24"/>
        </w:rPr>
        <w:t>motivación</w:t>
      </w:r>
      <w:r>
        <w:rPr>
          <w:rFonts w:ascii="Arial" w:hAnsi="Arial" w:cs="Arial"/>
          <w:sz w:val="24"/>
          <w:szCs w:val="24"/>
        </w:rPr>
        <w:t xml:space="preserve"> señaló </w:t>
      </w:r>
      <w:r w:rsidRPr="00787C61">
        <w:rPr>
          <w:rFonts w:ascii="Arial" w:hAnsi="Arial" w:cs="Arial"/>
          <w:i/>
          <w:sz w:val="24"/>
          <w:szCs w:val="24"/>
        </w:rPr>
        <w:t>“</w:t>
      </w:r>
      <w:r w:rsidR="00404EB6" w:rsidRPr="00787C61">
        <w:rPr>
          <w:rFonts w:ascii="Arial" w:hAnsi="Arial" w:cs="Arial"/>
          <w:i/>
          <w:sz w:val="24"/>
          <w:szCs w:val="24"/>
        </w:rPr>
        <w:t>E</w:t>
      </w:r>
      <w:r w:rsidR="007D6B2B" w:rsidRPr="00787C61">
        <w:rPr>
          <w:rFonts w:ascii="Arial" w:hAnsi="Arial" w:cs="Arial"/>
          <w:i/>
          <w:sz w:val="24"/>
          <w:szCs w:val="24"/>
        </w:rPr>
        <w:t>stacionarse en cajón de discapasidad (sic) existiendo señalamiento horizontal visible artículo 86 fracción XXI</w:t>
      </w:r>
      <w:r w:rsidR="00787C61" w:rsidRPr="00787C61">
        <w:rPr>
          <w:rFonts w:ascii="Arial" w:hAnsi="Arial" w:cs="Arial"/>
          <w:i/>
          <w:sz w:val="24"/>
          <w:szCs w:val="24"/>
        </w:rPr>
        <w:t>…</w:t>
      </w:r>
      <w:r w:rsidR="009E5A07" w:rsidRPr="00787C61">
        <w:rPr>
          <w:rFonts w:ascii="Arial" w:hAnsi="Arial" w:cs="Arial"/>
          <w:i/>
          <w:sz w:val="24"/>
          <w:szCs w:val="24"/>
        </w:rPr>
        <w:t>”</w:t>
      </w:r>
      <w:r w:rsidRPr="00787C61">
        <w:rPr>
          <w:rFonts w:ascii="Arial" w:hAnsi="Arial" w:cs="Arial"/>
          <w:i/>
          <w:sz w:val="24"/>
          <w:szCs w:val="24"/>
        </w:rPr>
        <w:t>,</w:t>
      </w:r>
      <w:r>
        <w:rPr>
          <w:rFonts w:ascii="Arial" w:hAnsi="Arial" w:cs="Arial"/>
          <w:sz w:val="24"/>
          <w:szCs w:val="24"/>
        </w:rPr>
        <w:t xml:space="preserve"> y en cuanto al rubro de </w:t>
      </w:r>
      <w:r>
        <w:rPr>
          <w:rFonts w:ascii="Arial" w:hAnsi="Arial" w:cs="Arial"/>
          <w:b/>
          <w:sz w:val="24"/>
          <w:szCs w:val="24"/>
        </w:rPr>
        <w:t>fundamentación</w:t>
      </w:r>
      <w:r>
        <w:rPr>
          <w:rFonts w:ascii="Arial" w:hAnsi="Arial" w:cs="Arial"/>
          <w:sz w:val="24"/>
          <w:szCs w:val="24"/>
        </w:rPr>
        <w:t xml:space="preserve"> indicó “</w:t>
      </w:r>
      <w:r w:rsidR="00787C61" w:rsidRPr="00787C61">
        <w:rPr>
          <w:rFonts w:ascii="Arial" w:hAnsi="Arial" w:cs="Arial"/>
          <w:i/>
          <w:sz w:val="20"/>
          <w:szCs w:val="20"/>
        </w:rPr>
        <w:t xml:space="preserve">ARTÍCULO 21 Y 115 FRACCIÓN II Y III INCISO H) DE LA CONSTITUCIÓN POLÍTICA DE LOS ESTADOS UNIDOS MEXICANOS; 113 FRACCIÓN II Y III INCISO H) DE LA CONSTITUCIÓN POLÍTICA DEL ESTADO LIBRE Y SOBERANO DE OAXACA; 143 DE LA LEY ORGÁNICA MUNICIPAL DEL ESTADO LIBRE Y SOBERANO DE OAXACA; ARTÍCULO 188 DE LA LEY DE INGRESOS DEL </w:t>
      </w:r>
      <w:r w:rsidR="00787C61" w:rsidRPr="00787C61">
        <w:rPr>
          <w:rFonts w:ascii="Arial" w:hAnsi="Arial" w:cs="Arial"/>
          <w:i/>
          <w:sz w:val="20"/>
          <w:szCs w:val="20"/>
        </w:rPr>
        <w:lastRenderedPageBreak/>
        <w:t>MUNICIPIO DE OAXACA DE JUÁREZ PARA EL EJERCICIO FISCAL 2020; ARTÍCULO 1, 16 FRACCIÓN II, 85 PÁRRAFO SEGUNDO, 90 FRACCIÓN II, 129, 130, 132, 135, 136, 149 Y 156 DEL REGLAMENTO DE VIALIDAD DEL MUNICIPIO DE OAXACA DE JUÁREZ</w:t>
      </w:r>
      <w:r w:rsidR="00787C61">
        <w:rPr>
          <w:rFonts w:ascii="Arial" w:hAnsi="Arial" w:cs="Arial"/>
          <w:i/>
          <w:sz w:val="20"/>
          <w:szCs w:val="20"/>
        </w:rPr>
        <w:t>”;</w:t>
      </w:r>
      <w:r w:rsidR="00787C61">
        <w:rPr>
          <w:rFonts w:ascii="Arial" w:hAnsi="Arial" w:cs="Arial"/>
          <w:sz w:val="24"/>
          <w:szCs w:val="24"/>
        </w:rPr>
        <w:t xml:space="preserve"> </w:t>
      </w:r>
      <w:r>
        <w:rPr>
          <w:rFonts w:ascii="Arial" w:hAnsi="Arial" w:cs="Arial"/>
          <w:sz w:val="24"/>
          <w:szCs w:val="24"/>
        </w:rPr>
        <w:t xml:space="preserve">sin embargo, no precisó las </w:t>
      </w:r>
      <w:r>
        <w:rPr>
          <w:rFonts w:ascii="Arial" w:hAnsi="Arial" w:cs="Arial"/>
          <w:b/>
          <w:sz w:val="24"/>
          <w:szCs w:val="24"/>
        </w:rPr>
        <w:t>razones</w:t>
      </w:r>
      <w:r>
        <w:rPr>
          <w:rFonts w:ascii="Arial" w:hAnsi="Arial" w:cs="Arial"/>
          <w:sz w:val="24"/>
          <w:szCs w:val="24"/>
        </w:rPr>
        <w:t>,</w:t>
      </w:r>
      <w:r>
        <w:rPr>
          <w:rFonts w:ascii="Arial" w:hAnsi="Arial" w:cs="Arial"/>
          <w:b/>
          <w:sz w:val="24"/>
          <w:szCs w:val="24"/>
        </w:rPr>
        <w:t xml:space="preserve"> motivos o circunstancias especiales que llevaron a esa autoridad a concluir que el caso en particular encuadraba en el supuesto previsto en las normas legales invocadas</w:t>
      </w:r>
      <w:r>
        <w:rPr>
          <w:rFonts w:ascii="Arial" w:hAnsi="Arial" w:cs="Arial"/>
          <w:sz w:val="24"/>
          <w:szCs w:val="24"/>
        </w:rPr>
        <w:t xml:space="preserve"> como fundamento.</w:t>
      </w:r>
    </w:p>
    <w:p w:rsidR="002C5092" w:rsidRDefault="002C5092" w:rsidP="002C5092">
      <w:pPr>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Por lo que, la autoridad demandada omitió señalar tiempo, modo y circunstancias de la conducta de</w:t>
      </w:r>
      <w:r w:rsidR="00775EAB">
        <w:rPr>
          <w:rFonts w:ascii="Arial" w:hAnsi="Arial" w:cs="Arial"/>
          <w:sz w:val="24"/>
          <w:szCs w:val="24"/>
        </w:rPr>
        <w:t xml:space="preserve"> </w:t>
      </w:r>
      <w:r>
        <w:rPr>
          <w:rFonts w:ascii="Arial" w:hAnsi="Arial" w:cs="Arial"/>
          <w:sz w:val="24"/>
          <w:szCs w:val="24"/>
        </w:rPr>
        <w:t>l</w:t>
      </w:r>
      <w:r w:rsidR="00775EAB">
        <w:rPr>
          <w:rFonts w:ascii="Arial" w:hAnsi="Arial" w:cs="Arial"/>
          <w:sz w:val="24"/>
          <w:szCs w:val="24"/>
        </w:rPr>
        <w:t>a</w:t>
      </w:r>
      <w:r>
        <w:rPr>
          <w:rFonts w:ascii="Arial" w:hAnsi="Arial" w:cs="Arial"/>
          <w:sz w:val="24"/>
          <w:szCs w:val="24"/>
        </w:rPr>
        <w:t xml:space="preserve"> infractor</w:t>
      </w:r>
      <w:r w:rsidR="00775EAB">
        <w:rPr>
          <w:rFonts w:ascii="Arial" w:hAnsi="Arial" w:cs="Arial"/>
          <w:sz w:val="24"/>
          <w:szCs w:val="24"/>
        </w:rPr>
        <w:t>a</w:t>
      </w:r>
      <w:r>
        <w:rPr>
          <w:rFonts w:ascii="Arial" w:hAnsi="Arial" w:cs="Arial"/>
          <w:sz w:val="24"/>
          <w:szCs w:val="24"/>
        </w:rPr>
        <w:t xml:space="preserve"> q</w:t>
      </w:r>
      <w:r w:rsidR="00293549">
        <w:rPr>
          <w:rFonts w:ascii="Arial" w:hAnsi="Arial" w:cs="Arial"/>
          <w:sz w:val="24"/>
          <w:szCs w:val="24"/>
        </w:rPr>
        <w:t>ue le llevaron a concluir que la</w:t>
      </w:r>
      <w:r>
        <w:rPr>
          <w:rFonts w:ascii="Arial" w:hAnsi="Arial" w:cs="Arial"/>
          <w:sz w:val="24"/>
          <w:szCs w:val="24"/>
        </w:rPr>
        <w:t xml:space="preserve"> actor</w:t>
      </w:r>
      <w:r w:rsidR="00293549">
        <w:rPr>
          <w:rFonts w:ascii="Arial" w:hAnsi="Arial" w:cs="Arial"/>
          <w:sz w:val="24"/>
          <w:szCs w:val="24"/>
        </w:rPr>
        <w:t>a</w:t>
      </w:r>
      <w:r>
        <w:rPr>
          <w:rFonts w:ascii="Arial" w:hAnsi="Arial" w:cs="Arial"/>
          <w:sz w:val="24"/>
          <w:szCs w:val="24"/>
        </w:rPr>
        <w:t xml:space="preserve"> infringió el Reglamento de Vialidad Municipal, y con ello se evidenciara la actualización de la hipótesis de la norma citada, como lo prevé el artículo 17 fracción V, de la Ley de Procedimiento y Justicia Administrativa para el Estado de Oaxaca, esto es de fundar y motivar todos los actos que emitan para no dejar a</w:t>
      </w:r>
      <w:r w:rsidR="00293549">
        <w:rPr>
          <w:rFonts w:ascii="Arial" w:hAnsi="Arial" w:cs="Arial"/>
          <w:sz w:val="24"/>
          <w:szCs w:val="24"/>
        </w:rPr>
        <w:t xml:space="preserve"> </w:t>
      </w:r>
      <w:r>
        <w:rPr>
          <w:rFonts w:ascii="Arial" w:hAnsi="Arial" w:cs="Arial"/>
          <w:sz w:val="24"/>
          <w:szCs w:val="24"/>
        </w:rPr>
        <w:t>l</w:t>
      </w:r>
      <w:r w:rsidR="00293549">
        <w:rPr>
          <w:rFonts w:ascii="Arial" w:hAnsi="Arial" w:cs="Arial"/>
          <w:sz w:val="24"/>
          <w:szCs w:val="24"/>
        </w:rPr>
        <w:t>a administrada</w:t>
      </w:r>
      <w:r>
        <w:rPr>
          <w:rFonts w:ascii="Arial" w:hAnsi="Arial" w:cs="Arial"/>
          <w:sz w:val="24"/>
          <w:szCs w:val="24"/>
        </w:rPr>
        <w:t xml:space="preserve"> en estado de indefensión al ignorar las causas por las cuales se emitió el acto impugnado; ya que únicamente se limitó a invocar como fundamento de su actuar el </w:t>
      </w:r>
      <w:r w:rsidR="00293549">
        <w:rPr>
          <w:rFonts w:ascii="Arial" w:hAnsi="Arial" w:cs="Arial"/>
          <w:sz w:val="24"/>
          <w:szCs w:val="24"/>
        </w:rPr>
        <w:t>artículo 86</w:t>
      </w:r>
      <w:r>
        <w:rPr>
          <w:rFonts w:ascii="Arial" w:hAnsi="Arial" w:cs="Arial"/>
          <w:sz w:val="24"/>
          <w:szCs w:val="24"/>
        </w:rPr>
        <w:t xml:space="preserve"> fracción </w:t>
      </w:r>
      <w:r w:rsidR="00293549">
        <w:rPr>
          <w:rFonts w:ascii="Arial" w:hAnsi="Arial" w:cs="Arial"/>
          <w:sz w:val="24"/>
          <w:szCs w:val="24"/>
        </w:rPr>
        <w:t xml:space="preserve">XXI </w:t>
      </w:r>
      <w:r>
        <w:rPr>
          <w:rFonts w:ascii="Arial" w:hAnsi="Arial" w:cs="Arial"/>
          <w:sz w:val="24"/>
          <w:szCs w:val="24"/>
        </w:rPr>
        <w:t>del Reglamento de Vialidad para el Municipio de Oaxaca de Juárez Oaxaca, sin que hiciera referencia de los hechos ocurridos ni especificara las razones particulares o causas inmediatas, que lo llevaron a concluir el sustento para la emisión del acto.</w:t>
      </w:r>
    </w:p>
    <w:p w:rsidR="002C5092" w:rsidRDefault="002C5092" w:rsidP="002C5092">
      <w:pPr>
        <w:spacing w:line="360" w:lineRule="auto"/>
        <w:ind w:right="51" w:firstLine="567"/>
        <w:jc w:val="both"/>
        <w:rPr>
          <w:rFonts w:ascii="Arial" w:hAnsi="Arial" w:cs="Arial"/>
          <w:sz w:val="24"/>
          <w:szCs w:val="24"/>
        </w:rPr>
      </w:pPr>
      <w:r>
        <w:rPr>
          <w:rFonts w:ascii="Arial" w:hAnsi="Arial" w:cs="Arial"/>
          <w:sz w:val="24"/>
          <w:szCs w:val="24"/>
        </w:rPr>
        <w:t xml:space="preserve">Así, </w:t>
      </w:r>
      <w:r w:rsidR="00293549">
        <w:rPr>
          <w:rFonts w:ascii="Arial" w:hAnsi="Arial" w:cs="Arial"/>
          <w:sz w:val="24"/>
          <w:szCs w:val="24"/>
        </w:rPr>
        <w:t>la</w:t>
      </w:r>
      <w:r w:rsidR="006C24F2">
        <w:rPr>
          <w:rFonts w:ascii="Arial" w:hAnsi="Arial" w:cs="Arial"/>
          <w:sz w:val="24"/>
          <w:szCs w:val="24"/>
        </w:rPr>
        <w:t xml:space="preserve"> </w:t>
      </w:r>
      <w:r w:rsidR="006C24F2" w:rsidRPr="003202F3">
        <w:rPr>
          <w:rFonts w:ascii="Arial" w:eastAsia="Times New Roman" w:hAnsi="Arial" w:cs="Arial"/>
          <w:bCs/>
          <w:iCs/>
          <w:kern w:val="2"/>
          <w:sz w:val="24"/>
          <w:szCs w:val="24"/>
          <w:lang w:val="es-ES_tradnl" w:eastAsia="es-ES"/>
        </w:rPr>
        <w:t>Policía Via</w:t>
      </w:r>
      <w:r w:rsidR="00293549">
        <w:rPr>
          <w:rFonts w:ascii="Arial" w:eastAsia="Times New Roman" w:hAnsi="Arial" w:cs="Arial"/>
          <w:bCs/>
          <w:iCs/>
          <w:kern w:val="2"/>
          <w:sz w:val="24"/>
          <w:szCs w:val="24"/>
          <w:lang w:val="es-ES_tradnl" w:eastAsia="es-ES"/>
        </w:rPr>
        <w:t>l con número estadístico PV-260, adscrita a la Subdirección de Tránsito y Movilidad</w:t>
      </w:r>
      <w:r w:rsidR="006C24F2" w:rsidRPr="003202F3">
        <w:rPr>
          <w:rFonts w:ascii="Arial" w:eastAsia="Times New Roman" w:hAnsi="Arial" w:cs="Arial"/>
          <w:bCs/>
          <w:iCs/>
          <w:kern w:val="2"/>
          <w:sz w:val="24"/>
          <w:szCs w:val="24"/>
          <w:lang w:val="es-ES_tradnl" w:eastAsia="es-ES"/>
        </w:rPr>
        <w:t xml:space="preserve"> de</w:t>
      </w:r>
      <w:r w:rsidR="00293549">
        <w:rPr>
          <w:rFonts w:ascii="Arial" w:eastAsia="Times New Roman" w:hAnsi="Arial" w:cs="Arial"/>
          <w:bCs/>
          <w:iCs/>
          <w:kern w:val="2"/>
          <w:sz w:val="24"/>
          <w:szCs w:val="24"/>
          <w:lang w:val="es-ES_tradnl" w:eastAsia="es-ES"/>
        </w:rPr>
        <w:t>l</w:t>
      </w:r>
      <w:r w:rsidR="006C24F2" w:rsidRPr="003202F3">
        <w:rPr>
          <w:rFonts w:ascii="Arial" w:eastAsia="Times New Roman" w:hAnsi="Arial" w:cs="Arial"/>
          <w:bCs/>
          <w:iCs/>
          <w:kern w:val="2"/>
          <w:sz w:val="24"/>
          <w:szCs w:val="24"/>
          <w:lang w:val="es-ES_tradnl" w:eastAsia="es-ES"/>
        </w:rPr>
        <w:t xml:space="preserve"> Municipio de Oaxaca de Juárez</w:t>
      </w:r>
      <w:r w:rsidR="006C24F2">
        <w:rPr>
          <w:rFonts w:ascii="Arial" w:eastAsia="Times New Roman" w:hAnsi="Arial" w:cs="Arial"/>
          <w:bCs/>
          <w:iCs/>
          <w:kern w:val="2"/>
          <w:sz w:val="24"/>
          <w:szCs w:val="24"/>
          <w:lang w:val="es-ES_tradnl" w:eastAsia="es-ES"/>
        </w:rPr>
        <w:t xml:space="preserve">, </w:t>
      </w:r>
      <w:r>
        <w:rPr>
          <w:rFonts w:ascii="Arial" w:hAnsi="Arial" w:cs="Arial"/>
          <w:sz w:val="24"/>
          <w:szCs w:val="24"/>
        </w:rPr>
        <w:t>al no precisar y concluir con argumentos lógico jurídicos las circunstanc</w:t>
      </w:r>
      <w:r w:rsidR="00730000">
        <w:rPr>
          <w:rFonts w:ascii="Arial" w:hAnsi="Arial" w:cs="Arial"/>
          <w:sz w:val="24"/>
          <w:szCs w:val="24"/>
        </w:rPr>
        <w:t>ias por las cuales estimó que la supuesta</w:t>
      </w:r>
      <w:r>
        <w:rPr>
          <w:rFonts w:ascii="Arial" w:hAnsi="Arial" w:cs="Arial"/>
          <w:sz w:val="24"/>
          <w:szCs w:val="24"/>
        </w:rPr>
        <w:t xml:space="preserve"> infractor</w:t>
      </w:r>
      <w:r w:rsidR="00730000">
        <w:rPr>
          <w:rFonts w:ascii="Arial" w:hAnsi="Arial" w:cs="Arial"/>
          <w:sz w:val="24"/>
          <w:szCs w:val="24"/>
        </w:rPr>
        <w:t>a</w:t>
      </w:r>
      <w:r>
        <w:rPr>
          <w:rFonts w:ascii="Arial" w:hAnsi="Arial" w:cs="Arial"/>
          <w:sz w:val="24"/>
          <w:szCs w:val="24"/>
        </w:rPr>
        <w:t xml:space="preserve"> había cometido una falta al Reglamento de Vialidad para el Municipio de Oaxaca de Juárez, soslayó cumplir con la obligación de fundar y motivar el acto impugnado, esto es, que debió expresar con precisión el o los preceptos legales aplicables al caso y señalar las circunstancias especiales, razones particulares o cosas inmediatas que haya tenido en consideración para la emisión del acto, tal y como lo prevé la fracción V del artículo 17, de la Ley de Procedimiento y Justicia Administrativa para el Estado de Oaxaca.</w:t>
      </w:r>
    </w:p>
    <w:p w:rsidR="002C5092" w:rsidRDefault="002C5092" w:rsidP="002C5092">
      <w:pPr>
        <w:spacing w:line="360" w:lineRule="auto"/>
        <w:ind w:right="51" w:firstLine="567"/>
        <w:jc w:val="both"/>
        <w:rPr>
          <w:rFonts w:ascii="Arial" w:hAnsi="Arial" w:cs="Arial"/>
          <w:sz w:val="24"/>
          <w:szCs w:val="24"/>
        </w:rPr>
      </w:pPr>
      <w:r>
        <w:rPr>
          <w:rFonts w:ascii="Arial" w:hAnsi="Arial" w:cs="Arial"/>
          <w:sz w:val="24"/>
          <w:szCs w:val="24"/>
        </w:rPr>
        <w:t xml:space="preserve">Lo anterior encuentra apoyo en la Jurisprudencia VI. 2. J.7248. sustentada por el Segundo Tribunal Colegiado del Sexto Circuito, que aparece publicada en la página 43 de la Gaceta del Semanario Judicial de la Federación, </w:t>
      </w:r>
      <w:r w:rsidR="006C24F2">
        <w:rPr>
          <w:rFonts w:ascii="Arial" w:hAnsi="Arial" w:cs="Arial"/>
          <w:sz w:val="24"/>
          <w:szCs w:val="24"/>
        </w:rPr>
        <w:t xml:space="preserve">tomo </w:t>
      </w:r>
      <w:r>
        <w:rPr>
          <w:rFonts w:ascii="Arial" w:hAnsi="Arial" w:cs="Arial"/>
          <w:sz w:val="24"/>
          <w:szCs w:val="24"/>
        </w:rPr>
        <w:t xml:space="preserve">64, abril de 1993, </w:t>
      </w:r>
      <w:r w:rsidR="006C24F2">
        <w:rPr>
          <w:rFonts w:ascii="Arial" w:hAnsi="Arial" w:cs="Arial"/>
          <w:sz w:val="24"/>
          <w:szCs w:val="24"/>
        </w:rPr>
        <w:t>octava época, materia administrativa</w:t>
      </w:r>
      <w:r>
        <w:rPr>
          <w:rFonts w:ascii="Arial" w:hAnsi="Arial" w:cs="Arial"/>
          <w:sz w:val="24"/>
          <w:szCs w:val="24"/>
        </w:rPr>
        <w:t>, bajo el rubro y texto siguientes:</w:t>
      </w:r>
    </w:p>
    <w:p w:rsidR="002C5092" w:rsidRDefault="002C5092" w:rsidP="002C5092">
      <w:pPr>
        <w:tabs>
          <w:tab w:val="left" w:pos="7230"/>
        </w:tabs>
        <w:spacing w:after="0"/>
        <w:ind w:left="851" w:right="425"/>
        <w:jc w:val="both"/>
        <w:rPr>
          <w:rFonts w:ascii="Arial" w:hAnsi="Arial" w:cs="Arial"/>
          <w:i/>
          <w:sz w:val="21"/>
          <w:szCs w:val="21"/>
        </w:rPr>
      </w:pPr>
      <w:r>
        <w:rPr>
          <w:rFonts w:ascii="Arial" w:hAnsi="Arial" w:cs="Arial"/>
          <w:sz w:val="21"/>
          <w:szCs w:val="21"/>
        </w:rPr>
        <w:t>“</w:t>
      </w:r>
      <w:r>
        <w:rPr>
          <w:rFonts w:ascii="Arial" w:hAnsi="Arial" w:cs="Arial"/>
          <w:b/>
          <w:i/>
          <w:sz w:val="21"/>
          <w:szCs w:val="21"/>
        </w:rPr>
        <w:t xml:space="preserve">FUNDAMENTACIÓN Y MOTIVACIÓN DE LOS ACTOS ADMINISTRATIVOS. </w:t>
      </w:r>
      <w:r>
        <w:rPr>
          <w:rFonts w:ascii="Arial" w:hAnsi="Arial" w:cs="Arial"/>
          <w:i/>
          <w:sz w:val="21"/>
          <w:szCs w:val="21"/>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w:t>
      </w:r>
      <w:r>
        <w:rPr>
          <w:rFonts w:ascii="Arial" w:hAnsi="Arial" w:cs="Arial"/>
          <w:i/>
          <w:sz w:val="21"/>
          <w:szCs w:val="21"/>
        </w:rPr>
        <w:lastRenderedPageBreak/>
        <w:t>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rsidR="002C5092" w:rsidRDefault="002C5092" w:rsidP="002C5092">
      <w:pPr>
        <w:spacing w:after="0"/>
        <w:ind w:right="566"/>
        <w:jc w:val="both"/>
        <w:rPr>
          <w:rFonts w:ascii="Arial" w:hAnsi="Arial" w:cs="Arial"/>
        </w:rPr>
      </w:pPr>
    </w:p>
    <w:p w:rsidR="002C5092" w:rsidRDefault="002C5092" w:rsidP="002C5092">
      <w:pPr>
        <w:spacing w:line="360" w:lineRule="auto"/>
        <w:ind w:right="51" w:firstLine="567"/>
        <w:jc w:val="both"/>
        <w:rPr>
          <w:rFonts w:ascii="Arial" w:eastAsia="Times New Roman" w:hAnsi="Arial" w:cs="Arial"/>
          <w:sz w:val="24"/>
          <w:szCs w:val="24"/>
          <w:lang w:val="es-ES" w:eastAsia="es-ES"/>
        </w:rPr>
      </w:pPr>
      <w:r>
        <w:rPr>
          <w:rFonts w:ascii="Arial" w:hAnsi="Arial" w:cs="Arial"/>
          <w:sz w:val="24"/>
          <w:szCs w:val="24"/>
        </w:rPr>
        <w:t xml:space="preserve">En consecuencia, procede con fundamento en el artículo 208 fracción II, de la Ley de Procedimiento y Justicia Administrativa para el Estado de Oaxaca, declarar la </w:t>
      </w:r>
      <w:r>
        <w:rPr>
          <w:rFonts w:ascii="Arial" w:hAnsi="Arial" w:cs="Arial"/>
          <w:b/>
          <w:sz w:val="24"/>
          <w:szCs w:val="24"/>
        </w:rPr>
        <w:t xml:space="preserve">NULIDAD LISA Y LLANA, </w:t>
      </w:r>
      <w:r>
        <w:rPr>
          <w:rFonts w:ascii="Arial" w:hAnsi="Arial" w:cs="Arial"/>
          <w:sz w:val="24"/>
          <w:szCs w:val="24"/>
        </w:rPr>
        <w:t xml:space="preserve">del acta de infracción </w:t>
      </w:r>
      <w:r w:rsidR="00402902">
        <w:rPr>
          <w:rFonts w:ascii="Arial" w:eastAsia="Times New Roman" w:hAnsi="Arial" w:cs="Arial"/>
          <w:bCs/>
          <w:iCs/>
          <w:caps/>
          <w:kern w:val="2"/>
          <w:sz w:val="24"/>
          <w:szCs w:val="24"/>
          <w:lang w:val="es-ES_tradnl" w:eastAsia="es-ES"/>
        </w:rPr>
        <w:t>**********</w:t>
      </w:r>
      <w:r>
        <w:rPr>
          <w:rFonts w:ascii="Arial" w:hAnsi="Arial" w:cs="Arial"/>
          <w:sz w:val="24"/>
          <w:szCs w:val="24"/>
        </w:rPr>
        <w:t xml:space="preserve">, de </w:t>
      </w:r>
      <w:r w:rsidR="00730000">
        <w:rPr>
          <w:rFonts w:ascii="Arial" w:hAnsi="Arial" w:cs="Arial"/>
          <w:sz w:val="24"/>
          <w:szCs w:val="24"/>
        </w:rPr>
        <w:t>diecinueve de noviembre</w:t>
      </w:r>
      <w:r w:rsidR="000B4F01">
        <w:rPr>
          <w:rFonts w:ascii="Arial" w:hAnsi="Arial" w:cs="Arial"/>
          <w:sz w:val="24"/>
          <w:szCs w:val="24"/>
        </w:rPr>
        <w:t xml:space="preserve"> </w:t>
      </w:r>
      <w:r>
        <w:rPr>
          <w:rFonts w:ascii="Arial" w:hAnsi="Arial" w:cs="Arial"/>
          <w:sz w:val="24"/>
          <w:szCs w:val="24"/>
        </w:rPr>
        <w:t xml:space="preserve">de dos mil veinte, </w:t>
      </w:r>
      <w:r>
        <w:rPr>
          <w:rFonts w:ascii="Arial" w:hAnsi="Arial" w:cs="Arial"/>
          <w:bCs/>
          <w:sz w:val="24"/>
          <w:szCs w:val="24"/>
          <w:lang w:eastAsia="es-ES"/>
        </w:rPr>
        <w:t>emitida</w:t>
      </w:r>
      <w:r>
        <w:rPr>
          <w:rFonts w:ascii="Arial" w:hAnsi="Arial" w:cs="Arial"/>
          <w:sz w:val="24"/>
          <w:szCs w:val="24"/>
        </w:rPr>
        <w:t xml:space="preserve"> por </w:t>
      </w:r>
      <w:r w:rsidR="00730000">
        <w:rPr>
          <w:rFonts w:ascii="Arial" w:hAnsi="Arial" w:cs="Arial"/>
          <w:sz w:val="24"/>
          <w:szCs w:val="24"/>
        </w:rPr>
        <w:t>la</w:t>
      </w:r>
      <w:r w:rsidR="000B4F01">
        <w:rPr>
          <w:rFonts w:ascii="Arial" w:hAnsi="Arial" w:cs="Arial"/>
          <w:sz w:val="24"/>
          <w:szCs w:val="24"/>
        </w:rPr>
        <w:t xml:space="preserve"> </w:t>
      </w:r>
      <w:r w:rsidR="000B4F01" w:rsidRPr="003202F3">
        <w:rPr>
          <w:rFonts w:ascii="Arial" w:eastAsia="Times New Roman" w:hAnsi="Arial" w:cs="Arial"/>
          <w:bCs/>
          <w:iCs/>
          <w:kern w:val="2"/>
          <w:sz w:val="24"/>
          <w:szCs w:val="24"/>
          <w:lang w:val="es-ES_tradnl" w:eastAsia="es-ES"/>
        </w:rPr>
        <w:t>Policía Vi</w:t>
      </w:r>
      <w:r w:rsidR="00787C61">
        <w:rPr>
          <w:rFonts w:ascii="Arial" w:eastAsia="Times New Roman" w:hAnsi="Arial" w:cs="Arial"/>
          <w:bCs/>
          <w:iCs/>
          <w:kern w:val="2"/>
          <w:sz w:val="24"/>
          <w:szCs w:val="24"/>
          <w:lang w:val="es-ES_tradnl" w:eastAsia="es-ES"/>
        </w:rPr>
        <w:t xml:space="preserve">al con número estadístico </w:t>
      </w:r>
      <w:r w:rsidR="00730000">
        <w:rPr>
          <w:rFonts w:ascii="Arial" w:eastAsia="Times New Roman" w:hAnsi="Arial" w:cs="Arial"/>
          <w:bCs/>
          <w:iCs/>
          <w:kern w:val="2"/>
          <w:sz w:val="24"/>
          <w:szCs w:val="24"/>
          <w:lang w:val="es-ES_tradnl" w:eastAsia="es-ES"/>
        </w:rPr>
        <w:t>PV-260</w:t>
      </w:r>
      <w:r w:rsidR="000B4F01" w:rsidRPr="003202F3">
        <w:rPr>
          <w:rFonts w:ascii="Arial" w:eastAsia="Times New Roman" w:hAnsi="Arial" w:cs="Arial"/>
          <w:bCs/>
          <w:iCs/>
          <w:kern w:val="2"/>
          <w:sz w:val="24"/>
          <w:szCs w:val="24"/>
          <w:lang w:val="es-ES_tradnl" w:eastAsia="es-ES"/>
        </w:rPr>
        <w:t xml:space="preserve">, </w:t>
      </w:r>
      <w:r w:rsidR="00730000">
        <w:rPr>
          <w:rFonts w:ascii="Arial" w:eastAsia="Times New Roman" w:hAnsi="Arial" w:cs="Arial"/>
          <w:bCs/>
          <w:iCs/>
          <w:kern w:val="2"/>
          <w:sz w:val="24"/>
          <w:szCs w:val="24"/>
          <w:lang w:val="es-ES_tradnl" w:eastAsia="es-ES"/>
        </w:rPr>
        <w:t xml:space="preserve">adscrita a la Subdirección de Tránsito y Movilidad </w:t>
      </w:r>
      <w:r w:rsidR="000B4F01" w:rsidRPr="003202F3">
        <w:rPr>
          <w:rFonts w:ascii="Arial" w:eastAsia="Times New Roman" w:hAnsi="Arial" w:cs="Arial"/>
          <w:bCs/>
          <w:iCs/>
          <w:kern w:val="2"/>
          <w:sz w:val="24"/>
          <w:szCs w:val="24"/>
          <w:lang w:val="es-ES_tradnl" w:eastAsia="es-ES"/>
        </w:rPr>
        <w:t>de</w:t>
      </w:r>
      <w:r w:rsidR="00730000">
        <w:rPr>
          <w:rFonts w:ascii="Arial" w:eastAsia="Times New Roman" w:hAnsi="Arial" w:cs="Arial"/>
          <w:bCs/>
          <w:iCs/>
          <w:kern w:val="2"/>
          <w:sz w:val="24"/>
          <w:szCs w:val="24"/>
          <w:lang w:val="es-ES_tradnl" w:eastAsia="es-ES"/>
        </w:rPr>
        <w:t>l</w:t>
      </w:r>
      <w:r w:rsidR="000B4F01" w:rsidRPr="003202F3">
        <w:rPr>
          <w:rFonts w:ascii="Arial" w:eastAsia="Times New Roman" w:hAnsi="Arial" w:cs="Arial"/>
          <w:bCs/>
          <w:iCs/>
          <w:kern w:val="2"/>
          <w:sz w:val="24"/>
          <w:szCs w:val="24"/>
          <w:lang w:val="es-ES_tradnl" w:eastAsia="es-ES"/>
        </w:rPr>
        <w:t xml:space="preserve"> Municipio de Oaxaca de Juárez</w:t>
      </w:r>
      <w:r w:rsidR="000B4F01">
        <w:rPr>
          <w:rFonts w:ascii="Arial" w:eastAsia="Times New Roman" w:hAnsi="Arial" w:cs="Arial"/>
          <w:bCs/>
          <w:iCs/>
          <w:kern w:val="2"/>
          <w:sz w:val="24"/>
          <w:szCs w:val="24"/>
          <w:lang w:val="es-ES_tradnl" w:eastAsia="es-ES"/>
        </w:rPr>
        <w:t xml:space="preserve">, </w:t>
      </w:r>
      <w:r>
        <w:rPr>
          <w:rFonts w:ascii="Arial" w:eastAsia="Times New Roman" w:hAnsi="Arial" w:cs="Arial"/>
          <w:sz w:val="24"/>
          <w:szCs w:val="24"/>
          <w:lang w:val="es-ES" w:eastAsia="es-ES"/>
        </w:rPr>
        <w:t>y una vez que cause ejecutoria la sentencia se dé baja del Sistema SAP, el acta de infracción impugnada.</w:t>
      </w:r>
    </w:p>
    <w:p w:rsidR="002C5092" w:rsidRDefault="002C5092" w:rsidP="002C5092">
      <w:pPr>
        <w:spacing w:after="0" w:line="360" w:lineRule="auto"/>
        <w:ind w:right="51" w:firstLine="567"/>
        <w:jc w:val="both"/>
        <w:rPr>
          <w:rFonts w:ascii="Arial" w:hAnsi="Arial" w:cs="Arial"/>
          <w:sz w:val="24"/>
          <w:szCs w:val="24"/>
        </w:rPr>
      </w:pPr>
      <w:r>
        <w:rPr>
          <w:rFonts w:ascii="Arial" w:hAnsi="Arial" w:cs="Arial"/>
          <w:sz w:val="24"/>
          <w:szCs w:val="24"/>
        </w:rPr>
        <w:t>En mérito de lo expuesto y con fundamento en los artículos 207 fracciones I, II y III, 208 fracción VI y 209, de la Ley de Procedimiento y Justicia Administrativa para el Estado de Oaxaca, se; - - - - - - - - - - - - - - - - - - - - - - - - - - - - - - - - - - - - - -</w:t>
      </w:r>
      <w:r w:rsidR="000B4F01">
        <w:rPr>
          <w:rFonts w:ascii="Arial" w:hAnsi="Arial" w:cs="Arial"/>
          <w:sz w:val="24"/>
          <w:szCs w:val="24"/>
        </w:rPr>
        <w:t xml:space="preserve"> - - - - -</w:t>
      </w:r>
      <w:r w:rsidR="004B3AD6">
        <w:rPr>
          <w:rFonts w:ascii="Arial" w:hAnsi="Arial" w:cs="Arial"/>
          <w:sz w:val="24"/>
          <w:szCs w:val="24"/>
        </w:rPr>
        <w:t xml:space="preserve"> - - - - </w:t>
      </w:r>
    </w:p>
    <w:p w:rsidR="002C5092" w:rsidRDefault="002C5092" w:rsidP="002C5092">
      <w:pPr>
        <w:spacing w:line="360" w:lineRule="auto"/>
        <w:ind w:right="-1134"/>
        <w:jc w:val="center"/>
        <w:rPr>
          <w:rFonts w:ascii="Arial" w:eastAsia="Times New Roman" w:hAnsi="Arial" w:cs="Arial"/>
          <w:b/>
          <w:sz w:val="24"/>
          <w:szCs w:val="24"/>
          <w:lang w:val="es-ES_tradnl" w:eastAsia="es-ES"/>
        </w:rPr>
      </w:pPr>
      <w:r>
        <w:rPr>
          <w:rFonts w:ascii="Arial" w:eastAsia="Times New Roman" w:hAnsi="Arial" w:cs="Arial"/>
          <w:b/>
          <w:sz w:val="24"/>
          <w:szCs w:val="24"/>
          <w:lang w:val="es-ES_tradnl" w:eastAsia="es-ES"/>
        </w:rPr>
        <w:t>R E S U E L V E</w:t>
      </w:r>
    </w:p>
    <w:p w:rsidR="002C5092" w:rsidRDefault="002C5092" w:rsidP="002C5092">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competente para conocer y resolver del presente asunto. - - - - - - - - - - - - - - - - - - - - - - - - - - - - - - - - - - - - - - - - - - - - -</w:t>
      </w:r>
      <w:r w:rsidR="00D11D3C">
        <w:rPr>
          <w:rFonts w:ascii="Arial" w:eastAsia="Arial Unicode MS" w:hAnsi="Arial" w:cs="Arial"/>
          <w:kern w:val="2"/>
          <w:sz w:val="24"/>
          <w:szCs w:val="24"/>
          <w:lang w:eastAsia="ar-SA"/>
        </w:rPr>
        <w:t>- - - - - - -</w:t>
      </w:r>
    </w:p>
    <w:p w:rsidR="002C5092" w:rsidRDefault="002C5092" w:rsidP="002C5092">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La personalidad de las partes quedo acreditada en autos. - - - - -</w:t>
      </w:r>
      <w:r w:rsidR="00D11D3C">
        <w:rPr>
          <w:rFonts w:ascii="Arial" w:eastAsia="Arial Unicode MS" w:hAnsi="Arial" w:cs="Arial"/>
          <w:kern w:val="2"/>
          <w:sz w:val="24"/>
          <w:szCs w:val="24"/>
          <w:lang w:val="es-ES_tradnl" w:eastAsia="ar-SA"/>
        </w:rPr>
        <w:t>- - - - -</w:t>
      </w:r>
    </w:p>
    <w:p w:rsidR="002C5092" w:rsidRDefault="002C5092" w:rsidP="002C5092">
      <w:pPr>
        <w:spacing w:line="360" w:lineRule="auto"/>
        <w:ind w:right="51" w:firstLine="567"/>
        <w:jc w:val="both"/>
        <w:rPr>
          <w:rFonts w:ascii="Arial" w:hAnsi="Arial" w:cs="Arial"/>
          <w:color w:val="000000"/>
          <w:sz w:val="24"/>
          <w:szCs w:val="24"/>
        </w:rPr>
      </w:pPr>
      <w:r>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las causales de improcedencia hechas valer por la autoridad demandada, por lo que </w:t>
      </w:r>
      <w:r>
        <w:rPr>
          <w:rFonts w:ascii="Arial" w:hAnsi="Arial" w:cs="Arial"/>
          <w:b/>
          <w:color w:val="000000"/>
          <w:sz w:val="24"/>
          <w:szCs w:val="24"/>
        </w:rPr>
        <w:t>NO SE SOBRESEE EL JUICIO</w:t>
      </w:r>
      <w:r>
        <w:rPr>
          <w:rFonts w:ascii="Arial" w:hAnsi="Arial" w:cs="Arial"/>
          <w:color w:val="000000"/>
          <w:sz w:val="24"/>
          <w:szCs w:val="24"/>
        </w:rPr>
        <w:t xml:space="preserve">. - - - - - - - </w:t>
      </w:r>
      <w:r w:rsidR="00D11D3C">
        <w:rPr>
          <w:rFonts w:ascii="Arial" w:hAnsi="Arial" w:cs="Arial"/>
          <w:color w:val="000000"/>
          <w:sz w:val="24"/>
          <w:szCs w:val="24"/>
        </w:rPr>
        <w:t>- - - - - - - - -</w:t>
      </w:r>
    </w:p>
    <w:p w:rsidR="002C5092" w:rsidRDefault="002C5092" w:rsidP="002C5092">
      <w:pPr>
        <w:spacing w:line="360" w:lineRule="auto"/>
        <w:ind w:right="51" w:firstLine="567"/>
        <w:jc w:val="both"/>
        <w:rPr>
          <w:rFonts w:ascii="Arial" w:hAnsi="Arial" w:cs="Arial"/>
          <w:b/>
          <w:sz w:val="24"/>
          <w:szCs w:val="24"/>
          <w:lang w:val="es-ES_tradnl" w:eastAsia="es-ES"/>
        </w:rPr>
      </w:pPr>
      <w:r>
        <w:rPr>
          <w:rFonts w:ascii="Arial" w:hAnsi="Arial" w:cs="Arial"/>
          <w:b/>
          <w:color w:val="000000"/>
          <w:sz w:val="24"/>
          <w:szCs w:val="24"/>
        </w:rPr>
        <w:t>CUARTO.</w:t>
      </w:r>
      <w:r>
        <w:rPr>
          <w:sz w:val="24"/>
          <w:szCs w:val="24"/>
        </w:rPr>
        <w:t xml:space="preserve"> </w:t>
      </w:r>
      <w:r>
        <w:rPr>
          <w:rFonts w:ascii="Arial" w:hAnsi="Arial" w:cs="Arial"/>
          <w:sz w:val="24"/>
          <w:szCs w:val="24"/>
        </w:rPr>
        <w:t>Se declara la</w:t>
      </w:r>
      <w:r>
        <w:rPr>
          <w:rFonts w:ascii="Arial" w:hAnsi="Arial" w:cs="Arial"/>
          <w:b/>
          <w:sz w:val="24"/>
          <w:szCs w:val="24"/>
        </w:rPr>
        <w:t xml:space="preserve"> NULIDAD LISA Y LLANA</w:t>
      </w:r>
      <w:r>
        <w:rPr>
          <w:rFonts w:ascii="Arial" w:hAnsi="Arial" w:cs="Arial"/>
          <w:sz w:val="24"/>
          <w:szCs w:val="24"/>
        </w:rPr>
        <w:t xml:space="preserve"> del acta de infracción </w:t>
      </w:r>
      <w:r w:rsidR="00402902">
        <w:rPr>
          <w:rFonts w:ascii="Arial" w:eastAsia="Times New Roman" w:hAnsi="Arial" w:cs="Arial"/>
          <w:bCs/>
          <w:iCs/>
          <w:caps/>
          <w:kern w:val="2"/>
          <w:sz w:val="24"/>
          <w:szCs w:val="24"/>
          <w:lang w:val="es-ES_tradnl" w:eastAsia="es-ES"/>
        </w:rPr>
        <w:t>**********</w:t>
      </w:r>
      <w:r w:rsidR="00402902">
        <w:rPr>
          <w:rFonts w:ascii="Arial" w:eastAsia="Times New Roman" w:hAnsi="Arial" w:cs="Arial"/>
          <w:bCs/>
          <w:iCs/>
          <w:caps/>
          <w:kern w:val="2"/>
          <w:sz w:val="24"/>
          <w:szCs w:val="24"/>
          <w:lang w:val="es-ES_tradnl" w:eastAsia="es-ES"/>
        </w:rPr>
        <w:t xml:space="preserve"> </w:t>
      </w:r>
      <w:r>
        <w:rPr>
          <w:rFonts w:ascii="Arial" w:hAnsi="Arial" w:cs="Arial"/>
          <w:sz w:val="24"/>
          <w:szCs w:val="24"/>
        </w:rPr>
        <w:t xml:space="preserve">de </w:t>
      </w:r>
      <w:r w:rsidR="005A5E2C">
        <w:rPr>
          <w:rFonts w:ascii="Arial" w:hAnsi="Arial" w:cs="Arial"/>
          <w:sz w:val="24"/>
          <w:szCs w:val="24"/>
        </w:rPr>
        <w:t>diecinueve de noviembre</w:t>
      </w:r>
      <w:r w:rsidR="008B6E8B">
        <w:rPr>
          <w:rFonts w:ascii="Arial" w:hAnsi="Arial" w:cs="Arial"/>
          <w:sz w:val="24"/>
          <w:szCs w:val="24"/>
        </w:rPr>
        <w:t xml:space="preserve"> </w:t>
      </w:r>
      <w:r>
        <w:rPr>
          <w:rFonts w:ascii="Arial" w:hAnsi="Arial" w:cs="Arial"/>
          <w:sz w:val="24"/>
          <w:szCs w:val="24"/>
        </w:rPr>
        <w:t xml:space="preserve">de dos mil veinte, </w:t>
      </w:r>
      <w:r>
        <w:rPr>
          <w:rFonts w:ascii="Arial" w:hAnsi="Arial" w:cs="Arial"/>
          <w:bCs/>
          <w:sz w:val="24"/>
          <w:szCs w:val="24"/>
          <w:lang w:eastAsia="es-ES"/>
        </w:rPr>
        <w:t>emitida</w:t>
      </w:r>
      <w:r>
        <w:rPr>
          <w:rFonts w:ascii="Arial" w:hAnsi="Arial" w:cs="Arial"/>
          <w:sz w:val="24"/>
          <w:szCs w:val="24"/>
        </w:rPr>
        <w:t xml:space="preserve"> por </w:t>
      </w:r>
      <w:r w:rsidR="005A5E2C">
        <w:rPr>
          <w:rFonts w:ascii="Arial" w:hAnsi="Arial" w:cs="Arial"/>
          <w:sz w:val="24"/>
          <w:szCs w:val="24"/>
        </w:rPr>
        <w:t>la</w:t>
      </w:r>
      <w:r w:rsidR="008B6E8B">
        <w:rPr>
          <w:rFonts w:ascii="Arial" w:hAnsi="Arial" w:cs="Arial"/>
          <w:sz w:val="24"/>
          <w:szCs w:val="24"/>
        </w:rPr>
        <w:t xml:space="preserve"> </w:t>
      </w:r>
      <w:r w:rsidR="008B6E8B" w:rsidRPr="003202F3">
        <w:rPr>
          <w:rFonts w:ascii="Arial" w:eastAsia="Times New Roman" w:hAnsi="Arial" w:cs="Arial"/>
          <w:bCs/>
          <w:iCs/>
          <w:kern w:val="2"/>
          <w:sz w:val="24"/>
          <w:szCs w:val="24"/>
          <w:lang w:val="es-ES_tradnl" w:eastAsia="es-ES"/>
        </w:rPr>
        <w:t>Policía Vi</w:t>
      </w:r>
      <w:r w:rsidR="005A5E2C">
        <w:rPr>
          <w:rFonts w:ascii="Arial" w:eastAsia="Times New Roman" w:hAnsi="Arial" w:cs="Arial"/>
          <w:bCs/>
          <w:iCs/>
          <w:kern w:val="2"/>
          <w:sz w:val="24"/>
          <w:szCs w:val="24"/>
          <w:lang w:val="es-ES_tradnl" w:eastAsia="es-ES"/>
        </w:rPr>
        <w:t>al con número estadístico PV-260</w:t>
      </w:r>
      <w:r w:rsidR="008B6E8B" w:rsidRPr="003202F3">
        <w:rPr>
          <w:rFonts w:ascii="Arial" w:eastAsia="Times New Roman" w:hAnsi="Arial" w:cs="Arial"/>
          <w:bCs/>
          <w:iCs/>
          <w:kern w:val="2"/>
          <w:sz w:val="24"/>
          <w:szCs w:val="24"/>
          <w:lang w:val="es-ES_tradnl" w:eastAsia="es-ES"/>
        </w:rPr>
        <w:t xml:space="preserve">, </w:t>
      </w:r>
      <w:r w:rsidR="005A5E2C">
        <w:rPr>
          <w:rFonts w:ascii="Arial" w:eastAsia="Times New Roman" w:hAnsi="Arial" w:cs="Arial"/>
          <w:bCs/>
          <w:iCs/>
          <w:kern w:val="2"/>
          <w:sz w:val="24"/>
          <w:szCs w:val="24"/>
          <w:lang w:val="es-ES_tradnl" w:eastAsia="es-ES"/>
        </w:rPr>
        <w:t xml:space="preserve">adscrita a la Subdirección de Tránsito y Movilidad </w:t>
      </w:r>
      <w:r w:rsidR="008B6E8B" w:rsidRPr="003202F3">
        <w:rPr>
          <w:rFonts w:ascii="Arial" w:eastAsia="Times New Roman" w:hAnsi="Arial" w:cs="Arial"/>
          <w:bCs/>
          <w:iCs/>
          <w:kern w:val="2"/>
          <w:sz w:val="24"/>
          <w:szCs w:val="24"/>
          <w:lang w:val="es-ES_tradnl" w:eastAsia="es-ES"/>
        </w:rPr>
        <w:t>de</w:t>
      </w:r>
      <w:r w:rsidR="005A5E2C">
        <w:rPr>
          <w:rFonts w:ascii="Arial" w:eastAsia="Times New Roman" w:hAnsi="Arial" w:cs="Arial"/>
          <w:bCs/>
          <w:iCs/>
          <w:kern w:val="2"/>
          <w:sz w:val="24"/>
          <w:szCs w:val="24"/>
          <w:lang w:val="es-ES_tradnl" w:eastAsia="es-ES"/>
        </w:rPr>
        <w:t>l</w:t>
      </w:r>
      <w:r w:rsidR="008B6E8B" w:rsidRPr="003202F3">
        <w:rPr>
          <w:rFonts w:ascii="Arial" w:eastAsia="Times New Roman" w:hAnsi="Arial" w:cs="Arial"/>
          <w:bCs/>
          <w:iCs/>
          <w:kern w:val="2"/>
          <w:sz w:val="24"/>
          <w:szCs w:val="24"/>
          <w:lang w:val="es-ES_tradnl" w:eastAsia="es-ES"/>
        </w:rPr>
        <w:t xml:space="preserve"> Municipio de Oaxaca de Juárez</w:t>
      </w:r>
      <w:r w:rsidR="008B6E8B">
        <w:rPr>
          <w:rFonts w:ascii="Arial" w:hAnsi="Arial" w:cs="Arial"/>
          <w:color w:val="000000"/>
          <w:sz w:val="24"/>
          <w:szCs w:val="24"/>
        </w:rPr>
        <w:t xml:space="preserve">, Oaxaca, </w:t>
      </w:r>
      <w:r>
        <w:rPr>
          <w:rFonts w:ascii="Arial" w:hAnsi="Arial" w:cs="Arial"/>
          <w:color w:val="000000"/>
          <w:sz w:val="24"/>
          <w:szCs w:val="24"/>
        </w:rPr>
        <w:t>como quedo precisado en el considerando cuarto de esta sentencia.</w:t>
      </w:r>
      <w:r>
        <w:rPr>
          <w:rFonts w:ascii="Arial" w:hAnsi="Arial" w:cs="Arial"/>
          <w:sz w:val="24"/>
          <w:szCs w:val="24"/>
        </w:rPr>
        <w:t xml:space="preserve">- - - - </w:t>
      </w:r>
      <w:r>
        <w:rPr>
          <w:rFonts w:ascii="Arial" w:eastAsia="Arial Unicode MS" w:hAnsi="Arial" w:cs="Arial"/>
          <w:kern w:val="2"/>
          <w:sz w:val="24"/>
          <w:szCs w:val="24"/>
          <w:lang w:eastAsia="ar-SA"/>
        </w:rPr>
        <w:t xml:space="preserve">- - - - - - - - - - - - </w:t>
      </w:r>
      <w:r w:rsidR="005A5E2C">
        <w:rPr>
          <w:rFonts w:ascii="Arial" w:eastAsia="Arial Unicode MS" w:hAnsi="Arial" w:cs="Arial"/>
          <w:kern w:val="2"/>
          <w:sz w:val="24"/>
          <w:szCs w:val="24"/>
          <w:lang w:eastAsia="ar-SA"/>
        </w:rPr>
        <w:t xml:space="preserve">- - - - - - - - - - - - - - - - - - - - - - - - - - - </w:t>
      </w:r>
      <w:r w:rsidR="00D11D3C">
        <w:rPr>
          <w:rFonts w:ascii="Arial" w:eastAsia="Arial Unicode MS" w:hAnsi="Arial" w:cs="Arial"/>
          <w:kern w:val="2"/>
          <w:sz w:val="24"/>
          <w:szCs w:val="24"/>
          <w:lang w:eastAsia="ar-SA"/>
        </w:rPr>
        <w:t xml:space="preserve">- - - - - - - - - - - - - - </w:t>
      </w:r>
    </w:p>
    <w:p w:rsidR="002076A8" w:rsidRDefault="002C5092" w:rsidP="00FF38C0">
      <w:pPr>
        <w:spacing w:line="360" w:lineRule="auto"/>
        <w:ind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QUINTO. </w:t>
      </w:r>
      <w:r w:rsidR="00FF38C0">
        <w:rPr>
          <w:rFonts w:ascii="Arial" w:eastAsia="Arial Unicode MS" w:hAnsi="Arial" w:cs="Arial"/>
          <w:b/>
          <w:kern w:val="2"/>
          <w:sz w:val="24"/>
          <w:szCs w:val="24"/>
          <w:lang w:eastAsia="ar-SA"/>
        </w:rPr>
        <w:t>NOTIFÍQUESE PERSONALM</w:t>
      </w:r>
      <w:r w:rsidR="002076A8">
        <w:rPr>
          <w:rFonts w:ascii="Arial" w:eastAsia="Arial Unicode MS" w:hAnsi="Arial" w:cs="Arial"/>
          <w:b/>
          <w:kern w:val="2"/>
          <w:sz w:val="24"/>
          <w:szCs w:val="24"/>
          <w:lang w:eastAsia="ar-SA"/>
        </w:rPr>
        <w:t>ENTE A</w:t>
      </w:r>
      <w:r w:rsidR="00775EAB">
        <w:rPr>
          <w:rFonts w:ascii="Arial" w:eastAsia="Arial Unicode MS" w:hAnsi="Arial" w:cs="Arial"/>
          <w:b/>
          <w:kern w:val="2"/>
          <w:sz w:val="24"/>
          <w:szCs w:val="24"/>
          <w:lang w:eastAsia="ar-SA"/>
        </w:rPr>
        <w:t xml:space="preserve"> </w:t>
      </w:r>
      <w:r w:rsidR="002076A8">
        <w:rPr>
          <w:rFonts w:ascii="Arial" w:eastAsia="Arial Unicode MS" w:hAnsi="Arial" w:cs="Arial"/>
          <w:b/>
          <w:kern w:val="2"/>
          <w:sz w:val="24"/>
          <w:szCs w:val="24"/>
          <w:lang w:eastAsia="ar-SA"/>
        </w:rPr>
        <w:t>L</w:t>
      </w:r>
      <w:r w:rsidR="00775EAB">
        <w:rPr>
          <w:rFonts w:ascii="Arial" w:eastAsia="Arial Unicode MS" w:hAnsi="Arial" w:cs="Arial"/>
          <w:b/>
          <w:kern w:val="2"/>
          <w:sz w:val="24"/>
          <w:szCs w:val="24"/>
          <w:lang w:eastAsia="ar-SA"/>
        </w:rPr>
        <w:t>A</w:t>
      </w:r>
      <w:r w:rsidR="002076A8">
        <w:rPr>
          <w:rFonts w:ascii="Arial" w:eastAsia="Arial Unicode MS" w:hAnsi="Arial" w:cs="Arial"/>
          <w:b/>
          <w:kern w:val="2"/>
          <w:sz w:val="24"/>
          <w:szCs w:val="24"/>
          <w:lang w:eastAsia="ar-SA"/>
        </w:rPr>
        <w:t xml:space="preserve"> ACTOR</w:t>
      </w:r>
      <w:r w:rsidR="00775EAB">
        <w:rPr>
          <w:rFonts w:ascii="Arial" w:eastAsia="Arial Unicode MS" w:hAnsi="Arial" w:cs="Arial"/>
          <w:b/>
          <w:kern w:val="2"/>
          <w:sz w:val="24"/>
          <w:szCs w:val="24"/>
          <w:lang w:eastAsia="ar-SA"/>
        </w:rPr>
        <w:t>A</w:t>
      </w:r>
      <w:r w:rsidR="002076A8">
        <w:rPr>
          <w:rFonts w:ascii="Arial" w:eastAsia="Arial Unicode MS" w:hAnsi="Arial" w:cs="Arial"/>
          <w:b/>
          <w:kern w:val="2"/>
          <w:sz w:val="24"/>
          <w:szCs w:val="24"/>
          <w:lang w:eastAsia="ar-SA"/>
        </w:rPr>
        <w:t xml:space="preserve"> Y POR OFICIO A LA AUTORIDAD</w:t>
      </w:r>
      <w:r w:rsidR="00FF38C0">
        <w:rPr>
          <w:rFonts w:ascii="Arial" w:eastAsia="Arial Unicode MS" w:hAnsi="Arial" w:cs="Arial"/>
          <w:b/>
          <w:kern w:val="2"/>
          <w:sz w:val="24"/>
          <w:szCs w:val="24"/>
          <w:lang w:eastAsia="ar-SA"/>
        </w:rPr>
        <w:t xml:space="preserve"> DEMANDADA</w:t>
      </w:r>
      <w:r w:rsidR="00FF38C0">
        <w:rPr>
          <w:rFonts w:ascii="Arial" w:eastAsia="Arial Unicode MS" w:hAnsi="Arial" w:cs="Arial"/>
          <w:kern w:val="2"/>
          <w:sz w:val="24"/>
          <w:szCs w:val="24"/>
          <w:lang w:eastAsia="ar-SA"/>
        </w:rPr>
        <w:t>,</w:t>
      </w:r>
      <w:r w:rsidR="00FF38C0">
        <w:rPr>
          <w:rFonts w:ascii="Arial" w:eastAsia="Arial Unicode MS" w:hAnsi="Arial" w:cs="Arial"/>
          <w:b/>
          <w:kern w:val="2"/>
          <w:sz w:val="24"/>
          <w:szCs w:val="24"/>
          <w:lang w:eastAsia="ar-SA"/>
        </w:rPr>
        <w:t xml:space="preserve"> </w:t>
      </w:r>
      <w:r w:rsidR="00FF38C0">
        <w:rPr>
          <w:rFonts w:ascii="Arial" w:eastAsia="Arial Unicode MS" w:hAnsi="Arial" w:cs="Arial"/>
          <w:kern w:val="2"/>
          <w:sz w:val="24"/>
          <w:szCs w:val="24"/>
          <w:lang w:eastAsia="ar-SA"/>
        </w:rPr>
        <w:t>con fundamento en los artículos 172 fracción I y 173 fracciones I, y II, de la Ley de Procedimiento y Justicia Administrativa para el Estado de Oaxaca.</w:t>
      </w:r>
      <w:r w:rsidR="00FF38C0">
        <w:rPr>
          <w:rFonts w:ascii="Arial" w:eastAsia="Arial Unicode MS" w:hAnsi="Arial" w:cs="Arial"/>
          <w:b/>
          <w:kern w:val="2"/>
          <w:sz w:val="24"/>
          <w:szCs w:val="24"/>
          <w:lang w:eastAsia="ar-SA"/>
        </w:rPr>
        <w:t xml:space="preserve"> </w:t>
      </w:r>
      <w:r w:rsidR="00FF38C0">
        <w:rPr>
          <w:rFonts w:ascii="Arial" w:eastAsia="Arial Unicode MS" w:hAnsi="Arial" w:cs="Arial"/>
          <w:kern w:val="2"/>
          <w:sz w:val="24"/>
          <w:szCs w:val="24"/>
          <w:lang w:eastAsia="ar-SA"/>
        </w:rPr>
        <w:t xml:space="preserve">- - - - - - - - - - - - - - - - - - - - - - - - - - - - - - - </w:t>
      </w:r>
      <w:r w:rsidR="002076A8">
        <w:rPr>
          <w:rFonts w:ascii="Arial" w:eastAsia="Arial Unicode MS" w:hAnsi="Arial" w:cs="Arial"/>
          <w:kern w:val="2"/>
          <w:sz w:val="24"/>
          <w:szCs w:val="24"/>
          <w:lang w:eastAsia="ar-SA"/>
        </w:rPr>
        <w:t xml:space="preserve">- - - - - - - - - - - </w:t>
      </w:r>
      <w:r w:rsidR="005A5E2C">
        <w:rPr>
          <w:rFonts w:ascii="Arial" w:eastAsia="Arial Unicode MS" w:hAnsi="Arial" w:cs="Arial"/>
          <w:kern w:val="2"/>
          <w:sz w:val="24"/>
          <w:szCs w:val="24"/>
          <w:lang w:eastAsia="ar-SA"/>
        </w:rPr>
        <w:t xml:space="preserve">- - - - - </w:t>
      </w:r>
      <w:r w:rsidR="00D11D3C">
        <w:rPr>
          <w:rFonts w:ascii="Arial" w:eastAsia="Arial Unicode MS" w:hAnsi="Arial" w:cs="Arial"/>
          <w:kern w:val="2"/>
          <w:sz w:val="24"/>
          <w:szCs w:val="24"/>
          <w:lang w:eastAsia="ar-SA"/>
        </w:rPr>
        <w:t xml:space="preserve">- - - - - - - - - - - </w:t>
      </w:r>
    </w:p>
    <w:p w:rsidR="007C3561" w:rsidRDefault="007C3561" w:rsidP="007C3561">
      <w:pPr>
        <w:spacing w:after="240" w:line="360" w:lineRule="auto"/>
        <w:ind w:firstLine="567"/>
        <w:jc w:val="both"/>
        <w:rPr>
          <w:rFonts w:ascii="Arial" w:hAnsi="Arial" w:cs="Arial"/>
          <w:sz w:val="24"/>
          <w:szCs w:val="24"/>
        </w:rPr>
      </w:pPr>
      <w:r>
        <w:rPr>
          <w:rFonts w:ascii="Arial" w:hAnsi="Arial" w:cs="Arial"/>
          <w:sz w:val="24"/>
          <w:szCs w:val="24"/>
        </w:rPr>
        <w:t xml:space="preserve">Así lo resolvió y firma la Licenciada Monserrat García Altamirano, Secretaria de Acuerdos Encargada del Despacho de la Cuarta Sala Unitaria de Primera Instancia de este Tribunal, autorizada mediante oficio número </w:t>
      </w:r>
      <w:r>
        <w:rPr>
          <w:rFonts w:ascii="Arial" w:hAnsi="Arial" w:cs="Arial"/>
          <w:b/>
          <w:bCs/>
          <w:sz w:val="24"/>
          <w:szCs w:val="24"/>
        </w:rPr>
        <w:t>TJAO/P/77/2021</w:t>
      </w:r>
      <w:r>
        <w:rPr>
          <w:rFonts w:ascii="Arial" w:hAnsi="Arial" w:cs="Arial"/>
          <w:sz w:val="24"/>
          <w:szCs w:val="24"/>
        </w:rPr>
        <w:t xml:space="preserve">, de fecha cinco de abril de dos mil veintiuno, suscrito por el Magistrado Presidente del Tribunal de Justicia Administrativa del Estado de Oaxaca, para tramitar y resolver los asuntos que se lleven en esta Cuarta Sala Unitaria de Primera Instancia de este Tribunal, quien actúa legalmente asistida del Pste. en D. Medardo Martínez Bautista, Actuario adscrito a </w:t>
      </w:r>
      <w:r w:rsidR="00002B6D">
        <w:rPr>
          <w:rFonts w:ascii="Arial" w:hAnsi="Arial" w:cs="Arial"/>
          <w:sz w:val="24"/>
          <w:szCs w:val="24"/>
        </w:rPr>
        <w:t xml:space="preserve">la Sala, quien autoriza y da fe, </w:t>
      </w:r>
      <w:r w:rsidR="00002B6D">
        <w:rPr>
          <w:rFonts w:ascii="Arial" w:eastAsia="Arial" w:hAnsi="Arial" w:cs="Arial"/>
          <w:sz w:val="24"/>
          <w:szCs w:val="24"/>
        </w:rPr>
        <w:t xml:space="preserve">lo anterior, con fundamento en el artículo 20, fracción XXII, de la Ley Orgánica del Tribunal de Justicia Administrativa para el Estado de Oaxaca, publicada en el Periódico Oficial del Estado, el día siete de noviembre de dos mil </w:t>
      </w:r>
      <w:r w:rsidR="00002B6D">
        <w:rPr>
          <w:rFonts w:ascii="Arial" w:eastAsia="Arial" w:hAnsi="Arial" w:cs="Arial"/>
          <w:sz w:val="24"/>
          <w:szCs w:val="24"/>
        </w:rPr>
        <w:lastRenderedPageBreak/>
        <w:t>diecinueve, 139 fracción IV, de la Ley de Procedimiento y Justicia Administrativa del Estado, en relación con el diverso 72, del Reglamento Interno de este Tribunal</w:t>
      </w:r>
      <w:r w:rsidR="00002B6D">
        <w:rPr>
          <w:rFonts w:ascii="Arial" w:hAnsi="Arial" w:cs="Arial"/>
          <w:sz w:val="24"/>
          <w:szCs w:val="24"/>
        </w:rPr>
        <w:t>.</w:t>
      </w:r>
      <w:r>
        <w:rPr>
          <w:rFonts w:ascii="Arial" w:hAnsi="Arial" w:cs="Arial"/>
          <w:sz w:val="24"/>
          <w:szCs w:val="24"/>
        </w:rPr>
        <w:t xml:space="preserve"> - - - - - - - </w:t>
      </w:r>
    </w:p>
    <w:sectPr w:rsidR="007C3561" w:rsidSect="0042238C">
      <w:headerReference w:type="default" r:id="rId8"/>
      <w:footerReference w:type="default" r:id="rId9"/>
      <w:headerReference w:type="first" r:id="rId10"/>
      <w:pgSz w:w="12242" w:h="20163" w:code="5"/>
      <w:pgMar w:top="1276" w:right="1043" w:bottom="1276" w:left="1701" w:header="992" w:footer="1134" w:gutter="0"/>
      <w:paperSrc w:first="7" w:other="7"/>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4F13" w:rsidRDefault="00894F13" w:rsidP="000802F9">
      <w:pPr>
        <w:spacing w:after="0" w:line="240" w:lineRule="auto"/>
      </w:pPr>
      <w:r>
        <w:separator/>
      </w:r>
    </w:p>
  </w:endnote>
  <w:endnote w:type="continuationSeparator" w:id="0">
    <w:p w:rsidR="00894F13" w:rsidRDefault="00894F13"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2902" w:rsidRDefault="00402902">
    <w:pPr>
      <w:pStyle w:val="Piedepgina"/>
    </w:pPr>
    <w:r>
      <w:rPr>
        <w:rFonts w:ascii="Times New Roman" w:hAnsi="Times New Roman" w:cs="Times New Roman"/>
        <w:noProof/>
        <w:sz w:val="24"/>
        <w:szCs w:val="24"/>
        <w:lang w:eastAsia="es-MX"/>
      </w:rPr>
      <mc:AlternateContent>
        <mc:Choice Requires="wps">
          <w:drawing>
            <wp:anchor distT="45720" distB="45720" distL="114300" distR="114300" simplePos="0" relativeHeight="251660800" behindDoc="0" locked="0" layoutInCell="1" allowOverlap="1" wp14:anchorId="5D222C71" wp14:editId="030FC1D2">
              <wp:simplePos x="0" y="0"/>
              <wp:positionH relativeFrom="column">
                <wp:posOffset>-704850</wp:posOffset>
              </wp:positionH>
              <wp:positionV relativeFrom="paragraph">
                <wp:posOffset>-3121660</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402902" w:rsidRDefault="00402902" w:rsidP="00402902">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222C71" id="_x0000_t202" coordsize="21600,21600" o:spt="202" path="m,l,21600r21600,l21600,xe">
              <v:stroke joinstyle="miter"/>
              <v:path gradientshapeok="t" o:connecttype="rect"/>
            </v:shapetype>
            <v:shape id="Cuadro de texto 1" o:spid="_x0000_s1026" type="#_x0000_t202" style="position:absolute;margin-left:-55.5pt;margin-top:-245.8pt;width:64.95pt;height:129.2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">
              <v:textbox>
                <w:txbxContent>
                  <w:p w:rsidR="00402902" w:rsidRDefault="00402902" w:rsidP="00402902">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4F13" w:rsidRDefault="00894F13" w:rsidP="000802F9">
      <w:pPr>
        <w:spacing w:after="0" w:line="240" w:lineRule="auto"/>
      </w:pPr>
      <w:r>
        <w:separator/>
      </w:r>
    </w:p>
  </w:footnote>
  <w:footnote w:type="continuationSeparator" w:id="0">
    <w:p w:rsidR="00894F13" w:rsidRDefault="00894F13"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95944250"/>
      <w:docPartObj>
        <w:docPartGallery w:val="Page Numbers (Top of Page)"/>
        <w:docPartUnique/>
      </w:docPartObj>
    </w:sdtPr>
    <w:sdtEndPr/>
    <w:sdtContent>
      <w:p w:rsidR="009C2D10" w:rsidRDefault="009C2D10">
        <w:pPr>
          <w:pStyle w:val="Encabezado"/>
          <w:jc w:val="center"/>
        </w:pPr>
        <w:r>
          <w:fldChar w:fldCharType="begin"/>
        </w:r>
        <w:r>
          <w:instrText>PAGE   \* MERGEFORMAT</w:instrText>
        </w:r>
        <w:r>
          <w:fldChar w:fldCharType="separate"/>
        </w:r>
        <w:r w:rsidR="00402902" w:rsidRPr="00402902">
          <w:rPr>
            <w:noProof/>
            <w:lang w:val="es-ES"/>
          </w:rPr>
          <w:t>3</w:t>
        </w:r>
        <w:r>
          <w:fldChar w:fldCharType="end"/>
        </w:r>
        <w:r w:rsidR="00402902">
          <w:t xml:space="preserve"> </w:t>
        </w:r>
      </w:p>
    </w:sdtContent>
  </w:sdt>
  <w:p w:rsidR="009C2D10" w:rsidRDefault="009C2D1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7938" w:type="dxa"/>
      <w:tblInd w:w="3085" w:type="dxa"/>
      <w:tblLayout w:type="fixed"/>
      <w:tblLook w:val="04A0" w:firstRow="1" w:lastRow="0" w:firstColumn="1" w:lastColumn="0" w:noHBand="0" w:noVBand="1"/>
    </w:tblPr>
    <w:tblGrid>
      <w:gridCol w:w="2432"/>
      <w:gridCol w:w="4089"/>
      <w:gridCol w:w="283"/>
      <w:gridCol w:w="1134"/>
    </w:tblGrid>
    <w:tr w:rsidR="00C51C01" w:rsidRPr="00481955" w:rsidTr="0042238C">
      <w:trPr>
        <w:gridAfter w:val="1"/>
        <w:wAfter w:w="1134" w:type="dxa"/>
        <w:trHeight w:val="993"/>
      </w:trPr>
      <w:tc>
        <w:tcPr>
          <w:tcW w:w="6804" w:type="dxa"/>
          <w:gridSpan w:val="3"/>
        </w:tcPr>
        <w:p w:rsidR="00C51C01" w:rsidRPr="00481955" w:rsidRDefault="00C51C01" w:rsidP="0042238C">
          <w:pPr>
            <w:pStyle w:val="Encabezado"/>
            <w:ind w:left="-108"/>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Pr>
              <w:rFonts w:ascii="Arial" w:eastAsia="Times New Roman" w:hAnsi="Arial" w:cs="Arial"/>
              <w:b/>
              <w:iCs/>
              <w:kern w:val="2"/>
              <w:sz w:val="24"/>
              <w:szCs w:val="24"/>
              <w:lang w:val="es-ES_tradnl" w:eastAsia="es-ES"/>
            </w:rPr>
            <w:t>DEL ESTADO DE OAXACA</w:t>
          </w:r>
        </w:p>
        <w:p w:rsidR="00C51C01" w:rsidRPr="00481955" w:rsidRDefault="00C51C01" w:rsidP="0042238C">
          <w:pPr>
            <w:tabs>
              <w:tab w:val="center" w:pos="4419"/>
              <w:tab w:val="right" w:pos="8838"/>
            </w:tabs>
            <w:suppressAutoHyphens/>
            <w:spacing w:after="0" w:line="100" w:lineRule="atLeast"/>
            <w:ind w:left="-108" w:right="51"/>
            <w:jc w:val="both"/>
            <w:rPr>
              <w:rFonts w:ascii="Arial" w:eastAsia="Times New Roman" w:hAnsi="Arial" w:cs="Arial"/>
              <w:iCs/>
              <w:kern w:val="2"/>
              <w:sz w:val="24"/>
              <w:szCs w:val="24"/>
              <w:lang w:val="es-ES_tradnl" w:eastAsia="es-ES"/>
            </w:rPr>
          </w:pPr>
        </w:p>
      </w:tc>
    </w:tr>
    <w:tr w:rsidR="00C51C01" w:rsidRPr="0042238C" w:rsidTr="0042238C">
      <w:trPr>
        <w:trHeight w:val="426"/>
      </w:trPr>
      <w:tc>
        <w:tcPr>
          <w:tcW w:w="2432" w:type="dxa"/>
          <w:hideMark/>
        </w:tcPr>
        <w:p w:rsidR="00C51C01" w:rsidRPr="0042238C" w:rsidRDefault="00C51C01" w:rsidP="0042238C">
          <w:pPr>
            <w:tabs>
              <w:tab w:val="center" w:pos="4419"/>
              <w:tab w:val="right" w:pos="8838"/>
            </w:tabs>
            <w:suppressAutoHyphens/>
            <w:spacing w:after="0" w:line="100" w:lineRule="atLeast"/>
            <w:ind w:left="-108" w:right="-383"/>
            <w:jc w:val="both"/>
            <w:rPr>
              <w:rFonts w:ascii="Arial" w:eastAsia="Times New Roman" w:hAnsi="Arial" w:cs="Arial"/>
              <w:b/>
              <w:iCs/>
              <w:kern w:val="2"/>
              <w:sz w:val="24"/>
              <w:szCs w:val="24"/>
              <w:lang w:val="es-ES_tradnl" w:eastAsia="es-ES"/>
            </w:rPr>
          </w:pPr>
          <w:r w:rsidRPr="0042238C">
            <w:rPr>
              <w:rFonts w:ascii="Arial" w:eastAsia="Times New Roman" w:hAnsi="Arial" w:cs="Arial"/>
              <w:b/>
              <w:iCs/>
              <w:caps/>
              <w:kern w:val="2"/>
              <w:sz w:val="24"/>
              <w:szCs w:val="24"/>
              <w:lang w:val="es-ES_tradnl" w:eastAsia="es-ES"/>
            </w:rPr>
            <w:t>juicio de nulidad:</w:t>
          </w:r>
        </w:p>
      </w:tc>
      <w:tc>
        <w:tcPr>
          <w:tcW w:w="5506" w:type="dxa"/>
          <w:gridSpan w:val="3"/>
          <w:hideMark/>
        </w:tcPr>
        <w:p w:rsidR="00C51C01" w:rsidRPr="0042238C" w:rsidRDefault="00956CE7" w:rsidP="0042238C">
          <w:pPr>
            <w:tabs>
              <w:tab w:val="right" w:pos="8838"/>
            </w:tabs>
            <w:suppressAutoHyphens/>
            <w:spacing w:after="0" w:line="100" w:lineRule="atLeast"/>
            <w:ind w:left="-108" w:right="-391"/>
            <w:jc w:val="both"/>
            <w:rPr>
              <w:rFonts w:ascii="Arial" w:eastAsia="Times New Roman" w:hAnsi="Arial" w:cs="Arial"/>
              <w:bCs/>
              <w:iCs/>
              <w:caps/>
              <w:kern w:val="2"/>
              <w:sz w:val="24"/>
              <w:szCs w:val="24"/>
              <w:lang w:val="es-ES_tradnl" w:eastAsia="es-ES"/>
            </w:rPr>
          </w:pPr>
          <w:r w:rsidRPr="0042238C">
            <w:rPr>
              <w:rFonts w:ascii="Arial" w:eastAsia="Times New Roman" w:hAnsi="Arial" w:cs="Arial"/>
              <w:bCs/>
              <w:iCs/>
              <w:caps/>
              <w:kern w:val="2"/>
              <w:sz w:val="24"/>
              <w:szCs w:val="24"/>
              <w:lang w:val="es-ES_tradnl" w:eastAsia="es-ES"/>
            </w:rPr>
            <w:t>0</w:t>
          </w:r>
          <w:r w:rsidR="007C46C2" w:rsidRPr="0042238C">
            <w:rPr>
              <w:rFonts w:ascii="Arial" w:eastAsia="Times New Roman" w:hAnsi="Arial" w:cs="Arial"/>
              <w:bCs/>
              <w:iCs/>
              <w:caps/>
              <w:kern w:val="2"/>
              <w:sz w:val="24"/>
              <w:szCs w:val="24"/>
              <w:lang w:val="es-ES_tradnl" w:eastAsia="es-ES"/>
            </w:rPr>
            <w:t>170</w:t>
          </w:r>
          <w:r w:rsidR="001E294D" w:rsidRPr="0042238C">
            <w:rPr>
              <w:rFonts w:ascii="Arial" w:eastAsia="Times New Roman" w:hAnsi="Arial" w:cs="Arial"/>
              <w:bCs/>
              <w:iCs/>
              <w:caps/>
              <w:kern w:val="2"/>
              <w:sz w:val="24"/>
              <w:szCs w:val="24"/>
              <w:lang w:val="es-ES_tradnl" w:eastAsia="es-ES"/>
            </w:rPr>
            <w:t>/20</w:t>
          </w:r>
          <w:r w:rsidR="000451DD" w:rsidRPr="0042238C">
            <w:rPr>
              <w:rFonts w:ascii="Arial" w:eastAsia="Times New Roman" w:hAnsi="Arial" w:cs="Arial"/>
              <w:bCs/>
              <w:iCs/>
              <w:caps/>
              <w:kern w:val="2"/>
              <w:sz w:val="24"/>
              <w:szCs w:val="24"/>
              <w:lang w:val="es-ES_tradnl" w:eastAsia="es-ES"/>
            </w:rPr>
            <w:t>20</w:t>
          </w:r>
        </w:p>
        <w:p w:rsidR="00C51C01" w:rsidRPr="0042238C" w:rsidRDefault="00C51C01" w:rsidP="0042238C">
          <w:pPr>
            <w:tabs>
              <w:tab w:val="center" w:pos="4419"/>
              <w:tab w:val="right" w:pos="8838"/>
            </w:tabs>
            <w:suppressAutoHyphens/>
            <w:spacing w:after="0" w:line="100" w:lineRule="atLeast"/>
            <w:ind w:left="-108" w:right="-391"/>
            <w:jc w:val="both"/>
            <w:rPr>
              <w:rFonts w:ascii="Arial" w:eastAsia="Times New Roman" w:hAnsi="Arial" w:cs="Arial"/>
              <w:bCs/>
              <w:iCs/>
              <w:caps/>
              <w:kern w:val="2"/>
              <w:sz w:val="24"/>
              <w:szCs w:val="24"/>
              <w:lang w:val="es-ES_tradnl" w:eastAsia="es-ES"/>
            </w:rPr>
          </w:pPr>
        </w:p>
      </w:tc>
    </w:tr>
    <w:tr w:rsidR="00C51C01" w:rsidRPr="00481955" w:rsidTr="0042238C">
      <w:trPr>
        <w:gridAfter w:val="2"/>
        <w:wAfter w:w="1417" w:type="dxa"/>
        <w:trHeight w:val="74"/>
      </w:trPr>
      <w:tc>
        <w:tcPr>
          <w:tcW w:w="2432" w:type="dxa"/>
          <w:hideMark/>
        </w:tcPr>
        <w:p w:rsidR="00C51C01" w:rsidRPr="0042238C" w:rsidRDefault="00C51C01" w:rsidP="0042238C">
          <w:pPr>
            <w:tabs>
              <w:tab w:val="center" w:pos="4419"/>
              <w:tab w:val="right" w:pos="8838"/>
            </w:tabs>
            <w:suppressAutoHyphens/>
            <w:spacing w:after="0" w:line="100" w:lineRule="atLeast"/>
            <w:ind w:left="-108" w:right="51"/>
            <w:jc w:val="both"/>
            <w:rPr>
              <w:rFonts w:ascii="Arial" w:eastAsia="Times New Roman" w:hAnsi="Arial" w:cs="Arial"/>
              <w:b/>
              <w:iCs/>
              <w:caps/>
              <w:kern w:val="2"/>
              <w:sz w:val="24"/>
              <w:szCs w:val="24"/>
              <w:lang w:val="es-ES_tradnl" w:eastAsia="es-ES"/>
            </w:rPr>
          </w:pPr>
          <w:r w:rsidRPr="0042238C">
            <w:rPr>
              <w:rFonts w:ascii="Arial" w:eastAsia="Times New Roman" w:hAnsi="Arial" w:cs="Arial"/>
              <w:b/>
              <w:iCs/>
              <w:caps/>
              <w:kern w:val="2"/>
              <w:sz w:val="24"/>
              <w:szCs w:val="24"/>
              <w:lang w:val="es-ES_tradnl" w:eastAsia="es-ES"/>
            </w:rPr>
            <w:t>ACTOR</w:t>
          </w:r>
          <w:r w:rsidR="007C46C2" w:rsidRPr="0042238C">
            <w:rPr>
              <w:rFonts w:ascii="Arial" w:eastAsia="Times New Roman" w:hAnsi="Arial" w:cs="Arial"/>
              <w:b/>
              <w:iCs/>
              <w:caps/>
              <w:kern w:val="2"/>
              <w:sz w:val="24"/>
              <w:szCs w:val="24"/>
              <w:lang w:val="es-ES_tradnl" w:eastAsia="es-ES"/>
            </w:rPr>
            <w:t>A</w:t>
          </w:r>
          <w:r w:rsidRPr="0042238C">
            <w:rPr>
              <w:rFonts w:ascii="Arial" w:eastAsia="Times New Roman" w:hAnsi="Arial" w:cs="Arial"/>
              <w:b/>
              <w:iCs/>
              <w:caps/>
              <w:kern w:val="2"/>
              <w:sz w:val="24"/>
              <w:szCs w:val="24"/>
              <w:lang w:val="es-ES_tradnl" w:eastAsia="es-ES"/>
            </w:rPr>
            <w:t>:</w:t>
          </w:r>
        </w:p>
      </w:tc>
      <w:tc>
        <w:tcPr>
          <w:tcW w:w="4089" w:type="dxa"/>
        </w:tcPr>
        <w:p w:rsidR="00C51C01" w:rsidRPr="0042238C" w:rsidRDefault="00402902" w:rsidP="0042238C">
          <w:pPr>
            <w:suppressAutoHyphens/>
            <w:spacing w:after="0" w:line="100" w:lineRule="atLeast"/>
            <w:ind w:left="-108" w:right="-108"/>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C51C01" w:rsidRPr="00481955" w:rsidTr="0042238C">
      <w:trPr>
        <w:gridAfter w:val="2"/>
        <w:wAfter w:w="1417" w:type="dxa"/>
        <w:trHeight w:val="939"/>
      </w:trPr>
      <w:tc>
        <w:tcPr>
          <w:tcW w:w="2432" w:type="dxa"/>
        </w:tcPr>
        <w:p w:rsidR="00C51C01" w:rsidRPr="0042238C" w:rsidRDefault="00C51C01" w:rsidP="0042238C">
          <w:pPr>
            <w:tabs>
              <w:tab w:val="center" w:pos="4419"/>
              <w:tab w:val="right" w:pos="8838"/>
            </w:tabs>
            <w:suppressAutoHyphens/>
            <w:spacing w:after="0" w:line="100" w:lineRule="atLeast"/>
            <w:ind w:left="-108" w:right="-241"/>
            <w:jc w:val="both"/>
            <w:rPr>
              <w:rFonts w:ascii="Arial" w:eastAsia="Times New Roman" w:hAnsi="Arial" w:cs="Arial"/>
              <w:b/>
              <w:bCs/>
              <w:iCs/>
              <w:caps/>
              <w:kern w:val="2"/>
              <w:sz w:val="24"/>
              <w:szCs w:val="24"/>
              <w:lang w:val="es-ES_tradnl" w:eastAsia="es-ES"/>
            </w:rPr>
          </w:pPr>
        </w:p>
        <w:p w:rsidR="00C51C01" w:rsidRPr="0042238C" w:rsidRDefault="00C51C01" w:rsidP="0042238C">
          <w:pPr>
            <w:tabs>
              <w:tab w:val="center" w:pos="4419"/>
              <w:tab w:val="right" w:pos="8838"/>
            </w:tabs>
            <w:suppressAutoHyphens/>
            <w:spacing w:after="0" w:line="100" w:lineRule="atLeast"/>
            <w:ind w:left="-108" w:right="51"/>
            <w:jc w:val="both"/>
            <w:rPr>
              <w:rFonts w:ascii="Arial" w:eastAsia="Times New Roman" w:hAnsi="Arial" w:cs="Arial"/>
              <w:b/>
              <w:bCs/>
              <w:iCs/>
              <w:caps/>
              <w:kern w:val="2"/>
              <w:sz w:val="24"/>
              <w:szCs w:val="24"/>
              <w:lang w:val="es-ES_tradnl" w:eastAsia="es-ES"/>
            </w:rPr>
          </w:pPr>
          <w:r w:rsidRPr="0042238C">
            <w:rPr>
              <w:rFonts w:ascii="Arial" w:eastAsia="Times New Roman" w:hAnsi="Arial" w:cs="Arial"/>
              <w:b/>
              <w:bCs/>
              <w:iCs/>
              <w:caps/>
              <w:kern w:val="2"/>
              <w:sz w:val="24"/>
              <w:szCs w:val="24"/>
              <w:lang w:val="es-ES_tradnl" w:eastAsia="es-ES"/>
            </w:rPr>
            <w:t>demandado:</w:t>
          </w:r>
        </w:p>
        <w:p w:rsidR="00C51C01" w:rsidRPr="0042238C" w:rsidRDefault="00C51C01" w:rsidP="0042238C">
          <w:pPr>
            <w:tabs>
              <w:tab w:val="center" w:pos="4419"/>
              <w:tab w:val="right" w:pos="8838"/>
            </w:tabs>
            <w:suppressAutoHyphens/>
            <w:spacing w:after="0" w:line="100" w:lineRule="atLeast"/>
            <w:ind w:left="-108" w:right="51"/>
            <w:jc w:val="both"/>
            <w:rPr>
              <w:rFonts w:ascii="Arial" w:eastAsia="Times New Roman" w:hAnsi="Arial" w:cs="Arial"/>
              <w:b/>
              <w:bCs/>
              <w:iCs/>
              <w:caps/>
              <w:kern w:val="2"/>
              <w:sz w:val="24"/>
              <w:szCs w:val="24"/>
              <w:lang w:val="es-ES_tradnl" w:eastAsia="es-ES"/>
            </w:rPr>
          </w:pPr>
        </w:p>
        <w:p w:rsidR="00C51C01" w:rsidRPr="0042238C" w:rsidRDefault="00C51C01" w:rsidP="0042238C">
          <w:pPr>
            <w:tabs>
              <w:tab w:val="center" w:pos="4419"/>
              <w:tab w:val="right" w:pos="8838"/>
            </w:tabs>
            <w:suppressAutoHyphens/>
            <w:spacing w:after="0" w:line="100" w:lineRule="atLeast"/>
            <w:ind w:left="-108" w:right="51"/>
            <w:jc w:val="both"/>
            <w:rPr>
              <w:rFonts w:ascii="Arial" w:eastAsia="Times New Roman" w:hAnsi="Arial" w:cs="Arial"/>
              <w:b/>
              <w:bCs/>
              <w:iCs/>
              <w:caps/>
              <w:kern w:val="2"/>
              <w:sz w:val="24"/>
              <w:szCs w:val="24"/>
              <w:lang w:val="es-ES_tradnl" w:eastAsia="es-ES"/>
            </w:rPr>
          </w:pPr>
        </w:p>
        <w:p w:rsidR="00C51C01" w:rsidRPr="0042238C" w:rsidRDefault="00C51C01" w:rsidP="0042238C">
          <w:pPr>
            <w:tabs>
              <w:tab w:val="center" w:pos="4419"/>
              <w:tab w:val="right" w:pos="8838"/>
            </w:tabs>
            <w:suppressAutoHyphens/>
            <w:spacing w:after="0" w:line="100" w:lineRule="atLeast"/>
            <w:ind w:left="-108" w:right="51"/>
            <w:jc w:val="both"/>
            <w:rPr>
              <w:rFonts w:ascii="Arial" w:eastAsia="Times New Roman" w:hAnsi="Arial" w:cs="Arial"/>
              <w:b/>
              <w:bCs/>
              <w:iCs/>
              <w:caps/>
              <w:kern w:val="2"/>
              <w:sz w:val="24"/>
              <w:szCs w:val="24"/>
              <w:lang w:val="es-ES_tradnl" w:eastAsia="es-ES"/>
            </w:rPr>
          </w:pPr>
        </w:p>
        <w:p w:rsidR="007C46C2" w:rsidRPr="0042238C" w:rsidRDefault="007C46C2" w:rsidP="0042238C">
          <w:pPr>
            <w:tabs>
              <w:tab w:val="center" w:pos="4419"/>
              <w:tab w:val="right" w:pos="8838"/>
            </w:tabs>
            <w:suppressAutoHyphens/>
            <w:spacing w:after="0" w:line="100" w:lineRule="atLeast"/>
            <w:ind w:left="-108" w:right="51"/>
            <w:jc w:val="both"/>
            <w:rPr>
              <w:rFonts w:ascii="Arial" w:eastAsia="Times New Roman" w:hAnsi="Arial" w:cs="Arial"/>
              <w:b/>
              <w:bCs/>
              <w:iCs/>
              <w:caps/>
              <w:kern w:val="2"/>
              <w:sz w:val="24"/>
              <w:szCs w:val="24"/>
              <w:lang w:val="es-ES_tradnl" w:eastAsia="es-ES"/>
            </w:rPr>
          </w:pPr>
        </w:p>
        <w:p w:rsidR="00C51C01" w:rsidRPr="0042238C" w:rsidRDefault="00C51C01" w:rsidP="0042238C">
          <w:pPr>
            <w:tabs>
              <w:tab w:val="center" w:pos="4419"/>
              <w:tab w:val="right" w:pos="8838"/>
            </w:tabs>
            <w:suppressAutoHyphens/>
            <w:spacing w:after="0" w:line="100" w:lineRule="atLeast"/>
            <w:ind w:left="-108" w:right="51"/>
            <w:jc w:val="both"/>
            <w:rPr>
              <w:rFonts w:ascii="Arial" w:eastAsia="Times New Roman" w:hAnsi="Arial" w:cs="Arial"/>
              <w:b/>
              <w:bCs/>
              <w:iCs/>
              <w:caps/>
              <w:kern w:val="2"/>
              <w:sz w:val="24"/>
              <w:szCs w:val="24"/>
              <w:lang w:val="es-ES_tradnl" w:eastAsia="es-ES"/>
            </w:rPr>
          </w:pPr>
          <w:r w:rsidRPr="0042238C">
            <w:rPr>
              <w:rFonts w:ascii="Arial" w:eastAsia="Times New Roman" w:hAnsi="Arial" w:cs="Arial"/>
              <w:b/>
              <w:bCs/>
              <w:iCs/>
              <w:caps/>
              <w:kern w:val="2"/>
              <w:sz w:val="24"/>
              <w:szCs w:val="24"/>
              <w:lang w:val="es-ES_tradnl" w:eastAsia="es-ES"/>
            </w:rPr>
            <w:t>SECRETARIa:</w:t>
          </w:r>
        </w:p>
        <w:p w:rsidR="00C51C01" w:rsidRPr="0042238C" w:rsidRDefault="00C51C01" w:rsidP="0042238C">
          <w:pPr>
            <w:tabs>
              <w:tab w:val="center" w:pos="4419"/>
              <w:tab w:val="right" w:pos="8838"/>
            </w:tabs>
            <w:suppressAutoHyphens/>
            <w:spacing w:after="0" w:line="100" w:lineRule="atLeast"/>
            <w:ind w:left="-108" w:right="51"/>
            <w:jc w:val="both"/>
            <w:rPr>
              <w:rFonts w:ascii="Arial" w:eastAsia="Times New Roman" w:hAnsi="Arial" w:cs="Arial"/>
              <w:b/>
              <w:iCs/>
              <w:caps/>
              <w:kern w:val="2"/>
              <w:sz w:val="24"/>
              <w:szCs w:val="24"/>
              <w:lang w:val="es-ES_tradnl" w:eastAsia="es-ES"/>
            </w:rPr>
          </w:pPr>
        </w:p>
      </w:tc>
      <w:tc>
        <w:tcPr>
          <w:tcW w:w="4089" w:type="dxa"/>
        </w:tcPr>
        <w:p w:rsidR="00C51C01" w:rsidRPr="0042238C" w:rsidRDefault="00C51C01" w:rsidP="0042238C">
          <w:pPr>
            <w:suppressAutoHyphens/>
            <w:spacing w:after="0" w:line="100" w:lineRule="atLeast"/>
            <w:ind w:left="-108" w:right="-108"/>
            <w:jc w:val="both"/>
            <w:rPr>
              <w:rFonts w:ascii="Arial" w:eastAsia="Times New Roman" w:hAnsi="Arial" w:cs="Arial"/>
              <w:bCs/>
              <w:iCs/>
              <w:caps/>
              <w:kern w:val="2"/>
              <w:sz w:val="24"/>
              <w:szCs w:val="24"/>
              <w:lang w:val="es-ES_tradnl" w:eastAsia="es-ES"/>
            </w:rPr>
          </w:pPr>
        </w:p>
        <w:p w:rsidR="00873728" w:rsidRPr="0042238C" w:rsidRDefault="00C60E6E" w:rsidP="0042238C">
          <w:pPr>
            <w:suppressAutoHyphens/>
            <w:spacing w:after="0" w:line="100" w:lineRule="atLeast"/>
            <w:ind w:left="-108" w:right="-108"/>
            <w:jc w:val="both"/>
            <w:rPr>
              <w:rFonts w:ascii="Arial" w:eastAsia="Times New Roman" w:hAnsi="Arial" w:cs="Arial"/>
              <w:bCs/>
              <w:iCs/>
              <w:caps/>
              <w:kern w:val="2"/>
              <w:sz w:val="24"/>
              <w:szCs w:val="24"/>
              <w:lang w:val="es-ES_tradnl" w:eastAsia="es-ES"/>
            </w:rPr>
          </w:pPr>
          <w:r w:rsidRPr="0042238C">
            <w:rPr>
              <w:rFonts w:ascii="Arial" w:eastAsia="Times New Roman" w:hAnsi="Arial" w:cs="Arial"/>
              <w:bCs/>
              <w:iCs/>
              <w:caps/>
              <w:kern w:val="2"/>
              <w:sz w:val="24"/>
              <w:szCs w:val="24"/>
              <w:lang w:val="es-ES_tradnl" w:eastAsia="es-ES"/>
            </w:rPr>
            <w:t>POLICIA VI</w:t>
          </w:r>
          <w:r w:rsidR="007C46C2" w:rsidRPr="0042238C">
            <w:rPr>
              <w:rFonts w:ascii="Arial" w:eastAsia="Times New Roman" w:hAnsi="Arial" w:cs="Arial"/>
              <w:bCs/>
              <w:iCs/>
              <w:caps/>
              <w:kern w:val="2"/>
              <w:sz w:val="24"/>
              <w:szCs w:val="24"/>
              <w:lang w:val="es-ES_tradnl" w:eastAsia="es-ES"/>
            </w:rPr>
            <w:t>AL CON NÚMERO ESTADÍSTICO PV-260</w:t>
          </w:r>
          <w:r w:rsidRPr="0042238C">
            <w:rPr>
              <w:rFonts w:ascii="Arial" w:eastAsia="Times New Roman" w:hAnsi="Arial" w:cs="Arial"/>
              <w:bCs/>
              <w:iCs/>
              <w:caps/>
              <w:kern w:val="2"/>
              <w:sz w:val="24"/>
              <w:szCs w:val="24"/>
              <w:lang w:val="es-ES_tradnl" w:eastAsia="es-ES"/>
            </w:rPr>
            <w:t xml:space="preserve">, </w:t>
          </w:r>
          <w:r w:rsidR="007C46C2" w:rsidRPr="0042238C">
            <w:rPr>
              <w:rFonts w:ascii="Arial" w:eastAsia="Times New Roman" w:hAnsi="Arial" w:cs="Arial"/>
              <w:bCs/>
              <w:iCs/>
              <w:caps/>
              <w:kern w:val="2"/>
              <w:sz w:val="24"/>
              <w:szCs w:val="24"/>
              <w:lang w:val="es-ES_tradnl" w:eastAsia="es-ES"/>
            </w:rPr>
            <w:t xml:space="preserve">ADSCRITA A LA SUBDIRECCIÓN DE TRÁNSITO Y MOVILIDAD </w:t>
          </w:r>
          <w:r w:rsidRPr="0042238C">
            <w:rPr>
              <w:rFonts w:ascii="Arial" w:eastAsia="Times New Roman" w:hAnsi="Arial" w:cs="Arial"/>
              <w:bCs/>
              <w:iCs/>
              <w:caps/>
              <w:kern w:val="2"/>
              <w:sz w:val="24"/>
              <w:szCs w:val="24"/>
              <w:lang w:val="es-ES_tradnl" w:eastAsia="es-ES"/>
            </w:rPr>
            <w:t>DEL MUNICIPIO DE OAXACA DE JUÁREZ</w:t>
          </w:r>
        </w:p>
        <w:p w:rsidR="00C51C01" w:rsidRPr="0042238C" w:rsidRDefault="00C51C01" w:rsidP="0042238C">
          <w:pPr>
            <w:suppressAutoHyphens/>
            <w:spacing w:after="0" w:line="100" w:lineRule="atLeast"/>
            <w:ind w:left="-108" w:right="-108"/>
            <w:jc w:val="both"/>
            <w:rPr>
              <w:rFonts w:ascii="Arial" w:eastAsia="Times New Roman" w:hAnsi="Arial" w:cs="Arial"/>
              <w:bCs/>
              <w:iCs/>
              <w:caps/>
              <w:kern w:val="2"/>
              <w:sz w:val="24"/>
              <w:szCs w:val="24"/>
              <w:lang w:val="es-ES_tradnl" w:eastAsia="es-ES"/>
            </w:rPr>
          </w:pPr>
        </w:p>
        <w:p w:rsidR="00C51C01" w:rsidRPr="0042238C" w:rsidRDefault="007C46C2" w:rsidP="0042238C">
          <w:pPr>
            <w:suppressAutoHyphens/>
            <w:spacing w:after="0" w:line="100" w:lineRule="atLeast"/>
            <w:ind w:left="-108" w:right="-108"/>
            <w:jc w:val="both"/>
            <w:rPr>
              <w:rFonts w:ascii="Arial" w:eastAsia="Times New Roman" w:hAnsi="Arial" w:cs="Arial"/>
              <w:bCs/>
              <w:iCs/>
              <w:caps/>
              <w:kern w:val="2"/>
              <w:sz w:val="24"/>
              <w:szCs w:val="24"/>
              <w:lang w:val="es-ES_tradnl" w:eastAsia="es-ES"/>
            </w:rPr>
          </w:pPr>
          <w:r w:rsidRPr="0042238C">
            <w:rPr>
              <w:rFonts w:ascii="Arial" w:eastAsia="Times New Roman" w:hAnsi="Arial" w:cs="Arial"/>
              <w:bCs/>
              <w:iCs/>
              <w:caps/>
              <w:kern w:val="2"/>
              <w:sz w:val="24"/>
              <w:szCs w:val="24"/>
              <w:lang w:val="es-ES_tradnl" w:eastAsia="es-ES"/>
            </w:rPr>
            <w:t>lICENCIADA</w:t>
          </w:r>
          <w:r w:rsidR="00C51C01" w:rsidRPr="0042238C">
            <w:rPr>
              <w:rFonts w:ascii="Arial" w:eastAsia="Times New Roman" w:hAnsi="Arial" w:cs="Arial"/>
              <w:bCs/>
              <w:iCs/>
              <w:caps/>
              <w:kern w:val="2"/>
              <w:sz w:val="24"/>
              <w:szCs w:val="24"/>
              <w:lang w:val="es-ES_tradnl" w:eastAsia="es-ES"/>
            </w:rPr>
            <w:t xml:space="preserve"> monserrat garcía altamirano.</w:t>
          </w:r>
        </w:p>
      </w:tc>
    </w:tr>
  </w:tbl>
  <w:p w:rsidR="00C51C01" w:rsidRDefault="00402902" w:rsidP="00967B8C">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6704" behindDoc="0" locked="0" layoutInCell="1" allowOverlap="1" wp14:anchorId="7240F5E4" wp14:editId="412628BC">
              <wp:simplePos x="0" y="0"/>
              <wp:positionH relativeFrom="column">
                <wp:posOffset>-989282</wp:posOffset>
              </wp:positionH>
              <wp:positionV relativeFrom="paragraph">
                <wp:posOffset>2577835</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rsidR="00402902" w:rsidRDefault="00402902" w:rsidP="00402902">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40F5E4" id="_x0000_t202" coordsize="21600,21600" o:spt="202" path="m,l,21600r21600,l21600,xe">
              <v:stroke joinstyle="miter"/>
              <v:path gradientshapeok="t" o:connecttype="rect"/>
            </v:shapetype>
            <v:shape id="Cuadro de texto 4" o:spid="_x0000_s1027" type="#_x0000_t202" style="position:absolute;margin-left:-77.9pt;margin-top:203pt;width:64.95pt;height:129.2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">
              <v:textbox>
                <w:txbxContent>
                  <w:p w:rsidR="00402902" w:rsidRDefault="00402902" w:rsidP="00402902">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A52D8B"/>
    <w:multiLevelType w:val="hybridMultilevel"/>
    <w:tmpl w:val="621082D2"/>
    <w:lvl w:ilvl="0" w:tplc="169A8608">
      <w:start w:val="1"/>
      <w:numFmt w:val="lowerLetter"/>
      <w:lvlText w:val="%1)"/>
      <w:lvlJc w:val="left"/>
      <w:pPr>
        <w:ind w:left="1647" w:hanging="360"/>
      </w:pPr>
      <w:rPr>
        <w:rFonts w:hint="default"/>
      </w:rPr>
    </w:lvl>
    <w:lvl w:ilvl="1" w:tplc="080A0019" w:tentative="1">
      <w:start w:val="1"/>
      <w:numFmt w:val="lowerLetter"/>
      <w:lvlText w:val="%2."/>
      <w:lvlJc w:val="left"/>
      <w:pPr>
        <w:ind w:left="2367" w:hanging="360"/>
      </w:pPr>
    </w:lvl>
    <w:lvl w:ilvl="2" w:tplc="080A001B" w:tentative="1">
      <w:start w:val="1"/>
      <w:numFmt w:val="lowerRoman"/>
      <w:lvlText w:val="%3."/>
      <w:lvlJc w:val="right"/>
      <w:pPr>
        <w:ind w:left="3087" w:hanging="180"/>
      </w:pPr>
    </w:lvl>
    <w:lvl w:ilvl="3" w:tplc="080A000F" w:tentative="1">
      <w:start w:val="1"/>
      <w:numFmt w:val="decimal"/>
      <w:lvlText w:val="%4."/>
      <w:lvlJc w:val="left"/>
      <w:pPr>
        <w:ind w:left="3807" w:hanging="360"/>
      </w:pPr>
    </w:lvl>
    <w:lvl w:ilvl="4" w:tplc="080A0019" w:tentative="1">
      <w:start w:val="1"/>
      <w:numFmt w:val="lowerLetter"/>
      <w:lvlText w:val="%5."/>
      <w:lvlJc w:val="left"/>
      <w:pPr>
        <w:ind w:left="4527" w:hanging="360"/>
      </w:pPr>
    </w:lvl>
    <w:lvl w:ilvl="5" w:tplc="080A001B" w:tentative="1">
      <w:start w:val="1"/>
      <w:numFmt w:val="lowerRoman"/>
      <w:lvlText w:val="%6."/>
      <w:lvlJc w:val="right"/>
      <w:pPr>
        <w:ind w:left="5247" w:hanging="180"/>
      </w:pPr>
    </w:lvl>
    <w:lvl w:ilvl="6" w:tplc="080A000F" w:tentative="1">
      <w:start w:val="1"/>
      <w:numFmt w:val="decimal"/>
      <w:lvlText w:val="%7."/>
      <w:lvlJc w:val="left"/>
      <w:pPr>
        <w:ind w:left="5967" w:hanging="360"/>
      </w:pPr>
    </w:lvl>
    <w:lvl w:ilvl="7" w:tplc="080A0019" w:tentative="1">
      <w:start w:val="1"/>
      <w:numFmt w:val="lowerLetter"/>
      <w:lvlText w:val="%8."/>
      <w:lvlJc w:val="left"/>
      <w:pPr>
        <w:ind w:left="6687" w:hanging="360"/>
      </w:pPr>
    </w:lvl>
    <w:lvl w:ilvl="8" w:tplc="080A001B" w:tentative="1">
      <w:start w:val="1"/>
      <w:numFmt w:val="lowerRoman"/>
      <w:lvlText w:val="%9."/>
      <w:lvlJc w:val="right"/>
      <w:pPr>
        <w:ind w:left="7407" w:hanging="180"/>
      </w:pPr>
    </w:lvl>
  </w:abstractNum>
  <w:abstractNum w:abstractNumId="1">
    <w:nsid w:val="596A018C"/>
    <w:multiLevelType w:val="hybridMultilevel"/>
    <w:tmpl w:val="F8C2BAC4"/>
    <w:lvl w:ilvl="0" w:tplc="AAD43ADE">
      <w:start w:val="1"/>
      <w:numFmt w:val="upperRoman"/>
      <w:lvlText w:val="%1."/>
      <w:lvlJc w:val="left"/>
      <w:pPr>
        <w:ind w:left="1287" w:hanging="720"/>
      </w:pPr>
      <w:rPr>
        <w:rFonts w:hint="default"/>
        <w:b/>
        <w:color w:val="auto"/>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02B6D"/>
    <w:rsid w:val="00005B26"/>
    <w:rsid w:val="000119D6"/>
    <w:rsid w:val="000140AA"/>
    <w:rsid w:val="00015198"/>
    <w:rsid w:val="00017F8D"/>
    <w:rsid w:val="000213B5"/>
    <w:rsid w:val="00022A3D"/>
    <w:rsid w:val="00025839"/>
    <w:rsid w:val="00032C60"/>
    <w:rsid w:val="000429DB"/>
    <w:rsid w:val="000451DD"/>
    <w:rsid w:val="00046574"/>
    <w:rsid w:val="000501BE"/>
    <w:rsid w:val="000510BD"/>
    <w:rsid w:val="00051F13"/>
    <w:rsid w:val="000607F6"/>
    <w:rsid w:val="00077067"/>
    <w:rsid w:val="000802F9"/>
    <w:rsid w:val="000A0137"/>
    <w:rsid w:val="000A2695"/>
    <w:rsid w:val="000A30AF"/>
    <w:rsid w:val="000A57A8"/>
    <w:rsid w:val="000A75CF"/>
    <w:rsid w:val="000B09F3"/>
    <w:rsid w:val="000B4F01"/>
    <w:rsid w:val="000B7918"/>
    <w:rsid w:val="000E689C"/>
    <w:rsid w:val="000F774F"/>
    <w:rsid w:val="001217D0"/>
    <w:rsid w:val="00124111"/>
    <w:rsid w:val="00135490"/>
    <w:rsid w:val="00142F14"/>
    <w:rsid w:val="001510A8"/>
    <w:rsid w:val="00151E8B"/>
    <w:rsid w:val="00155266"/>
    <w:rsid w:val="0016257F"/>
    <w:rsid w:val="00164349"/>
    <w:rsid w:val="00172BBF"/>
    <w:rsid w:val="001803E6"/>
    <w:rsid w:val="0018179A"/>
    <w:rsid w:val="00185746"/>
    <w:rsid w:val="00192C35"/>
    <w:rsid w:val="001A6C41"/>
    <w:rsid w:val="001A74A3"/>
    <w:rsid w:val="001B3873"/>
    <w:rsid w:val="001C3AD0"/>
    <w:rsid w:val="001D6088"/>
    <w:rsid w:val="001E294D"/>
    <w:rsid w:val="001E382B"/>
    <w:rsid w:val="001E57CA"/>
    <w:rsid w:val="001E5AF1"/>
    <w:rsid w:val="001F321F"/>
    <w:rsid w:val="002031AF"/>
    <w:rsid w:val="002076A8"/>
    <w:rsid w:val="002146CF"/>
    <w:rsid w:val="00217C56"/>
    <w:rsid w:val="00221F75"/>
    <w:rsid w:val="00254463"/>
    <w:rsid w:val="0025463B"/>
    <w:rsid w:val="002743B5"/>
    <w:rsid w:val="0028014E"/>
    <w:rsid w:val="0028019C"/>
    <w:rsid w:val="00282970"/>
    <w:rsid w:val="0028355E"/>
    <w:rsid w:val="00286CA4"/>
    <w:rsid w:val="002901A1"/>
    <w:rsid w:val="00293549"/>
    <w:rsid w:val="0029490C"/>
    <w:rsid w:val="002B3AB9"/>
    <w:rsid w:val="002C2317"/>
    <w:rsid w:val="002C5092"/>
    <w:rsid w:val="00302FD0"/>
    <w:rsid w:val="00303D95"/>
    <w:rsid w:val="00304279"/>
    <w:rsid w:val="003166ED"/>
    <w:rsid w:val="003202F3"/>
    <w:rsid w:val="00331BD9"/>
    <w:rsid w:val="00332AF1"/>
    <w:rsid w:val="00352A14"/>
    <w:rsid w:val="00356466"/>
    <w:rsid w:val="0037717F"/>
    <w:rsid w:val="003858AA"/>
    <w:rsid w:val="003858E2"/>
    <w:rsid w:val="00394B9F"/>
    <w:rsid w:val="0039522E"/>
    <w:rsid w:val="003A0F00"/>
    <w:rsid w:val="003A1408"/>
    <w:rsid w:val="003A7580"/>
    <w:rsid w:val="003B6D0C"/>
    <w:rsid w:val="003B71DF"/>
    <w:rsid w:val="003C3330"/>
    <w:rsid w:val="003D0754"/>
    <w:rsid w:val="003D4270"/>
    <w:rsid w:val="003E08C9"/>
    <w:rsid w:val="003E196E"/>
    <w:rsid w:val="003E2089"/>
    <w:rsid w:val="003E3732"/>
    <w:rsid w:val="00400A16"/>
    <w:rsid w:val="004015FF"/>
    <w:rsid w:val="00402902"/>
    <w:rsid w:val="00404EB6"/>
    <w:rsid w:val="0041288B"/>
    <w:rsid w:val="004140E0"/>
    <w:rsid w:val="0041661F"/>
    <w:rsid w:val="0042238C"/>
    <w:rsid w:val="0044143A"/>
    <w:rsid w:val="00450F4F"/>
    <w:rsid w:val="00452662"/>
    <w:rsid w:val="004543E0"/>
    <w:rsid w:val="00471A59"/>
    <w:rsid w:val="004922E9"/>
    <w:rsid w:val="0049671F"/>
    <w:rsid w:val="004A2E31"/>
    <w:rsid w:val="004B14AA"/>
    <w:rsid w:val="004B3AD6"/>
    <w:rsid w:val="004C4514"/>
    <w:rsid w:val="004C70FA"/>
    <w:rsid w:val="004D6471"/>
    <w:rsid w:val="004E0C8A"/>
    <w:rsid w:val="004E6F16"/>
    <w:rsid w:val="004F08B7"/>
    <w:rsid w:val="004F4791"/>
    <w:rsid w:val="004F638E"/>
    <w:rsid w:val="00511112"/>
    <w:rsid w:val="00516272"/>
    <w:rsid w:val="0051797B"/>
    <w:rsid w:val="00520EB3"/>
    <w:rsid w:val="00535D60"/>
    <w:rsid w:val="00552029"/>
    <w:rsid w:val="00555E26"/>
    <w:rsid w:val="00556011"/>
    <w:rsid w:val="005666BA"/>
    <w:rsid w:val="00570D25"/>
    <w:rsid w:val="0057251E"/>
    <w:rsid w:val="0058238C"/>
    <w:rsid w:val="005901D1"/>
    <w:rsid w:val="0059292E"/>
    <w:rsid w:val="00592E7A"/>
    <w:rsid w:val="005A1DA5"/>
    <w:rsid w:val="005A5E2C"/>
    <w:rsid w:val="005A5EE2"/>
    <w:rsid w:val="005B19D7"/>
    <w:rsid w:val="005C37EE"/>
    <w:rsid w:val="005C6E5A"/>
    <w:rsid w:val="005D0E58"/>
    <w:rsid w:val="005D55DB"/>
    <w:rsid w:val="005E230C"/>
    <w:rsid w:val="005F65DB"/>
    <w:rsid w:val="005F6B3F"/>
    <w:rsid w:val="006042A6"/>
    <w:rsid w:val="00612DF2"/>
    <w:rsid w:val="00612E24"/>
    <w:rsid w:val="00651996"/>
    <w:rsid w:val="00652F4A"/>
    <w:rsid w:val="00654C1F"/>
    <w:rsid w:val="006604AA"/>
    <w:rsid w:val="00661008"/>
    <w:rsid w:val="00663E51"/>
    <w:rsid w:val="00674B21"/>
    <w:rsid w:val="006852B3"/>
    <w:rsid w:val="00687B74"/>
    <w:rsid w:val="0069365D"/>
    <w:rsid w:val="00697EA8"/>
    <w:rsid w:val="006B5B01"/>
    <w:rsid w:val="006B6223"/>
    <w:rsid w:val="006B6C7A"/>
    <w:rsid w:val="006C24F2"/>
    <w:rsid w:val="006C7765"/>
    <w:rsid w:val="006D1D26"/>
    <w:rsid w:val="006E34BD"/>
    <w:rsid w:val="006F122D"/>
    <w:rsid w:val="00700293"/>
    <w:rsid w:val="00710383"/>
    <w:rsid w:val="007220A8"/>
    <w:rsid w:val="00730000"/>
    <w:rsid w:val="00734CC5"/>
    <w:rsid w:val="00744C47"/>
    <w:rsid w:val="00746A4B"/>
    <w:rsid w:val="007529A5"/>
    <w:rsid w:val="00755D73"/>
    <w:rsid w:val="007664FA"/>
    <w:rsid w:val="00775EAB"/>
    <w:rsid w:val="007803ED"/>
    <w:rsid w:val="00781F5F"/>
    <w:rsid w:val="00786C82"/>
    <w:rsid w:val="00787C61"/>
    <w:rsid w:val="0079562B"/>
    <w:rsid w:val="007A4BC5"/>
    <w:rsid w:val="007A749A"/>
    <w:rsid w:val="007B0078"/>
    <w:rsid w:val="007C2537"/>
    <w:rsid w:val="007C25A4"/>
    <w:rsid w:val="007C3561"/>
    <w:rsid w:val="007C46C2"/>
    <w:rsid w:val="007D2C57"/>
    <w:rsid w:val="007D6B2B"/>
    <w:rsid w:val="007E73B7"/>
    <w:rsid w:val="007F393B"/>
    <w:rsid w:val="00823D7B"/>
    <w:rsid w:val="008442E1"/>
    <w:rsid w:val="00845625"/>
    <w:rsid w:val="00847815"/>
    <w:rsid w:val="00852518"/>
    <w:rsid w:val="00855E38"/>
    <w:rsid w:val="0086057A"/>
    <w:rsid w:val="0087327E"/>
    <w:rsid w:val="00873728"/>
    <w:rsid w:val="00876B4A"/>
    <w:rsid w:val="0089415A"/>
    <w:rsid w:val="0089454D"/>
    <w:rsid w:val="00894F13"/>
    <w:rsid w:val="008A1649"/>
    <w:rsid w:val="008B37A9"/>
    <w:rsid w:val="008B423A"/>
    <w:rsid w:val="008B6E8B"/>
    <w:rsid w:val="008C65DF"/>
    <w:rsid w:val="008D005F"/>
    <w:rsid w:val="008E7771"/>
    <w:rsid w:val="008F03AE"/>
    <w:rsid w:val="00900625"/>
    <w:rsid w:val="00906E1E"/>
    <w:rsid w:val="00907B40"/>
    <w:rsid w:val="00921E17"/>
    <w:rsid w:val="00922AF1"/>
    <w:rsid w:val="00931791"/>
    <w:rsid w:val="0093464F"/>
    <w:rsid w:val="00954574"/>
    <w:rsid w:val="00956CE7"/>
    <w:rsid w:val="0096500F"/>
    <w:rsid w:val="00967B8C"/>
    <w:rsid w:val="00972EA7"/>
    <w:rsid w:val="00983E3B"/>
    <w:rsid w:val="00985798"/>
    <w:rsid w:val="00986503"/>
    <w:rsid w:val="0099509F"/>
    <w:rsid w:val="009954D2"/>
    <w:rsid w:val="00996106"/>
    <w:rsid w:val="00996EED"/>
    <w:rsid w:val="009A24E4"/>
    <w:rsid w:val="009B3276"/>
    <w:rsid w:val="009C25F3"/>
    <w:rsid w:val="009C2D10"/>
    <w:rsid w:val="009C2F56"/>
    <w:rsid w:val="009C3C6E"/>
    <w:rsid w:val="009E0C32"/>
    <w:rsid w:val="009E1DCB"/>
    <w:rsid w:val="009E221D"/>
    <w:rsid w:val="009E5A07"/>
    <w:rsid w:val="009F251B"/>
    <w:rsid w:val="009F533D"/>
    <w:rsid w:val="00A00189"/>
    <w:rsid w:val="00A121D1"/>
    <w:rsid w:val="00A12548"/>
    <w:rsid w:val="00A21E57"/>
    <w:rsid w:val="00A30B39"/>
    <w:rsid w:val="00A34600"/>
    <w:rsid w:val="00A34F6D"/>
    <w:rsid w:val="00A44221"/>
    <w:rsid w:val="00A54AEA"/>
    <w:rsid w:val="00A5591B"/>
    <w:rsid w:val="00A623D8"/>
    <w:rsid w:val="00A62F50"/>
    <w:rsid w:val="00A72008"/>
    <w:rsid w:val="00A72894"/>
    <w:rsid w:val="00A7360A"/>
    <w:rsid w:val="00A76356"/>
    <w:rsid w:val="00A808D6"/>
    <w:rsid w:val="00A8536C"/>
    <w:rsid w:val="00A87BE9"/>
    <w:rsid w:val="00AA467A"/>
    <w:rsid w:val="00AB377E"/>
    <w:rsid w:val="00AB4447"/>
    <w:rsid w:val="00AB639F"/>
    <w:rsid w:val="00AB6D04"/>
    <w:rsid w:val="00AD6B65"/>
    <w:rsid w:val="00B056F5"/>
    <w:rsid w:val="00B204DD"/>
    <w:rsid w:val="00B36B7F"/>
    <w:rsid w:val="00B37299"/>
    <w:rsid w:val="00B42A87"/>
    <w:rsid w:val="00B45A99"/>
    <w:rsid w:val="00B55A86"/>
    <w:rsid w:val="00B64F2B"/>
    <w:rsid w:val="00B70FC2"/>
    <w:rsid w:val="00B774E6"/>
    <w:rsid w:val="00B84530"/>
    <w:rsid w:val="00B94A85"/>
    <w:rsid w:val="00BD15F4"/>
    <w:rsid w:val="00BD5990"/>
    <w:rsid w:val="00BF5042"/>
    <w:rsid w:val="00BF57C2"/>
    <w:rsid w:val="00C02416"/>
    <w:rsid w:val="00C02D7E"/>
    <w:rsid w:val="00C068C1"/>
    <w:rsid w:val="00C16941"/>
    <w:rsid w:val="00C24CA7"/>
    <w:rsid w:val="00C268C2"/>
    <w:rsid w:val="00C31DA0"/>
    <w:rsid w:val="00C37BD2"/>
    <w:rsid w:val="00C46612"/>
    <w:rsid w:val="00C5183C"/>
    <w:rsid w:val="00C51C01"/>
    <w:rsid w:val="00C54003"/>
    <w:rsid w:val="00C55168"/>
    <w:rsid w:val="00C60E6E"/>
    <w:rsid w:val="00C617A5"/>
    <w:rsid w:val="00C64329"/>
    <w:rsid w:val="00C65510"/>
    <w:rsid w:val="00C6654D"/>
    <w:rsid w:val="00C66C18"/>
    <w:rsid w:val="00C67FC7"/>
    <w:rsid w:val="00C715E1"/>
    <w:rsid w:val="00C72246"/>
    <w:rsid w:val="00C80EAA"/>
    <w:rsid w:val="00C95CF2"/>
    <w:rsid w:val="00C97157"/>
    <w:rsid w:val="00C971B7"/>
    <w:rsid w:val="00CA5528"/>
    <w:rsid w:val="00CA68D9"/>
    <w:rsid w:val="00CB17A6"/>
    <w:rsid w:val="00CC7332"/>
    <w:rsid w:val="00CD2153"/>
    <w:rsid w:val="00CD4E04"/>
    <w:rsid w:val="00CF1EE0"/>
    <w:rsid w:val="00CF5069"/>
    <w:rsid w:val="00CF5C60"/>
    <w:rsid w:val="00CF6C9A"/>
    <w:rsid w:val="00D01C42"/>
    <w:rsid w:val="00D04FE1"/>
    <w:rsid w:val="00D11D3C"/>
    <w:rsid w:val="00D164F6"/>
    <w:rsid w:val="00D26F06"/>
    <w:rsid w:val="00D33FB8"/>
    <w:rsid w:val="00D3777D"/>
    <w:rsid w:val="00D5077E"/>
    <w:rsid w:val="00D60711"/>
    <w:rsid w:val="00D678FC"/>
    <w:rsid w:val="00D861F0"/>
    <w:rsid w:val="00D9348D"/>
    <w:rsid w:val="00D96257"/>
    <w:rsid w:val="00DB2C1E"/>
    <w:rsid w:val="00DB46DA"/>
    <w:rsid w:val="00DC1873"/>
    <w:rsid w:val="00DC38B8"/>
    <w:rsid w:val="00DC6B8F"/>
    <w:rsid w:val="00DD2C32"/>
    <w:rsid w:val="00DE1928"/>
    <w:rsid w:val="00DE5543"/>
    <w:rsid w:val="00E076BB"/>
    <w:rsid w:val="00E16427"/>
    <w:rsid w:val="00E3495D"/>
    <w:rsid w:val="00E4007C"/>
    <w:rsid w:val="00E4496F"/>
    <w:rsid w:val="00E5391E"/>
    <w:rsid w:val="00E54166"/>
    <w:rsid w:val="00E66467"/>
    <w:rsid w:val="00E720B2"/>
    <w:rsid w:val="00E73EB2"/>
    <w:rsid w:val="00E87191"/>
    <w:rsid w:val="00EA7FB3"/>
    <w:rsid w:val="00EB234F"/>
    <w:rsid w:val="00EB48B4"/>
    <w:rsid w:val="00ED37BF"/>
    <w:rsid w:val="00EE0507"/>
    <w:rsid w:val="00EE220A"/>
    <w:rsid w:val="00EE5DF0"/>
    <w:rsid w:val="00EF0A3A"/>
    <w:rsid w:val="00EF1670"/>
    <w:rsid w:val="00EF4FF0"/>
    <w:rsid w:val="00F1640B"/>
    <w:rsid w:val="00F16BBC"/>
    <w:rsid w:val="00F16DA3"/>
    <w:rsid w:val="00F46AB8"/>
    <w:rsid w:val="00F500C3"/>
    <w:rsid w:val="00F517A5"/>
    <w:rsid w:val="00F54DF3"/>
    <w:rsid w:val="00F56D77"/>
    <w:rsid w:val="00F61833"/>
    <w:rsid w:val="00F71DEC"/>
    <w:rsid w:val="00F82CC5"/>
    <w:rsid w:val="00FA583E"/>
    <w:rsid w:val="00FA5F9A"/>
    <w:rsid w:val="00FB41A7"/>
    <w:rsid w:val="00FB6D07"/>
    <w:rsid w:val="00FC3A41"/>
    <w:rsid w:val="00FD084C"/>
    <w:rsid w:val="00FD7317"/>
    <w:rsid w:val="00FF0500"/>
    <w:rsid w:val="00FF38C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B28A523-E4BB-43C2-BC41-DE56A7094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6B6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 w:type="paragraph" w:styleId="Prrafodelista">
    <w:name w:val="List Paragraph"/>
    <w:basedOn w:val="Normal"/>
    <w:uiPriority w:val="34"/>
    <w:qFormat/>
    <w:rsid w:val="008C65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567226549">
      <w:bodyDiv w:val="1"/>
      <w:marLeft w:val="0"/>
      <w:marRight w:val="0"/>
      <w:marTop w:val="0"/>
      <w:marBottom w:val="0"/>
      <w:divBdr>
        <w:top w:val="none" w:sz="0" w:space="0" w:color="auto"/>
        <w:left w:val="none" w:sz="0" w:space="0" w:color="auto"/>
        <w:bottom w:val="none" w:sz="0" w:space="0" w:color="auto"/>
        <w:right w:val="none" w:sz="0" w:space="0" w:color="auto"/>
      </w:divBdr>
    </w:div>
    <w:div w:id="639266497">
      <w:bodyDiv w:val="1"/>
      <w:marLeft w:val="0"/>
      <w:marRight w:val="0"/>
      <w:marTop w:val="0"/>
      <w:marBottom w:val="0"/>
      <w:divBdr>
        <w:top w:val="none" w:sz="0" w:space="0" w:color="auto"/>
        <w:left w:val="none" w:sz="0" w:space="0" w:color="auto"/>
        <w:bottom w:val="none" w:sz="0" w:space="0" w:color="auto"/>
        <w:right w:val="none" w:sz="0" w:space="0" w:color="auto"/>
      </w:divBdr>
    </w:div>
    <w:div w:id="1173716447">
      <w:bodyDiv w:val="1"/>
      <w:marLeft w:val="0"/>
      <w:marRight w:val="0"/>
      <w:marTop w:val="0"/>
      <w:marBottom w:val="0"/>
      <w:divBdr>
        <w:top w:val="none" w:sz="0" w:space="0" w:color="auto"/>
        <w:left w:val="none" w:sz="0" w:space="0" w:color="auto"/>
        <w:bottom w:val="none" w:sz="0" w:space="0" w:color="auto"/>
        <w:right w:val="none" w:sz="0" w:space="0" w:color="auto"/>
      </w:divBdr>
    </w:div>
    <w:div w:id="1681589674">
      <w:bodyDiv w:val="1"/>
      <w:marLeft w:val="0"/>
      <w:marRight w:val="0"/>
      <w:marTop w:val="0"/>
      <w:marBottom w:val="0"/>
      <w:divBdr>
        <w:top w:val="none" w:sz="0" w:space="0" w:color="auto"/>
        <w:left w:val="none" w:sz="0" w:space="0" w:color="auto"/>
        <w:bottom w:val="none" w:sz="0" w:space="0" w:color="auto"/>
        <w:right w:val="none" w:sz="0" w:space="0" w:color="auto"/>
      </w:divBdr>
    </w:div>
    <w:div w:id="1887138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D336BE-16A4-489C-AFC5-E98301A273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1400</TotalTime>
  <Pages>6</Pages>
  <Words>2356</Words>
  <Characters>12959</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15285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325</cp:revision>
  <cp:lastPrinted>2022-10-05T20:32:00Z</cp:lastPrinted>
  <dcterms:created xsi:type="dcterms:W3CDTF">2018-05-14T18:33:00Z</dcterms:created>
  <dcterms:modified xsi:type="dcterms:W3CDTF">2022-10-05T20:32:00Z</dcterms:modified>
</cp:coreProperties>
</file>