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190E90B" w:rsidR="00571114" w:rsidRPr="00D07C1D" w:rsidRDefault="00571114">
            <w:pPr>
              <w:spacing w:after="0" w:line="240" w:lineRule="auto"/>
              <w:rPr>
                <w:rFonts w:ascii="Arial" w:hAnsi="Arial" w:cs="Arial"/>
                <w:b/>
                <w:i/>
                <w:sz w:val="24"/>
                <w:szCs w:val="24"/>
                <w:lang w:val="es-ES"/>
              </w:rPr>
            </w:pPr>
          </w:p>
        </w:tc>
        <w:tc>
          <w:tcPr>
            <w:tcW w:w="7426" w:type="dxa"/>
          </w:tcPr>
          <w:p w14:paraId="16825CA0" w14:textId="77777777" w:rsidR="00D07C1D" w:rsidRDefault="00571114">
            <w:pPr>
              <w:tabs>
                <w:tab w:val="left" w:pos="3103"/>
              </w:tabs>
              <w:spacing w:after="0" w:line="240" w:lineRule="auto"/>
              <w:ind w:left="1119" w:right="709" w:hanging="1119"/>
              <w:jc w:val="both"/>
              <w:rPr>
                <w:rFonts w:ascii="Arial" w:hAnsi="Arial" w:cs="Arial"/>
                <w:b/>
                <w:i/>
                <w:iCs/>
                <w:caps/>
                <w:sz w:val="26"/>
                <w:szCs w:val="26"/>
                <w:lang w:val="es-ES"/>
              </w:rPr>
            </w:pPr>
            <w:r>
              <w:rPr>
                <w:rFonts w:ascii="Arial" w:hAnsi="Arial" w:cs="Arial"/>
                <w:b/>
                <w:i/>
                <w:iCs/>
                <w:caps/>
                <w:sz w:val="26"/>
                <w:szCs w:val="26"/>
                <w:lang w:val="es-ES"/>
              </w:rPr>
              <w:t xml:space="preserve">              </w:t>
            </w:r>
          </w:p>
          <w:p w14:paraId="17F55A72" w14:textId="7BAF4978" w:rsidR="00571114" w:rsidRDefault="00D07C1D">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00571114">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6E985BC5"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w:t>
            </w:r>
            <w:bookmarkStart w:id="0" w:name="_GoBack"/>
            <w:r>
              <w:rPr>
                <w:rFonts w:ascii="Arial" w:eastAsia="PMingLiU" w:hAnsi="Arial" w:cs="Arial"/>
                <w:b/>
                <w:iCs/>
                <w:caps/>
                <w:sz w:val="26"/>
                <w:szCs w:val="26"/>
                <w:lang w:val="es-PE" w:eastAsia="zh-TW"/>
              </w:rPr>
              <w:t>Ó</w:t>
            </w:r>
            <w:bookmarkEnd w:id="0"/>
            <w:r>
              <w:rPr>
                <w:rFonts w:ascii="Arial" w:eastAsia="PMingLiU" w:hAnsi="Arial" w:cs="Arial"/>
                <w:b/>
                <w:iCs/>
                <w:caps/>
                <w:sz w:val="26"/>
                <w:szCs w:val="26"/>
                <w:lang w:val="es-PE" w:eastAsia="zh-TW"/>
              </w:rPr>
              <w:t xml:space="preserve">N: </w:t>
            </w:r>
            <w:r w:rsidR="00C32415">
              <w:rPr>
                <w:rFonts w:ascii="Arial" w:eastAsia="PMingLiU" w:hAnsi="Arial" w:cs="Arial"/>
                <w:b/>
                <w:iCs/>
                <w:caps/>
                <w:sz w:val="26"/>
                <w:szCs w:val="26"/>
                <w:lang w:val="es-PE" w:eastAsia="zh-TW"/>
              </w:rPr>
              <w:t>174/</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13C0E4EF"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C32415">
              <w:rPr>
                <w:rFonts w:ascii="Arial" w:eastAsia="PMingLiU" w:hAnsi="Arial" w:cs="Arial"/>
                <w:b/>
                <w:iCs/>
                <w:caps/>
                <w:sz w:val="26"/>
                <w:szCs w:val="26"/>
                <w:lang w:val="es-PE" w:eastAsia="zh-TW"/>
              </w:rPr>
              <w:t>107/2020</w:t>
            </w:r>
            <w:r>
              <w:rPr>
                <w:rFonts w:ascii="Arial" w:eastAsia="PMingLiU" w:hAnsi="Arial" w:cs="Arial"/>
                <w:b/>
                <w:iCs/>
                <w:caps/>
                <w:sz w:val="26"/>
                <w:szCs w:val="26"/>
                <w:lang w:val="es-PE" w:eastAsia="zh-TW"/>
              </w:rPr>
              <w:t xml:space="preserve"> de la </w:t>
            </w:r>
            <w:r w:rsidR="00C32415">
              <w:rPr>
                <w:rFonts w:ascii="Arial" w:eastAsia="PMingLiU" w:hAnsi="Arial" w:cs="Arial"/>
                <w:b/>
                <w:iCs/>
                <w:caps/>
                <w:sz w:val="26"/>
                <w:szCs w:val="26"/>
                <w:lang w:val="es-PE" w:eastAsia="zh-TW"/>
              </w:rPr>
              <w:t>cuarta</w:t>
            </w:r>
            <w:r w:rsidR="00D12C55">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sala unitaria DE PRIMERA INSTANCIA.</w:t>
            </w:r>
          </w:p>
          <w:p w14:paraId="4476AAF4" w14:textId="2A7B1B03" w:rsidR="00D316AE" w:rsidRPr="00937DAB" w:rsidRDefault="00D316AE">
            <w:pPr>
              <w:tabs>
                <w:tab w:val="center" w:pos="4252"/>
                <w:tab w:val="right" w:pos="8504"/>
              </w:tabs>
              <w:spacing w:after="0" w:line="240" w:lineRule="auto"/>
              <w:ind w:left="1119" w:right="709" w:hanging="1119"/>
              <w:jc w:val="both"/>
              <w:rPr>
                <w:rFonts w:ascii="Arial" w:eastAsia="PMingLiU" w:hAnsi="Arial" w:cs="Arial"/>
                <w:b/>
                <w:bCs/>
                <w:iCs/>
                <w:caps/>
                <w:sz w:val="26"/>
                <w:szCs w:val="26"/>
                <w:lang w:val="es-PE" w:eastAsia="zh-TW"/>
              </w:rPr>
            </w:pPr>
            <w:r w:rsidRPr="00937DAB">
              <w:rPr>
                <w:rFonts w:ascii="Arial" w:eastAsia="PMingLiU" w:hAnsi="Arial" w:cs="Arial"/>
                <w:b/>
                <w:bCs/>
                <w:iCs/>
                <w:caps/>
                <w:sz w:val="26"/>
                <w:szCs w:val="26"/>
                <w:lang w:val="es-PE" w:eastAsia="zh-TW"/>
              </w:rPr>
              <w:t xml:space="preserve">                (ANTES 110/2019 DE LA SÉPTIMA SAL</w:t>
            </w:r>
            <w:r w:rsidR="005C2C17" w:rsidRPr="00937DAB">
              <w:rPr>
                <w:rFonts w:ascii="Arial" w:eastAsia="PMingLiU" w:hAnsi="Arial" w:cs="Arial"/>
                <w:b/>
                <w:bCs/>
                <w:iCs/>
                <w:caps/>
                <w:sz w:val="26"/>
                <w:szCs w:val="26"/>
                <w:lang w:val="es-PE" w:eastAsia="zh-TW"/>
              </w:rPr>
              <w:t>A UNI</w:t>
            </w:r>
            <w:r w:rsidRPr="00937DAB">
              <w:rPr>
                <w:rFonts w:ascii="Arial" w:eastAsia="PMingLiU" w:hAnsi="Arial" w:cs="Arial"/>
                <w:b/>
                <w:bCs/>
                <w:iCs/>
                <w:caps/>
                <w:sz w:val="26"/>
                <w:szCs w:val="26"/>
                <w:lang w:val="es-PE" w:eastAsia="zh-TW"/>
              </w:rPr>
              <w:t>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01487DB"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5D630A">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64F3D0DB" w:rsidR="00571114" w:rsidRDefault="00571114" w:rsidP="00E004CD">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5A4E46">
        <w:rPr>
          <w:rFonts w:ascii="Arial" w:hAnsi="Arial" w:cs="Arial"/>
          <w:b/>
          <w:sz w:val="26"/>
          <w:szCs w:val="26"/>
          <w:lang w:val="es-ES"/>
        </w:rPr>
        <w:t xml:space="preserve">, A VEINTE DE MAYO </w:t>
      </w:r>
      <w:r>
        <w:rPr>
          <w:rFonts w:ascii="Arial" w:hAnsi="Arial" w:cs="Arial"/>
          <w:b/>
          <w:sz w:val="26"/>
          <w:szCs w:val="26"/>
          <w:lang w:val="es-ES"/>
        </w:rPr>
        <w:t xml:space="preserve">DE DOS MIL </w:t>
      </w:r>
      <w:r w:rsidR="00E004CD">
        <w:rPr>
          <w:rFonts w:ascii="Arial" w:hAnsi="Arial" w:cs="Arial"/>
          <w:b/>
          <w:sz w:val="26"/>
          <w:szCs w:val="26"/>
          <w:lang w:val="es-ES"/>
        </w:rPr>
        <w:t>VEINTIUNO. -</w:t>
      </w:r>
      <w:r>
        <w:rPr>
          <w:rFonts w:ascii="Arial" w:hAnsi="Arial" w:cs="Arial"/>
          <w:b/>
          <w:sz w:val="26"/>
          <w:szCs w:val="26"/>
          <w:lang w:val="es-ES"/>
        </w:rPr>
        <w:t xml:space="preserve"> - - - - - - - - - - - - - - - - - - - - - - - - - - - - - - -</w:t>
      </w:r>
      <w:r w:rsidR="00E004CD">
        <w:rPr>
          <w:rFonts w:ascii="Arial" w:hAnsi="Arial" w:cs="Arial"/>
          <w:b/>
          <w:sz w:val="26"/>
          <w:szCs w:val="26"/>
          <w:lang w:val="es-ES"/>
        </w:rPr>
        <w:t xml:space="preserve">- - - - - - - - - - </w:t>
      </w:r>
      <w:r>
        <w:rPr>
          <w:rFonts w:ascii="Arial" w:hAnsi="Arial" w:cs="Arial"/>
          <w:b/>
          <w:sz w:val="26"/>
          <w:szCs w:val="26"/>
          <w:lang w:val="es-ES"/>
        </w:rPr>
        <w:t xml:space="preserve"> - </w:t>
      </w:r>
    </w:p>
    <w:p w14:paraId="78A05C4A" w14:textId="77777777" w:rsidR="00EE4994" w:rsidRDefault="00EE4994" w:rsidP="00EE4994">
      <w:pPr>
        <w:pStyle w:val="Sinespaciado"/>
      </w:pPr>
    </w:p>
    <w:p w14:paraId="010ED3BC" w14:textId="0B2D486B" w:rsidR="00C976DF"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Cuaderno de Revisión </w:t>
      </w:r>
      <w:r w:rsidR="00C32415">
        <w:rPr>
          <w:rFonts w:ascii="Arial" w:eastAsia="PMingLiU" w:hAnsi="Arial" w:cs="Arial"/>
          <w:b/>
          <w:iCs/>
          <w:caps/>
          <w:sz w:val="26"/>
          <w:szCs w:val="26"/>
          <w:lang w:val="es-PE" w:eastAsia="zh-TW"/>
        </w:rPr>
        <w:t>174</w:t>
      </w:r>
      <w:r>
        <w:rPr>
          <w:rFonts w:ascii="Arial" w:eastAsia="PMingLiU" w:hAnsi="Arial" w:cs="Arial"/>
          <w:b/>
          <w:iCs/>
          <w:caps/>
          <w:sz w:val="26"/>
          <w:szCs w:val="26"/>
          <w:lang w:val="es-PE" w:eastAsia="zh-TW"/>
        </w:rPr>
        <w:t xml:space="preserve">/2020 </w:t>
      </w:r>
      <w:r>
        <w:rPr>
          <w:rFonts w:ascii="Arial" w:eastAsia="Calibri" w:hAnsi="Arial" w:cs="Arial"/>
          <w:sz w:val="26"/>
          <w:szCs w:val="26"/>
        </w:rPr>
        <w:t xml:space="preserve">que remite la Secretaría General de Acuerdos, con motivo del recurso de revisión interpuesto por </w:t>
      </w:r>
      <w:r w:rsidR="00882DD7" w:rsidRPr="00882DD7">
        <w:rPr>
          <w:rFonts w:ascii="Arial" w:eastAsia="Calibri" w:hAnsi="Arial" w:cs="Arial"/>
          <w:b/>
          <w:sz w:val="26"/>
          <w:szCs w:val="26"/>
        </w:rPr>
        <w:t>***********</w:t>
      </w:r>
      <w:r w:rsidRPr="00882DD7">
        <w:rPr>
          <w:rFonts w:ascii="Arial" w:hAnsi="Arial" w:cs="Arial"/>
          <w:b/>
          <w:bCs/>
          <w:color w:val="000000"/>
          <w:sz w:val="26"/>
          <w:szCs w:val="26"/>
        </w:rPr>
        <w:t xml:space="preserve">, </w:t>
      </w:r>
      <w:r w:rsidR="00D646B8">
        <w:rPr>
          <w:rFonts w:ascii="Arial" w:eastAsia="Calibri" w:hAnsi="Arial" w:cs="Arial"/>
          <w:sz w:val="26"/>
          <w:szCs w:val="26"/>
          <w:lang w:eastAsia="en-US"/>
        </w:rPr>
        <w:t xml:space="preserve">en contra de </w:t>
      </w:r>
      <w:r w:rsidR="00D646B8">
        <w:rPr>
          <w:rFonts w:ascii="Arial" w:eastAsia="Calibri" w:hAnsi="Arial" w:cs="Arial"/>
          <w:sz w:val="26"/>
          <w:szCs w:val="26"/>
        </w:rPr>
        <w:t>la sentencia de fecha dieciocho de marzo de dos mil veinte</w:t>
      </w:r>
      <w:r w:rsidR="007063ED">
        <w:rPr>
          <w:rFonts w:ascii="Arial" w:eastAsia="Calibri" w:hAnsi="Arial" w:cs="Arial"/>
          <w:sz w:val="26"/>
          <w:szCs w:val="26"/>
          <w:lang w:eastAsia="en-US"/>
        </w:rPr>
        <w:t>, dictada</w:t>
      </w:r>
      <w:r w:rsidR="00D646B8">
        <w:rPr>
          <w:rFonts w:ascii="Arial" w:eastAsia="Calibri" w:hAnsi="Arial" w:cs="Arial"/>
          <w:sz w:val="26"/>
          <w:szCs w:val="26"/>
          <w:lang w:eastAsia="en-US"/>
        </w:rPr>
        <w:t xml:space="preserve"> en el juicio de nulidad</w:t>
      </w:r>
      <w:r w:rsidR="00D646B8">
        <w:rPr>
          <w:rFonts w:ascii="Arial" w:eastAsia="Calibri" w:hAnsi="Arial" w:cs="Arial"/>
          <w:bCs/>
          <w:sz w:val="26"/>
          <w:szCs w:val="26"/>
          <w:lang w:eastAsia="en-US"/>
        </w:rPr>
        <w:t xml:space="preserve"> 110/2019</w:t>
      </w:r>
      <w:r w:rsidR="00C07C23">
        <w:rPr>
          <w:rFonts w:ascii="Arial" w:eastAsia="Calibri" w:hAnsi="Arial" w:cs="Arial"/>
          <w:bCs/>
          <w:sz w:val="26"/>
          <w:szCs w:val="26"/>
          <w:lang w:eastAsia="en-US"/>
        </w:rPr>
        <w:t xml:space="preserve"> por </w:t>
      </w:r>
      <w:r w:rsidR="00D646B8">
        <w:rPr>
          <w:rFonts w:ascii="Arial" w:eastAsia="Calibri" w:hAnsi="Arial" w:cs="Arial"/>
          <w:bCs/>
          <w:sz w:val="26"/>
          <w:szCs w:val="26"/>
          <w:lang w:eastAsia="en-US"/>
        </w:rPr>
        <w:t xml:space="preserve"> la </w:t>
      </w:r>
      <w:r w:rsidR="00D646B8">
        <w:rPr>
          <w:rFonts w:ascii="Arial" w:eastAsia="Calibri" w:hAnsi="Arial" w:cs="Arial"/>
          <w:sz w:val="26"/>
          <w:szCs w:val="26"/>
          <w:lang w:eastAsia="en-US"/>
        </w:rPr>
        <w:t xml:space="preserve">entonces Séptima Sala Unitaria de Primera Instancia, </w:t>
      </w:r>
      <w:r w:rsidR="00C07C23" w:rsidRPr="00C07C23">
        <w:rPr>
          <w:rFonts w:ascii="Arial" w:eastAsia="Calibri" w:hAnsi="Arial" w:cs="Arial"/>
          <w:sz w:val="26"/>
          <w:szCs w:val="26"/>
          <w:lang w:eastAsia="en-US"/>
        </w:rPr>
        <w:t xml:space="preserve">actualmente </w:t>
      </w:r>
      <w:r w:rsidR="00C07C23">
        <w:rPr>
          <w:rFonts w:ascii="Arial" w:eastAsia="Calibri" w:hAnsi="Arial" w:cs="Arial"/>
          <w:b/>
          <w:bCs/>
          <w:sz w:val="26"/>
          <w:szCs w:val="26"/>
          <w:lang w:eastAsia="en-US"/>
        </w:rPr>
        <w:t xml:space="preserve">107/2020 </w:t>
      </w:r>
      <w:r w:rsidR="00C07C23" w:rsidRPr="00C07C23">
        <w:rPr>
          <w:rFonts w:ascii="Arial" w:eastAsia="Calibri" w:hAnsi="Arial" w:cs="Arial"/>
          <w:sz w:val="26"/>
          <w:szCs w:val="26"/>
          <w:lang w:eastAsia="en-US"/>
        </w:rPr>
        <w:t>del índice de la Cuarta Sala Unitaria de Primera Instancia</w:t>
      </w:r>
      <w:r w:rsidR="00D646B8" w:rsidRPr="00C07C23">
        <w:rPr>
          <w:rFonts w:ascii="Arial" w:eastAsia="Calibri" w:hAnsi="Arial" w:cs="Arial"/>
          <w:sz w:val="26"/>
          <w:szCs w:val="26"/>
          <w:lang w:eastAsia="en-US"/>
        </w:rPr>
        <w:t>,</w:t>
      </w:r>
      <w:r w:rsidR="00325CD9">
        <w:rPr>
          <w:rFonts w:ascii="Arial" w:eastAsia="Calibri" w:hAnsi="Arial" w:cs="Arial"/>
          <w:sz w:val="26"/>
          <w:szCs w:val="26"/>
          <w:lang w:eastAsia="en-US"/>
        </w:rPr>
        <w:t xml:space="preserve"> acorde a lo dispuesto en el Acuerdo General AG/TJAO/13/2020, Pleno de este Tribunal, en que se determinó la reasignación, del presente expediente, </w:t>
      </w:r>
      <w:r w:rsidR="00D646B8">
        <w:rPr>
          <w:rFonts w:ascii="Arial" w:eastAsia="Calibri" w:hAnsi="Arial" w:cs="Arial"/>
          <w:sz w:val="26"/>
          <w:szCs w:val="26"/>
          <w:lang w:eastAsia="en-US"/>
        </w:rPr>
        <w:t xml:space="preserve"> relativo al juicio promovido por </w:t>
      </w:r>
      <w:r w:rsidR="00C32415">
        <w:rPr>
          <w:rFonts w:ascii="Arial" w:eastAsia="Calibri" w:hAnsi="Arial" w:cs="Arial"/>
          <w:sz w:val="26"/>
          <w:szCs w:val="26"/>
        </w:rPr>
        <w:t xml:space="preserve">la </w:t>
      </w:r>
      <w:r w:rsidR="00C32415">
        <w:rPr>
          <w:rFonts w:ascii="Arial" w:eastAsia="Calibri" w:hAnsi="Arial" w:cs="Arial"/>
          <w:b/>
          <w:sz w:val="26"/>
          <w:szCs w:val="26"/>
        </w:rPr>
        <w:t>RECURRENTE</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C32415">
        <w:rPr>
          <w:rFonts w:ascii="Arial" w:eastAsia="Calibri" w:hAnsi="Arial" w:cs="Arial"/>
          <w:sz w:val="26"/>
          <w:szCs w:val="26"/>
        </w:rPr>
        <w:t xml:space="preserve">l </w:t>
      </w:r>
      <w:r w:rsidR="00C32415">
        <w:rPr>
          <w:rFonts w:ascii="Arial" w:eastAsia="Calibri" w:hAnsi="Arial" w:cs="Arial"/>
          <w:b/>
          <w:sz w:val="26"/>
          <w:szCs w:val="26"/>
        </w:rPr>
        <w:t>CONSEJO DIRECTIVO DE LA OFICINA DE PENSIONES y del</w:t>
      </w:r>
      <w:r w:rsidR="0008342F">
        <w:rPr>
          <w:rFonts w:ascii="Arial" w:eastAsia="Calibri" w:hAnsi="Arial" w:cs="Arial"/>
          <w:sz w:val="26"/>
          <w:szCs w:val="26"/>
        </w:rPr>
        <w:t xml:space="preserve"> </w:t>
      </w:r>
      <w:r w:rsidR="00C32415">
        <w:rPr>
          <w:rFonts w:ascii="Arial" w:eastAsia="Calibri" w:hAnsi="Arial" w:cs="Arial"/>
          <w:b/>
          <w:sz w:val="26"/>
          <w:szCs w:val="26"/>
        </w:rPr>
        <w:t>DIRECTOR GENERAL DE LA OFICINA DE PENSIONES</w:t>
      </w:r>
      <w:r>
        <w:rPr>
          <w:rFonts w:ascii="Arial" w:eastAsia="Calibri" w:hAnsi="Arial" w:cs="Arial"/>
          <w:b/>
          <w:sz w:val="26"/>
          <w:szCs w:val="26"/>
        </w:rPr>
        <w:t xml:space="preserve">, </w:t>
      </w:r>
      <w:r>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C976DF">
        <w:rPr>
          <w:rFonts w:ascii="Arial" w:hAnsi="Arial" w:cs="Arial"/>
          <w:sz w:val="26"/>
          <w:szCs w:val="26"/>
        </w:rPr>
        <w:t xml:space="preserve">términos: </w:t>
      </w:r>
    </w:p>
    <w:p w14:paraId="3B324681" w14:textId="77777777" w:rsidR="00C976DF" w:rsidRDefault="00C976DF" w:rsidP="00B02F70">
      <w:pPr>
        <w:spacing w:after="0" w:line="360" w:lineRule="auto"/>
        <w:ind w:firstLine="708"/>
        <w:jc w:val="both"/>
        <w:rPr>
          <w:rFonts w:ascii="Arial" w:hAnsi="Arial" w:cs="Arial"/>
          <w:sz w:val="26"/>
          <w:szCs w:val="26"/>
        </w:rPr>
      </w:pPr>
    </w:p>
    <w:p w14:paraId="751FB8A8" w14:textId="0CB59F7B" w:rsidR="00571114" w:rsidRPr="00B02F70" w:rsidRDefault="00571114" w:rsidP="00C976DF">
      <w:pPr>
        <w:spacing w:after="0" w:line="360" w:lineRule="auto"/>
        <w:ind w:firstLine="708"/>
        <w:jc w:val="center"/>
        <w:rPr>
          <w:rFonts w:ascii="Arial" w:hAnsi="Arial" w:cs="Arial"/>
          <w:sz w:val="26"/>
          <w:szCs w:val="26"/>
        </w:rPr>
      </w:pPr>
      <w:r w:rsidRPr="00B02F70">
        <w:rPr>
          <w:rFonts w:ascii="Arial" w:hAnsi="Arial" w:cs="Arial"/>
          <w:b/>
          <w:bCs/>
          <w:sz w:val="26"/>
          <w:szCs w:val="26"/>
          <w:lang w:val="es-ES"/>
        </w:rPr>
        <w:t>R E S U L T A N D O</w:t>
      </w:r>
    </w:p>
    <w:p w14:paraId="4995B53C" w14:textId="722FF221" w:rsidR="00571114" w:rsidRDefault="00571114" w:rsidP="00900E97">
      <w:pPr>
        <w:spacing w:after="120" w:line="360" w:lineRule="auto"/>
        <w:ind w:firstLine="709"/>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w:t>
      </w:r>
      <w:r w:rsidR="00BD5B0D">
        <w:rPr>
          <w:rFonts w:ascii="Arial" w:eastAsia="Calibri" w:hAnsi="Arial" w:cs="Arial"/>
          <w:sz w:val="26"/>
          <w:szCs w:val="26"/>
        </w:rPr>
        <w:t>dieciocho de marzo</w:t>
      </w:r>
      <w:r w:rsidR="00A81C86">
        <w:rPr>
          <w:rFonts w:ascii="Arial" w:eastAsia="Calibri" w:hAnsi="Arial" w:cs="Arial"/>
          <w:sz w:val="26"/>
          <w:szCs w:val="26"/>
        </w:rPr>
        <w:t xml:space="preserve"> de dos mil veinte</w:t>
      </w:r>
      <w:r>
        <w:rPr>
          <w:rFonts w:ascii="Arial" w:hAnsi="Arial" w:cs="Arial"/>
          <w:sz w:val="26"/>
          <w:szCs w:val="26"/>
          <w:lang w:val="es-ES"/>
        </w:rPr>
        <w:t xml:space="preserve">, dictada por </w:t>
      </w:r>
      <w:r w:rsidR="00900E97">
        <w:rPr>
          <w:rFonts w:ascii="Arial" w:hAnsi="Arial" w:cs="Arial"/>
          <w:sz w:val="26"/>
          <w:szCs w:val="26"/>
          <w:lang w:val="es-ES"/>
        </w:rPr>
        <w:t>la</w:t>
      </w:r>
      <w:r w:rsidR="00BD5B0D">
        <w:rPr>
          <w:rFonts w:ascii="Arial" w:hAnsi="Arial" w:cs="Arial"/>
          <w:sz w:val="26"/>
          <w:szCs w:val="26"/>
          <w:lang w:val="es-ES"/>
        </w:rPr>
        <w:t xml:space="preserve"> Magistrad</w:t>
      </w:r>
      <w:r w:rsidR="00900E97">
        <w:rPr>
          <w:rFonts w:ascii="Arial" w:hAnsi="Arial" w:cs="Arial"/>
          <w:sz w:val="26"/>
          <w:szCs w:val="26"/>
          <w:lang w:val="es-ES"/>
        </w:rPr>
        <w:t xml:space="preserve">a de la </w:t>
      </w:r>
      <w:r w:rsidR="00930147" w:rsidRPr="00B55D40">
        <w:rPr>
          <w:rFonts w:ascii="Arial" w:hAnsi="Arial" w:cs="Arial"/>
          <w:sz w:val="26"/>
          <w:szCs w:val="26"/>
          <w:lang w:val="es-ES"/>
        </w:rPr>
        <w:t>entonces</w:t>
      </w:r>
      <w:r w:rsidR="00900E97">
        <w:rPr>
          <w:rFonts w:ascii="Arial" w:hAnsi="Arial" w:cs="Arial"/>
          <w:sz w:val="26"/>
          <w:szCs w:val="26"/>
          <w:lang w:val="es-ES"/>
        </w:rPr>
        <w:t xml:space="preserve"> Séptima </w:t>
      </w:r>
      <w:r>
        <w:rPr>
          <w:rFonts w:ascii="Arial" w:hAnsi="Arial" w:cs="Arial"/>
          <w:sz w:val="26"/>
          <w:szCs w:val="26"/>
          <w:lang w:val="es-ES"/>
        </w:rPr>
        <w:t>Sala Unitaria de Primera Instancia de este Tribunal</w:t>
      </w:r>
      <w:r w:rsidR="00AE3B8E">
        <w:rPr>
          <w:rFonts w:ascii="Arial" w:hAnsi="Arial" w:cs="Arial"/>
          <w:sz w:val="26"/>
          <w:szCs w:val="26"/>
          <w:lang w:val="es-ES"/>
        </w:rPr>
        <w:t>,</w:t>
      </w:r>
      <w:r w:rsidR="00A81C86" w:rsidRPr="00A81C86">
        <w:rPr>
          <w:rFonts w:ascii="Arial" w:eastAsia="Calibri" w:hAnsi="Arial" w:cs="Arial"/>
          <w:b/>
          <w:sz w:val="26"/>
          <w:szCs w:val="26"/>
        </w:rPr>
        <w:t xml:space="preserve"> </w:t>
      </w:r>
      <w:r w:rsidR="00882DD7" w:rsidRPr="00882DD7">
        <w:rPr>
          <w:rFonts w:ascii="Arial" w:eastAsia="Calibri" w:hAnsi="Arial" w:cs="Arial"/>
          <w:b/>
          <w:sz w:val="26"/>
          <w:szCs w:val="26"/>
        </w:rPr>
        <w:t>***********</w:t>
      </w:r>
      <w:r w:rsidRPr="006551F8">
        <w:rPr>
          <w:rFonts w:ascii="Arial" w:hAnsi="Arial" w:cs="Arial"/>
          <w:b/>
          <w:bCs/>
          <w:color w:val="000000"/>
          <w:sz w:val="26"/>
          <w:szCs w:val="26"/>
        </w:rPr>
        <w:t xml:space="preserve">, </w:t>
      </w:r>
      <w:r w:rsidRPr="006551F8">
        <w:rPr>
          <w:rFonts w:ascii="Arial" w:hAnsi="Arial" w:cs="Arial"/>
          <w:sz w:val="26"/>
          <w:szCs w:val="26"/>
          <w:lang w:val="es-ES"/>
        </w:rPr>
        <w:t>interpuso</w:t>
      </w:r>
      <w:r>
        <w:rPr>
          <w:rFonts w:ascii="Arial" w:hAnsi="Arial" w:cs="Arial"/>
          <w:sz w:val="26"/>
          <w:szCs w:val="26"/>
          <w:lang w:val="es-ES"/>
        </w:rPr>
        <w:t xml:space="preserve"> en su contra recurso de revisión.</w:t>
      </w:r>
      <w:r w:rsidR="00B02F70">
        <w:rPr>
          <w:rFonts w:ascii="Arial" w:hAnsi="Arial" w:cs="Arial"/>
          <w:sz w:val="26"/>
          <w:szCs w:val="26"/>
          <w:lang w:val="es-ES"/>
        </w:rPr>
        <w:t xml:space="preserve">- - - - - - </w:t>
      </w:r>
      <w:r w:rsidR="00882DD7">
        <w:rPr>
          <w:rFonts w:ascii="Arial" w:hAnsi="Arial" w:cs="Arial"/>
          <w:sz w:val="26"/>
          <w:szCs w:val="26"/>
          <w:lang w:val="es-ES"/>
        </w:rPr>
        <w:t xml:space="preserve">- - - - - - - - - - - - - - - - - - - - - - - - - </w:t>
      </w:r>
    </w:p>
    <w:p w14:paraId="0F56A65A" w14:textId="478E8C32" w:rsidR="00571114" w:rsidRDefault="00571114" w:rsidP="00900E97">
      <w:pPr>
        <w:spacing w:after="12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sentencia recurrida, son los </w:t>
      </w:r>
      <w:r w:rsidR="00B87146">
        <w:rPr>
          <w:rFonts w:ascii="Arial" w:hAnsi="Arial" w:cs="Arial"/>
          <w:sz w:val="26"/>
          <w:szCs w:val="26"/>
        </w:rPr>
        <w:t>siguientes: -</w:t>
      </w:r>
      <w:r w:rsidR="00B02F70">
        <w:rPr>
          <w:rFonts w:ascii="Arial" w:hAnsi="Arial" w:cs="Arial"/>
          <w:sz w:val="26"/>
          <w:szCs w:val="26"/>
        </w:rPr>
        <w:t xml:space="preserve"> - - - - - - - - - - - - - - - - - - - - - - - - - - - - - - - - - - - - - - - - - </w:t>
      </w:r>
    </w:p>
    <w:p w14:paraId="043AA6DF" w14:textId="242C35F8" w:rsidR="00635B8D" w:rsidRPr="00B87146" w:rsidRDefault="00635B8D" w:rsidP="00635B8D">
      <w:pPr>
        <w:spacing w:after="0" w:line="360" w:lineRule="auto"/>
        <w:ind w:left="1134" w:right="900" w:firstLine="282"/>
        <w:jc w:val="both"/>
        <w:rPr>
          <w:rFonts w:ascii="Arial" w:eastAsia="Calibri" w:hAnsi="Arial" w:cs="Arial"/>
          <w:bCs/>
          <w:i/>
          <w:color w:val="000000" w:themeColor="text1"/>
          <w:sz w:val="24"/>
          <w:szCs w:val="24"/>
        </w:rPr>
      </w:pPr>
      <w:r w:rsidRPr="00B87146">
        <w:rPr>
          <w:rFonts w:ascii="Arial" w:eastAsia="Calibri" w:hAnsi="Arial" w:cs="Arial"/>
          <w:bCs/>
          <w:color w:val="000000" w:themeColor="text1"/>
          <w:sz w:val="24"/>
          <w:szCs w:val="24"/>
        </w:rPr>
        <w:t>“</w:t>
      </w:r>
      <w:r w:rsidRPr="00B87146">
        <w:rPr>
          <w:rFonts w:ascii="Arial" w:eastAsia="Calibri" w:hAnsi="Arial" w:cs="Arial"/>
          <w:b/>
          <w:bCs/>
          <w:i/>
          <w:color w:val="000000" w:themeColor="text1"/>
          <w:sz w:val="24"/>
          <w:szCs w:val="24"/>
        </w:rPr>
        <w:t xml:space="preserve">PRIMERO.- </w:t>
      </w:r>
      <w:r w:rsidR="00130734" w:rsidRPr="00B87146">
        <w:rPr>
          <w:rFonts w:ascii="Arial" w:eastAsia="Calibri" w:hAnsi="Arial" w:cs="Arial"/>
          <w:bCs/>
          <w:i/>
          <w:color w:val="000000" w:themeColor="text1"/>
          <w:sz w:val="24"/>
          <w:szCs w:val="24"/>
        </w:rPr>
        <w:t xml:space="preserve">Esta Séptima </w:t>
      </w:r>
      <w:r w:rsidRPr="00B87146">
        <w:rPr>
          <w:rFonts w:ascii="Arial" w:eastAsia="Calibri" w:hAnsi="Arial" w:cs="Arial"/>
          <w:bCs/>
          <w:i/>
          <w:color w:val="000000" w:themeColor="text1"/>
          <w:sz w:val="24"/>
          <w:szCs w:val="24"/>
        </w:rPr>
        <w:t xml:space="preserve">Sala </w:t>
      </w:r>
      <w:r w:rsidR="00130734" w:rsidRPr="00B87146">
        <w:rPr>
          <w:rFonts w:ascii="Arial" w:eastAsia="Calibri" w:hAnsi="Arial" w:cs="Arial"/>
          <w:bCs/>
          <w:i/>
          <w:color w:val="000000" w:themeColor="text1"/>
          <w:sz w:val="24"/>
          <w:szCs w:val="24"/>
        </w:rPr>
        <w:t xml:space="preserve">de Primera Instancia </w:t>
      </w:r>
      <w:r w:rsidRPr="00B87146">
        <w:rPr>
          <w:rFonts w:ascii="Arial" w:eastAsia="Calibri" w:hAnsi="Arial" w:cs="Arial"/>
          <w:bCs/>
          <w:i/>
          <w:color w:val="000000" w:themeColor="text1"/>
          <w:sz w:val="24"/>
          <w:szCs w:val="24"/>
        </w:rPr>
        <w:t xml:space="preserve">del Tribunal de Justicia Administrativa del Estado de Oaxaca, </w:t>
      </w:r>
      <w:r w:rsidR="00130734" w:rsidRPr="00B87146">
        <w:rPr>
          <w:rFonts w:ascii="Arial" w:eastAsia="Calibri" w:hAnsi="Arial" w:cs="Arial"/>
          <w:bCs/>
          <w:i/>
          <w:color w:val="000000" w:themeColor="text1"/>
          <w:sz w:val="24"/>
          <w:szCs w:val="24"/>
        </w:rPr>
        <w:lastRenderedPageBreak/>
        <w:t xml:space="preserve">es legalmente </w:t>
      </w:r>
      <w:r w:rsidRPr="00B87146">
        <w:rPr>
          <w:rFonts w:ascii="Arial" w:eastAsia="Calibri" w:hAnsi="Arial" w:cs="Arial"/>
          <w:bCs/>
          <w:i/>
          <w:color w:val="000000" w:themeColor="text1"/>
          <w:sz w:val="24"/>
          <w:szCs w:val="24"/>
        </w:rPr>
        <w:t xml:space="preserve">competente para conocer y resolver del presente </w:t>
      </w:r>
      <w:r w:rsidR="00130734" w:rsidRPr="00B87146">
        <w:rPr>
          <w:rFonts w:ascii="Arial" w:eastAsia="Calibri" w:hAnsi="Arial" w:cs="Arial"/>
          <w:bCs/>
          <w:i/>
          <w:color w:val="000000" w:themeColor="text1"/>
          <w:sz w:val="24"/>
          <w:szCs w:val="24"/>
        </w:rPr>
        <w:t xml:space="preserve">Juicio de Nulidad.- - - - - - - - - - - - - - - - - - -  - - - - </w:t>
      </w:r>
    </w:p>
    <w:p w14:paraId="34C4E265" w14:textId="55366E24" w:rsidR="00130734" w:rsidRPr="00B87146" w:rsidRDefault="00635B8D" w:rsidP="00130734">
      <w:pPr>
        <w:spacing w:after="120" w:line="360" w:lineRule="auto"/>
        <w:ind w:left="1134" w:right="902" w:firstLine="284"/>
        <w:jc w:val="both"/>
        <w:rPr>
          <w:rFonts w:ascii="Arial" w:eastAsia="Calibri" w:hAnsi="Arial" w:cs="Arial"/>
          <w:bCs/>
          <w:i/>
          <w:color w:val="000000" w:themeColor="text1"/>
          <w:sz w:val="24"/>
          <w:szCs w:val="24"/>
        </w:rPr>
      </w:pPr>
      <w:r w:rsidRPr="00B87146">
        <w:rPr>
          <w:rFonts w:ascii="Arial" w:eastAsia="Calibri" w:hAnsi="Arial" w:cs="Arial"/>
          <w:b/>
          <w:bCs/>
          <w:i/>
          <w:color w:val="000000" w:themeColor="text1"/>
          <w:sz w:val="24"/>
          <w:szCs w:val="24"/>
        </w:rPr>
        <w:t xml:space="preserve">SEGUNDO.- </w:t>
      </w:r>
      <w:r w:rsidR="00130734" w:rsidRPr="00B87146">
        <w:rPr>
          <w:rFonts w:ascii="Arial" w:eastAsia="Calibri" w:hAnsi="Arial" w:cs="Arial"/>
          <w:bCs/>
          <w:i/>
          <w:color w:val="000000" w:themeColor="text1"/>
          <w:sz w:val="24"/>
          <w:szCs w:val="24"/>
        </w:rPr>
        <w:t>No se actualizó causal de improcedencia alguna, por lo que NO SE SOBR</w:t>
      </w:r>
      <w:r w:rsidR="00AE3B8E" w:rsidRPr="00B87146">
        <w:rPr>
          <w:rFonts w:ascii="Arial" w:eastAsia="Calibri" w:hAnsi="Arial" w:cs="Arial"/>
          <w:bCs/>
          <w:i/>
          <w:color w:val="000000" w:themeColor="text1"/>
          <w:sz w:val="24"/>
          <w:szCs w:val="24"/>
        </w:rPr>
        <w:t>E</w:t>
      </w:r>
      <w:r w:rsidR="00130734" w:rsidRPr="00B87146">
        <w:rPr>
          <w:rFonts w:ascii="Arial" w:eastAsia="Calibri" w:hAnsi="Arial" w:cs="Arial"/>
          <w:bCs/>
          <w:i/>
          <w:color w:val="000000" w:themeColor="text1"/>
          <w:sz w:val="24"/>
          <w:szCs w:val="24"/>
        </w:rPr>
        <w:t xml:space="preserve">SEE EL JUICIO, en términos del considerando QUINTO de esta resolución.- - - </w:t>
      </w:r>
    </w:p>
    <w:p w14:paraId="7909EE11" w14:textId="120AE794" w:rsidR="00130734" w:rsidRPr="00B87146" w:rsidRDefault="00635B8D" w:rsidP="00635B8D">
      <w:pPr>
        <w:spacing w:after="120" w:line="360" w:lineRule="auto"/>
        <w:ind w:left="1134" w:right="902" w:firstLine="284"/>
        <w:jc w:val="both"/>
        <w:rPr>
          <w:rFonts w:ascii="Arial" w:eastAsia="Calibri" w:hAnsi="Arial" w:cs="Arial"/>
          <w:bCs/>
          <w:i/>
          <w:color w:val="000000" w:themeColor="text1"/>
          <w:sz w:val="24"/>
          <w:szCs w:val="24"/>
        </w:rPr>
      </w:pPr>
      <w:r w:rsidRPr="00B87146">
        <w:rPr>
          <w:rFonts w:ascii="Arial" w:eastAsia="Calibri" w:hAnsi="Arial" w:cs="Arial"/>
          <w:b/>
          <w:bCs/>
          <w:i/>
          <w:color w:val="000000" w:themeColor="text1"/>
          <w:sz w:val="24"/>
          <w:szCs w:val="24"/>
        </w:rPr>
        <w:t>TERCERO.-</w:t>
      </w:r>
      <w:r w:rsidRPr="00B87146">
        <w:rPr>
          <w:rFonts w:ascii="Arial" w:eastAsia="Calibri" w:hAnsi="Arial" w:cs="Arial"/>
          <w:bCs/>
          <w:i/>
          <w:color w:val="000000" w:themeColor="text1"/>
          <w:sz w:val="24"/>
          <w:szCs w:val="24"/>
        </w:rPr>
        <w:t xml:space="preserve"> Se declara la </w:t>
      </w:r>
      <w:r w:rsidRPr="00B87146">
        <w:rPr>
          <w:rFonts w:ascii="Arial" w:eastAsia="Calibri" w:hAnsi="Arial" w:cs="Arial"/>
          <w:b/>
          <w:bCs/>
          <w:i/>
          <w:color w:val="000000" w:themeColor="text1"/>
          <w:sz w:val="24"/>
          <w:szCs w:val="24"/>
        </w:rPr>
        <w:t xml:space="preserve">NULIDAD </w:t>
      </w:r>
      <w:r w:rsidRPr="00B87146">
        <w:rPr>
          <w:rFonts w:ascii="Arial" w:eastAsia="Calibri" w:hAnsi="Arial" w:cs="Arial"/>
          <w:bCs/>
          <w:i/>
          <w:color w:val="000000" w:themeColor="text1"/>
          <w:sz w:val="24"/>
          <w:szCs w:val="24"/>
        </w:rPr>
        <w:t>del</w:t>
      </w:r>
      <w:r w:rsidR="00130734" w:rsidRPr="00B87146">
        <w:rPr>
          <w:rFonts w:ascii="Arial" w:eastAsia="Calibri" w:hAnsi="Arial" w:cs="Arial"/>
          <w:bCs/>
          <w:i/>
          <w:color w:val="000000" w:themeColor="text1"/>
          <w:sz w:val="24"/>
          <w:szCs w:val="24"/>
        </w:rPr>
        <w:t xml:space="preserve"> oficio </w:t>
      </w:r>
      <w:r w:rsidR="00AF1608" w:rsidRPr="00F05F47">
        <w:rPr>
          <w:rFonts w:ascii="Arial" w:eastAsia="Calibri" w:hAnsi="Arial" w:cs="Arial"/>
          <w:b/>
          <w:bCs/>
          <w:i/>
          <w:color w:val="000000" w:themeColor="text1"/>
          <w:sz w:val="24"/>
          <w:szCs w:val="24"/>
        </w:rPr>
        <w:t>***********</w:t>
      </w:r>
      <w:r w:rsidR="00130734" w:rsidRPr="00F05F47">
        <w:rPr>
          <w:rFonts w:ascii="Arial" w:eastAsia="Calibri" w:hAnsi="Arial" w:cs="Arial"/>
          <w:b/>
          <w:bCs/>
          <w:i/>
          <w:color w:val="000000" w:themeColor="text1"/>
          <w:sz w:val="24"/>
          <w:szCs w:val="24"/>
        </w:rPr>
        <w:t>,</w:t>
      </w:r>
      <w:r w:rsidR="00130734" w:rsidRPr="00B87146">
        <w:rPr>
          <w:rFonts w:ascii="Arial" w:eastAsia="Calibri" w:hAnsi="Arial" w:cs="Arial"/>
          <w:bCs/>
          <w:i/>
          <w:color w:val="000000" w:themeColor="text1"/>
          <w:sz w:val="24"/>
          <w:szCs w:val="24"/>
        </w:rPr>
        <w:t xml:space="preserve"> de fecha ocho de agosto de dos mil diecinueve (08/08/2019), emitido por el Director General de la Oficina de Pensiones del Estado de Oaxaca, así como del acuerdo de revisión de pensión emitida el día nueve de julio de dos mil diecinueve (09/07/2019) por el Consejo Directivo de Pensiones, para el EFECTO de que la autoridad demandada Consejo Directivo de Pensiones dicte otro, en el que además de la pensión por jubilación otorgada a favor de la actora, conceda las prestaciones ya precisadas en esta resolución, y elimine el descuento del 9% sobre el monto de su pensión, en el entendido que para tenerla por cumplida en su totalidad de la presente sentencia, habrá </w:t>
      </w:r>
      <w:r w:rsidR="004257EC" w:rsidRPr="00B87146">
        <w:rPr>
          <w:rFonts w:ascii="Arial" w:eastAsia="Calibri" w:hAnsi="Arial" w:cs="Arial"/>
          <w:bCs/>
          <w:i/>
          <w:color w:val="000000" w:themeColor="text1"/>
          <w:sz w:val="24"/>
          <w:szCs w:val="24"/>
        </w:rPr>
        <w:t xml:space="preserve">de reintegrar los descuentos del 9% realizados a la fecha del cumplimiento, así como de las prestaciones correspondientes no otorgadas y que aquí se declararon procedentes; lo anterior en (sic) términos precisados en el considerando SEXTO de esta resolución. </w:t>
      </w:r>
    </w:p>
    <w:p w14:paraId="1FE5E19A" w14:textId="2EDA1067" w:rsidR="00635B8D" w:rsidRPr="00B87146" w:rsidRDefault="004257EC" w:rsidP="00635B8D">
      <w:pPr>
        <w:spacing w:after="120" w:line="360" w:lineRule="auto"/>
        <w:ind w:left="1134" w:right="902" w:firstLine="284"/>
        <w:jc w:val="both"/>
        <w:rPr>
          <w:rFonts w:ascii="Arial" w:eastAsia="Calibri" w:hAnsi="Arial" w:cs="Arial"/>
          <w:bCs/>
          <w:i/>
          <w:color w:val="000000" w:themeColor="text1"/>
          <w:sz w:val="24"/>
          <w:szCs w:val="24"/>
        </w:rPr>
      </w:pPr>
      <w:r w:rsidRPr="00B87146">
        <w:rPr>
          <w:rFonts w:ascii="Arial" w:eastAsia="Calibri" w:hAnsi="Arial" w:cs="Arial"/>
          <w:b/>
          <w:bCs/>
          <w:i/>
          <w:color w:val="000000" w:themeColor="text1"/>
          <w:sz w:val="24"/>
          <w:szCs w:val="24"/>
        </w:rPr>
        <w:t>CUARTO</w:t>
      </w:r>
      <w:r w:rsidR="00635B8D" w:rsidRPr="00B87146">
        <w:rPr>
          <w:rFonts w:ascii="Arial" w:eastAsia="Calibri" w:hAnsi="Arial" w:cs="Arial"/>
          <w:b/>
          <w:bCs/>
          <w:i/>
          <w:color w:val="000000" w:themeColor="text1"/>
          <w:sz w:val="24"/>
          <w:szCs w:val="24"/>
        </w:rPr>
        <w:t xml:space="preserve">.- </w:t>
      </w:r>
      <w:r w:rsidR="00635B8D" w:rsidRPr="00B87146">
        <w:rPr>
          <w:rFonts w:ascii="Arial" w:eastAsia="Calibri" w:hAnsi="Arial" w:cs="Arial"/>
          <w:bCs/>
          <w:i/>
          <w:color w:val="000000" w:themeColor="text1"/>
          <w:sz w:val="24"/>
          <w:szCs w:val="24"/>
        </w:rPr>
        <w:t>Con</w:t>
      </w:r>
      <w:r w:rsidRPr="00B87146">
        <w:rPr>
          <w:rFonts w:ascii="Arial" w:eastAsia="Calibri" w:hAnsi="Arial" w:cs="Arial"/>
          <w:bCs/>
          <w:i/>
          <w:color w:val="000000" w:themeColor="text1"/>
          <w:sz w:val="24"/>
          <w:szCs w:val="24"/>
        </w:rPr>
        <w:t>forme a lo dispuesto en el artículo</w:t>
      </w:r>
      <w:r w:rsidR="00635B8D" w:rsidRPr="00B87146">
        <w:rPr>
          <w:rFonts w:ascii="Arial" w:eastAsia="Calibri" w:hAnsi="Arial" w:cs="Arial"/>
          <w:bCs/>
          <w:i/>
          <w:color w:val="000000" w:themeColor="text1"/>
          <w:sz w:val="24"/>
          <w:szCs w:val="24"/>
        </w:rPr>
        <w:t xml:space="preserve"> 172 </w:t>
      </w:r>
      <w:r w:rsidRPr="00B87146">
        <w:rPr>
          <w:rFonts w:ascii="Arial" w:eastAsia="Calibri" w:hAnsi="Arial" w:cs="Arial"/>
          <w:bCs/>
          <w:i/>
          <w:color w:val="000000" w:themeColor="text1"/>
          <w:sz w:val="24"/>
          <w:szCs w:val="24"/>
        </w:rPr>
        <w:t>fracción II y 173 fracciones II y III,</w:t>
      </w:r>
      <w:r w:rsidR="00635B8D" w:rsidRPr="00B87146">
        <w:rPr>
          <w:rFonts w:ascii="Arial" w:eastAsia="Calibri" w:hAnsi="Arial" w:cs="Arial"/>
          <w:bCs/>
          <w:i/>
          <w:color w:val="000000" w:themeColor="text1"/>
          <w:sz w:val="24"/>
          <w:szCs w:val="24"/>
        </w:rPr>
        <w:t xml:space="preserve"> de la Ley de Procedimiento y Justicia Administrativa para el Estado de Oaxaca, </w:t>
      </w:r>
      <w:r w:rsidRPr="00B87146">
        <w:rPr>
          <w:rFonts w:ascii="Arial" w:eastAsia="Calibri" w:hAnsi="Arial" w:cs="Arial"/>
          <w:b/>
          <w:bCs/>
          <w:i/>
          <w:color w:val="000000" w:themeColor="text1"/>
          <w:sz w:val="24"/>
          <w:szCs w:val="24"/>
        </w:rPr>
        <w:t>NOTIFÍQUESE</w:t>
      </w:r>
      <w:r w:rsidR="00917C56" w:rsidRPr="00B87146">
        <w:rPr>
          <w:rFonts w:ascii="Arial" w:eastAsia="Calibri" w:hAnsi="Arial" w:cs="Arial"/>
          <w:b/>
          <w:bCs/>
          <w:i/>
          <w:color w:val="000000" w:themeColor="text1"/>
          <w:sz w:val="24"/>
          <w:szCs w:val="24"/>
        </w:rPr>
        <w:t xml:space="preserve"> </w:t>
      </w:r>
      <w:r w:rsidRPr="00B87146">
        <w:rPr>
          <w:rFonts w:ascii="Arial" w:eastAsia="Calibri" w:hAnsi="Arial" w:cs="Arial"/>
          <w:b/>
          <w:bCs/>
          <w:i/>
          <w:color w:val="000000" w:themeColor="text1"/>
          <w:sz w:val="24"/>
          <w:szCs w:val="24"/>
        </w:rPr>
        <w:t xml:space="preserve"> PERSONALMENTE</w:t>
      </w:r>
      <w:r w:rsidR="00917C56" w:rsidRPr="00B87146">
        <w:rPr>
          <w:rFonts w:ascii="Arial" w:eastAsia="Calibri" w:hAnsi="Arial" w:cs="Arial"/>
          <w:b/>
          <w:bCs/>
          <w:i/>
          <w:color w:val="000000" w:themeColor="text1"/>
          <w:sz w:val="24"/>
          <w:szCs w:val="24"/>
        </w:rPr>
        <w:t xml:space="preserve"> </w:t>
      </w:r>
      <w:r w:rsidRPr="00B87146">
        <w:rPr>
          <w:rFonts w:ascii="Arial" w:eastAsia="Calibri" w:hAnsi="Arial" w:cs="Arial"/>
          <w:b/>
          <w:bCs/>
          <w:i/>
          <w:color w:val="000000" w:themeColor="text1"/>
          <w:sz w:val="24"/>
          <w:szCs w:val="24"/>
        </w:rPr>
        <w:t xml:space="preserve"> A</w:t>
      </w:r>
      <w:r w:rsidR="00917C56" w:rsidRPr="00B87146">
        <w:rPr>
          <w:rFonts w:ascii="Arial" w:eastAsia="Calibri" w:hAnsi="Arial" w:cs="Arial"/>
          <w:b/>
          <w:bCs/>
          <w:i/>
          <w:color w:val="000000" w:themeColor="text1"/>
          <w:sz w:val="24"/>
          <w:szCs w:val="24"/>
        </w:rPr>
        <w:t xml:space="preserve"> </w:t>
      </w:r>
      <w:r w:rsidRPr="00B87146">
        <w:rPr>
          <w:rFonts w:ascii="Arial" w:eastAsia="Calibri" w:hAnsi="Arial" w:cs="Arial"/>
          <w:b/>
          <w:bCs/>
          <w:i/>
          <w:color w:val="000000" w:themeColor="text1"/>
          <w:sz w:val="24"/>
          <w:szCs w:val="24"/>
        </w:rPr>
        <w:t xml:space="preserve"> LA PARTE ACTORA Y   POR OFICIO A LAS AUTORIDADES DEMANDADAS</w:t>
      </w:r>
      <w:r w:rsidR="00635B8D" w:rsidRPr="00B87146">
        <w:rPr>
          <w:rFonts w:ascii="Arial" w:eastAsia="Calibri" w:hAnsi="Arial" w:cs="Arial"/>
          <w:b/>
          <w:bCs/>
          <w:i/>
          <w:color w:val="000000" w:themeColor="text1"/>
          <w:sz w:val="24"/>
          <w:szCs w:val="24"/>
        </w:rPr>
        <w:t>. CÚMPLASE.”.- -</w:t>
      </w:r>
      <w:r w:rsidR="00635B8D" w:rsidRPr="00B87146">
        <w:rPr>
          <w:rFonts w:ascii="Arial" w:eastAsia="Calibri" w:hAnsi="Arial" w:cs="Arial"/>
          <w:bCs/>
          <w:i/>
          <w:color w:val="000000" w:themeColor="text1"/>
          <w:sz w:val="24"/>
          <w:szCs w:val="24"/>
        </w:rPr>
        <w:t xml:space="preserve"> - - - - - - - - - - </w:t>
      </w:r>
      <w:r w:rsidRPr="00B87146">
        <w:rPr>
          <w:rFonts w:ascii="Arial" w:eastAsia="Calibri" w:hAnsi="Arial" w:cs="Arial"/>
          <w:bCs/>
          <w:i/>
          <w:color w:val="000000" w:themeColor="text1"/>
          <w:sz w:val="24"/>
          <w:szCs w:val="24"/>
        </w:rPr>
        <w:t xml:space="preserve">- - - - - - - </w:t>
      </w:r>
    </w:p>
    <w:p w14:paraId="1D6122ED" w14:textId="77777777" w:rsidR="00E66BCF" w:rsidRDefault="00E66BCF" w:rsidP="00E66BCF">
      <w:pPr>
        <w:spacing w:after="0" w:line="360" w:lineRule="auto"/>
        <w:jc w:val="center"/>
        <w:rPr>
          <w:rFonts w:ascii="Arial" w:eastAsia="Times New Roman" w:hAnsi="Arial" w:cs="Arial"/>
          <w:b/>
          <w:bCs/>
          <w:sz w:val="26"/>
          <w:szCs w:val="26"/>
          <w:lang w:val="es-ES" w:eastAsia="es-ES"/>
        </w:rPr>
      </w:pPr>
    </w:p>
    <w:p w14:paraId="510C90B5" w14:textId="11845943" w:rsidR="00635B8D" w:rsidRDefault="00635B8D" w:rsidP="00E66BCF">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387C3EDC" w14:textId="77777777" w:rsidR="00E66BCF" w:rsidRPr="00183EE9" w:rsidRDefault="00E66BCF" w:rsidP="00E66BCF">
      <w:pPr>
        <w:spacing w:after="0" w:line="360" w:lineRule="auto"/>
        <w:jc w:val="center"/>
        <w:rPr>
          <w:rFonts w:ascii="Arial" w:eastAsia="Times New Roman" w:hAnsi="Arial" w:cs="Arial"/>
          <w:b/>
          <w:bCs/>
          <w:sz w:val="26"/>
          <w:szCs w:val="26"/>
          <w:lang w:val="es-ES" w:eastAsia="es-ES"/>
        </w:rPr>
      </w:pPr>
    </w:p>
    <w:p w14:paraId="6A185FB2" w14:textId="771E5323" w:rsidR="00635B8D" w:rsidRDefault="00722FDE" w:rsidP="00635B8D">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Pr>
          <w:rFonts w:ascii="Arial" w:hAnsi="Arial" w:cs="Arial"/>
          <w:bCs/>
          <w:iCs/>
          <w:sz w:val="26"/>
          <w:szCs w:val="26"/>
          <w:lang w:eastAsia="es-ES"/>
        </w:rPr>
        <w:t>125</w:t>
      </w:r>
      <w:r>
        <w:rPr>
          <w:rFonts w:ascii="Arial" w:hAnsi="Arial" w:cs="Arial"/>
          <w:bCs/>
          <w:iCs/>
          <w:sz w:val="26"/>
          <w:szCs w:val="26"/>
        </w:rPr>
        <w:t xml:space="preserve">, 127, 129, 130 fracción I, 131, </w:t>
      </w:r>
      <w:r>
        <w:rPr>
          <w:rFonts w:ascii="Arial" w:hAnsi="Arial" w:cs="Arial"/>
          <w:bCs/>
          <w:iCs/>
          <w:sz w:val="26"/>
          <w:szCs w:val="26"/>
        </w:rPr>
        <w:lastRenderedPageBreak/>
        <w:t xml:space="preserve">231, 236 fracción VII y 238 de la Ley de Procedimiento y Justicia Administrativa para el Estado de Oaxaca, en virtud de que se trata de un recurso de revisión </w:t>
      </w:r>
      <w:r w:rsidR="00635B8D">
        <w:rPr>
          <w:rFonts w:ascii="Arial" w:hAnsi="Arial" w:cs="Arial"/>
          <w:bCs/>
          <w:iCs/>
          <w:sz w:val="26"/>
          <w:szCs w:val="26"/>
          <w:lang w:eastAsia="es-ES"/>
        </w:rPr>
        <w:t xml:space="preserve">interpuesto en contra de la sentencia de </w:t>
      </w:r>
      <w:r w:rsidR="00635B8D">
        <w:rPr>
          <w:rFonts w:ascii="Arial" w:eastAsia="Calibri" w:hAnsi="Arial" w:cs="Arial"/>
          <w:sz w:val="26"/>
          <w:szCs w:val="26"/>
        </w:rPr>
        <w:t xml:space="preserve">fecha dieciocho de marzo de dos mil veinte, dictada por </w:t>
      </w:r>
      <w:r w:rsidR="00900E97">
        <w:rPr>
          <w:rFonts w:ascii="Arial" w:eastAsia="Calibri" w:hAnsi="Arial" w:cs="Arial"/>
          <w:sz w:val="26"/>
          <w:szCs w:val="26"/>
        </w:rPr>
        <w:t>la</w:t>
      </w:r>
      <w:r w:rsidR="00635B8D">
        <w:rPr>
          <w:rFonts w:ascii="Arial" w:eastAsia="Calibri" w:hAnsi="Arial" w:cs="Arial"/>
          <w:sz w:val="26"/>
          <w:szCs w:val="26"/>
        </w:rPr>
        <w:t xml:space="preserve"> Magistrad</w:t>
      </w:r>
      <w:r w:rsidR="00900E97">
        <w:rPr>
          <w:rFonts w:ascii="Arial" w:eastAsia="Calibri" w:hAnsi="Arial" w:cs="Arial"/>
          <w:sz w:val="26"/>
          <w:szCs w:val="26"/>
        </w:rPr>
        <w:t>a</w:t>
      </w:r>
      <w:r w:rsidR="00635B8D">
        <w:rPr>
          <w:rFonts w:ascii="Arial" w:eastAsia="Calibri" w:hAnsi="Arial" w:cs="Arial"/>
          <w:sz w:val="26"/>
          <w:szCs w:val="26"/>
        </w:rPr>
        <w:t xml:space="preserve"> de la </w:t>
      </w:r>
      <w:r w:rsidR="00930147" w:rsidRPr="00B55D40">
        <w:rPr>
          <w:rFonts w:ascii="Arial" w:eastAsia="Calibri" w:hAnsi="Arial" w:cs="Arial"/>
          <w:sz w:val="26"/>
          <w:szCs w:val="26"/>
        </w:rPr>
        <w:t>entonces</w:t>
      </w:r>
      <w:r w:rsidR="00900E97">
        <w:rPr>
          <w:rFonts w:ascii="Arial" w:eastAsia="Calibri" w:hAnsi="Arial" w:cs="Arial"/>
          <w:sz w:val="26"/>
          <w:szCs w:val="26"/>
        </w:rPr>
        <w:t xml:space="preserve"> </w:t>
      </w:r>
      <w:r w:rsidR="00635B8D">
        <w:rPr>
          <w:rFonts w:ascii="Arial" w:eastAsia="Calibri" w:hAnsi="Arial" w:cs="Arial"/>
          <w:sz w:val="26"/>
          <w:szCs w:val="26"/>
        </w:rPr>
        <w:t>S</w:t>
      </w:r>
      <w:r w:rsidR="00900E97">
        <w:rPr>
          <w:rFonts w:ascii="Arial" w:eastAsia="Calibri" w:hAnsi="Arial" w:cs="Arial"/>
          <w:sz w:val="26"/>
          <w:szCs w:val="26"/>
        </w:rPr>
        <w:t>éptima</w:t>
      </w:r>
      <w:r w:rsidR="00635B8D">
        <w:rPr>
          <w:rFonts w:ascii="Arial" w:eastAsia="Calibri" w:hAnsi="Arial" w:cs="Arial"/>
          <w:sz w:val="26"/>
          <w:szCs w:val="26"/>
        </w:rPr>
        <w:t xml:space="preserve"> Sala Unitaria de Primera Instancia de este Tribunal,</w:t>
      </w:r>
      <w:r w:rsidR="00635B8D">
        <w:rPr>
          <w:rFonts w:ascii="Arial" w:hAnsi="Arial" w:cs="Arial"/>
          <w:bCs/>
          <w:iCs/>
          <w:sz w:val="26"/>
          <w:szCs w:val="26"/>
          <w:lang w:eastAsia="es-ES"/>
        </w:rPr>
        <w:t xml:space="preserve"> en el juicio de nulidad </w:t>
      </w:r>
      <w:r w:rsidR="00900E97">
        <w:rPr>
          <w:rFonts w:ascii="Arial" w:hAnsi="Arial" w:cs="Arial"/>
          <w:b/>
          <w:bCs/>
          <w:iCs/>
          <w:sz w:val="26"/>
          <w:szCs w:val="26"/>
          <w:lang w:eastAsia="es-ES"/>
        </w:rPr>
        <w:t xml:space="preserve">110/2019, </w:t>
      </w:r>
      <w:r w:rsidR="00900E97">
        <w:rPr>
          <w:rFonts w:ascii="Arial" w:eastAsia="Calibri" w:hAnsi="Arial" w:cs="Arial"/>
          <w:sz w:val="26"/>
          <w:szCs w:val="26"/>
        </w:rPr>
        <w:t>ahora 107/2020 del índice de la Cuarta Sala Unitaria de Primera Instancia de este Tribunal</w:t>
      </w:r>
      <w:r w:rsidR="00635B8D">
        <w:rPr>
          <w:rFonts w:ascii="Arial" w:hAnsi="Arial" w:cs="Arial"/>
          <w:bCs/>
          <w:iCs/>
          <w:sz w:val="26"/>
          <w:szCs w:val="26"/>
          <w:lang w:eastAsia="es-ES"/>
        </w:rPr>
        <w:t>.- -</w:t>
      </w:r>
      <w:r w:rsidR="00420A2F">
        <w:rPr>
          <w:rFonts w:ascii="Arial" w:hAnsi="Arial" w:cs="Arial"/>
          <w:bCs/>
          <w:iCs/>
          <w:sz w:val="26"/>
          <w:szCs w:val="26"/>
          <w:lang w:eastAsia="es-ES"/>
        </w:rPr>
        <w:t xml:space="preserve"> -</w:t>
      </w:r>
      <w:r w:rsidR="00635B8D">
        <w:rPr>
          <w:rFonts w:ascii="Arial" w:hAnsi="Arial" w:cs="Arial"/>
          <w:bCs/>
          <w:iCs/>
          <w:sz w:val="26"/>
          <w:szCs w:val="26"/>
          <w:lang w:eastAsia="es-ES"/>
        </w:rPr>
        <w:t xml:space="preserve"> </w:t>
      </w:r>
      <w:r w:rsidR="00900E97">
        <w:rPr>
          <w:rFonts w:ascii="Arial" w:hAnsi="Arial" w:cs="Arial"/>
          <w:bCs/>
          <w:iCs/>
          <w:sz w:val="26"/>
          <w:szCs w:val="26"/>
          <w:lang w:eastAsia="es-ES"/>
        </w:rPr>
        <w:t xml:space="preserve">- - - - - - - - - - - - </w:t>
      </w:r>
    </w:p>
    <w:p w14:paraId="441C17BD" w14:textId="553535CA" w:rsidR="00635B8D" w:rsidRDefault="00635B8D" w:rsidP="00635B8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917C56">
        <w:rPr>
          <w:rFonts w:ascii="Arial" w:hAnsi="Arial" w:cs="Arial"/>
          <w:bCs/>
          <w:sz w:val="26"/>
          <w:szCs w:val="26"/>
        </w:rPr>
        <w:t>El</w:t>
      </w:r>
      <w:r>
        <w:rPr>
          <w:rFonts w:ascii="Arial" w:hAnsi="Arial" w:cs="Arial"/>
          <w:bCs/>
          <w:sz w:val="26"/>
          <w:szCs w:val="26"/>
        </w:rPr>
        <w:t xml:space="preserve"> agravio hecho valer se encuentra expuesto en el escrito </w:t>
      </w:r>
      <w:r w:rsidR="00917C56">
        <w:rPr>
          <w:rFonts w:ascii="Arial" w:hAnsi="Arial" w:cs="Arial"/>
          <w:bCs/>
          <w:sz w:val="26"/>
          <w:szCs w:val="26"/>
        </w:rPr>
        <w:t>de recurso de revisión</w:t>
      </w:r>
      <w:r>
        <w:rPr>
          <w:rFonts w:ascii="Arial" w:hAnsi="Arial" w:cs="Arial"/>
          <w:bCs/>
          <w:sz w:val="26"/>
          <w:szCs w:val="26"/>
        </w:rPr>
        <w:t>, por lo que no existe necesidad de transcribirlo, virtud a que ello no implica transgresión a derecho alguno de</w:t>
      </w:r>
      <w:r w:rsidR="00917C56">
        <w:rPr>
          <w:rFonts w:ascii="Arial" w:hAnsi="Arial" w:cs="Arial"/>
          <w:bCs/>
          <w:sz w:val="26"/>
          <w:szCs w:val="26"/>
        </w:rPr>
        <w:t xml:space="preserve"> </w:t>
      </w:r>
      <w:r>
        <w:rPr>
          <w:rFonts w:ascii="Arial" w:hAnsi="Arial" w:cs="Arial"/>
          <w:bCs/>
          <w:sz w:val="26"/>
          <w:szCs w:val="26"/>
        </w:rPr>
        <w:t>l</w:t>
      </w:r>
      <w:r w:rsidR="00917C56">
        <w:rPr>
          <w:rFonts w:ascii="Arial" w:hAnsi="Arial" w:cs="Arial"/>
          <w:bCs/>
          <w:sz w:val="26"/>
          <w:szCs w:val="26"/>
        </w:rPr>
        <w:t>a</w:t>
      </w:r>
      <w:r>
        <w:rPr>
          <w:rFonts w:ascii="Arial" w:hAnsi="Arial" w:cs="Arial"/>
          <w:bCs/>
          <w:sz w:val="26"/>
          <w:szCs w:val="26"/>
        </w:rPr>
        <w:t xml:space="preserve"> recurrente,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w:t>
      </w:r>
      <w:r w:rsidR="00C109BA">
        <w:rPr>
          <w:rFonts w:ascii="Arial" w:hAnsi="Arial" w:cs="Arial"/>
          <w:bCs/>
          <w:color w:val="000000"/>
          <w:sz w:val="26"/>
          <w:szCs w:val="26"/>
        </w:rPr>
        <w:t>siguiente: -</w:t>
      </w:r>
      <w:r>
        <w:rPr>
          <w:rFonts w:ascii="Arial" w:hAnsi="Arial" w:cs="Arial"/>
          <w:bCs/>
          <w:color w:val="000000"/>
          <w:sz w:val="26"/>
          <w:szCs w:val="26"/>
        </w:rPr>
        <w:t xml:space="preserve"> - -  - - - - - - - - - - - - - - - - - - - - - - - - - - - - - - - - - - - - </w:t>
      </w:r>
    </w:p>
    <w:p w14:paraId="04C792F8" w14:textId="03858D39" w:rsidR="00635B8D" w:rsidRPr="00BE4815" w:rsidRDefault="00635B8D" w:rsidP="005942CB">
      <w:pPr>
        <w:spacing w:after="120"/>
        <w:ind w:left="567" w:right="902"/>
        <w:jc w:val="both"/>
        <w:rPr>
          <w:rFonts w:ascii="Arial" w:eastAsia="Calibri" w:hAnsi="Arial" w:cs="Arial"/>
          <w:bCs/>
          <w:i/>
          <w:sz w:val="24"/>
          <w:szCs w:val="24"/>
        </w:rPr>
      </w:pPr>
      <w:r w:rsidRPr="00BE4815">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BE4815">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 - - - - - - - - - - - - - - - - - - - - - - - - - - - - - </w:t>
      </w:r>
    </w:p>
    <w:p w14:paraId="2FF119CE" w14:textId="1629BC42" w:rsidR="00A4381B" w:rsidRDefault="00571114" w:rsidP="00635B8D">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w:t>
      </w:r>
      <w:r w:rsidR="008A79DF">
        <w:rPr>
          <w:rFonts w:ascii="Arial" w:eastAsia="Calibri" w:hAnsi="Arial" w:cs="Arial"/>
          <w:bCs/>
          <w:sz w:val="26"/>
          <w:szCs w:val="26"/>
        </w:rPr>
        <w:t xml:space="preserve">la recurrente que </w:t>
      </w:r>
      <w:r w:rsidR="004922DC">
        <w:rPr>
          <w:rFonts w:ascii="Arial" w:eastAsia="Calibri" w:hAnsi="Arial" w:cs="Arial"/>
          <w:bCs/>
          <w:sz w:val="26"/>
          <w:szCs w:val="26"/>
        </w:rPr>
        <w:t xml:space="preserve">la sentencia que combate, no cumple con las exigencias que prevé el artículo 207 de la Ley de Procedimiento y Justicia Administrativa para el Estado de Oaxaca, pues </w:t>
      </w:r>
      <w:r w:rsidR="004922DC">
        <w:rPr>
          <w:rFonts w:ascii="Arial" w:eastAsia="Calibri" w:hAnsi="Arial" w:cs="Arial"/>
          <w:bCs/>
          <w:sz w:val="26"/>
          <w:szCs w:val="26"/>
        </w:rPr>
        <w:lastRenderedPageBreak/>
        <w:t xml:space="preserve">fue emitida sin tomar en cuenta los principios de congruencia y exhaustividad que deberá regir toda sentencia y que se encuentran establecidos en el citado precepto legal; esto, porque la Sala Unitaria </w:t>
      </w:r>
      <w:r w:rsidR="004922DC" w:rsidRPr="00B55D40">
        <w:rPr>
          <w:rFonts w:ascii="Arial" w:eastAsia="Calibri" w:hAnsi="Arial" w:cs="Arial"/>
          <w:bCs/>
          <w:sz w:val="26"/>
          <w:szCs w:val="26"/>
        </w:rPr>
        <w:t>omitió</w:t>
      </w:r>
      <w:r w:rsidR="00930147" w:rsidRPr="00B55D40">
        <w:rPr>
          <w:rFonts w:ascii="Arial" w:eastAsia="Calibri" w:hAnsi="Arial" w:cs="Arial"/>
          <w:bCs/>
          <w:sz w:val="26"/>
          <w:szCs w:val="26"/>
        </w:rPr>
        <w:t xml:space="preserve"> </w:t>
      </w:r>
      <w:r w:rsidR="00AE3B8E">
        <w:rPr>
          <w:rFonts w:ascii="Arial" w:eastAsia="Calibri" w:hAnsi="Arial" w:cs="Arial"/>
          <w:bCs/>
          <w:sz w:val="26"/>
          <w:szCs w:val="26"/>
        </w:rPr>
        <w:t xml:space="preserve">ordenar </w:t>
      </w:r>
      <w:r w:rsidR="00930147" w:rsidRPr="00B55D40">
        <w:rPr>
          <w:rFonts w:ascii="Arial" w:eastAsia="Calibri" w:hAnsi="Arial" w:cs="Arial"/>
          <w:bCs/>
          <w:sz w:val="26"/>
          <w:szCs w:val="26"/>
        </w:rPr>
        <w:t>que se abriera</w:t>
      </w:r>
      <w:r w:rsidR="004922DC" w:rsidRPr="00B55D40">
        <w:rPr>
          <w:rFonts w:ascii="Arial" w:eastAsia="Calibri" w:hAnsi="Arial" w:cs="Arial"/>
          <w:bCs/>
          <w:sz w:val="26"/>
          <w:szCs w:val="26"/>
        </w:rPr>
        <w:t xml:space="preserve"> el in</w:t>
      </w:r>
      <w:r w:rsidR="004922DC">
        <w:rPr>
          <w:rFonts w:ascii="Arial" w:eastAsia="Calibri" w:hAnsi="Arial" w:cs="Arial"/>
          <w:bCs/>
          <w:sz w:val="26"/>
          <w:szCs w:val="26"/>
        </w:rPr>
        <w:t xml:space="preserve">cidente de liquidación correspondiente, a fin de estar en aptitud de cuantificar las cantidades a que debe de ser condenada la demandada.- - - - - - - - - - - - - - - -  - - - - </w:t>
      </w:r>
    </w:p>
    <w:p w14:paraId="65205985" w14:textId="3CCBF8DA" w:rsidR="000A468C" w:rsidRDefault="004922DC"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Refiere que la sentencia recurrida, debió contener la fijación clara y precisa </w:t>
      </w:r>
      <w:r w:rsidR="00704D06">
        <w:rPr>
          <w:rFonts w:ascii="Arial" w:eastAsia="Calibri" w:hAnsi="Arial" w:cs="Arial"/>
          <w:bCs/>
          <w:sz w:val="26"/>
          <w:szCs w:val="26"/>
        </w:rPr>
        <w:t>de señalar</w:t>
      </w:r>
      <w:r>
        <w:rPr>
          <w:rFonts w:ascii="Arial" w:eastAsia="Calibri" w:hAnsi="Arial" w:cs="Arial"/>
          <w:bCs/>
          <w:sz w:val="26"/>
          <w:szCs w:val="26"/>
        </w:rPr>
        <w:t xml:space="preserve"> la apertura del incidente de liquidación respectivo, lo cual no aconteció, aunando a </w:t>
      </w:r>
      <w:r w:rsidR="00564247">
        <w:rPr>
          <w:rFonts w:ascii="Arial" w:eastAsia="Calibri" w:hAnsi="Arial" w:cs="Arial"/>
          <w:bCs/>
          <w:sz w:val="26"/>
          <w:szCs w:val="26"/>
        </w:rPr>
        <w:t>que,</w:t>
      </w:r>
      <w:r>
        <w:rPr>
          <w:rFonts w:ascii="Arial" w:eastAsia="Calibri" w:hAnsi="Arial" w:cs="Arial"/>
          <w:bCs/>
          <w:sz w:val="26"/>
          <w:szCs w:val="26"/>
        </w:rPr>
        <w:t xml:space="preserve"> de forma vaga e imprecisa en la sentencia dictada el dieciocho de marzo de dos mil veinte, únicamente señala en la hoja 16 lo siguiente:</w:t>
      </w:r>
      <w:r w:rsidR="000A468C">
        <w:rPr>
          <w:rFonts w:ascii="Arial" w:eastAsia="Calibri" w:hAnsi="Arial" w:cs="Arial"/>
          <w:bCs/>
          <w:sz w:val="26"/>
          <w:szCs w:val="26"/>
        </w:rPr>
        <w:t xml:space="preserve"> - - - - - - - - - - - - - - - - - -- - - - - - - - - -</w:t>
      </w:r>
    </w:p>
    <w:p w14:paraId="6CDC93F9" w14:textId="09907182" w:rsidR="000A468C" w:rsidRPr="004A0ED7" w:rsidRDefault="00EE2BF9" w:rsidP="000A468C">
      <w:pPr>
        <w:spacing w:after="120" w:line="360" w:lineRule="auto"/>
        <w:ind w:left="567" w:right="900"/>
        <w:jc w:val="both"/>
        <w:rPr>
          <w:rFonts w:ascii="Arial" w:eastAsia="Calibri" w:hAnsi="Arial" w:cs="Arial"/>
          <w:bCs/>
          <w:i/>
          <w:sz w:val="24"/>
          <w:szCs w:val="24"/>
        </w:rPr>
      </w:pPr>
      <w:r w:rsidRPr="004A0ED7">
        <w:rPr>
          <w:rFonts w:ascii="Arial" w:eastAsia="Calibri" w:hAnsi="Arial" w:cs="Arial"/>
          <w:bCs/>
          <w:i/>
          <w:sz w:val="24"/>
          <w:szCs w:val="24"/>
        </w:rPr>
        <w:t xml:space="preserve">“…lo procedente es INAPLICAR la disposición del artículo 54 fracción I de la Ley de Pensiones para los Trabajadores del Gobierno del Estado de Oaxaca, que únicamente considera las prestaciones de previsión social múltiple, despensa, vida cara, quinquenios, aguinaldo, estímulo del día del jubilado, día de las madres y canasta navideña, para los trabajadores de base, pues en el caso particular </w:t>
      </w:r>
      <w:r w:rsidR="00CC1F9C" w:rsidRPr="00F05F47">
        <w:rPr>
          <w:rFonts w:ascii="Arial" w:eastAsia="Calibri" w:hAnsi="Arial" w:cs="Arial"/>
          <w:b/>
          <w:bCs/>
          <w:i/>
          <w:sz w:val="24"/>
          <w:szCs w:val="24"/>
        </w:rPr>
        <w:t>***********</w:t>
      </w:r>
      <w:r w:rsidRPr="00F05F47">
        <w:rPr>
          <w:rFonts w:ascii="Arial" w:eastAsia="Calibri" w:hAnsi="Arial" w:cs="Arial"/>
          <w:b/>
          <w:bCs/>
          <w:i/>
          <w:sz w:val="24"/>
          <w:szCs w:val="24"/>
        </w:rPr>
        <w:t xml:space="preserve">, </w:t>
      </w:r>
      <w:r w:rsidRPr="004A0ED7">
        <w:rPr>
          <w:rFonts w:ascii="Arial" w:eastAsia="Calibri" w:hAnsi="Arial" w:cs="Arial"/>
          <w:bCs/>
          <w:i/>
          <w:sz w:val="24"/>
          <w:szCs w:val="24"/>
        </w:rPr>
        <w:t>debe obtener esas prestaciones evitando la discriminación y en consecuencia, se ordena a la autoridad demanda conceder dichas prestaciones.</w:t>
      </w:r>
    </w:p>
    <w:p w14:paraId="2193CA80" w14:textId="4208FD9F" w:rsidR="004922DC" w:rsidRPr="004A0ED7" w:rsidRDefault="00EE2BF9" w:rsidP="000A468C">
      <w:pPr>
        <w:spacing w:after="120" w:line="360" w:lineRule="auto"/>
        <w:ind w:left="567" w:right="900"/>
        <w:jc w:val="both"/>
        <w:rPr>
          <w:rFonts w:ascii="Arial" w:eastAsia="Calibri" w:hAnsi="Arial" w:cs="Arial"/>
          <w:bCs/>
          <w:i/>
          <w:sz w:val="24"/>
          <w:szCs w:val="24"/>
        </w:rPr>
      </w:pPr>
      <w:r w:rsidRPr="004A0ED7">
        <w:rPr>
          <w:rFonts w:ascii="Arial" w:eastAsia="Calibri" w:hAnsi="Arial" w:cs="Arial"/>
          <w:bCs/>
          <w:i/>
          <w:sz w:val="24"/>
          <w:szCs w:val="24"/>
        </w:rPr>
        <w:t xml:space="preserve">Por lo que se refiere a </w:t>
      </w:r>
      <w:r w:rsidRPr="004A0ED7">
        <w:rPr>
          <w:rFonts w:ascii="Arial" w:eastAsia="Calibri" w:hAnsi="Arial" w:cs="Arial"/>
          <w:b/>
          <w:bCs/>
          <w:i/>
          <w:sz w:val="24"/>
          <w:szCs w:val="24"/>
          <w:u w:val="single"/>
        </w:rPr>
        <w:t>la tercer (sic) premisa,</w:t>
      </w:r>
      <w:r w:rsidRPr="004A0ED7">
        <w:rPr>
          <w:rFonts w:ascii="Arial" w:eastAsia="Calibri" w:hAnsi="Arial" w:cs="Arial"/>
          <w:bCs/>
          <w:i/>
          <w:sz w:val="24"/>
          <w:szCs w:val="24"/>
          <w:u w:val="single"/>
        </w:rPr>
        <w:t xml:space="preserve"> </w:t>
      </w:r>
      <w:r w:rsidRPr="004A0ED7">
        <w:rPr>
          <w:rFonts w:ascii="Arial" w:eastAsia="Calibri" w:hAnsi="Arial" w:cs="Arial"/>
          <w:bCs/>
          <w:i/>
          <w:sz w:val="24"/>
          <w:szCs w:val="24"/>
        </w:rPr>
        <w:t>consistente en la reducción del 9% de la pensión, se concede razón a la actora en cuanto a su inconstitucionalidad</w:t>
      </w:r>
      <w:r w:rsidR="000A468C" w:rsidRPr="004A0ED7">
        <w:rPr>
          <w:rFonts w:ascii="Arial" w:eastAsia="Calibri" w:hAnsi="Arial" w:cs="Arial"/>
          <w:bCs/>
          <w:i/>
          <w:sz w:val="24"/>
          <w:szCs w:val="24"/>
        </w:rPr>
        <w:t xml:space="preserve">, porque dicho descuento fue sustentado en los artículos 6 fracción IV, 18 párrafo segundo y Transitorio Octavo, todos de la Ley de Pensiones para los Trabajadores del Gobierno del Estado de Oaxaca, artículos que fueron considerados violatorios del derecho humano a la seguridad social por el más alto Tribunal de este país, quien considero que la aportación regulada por el legislador local (9% a la pensión), no encuadra en ninguna de las hipótesis permitidas, ya que se traduce en un descuento indebido del monto de las pensión jubilatoria, encaminado a constituir el fondo monetario con el que se cubría la misma…” </w:t>
      </w:r>
    </w:p>
    <w:p w14:paraId="223AF812" w14:textId="77777777" w:rsidR="00EB3AF2" w:rsidRDefault="00256761" w:rsidP="00990F76">
      <w:pPr>
        <w:spacing w:after="0" w:line="360" w:lineRule="auto"/>
        <w:ind w:right="49" w:firstLine="567"/>
        <w:jc w:val="both"/>
        <w:rPr>
          <w:rFonts w:ascii="Arial" w:eastAsia="Calibri" w:hAnsi="Arial" w:cs="Arial"/>
          <w:sz w:val="26"/>
          <w:szCs w:val="26"/>
        </w:rPr>
      </w:pPr>
      <w:r>
        <w:rPr>
          <w:rFonts w:ascii="Arial" w:eastAsia="Calibri" w:hAnsi="Arial" w:cs="Arial"/>
          <w:sz w:val="26"/>
          <w:szCs w:val="26"/>
        </w:rPr>
        <w:t>En ese sentido</w:t>
      </w:r>
      <w:r w:rsidR="00990F76">
        <w:rPr>
          <w:rFonts w:ascii="Arial" w:eastAsia="Calibri" w:hAnsi="Arial" w:cs="Arial"/>
          <w:sz w:val="26"/>
          <w:szCs w:val="26"/>
        </w:rPr>
        <w:t xml:space="preserve">, señala que es de explorado derecho que para </w:t>
      </w:r>
      <w:r>
        <w:rPr>
          <w:rFonts w:ascii="Arial" w:eastAsia="Calibri" w:hAnsi="Arial" w:cs="Arial"/>
          <w:sz w:val="26"/>
          <w:szCs w:val="26"/>
        </w:rPr>
        <w:t xml:space="preserve">el </w:t>
      </w:r>
      <w:r w:rsidR="00990F76">
        <w:rPr>
          <w:rFonts w:ascii="Arial" w:eastAsia="Calibri" w:hAnsi="Arial" w:cs="Arial"/>
          <w:sz w:val="26"/>
          <w:szCs w:val="26"/>
        </w:rPr>
        <w:t xml:space="preserve">cumplimiento de una sentencia, </w:t>
      </w:r>
      <w:r>
        <w:rPr>
          <w:rFonts w:ascii="Arial" w:eastAsia="Calibri" w:hAnsi="Arial" w:cs="Arial"/>
          <w:sz w:val="26"/>
          <w:szCs w:val="26"/>
        </w:rPr>
        <w:t xml:space="preserve">en donde </w:t>
      </w:r>
      <w:r w:rsidR="00990F76">
        <w:rPr>
          <w:rFonts w:ascii="Arial" w:eastAsia="Calibri" w:hAnsi="Arial" w:cs="Arial"/>
          <w:sz w:val="26"/>
          <w:szCs w:val="26"/>
        </w:rPr>
        <w:t xml:space="preserve">se deba de pagar una cantidad de dinero, cuyo monto no se pudo cuantificar o se omitió cuantificar, debe abrirse necesariamente el incidente de liquidación, a fin de </w:t>
      </w:r>
      <w:r>
        <w:rPr>
          <w:rFonts w:ascii="Arial" w:eastAsia="Calibri" w:hAnsi="Arial" w:cs="Arial"/>
          <w:sz w:val="26"/>
          <w:szCs w:val="26"/>
        </w:rPr>
        <w:t>asegurar</w:t>
      </w:r>
      <w:r w:rsidR="00990F76">
        <w:rPr>
          <w:rFonts w:ascii="Arial" w:eastAsia="Calibri" w:hAnsi="Arial" w:cs="Arial"/>
          <w:sz w:val="26"/>
          <w:szCs w:val="26"/>
        </w:rPr>
        <w:t xml:space="preserve"> la garantía de audiencia de las partes, </w:t>
      </w:r>
      <w:r w:rsidR="00F73524">
        <w:rPr>
          <w:rFonts w:ascii="Arial" w:eastAsia="Calibri" w:hAnsi="Arial" w:cs="Arial"/>
          <w:sz w:val="26"/>
          <w:szCs w:val="26"/>
        </w:rPr>
        <w:t xml:space="preserve">pues dice que </w:t>
      </w:r>
      <w:r>
        <w:rPr>
          <w:rFonts w:ascii="Arial" w:eastAsia="Calibri" w:hAnsi="Arial" w:cs="Arial"/>
          <w:sz w:val="26"/>
          <w:szCs w:val="26"/>
        </w:rPr>
        <w:t>d</w:t>
      </w:r>
      <w:r w:rsidR="00F73524">
        <w:rPr>
          <w:rFonts w:ascii="Arial" w:eastAsia="Calibri" w:hAnsi="Arial" w:cs="Arial"/>
          <w:sz w:val="26"/>
          <w:szCs w:val="26"/>
        </w:rPr>
        <w:t xml:space="preserve">e </w:t>
      </w:r>
      <w:r w:rsidR="00F73524">
        <w:rPr>
          <w:rFonts w:ascii="Arial" w:eastAsia="Calibri" w:hAnsi="Arial" w:cs="Arial"/>
          <w:sz w:val="26"/>
          <w:szCs w:val="26"/>
        </w:rPr>
        <w:lastRenderedPageBreak/>
        <w:t>lo contrario, puede existir controversia sobre el monto que debe pagarse al accionante</w:t>
      </w:r>
      <w:r>
        <w:rPr>
          <w:rFonts w:ascii="Arial" w:eastAsia="Calibri" w:hAnsi="Arial" w:cs="Arial"/>
          <w:sz w:val="26"/>
          <w:szCs w:val="26"/>
        </w:rPr>
        <w:t xml:space="preserve"> y que la Sala carezca de elementos para determinarlo con certeza</w:t>
      </w:r>
      <w:r w:rsidR="00EB3AF2">
        <w:rPr>
          <w:rFonts w:ascii="Arial" w:eastAsia="Calibri" w:hAnsi="Arial" w:cs="Arial"/>
          <w:sz w:val="26"/>
          <w:szCs w:val="26"/>
        </w:rPr>
        <w:t>.- - - - - - - - - - - - - - - - - - - - - - - - - - - - - - - - - - - - - - - - - - - - -  -</w:t>
      </w:r>
    </w:p>
    <w:p w14:paraId="45EB998C" w14:textId="7462EB0E" w:rsidR="008A79DF" w:rsidRDefault="00EB3AF2" w:rsidP="002856E9">
      <w:pPr>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Asimismo, refiere que debe abrirse el </w:t>
      </w:r>
      <w:r w:rsidR="00256761">
        <w:rPr>
          <w:rFonts w:ascii="Arial" w:eastAsia="Calibri" w:hAnsi="Arial" w:cs="Arial"/>
          <w:sz w:val="26"/>
          <w:szCs w:val="26"/>
        </w:rPr>
        <w:t>incidente de liquidaci</w:t>
      </w:r>
      <w:r>
        <w:rPr>
          <w:rFonts w:ascii="Arial" w:eastAsia="Calibri" w:hAnsi="Arial" w:cs="Arial"/>
          <w:sz w:val="26"/>
          <w:szCs w:val="26"/>
        </w:rPr>
        <w:t>ón</w:t>
      </w:r>
      <w:r w:rsidR="00256761">
        <w:rPr>
          <w:rFonts w:ascii="Arial" w:eastAsia="Calibri" w:hAnsi="Arial" w:cs="Arial"/>
          <w:sz w:val="26"/>
          <w:szCs w:val="26"/>
        </w:rPr>
        <w:t xml:space="preserve"> </w:t>
      </w:r>
      <w:r>
        <w:rPr>
          <w:rFonts w:ascii="Arial" w:eastAsia="Calibri" w:hAnsi="Arial" w:cs="Arial"/>
          <w:sz w:val="26"/>
          <w:szCs w:val="26"/>
        </w:rPr>
        <w:t xml:space="preserve">a efecto de que </w:t>
      </w:r>
      <w:r w:rsidR="00256761">
        <w:rPr>
          <w:rFonts w:ascii="Arial" w:eastAsia="Calibri" w:hAnsi="Arial" w:cs="Arial"/>
          <w:sz w:val="26"/>
          <w:szCs w:val="26"/>
        </w:rPr>
        <w:t>las partes interesadas</w:t>
      </w:r>
      <w:r>
        <w:rPr>
          <w:rFonts w:ascii="Arial" w:eastAsia="Calibri" w:hAnsi="Arial" w:cs="Arial"/>
          <w:sz w:val="26"/>
          <w:szCs w:val="26"/>
        </w:rPr>
        <w:t>,</w:t>
      </w:r>
      <w:r w:rsidR="00256761">
        <w:rPr>
          <w:rFonts w:ascii="Arial" w:eastAsia="Calibri" w:hAnsi="Arial" w:cs="Arial"/>
          <w:sz w:val="26"/>
          <w:szCs w:val="26"/>
        </w:rPr>
        <w:t xml:space="preserve"> estén en aptitud de probar sus pretensiones respecto al monto de las cantidades que se deban pagar al actor en acatamiento del fallo protector</w:t>
      </w:r>
      <w:r>
        <w:rPr>
          <w:rFonts w:ascii="Arial" w:eastAsia="Calibri" w:hAnsi="Arial" w:cs="Arial"/>
          <w:sz w:val="26"/>
          <w:szCs w:val="26"/>
        </w:rPr>
        <w:t>,</w:t>
      </w:r>
      <w:r w:rsidR="00256761">
        <w:rPr>
          <w:rFonts w:ascii="Arial" w:eastAsia="Calibri" w:hAnsi="Arial" w:cs="Arial"/>
          <w:sz w:val="26"/>
          <w:szCs w:val="26"/>
        </w:rPr>
        <w:t xml:space="preserve"> y la </w:t>
      </w:r>
      <w:r>
        <w:rPr>
          <w:rFonts w:ascii="Arial" w:eastAsia="Calibri" w:hAnsi="Arial" w:cs="Arial"/>
          <w:sz w:val="26"/>
          <w:szCs w:val="26"/>
        </w:rPr>
        <w:t>respectiva</w:t>
      </w:r>
      <w:r w:rsidR="00256761">
        <w:rPr>
          <w:rFonts w:ascii="Arial" w:eastAsia="Calibri" w:hAnsi="Arial" w:cs="Arial"/>
          <w:sz w:val="26"/>
          <w:szCs w:val="26"/>
        </w:rPr>
        <w:t xml:space="preserve"> Sala debe dictar la resolución correspondiente, en la que determine la cantidad líquida que se debe entregar al actor para el debido cumplimiento de la sentencia, situación que dice, no aconteció en el presente asunto.</w:t>
      </w:r>
      <w:r w:rsidR="006741EF">
        <w:rPr>
          <w:rFonts w:ascii="Arial" w:eastAsia="Calibri" w:hAnsi="Arial" w:cs="Arial"/>
          <w:sz w:val="26"/>
          <w:szCs w:val="26"/>
        </w:rPr>
        <w:t xml:space="preserve"> Para justificar lo anterior, cita la Tesis Aislada con número de registro 191600, de rubro: “</w:t>
      </w:r>
      <w:r w:rsidR="006741EF" w:rsidRPr="006741EF">
        <w:rPr>
          <w:rFonts w:ascii="Arial" w:eastAsia="Calibri" w:hAnsi="Arial" w:cs="Arial"/>
          <w:b/>
          <w:i/>
          <w:sz w:val="24"/>
          <w:szCs w:val="24"/>
        </w:rPr>
        <w:t>SENTENCIAS DE AMPARO. CUANDO SU CUMPLIMIENTO REQUIERE EL PAGO DE UNA CANTIDAD CUYO MONTO NO FUE DETERMINADO EN ELLAS. EL JUEZ DE DISTRITO DEBE ABRIR UN INCIDENTE DE LIQUIDACIÓN PARA CUANTIFICARLO.”</w:t>
      </w:r>
      <w:r w:rsidRPr="006741EF">
        <w:rPr>
          <w:rFonts w:ascii="Arial" w:eastAsia="Calibri" w:hAnsi="Arial" w:cs="Arial"/>
          <w:sz w:val="24"/>
          <w:szCs w:val="24"/>
        </w:rPr>
        <w:t>-</w:t>
      </w:r>
      <w:r>
        <w:rPr>
          <w:rFonts w:ascii="Arial" w:eastAsia="Calibri" w:hAnsi="Arial" w:cs="Arial"/>
          <w:sz w:val="26"/>
          <w:szCs w:val="26"/>
        </w:rPr>
        <w:t xml:space="preserve"> - - - </w:t>
      </w:r>
      <w:r w:rsidR="006741EF">
        <w:rPr>
          <w:rFonts w:ascii="Arial" w:eastAsia="Calibri" w:hAnsi="Arial" w:cs="Arial"/>
          <w:sz w:val="26"/>
          <w:szCs w:val="26"/>
        </w:rPr>
        <w:t>- - - - - - - -</w:t>
      </w:r>
    </w:p>
    <w:p w14:paraId="161FC98B" w14:textId="087E0E17" w:rsidR="00922458" w:rsidRDefault="002856E9" w:rsidP="002856E9">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Se califica de </w:t>
      </w:r>
      <w:r w:rsidR="00AE3B8E" w:rsidRPr="002856E9">
        <w:rPr>
          <w:rFonts w:ascii="Arial" w:eastAsia="Calibri" w:hAnsi="Arial" w:cs="Arial"/>
          <w:b/>
          <w:sz w:val="26"/>
          <w:szCs w:val="26"/>
        </w:rPr>
        <w:t xml:space="preserve">INFUNDADO </w:t>
      </w:r>
      <w:r w:rsidR="005D630A">
        <w:rPr>
          <w:rFonts w:ascii="Arial" w:eastAsia="Calibri" w:hAnsi="Arial" w:cs="Arial"/>
          <w:sz w:val="26"/>
          <w:szCs w:val="26"/>
        </w:rPr>
        <w:t>el citado agravio</w:t>
      </w:r>
      <w:r>
        <w:rPr>
          <w:rFonts w:ascii="Arial" w:eastAsia="Calibri" w:hAnsi="Arial" w:cs="Arial"/>
          <w:sz w:val="26"/>
          <w:szCs w:val="26"/>
        </w:rPr>
        <w:t xml:space="preserve">, </w:t>
      </w:r>
      <w:r w:rsidR="007D22FC">
        <w:rPr>
          <w:rFonts w:ascii="Arial" w:eastAsia="Calibri" w:hAnsi="Arial" w:cs="Arial"/>
          <w:sz w:val="26"/>
          <w:szCs w:val="26"/>
        </w:rPr>
        <w:t>ya que</w:t>
      </w:r>
      <w:r w:rsidR="005D630A">
        <w:rPr>
          <w:rFonts w:ascii="Arial" w:eastAsia="Calibri" w:hAnsi="Arial" w:cs="Arial"/>
          <w:sz w:val="26"/>
          <w:szCs w:val="26"/>
        </w:rPr>
        <w:t xml:space="preserve"> </w:t>
      </w:r>
      <w:r w:rsidR="00922458">
        <w:rPr>
          <w:rFonts w:ascii="Arial" w:eastAsia="Calibri" w:hAnsi="Arial" w:cs="Arial"/>
          <w:sz w:val="26"/>
          <w:szCs w:val="26"/>
        </w:rPr>
        <w:t>el artículo 22</w:t>
      </w:r>
      <w:r w:rsidR="007D22FC">
        <w:rPr>
          <w:rFonts w:ascii="Arial" w:eastAsia="Calibri" w:hAnsi="Arial" w:cs="Arial"/>
          <w:sz w:val="26"/>
          <w:szCs w:val="26"/>
        </w:rPr>
        <w:t>4</w:t>
      </w:r>
      <w:r w:rsidR="00922458">
        <w:rPr>
          <w:rFonts w:ascii="Arial" w:eastAsia="Calibri" w:hAnsi="Arial" w:cs="Arial"/>
          <w:sz w:val="26"/>
          <w:szCs w:val="26"/>
        </w:rPr>
        <w:t xml:space="preserve">, último párrafo de la Ley de Procedimiento y Justicia Administrativa para el Estado de Oaxaca, </w:t>
      </w:r>
      <w:r w:rsidR="007D22FC">
        <w:rPr>
          <w:rFonts w:ascii="Arial" w:eastAsia="Calibri" w:hAnsi="Arial" w:cs="Arial"/>
          <w:sz w:val="26"/>
          <w:szCs w:val="26"/>
        </w:rPr>
        <w:t xml:space="preserve">establece lo siguiente:- - - - - - - - - - - - - - - - </w:t>
      </w:r>
    </w:p>
    <w:p w14:paraId="692253AE" w14:textId="77777777" w:rsidR="007D22FC" w:rsidRPr="004A0ED7" w:rsidRDefault="007D22FC" w:rsidP="007D22FC">
      <w:pPr>
        <w:spacing w:after="120" w:line="360" w:lineRule="auto"/>
        <w:ind w:left="851" w:right="900" w:firstLine="708"/>
        <w:jc w:val="both"/>
        <w:rPr>
          <w:rFonts w:ascii="Arial" w:hAnsi="Arial" w:cs="Arial"/>
          <w:i/>
          <w:iCs/>
          <w:sz w:val="24"/>
          <w:szCs w:val="24"/>
        </w:rPr>
      </w:pPr>
      <w:r w:rsidRPr="004A0ED7">
        <w:rPr>
          <w:rFonts w:ascii="Arial" w:hAnsi="Arial" w:cs="Arial"/>
          <w:b/>
          <w:bCs/>
          <w:i/>
          <w:iCs/>
          <w:sz w:val="24"/>
          <w:szCs w:val="24"/>
        </w:rPr>
        <w:t>“ARTÍCULO 224.</w:t>
      </w:r>
      <w:r w:rsidRPr="004A0ED7">
        <w:rPr>
          <w:rFonts w:ascii="Arial" w:hAnsi="Arial" w:cs="Arial"/>
          <w:i/>
          <w:iCs/>
          <w:sz w:val="24"/>
          <w:szCs w:val="24"/>
        </w:rPr>
        <w:t>- En el procedimiento contencioso administrativo, no habrá más incidentes que los establecidos en la presente Ley. Se tramitarán como de previo y especial pronunciamiento, con suspensión de la tramitación del juicio en lo principal. Procederán los siguientes:</w:t>
      </w:r>
    </w:p>
    <w:p w14:paraId="11139775" w14:textId="77777777" w:rsidR="007D22FC" w:rsidRPr="004A0ED7" w:rsidRDefault="007D22FC" w:rsidP="007D22FC">
      <w:pPr>
        <w:spacing w:after="120" w:line="360" w:lineRule="auto"/>
        <w:ind w:left="851" w:right="900" w:firstLine="708"/>
        <w:jc w:val="both"/>
        <w:rPr>
          <w:rFonts w:ascii="Arial" w:hAnsi="Arial" w:cs="Arial"/>
          <w:i/>
          <w:iCs/>
          <w:sz w:val="24"/>
          <w:szCs w:val="24"/>
        </w:rPr>
      </w:pPr>
      <w:r w:rsidRPr="004A0ED7">
        <w:rPr>
          <w:rFonts w:ascii="Arial" w:hAnsi="Arial" w:cs="Arial"/>
          <w:i/>
          <w:iCs/>
          <w:sz w:val="24"/>
          <w:szCs w:val="24"/>
        </w:rPr>
        <w:t xml:space="preserve"> I. El de acumulación de autos;</w:t>
      </w:r>
    </w:p>
    <w:p w14:paraId="62FF1CAF" w14:textId="77777777" w:rsidR="007D22FC" w:rsidRPr="004A0ED7" w:rsidRDefault="007D22FC" w:rsidP="007D22FC">
      <w:pPr>
        <w:spacing w:after="120" w:line="360" w:lineRule="auto"/>
        <w:ind w:left="851" w:right="900" w:firstLine="708"/>
        <w:jc w:val="both"/>
        <w:rPr>
          <w:rFonts w:ascii="Arial" w:hAnsi="Arial" w:cs="Arial"/>
          <w:i/>
          <w:iCs/>
          <w:sz w:val="24"/>
          <w:szCs w:val="24"/>
        </w:rPr>
      </w:pPr>
      <w:r w:rsidRPr="004A0ED7">
        <w:rPr>
          <w:rFonts w:ascii="Arial" w:hAnsi="Arial" w:cs="Arial"/>
          <w:i/>
          <w:iCs/>
          <w:sz w:val="24"/>
          <w:szCs w:val="24"/>
        </w:rPr>
        <w:t xml:space="preserve"> II. El de nulidad de notificaciones; y</w:t>
      </w:r>
    </w:p>
    <w:p w14:paraId="1DFC5B66" w14:textId="77777777" w:rsidR="007D22FC" w:rsidRPr="004A0ED7" w:rsidRDefault="007D22FC" w:rsidP="007D22FC">
      <w:pPr>
        <w:spacing w:after="120" w:line="360" w:lineRule="auto"/>
        <w:ind w:left="851" w:right="900" w:firstLine="708"/>
        <w:jc w:val="both"/>
        <w:rPr>
          <w:rFonts w:ascii="Arial" w:hAnsi="Arial" w:cs="Arial"/>
          <w:i/>
          <w:iCs/>
          <w:sz w:val="24"/>
          <w:szCs w:val="24"/>
        </w:rPr>
      </w:pPr>
      <w:r w:rsidRPr="004A0ED7">
        <w:rPr>
          <w:rFonts w:ascii="Arial" w:hAnsi="Arial" w:cs="Arial"/>
          <w:i/>
          <w:iCs/>
          <w:sz w:val="24"/>
          <w:szCs w:val="24"/>
        </w:rPr>
        <w:t xml:space="preserve">III. El de interrupción del procedimiento por causa de muerte, incapacidad, declaración de ausencia, quiebra, disolución de la persona moral o desaparición del órgano de la administración pública. </w:t>
      </w:r>
    </w:p>
    <w:p w14:paraId="47503D47" w14:textId="4001BEAA" w:rsidR="007D22FC" w:rsidRPr="004A0ED7" w:rsidRDefault="007D22FC" w:rsidP="007D22FC">
      <w:pPr>
        <w:spacing w:after="120" w:line="360" w:lineRule="auto"/>
        <w:ind w:left="851" w:right="900" w:firstLine="708"/>
        <w:jc w:val="both"/>
        <w:rPr>
          <w:rFonts w:ascii="Arial" w:eastAsia="Calibri" w:hAnsi="Arial" w:cs="Arial"/>
          <w:i/>
          <w:iCs/>
          <w:sz w:val="24"/>
          <w:szCs w:val="24"/>
        </w:rPr>
      </w:pPr>
      <w:r w:rsidRPr="004A0ED7">
        <w:rPr>
          <w:rFonts w:ascii="Arial" w:hAnsi="Arial" w:cs="Arial"/>
          <w:i/>
          <w:iCs/>
          <w:sz w:val="24"/>
          <w:szCs w:val="24"/>
        </w:rPr>
        <w:t>La promoción de cualquier incidente, notoriamente improcedente, se desechará de plano.”</w:t>
      </w:r>
    </w:p>
    <w:p w14:paraId="64F03A47" w14:textId="04021E9B" w:rsidR="007C09CB" w:rsidRDefault="007D22FC" w:rsidP="002856E9">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Como se advierte de la anterior transcripción, en </w:t>
      </w:r>
      <w:r w:rsidRPr="007D22FC">
        <w:rPr>
          <w:rFonts w:ascii="Arial" w:hAnsi="Arial" w:cs="Arial"/>
          <w:sz w:val="26"/>
          <w:szCs w:val="26"/>
        </w:rPr>
        <w:t xml:space="preserve">el procedimiento contencioso administrativo, no habrá más incidentes que los establecidos en la </w:t>
      </w:r>
      <w:r>
        <w:rPr>
          <w:rFonts w:ascii="Arial" w:hAnsi="Arial" w:cs="Arial"/>
          <w:sz w:val="26"/>
          <w:szCs w:val="26"/>
        </w:rPr>
        <w:t xml:space="preserve">Ley de Procedimiento y Justicia Administrativa para el Estado de Oaxaca; </w:t>
      </w:r>
      <w:r w:rsidR="00564247">
        <w:rPr>
          <w:rFonts w:ascii="Arial" w:hAnsi="Arial" w:cs="Arial"/>
          <w:sz w:val="26"/>
          <w:szCs w:val="26"/>
        </w:rPr>
        <w:t xml:space="preserve">pues dicho precepto es claro en </w:t>
      </w:r>
      <w:r w:rsidR="007C09CB" w:rsidRPr="00BA541C">
        <w:rPr>
          <w:rFonts w:ascii="Arial" w:eastAsia="Calibri" w:hAnsi="Arial" w:cs="Arial"/>
          <w:sz w:val="26"/>
          <w:szCs w:val="26"/>
        </w:rPr>
        <w:t>precisa</w:t>
      </w:r>
      <w:r w:rsidR="00564247">
        <w:rPr>
          <w:rFonts w:ascii="Arial" w:eastAsia="Calibri" w:hAnsi="Arial" w:cs="Arial"/>
          <w:sz w:val="26"/>
          <w:szCs w:val="26"/>
        </w:rPr>
        <w:t>r</w:t>
      </w:r>
      <w:r w:rsidR="007C09CB" w:rsidRPr="00BA541C">
        <w:rPr>
          <w:rFonts w:ascii="Arial" w:eastAsia="Calibri" w:hAnsi="Arial" w:cs="Arial"/>
          <w:sz w:val="26"/>
          <w:szCs w:val="26"/>
        </w:rPr>
        <w:t xml:space="preserve"> </w:t>
      </w:r>
      <w:r w:rsidR="00564247" w:rsidRPr="00BA541C">
        <w:rPr>
          <w:rFonts w:ascii="Arial" w:eastAsia="Calibri" w:hAnsi="Arial" w:cs="Arial"/>
          <w:sz w:val="26"/>
          <w:szCs w:val="26"/>
        </w:rPr>
        <w:t>cuáles</w:t>
      </w:r>
      <w:r w:rsidR="007C09CB" w:rsidRPr="00BA541C">
        <w:rPr>
          <w:rFonts w:ascii="Arial" w:eastAsia="Calibri" w:hAnsi="Arial" w:cs="Arial"/>
          <w:sz w:val="26"/>
          <w:szCs w:val="26"/>
        </w:rPr>
        <w:t xml:space="preserve"> son los procedentes</w:t>
      </w:r>
      <w:r w:rsidR="00564247">
        <w:rPr>
          <w:rFonts w:ascii="Arial" w:eastAsia="Calibri" w:hAnsi="Arial" w:cs="Arial"/>
          <w:sz w:val="26"/>
          <w:szCs w:val="26"/>
        </w:rPr>
        <w:t>,</w:t>
      </w:r>
      <w:r w:rsidR="007C09CB" w:rsidRPr="00BA541C">
        <w:rPr>
          <w:rFonts w:ascii="Arial" w:eastAsia="Calibri" w:hAnsi="Arial" w:cs="Arial"/>
          <w:sz w:val="26"/>
          <w:szCs w:val="26"/>
        </w:rPr>
        <w:t xml:space="preserve"> advirtiéndose de su texto que no se contempla el </w:t>
      </w:r>
      <w:r w:rsidR="00516A54">
        <w:rPr>
          <w:rFonts w:ascii="Arial" w:eastAsia="Calibri" w:hAnsi="Arial" w:cs="Arial"/>
          <w:sz w:val="26"/>
          <w:szCs w:val="26"/>
        </w:rPr>
        <w:lastRenderedPageBreak/>
        <w:t xml:space="preserve">incidente </w:t>
      </w:r>
      <w:r w:rsidR="007C09CB" w:rsidRPr="00B55D40">
        <w:rPr>
          <w:rFonts w:ascii="Arial" w:eastAsia="Calibri" w:hAnsi="Arial" w:cs="Arial"/>
          <w:sz w:val="26"/>
          <w:szCs w:val="26"/>
        </w:rPr>
        <w:t xml:space="preserve">de liquidación; </w:t>
      </w:r>
      <w:r w:rsidR="007C09CB" w:rsidRPr="00B55D40">
        <w:rPr>
          <w:rFonts w:ascii="Arial" w:hAnsi="Arial" w:cs="Arial"/>
          <w:sz w:val="26"/>
          <w:szCs w:val="26"/>
        </w:rPr>
        <w:t>asimismo</w:t>
      </w:r>
      <w:r w:rsidR="007C09CB">
        <w:rPr>
          <w:rFonts w:ascii="Arial" w:hAnsi="Arial" w:cs="Arial"/>
          <w:sz w:val="26"/>
          <w:szCs w:val="26"/>
        </w:rPr>
        <w:t>, señala que</w:t>
      </w:r>
      <w:r w:rsidR="00232A92">
        <w:rPr>
          <w:rFonts w:ascii="Arial" w:hAnsi="Arial" w:cs="Arial"/>
          <w:sz w:val="26"/>
          <w:szCs w:val="26"/>
        </w:rPr>
        <w:t xml:space="preserve">: </w:t>
      </w:r>
      <w:r w:rsidR="007C09CB">
        <w:rPr>
          <w:rFonts w:ascii="Arial" w:hAnsi="Arial" w:cs="Arial"/>
          <w:sz w:val="26"/>
          <w:szCs w:val="26"/>
        </w:rPr>
        <w:t>“</w:t>
      </w:r>
      <w:r w:rsidR="00232A92">
        <w:rPr>
          <w:rFonts w:ascii="Arial" w:hAnsi="Arial" w:cs="Arial"/>
          <w:i/>
          <w:iCs/>
          <w:sz w:val="24"/>
          <w:szCs w:val="24"/>
        </w:rPr>
        <w:t>L</w:t>
      </w:r>
      <w:r w:rsidR="007C09CB" w:rsidRPr="007D22FC">
        <w:rPr>
          <w:rFonts w:ascii="Arial" w:hAnsi="Arial" w:cs="Arial"/>
          <w:i/>
          <w:iCs/>
          <w:sz w:val="24"/>
          <w:szCs w:val="24"/>
        </w:rPr>
        <w:t xml:space="preserve">a promoción de cualquier incidente, notoriamente improcedente, se </w:t>
      </w:r>
      <w:r w:rsidR="007C09CB" w:rsidRPr="006551F8">
        <w:rPr>
          <w:rFonts w:ascii="Arial" w:hAnsi="Arial" w:cs="Arial"/>
          <w:i/>
          <w:iCs/>
          <w:sz w:val="24"/>
          <w:szCs w:val="24"/>
        </w:rPr>
        <w:t>desechar</w:t>
      </w:r>
      <w:r w:rsidR="000008E5" w:rsidRPr="006551F8">
        <w:rPr>
          <w:rFonts w:ascii="Arial" w:hAnsi="Arial" w:cs="Arial"/>
          <w:i/>
          <w:iCs/>
          <w:sz w:val="24"/>
          <w:szCs w:val="24"/>
        </w:rPr>
        <w:t>á</w:t>
      </w:r>
      <w:r w:rsidR="007C09CB" w:rsidRPr="006551F8">
        <w:rPr>
          <w:rFonts w:ascii="Arial" w:hAnsi="Arial" w:cs="Arial"/>
          <w:i/>
          <w:iCs/>
          <w:sz w:val="24"/>
          <w:szCs w:val="24"/>
        </w:rPr>
        <w:t xml:space="preserve"> de plano</w:t>
      </w:r>
      <w:r w:rsidR="007C09CB">
        <w:rPr>
          <w:rFonts w:ascii="Arial" w:hAnsi="Arial" w:cs="Arial"/>
          <w:i/>
          <w:iCs/>
          <w:sz w:val="24"/>
          <w:szCs w:val="24"/>
        </w:rPr>
        <w:t xml:space="preserve">”. - - - </w:t>
      </w:r>
      <w:r w:rsidR="00AE3B8E">
        <w:rPr>
          <w:rFonts w:ascii="Arial" w:hAnsi="Arial" w:cs="Arial"/>
          <w:i/>
          <w:iCs/>
          <w:sz w:val="24"/>
          <w:szCs w:val="24"/>
        </w:rPr>
        <w:t xml:space="preserve">- - - - - - - </w:t>
      </w:r>
    </w:p>
    <w:p w14:paraId="54331E25" w14:textId="48633994" w:rsidR="002856E9" w:rsidRDefault="007C09CB" w:rsidP="002856E9">
      <w:pPr>
        <w:spacing w:after="120" w:line="360" w:lineRule="auto"/>
        <w:ind w:firstLine="708"/>
        <w:jc w:val="both"/>
        <w:rPr>
          <w:rFonts w:ascii="Arial" w:eastAsia="Calibri" w:hAnsi="Arial" w:cs="Arial"/>
          <w:sz w:val="26"/>
          <w:szCs w:val="26"/>
        </w:rPr>
      </w:pPr>
      <w:r>
        <w:rPr>
          <w:rFonts w:ascii="Arial" w:eastAsia="Calibri" w:hAnsi="Arial" w:cs="Arial"/>
          <w:sz w:val="26"/>
          <w:szCs w:val="26"/>
        </w:rPr>
        <w:t>P</w:t>
      </w:r>
      <w:r w:rsidRPr="00BA541C">
        <w:rPr>
          <w:rFonts w:ascii="Arial" w:eastAsia="Calibri" w:hAnsi="Arial" w:cs="Arial"/>
          <w:sz w:val="26"/>
          <w:szCs w:val="26"/>
        </w:rPr>
        <w:t>or ende, las autoridades jurisdiccionales para la tramitación y resolución de los asuntos de los cuales tengan conocimiento, deben sujetarse a los procedimientos establecidos en la Ley; en el presente caso</w:t>
      </w:r>
      <w:r w:rsidR="00564247">
        <w:rPr>
          <w:rFonts w:ascii="Arial" w:eastAsia="Calibri" w:hAnsi="Arial" w:cs="Arial"/>
          <w:sz w:val="26"/>
          <w:szCs w:val="26"/>
        </w:rPr>
        <w:t>,</w:t>
      </w:r>
      <w:r w:rsidRPr="00BA541C">
        <w:rPr>
          <w:rFonts w:ascii="Arial" w:eastAsia="Calibri" w:hAnsi="Arial" w:cs="Arial"/>
          <w:sz w:val="26"/>
          <w:szCs w:val="26"/>
        </w:rPr>
        <w:t xml:space="preserve"> a la Ley de </w:t>
      </w:r>
      <w:r w:rsidR="0069052E">
        <w:rPr>
          <w:rFonts w:ascii="Arial" w:eastAsia="Calibri" w:hAnsi="Arial" w:cs="Arial"/>
          <w:sz w:val="26"/>
          <w:szCs w:val="26"/>
        </w:rPr>
        <w:t xml:space="preserve">Procedimiento y </w:t>
      </w:r>
      <w:r w:rsidRPr="00BA541C">
        <w:rPr>
          <w:rFonts w:ascii="Arial" w:eastAsia="Calibri" w:hAnsi="Arial" w:cs="Arial"/>
          <w:sz w:val="26"/>
          <w:szCs w:val="26"/>
        </w:rPr>
        <w:t>Justicia Administrativa para el Estado de Oaxaca, toda vez que no puede</w:t>
      </w:r>
      <w:r w:rsidR="00AE3B8E">
        <w:rPr>
          <w:rFonts w:ascii="Arial" w:eastAsia="Calibri" w:hAnsi="Arial" w:cs="Arial"/>
          <w:sz w:val="26"/>
          <w:szCs w:val="26"/>
        </w:rPr>
        <w:t>n</w:t>
      </w:r>
      <w:r w:rsidRPr="00BA541C">
        <w:rPr>
          <w:rFonts w:ascii="Arial" w:eastAsia="Calibri" w:hAnsi="Arial" w:cs="Arial"/>
          <w:sz w:val="26"/>
          <w:szCs w:val="26"/>
        </w:rPr>
        <w:t xml:space="preserve"> alterarse, modificarse o renunciarse las normas del procedimiento;</w:t>
      </w:r>
      <w:r>
        <w:rPr>
          <w:rFonts w:ascii="Arial" w:eastAsia="Calibri" w:hAnsi="Arial" w:cs="Arial"/>
          <w:sz w:val="26"/>
          <w:szCs w:val="26"/>
        </w:rPr>
        <w:t xml:space="preserve"> </w:t>
      </w:r>
      <w:r w:rsidR="002856E9" w:rsidRPr="00BA541C">
        <w:rPr>
          <w:rFonts w:ascii="Arial" w:eastAsia="Calibri" w:hAnsi="Arial" w:cs="Arial"/>
          <w:sz w:val="26"/>
          <w:szCs w:val="26"/>
        </w:rPr>
        <w:t>lo anterior, de conformidad con lo establecido en el artículo 53</w:t>
      </w:r>
      <w:r w:rsidR="00766CF2">
        <w:rPr>
          <w:rStyle w:val="Refdenotaalpie"/>
          <w:rFonts w:ascii="Arial" w:eastAsia="Calibri" w:hAnsi="Arial" w:cs="Arial"/>
          <w:sz w:val="26"/>
          <w:szCs w:val="26"/>
        </w:rPr>
        <w:footnoteReference w:id="1"/>
      </w:r>
      <w:r w:rsidR="002856E9" w:rsidRPr="00BA541C">
        <w:rPr>
          <w:rFonts w:ascii="Arial" w:eastAsia="Calibri" w:hAnsi="Arial" w:cs="Arial"/>
          <w:sz w:val="26"/>
          <w:szCs w:val="26"/>
        </w:rPr>
        <w:t xml:space="preserve"> del Código de Procedimientos Civiles para el Estado de Oaxaca, aplicado en forma supletoria a la ley de la materia</w:t>
      </w:r>
      <w:r w:rsidR="00564247">
        <w:rPr>
          <w:rFonts w:ascii="Arial" w:eastAsia="Calibri" w:hAnsi="Arial" w:cs="Arial"/>
          <w:sz w:val="26"/>
          <w:szCs w:val="26"/>
        </w:rPr>
        <w:t>,</w:t>
      </w:r>
      <w:r w:rsidR="002856E9" w:rsidRPr="00BA541C">
        <w:rPr>
          <w:rFonts w:ascii="Arial" w:eastAsia="Calibri" w:hAnsi="Arial" w:cs="Arial"/>
          <w:sz w:val="26"/>
          <w:szCs w:val="26"/>
        </w:rPr>
        <w:t xml:space="preserve"> lo que hace que el referido  incidente de liquidación, constituya una violación a la reglas del procedimiento.- - - - - - - - - - - - - - - - - - - - - - - - </w:t>
      </w:r>
    </w:p>
    <w:p w14:paraId="4D31B4A4" w14:textId="122DCF7F" w:rsidR="00E87172" w:rsidRPr="00A12A2E" w:rsidRDefault="00035ED9" w:rsidP="00E87172">
      <w:pPr>
        <w:spacing w:after="120" w:line="360" w:lineRule="auto"/>
        <w:ind w:firstLine="708"/>
        <w:jc w:val="both"/>
        <w:rPr>
          <w:rFonts w:ascii="Arial" w:hAnsi="Arial" w:cs="Arial"/>
          <w:i/>
          <w:iCs/>
          <w:sz w:val="26"/>
          <w:szCs w:val="26"/>
        </w:rPr>
      </w:pPr>
      <w:r>
        <w:rPr>
          <w:rFonts w:ascii="Arial" w:eastAsia="Calibri" w:hAnsi="Arial" w:cs="Arial"/>
          <w:sz w:val="26"/>
          <w:szCs w:val="26"/>
        </w:rPr>
        <w:t>Por tanto, l</w:t>
      </w:r>
      <w:r w:rsidR="00564247">
        <w:rPr>
          <w:rFonts w:ascii="Arial" w:eastAsia="Calibri" w:hAnsi="Arial" w:cs="Arial"/>
          <w:sz w:val="26"/>
          <w:szCs w:val="26"/>
        </w:rPr>
        <w:t>a</w:t>
      </w:r>
      <w:r>
        <w:rPr>
          <w:rFonts w:ascii="Arial" w:eastAsia="Calibri" w:hAnsi="Arial" w:cs="Arial"/>
          <w:sz w:val="26"/>
          <w:szCs w:val="26"/>
        </w:rPr>
        <w:t xml:space="preserve"> Magistrad</w:t>
      </w:r>
      <w:r w:rsidR="00564247">
        <w:rPr>
          <w:rFonts w:ascii="Arial" w:eastAsia="Calibri" w:hAnsi="Arial" w:cs="Arial"/>
          <w:sz w:val="26"/>
          <w:szCs w:val="26"/>
        </w:rPr>
        <w:t>a</w:t>
      </w:r>
      <w:r>
        <w:rPr>
          <w:rFonts w:ascii="Arial" w:eastAsia="Calibri" w:hAnsi="Arial" w:cs="Arial"/>
          <w:sz w:val="26"/>
          <w:szCs w:val="26"/>
        </w:rPr>
        <w:t xml:space="preserve"> de Primera Instancia no podía ordenar el trámite de un incidente que no está contemplado en la Ley de Procedimiento y Justicia Administrativa para el Estado de Oaxaca, toda vez que </w:t>
      </w:r>
      <w:r w:rsidR="001E7A93">
        <w:rPr>
          <w:rFonts w:ascii="Arial" w:eastAsia="Calibri" w:hAnsi="Arial" w:cs="Arial"/>
          <w:sz w:val="26"/>
          <w:szCs w:val="26"/>
        </w:rPr>
        <w:t>si bien</w:t>
      </w:r>
      <w:r w:rsidR="00232A92">
        <w:rPr>
          <w:rFonts w:ascii="Arial" w:eastAsia="Calibri" w:hAnsi="Arial" w:cs="Arial"/>
          <w:sz w:val="26"/>
          <w:szCs w:val="26"/>
        </w:rPr>
        <w:t>,</w:t>
      </w:r>
      <w:r w:rsidR="001E7A93">
        <w:rPr>
          <w:rFonts w:ascii="Arial" w:eastAsia="Calibri" w:hAnsi="Arial" w:cs="Arial"/>
          <w:sz w:val="26"/>
          <w:szCs w:val="26"/>
        </w:rPr>
        <w:t xml:space="preserve"> de conformidad con el artículo 3</w:t>
      </w:r>
      <w:r w:rsidR="00766CF2">
        <w:rPr>
          <w:rStyle w:val="Refdenotaalpie"/>
          <w:rFonts w:ascii="Arial" w:eastAsia="Calibri" w:hAnsi="Arial" w:cs="Arial"/>
          <w:sz w:val="26"/>
          <w:szCs w:val="26"/>
        </w:rPr>
        <w:footnoteReference w:id="2"/>
      </w:r>
      <w:r w:rsidR="001E7A93">
        <w:rPr>
          <w:rFonts w:ascii="Arial" w:eastAsia="Calibri" w:hAnsi="Arial" w:cs="Arial"/>
          <w:sz w:val="26"/>
          <w:szCs w:val="26"/>
        </w:rPr>
        <w:t xml:space="preserve"> de la citada Ley resulta </w:t>
      </w:r>
      <w:r w:rsidR="001E7A93" w:rsidRPr="00B55D40">
        <w:rPr>
          <w:rFonts w:ascii="Arial" w:eastAsia="Calibri" w:hAnsi="Arial" w:cs="Arial"/>
          <w:sz w:val="26"/>
          <w:szCs w:val="26"/>
        </w:rPr>
        <w:t>supletoria</w:t>
      </w:r>
      <w:r w:rsidR="00126E70" w:rsidRPr="00B55D40">
        <w:rPr>
          <w:rFonts w:ascii="Arial" w:eastAsia="Calibri" w:hAnsi="Arial" w:cs="Arial"/>
          <w:sz w:val="26"/>
          <w:szCs w:val="26"/>
        </w:rPr>
        <w:t xml:space="preserve"> </w:t>
      </w:r>
      <w:r w:rsidR="00126E70" w:rsidRPr="00B55D40">
        <w:rPr>
          <w:rFonts w:ascii="Arial" w:eastAsia="Calibri" w:hAnsi="Arial" w:cs="Arial"/>
          <w:bCs/>
          <w:iCs/>
          <w:sz w:val="26"/>
          <w:szCs w:val="26"/>
        </w:rPr>
        <w:t>la aplicación del</w:t>
      </w:r>
      <w:r w:rsidR="001E7A93" w:rsidRPr="00A12A2E">
        <w:rPr>
          <w:rFonts w:ascii="Arial" w:eastAsia="Calibri" w:hAnsi="Arial" w:cs="Arial"/>
          <w:sz w:val="26"/>
          <w:szCs w:val="26"/>
        </w:rPr>
        <w:t xml:space="preserve"> </w:t>
      </w:r>
      <w:r w:rsidRPr="00A12A2E">
        <w:rPr>
          <w:rFonts w:ascii="Arial" w:eastAsia="Calibri" w:hAnsi="Arial" w:cs="Arial"/>
          <w:sz w:val="26"/>
          <w:szCs w:val="26"/>
        </w:rPr>
        <w:t>Código de Procedimientos Civiles del Estado</w:t>
      </w:r>
      <w:r w:rsidR="00E87172" w:rsidRPr="00A12A2E">
        <w:rPr>
          <w:rFonts w:ascii="Arial" w:eastAsia="Calibri" w:hAnsi="Arial" w:cs="Arial"/>
          <w:sz w:val="26"/>
          <w:szCs w:val="26"/>
        </w:rPr>
        <w:t>,</w:t>
      </w:r>
      <w:r w:rsidRPr="00A12A2E">
        <w:rPr>
          <w:rFonts w:ascii="Arial" w:eastAsia="Calibri" w:hAnsi="Arial" w:cs="Arial"/>
          <w:sz w:val="26"/>
          <w:szCs w:val="26"/>
        </w:rPr>
        <w:t xml:space="preserve"> </w:t>
      </w:r>
      <w:r w:rsidR="001E7A93" w:rsidRPr="00A12A2E">
        <w:rPr>
          <w:rFonts w:ascii="Arial" w:eastAsia="Calibri" w:hAnsi="Arial" w:cs="Arial"/>
          <w:sz w:val="26"/>
          <w:szCs w:val="26"/>
        </w:rPr>
        <w:t xml:space="preserve">solo </w:t>
      </w:r>
      <w:r w:rsidR="00126E70" w:rsidRPr="00A12A2E">
        <w:rPr>
          <w:rFonts w:ascii="Arial" w:eastAsia="Calibri" w:hAnsi="Arial" w:cs="Arial"/>
          <w:sz w:val="26"/>
          <w:szCs w:val="26"/>
        </w:rPr>
        <w:t xml:space="preserve">procede </w:t>
      </w:r>
      <w:r w:rsidR="00232A92" w:rsidRPr="00A12A2E">
        <w:rPr>
          <w:rFonts w:ascii="Arial" w:eastAsia="Calibri" w:hAnsi="Arial" w:cs="Arial"/>
          <w:sz w:val="26"/>
          <w:szCs w:val="26"/>
        </w:rPr>
        <w:t xml:space="preserve">cuando </w:t>
      </w:r>
      <w:r w:rsidR="00E87172" w:rsidRPr="00A12A2E">
        <w:rPr>
          <w:rFonts w:ascii="Arial" w:eastAsia="Calibri" w:hAnsi="Arial" w:cs="Arial"/>
          <w:sz w:val="26"/>
          <w:szCs w:val="26"/>
        </w:rPr>
        <w:t xml:space="preserve">la Ley de la materia no fuera clara o precisa; sin embargo, la </w:t>
      </w:r>
      <w:r w:rsidR="00232A92" w:rsidRPr="00A12A2E">
        <w:rPr>
          <w:rFonts w:ascii="Arial" w:eastAsia="Calibri" w:hAnsi="Arial" w:cs="Arial"/>
          <w:sz w:val="26"/>
          <w:szCs w:val="26"/>
        </w:rPr>
        <w:t xml:space="preserve">Ley de Procedimiento y Justicia Administrativa para el Estado de Oaxaca, </w:t>
      </w:r>
      <w:r w:rsidR="00E87172" w:rsidRPr="00A12A2E">
        <w:rPr>
          <w:rFonts w:ascii="Arial" w:eastAsia="Calibri" w:hAnsi="Arial" w:cs="Arial"/>
          <w:sz w:val="26"/>
          <w:szCs w:val="26"/>
        </w:rPr>
        <w:t xml:space="preserve">sí es clara en especificar que solo </w:t>
      </w:r>
      <w:r w:rsidR="00126E70" w:rsidRPr="00A12A2E">
        <w:rPr>
          <w:rFonts w:ascii="Arial" w:eastAsia="Calibri" w:hAnsi="Arial" w:cs="Arial"/>
          <w:sz w:val="26"/>
          <w:szCs w:val="26"/>
        </w:rPr>
        <w:t xml:space="preserve">podrán tramitarse </w:t>
      </w:r>
      <w:r w:rsidR="00E87172" w:rsidRPr="00A12A2E">
        <w:rPr>
          <w:rFonts w:ascii="Arial" w:eastAsia="Calibri" w:hAnsi="Arial" w:cs="Arial"/>
          <w:sz w:val="26"/>
          <w:szCs w:val="26"/>
        </w:rPr>
        <w:t>tres incidentes</w:t>
      </w:r>
      <w:r w:rsidR="00295212" w:rsidRPr="00A12A2E">
        <w:rPr>
          <w:rFonts w:ascii="Arial" w:eastAsia="Calibri" w:hAnsi="Arial" w:cs="Arial"/>
          <w:sz w:val="26"/>
          <w:szCs w:val="26"/>
        </w:rPr>
        <w:t xml:space="preserve"> en el juicio contencioso administrativo</w:t>
      </w:r>
      <w:r w:rsidR="00E87172" w:rsidRPr="00A12A2E">
        <w:rPr>
          <w:rFonts w:ascii="Arial" w:eastAsia="Calibri" w:hAnsi="Arial" w:cs="Arial"/>
          <w:sz w:val="26"/>
          <w:szCs w:val="26"/>
        </w:rPr>
        <w:t>: “</w:t>
      </w:r>
      <w:r w:rsidR="00E87172" w:rsidRPr="00A12A2E">
        <w:rPr>
          <w:rFonts w:ascii="Arial" w:hAnsi="Arial" w:cs="Arial"/>
          <w:i/>
          <w:iCs/>
          <w:sz w:val="24"/>
          <w:szCs w:val="24"/>
        </w:rPr>
        <w:t>I. El de acumulación de autos;  II. El de nulidad de notificaciones; y III. El de interrupción del procedimiento por causa de muerte, incapacidad, declaración de ausencia, quiebra, disolución de la persona moral o desaparición del órgano de la administración pública</w:t>
      </w:r>
      <w:r w:rsidR="00E87172" w:rsidRPr="00A12A2E">
        <w:rPr>
          <w:rFonts w:ascii="Arial" w:hAnsi="Arial" w:cs="Arial"/>
          <w:i/>
          <w:iCs/>
        </w:rPr>
        <w:t>.”</w:t>
      </w:r>
      <w:r w:rsidR="0069052E" w:rsidRPr="00A12A2E">
        <w:rPr>
          <w:rFonts w:ascii="Arial" w:hAnsi="Arial" w:cs="Arial"/>
          <w:i/>
          <w:iCs/>
        </w:rPr>
        <w:t xml:space="preserve">, </w:t>
      </w:r>
      <w:r w:rsidR="0069052E" w:rsidRPr="00A12A2E">
        <w:rPr>
          <w:rFonts w:ascii="Arial" w:hAnsi="Arial" w:cs="Arial"/>
          <w:i/>
          <w:iCs/>
          <w:sz w:val="26"/>
          <w:szCs w:val="26"/>
        </w:rPr>
        <w:t xml:space="preserve">y advierte </w:t>
      </w:r>
      <w:r w:rsidR="00232A92" w:rsidRPr="00A12A2E">
        <w:rPr>
          <w:rFonts w:ascii="Arial" w:hAnsi="Arial" w:cs="Arial"/>
          <w:i/>
          <w:iCs/>
          <w:sz w:val="26"/>
          <w:szCs w:val="26"/>
        </w:rPr>
        <w:t>que</w:t>
      </w:r>
      <w:r w:rsidR="0069052E" w:rsidRPr="00A12A2E">
        <w:rPr>
          <w:rFonts w:ascii="Arial" w:hAnsi="Arial" w:cs="Arial"/>
          <w:i/>
          <w:iCs/>
          <w:sz w:val="26"/>
          <w:szCs w:val="26"/>
        </w:rPr>
        <w:t>:</w:t>
      </w:r>
      <w:r w:rsidR="00232A92" w:rsidRPr="00A12A2E">
        <w:rPr>
          <w:rFonts w:ascii="Arial" w:hAnsi="Arial" w:cs="Arial"/>
          <w:i/>
          <w:iCs/>
        </w:rPr>
        <w:t xml:space="preserve"> “L</w:t>
      </w:r>
      <w:r w:rsidR="00232A92" w:rsidRPr="00A12A2E">
        <w:rPr>
          <w:rFonts w:ascii="Arial" w:hAnsi="Arial" w:cs="Arial"/>
          <w:i/>
          <w:iCs/>
          <w:sz w:val="24"/>
          <w:szCs w:val="24"/>
        </w:rPr>
        <w:t>a promoción de cualquier incidente, notoriamente improcedente, se desechar</w:t>
      </w:r>
      <w:r w:rsidR="00766CF2" w:rsidRPr="00A12A2E">
        <w:rPr>
          <w:rFonts w:ascii="Arial" w:hAnsi="Arial" w:cs="Arial"/>
          <w:i/>
          <w:iCs/>
          <w:sz w:val="24"/>
          <w:szCs w:val="24"/>
        </w:rPr>
        <w:t>á</w:t>
      </w:r>
      <w:r w:rsidR="00232A92" w:rsidRPr="00A12A2E">
        <w:rPr>
          <w:rFonts w:ascii="Arial" w:hAnsi="Arial" w:cs="Arial"/>
          <w:i/>
          <w:iCs/>
          <w:sz w:val="24"/>
          <w:szCs w:val="24"/>
        </w:rPr>
        <w:t xml:space="preserve"> de plano”.</w:t>
      </w:r>
      <w:r w:rsidR="00232A92" w:rsidRPr="00A12A2E">
        <w:rPr>
          <w:rFonts w:ascii="Arial" w:hAnsi="Arial" w:cs="Arial"/>
          <w:i/>
          <w:iCs/>
        </w:rPr>
        <w:t xml:space="preserve"> </w:t>
      </w:r>
      <w:r w:rsidR="00295212" w:rsidRPr="00A12A2E">
        <w:rPr>
          <w:rFonts w:ascii="Arial" w:hAnsi="Arial" w:cs="Arial"/>
          <w:i/>
          <w:iCs/>
          <w:sz w:val="26"/>
          <w:szCs w:val="26"/>
        </w:rPr>
        <w:t xml:space="preserve"> -</w:t>
      </w:r>
      <w:r w:rsidR="00232A92" w:rsidRPr="00A12A2E">
        <w:rPr>
          <w:rFonts w:ascii="Arial" w:hAnsi="Arial" w:cs="Arial"/>
          <w:i/>
          <w:iCs/>
          <w:sz w:val="26"/>
          <w:szCs w:val="26"/>
        </w:rPr>
        <w:t xml:space="preserve"> - - - - - - - - </w:t>
      </w:r>
    </w:p>
    <w:p w14:paraId="4144CD10" w14:textId="0C3EBA46" w:rsidR="001E7A93" w:rsidRDefault="001E7A93" w:rsidP="001E7A93">
      <w:pPr>
        <w:spacing w:after="120" w:line="360" w:lineRule="auto"/>
        <w:ind w:firstLine="708"/>
        <w:jc w:val="both"/>
        <w:rPr>
          <w:rFonts w:ascii="Arial" w:eastAsia="Times New Roman" w:hAnsi="Arial" w:cs="Arial"/>
          <w:color w:val="000000"/>
          <w:sz w:val="26"/>
          <w:szCs w:val="26"/>
        </w:rPr>
      </w:pPr>
      <w:r w:rsidRPr="00A12A2E">
        <w:rPr>
          <w:rFonts w:ascii="Arial" w:hAnsi="Arial" w:cs="Arial"/>
          <w:sz w:val="26"/>
          <w:szCs w:val="26"/>
        </w:rPr>
        <w:t>Así se tiene</w:t>
      </w:r>
      <w:r w:rsidR="0069052E" w:rsidRPr="00A12A2E">
        <w:rPr>
          <w:rFonts w:ascii="Arial" w:hAnsi="Arial" w:cs="Arial"/>
          <w:sz w:val="26"/>
          <w:szCs w:val="26"/>
        </w:rPr>
        <w:t>,</w:t>
      </w:r>
      <w:r w:rsidRPr="00A12A2E">
        <w:rPr>
          <w:rFonts w:ascii="Arial" w:hAnsi="Arial" w:cs="Arial"/>
          <w:sz w:val="26"/>
          <w:szCs w:val="26"/>
        </w:rPr>
        <w:t xml:space="preserve"> que l</w:t>
      </w:r>
      <w:r w:rsidR="00E87172" w:rsidRPr="00A12A2E">
        <w:rPr>
          <w:rFonts w:ascii="Arial" w:eastAsia="Times New Roman" w:hAnsi="Arial" w:cs="Arial"/>
          <w:color w:val="000000"/>
          <w:sz w:val="26"/>
          <w:szCs w:val="26"/>
        </w:rPr>
        <w:t>a supletoriedad de las normas opera cuando existiendo una figura jurídica en un ordenamiento legal, ésta no se encuentra regulada en forma clara y precisa, sino que es necesario</w:t>
      </w:r>
      <w:r w:rsidR="00E87172" w:rsidRPr="00E87172">
        <w:rPr>
          <w:rFonts w:ascii="Arial" w:eastAsia="Times New Roman" w:hAnsi="Arial" w:cs="Arial"/>
          <w:color w:val="000000"/>
          <w:sz w:val="26"/>
          <w:szCs w:val="26"/>
        </w:rPr>
        <w:t xml:space="preserve"> acudir a otro cuerpo de leyes para determinar sus particularidades.</w:t>
      </w:r>
      <w:r>
        <w:rPr>
          <w:rFonts w:ascii="Arial" w:eastAsia="Times New Roman" w:hAnsi="Arial" w:cs="Arial"/>
          <w:color w:val="000000"/>
          <w:sz w:val="26"/>
          <w:szCs w:val="26"/>
        </w:rPr>
        <w:t>- - - -</w:t>
      </w:r>
      <w:r w:rsidR="00E87172" w:rsidRPr="00E87172">
        <w:rPr>
          <w:rFonts w:ascii="Arial" w:eastAsia="Times New Roman" w:hAnsi="Arial" w:cs="Arial"/>
          <w:color w:val="000000"/>
          <w:sz w:val="26"/>
          <w:szCs w:val="26"/>
        </w:rPr>
        <w:t xml:space="preserve"> </w:t>
      </w:r>
    </w:p>
    <w:p w14:paraId="11C98113" w14:textId="1349F2BB" w:rsidR="00E87172" w:rsidRPr="00E87172" w:rsidRDefault="00E87172" w:rsidP="001E7A93">
      <w:pPr>
        <w:spacing w:after="120" w:line="360" w:lineRule="auto"/>
        <w:ind w:firstLine="708"/>
        <w:jc w:val="both"/>
        <w:rPr>
          <w:rFonts w:ascii="Times New Roman" w:eastAsia="Times New Roman" w:hAnsi="Times New Roman" w:cs="Times New Roman"/>
          <w:color w:val="000000"/>
          <w:sz w:val="26"/>
          <w:szCs w:val="26"/>
        </w:rPr>
      </w:pPr>
      <w:r w:rsidRPr="00A12A2E">
        <w:rPr>
          <w:rFonts w:ascii="Arial" w:eastAsia="Times New Roman" w:hAnsi="Arial" w:cs="Arial"/>
          <w:color w:val="000000"/>
          <w:sz w:val="26"/>
          <w:szCs w:val="26"/>
        </w:rPr>
        <w:t>As</w:t>
      </w:r>
      <w:r w:rsidR="00766CF2" w:rsidRPr="00A12A2E">
        <w:rPr>
          <w:rFonts w:ascii="Arial" w:eastAsia="Times New Roman" w:hAnsi="Arial" w:cs="Arial"/>
          <w:color w:val="000000"/>
          <w:sz w:val="26"/>
          <w:szCs w:val="26"/>
        </w:rPr>
        <w:t xml:space="preserve">í </w:t>
      </w:r>
      <w:r w:rsidRPr="00A12A2E">
        <w:rPr>
          <w:rFonts w:ascii="Arial" w:eastAsia="Times New Roman" w:hAnsi="Arial" w:cs="Arial"/>
          <w:color w:val="000000"/>
          <w:sz w:val="26"/>
          <w:szCs w:val="26"/>
        </w:rPr>
        <w:t>mismo</w:t>
      </w:r>
      <w:r w:rsidRPr="00E87172">
        <w:rPr>
          <w:rFonts w:ascii="Arial" w:eastAsia="Times New Roman" w:hAnsi="Arial" w:cs="Arial"/>
          <w:color w:val="000000"/>
          <w:sz w:val="26"/>
          <w:szCs w:val="26"/>
        </w:rPr>
        <w:t xml:space="preserve">, la supletoriedad de leyes aplica solo para integrar una omisión en la Ley o para interpretar sus disposiciones en forma que se </w:t>
      </w:r>
      <w:r w:rsidRPr="00E87172">
        <w:rPr>
          <w:rFonts w:ascii="Arial" w:eastAsia="Times New Roman" w:hAnsi="Arial" w:cs="Arial"/>
          <w:color w:val="000000"/>
          <w:sz w:val="26"/>
          <w:szCs w:val="26"/>
        </w:rPr>
        <w:lastRenderedPageBreak/>
        <w:t xml:space="preserve">integre con principios generales contenidos en otras leyes; cuando la referencia de una Ley a otra es expresa, debe entenderse que la aplicación de la supletoria se hará en los supuestos no contemplados por la primera Ley que la complementará ante posibles omisiones o para la interpretación de sus disposiciones. Por ello, la referencia a leyes supletorias es la determinación de las fuentes a las cuales una Ley acudirá para deducir sus principios y subsanar sus omisiones. la supletoriedad expresa debe considerarse en los términos que la legislación lo establece; de esta manera, la supletoriedad en la legislación es una cuestión de aplicación para dar debida coherencia al sistema jurídico. </w:t>
      </w:r>
      <w:r w:rsidR="00DC480C">
        <w:rPr>
          <w:rFonts w:ascii="Arial" w:eastAsia="Times New Roman" w:hAnsi="Arial" w:cs="Arial"/>
          <w:color w:val="000000"/>
          <w:sz w:val="26"/>
          <w:szCs w:val="26"/>
        </w:rPr>
        <w:t>- - - - - - - - -- - - - - - - - - - - - - - - - - - - - - - - - - - - - - - - -</w:t>
      </w:r>
    </w:p>
    <w:p w14:paraId="07FAC2D9" w14:textId="77777777" w:rsidR="00A650F0" w:rsidRDefault="00E87172" w:rsidP="00DC480C">
      <w:pPr>
        <w:spacing w:after="0" w:line="360" w:lineRule="auto"/>
        <w:ind w:firstLine="708"/>
        <w:jc w:val="both"/>
        <w:rPr>
          <w:rFonts w:ascii="Arial" w:eastAsia="Times New Roman" w:hAnsi="Arial" w:cs="Arial"/>
          <w:color w:val="000000"/>
          <w:sz w:val="26"/>
          <w:szCs w:val="26"/>
        </w:rPr>
      </w:pPr>
      <w:r w:rsidRPr="00E87172">
        <w:rPr>
          <w:rFonts w:ascii="Arial" w:eastAsia="Times New Roman" w:hAnsi="Arial" w:cs="Arial"/>
          <w:color w:val="000000"/>
          <w:sz w:val="26"/>
          <w:szCs w:val="26"/>
        </w:rPr>
        <w:t>Cabe señalar que para que opere la supletoriedad de la Ley, se deben cumplir ciertos requisitos necesarios para que exista esta figura jurídica, como son: </w:t>
      </w:r>
      <w:r w:rsidRPr="00E87172">
        <w:rPr>
          <w:rFonts w:ascii="Arial" w:eastAsia="Times New Roman" w:hAnsi="Arial" w:cs="Arial"/>
          <w:b/>
          <w:bCs/>
          <w:color w:val="000000"/>
          <w:sz w:val="26"/>
          <w:szCs w:val="26"/>
        </w:rPr>
        <w:t>primero</w:t>
      </w:r>
      <w:r w:rsidRPr="00E87172">
        <w:rPr>
          <w:rFonts w:ascii="Arial" w:eastAsia="Times New Roman" w:hAnsi="Arial" w:cs="Arial"/>
          <w:color w:val="000000"/>
          <w:sz w:val="26"/>
          <w:szCs w:val="26"/>
        </w:rPr>
        <w:t>, que el ordenamiento que se pretenda suplir lo admita expresamente, y señale el estatuto supletorio;</w:t>
      </w:r>
      <w:r w:rsidRPr="00E87172">
        <w:rPr>
          <w:rFonts w:ascii="Arial" w:eastAsia="Times New Roman" w:hAnsi="Arial" w:cs="Arial"/>
          <w:b/>
          <w:bCs/>
          <w:color w:val="000000"/>
          <w:sz w:val="26"/>
          <w:szCs w:val="26"/>
        </w:rPr>
        <w:t> segundo</w:t>
      </w:r>
      <w:r w:rsidRPr="00E87172">
        <w:rPr>
          <w:rFonts w:ascii="Arial" w:eastAsia="Times New Roman" w:hAnsi="Arial" w:cs="Arial"/>
          <w:color w:val="000000"/>
          <w:sz w:val="26"/>
          <w:szCs w:val="26"/>
        </w:rPr>
        <w:t>, que el ordenamiento objeto de supletoriedad prevea la institución jurídica de que se trate; </w:t>
      </w:r>
      <w:r w:rsidRPr="00E87172">
        <w:rPr>
          <w:rFonts w:ascii="Arial" w:eastAsia="Times New Roman" w:hAnsi="Arial" w:cs="Arial"/>
          <w:b/>
          <w:bCs/>
          <w:color w:val="000000"/>
          <w:sz w:val="26"/>
          <w:szCs w:val="26"/>
        </w:rPr>
        <w:t>tercero</w:t>
      </w:r>
      <w:r w:rsidRPr="00E87172">
        <w:rPr>
          <w:rFonts w:ascii="Arial" w:eastAsia="Times New Roman" w:hAnsi="Arial" w:cs="Arial"/>
          <w:color w:val="000000"/>
          <w:sz w:val="26"/>
          <w:szCs w:val="26"/>
        </w:rPr>
        <w:t>, que no obstante esa previsión, las normas existentes en tal cuerpo jurídico sean insuficientes para su aplicación a la situación concreta presentada, por carencia total o parcial de la reglamentación necesaria; y </w:t>
      </w:r>
      <w:r w:rsidRPr="00E87172">
        <w:rPr>
          <w:rFonts w:ascii="Arial" w:eastAsia="Times New Roman" w:hAnsi="Arial" w:cs="Arial"/>
          <w:b/>
          <w:bCs/>
          <w:color w:val="000000"/>
          <w:sz w:val="26"/>
          <w:szCs w:val="26"/>
        </w:rPr>
        <w:t>cuarto</w:t>
      </w:r>
      <w:r w:rsidRPr="00E87172">
        <w:rPr>
          <w:rFonts w:ascii="Arial" w:eastAsia="Times New Roman" w:hAnsi="Arial" w:cs="Arial"/>
          <w:color w:val="000000"/>
          <w:sz w:val="26"/>
          <w:szCs w:val="26"/>
        </w:rPr>
        <w:t>, que las disposiciones o principios con los que se vaya a llenar la deficiencia no contraríen, de algún modo, las bases esenciales del sistema legal de sustentación de la institución suplida</w:t>
      </w:r>
      <w:r w:rsidR="00B55D40">
        <w:rPr>
          <w:rFonts w:ascii="Arial" w:eastAsia="Times New Roman" w:hAnsi="Arial" w:cs="Arial"/>
          <w:color w:val="000000"/>
          <w:sz w:val="26"/>
          <w:szCs w:val="26"/>
        </w:rPr>
        <w:t>,</w:t>
      </w:r>
      <w:r w:rsidRPr="00E87172">
        <w:rPr>
          <w:rFonts w:ascii="Arial" w:eastAsia="Times New Roman" w:hAnsi="Arial" w:cs="Arial"/>
          <w:color w:val="000000"/>
          <w:sz w:val="26"/>
          <w:szCs w:val="26"/>
        </w:rPr>
        <w:t xml:space="preserve"> ante la falta de uno de estos requisitos, no puede operar la supletoriedad de una legislación en otra.</w:t>
      </w:r>
      <w:r w:rsidR="00DC480C">
        <w:rPr>
          <w:rFonts w:ascii="Arial" w:eastAsia="Times New Roman" w:hAnsi="Arial" w:cs="Arial"/>
          <w:color w:val="000000"/>
          <w:sz w:val="26"/>
          <w:szCs w:val="26"/>
        </w:rPr>
        <w:t>- - - - - - - - - - - - - - - - - - - - - - -</w:t>
      </w:r>
    </w:p>
    <w:p w14:paraId="7A698180" w14:textId="567CACB7" w:rsidR="00E87172" w:rsidRDefault="00DC480C" w:rsidP="00A650F0">
      <w:pPr>
        <w:pStyle w:val="Sinespaciado"/>
        <w:rPr>
          <w:rFonts w:eastAsia="Times New Roman"/>
        </w:rPr>
      </w:pPr>
      <w:r>
        <w:rPr>
          <w:rFonts w:eastAsia="Times New Roman"/>
        </w:rPr>
        <w:t xml:space="preserve"> </w:t>
      </w:r>
    </w:p>
    <w:p w14:paraId="50A07F2F" w14:textId="0464B323" w:rsidR="00F9509F" w:rsidRDefault="00F9509F" w:rsidP="00CC3509">
      <w:pPr>
        <w:pStyle w:val="temp"/>
        <w:shd w:val="clear" w:color="auto" w:fill="FFFFFF"/>
        <w:spacing w:before="0" w:beforeAutospacing="0" w:after="0" w:afterAutospacing="0" w:line="360" w:lineRule="auto"/>
        <w:jc w:val="both"/>
        <w:rPr>
          <w:rStyle w:val="ng-star-inserted"/>
          <w:rFonts w:ascii="Arial" w:hAnsi="Arial" w:cs="Arial"/>
          <w:color w:val="212529"/>
          <w:sz w:val="26"/>
          <w:szCs w:val="26"/>
        </w:rPr>
      </w:pPr>
      <w:r>
        <w:rPr>
          <w:rStyle w:val="bold"/>
          <w:rFonts w:ascii="Calibri" w:eastAsia="PMingLiU" w:hAnsi="Calibri" w:cs="Calibri"/>
          <w:b/>
          <w:bCs/>
          <w:color w:val="212529"/>
          <w:sz w:val="26"/>
          <w:szCs w:val="26"/>
        </w:rPr>
        <w:tab/>
      </w:r>
      <w:r>
        <w:rPr>
          <w:rStyle w:val="bold"/>
          <w:rFonts w:ascii="Arial" w:eastAsia="PMingLiU" w:hAnsi="Arial" w:cs="Arial"/>
          <w:color w:val="212529"/>
          <w:sz w:val="26"/>
          <w:szCs w:val="26"/>
        </w:rPr>
        <w:t xml:space="preserve">Sirve de apoyo a lo anterior, la Jurisprudencia con número de </w:t>
      </w:r>
      <w:r w:rsidRPr="00F9509F">
        <w:rPr>
          <w:rStyle w:val="bold"/>
          <w:rFonts w:ascii="Arial" w:eastAsia="PMingLiU" w:hAnsi="Arial" w:cs="Arial"/>
          <w:color w:val="212529"/>
          <w:sz w:val="26"/>
          <w:szCs w:val="26"/>
        </w:rPr>
        <w:t>Registro digital: </w:t>
      </w:r>
      <w:r w:rsidRPr="00F9509F">
        <w:rPr>
          <w:rFonts w:ascii="Arial" w:hAnsi="Arial" w:cs="Arial"/>
          <w:color w:val="212529"/>
          <w:sz w:val="26"/>
          <w:szCs w:val="26"/>
        </w:rPr>
        <w:t>2003161</w:t>
      </w:r>
      <w:r w:rsidR="00CC3509">
        <w:rPr>
          <w:rFonts w:ascii="Arial" w:hAnsi="Arial" w:cs="Arial"/>
          <w:color w:val="212529"/>
          <w:sz w:val="26"/>
          <w:szCs w:val="26"/>
        </w:rPr>
        <w:t xml:space="preserve">, </w:t>
      </w:r>
      <w:r w:rsidRPr="00F9509F">
        <w:rPr>
          <w:rStyle w:val="bold"/>
          <w:rFonts w:ascii="Arial" w:eastAsia="PMingLiU" w:hAnsi="Arial" w:cs="Arial"/>
          <w:color w:val="212529"/>
          <w:sz w:val="26"/>
          <w:szCs w:val="26"/>
        </w:rPr>
        <w:t>Instancia: </w:t>
      </w:r>
      <w:r w:rsidRPr="00F9509F">
        <w:rPr>
          <w:rFonts w:ascii="Arial" w:hAnsi="Arial" w:cs="Arial"/>
          <w:color w:val="212529"/>
          <w:sz w:val="26"/>
          <w:szCs w:val="26"/>
        </w:rPr>
        <w:t>Segunda Sala</w:t>
      </w:r>
      <w:r w:rsidR="00CC3509">
        <w:rPr>
          <w:rFonts w:ascii="Arial" w:hAnsi="Arial" w:cs="Arial"/>
          <w:color w:val="212529"/>
          <w:sz w:val="26"/>
          <w:szCs w:val="26"/>
        </w:rPr>
        <w:t xml:space="preserve">, </w:t>
      </w:r>
      <w:r w:rsidRPr="00F9509F">
        <w:rPr>
          <w:rStyle w:val="bold"/>
          <w:rFonts w:ascii="Arial" w:eastAsia="PMingLiU" w:hAnsi="Arial" w:cs="Arial"/>
          <w:color w:val="212529"/>
          <w:sz w:val="26"/>
          <w:szCs w:val="26"/>
        </w:rPr>
        <w:t>Décima Época</w:t>
      </w:r>
      <w:r w:rsidR="00CC3509">
        <w:rPr>
          <w:rStyle w:val="bold"/>
          <w:rFonts w:ascii="Arial" w:eastAsia="PMingLiU" w:hAnsi="Arial" w:cs="Arial"/>
          <w:color w:val="212529"/>
          <w:sz w:val="26"/>
          <w:szCs w:val="26"/>
        </w:rPr>
        <w:t xml:space="preserve">, </w:t>
      </w:r>
      <w:r w:rsidRPr="00F9509F">
        <w:rPr>
          <w:rStyle w:val="bold"/>
          <w:rFonts w:ascii="Arial" w:eastAsia="PMingLiU" w:hAnsi="Arial" w:cs="Arial"/>
          <w:color w:val="212529"/>
          <w:sz w:val="26"/>
          <w:szCs w:val="26"/>
        </w:rPr>
        <w:t>Tesis: </w:t>
      </w:r>
      <w:r w:rsidRPr="00F9509F">
        <w:rPr>
          <w:rFonts w:ascii="Arial" w:hAnsi="Arial" w:cs="Arial"/>
          <w:color w:val="212529"/>
          <w:sz w:val="26"/>
          <w:szCs w:val="26"/>
        </w:rPr>
        <w:t>2a./J. 34/2013 (10a.)</w:t>
      </w:r>
      <w:r w:rsidR="00CC3509">
        <w:rPr>
          <w:rFonts w:ascii="Arial" w:hAnsi="Arial" w:cs="Arial"/>
          <w:color w:val="212529"/>
          <w:sz w:val="26"/>
          <w:szCs w:val="26"/>
        </w:rPr>
        <w:t xml:space="preserve"> del</w:t>
      </w:r>
      <w:r w:rsidRPr="00F9509F">
        <w:rPr>
          <w:rStyle w:val="bold"/>
          <w:rFonts w:ascii="Arial" w:eastAsia="PMingLiU" w:hAnsi="Arial" w:cs="Arial"/>
          <w:color w:val="212529"/>
          <w:sz w:val="26"/>
          <w:szCs w:val="26"/>
        </w:rPr>
        <w:t> </w:t>
      </w:r>
      <w:r w:rsidRPr="00F9509F">
        <w:rPr>
          <w:rFonts w:ascii="Arial" w:hAnsi="Arial" w:cs="Arial"/>
          <w:color w:val="212529"/>
          <w:sz w:val="26"/>
          <w:szCs w:val="26"/>
        </w:rPr>
        <w:t>Semanario Judicial de la Federación y su Gaceta</w:t>
      </w:r>
      <w:r w:rsidR="00CC3509">
        <w:rPr>
          <w:rFonts w:ascii="Arial" w:hAnsi="Arial" w:cs="Arial"/>
          <w:color w:val="212529"/>
          <w:sz w:val="26"/>
          <w:szCs w:val="26"/>
        </w:rPr>
        <w:t xml:space="preserve">, </w:t>
      </w:r>
      <w:r w:rsidRPr="00F9509F">
        <w:rPr>
          <w:rStyle w:val="ng-star-inserted"/>
          <w:rFonts w:ascii="Arial" w:hAnsi="Arial" w:cs="Arial"/>
          <w:color w:val="212529"/>
          <w:sz w:val="26"/>
          <w:szCs w:val="26"/>
        </w:rPr>
        <w:t xml:space="preserve">Libro XVIII, </w:t>
      </w:r>
      <w:r w:rsidR="00CC3509" w:rsidRPr="00F9509F">
        <w:rPr>
          <w:rStyle w:val="ng-star-inserted"/>
          <w:rFonts w:ascii="Arial" w:hAnsi="Arial" w:cs="Arial"/>
          <w:color w:val="212529"/>
          <w:sz w:val="26"/>
          <w:szCs w:val="26"/>
        </w:rPr>
        <w:t>marzo</w:t>
      </w:r>
      <w:r w:rsidRPr="00F9509F">
        <w:rPr>
          <w:rStyle w:val="ng-star-inserted"/>
          <w:rFonts w:ascii="Arial" w:hAnsi="Arial" w:cs="Arial"/>
          <w:color w:val="212529"/>
          <w:sz w:val="26"/>
          <w:szCs w:val="26"/>
        </w:rPr>
        <w:t xml:space="preserve"> de 2013, Tomo 2, página 1065</w:t>
      </w:r>
      <w:r w:rsidR="00CC3509">
        <w:rPr>
          <w:rStyle w:val="ng-star-inserted"/>
          <w:rFonts w:ascii="Arial" w:hAnsi="Arial" w:cs="Arial"/>
          <w:color w:val="212529"/>
          <w:sz w:val="26"/>
          <w:szCs w:val="26"/>
        </w:rPr>
        <w:t xml:space="preserve">, de rubro y texto siguientes: - - - - - - - - - - - - - - - - - - - - - - - - - - - - - - - - - - - - - - - - </w:t>
      </w:r>
    </w:p>
    <w:p w14:paraId="2638F140" w14:textId="77777777" w:rsidR="00C631C5" w:rsidRPr="00F9509F" w:rsidRDefault="00C631C5" w:rsidP="00C631C5">
      <w:pPr>
        <w:pStyle w:val="Sinespaciado"/>
      </w:pPr>
    </w:p>
    <w:p w14:paraId="6B0F355F" w14:textId="055F417A" w:rsidR="00F9509F" w:rsidRPr="00C631C5" w:rsidRDefault="0079771A" w:rsidP="00C631C5">
      <w:pPr>
        <w:shd w:val="clear" w:color="auto" w:fill="FFFFFF"/>
        <w:spacing w:after="120"/>
        <w:ind w:left="851" w:right="902"/>
        <w:jc w:val="both"/>
        <w:rPr>
          <w:rFonts w:ascii="Arial" w:eastAsia="Times New Roman" w:hAnsi="Arial" w:cs="Arial"/>
          <w:i/>
          <w:iCs/>
          <w:color w:val="212529"/>
          <w:sz w:val="24"/>
          <w:szCs w:val="24"/>
          <w:highlight w:val="yellow"/>
        </w:rPr>
      </w:pPr>
      <w:r w:rsidRPr="00C631C5">
        <w:rPr>
          <w:rFonts w:ascii="Arial" w:eastAsia="Times New Roman" w:hAnsi="Arial" w:cs="Arial"/>
          <w:b/>
          <w:bCs/>
          <w:i/>
          <w:iCs/>
          <w:color w:val="212529"/>
          <w:sz w:val="24"/>
          <w:szCs w:val="24"/>
        </w:rPr>
        <w:t>“</w:t>
      </w:r>
      <w:r w:rsidR="00F9509F" w:rsidRPr="00C631C5">
        <w:rPr>
          <w:rFonts w:ascii="Arial" w:eastAsia="Times New Roman" w:hAnsi="Arial" w:cs="Arial"/>
          <w:b/>
          <w:bCs/>
          <w:i/>
          <w:iCs/>
          <w:color w:val="212529"/>
          <w:sz w:val="24"/>
          <w:szCs w:val="24"/>
        </w:rPr>
        <w:t xml:space="preserve">SUPLETORIEDAD DE LAS LEYES. REQUISITOS PARA QUE OPERE. </w:t>
      </w:r>
      <w:r w:rsidR="00F9509F" w:rsidRPr="00C631C5">
        <w:rPr>
          <w:rFonts w:ascii="Arial" w:eastAsia="Times New Roman" w:hAnsi="Arial" w:cs="Arial"/>
          <w:i/>
          <w:iCs/>
          <w:color w:val="212529"/>
          <w:sz w:val="24"/>
          <w:szCs w:val="24"/>
        </w:rPr>
        <w:t xml:space="preserve">La aplicación supletoria de una ley respecto de otra procede para integrar una omisión en la ley o para interpretar sus disposiciones y que se integren con otras normas o principios generales contenidos en otras leyes. Así, para que opere la supletoriedad es necesario que: a) El ordenamiento legal a suplir establezca expresamente esa posibilidad, indicando la ley o normas que pueden aplicarse supletoriamente, o que un ordenamiento establezca que aplica, total o parcialmente, de manera supletoria a otros </w:t>
      </w:r>
      <w:r w:rsidR="00F9509F" w:rsidRPr="00C631C5">
        <w:rPr>
          <w:rFonts w:ascii="Arial" w:eastAsia="Times New Roman" w:hAnsi="Arial" w:cs="Arial"/>
          <w:i/>
          <w:iCs/>
          <w:color w:val="212529"/>
          <w:sz w:val="24"/>
          <w:szCs w:val="24"/>
        </w:rPr>
        <w:lastRenderedPageBreak/>
        <w:t>ordenamientos; b) La ley a suplir no contemple la institución o las cuestiones jurídicas que pretenden aplicarse supletoriamente o, 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específicamente la institución de que se trate.</w:t>
      </w:r>
      <w:r w:rsidRPr="00C631C5">
        <w:rPr>
          <w:rFonts w:ascii="Arial" w:eastAsia="Times New Roman" w:hAnsi="Arial" w:cs="Arial"/>
          <w:i/>
          <w:iCs/>
          <w:color w:val="212529"/>
          <w:sz w:val="24"/>
          <w:szCs w:val="24"/>
        </w:rPr>
        <w:t>”- - - - - - - - - - - - - - -</w:t>
      </w:r>
      <w:r w:rsidR="00CC1F9C">
        <w:rPr>
          <w:rFonts w:ascii="Arial" w:eastAsia="Times New Roman" w:hAnsi="Arial" w:cs="Arial"/>
          <w:i/>
          <w:iCs/>
          <w:color w:val="212529"/>
          <w:sz w:val="24"/>
          <w:szCs w:val="24"/>
        </w:rPr>
        <w:t xml:space="preserve"> - - - - - - - - - -</w:t>
      </w:r>
    </w:p>
    <w:p w14:paraId="12865A6B" w14:textId="21A4B171" w:rsidR="00721D8E" w:rsidRDefault="00930147" w:rsidP="00AE1201">
      <w:pPr>
        <w:spacing w:after="120" w:line="360" w:lineRule="auto"/>
        <w:ind w:firstLine="708"/>
        <w:jc w:val="both"/>
        <w:rPr>
          <w:rFonts w:ascii="Arial" w:eastAsia="Calibri" w:hAnsi="Arial" w:cs="Arial"/>
          <w:sz w:val="26"/>
          <w:szCs w:val="26"/>
        </w:rPr>
      </w:pPr>
      <w:r w:rsidRPr="00B55D40">
        <w:rPr>
          <w:rFonts w:ascii="Arial" w:eastAsia="Calibri" w:hAnsi="Arial" w:cs="Arial"/>
          <w:sz w:val="26"/>
          <w:szCs w:val="26"/>
        </w:rPr>
        <w:t>Por consiguiente</w:t>
      </w:r>
      <w:r w:rsidR="0069052E" w:rsidRPr="00B55D40">
        <w:rPr>
          <w:rFonts w:ascii="Arial" w:eastAsia="Calibri" w:hAnsi="Arial" w:cs="Arial"/>
          <w:sz w:val="26"/>
          <w:szCs w:val="26"/>
        </w:rPr>
        <w:t>,</w:t>
      </w:r>
      <w:r w:rsidR="0069052E" w:rsidRPr="00A12A2E">
        <w:rPr>
          <w:rFonts w:ascii="Arial" w:eastAsia="Calibri" w:hAnsi="Arial" w:cs="Arial"/>
          <w:sz w:val="26"/>
          <w:szCs w:val="26"/>
        </w:rPr>
        <w:t xml:space="preserve"> </w:t>
      </w:r>
      <w:r w:rsidR="00E355B7" w:rsidRPr="00A12A2E">
        <w:rPr>
          <w:rFonts w:ascii="Arial" w:eastAsia="Calibri" w:hAnsi="Arial" w:cs="Arial"/>
          <w:sz w:val="26"/>
          <w:szCs w:val="26"/>
        </w:rPr>
        <w:t xml:space="preserve">para dar cumplimiento </w:t>
      </w:r>
      <w:r w:rsidR="00126E70" w:rsidRPr="00A12A2E">
        <w:rPr>
          <w:rFonts w:ascii="Arial" w:eastAsia="Calibri" w:hAnsi="Arial" w:cs="Arial"/>
          <w:sz w:val="26"/>
          <w:szCs w:val="26"/>
        </w:rPr>
        <w:t xml:space="preserve">a una </w:t>
      </w:r>
      <w:r w:rsidR="00E355B7" w:rsidRPr="00A12A2E">
        <w:rPr>
          <w:rFonts w:ascii="Arial" w:eastAsia="Calibri" w:hAnsi="Arial" w:cs="Arial"/>
          <w:sz w:val="26"/>
          <w:szCs w:val="26"/>
        </w:rPr>
        <w:t xml:space="preserve">sentencia </w:t>
      </w:r>
      <w:r w:rsidR="00126E70" w:rsidRPr="00A12A2E">
        <w:rPr>
          <w:rFonts w:ascii="Arial" w:eastAsia="Calibri" w:hAnsi="Arial" w:cs="Arial"/>
          <w:sz w:val="26"/>
          <w:szCs w:val="26"/>
        </w:rPr>
        <w:t>como consecuencia de la cual</w:t>
      </w:r>
      <w:r w:rsidR="00E355B7">
        <w:rPr>
          <w:rFonts w:ascii="Arial" w:eastAsia="Calibri" w:hAnsi="Arial" w:cs="Arial"/>
          <w:sz w:val="26"/>
          <w:szCs w:val="26"/>
        </w:rPr>
        <w:t xml:space="preserve"> se deba pagar una cantidad de dinero, es improcedente que se tenga que abrir necesariamente el incidente de liquidación como lo refiere la recurrente, pues la Ley de Procedimiento y Justicia Administrativa para el Estado de Oaxaca, establece el </w:t>
      </w:r>
      <w:r w:rsidR="00E355B7" w:rsidRPr="00D11C69">
        <w:rPr>
          <w:rFonts w:ascii="Arial" w:eastAsia="Calibri" w:hAnsi="Arial" w:cs="Arial"/>
          <w:sz w:val="26"/>
          <w:szCs w:val="26"/>
        </w:rPr>
        <w:t xml:space="preserve">procedimiento </w:t>
      </w:r>
      <w:r w:rsidR="00E355B7">
        <w:rPr>
          <w:rFonts w:ascii="Arial" w:eastAsia="Calibri" w:hAnsi="Arial" w:cs="Arial"/>
          <w:sz w:val="26"/>
          <w:szCs w:val="26"/>
        </w:rPr>
        <w:t>a seguir</w:t>
      </w:r>
      <w:r w:rsidR="00721D8E">
        <w:rPr>
          <w:rFonts w:ascii="Arial" w:eastAsia="Calibri" w:hAnsi="Arial" w:cs="Arial"/>
          <w:sz w:val="26"/>
          <w:szCs w:val="26"/>
        </w:rPr>
        <w:t xml:space="preserve"> </w:t>
      </w:r>
      <w:r w:rsidR="00E355B7">
        <w:rPr>
          <w:rFonts w:ascii="Arial" w:eastAsia="Calibri" w:hAnsi="Arial" w:cs="Arial"/>
          <w:sz w:val="26"/>
          <w:szCs w:val="26"/>
        </w:rPr>
        <w:t xml:space="preserve">para </w:t>
      </w:r>
      <w:r w:rsidR="00721D8E">
        <w:rPr>
          <w:rFonts w:ascii="Arial" w:eastAsia="Calibri" w:hAnsi="Arial" w:cs="Arial"/>
          <w:sz w:val="26"/>
          <w:szCs w:val="26"/>
        </w:rPr>
        <w:t xml:space="preserve">el </w:t>
      </w:r>
      <w:r w:rsidR="00E355B7" w:rsidRPr="00D11C69">
        <w:rPr>
          <w:rFonts w:ascii="Arial" w:eastAsia="Calibri" w:hAnsi="Arial" w:cs="Arial"/>
          <w:sz w:val="26"/>
          <w:szCs w:val="26"/>
        </w:rPr>
        <w:t>cumplimiento de sentencia</w:t>
      </w:r>
      <w:r w:rsidR="00721D8E">
        <w:rPr>
          <w:rFonts w:ascii="Arial" w:eastAsia="Calibri" w:hAnsi="Arial" w:cs="Arial"/>
          <w:sz w:val="26"/>
          <w:szCs w:val="26"/>
        </w:rPr>
        <w:t xml:space="preserve">, el cual está </w:t>
      </w:r>
      <w:r w:rsidR="00E355B7" w:rsidRPr="00D11C69">
        <w:rPr>
          <w:rFonts w:ascii="Arial" w:eastAsia="Calibri" w:hAnsi="Arial" w:cs="Arial"/>
          <w:sz w:val="26"/>
          <w:szCs w:val="26"/>
        </w:rPr>
        <w:t xml:space="preserve">contemplado en los artículos </w:t>
      </w:r>
      <w:r w:rsidR="00721D8E">
        <w:rPr>
          <w:rFonts w:ascii="Arial" w:eastAsia="Calibri" w:hAnsi="Arial" w:cs="Arial"/>
          <w:sz w:val="26"/>
          <w:szCs w:val="26"/>
        </w:rPr>
        <w:t>213</w:t>
      </w:r>
      <w:r w:rsidR="0021150C">
        <w:rPr>
          <w:rStyle w:val="Refdenotaalpie"/>
          <w:rFonts w:ascii="Arial" w:eastAsia="Calibri" w:hAnsi="Arial" w:cs="Arial"/>
          <w:sz w:val="26"/>
          <w:szCs w:val="26"/>
        </w:rPr>
        <w:footnoteReference w:id="3"/>
      </w:r>
      <w:r w:rsidR="00E355B7" w:rsidRPr="00D11C69">
        <w:rPr>
          <w:rFonts w:ascii="Arial" w:eastAsia="Calibri" w:hAnsi="Arial" w:cs="Arial"/>
          <w:sz w:val="26"/>
          <w:szCs w:val="26"/>
        </w:rPr>
        <w:t xml:space="preserve"> y </w:t>
      </w:r>
      <w:r w:rsidR="00721D8E">
        <w:rPr>
          <w:rFonts w:ascii="Arial" w:eastAsia="Calibri" w:hAnsi="Arial" w:cs="Arial"/>
          <w:sz w:val="26"/>
          <w:szCs w:val="26"/>
        </w:rPr>
        <w:t>2</w:t>
      </w:r>
      <w:r w:rsidR="00E355B7" w:rsidRPr="00D11C69">
        <w:rPr>
          <w:rFonts w:ascii="Arial" w:eastAsia="Calibri" w:hAnsi="Arial" w:cs="Arial"/>
          <w:sz w:val="26"/>
          <w:szCs w:val="26"/>
        </w:rPr>
        <w:t>14</w:t>
      </w:r>
      <w:r w:rsidR="0021150C">
        <w:rPr>
          <w:rStyle w:val="Refdenotaalpie"/>
          <w:rFonts w:ascii="Arial" w:eastAsia="Calibri" w:hAnsi="Arial" w:cs="Arial"/>
          <w:sz w:val="26"/>
          <w:szCs w:val="26"/>
        </w:rPr>
        <w:footnoteReference w:id="4"/>
      </w:r>
      <w:r w:rsidR="00E355B7" w:rsidRPr="00D11C69">
        <w:rPr>
          <w:rFonts w:ascii="Arial" w:eastAsia="Calibri" w:hAnsi="Arial" w:cs="Arial"/>
          <w:sz w:val="26"/>
          <w:szCs w:val="26"/>
        </w:rPr>
        <w:t xml:space="preserve"> de la </w:t>
      </w:r>
      <w:r w:rsidR="00A12A2E">
        <w:rPr>
          <w:rFonts w:ascii="Arial" w:eastAsia="Calibri" w:hAnsi="Arial" w:cs="Arial"/>
          <w:sz w:val="26"/>
          <w:szCs w:val="26"/>
        </w:rPr>
        <w:t xml:space="preserve">referida </w:t>
      </w:r>
      <w:r w:rsidR="00E355B7" w:rsidRPr="00D11C69">
        <w:rPr>
          <w:rFonts w:ascii="Arial" w:eastAsia="Calibri" w:hAnsi="Arial" w:cs="Arial"/>
          <w:sz w:val="26"/>
          <w:szCs w:val="26"/>
        </w:rPr>
        <w:t>Ley</w:t>
      </w:r>
      <w:r w:rsidR="00A12A2E">
        <w:rPr>
          <w:rFonts w:ascii="Arial" w:eastAsia="Calibri" w:hAnsi="Arial" w:cs="Arial"/>
          <w:sz w:val="26"/>
          <w:szCs w:val="26"/>
        </w:rPr>
        <w:t>,</w:t>
      </w:r>
      <w:r w:rsidR="00E355B7" w:rsidRPr="00D11C69">
        <w:rPr>
          <w:rFonts w:ascii="Arial" w:eastAsia="Calibri" w:hAnsi="Arial" w:cs="Arial"/>
          <w:sz w:val="26"/>
          <w:szCs w:val="26"/>
        </w:rPr>
        <w:t xml:space="preserve"> </w:t>
      </w:r>
      <w:r w:rsidR="00721D8E">
        <w:rPr>
          <w:rFonts w:ascii="Arial" w:eastAsia="Calibri" w:hAnsi="Arial" w:cs="Arial"/>
          <w:sz w:val="26"/>
          <w:szCs w:val="26"/>
        </w:rPr>
        <w:t>toda vez que de no seguir el procedimiento establecido en la Ley de la materia, se estaría</w:t>
      </w:r>
      <w:r w:rsidR="00AE3B8E">
        <w:rPr>
          <w:rFonts w:ascii="Arial" w:eastAsia="Calibri" w:hAnsi="Arial" w:cs="Arial"/>
          <w:sz w:val="26"/>
          <w:szCs w:val="26"/>
        </w:rPr>
        <w:t>n</w:t>
      </w:r>
      <w:r w:rsidR="00721D8E">
        <w:rPr>
          <w:rFonts w:ascii="Arial" w:eastAsia="Calibri" w:hAnsi="Arial" w:cs="Arial"/>
          <w:sz w:val="26"/>
          <w:szCs w:val="26"/>
        </w:rPr>
        <w:t xml:space="preserve"> </w:t>
      </w:r>
      <w:r w:rsidR="00E355B7" w:rsidRPr="00D11C69">
        <w:rPr>
          <w:rFonts w:ascii="Arial" w:eastAsia="Calibri" w:hAnsi="Arial" w:cs="Arial"/>
          <w:sz w:val="26"/>
          <w:szCs w:val="26"/>
        </w:rPr>
        <w:t xml:space="preserve">inobservando las formalidades esenciales  del procedimiento previstas y </w:t>
      </w:r>
      <w:r w:rsidR="00E355B7" w:rsidRPr="00A12A2E">
        <w:rPr>
          <w:rFonts w:ascii="Arial" w:eastAsia="Calibri" w:hAnsi="Arial" w:cs="Arial"/>
          <w:sz w:val="26"/>
          <w:szCs w:val="26"/>
        </w:rPr>
        <w:t>consagra</w:t>
      </w:r>
      <w:r w:rsidR="0021150C" w:rsidRPr="00A12A2E">
        <w:rPr>
          <w:rFonts w:ascii="Arial" w:eastAsia="Calibri" w:hAnsi="Arial" w:cs="Arial"/>
          <w:sz w:val="26"/>
          <w:szCs w:val="26"/>
        </w:rPr>
        <w:t>das</w:t>
      </w:r>
      <w:r w:rsidR="00E355B7" w:rsidRPr="00D11C69">
        <w:rPr>
          <w:rFonts w:ascii="Arial" w:eastAsia="Calibri" w:hAnsi="Arial" w:cs="Arial"/>
          <w:sz w:val="26"/>
          <w:szCs w:val="26"/>
        </w:rPr>
        <w:t xml:space="preserve"> en el artículo 14 de la Constitución Federal,  el cual establece  </w:t>
      </w:r>
      <w:r w:rsidR="00E355B7" w:rsidRPr="00D11C69">
        <w:rPr>
          <w:rFonts w:ascii="Arial" w:eastAsia="Calibri" w:hAnsi="Arial" w:cs="Arial"/>
          <w:b/>
          <w:sz w:val="26"/>
          <w:szCs w:val="26"/>
        </w:rPr>
        <w:t>que todo juicio debe ser seguido ante los tribunales previamente establecidos, en el que se cumplan las formalidades del procedimiento y conforme a las leyes expedidas con anterioridad al hecho. Máxime que las normas del procedimiento son de orden público que no se pueden alterar, modificar o renunciar por ninguna de las partes</w:t>
      </w:r>
      <w:r w:rsidR="00E355B7" w:rsidRPr="00D11C69">
        <w:rPr>
          <w:rFonts w:ascii="Arial" w:eastAsia="Calibri" w:hAnsi="Arial" w:cs="Arial"/>
          <w:sz w:val="26"/>
          <w:szCs w:val="26"/>
        </w:rPr>
        <w:t xml:space="preserve">, y toda vez que el principio de </w:t>
      </w:r>
      <w:r w:rsidR="00E355B7" w:rsidRPr="00D11C69">
        <w:rPr>
          <w:rFonts w:ascii="Arial" w:eastAsia="Calibri" w:hAnsi="Arial" w:cs="Arial"/>
          <w:sz w:val="26"/>
          <w:szCs w:val="26"/>
        </w:rPr>
        <w:lastRenderedPageBreak/>
        <w:t xml:space="preserve">legalidad dispone que </w:t>
      </w:r>
      <w:r w:rsidR="00E355B7" w:rsidRPr="00D11C69">
        <w:rPr>
          <w:rFonts w:ascii="Arial" w:eastAsia="Calibri" w:hAnsi="Arial" w:cs="Arial"/>
          <w:b/>
          <w:sz w:val="26"/>
          <w:szCs w:val="26"/>
        </w:rPr>
        <w:t>la autoridad solo puede hacer lo que la ley le autoriza y deben hacer lo que la ley le ordena</w:t>
      </w:r>
      <w:r w:rsidR="00E355B7" w:rsidRPr="00D11C69">
        <w:rPr>
          <w:rFonts w:ascii="Arial" w:eastAsia="Calibri" w:hAnsi="Arial" w:cs="Arial"/>
          <w:sz w:val="26"/>
          <w:szCs w:val="26"/>
        </w:rPr>
        <w:t>, como lo establece el párrafo tercero del numeral 2 de la Constitución Local. - - -</w:t>
      </w:r>
      <w:r w:rsidR="0021150C">
        <w:rPr>
          <w:rFonts w:ascii="Arial" w:eastAsia="Calibri" w:hAnsi="Arial" w:cs="Arial"/>
          <w:sz w:val="26"/>
          <w:szCs w:val="26"/>
        </w:rPr>
        <w:t xml:space="preserve"> - - - - - - - - -</w:t>
      </w:r>
    </w:p>
    <w:p w14:paraId="4AB697CF" w14:textId="7AFE25BA" w:rsidR="00C95D58" w:rsidRPr="00A70940" w:rsidRDefault="00332BD2" w:rsidP="00AE1201">
      <w:pPr>
        <w:spacing w:after="120" w:line="360" w:lineRule="auto"/>
        <w:ind w:firstLine="708"/>
        <w:jc w:val="both"/>
        <w:rPr>
          <w:rFonts w:ascii="Arial" w:eastAsia="Calibri" w:hAnsi="Arial" w:cs="Arial"/>
          <w:sz w:val="26"/>
          <w:szCs w:val="26"/>
        </w:rPr>
      </w:pPr>
      <w:r w:rsidRPr="00A70940">
        <w:rPr>
          <w:rFonts w:ascii="Arial" w:eastAsia="Calibri" w:hAnsi="Arial" w:cs="Arial"/>
          <w:b/>
          <w:sz w:val="26"/>
          <w:szCs w:val="26"/>
        </w:rPr>
        <w:t>Ahora</w:t>
      </w:r>
      <w:r w:rsidRPr="00A70940">
        <w:rPr>
          <w:rFonts w:ascii="Arial" w:eastAsia="Calibri" w:hAnsi="Arial" w:cs="Arial"/>
          <w:sz w:val="26"/>
          <w:szCs w:val="26"/>
        </w:rPr>
        <w:t xml:space="preserve"> bien, </w:t>
      </w:r>
      <w:r w:rsidR="00B21717" w:rsidRPr="00A70940">
        <w:rPr>
          <w:rFonts w:ascii="Arial" w:eastAsia="Calibri" w:hAnsi="Arial" w:cs="Arial"/>
          <w:sz w:val="26"/>
          <w:szCs w:val="26"/>
        </w:rPr>
        <w:t xml:space="preserve">no obstante que en el juicio de nulidad no </w:t>
      </w:r>
      <w:r w:rsidR="00B4626A" w:rsidRPr="00A70940">
        <w:rPr>
          <w:rFonts w:ascii="Arial" w:eastAsia="Calibri" w:hAnsi="Arial" w:cs="Arial"/>
          <w:sz w:val="26"/>
          <w:szCs w:val="26"/>
        </w:rPr>
        <w:t xml:space="preserve">es </w:t>
      </w:r>
      <w:r w:rsidR="00B21717" w:rsidRPr="00A70940">
        <w:rPr>
          <w:rFonts w:ascii="Arial" w:eastAsia="Calibri" w:hAnsi="Arial" w:cs="Arial"/>
          <w:sz w:val="26"/>
          <w:szCs w:val="26"/>
        </w:rPr>
        <w:t>procede</w:t>
      </w:r>
      <w:r w:rsidR="00B4626A" w:rsidRPr="00A70940">
        <w:rPr>
          <w:rFonts w:ascii="Arial" w:eastAsia="Calibri" w:hAnsi="Arial" w:cs="Arial"/>
          <w:sz w:val="26"/>
          <w:szCs w:val="26"/>
        </w:rPr>
        <w:t xml:space="preserve">nte </w:t>
      </w:r>
      <w:r w:rsidR="00B21717" w:rsidRPr="00A70940">
        <w:rPr>
          <w:rFonts w:ascii="Arial" w:eastAsia="Calibri" w:hAnsi="Arial" w:cs="Arial"/>
          <w:sz w:val="26"/>
          <w:szCs w:val="26"/>
        </w:rPr>
        <w:t xml:space="preserve">el incidente de liquidación como se indicó con anterioridad; es de señalar que </w:t>
      </w:r>
      <w:r w:rsidR="00C95D58" w:rsidRPr="00A70940">
        <w:rPr>
          <w:rFonts w:ascii="Arial" w:eastAsia="Calibri" w:hAnsi="Arial" w:cs="Arial"/>
          <w:sz w:val="26"/>
          <w:szCs w:val="26"/>
        </w:rPr>
        <w:t>de</w:t>
      </w:r>
      <w:r w:rsidR="000A0AFA" w:rsidRPr="00A70940">
        <w:rPr>
          <w:rFonts w:ascii="Arial" w:eastAsia="Calibri" w:hAnsi="Arial" w:cs="Arial"/>
          <w:sz w:val="26"/>
          <w:szCs w:val="26"/>
        </w:rPr>
        <w:t xml:space="preserve"> lo expuesto por la parte actora </w:t>
      </w:r>
      <w:r w:rsidR="00CC1F9C" w:rsidRPr="00F05F47">
        <w:rPr>
          <w:rFonts w:ascii="Arial" w:eastAsia="Calibri" w:hAnsi="Arial" w:cs="Arial"/>
          <w:b/>
          <w:sz w:val="26"/>
          <w:szCs w:val="26"/>
        </w:rPr>
        <w:t>***********</w:t>
      </w:r>
      <w:r w:rsidR="00CC1F9C">
        <w:rPr>
          <w:rFonts w:ascii="Arial" w:eastAsia="Calibri" w:hAnsi="Arial" w:cs="Arial"/>
          <w:sz w:val="26"/>
          <w:szCs w:val="26"/>
        </w:rPr>
        <w:t xml:space="preserve"> </w:t>
      </w:r>
      <w:r w:rsidR="000A0AFA" w:rsidRPr="00A70940">
        <w:rPr>
          <w:rFonts w:ascii="Arial" w:eastAsia="Calibri" w:hAnsi="Arial" w:cs="Arial"/>
          <w:sz w:val="26"/>
          <w:szCs w:val="26"/>
        </w:rPr>
        <w:t xml:space="preserve">en su </w:t>
      </w:r>
      <w:r w:rsidR="00D768A0" w:rsidRPr="00A70940">
        <w:rPr>
          <w:rFonts w:ascii="Arial" w:eastAsia="Calibri" w:hAnsi="Arial" w:cs="Arial"/>
          <w:sz w:val="26"/>
          <w:szCs w:val="26"/>
        </w:rPr>
        <w:t>agravio</w:t>
      </w:r>
      <w:r w:rsidR="00273398" w:rsidRPr="00A70940">
        <w:rPr>
          <w:rFonts w:ascii="Arial" w:eastAsia="Calibri" w:hAnsi="Arial" w:cs="Arial"/>
          <w:sz w:val="26"/>
          <w:szCs w:val="26"/>
        </w:rPr>
        <w:t xml:space="preserve"> primero</w:t>
      </w:r>
      <w:r w:rsidR="00B55D40" w:rsidRPr="00A70940">
        <w:rPr>
          <w:rFonts w:ascii="Arial" w:eastAsia="Calibri" w:hAnsi="Arial" w:cs="Arial"/>
          <w:sz w:val="26"/>
          <w:szCs w:val="26"/>
        </w:rPr>
        <w:t xml:space="preserve"> del recurso que se </w:t>
      </w:r>
      <w:r w:rsidR="00B55D40" w:rsidRPr="00516A54">
        <w:rPr>
          <w:rFonts w:ascii="Arial" w:eastAsia="Calibri" w:hAnsi="Arial" w:cs="Arial"/>
          <w:sz w:val="26"/>
          <w:szCs w:val="26"/>
        </w:rPr>
        <w:t>resuelve</w:t>
      </w:r>
      <w:r w:rsidR="00516A54" w:rsidRPr="00516A54">
        <w:rPr>
          <w:rFonts w:ascii="Arial" w:eastAsia="Calibri" w:hAnsi="Arial" w:cs="Arial"/>
          <w:sz w:val="26"/>
          <w:szCs w:val="26"/>
        </w:rPr>
        <w:t xml:space="preserve"> en atención a</w:t>
      </w:r>
      <w:r w:rsidR="000A0AFA" w:rsidRPr="00516A54">
        <w:rPr>
          <w:rFonts w:ascii="Arial" w:eastAsia="Calibri" w:hAnsi="Arial" w:cs="Arial"/>
          <w:sz w:val="26"/>
          <w:szCs w:val="26"/>
        </w:rPr>
        <w:t xml:space="preserve"> la causa de pedir, la</w:t>
      </w:r>
      <w:r w:rsidR="003F3547" w:rsidRPr="00516A54">
        <w:rPr>
          <w:rFonts w:ascii="Arial" w:eastAsia="Calibri" w:hAnsi="Arial" w:cs="Arial"/>
          <w:sz w:val="26"/>
          <w:szCs w:val="26"/>
        </w:rPr>
        <w:t xml:space="preserve"> cual se suple en su deficiencia</w:t>
      </w:r>
      <w:r w:rsidR="00D812D3" w:rsidRPr="00516A54">
        <w:rPr>
          <w:rFonts w:ascii="Arial" w:eastAsia="Calibri" w:hAnsi="Arial" w:cs="Arial"/>
          <w:sz w:val="26"/>
          <w:szCs w:val="26"/>
        </w:rPr>
        <w:t xml:space="preserve">, </w:t>
      </w:r>
      <w:r w:rsidR="00C95D58" w:rsidRPr="00516A54">
        <w:rPr>
          <w:rFonts w:ascii="Arial" w:eastAsia="Calibri" w:hAnsi="Arial" w:cs="Arial"/>
          <w:sz w:val="26"/>
          <w:szCs w:val="26"/>
        </w:rPr>
        <w:t>porque si bien no señala que el pago de su pensión por jubilaci</w:t>
      </w:r>
      <w:r w:rsidR="00C95D58" w:rsidRPr="00A70940">
        <w:rPr>
          <w:rFonts w:ascii="Arial" w:eastAsia="Calibri" w:hAnsi="Arial" w:cs="Arial"/>
          <w:sz w:val="26"/>
          <w:szCs w:val="26"/>
        </w:rPr>
        <w:t xml:space="preserve">ón con las prestaciones autorizadas por la primera instancia, así como la devolución de los descuentos efectuados para el fondo de pensiones del 9%, </w:t>
      </w:r>
      <w:r w:rsidR="00C95D58" w:rsidRPr="00A70940">
        <w:rPr>
          <w:rFonts w:ascii="Arial" w:eastAsia="Calibri" w:hAnsi="Arial" w:cs="Arial"/>
          <w:sz w:val="26"/>
          <w:szCs w:val="26"/>
          <w:u w:val="single"/>
        </w:rPr>
        <w:t>debe ser en forma retroactiva desde que le fue autorizada dicha pensión,</w:t>
      </w:r>
      <w:r w:rsidR="00C95D58" w:rsidRPr="00A70940">
        <w:rPr>
          <w:rFonts w:ascii="Arial" w:eastAsia="Calibri" w:hAnsi="Arial" w:cs="Arial"/>
          <w:sz w:val="26"/>
          <w:szCs w:val="26"/>
        </w:rPr>
        <w:t xml:space="preserve"> </w:t>
      </w:r>
      <w:r w:rsidR="00D768A0" w:rsidRPr="00A70940">
        <w:rPr>
          <w:rFonts w:ascii="Arial" w:eastAsia="Calibri" w:hAnsi="Arial" w:cs="Arial"/>
          <w:sz w:val="26"/>
          <w:szCs w:val="26"/>
        </w:rPr>
        <w:t>esta Sala Superior a</w:t>
      </w:r>
      <w:r w:rsidR="00C95D58" w:rsidRPr="00A70940">
        <w:rPr>
          <w:rFonts w:ascii="Arial" w:eastAsia="Calibri" w:hAnsi="Arial" w:cs="Arial"/>
          <w:sz w:val="26"/>
          <w:szCs w:val="26"/>
        </w:rPr>
        <w:t>dvierte que se le dejó en estado de indefensión</w:t>
      </w:r>
      <w:r w:rsidR="004E758B" w:rsidRPr="00A70940">
        <w:rPr>
          <w:rFonts w:ascii="Arial" w:eastAsia="Calibri" w:hAnsi="Arial" w:cs="Arial"/>
          <w:sz w:val="26"/>
          <w:szCs w:val="26"/>
        </w:rPr>
        <w:t xml:space="preserve">, </w:t>
      </w:r>
      <w:r w:rsidR="00D768A0" w:rsidRPr="00A70940">
        <w:rPr>
          <w:rFonts w:ascii="Arial" w:eastAsia="Calibri" w:hAnsi="Arial" w:cs="Arial"/>
          <w:sz w:val="26"/>
          <w:szCs w:val="26"/>
        </w:rPr>
        <w:t xml:space="preserve">con los efectos de la sentencia de primera instancia.- - - - - </w:t>
      </w:r>
      <w:r w:rsidR="00CC1F9C">
        <w:rPr>
          <w:rFonts w:ascii="Arial" w:eastAsia="Calibri" w:hAnsi="Arial" w:cs="Arial"/>
          <w:sz w:val="26"/>
          <w:szCs w:val="26"/>
        </w:rPr>
        <w:t>- - - - - - - - - - - - - - -</w:t>
      </w:r>
    </w:p>
    <w:p w14:paraId="1F71B9F7" w14:textId="77777777" w:rsidR="00CE4C91" w:rsidRPr="00A70940" w:rsidRDefault="006714CD" w:rsidP="008E2E62">
      <w:pPr>
        <w:spacing w:after="120" w:line="360" w:lineRule="auto"/>
        <w:ind w:firstLine="708"/>
        <w:jc w:val="both"/>
        <w:rPr>
          <w:rFonts w:ascii="Arial" w:hAnsi="Arial" w:cs="Arial"/>
          <w:color w:val="000000"/>
          <w:sz w:val="26"/>
          <w:szCs w:val="26"/>
          <w:shd w:val="clear" w:color="auto" w:fill="FFFFFF"/>
        </w:rPr>
      </w:pPr>
      <w:r w:rsidRPr="00A70940">
        <w:rPr>
          <w:rFonts w:ascii="Arial" w:hAnsi="Arial" w:cs="Arial"/>
          <w:color w:val="000000"/>
          <w:sz w:val="26"/>
          <w:szCs w:val="26"/>
          <w:shd w:val="clear" w:color="auto" w:fill="FFFFFF"/>
        </w:rPr>
        <w:t>Se dice lo anterior, toda vez que el escrito de agravios no debe examinarse de manera aislada, sino en su conjunto, pues es suficiente que en los motivos de inconformidad que se hagan valer contra la resolución recurrida se exprese la causa de pedir, aunque sea en forma sencilla, pero clara, señalando cuál es la lesión o agravio que el recurrente estima le causa la sentencia recurrida y los motivos que generen esta afectación, para que el tribunal de alzada se aboque a su estudio.</w:t>
      </w:r>
      <w:r w:rsidR="00CE4C91" w:rsidRPr="00A70940">
        <w:rPr>
          <w:rFonts w:ascii="Arial" w:hAnsi="Arial" w:cs="Arial"/>
          <w:color w:val="000000"/>
          <w:sz w:val="26"/>
          <w:szCs w:val="26"/>
          <w:shd w:val="clear" w:color="auto" w:fill="FFFFFF"/>
        </w:rPr>
        <w:t>- - - - - - - - - - - - - - - - - - - - - - - - - - - - - - - - - - - - - - - - - - - - - -</w:t>
      </w:r>
    </w:p>
    <w:p w14:paraId="32C9719F" w14:textId="0D60CDE5" w:rsidR="006714CD" w:rsidRDefault="00C577F6" w:rsidP="008E2E62">
      <w:pPr>
        <w:spacing w:after="120" w:line="360" w:lineRule="auto"/>
        <w:ind w:firstLine="708"/>
        <w:jc w:val="both"/>
        <w:rPr>
          <w:rFonts w:ascii="Arial" w:hAnsi="Arial" w:cs="Arial"/>
          <w:color w:val="000000"/>
          <w:sz w:val="26"/>
          <w:szCs w:val="26"/>
          <w:shd w:val="clear" w:color="auto" w:fill="FFFFFF"/>
        </w:rPr>
      </w:pPr>
      <w:r w:rsidRPr="00A70940">
        <w:rPr>
          <w:rFonts w:ascii="Arial" w:hAnsi="Arial" w:cs="Arial"/>
          <w:color w:val="000000"/>
          <w:sz w:val="26"/>
          <w:szCs w:val="26"/>
          <w:shd w:val="clear" w:color="auto" w:fill="FFFFFF"/>
        </w:rPr>
        <w:t xml:space="preserve">Sirve de apoyo a lo anterior la Jurisprudencia con número de registro digital 170981, Tribunales </w:t>
      </w:r>
      <w:r w:rsidRPr="00516A54">
        <w:rPr>
          <w:rFonts w:ascii="Arial" w:hAnsi="Arial" w:cs="Arial"/>
          <w:color w:val="000000"/>
          <w:sz w:val="26"/>
          <w:szCs w:val="26"/>
          <w:shd w:val="clear" w:color="auto" w:fill="FFFFFF"/>
        </w:rPr>
        <w:t>Colegiad</w:t>
      </w:r>
      <w:r w:rsidR="00A70940" w:rsidRPr="00516A54">
        <w:rPr>
          <w:rFonts w:ascii="Arial" w:hAnsi="Arial" w:cs="Arial"/>
          <w:color w:val="000000"/>
          <w:sz w:val="26"/>
          <w:szCs w:val="26"/>
          <w:shd w:val="clear" w:color="auto" w:fill="FFFFFF"/>
        </w:rPr>
        <w:t>o</w:t>
      </w:r>
      <w:r w:rsidR="00A45EEA" w:rsidRPr="00516A54">
        <w:rPr>
          <w:rFonts w:ascii="Arial" w:hAnsi="Arial" w:cs="Arial"/>
          <w:color w:val="000000"/>
          <w:sz w:val="26"/>
          <w:szCs w:val="26"/>
          <w:shd w:val="clear" w:color="auto" w:fill="FFFFFF"/>
        </w:rPr>
        <w:t>s</w:t>
      </w:r>
      <w:r w:rsidRPr="00516A54">
        <w:rPr>
          <w:rFonts w:ascii="Arial" w:hAnsi="Arial" w:cs="Arial"/>
          <w:color w:val="000000"/>
          <w:sz w:val="26"/>
          <w:szCs w:val="26"/>
          <w:shd w:val="clear" w:color="auto" w:fill="FFFFFF"/>
        </w:rPr>
        <w:t xml:space="preserve"> de</w:t>
      </w:r>
      <w:r w:rsidRPr="00A70940">
        <w:rPr>
          <w:rFonts w:ascii="Arial" w:hAnsi="Arial" w:cs="Arial"/>
          <w:color w:val="000000"/>
          <w:sz w:val="26"/>
          <w:szCs w:val="26"/>
          <w:shd w:val="clear" w:color="auto" w:fill="FFFFFF"/>
        </w:rPr>
        <w:t xml:space="preserve"> Circuito, Novena Época, Tesis XXVI.J/2, Semanario Judicial de la Federación y su Gaceta, Tomo XXVI, </w:t>
      </w:r>
      <w:r w:rsidR="008E2E62" w:rsidRPr="00A70940">
        <w:rPr>
          <w:rFonts w:ascii="Arial" w:hAnsi="Arial" w:cs="Arial"/>
          <w:color w:val="000000"/>
          <w:sz w:val="26"/>
          <w:szCs w:val="26"/>
          <w:shd w:val="clear" w:color="auto" w:fill="FFFFFF"/>
        </w:rPr>
        <w:t>Noviembre de 2007, página 569, de rubro y texto siguientes:- - - -</w:t>
      </w:r>
      <w:r w:rsidR="00A45EEA">
        <w:rPr>
          <w:rFonts w:ascii="Arial" w:hAnsi="Arial" w:cs="Arial"/>
          <w:color w:val="000000"/>
          <w:sz w:val="26"/>
          <w:szCs w:val="26"/>
          <w:shd w:val="clear" w:color="auto" w:fill="FFFFFF"/>
        </w:rPr>
        <w:t xml:space="preserve"> - - - - - - - - - - - - - - - - - - - - - - - - - - - - - - - - - - - - - - - - -</w:t>
      </w:r>
    </w:p>
    <w:p w14:paraId="2056FCE3" w14:textId="4B9C6D8B" w:rsidR="008E2E62" w:rsidRPr="000262D5" w:rsidRDefault="008E2E62" w:rsidP="000262D5">
      <w:pPr>
        <w:pStyle w:val="NormalWeb"/>
        <w:shd w:val="clear" w:color="auto" w:fill="FFFFFF"/>
        <w:spacing w:before="0" w:beforeAutospacing="0" w:after="120" w:afterAutospacing="0" w:line="276" w:lineRule="auto"/>
        <w:ind w:left="851" w:right="900"/>
        <w:jc w:val="both"/>
        <w:rPr>
          <w:rFonts w:ascii="Arial" w:hAnsi="Arial" w:cs="Arial"/>
          <w:i/>
        </w:rPr>
      </w:pPr>
      <w:r w:rsidRPr="000262D5">
        <w:rPr>
          <w:rFonts w:ascii="Arial" w:hAnsi="Arial" w:cs="Arial"/>
          <w:b/>
          <w:bCs/>
          <w:i/>
          <w:color w:val="000000"/>
        </w:rPr>
        <w:t xml:space="preserve">“AGRAVIOS EN LA APELACIÓN. PARA SU ESTUDIO BASTA QUE EN EL ESCRITO RESPECTIVO SE EXPRESE CON CLARIDAD LA CAUSA DE PEDIR. APLICACIÓN ANALÓGICA DE LA JURISPRUDENCIA P./J. 68/2000 (LEGISLACIÓN DEL ESTADO DE BAJA CALIFORNIA SUR). </w:t>
      </w:r>
      <w:r w:rsidRPr="000262D5">
        <w:rPr>
          <w:rFonts w:ascii="Arial" w:hAnsi="Arial" w:cs="Arial"/>
          <w:i/>
          <w:color w:val="000000"/>
        </w:rPr>
        <w:t xml:space="preserve">El Pleno de la Suprema Corte de Justicia de la Nación al emitir la jurisprudencia P./J. 68/2000, publicada en el Semanario Judicial de la Federación y su Gaceta, Novena Época, Tomo XII, agosto de 2000, página 38, de rubro: </w:t>
      </w:r>
      <w:r w:rsidR="00273398" w:rsidRPr="000262D5">
        <w:rPr>
          <w:rFonts w:ascii="Arial" w:hAnsi="Arial" w:cs="Arial"/>
          <w:b/>
          <w:i/>
          <w:color w:val="000000"/>
          <w:u w:val="single"/>
        </w:rPr>
        <w:t>“CONCEPTOS DE VIOLACIÓN. PARA QUE SE ESTUDIEN, BASTA CON EXPRESAR CLARAMENTE EN LA DEMANDA DE GARANTÍAS LA CAUSA DE PEDIR.”</w:t>
      </w:r>
      <w:r w:rsidRPr="000262D5">
        <w:rPr>
          <w:rFonts w:ascii="Arial" w:hAnsi="Arial" w:cs="Arial"/>
          <w:i/>
          <w:color w:val="000000"/>
        </w:rPr>
        <w:t xml:space="preserve"> señaló, por un lado, que los </w:t>
      </w:r>
      <w:r w:rsidRPr="000262D5">
        <w:rPr>
          <w:rFonts w:ascii="Arial" w:hAnsi="Arial" w:cs="Arial"/>
          <w:i/>
        </w:rPr>
        <w:t>artículos </w:t>
      </w:r>
      <w:hyperlink r:id="rId8" w:history="1">
        <w:r w:rsidRPr="000262D5">
          <w:rPr>
            <w:rStyle w:val="Hipervnculo"/>
            <w:rFonts w:ascii="Arial" w:hAnsi="Arial" w:cs="Arial"/>
            <w:b/>
            <w:bCs/>
            <w:i/>
            <w:color w:val="auto"/>
          </w:rPr>
          <w:t xml:space="preserve">116 y 166 de la Ley de </w:t>
        </w:r>
        <w:r w:rsidRPr="000262D5">
          <w:rPr>
            <w:rStyle w:val="Hipervnculo"/>
            <w:rFonts w:ascii="Arial" w:hAnsi="Arial" w:cs="Arial"/>
            <w:b/>
            <w:bCs/>
            <w:i/>
            <w:color w:val="auto"/>
          </w:rPr>
          <w:lastRenderedPageBreak/>
          <w:t>Amparo</w:t>
        </w:r>
      </w:hyperlink>
      <w:r w:rsidRPr="000262D5">
        <w:rPr>
          <w:rFonts w:ascii="Arial" w:hAnsi="Arial" w:cs="Arial"/>
          <w:i/>
        </w:rPr>
        <w:t xml:space="preserve">, no establecen como requisito esencial e imprescindible que la expresión de los conceptos de violación se haga como un verdadero silogismo, siendo la premisa mayor el precepto constitucional violado, la premisa menor los actos </w:t>
      </w:r>
      <w:r w:rsidRPr="000262D5">
        <w:rPr>
          <w:rFonts w:ascii="Arial" w:hAnsi="Arial" w:cs="Arial"/>
          <w:i/>
          <w:color w:val="000000"/>
        </w:rPr>
        <w:t xml:space="preserve">autoritarios reclamados y la conclusión la contraposición entre aquéllas y, por otro, que la demanda de amparo no debe examinarse por sus partes aisladas, sino considerarse en su conjunto, que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w:t>
      </w:r>
      <w:r w:rsidRPr="000262D5">
        <w:rPr>
          <w:rFonts w:ascii="Arial" w:hAnsi="Arial" w:cs="Arial"/>
          <w:i/>
        </w:rPr>
        <w:t>impugnada y los motivos que originaron ese agravio, para que el Juez de amparo deba examinarlo; en esas condiciones, la obligación que el artículo </w:t>
      </w:r>
      <w:hyperlink r:id="rId9" w:history="1">
        <w:r w:rsidRPr="000262D5">
          <w:rPr>
            <w:rStyle w:val="Hipervnculo"/>
            <w:rFonts w:ascii="Arial" w:hAnsi="Arial" w:cs="Arial"/>
            <w:bCs/>
            <w:i/>
            <w:color w:val="auto"/>
            <w:u w:val="none"/>
          </w:rPr>
          <w:t>80 del Código de Procedimientos Civiles para el Estado de Baja California Sur</w:t>
        </w:r>
      </w:hyperlink>
      <w:r w:rsidRPr="000262D5">
        <w:rPr>
          <w:rFonts w:ascii="Arial" w:hAnsi="Arial" w:cs="Arial"/>
          <w:i/>
        </w:rPr>
        <w:t> vigente, impone a los Magistrados del Tribunal Superior de Justicia de esta entidad federativa, para resolver de forma clara, precisa y congruente las pretensiones deducidas oportunamente, decidiendo todos los puntos litigiosos que hayan sido objeto del debate, a fin de resolver la cuestión efectivamente planteada, presenta situación análoga a la analizada por el Pleno del Máximo Tribunal del país en el criterio jurisprudencial de mérito; de ahí que para que el órgano jurisdiccional en la sentencia dictada en segunda instancia, resuelva la pretensión del recurrente, basta con que en los agravios se exprese con claridad la causa de pedir, máxime que la referida codificación adjetiva, en sus numerales </w:t>
      </w:r>
      <w:hyperlink r:id="rId10" w:history="1">
        <w:r w:rsidRPr="000262D5">
          <w:rPr>
            <w:rStyle w:val="Hipervnculo"/>
            <w:rFonts w:ascii="Arial" w:hAnsi="Arial" w:cs="Arial"/>
            <w:bCs/>
            <w:i/>
            <w:color w:val="auto"/>
            <w:u w:val="none"/>
          </w:rPr>
          <w:t>671 al 697</w:t>
        </w:r>
      </w:hyperlink>
      <w:r w:rsidRPr="000262D5">
        <w:rPr>
          <w:rFonts w:ascii="Arial" w:hAnsi="Arial" w:cs="Arial"/>
          <w:i/>
        </w:rPr>
        <w:t>, que prevén los requisitos para la tramitación del recurso de apelación, no señala exigencia técnica-jurídica alguna en la redacción de los agravios, por parte del inconforme; sin embargo, debe precisarse que la existencia de la causa de pedir no implica que los recurrentes se limiten a realizar meras afirmaciones sin sustento o fundamento, pues es obvio que a ellos corresponde (salvo en los supuestos legales de suplencia de la queja) exponer razonadamente por qué estiman ilegales las determinaciones que reclaman o recurren, supuesto en el que sí se podrán declarar inoperantes los motivos de disenso.”</w:t>
      </w:r>
    </w:p>
    <w:p w14:paraId="536A97DC" w14:textId="3A3F5ABE" w:rsidR="00CE4C91" w:rsidRPr="00A70940" w:rsidRDefault="00357E0B" w:rsidP="00AE1201">
      <w:pPr>
        <w:spacing w:after="120" w:line="360" w:lineRule="auto"/>
        <w:ind w:firstLine="708"/>
        <w:jc w:val="both"/>
        <w:rPr>
          <w:rFonts w:ascii="Arial" w:eastAsia="Calibri" w:hAnsi="Arial" w:cs="Arial"/>
          <w:sz w:val="26"/>
          <w:szCs w:val="26"/>
        </w:rPr>
      </w:pPr>
      <w:r w:rsidRPr="00A70940">
        <w:rPr>
          <w:rFonts w:ascii="Arial" w:eastAsia="Calibri" w:hAnsi="Arial" w:cs="Arial"/>
          <w:sz w:val="26"/>
          <w:szCs w:val="26"/>
        </w:rPr>
        <w:t xml:space="preserve">En ese sentido, </w:t>
      </w:r>
      <w:r w:rsidR="00CE4C91" w:rsidRPr="00A70940">
        <w:rPr>
          <w:rFonts w:ascii="Arial" w:eastAsia="Calibri" w:hAnsi="Arial" w:cs="Arial"/>
          <w:sz w:val="26"/>
          <w:szCs w:val="26"/>
        </w:rPr>
        <w:t xml:space="preserve">se tiene que para la integración de la causa de pedir, debe existir la concurrencia de dos elementos; el primero consistente en el </w:t>
      </w:r>
      <w:r w:rsidR="00CE4C91" w:rsidRPr="00A70940">
        <w:rPr>
          <w:rFonts w:ascii="Arial" w:eastAsia="Calibri" w:hAnsi="Arial" w:cs="Arial"/>
          <w:b/>
          <w:sz w:val="26"/>
          <w:szCs w:val="26"/>
        </w:rPr>
        <w:t xml:space="preserve">agravio o lesión </w:t>
      </w:r>
      <w:r w:rsidR="00CE4C91" w:rsidRPr="00A70940">
        <w:rPr>
          <w:rFonts w:ascii="Arial" w:eastAsia="Calibri" w:hAnsi="Arial" w:cs="Arial"/>
          <w:sz w:val="26"/>
          <w:szCs w:val="26"/>
        </w:rPr>
        <w:t xml:space="preserve">que se reclame del acto que se combate (precisar el agravio o lesión que cause la sentencia recurrida); es decir, el razonamiento u omisión en que incurre la primera instancia, que lesiona un derecho jurídicamente tutelado del recurrente; </w:t>
      </w:r>
      <w:r w:rsidR="00B21717" w:rsidRPr="00A70940">
        <w:rPr>
          <w:rFonts w:ascii="Arial" w:eastAsia="Calibri" w:hAnsi="Arial" w:cs="Arial"/>
          <w:sz w:val="26"/>
          <w:szCs w:val="26"/>
        </w:rPr>
        <w:t xml:space="preserve">y </w:t>
      </w:r>
      <w:r w:rsidR="00CE4C91" w:rsidRPr="00A70940">
        <w:rPr>
          <w:rFonts w:ascii="Arial" w:eastAsia="Calibri" w:hAnsi="Arial" w:cs="Arial"/>
          <w:sz w:val="26"/>
          <w:szCs w:val="26"/>
        </w:rPr>
        <w:t xml:space="preserve">el segundo, </w:t>
      </w:r>
      <w:r w:rsidR="00CE4C91" w:rsidRPr="00A70940">
        <w:rPr>
          <w:rFonts w:ascii="Arial" w:eastAsia="Calibri" w:hAnsi="Arial" w:cs="Arial"/>
          <w:b/>
          <w:sz w:val="26"/>
          <w:szCs w:val="26"/>
        </w:rPr>
        <w:t xml:space="preserve">derivado de los motivos </w:t>
      </w:r>
      <w:r w:rsidR="00CE4C91" w:rsidRPr="00A70940">
        <w:rPr>
          <w:rFonts w:ascii="Arial" w:eastAsia="Calibri" w:hAnsi="Arial" w:cs="Arial"/>
          <w:sz w:val="26"/>
          <w:szCs w:val="26"/>
        </w:rPr>
        <w:t xml:space="preserve">que origine el agravio o agravios (el argumento jurídico que apoya la afirmación de la lesión).- - - - - - - - - - - </w:t>
      </w:r>
    </w:p>
    <w:p w14:paraId="5AC4A97F" w14:textId="466683B6" w:rsidR="002F32E5" w:rsidRPr="00A70940" w:rsidRDefault="002F32E5" w:rsidP="008B3155">
      <w:pPr>
        <w:pStyle w:val="Sinespaciado"/>
        <w:tabs>
          <w:tab w:val="left" w:pos="709"/>
        </w:tabs>
        <w:spacing w:after="120" w:line="360" w:lineRule="auto"/>
        <w:jc w:val="both"/>
        <w:rPr>
          <w:rFonts w:ascii="Arial" w:eastAsia="Calibri" w:hAnsi="Arial" w:cs="Arial"/>
          <w:bCs/>
          <w:color w:val="000000"/>
          <w:sz w:val="26"/>
          <w:szCs w:val="26"/>
          <w:lang w:val="es-MX"/>
        </w:rPr>
      </w:pPr>
      <w:r w:rsidRPr="00A70940">
        <w:rPr>
          <w:rFonts w:ascii="Arial" w:eastAsia="Calibri" w:hAnsi="Arial" w:cs="Arial"/>
          <w:sz w:val="26"/>
          <w:szCs w:val="26"/>
        </w:rPr>
        <w:lastRenderedPageBreak/>
        <w:tab/>
      </w:r>
      <w:r w:rsidR="00B4626A" w:rsidRPr="00A70940">
        <w:rPr>
          <w:rFonts w:ascii="Arial" w:eastAsia="Calibri" w:hAnsi="Arial" w:cs="Arial"/>
          <w:sz w:val="26"/>
          <w:szCs w:val="26"/>
        </w:rPr>
        <w:t>En atención a las anteriores consideraciones, del estudio de</w:t>
      </w:r>
      <w:r w:rsidR="00D812D3" w:rsidRPr="00A70940">
        <w:rPr>
          <w:rFonts w:ascii="Arial" w:eastAsia="Calibri" w:hAnsi="Arial" w:cs="Arial"/>
          <w:sz w:val="26"/>
          <w:szCs w:val="26"/>
        </w:rPr>
        <w:t xml:space="preserve"> la sentencia recurrida, misma que en términos del artículo </w:t>
      </w:r>
      <w:r w:rsidR="00D812D3" w:rsidRPr="00A70940">
        <w:rPr>
          <w:rFonts w:ascii="Arial" w:hAnsi="Arial" w:cs="Arial"/>
          <w:bCs/>
          <w:sz w:val="26"/>
          <w:szCs w:val="26"/>
        </w:rPr>
        <w:t xml:space="preserve">203 fracción I de la Ley de Procedimiento y Justicia Administrativa </w:t>
      </w:r>
      <w:r w:rsidR="00D812D3" w:rsidRPr="00A70940">
        <w:rPr>
          <w:rFonts w:ascii="Arial" w:hAnsi="Arial" w:cs="Arial"/>
          <w:bCs/>
          <w:color w:val="000000"/>
          <w:sz w:val="26"/>
          <w:szCs w:val="26"/>
        </w:rPr>
        <w:t xml:space="preserve">para el Estado de Oaxaca, </w:t>
      </w:r>
      <w:r w:rsidR="00B4626A" w:rsidRPr="00A70940">
        <w:rPr>
          <w:rFonts w:ascii="Arial" w:hAnsi="Arial" w:cs="Arial"/>
          <w:bCs/>
          <w:color w:val="000000"/>
          <w:sz w:val="26"/>
          <w:szCs w:val="26"/>
        </w:rPr>
        <w:t>tiene</w:t>
      </w:r>
      <w:r w:rsidR="00A37DA2" w:rsidRPr="00A70940">
        <w:rPr>
          <w:rFonts w:ascii="Arial" w:hAnsi="Arial" w:cs="Arial"/>
          <w:bCs/>
          <w:sz w:val="26"/>
          <w:szCs w:val="26"/>
        </w:rPr>
        <w:t xml:space="preserve"> valor probatorio</w:t>
      </w:r>
      <w:r w:rsidR="00B4626A" w:rsidRPr="00A70940">
        <w:rPr>
          <w:rFonts w:ascii="Arial" w:hAnsi="Arial" w:cs="Arial"/>
          <w:bCs/>
          <w:sz w:val="26"/>
          <w:szCs w:val="26"/>
        </w:rPr>
        <w:t xml:space="preserve"> pleno</w:t>
      </w:r>
      <w:r w:rsidR="00A37DA2" w:rsidRPr="00A70940">
        <w:rPr>
          <w:rFonts w:ascii="Arial" w:hAnsi="Arial" w:cs="Arial"/>
          <w:bCs/>
          <w:color w:val="000000"/>
          <w:sz w:val="26"/>
          <w:szCs w:val="26"/>
        </w:rPr>
        <w:t xml:space="preserve">, </w:t>
      </w:r>
      <w:r w:rsidR="00B4626A" w:rsidRPr="00A70940">
        <w:rPr>
          <w:rFonts w:ascii="Arial" w:hAnsi="Arial" w:cs="Arial"/>
          <w:bCs/>
          <w:color w:val="000000"/>
          <w:sz w:val="26"/>
          <w:szCs w:val="26"/>
        </w:rPr>
        <w:t>se advierte que la Magistrada de</w:t>
      </w:r>
      <w:r w:rsidRPr="00A70940">
        <w:rPr>
          <w:rFonts w:ascii="Arial" w:hAnsi="Arial" w:cs="Arial"/>
          <w:bCs/>
          <w:color w:val="000000"/>
          <w:sz w:val="26"/>
          <w:szCs w:val="26"/>
        </w:rPr>
        <w:t xml:space="preserve"> </w:t>
      </w:r>
      <w:r w:rsidR="00B4626A" w:rsidRPr="00A70940">
        <w:rPr>
          <w:rFonts w:ascii="Arial" w:hAnsi="Arial" w:cs="Arial"/>
          <w:bCs/>
          <w:color w:val="000000"/>
          <w:sz w:val="26"/>
          <w:szCs w:val="26"/>
        </w:rPr>
        <w:t xml:space="preserve">la entonces Séptima Sala Unitaria de Primera Instancia, </w:t>
      </w:r>
      <w:r w:rsidRPr="00A70940">
        <w:rPr>
          <w:rFonts w:ascii="Arial" w:eastAsia="Calibri" w:hAnsi="Arial" w:cs="Arial"/>
          <w:bCs/>
          <w:color w:val="000000"/>
          <w:sz w:val="26"/>
          <w:szCs w:val="26"/>
          <w:lang w:val="es-MX"/>
        </w:rPr>
        <w:t xml:space="preserve">declaró la nulidad de la resolución contenida en el oficio </w:t>
      </w:r>
      <w:r w:rsidR="000424AC" w:rsidRPr="00F05F47">
        <w:rPr>
          <w:rFonts w:ascii="Arial" w:eastAsia="Calibri" w:hAnsi="Arial" w:cs="Arial"/>
          <w:b/>
          <w:sz w:val="26"/>
          <w:szCs w:val="26"/>
        </w:rPr>
        <w:t>***********</w:t>
      </w:r>
      <w:r w:rsidR="000424AC">
        <w:rPr>
          <w:rFonts w:ascii="Arial" w:eastAsia="Calibri" w:hAnsi="Arial" w:cs="Arial"/>
          <w:sz w:val="26"/>
          <w:szCs w:val="26"/>
        </w:rPr>
        <w:t xml:space="preserve"> </w:t>
      </w:r>
      <w:r w:rsidRPr="00A70940">
        <w:rPr>
          <w:rFonts w:ascii="Arial" w:eastAsia="Calibri" w:hAnsi="Arial" w:cs="Arial"/>
          <w:bCs/>
          <w:color w:val="000000"/>
          <w:sz w:val="26"/>
          <w:szCs w:val="26"/>
          <w:lang w:val="es-MX"/>
        </w:rPr>
        <w:t xml:space="preserve">de fecha ocho de agosto de dos mil diecinueve, emitida por el Director General de la Oficina de Pensiones del Gobierno del Estado de Oaxaca, así como del acuerdo de revisión de pensión emitido el día nueve de julio del mismo año, </w:t>
      </w:r>
      <w:r w:rsidRPr="00A70940">
        <w:rPr>
          <w:rFonts w:ascii="Arial" w:eastAsia="Calibri" w:hAnsi="Arial" w:cs="Arial"/>
          <w:color w:val="000000"/>
          <w:sz w:val="26"/>
          <w:szCs w:val="26"/>
          <w:lang w:val="es-MX"/>
        </w:rPr>
        <w:t>para el efecto</w:t>
      </w:r>
      <w:r w:rsidRPr="00A70940">
        <w:rPr>
          <w:rFonts w:ascii="Arial" w:eastAsia="Calibri" w:hAnsi="Arial" w:cs="Arial"/>
          <w:b/>
          <w:color w:val="000000"/>
          <w:sz w:val="26"/>
          <w:szCs w:val="26"/>
          <w:lang w:val="es-MX"/>
        </w:rPr>
        <w:t xml:space="preserve"> </w:t>
      </w:r>
      <w:r w:rsidRPr="00A70940">
        <w:rPr>
          <w:rFonts w:ascii="Arial" w:eastAsia="Calibri" w:hAnsi="Arial" w:cs="Arial"/>
          <w:bCs/>
          <w:color w:val="000000"/>
          <w:sz w:val="26"/>
          <w:szCs w:val="26"/>
          <w:lang w:val="es-MX"/>
        </w:rPr>
        <w:t xml:space="preserve"> de que la autoridad demandada Consejo Directivo de la Oficina de Pensiones del Gobierno del Estado de Oaxaca, dicte otro en el que además de la p</w:t>
      </w:r>
      <w:r w:rsidR="00CD460E" w:rsidRPr="00A70940">
        <w:rPr>
          <w:rFonts w:ascii="Arial" w:eastAsia="Calibri" w:hAnsi="Arial" w:cs="Arial"/>
          <w:bCs/>
          <w:color w:val="000000"/>
          <w:sz w:val="26"/>
          <w:szCs w:val="26"/>
          <w:lang w:val="es-MX"/>
        </w:rPr>
        <w:t>ens</w:t>
      </w:r>
      <w:r w:rsidRPr="00A70940">
        <w:rPr>
          <w:rFonts w:ascii="Arial" w:eastAsia="Calibri" w:hAnsi="Arial" w:cs="Arial"/>
          <w:bCs/>
          <w:color w:val="000000"/>
          <w:sz w:val="26"/>
          <w:szCs w:val="26"/>
          <w:lang w:val="es-MX"/>
        </w:rPr>
        <w:t xml:space="preserve">ión otorgada a favor de </w:t>
      </w:r>
      <w:r w:rsidR="00882DD7">
        <w:rPr>
          <w:rFonts w:ascii="Arial" w:eastAsia="Calibri" w:hAnsi="Arial" w:cs="Arial"/>
          <w:bCs/>
          <w:color w:val="000000"/>
          <w:sz w:val="26"/>
          <w:szCs w:val="26"/>
          <w:lang w:val="es-MX"/>
        </w:rPr>
        <w:t xml:space="preserve"> </w:t>
      </w:r>
      <w:r w:rsidR="00882DD7" w:rsidRPr="00F05F47">
        <w:rPr>
          <w:rFonts w:ascii="Arial" w:eastAsia="Calibri" w:hAnsi="Arial" w:cs="Arial"/>
          <w:b/>
          <w:sz w:val="26"/>
          <w:szCs w:val="26"/>
        </w:rPr>
        <w:t>***********</w:t>
      </w:r>
      <w:r w:rsidRPr="00F05F47">
        <w:rPr>
          <w:rFonts w:ascii="Arial" w:eastAsia="Calibri" w:hAnsi="Arial" w:cs="Arial"/>
          <w:b/>
          <w:bCs/>
          <w:color w:val="000000"/>
          <w:sz w:val="26"/>
          <w:szCs w:val="26"/>
          <w:lang w:val="es-MX"/>
        </w:rPr>
        <w:t>,</w:t>
      </w:r>
      <w:r w:rsidRPr="00A70940">
        <w:rPr>
          <w:rFonts w:ascii="Arial" w:eastAsia="Calibri" w:hAnsi="Arial" w:cs="Arial"/>
          <w:bCs/>
          <w:color w:val="000000"/>
          <w:sz w:val="26"/>
          <w:szCs w:val="26"/>
          <w:lang w:val="es-MX"/>
        </w:rPr>
        <w:t xml:space="preserve"> conceda las prestaciones que percibe un trabajador de base, como son previsión social múltiple, despensa, vida cara, quinquenios, aguinaldo, </w:t>
      </w:r>
      <w:r w:rsidRPr="00A70940">
        <w:rPr>
          <w:rFonts w:ascii="Arial" w:eastAsia="Calibri" w:hAnsi="Arial" w:cs="Arial"/>
          <w:bCs/>
          <w:color w:val="000000"/>
          <w:sz w:val="26"/>
          <w:szCs w:val="26"/>
          <w:shd w:val="clear" w:color="auto" w:fill="FFFFFF" w:themeFill="background1"/>
          <w:lang w:val="es-MX"/>
        </w:rPr>
        <w:t xml:space="preserve">estímulo </w:t>
      </w:r>
      <w:r w:rsidRPr="00A70940">
        <w:rPr>
          <w:rFonts w:ascii="Arial" w:eastAsia="Calibri" w:hAnsi="Arial" w:cs="Arial"/>
          <w:bCs/>
          <w:color w:val="000000"/>
          <w:sz w:val="26"/>
          <w:szCs w:val="26"/>
          <w:lang w:val="es-MX"/>
        </w:rPr>
        <w:t>del día del jubilado, día</w:t>
      </w:r>
      <w:r w:rsidR="00AE3B8E" w:rsidRPr="00A70940">
        <w:rPr>
          <w:rFonts w:ascii="Arial" w:eastAsia="Calibri" w:hAnsi="Arial" w:cs="Arial"/>
          <w:bCs/>
          <w:color w:val="000000"/>
          <w:sz w:val="26"/>
          <w:szCs w:val="26"/>
          <w:lang w:val="es-MX"/>
        </w:rPr>
        <w:t xml:space="preserve"> de la madre y canasta navideña;</w:t>
      </w:r>
      <w:r w:rsidRPr="00A70940">
        <w:rPr>
          <w:rFonts w:ascii="Arial" w:eastAsia="Calibri" w:hAnsi="Arial" w:cs="Arial"/>
          <w:bCs/>
          <w:color w:val="000000"/>
          <w:sz w:val="26"/>
          <w:szCs w:val="26"/>
          <w:lang w:val="es-MX"/>
        </w:rPr>
        <w:t xml:space="preserve"> asimismo, elimine el descuento del 9% sobre el monto de su pensión; </w:t>
      </w:r>
      <w:r w:rsidRPr="00A70940">
        <w:rPr>
          <w:rFonts w:ascii="Arial" w:eastAsia="Calibri" w:hAnsi="Arial" w:cs="Arial"/>
          <w:bCs/>
          <w:color w:val="000000"/>
          <w:sz w:val="26"/>
          <w:szCs w:val="26"/>
          <w:u w:val="single"/>
          <w:lang w:val="es-MX"/>
        </w:rPr>
        <w:t>sin embargo, omitió</w:t>
      </w:r>
      <w:r w:rsidRPr="00A70940">
        <w:rPr>
          <w:rFonts w:ascii="Arial" w:eastAsia="Calibri" w:hAnsi="Arial" w:cs="Arial"/>
          <w:b/>
          <w:bCs/>
          <w:i/>
          <w:color w:val="000000"/>
          <w:sz w:val="26"/>
          <w:szCs w:val="26"/>
          <w:u w:val="single"/>
          <w:lang w:val="es-MX"/>
        </w:rPr>
        <w:t xml:space="preserve"> </w:t>
      </w:r>
      <w:r w:rsidRPr="00A70940">
        <w:rPr>
          <w:rFonts w:ascii="Arial" w:eastAsia="Calibri" w:hAnsi="Arial" w:cs="Arial"/>
          <w:bCs/>
          <w:color w:val="000000"/>
          <w:sz w:val="26"/>
          <w:szCs w:val="26"/>
          <w:u w:val="single"/>
          <w:lang w:val="es-MX"/>
        </w:rPr>
        <w:t>señalar a partir de qué fecha se efectuaría dicho pago, pues únicamente indicó que para tener por cumplida en su totalidad la sentencia, se debe reintegrar dichas prestaciones y los descuentos del 9% realizados a la fecha del cumplimiento.</w:t>
      </w:r>
      <w:r w:rsidRPr="00A70940">
        <w:rPr>
          <w:rFonts w:ascii="Arial" w:eastAsia="Calibri" w:hAnsi="Arial" w:cs="Arial"/>
          <w:bCs/>
          <w:color w:val="000000"/>
          <w:sz w:val="26"/>
          <w:szCs w:val="26"/>
          <w:lang w:val="es-MX"/>
        </w:rPr>
        <w:t xml:space="preserve">- - - - - - - - - - </w:t>
      </w:r>
    </w:p>
    <w:p w14:paraId="56507D22" w14:textId="7EC634B9" w:rsidR="00CD460E" w:rsidRPr="00A70940" w:rsidRDefault="00CD460E" w:rsidP="008B3155">
      <w:pPr>
        <w:pStyle w:val="Sinespaciado"/>
        <w:tabs>
          <w:tab w:val="left" w:pos="709"/>
        </w:tabs>
        <w:spacing w:after="120" w:line="360" w:lineRule="auto"/>
        <w:jc w:val="both"/>
        <w:rPr>
          <w:rFonts w:ascii="Arial" w:eastAsia="Calibri" w:hAnsi="Arial" w:cs="Arial"/>
          <w:bCs/>
          <w:color w:val="000000"/>
          <w:sz w:val="26"/>
          <w:szCs w:val="26"/>
          <w:lang w:val="es-MX"/>
        </w:rPr>
      </w:pPr>
      <w:r w:rsidRPr="00A70940">
        <w:rPr>
          <w:rFonts w:ascii="Arial" w:eastAsia="Calibri" w:hAnsi="Arial" w:cs="Arial"/>
          <w:bCs/>
          <w:color w:val="000000"/>
          <w:sz w:val="26"/>
          <w:szCs w:val="26"/>
          <w:lang w:val="es-MX"/>
        </w:rPr>
        <w:tab/>
        <w:t xml:space="preserve">Por tanto, </w:t>
      </w:r>
      <w:r w:rsidR="00713653" w:rsidRPr="00A70940">
        <w:rPr>
          <w:rFonts w:ascii="Arial" w:eastAsia="Calibri" w:hAnsi="Arial" w:cs="Arial"/>
          <w:bCs/>
          <w:color w:val="000000"/>
          <w:sz w:val="26"/>
          <w:szCs w:val="26"/>
          <w:lang w:val="es-MX"/>
        </w:rPr>
        <w:t xml:space="preserve">de conformidad con lo dispuesto por el </w:t>
      </w:r>
      <w:r w:rsidRPr="00A70940">
        <w:rPr>
          <w:rFonts w:ascii="Arial" w:eastAsia="Calibri" w:hAnsi="Arial" w:cs="Arial"/>
          <w:bCs/>
          <w:color w:val="000000"/>
          <w:sz w:val="26"/>
          <w:szCs w:val="26"/>
          <w:lang w:val="es-MX"/>
        </w:rPr>
        <w:t>artículo 18, fracción II</w:t>
      </w:r>
      <w:r w:rsidR="00713653" w:rsidRPr="00A70940">
        <w:rPr>
          <w:rStyle w:val="Refdenotaalpie"/>
          <w:rFonts w:ascii="Arial" w:eastAsia="Calibri" w:hAnsi="Arial" w:cs="Arial"/>
          <w:bCs/>
          <w:color w:val="000000"/>
          <w:sz w:val="26"/>
          <w:szCs w:val="26"/>
          <w:lang w:val="es-MX"/>
        </w:rPr>
        <w:footnoteReference w:id="5"/>
      </w:r>
      <w:r w:rsidRPr="00A70940">
        <w:rPr>
          <w:rFonts w:ascii="Arial" w:eastAsia="Calibri" w:hAnsi="Arial" w:cs="Arial"/>
          <w:bCs/>
          <w:color w:val="000000"/>
          <w:sz w:val="26"/>
          <w:szCs w:val="26"/>
          <w:lang w:val="es-MX"/>
        </w:rPr>
        <w:t xml:space="preserve"> de la Ley de Procedimiento y Justicia Administrativa para el Estado de Oaxaca, </w:t>
      </w:r>
      <w:r w:rsidR="00713653" w:rsidRPr="00A70940">
        <w:rPr>
          <w:rFonts w:ascii="Arial" w:eastAsia="Calibri" w:hAnsi="Arial" w:cs="Arial"/>
          <w:bCs/>
          <w:color w:val="000000"/>
          <w:sz w:val="26"/>
          <w:szCs w:val="26"/>
          <w:lang w:val="es-MX"/>
        </w:rPr>
        <w:t xml:space="preserve">que establece </w:t>
      </w:r>
      <w:r w:rsidRPr="00A70940">
        <w:rPr>
          <w:rFonts w:ascii="Arial" w:eastAsia="Calibri" w:hAnsi="Arial" w:cs="Arial"/>
          <w:bCs/>
          <w:color w:val="000000"/>
          <w:sz w:val="26"/>
          <w:szCs w:val="26"/>
          <w:lang w:val="es-MX"/>
        </w:rPr>
        <w:t>claramente que cuando</w:t>
      </w:r>
      <w:r w:rsidR="00713653" w:rsidRPr="00A70940">
        <w:rPr>
          <w:rFonts w:ascii="Arial" w:eastAsia="Calibri" w:hAnsi="Arial" w:cs="Arial"/>
          <w:bCs/>
          <w:color w:val="000000"/>
          <w:sz w:val="26"/>
          <w:szCs w:val="26"/>
          <w:lang w:val="es-MX"/>
        </w:rPr>
        <w:t xml:space="preserve"> el acto administrativo </w:t>
      </w:r>
      <w:r w:rsidRPr="00A70940">
        <w:rPr>
          <w:rFonts w:ascii="Arial" w:eastAsia="Calibri" w:hAnsi="Arial" w:cs="Arial"/>
          <w:bCs/>
          <w:color w:val="000000"/>
          <w:sz w:val="26"/>
          <w:szCs w:val="26"/>
          <w:lang w:val="es-MX"/>
        </w:rPr>
        <w:t>se declare jurídicamente nulo será inválido</w:t>
      </w:r>
      <w:r w:rsidR="00713653" w:rsidRPr="00A70940">
        <w:rPr>
          <w:rFonts w:ascii="Arial" w:eastAsia="Calibri" w:hAnsi="Arial" w:cs="Arial"/>
          <w:bCs/>
          <w:color w:val="000000"/>
          <w:sz w:val="26"/>
          <w:szCs w:val="26"/>
          <w:lang w:val="es-MX"/>
        </w:rPr>
        <w:t xml:space="preserve">, y que dicha declaración de nulidad producirá efectos retroactivos; es decir, la nulidad se da en el dictado de una sentencia favorable, que resuelve de manera absoluta la pretensión de la parte actora y le otorga el máximo beneficio sin posibilidad de una afectación posterior. Por ello, ante la nulidad del el oficio </w:t>
      </w:r>
      <w:r w:rsidR="000424AC" w:rsidRPr="00F05F47">
        <w:rPr>
          <w:rFonts w:ascii="Arial" w:eastAsia="Calibri" w:hAnsi="Arial" w:cs="Arial"/>
          <w:b/>
          <w:sz w:val="26"/>
          <w:szCs w:val="26"/>
        </w:rPr>
        <w:t>***********</w:t>
      </w:r>
      <w:r w:rsidR="000424AC">
        <w:rPr>
          <w:rFonts w:ascii="Arial" w:eastAsia="Calibri" w:hAnsi="Arial" w:cs="Arial"/>
          <w:sz w:val="26"/>
          <w:szCs w:val="26"/>
        </w:rPr>
        <w:t xml:space="preserve"> </w:t>
      </w:r>
      <w:r w:rsidR="00713653" w:rsidRPr="00A70940">
        <w:rPr>
          <w:rFonts w:ascii="Arial" w:eastAsia="Calibri" w:hAnsi="Arial" w:cs="Arial"/>
          <w:bCs/>
          <w:color w:val="000000"/>
          <w:sz w:val="26"/>
          <w:szCs w:val="26"/>
          <w:lang w:val="es-MX"/>
        </w:rPr>
        <w:t>de fecha ocho de agosto de dos mil diecinueve, emitida por el Director General de la Oficina de Pensiones del Gobierno del Estado de Oaxaca, así como del acuerdo de revisión de pensión emitido el día nueve de julio del mismo año</w:t>
      </w:r>
      <w:r w:rsidR="003129B9" w:rsidRPr="00A70940">
        <w:rPr>
          <w:rFonts w:ascii="Arial" w:eastAsia="Calibri" w:hAnsi="Arial" w:cs="Arial"/>
          <w:bCs/>
          <w:color w:val="000000"/>
          <w:sz w:val="26"/>
          <w:szCs w:val="26"/>
          <w:lang w:val="es-MX"/>
        </w:rPr>
        <w:t>, se debe</w:t>
      </w:r>
      <w:r w:rsidR="0079342A" w:rsidRPr="00A70940">
        <w:rPr>
          <w:rFonts w:ascii="Arial" w:eastAsia="Calibri" w:hAnsi="Arial" w:cs="Arial"/>
          <w:bCs/>
          <w:color w:val="000000"/>
          <w:sz w:val="26"/>
          <w:szCs w:val="26"/>
          <w:lang w:val="es-MX"/>
        </w:rPr>
        <w:t>n</w:t>
      </w:r>
      <w:r w:rsidR="003129B9" w:rsidRPr="00A70940">
        <w:rPr>
          <w:rFonts w:ascii="Arial" w:eastAsia="Calibri" w:hAnsi="Arial" w:cs="Arial"/>
          <w:bCs/>
          <w:color w:val="000000"/>
          <w:sz w:val="26"/>
          <w:szCs w:val="26"/>
          <w:lang w:val="es-MX"/>
        </w:rPr>
        <w:t xml:space="preserve"> conceder las </w:t>
      </w:r>
      <w:r w:rsidR="003129B9" w:rsidRPr="00A70940">
        <w:rPr>
          <w:rFonts w:ascii="Arial" w:eastAsia="Calibri" w:hAnsi="Arial" w:cs="Arial"/>
          <w:bCs/>
          <w:color w:val="000000"/>
          <w:sz w:val="26"/>
          <w:szCs w:val="26"/>
          <w:lang w:val="es-MX"/>
        </w:rPr>
        <w:lastRenderedPageBreak/>
        <w:t xml:space="preserve">prestaciones comprendidas en el artículo 54, fracción I de la Ley de Pensiones para los Trabajadores del Estado de Oaxaca, </w:t>
      </w:r>
      <w:r w:rsidR="00B55D40" w:rsidRPr="00A70940">
        <w:rPr>
          <w:rFonts w:ascii="Arial" w:eastAsia="Calibri" w:hAnsi="Arial" w:cs="Arial"/>
          <w:bCs/>
          <w:color w:val="000000"/>
          <w:sz w:val="26"/>
          <w:szCs w:val="26"/>
          <w:lang w:val="es-MX"/>
        </w:rPr>
        <w:t xml:space="preserve">consistentes en: previsión social múltiple, despensa, vida cara, quinquenios, aguinaldo, </w:t>
      </w:r>
      <w:r w:rsidR="00B55D40" w:rsidRPr="00A70940">
        <w:rPr>
          <w:rFonts w:ascii="Arial" w:eastAsia="Calibri" w:hAnsi="Arial" w:cs="Arial"/>
          <w:bCs/>
          <w:color w:val="000000"/>
          <w:sz w:val="26"/>
          <w:szCs w:val="26"/>
          <w:shd w:val="clear" w:color="auto" w:fill="FFFFFF" w:themeFill="background1"/>
          <w:lang w:val="es-MX"/>
        </w:rPr>
        <w:t xml:space="preserve">estímulo </w:t>
      </w:r>
      <w:r w:rsidR="00B55D40" w:rsidRPr="00A70940">
        <w:rPr>
          <w:rFonts w:ascii="Arial" w:eastAsia="Calibri" w:hAnsi="Arial" w:cs="Arial"/>
          <w:bCs/>
          <w:color w:val="000000"/>
          <w:sz w:val="26"/>
          <w:szCs w:val="26"/>
          <w:lang w:val="es-MX"/>
        </w:rPr>
        <w:t xml:space="preserve">del día del jubilado, día de la madre y canasta navideña, </w:t>
      </w:r>
      <w:r w:rsidR="003129B9" w:rsidRPr="00A70940">
        <w:rPr>
          <w:rFonts w:ascii="Arial" w:eastAsia="Calibri" w:hAnsi="Arial" w:cs="Arial"/>
          <w:bCs/>
          <w:color w:val="000000"/>
          <w:sz w:val="26"/>
          <w:szCs w:val="26"/>
          <w:lang w:val="es-MX"/>
        </w:rPr>
        <w:t xml:space="preserve">a partir de la fecha en que la parte actora </w:t>
      </w:r>
      <w:r w:rsidR="009A57DB" w:rsidRPr="00A70940">
        <w:rPr>
          <w:rFonts w:ascii="Arial" w:eastAsia="Calibri" w:hAnsi="Arial" w:cs="Arial"/>
          <w:bCs/>
          <w:color w:val="000000"/>
          <w:sz w:val="26"/>
          <w:szCs w:val="26"/>
          <w:lang w:val="es-MX"/>
        </w:rPr>
        <w:t>recibió su primer pago como jubilada.- - - - - - - - - - - - - - -</w:t>
      </w:r>
      <w:r w:rsidR="00B55D40" w:rsidRPr="00A70940">
        <w:rPr>
          <w:rFonts w:ascii="Arial" w:eastAsia="Calibri" w:hAnsi="Arial" w:cs="Arial"/>
          <w:bCs/>
          <w:color w:val="000000"/>
          <w:sz w:val="26"/>
          <w:szCs w:val="26"/>
          <w:lang w:val="es-MX"/>
        </w:rPr>
        <w:t xml:space="preserve"> - - - - - - - - - -</w:t>
      </w:r>
      <w:r w:rsidR="0079342A" w:rsidRPr="00A70940">
        <w:rPr>
          <w:rFonts w:ascii="Arial" w:eastAsia="Calibri" w:hAnsi="Arial" w:cs="Arial"/>
          <w:bCs/>
          <w:color w:val="000000"/>
          <w:sz w:val="26"/>
          <w:szCs w:val="26"/>
          <w:lang w:val="es-MX"/>
        </w:rPr>
        <w:t xml:space="preserve"> - - - - - - - - </w:t>
      </w:r>
      <w:r w:rsidR="000424AC">
        <w:rPr>
          <w:rFonts w:ascii="Arial" w:eastAsia="Calibri" w:hAnsi="Arial" w:cs="Arial"/>
          <w:bCs/>
          <w:color w:val="000000"/>
          <w:sz w:val="26"/>
          <w:szCs w:val="26"/>
          <w:lang w:val="es-MX"/>
        </w:rPr>
        <w:t xml:space="preserve">- - - - - </w:t>
      </w:r>
    </w:p>
    <w:p w14:paraId="12C13E50" w14:textId="43D37C9B" w:rsidR="009A57DB" w:rsidRPr="00A70940" w:rsidRDefault="009A57DB" w:rsidP="008B3155">
      <w:pPr>
        <w:pStyle w:val="Sinespaciado"/>
        <w:tabs>
          <w:tab w:val="left" w:pos="709"/>
        </w:tabs>
        <w:spacing w:after="120" w:line="360" w:lineRule="auto"/>
        <w:jc w:val="both"/>
        <w:rPr>
          <w:rFonts w:ascii="Arial" w:eastAsia="Calibri" w:hAnsi="Arial" w:cs="Arial"/>
          <w:bCs/>
          <w:color w:val="000000"/>
          <w:sz w:val="26"/>
          <w:szCs w:val="26"/>
          <w:lang w:val="es-MX"/>
        </w:rPr>
      </w:pPr>
      <w:r w:rsidRPr="00A70940">
        <w:rPr>
          <w:rFonts w:ascii="Arial" w:eastAsia="Calibri" w:hAnsi="Arial" w:cs="Arial"/>
          <w:bCs/>
          <w:color w:val="000000"/>
          <w:sz w:val="26"/>
          <w:szCs w:val="26"/>
          <w:lang w:val="es-MX"/>
        </w:rPr>
        <w:tab/>
        <w:t xml:space="preserve">Sirve de sustento a la anterior </w:t>
      </w:r>
      <w:r w:rsidR="006A0253" w:rsidRPr="00A70940">
        <w:rPr>
          <w:rFonts w:ascii="Arial" w:eastAsia="Calibri" w:hAnsi="Arial" w:cs="Arial"/>
          <w:bCs/>
          <w:color w:val="000000"/>
          <w:sz w:val="26"/>
          <w:szCs w:val="26"/>
          <w:lang w:val="es-MX"/>
        </w:rPr>
        <w:t xml:space="preserve">la tesis aislada I.4o.A, con registro digital 179740, publicada por los Tribunales Colegiados de Circuito en el Tomo XX, Diciembre de 2004, página 2454 del Semanario Judicial de la Federación y su Gaceta, Novena Época, de rubro y texto siguientes:- - - </w:t>
      </w:r>
    </w:p>
    <w:p w14:paraId="642F3FDC" w14:textId="77777777" w:rsidR="00E736D9" w:rsidRPr="003E1AC3" w:rsidRDefault="004B4B42" w:rsidP="003E1AC3">
      <w:pPr>
        <w:tabs>
          <w:tab w:val="left" w:pos="7371"/>
        </w:tabs>
        <w:spacing w:after="0"/>
        <w:ind w:left="851" w:right="902"/>
        <w:jc w:val="both"/>
        <w:rPr>
          <w:rFonts w:ascii="Arial" w:hAnsi="Arial" w:cs="Arial"/>
          <w:bCs/>
          <w:i/>
          <w:iCs/>
          <w:color w:val="000000"/>
          <w:sz w:val="24"/>
          <w:szCs w:val="24"/>
        </w:rPr>
      </w:pPr>
      <w:r w:rsidRPr="003E1AC3">
        <w:rPr>
          <w:rFonts w:ascii="Arial" w:hAnsi="Arial" w:cs="Arial"/>
          <w:bCs/>
          <w:i/>
          <w:iCs/>
          <w:color w:val="000000"/>
          <w:sz w:val="24"/>
          <w:szCs w:val="24"/>
        </w:rPr>
        <w:t>“</w:t>
      </w:r>
      <w:r w:rsidRPr="003E1AC3">
        <w:rPr>
          <w:rFonts w:ascii="Arial" w:hAnsi="Arial" w:cs="Arial"/>
          <w:b/>
          <w:i/>
          <w:iCs/>
          <w:color w:val="000000"/>
          <w:sz w:val="24"/>
          <w:szCs w:val="24"/>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3E1AC3">
        <w:rPr>
          <w:rFonts w:ascii="Arial" w:hAnsi="Arial" w:cs="Arial"/>
          <w:bCs/>
          <w:i/>
          <w:iCs/>
          <w:color w:val="000000"/>
          <w:sz w:val="24"/>
          <w:szCs w:val="24"/>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w:t>
      </w:r>
      <w:r w:rsidRPr="003E1AC3">
        <w:rPr>
          <w:rFonts w:ascii="Arial" w:hAnsi="Arial" w:cs="Arial"/>
          <w:bCs/>
          <w:i/>
          <w:iCs/>
          <w:color w:val="000000"/>
          <w:sz w:val="24"/>
          <w:szCs w:val="24"/>
          <w:u w:val="single"/>
        </w:rPr>
        <w:t>En efecto, la nulidad de la resolución impugnada que priva al actor de sus derechos de manera ilegal, necesariamente debe tener como efecto su restitución pues, de no ser así, no tendría sentido la declaración de nulidad</w:t>
      </w:r>
      <w:r w:rsidRPr="003E1AC3">
        <w:rPr>
          <w:rFonts w:ascii="Arial" w:hAnsi="Arial" w:cs="Arial"/>
          <w:bCs/>
          <w:i/>
          <w:iCs/>
          <w:color w:val="000000"/>
          <w:sz w:val="24"/>
          <w:szCs w:val="24"/>
        </w:rPr>
        <w:t xml:space="preserve">.”                  </w:t>
      </w:r>
    </w:p>
    <w:p w14:paraId="7C487494" w14:textId="6D7DCB47" w:rsidR="004B4B42" w:rsidRPr="003E1AC3" w:rsidRDefault="004B4B42" w:rsidP="003E1AC3">
      <w:pPr>
        <w:tabs>
          <w:tab w:val="left" w:pos="7371"/>
        </w:tabs>
        <w:spacing w:after="120"/>
        <w:ind w:left="851" w:right="902"/>
        <w:jc w:val="both"/>
        <w:rPr>
          <w:rFonts w:ascii="Arial" w:hAnsi="Arial" w:cs="Arial"/>
          <w:b/>
          <w:i/>
          <w:iCs/>
          <w:color w:val="000000"/>
          <w:sz w:val="24"/>
          <w:szCs w:val="24"/>
        </w:rPr>
      </w:pPr>
      <w:r w:rsidRPr="003E1AC3">
        <w:rPr>
          <w:rFonts w:ascii="Arial" w:hAnsi="Arial" w:cs="Arial"/>
          <w:bCs/>
          <w:i/>
          <w:iCs/>
          <w:color w:val="000000"/>
          <w:sz w:val="24"/>
          <w:szCs w:val="24"/>
        </w:rPr>
        <w:t xml:space="preserve"> -el subrayado es nuestro-</w:t>
      </w:r>
    </w:p>
    <w:p w14:paraId="02AD4336" w14:textId="77777777" w:rsidR="004B4B42" w:rsidRPr="00A70940" w:rsidRDefault="004B4B42" w:rsidP="00E736D9">
      <w:pPr>
        <w:spacing w:after="120" w:line="360" w:lineRule="auto"/>
        <w:ind w:firstLine="705"/>
        <w:jc w:val="both"/>
        <w:rPr>
          <w:rFonts w:ascii="Arial" w:hAnsi="Arial" w:cs="Arial"/>
          <w:bCs/>
          <w:color w:val="000000"/>
          <w:sz w:val="26"/>
          <w:szCs w:val="26"/>
        </w:rPr>
      </w:pPr>
      <w:r w:rsidRPr="00A70940">
        <w:rPr>
          <w:rFonts w:ascii="Arial" w:hAnsi="Arial" w:cs="Arial"/>
          <w:b/>
          <w:color w:val="000000"/>
          <w:sz w:val="26"/>
          <w:szCs w:val="26"/>
        </w:rPr>
        <w:t xml:space="preserve">Aunando </w:t>
      </w:r>
      <w:r w:rsidRPr="00A70940">
        <w:rPr>
          <w:rFonts w:ascii="Arial" w:hAnsi="Arial" w:cs="Arial"/>
          <w:color w:val="000000"/>
          <w:sz w:val="26"/>
          <w:szCs w:val="26"/>
        </w:rPr>
        <w:t>a lo anterior</w:t>
      </w:r>
      <w:r w:rsidRPr="00A70940">
        <w:rPr>
          <w:rFonts w:ascii="Arial" w:hAnsi="Arial" w:cs="Arial"/>
          <w:bCs/>
          <w:color w:val="000000"/>
          <w:sz w:val="26"/>
          <w:szCs w:val="26"/>
        </w:rPr>
        <w:t>, es necesario</w:t>
      </w:r>
      <w:r w:rsidRPr="00A70940">
        <w:rPr>
          <w:rFonts w:ascii="Arial" w:hAnsi="Arial" w:cs="Arial"/>
          <w:sz w:val="26"/>
          <w:szCs w:val="26"/>
        </w:rPr>
        <w:t xml:space="preserve"> observar el artículo 1°, párrafos primero, y segundo, de la Constitución Política de los Estados Unidos Mexicanos, establece:</w:t>
      </w:r>
    </w:p>
    <w:p w14:paraId="274490E7" w14:textId="77777777" w:rsidR="00E736D9" w:rsidRPr="004E0CC5" w:rsidRDefault="004B4B42" w:rsidP="004E0CC5">
      <w:pPr>
        <w:spacing w:after="0"/>
        <w:ind w:left="851" w:right="902"/>
        <w:jc w:val="both"/>
        <w:rPr>
          <w:rFonts w:ascii="Arial" w:hAnsi="Arial" w:cs="Arial"/>
          <w:i/>
          <w:sz w:val="24"/>
          <w:szCs w:val="24"/>
        </w:rPr>
      </w:pPr>
      <w:r w:rsidRPr="004E0CC5">
        <w:rPr>
          <w:rFonts w:ascii="Arial" w:hAnsi="Arial" w:cs="Arial"/>
          <w:i/>
          <w:sz w:val="24"/>
          <w:szCs w:val="24"/>
        </w:rPr>
        <w:t>“En los Estados Unidos Mexicanos todas las personas gozarán de los derechos humanos reconocidos en esta Constitución y en los tratados internacionales de los que el Estado</w:t>
      </w:r>
      <w:r w:rsidR="00E736D9" w:rsidRPr="004E0CC5">
        <w:rPr>
          <w:rFonts w:ascii="Arial" w:hAnsi="Arial" w:cs="Arial"/>
          <w:i/>
          <w:sz w:val="24"/>
          <w:szCs w:val="24"/>
        </w:rPr>
        <w:t xml:space="preserve"> Mexicano sea parte, así como de las garantías para su protección, cuyo ejercicio no podrá restringirse ni suspenderse, salvo en los casos y bajo las condiciones que esta Constitución establece.</w:t>
      </w:r>
    </w:p>
    <w:p w14:paraId="0C77AA77" w14:textId="77777777" w:rsidR="00E736D9" w:rsidRPr="004E0CC5" w:rsidRDefault="00E736D9" w:rsidP="004E0CC5">
      <w:pPr>
        <w:spacing w:after="0"/>
        <w:ind w:left="567" w:right="616" w:firstLine="567"/>
        <w:jc w:val="both"/>
        <w:rPr>
          <w:rFonts w:ascii="Arial" w:hAnsi="Arial" w:cs="Arial"/>
          <w:i/>
          <w:sz w:val="24"/>
          <w:szCs w:val="24"/>
        </w:rPr>
      </w:pPr>
    </w:p>
    <w:p w14:paraId="65D341B6" w14:textId="77777777" w:rsidR="00E736D9" w:rsidRPr="004E0CC5" w:rsidRDefault="00E736D9" w:rsidP="004E0CC5">
      <w:pPr>
        <w:spacing w:after="0"/>
        <w:ind w:left="851" w:right="902"/>
        <w:jc w:val="both"/>
        <w:rPr>
          <w:rFonts w:ascii="Arial" w:hAnsi="Arial" w:cs="Arial"/>
          <w:i/>
          <w:sz w:val="24"/>
          <w:szCs w:val="24"/>
        </w:rPr>
      </w:pPr>
      <w:r w:rsidRPr="004E0CC5">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748CE2F1" w14:textId="77777777" w:rsidR="00E736D9" w:rsidRPr="00A70940" w:rsidRDefault="00E736D9" w:rsidP="00BE2662">
      <w:pPr>
        <w:spacing w:after="0" w:line="360" w:lineRule="auto"/>
        <w:ind w:left="851" w:right="902"/>
        <w:jc w:val="both"/>
        <w:rPr>
          <w:rFonts w:ascii="Arial" w:hAnsi="Arial" w:cs="Arial"/>
        </w:rPr>
      </w:pPr>
    </w:p>
    <w:p w14:paraId="5BEB331B" w14:textId="31E9B6CE" w:rsidR="00E736D9" w:rsidRPr="00A70940" w:rsidRDefault="00E736D9" w:rsidP="00D02187">
      <w:pPr>
        <w:spacing w:after="120" w:line="360" w:lineRule="auto"/>
        <w:ind w:firstLine="567"/>
        <w:jc w:val="both"/>
        <w:rPr>
          <w:rFonts w:ascii="Arial" w:hAnsi="Arial" w:cs="Arial"/>
          <w:b/>
          <w:color w:val="FF0000"/>
          <w:sz w:val="26"/>
          <w:szCs w:val="26"/>
        </w:rPr>
      </w:pPr>
      <w:r w:rsidRPr="00A70940">
        <w:rPr>
          <w:rFonts w:ascii="Arial" w:hAnsi="Arial" w:cs="Arial"/>
          <w:sz w:val="26"/>
          <w:szCs w:val="26"/>
        </w:rPr>
        <w:lastRenderedPageBreak/>
        <w:t xml:space="preserve"> Por lo que, </w:t>
      </w:r>
      <w:r w:rsidR="0079342A" w:rsidRPr="00A70940">
        <w:rPr>
          <w:rFonts w:ascii="Arial" w:hAnsi="Arial" w:cs="Arial"/>
          <w:sz w:val="26"/>
          <w:szCs w:val="26"/>
        </w:rPr>
        <w:t xml:space="preserve">es obligación en el ámbito de la competencia de esta autoridad, promover, respetar, proteger y garantizar </w:t>
      </w:r>
      <w:r w:rsidRPr="00A70940">
        <w:rPr>
          <w:rFonts w:ascii="Arial" w:hAnsi="Arial" w:cs="Arial"/>
          <w:sz w:val="26"/>
          <w:szCs w:val="26"/>
        </w:rPr>
        <w:t>las normas relativas a los derechos humanos de conformidad con los principios de universalidad, interdependencia, indivisibilidad y progresividad</w:t>
      </w:r>
      <w:r w:rsidR="0079342A" w:rsidRPr="00A70940">
        <w:rPr>
          <w:rFonts w:ascii="Arial" w:hAnsi="Arial" w:cs="Arial"/>
          <w:sz w:val="26"/>
          <w:szCs w:val="26"/>
        </w:rPr>
        <w:t>,</w:t>
      </w:r>
      <w:r w:rsidRPr="00A70940">
        <w:rPr>
          <w:rFonts w:ascii="Arial" w:hAnsi="Arial" w:cs="Arial"/>
          <w:sz w:val="26"/>
          <w:szCs w:val="26"/>
        </w:rPr>
        <w:t xml:space="preserve"> e interpretarlos de conformidad con la Constitución Federal y con los Tratados Internacionales de la Materia, favoreciendo en todo tiempo a las personas la protección más amplia, en atención al </w:t>
      </w:r>
      <w:r w:rsidRPr="00A70940">
        <w:rPr>
          <w:rFonts w:ascii="Arial" w:hAnsi="Arial" w:cs="Arial"/>
          <w:bCs/>
          <w:sz w:val="26"/>
          <w:szCs w:val="26"/>
        </w:rPr>
        <w:t>principio Pro-Persona.</w:t>
      </w:r>
      <w:r w:rsidRPr="00A70940">
        <w:rPr>
          <w:rFonts w:ascii="Arial" w:hAnsi="Arial" w:cs="Arial"/>
          <w:b/>
          <w:sz w:val="26"/>
          <w:szCs w:val="26"/>
        </w:rPr>
        <w:t xml:space="preserve"> </w:t>
      </w:r>
      <w:r w:rsidRPr="00A70940">
        <w:rPr>
          <w:rFonts w:ascii="Arial" w:hAnsi="Arial" w:cs="Arial"/>
          <w:sz w:val="26"/>
          <w:szCs w:val="26"/>
        </w:rPr>
        <w:t xml:space="preserve">- - - - - - - - - - - - - - - - - - - - - - - - - - - - - - - - - - - - </w:t>
      </w:r>
      <w:r w:rsidR="0079342A" w:rsidRPr="00A70940">
        <w:rPr>
          <w:rFonts w:ascii="Arial" w:hAnsi="Arial" w:cs="Arial"/>
          <w:sz w:val="26"/>
          <w:szCs w:val="26"/>
        </w:rPr>
        <w:t xml:space="preserve">- - - - - - - - - </w:t>
      </w:r>
    </w:p>
    <w:p w14:paraId="52A10B0F" w14:textId="4A923502" w:rsidR="00E736D9" w:rsidRPr="00A70940" w:rsidRDefault="00E736D9" w:rsidP="00D02187">
      <w:pPr>
        <w:spacing w:after="120" w:line="360" w:lineRule="auto"/>
        <w:ind w:firstLine="567"/>
        <w:jc w:val="both"/>
        <w:rPr>
          <w:rFonts w:ascii="Arial" w:hAnsi="Arial" w:cs="Arial"/>
          <w:sz w:val="26"/>
          <w:szCs w:val="26"/>
        </w:rPr>
      </w:pPr>
      <w:r w:rsidRPr="00A70940">
        <w:rPr>
          <w:rFonts w:ascii="Arial" w:hAnsi="Arial" w:cs="Arial"/>
          <w:sz w:val="26"/>
          <w:szCs w:val="26"/>
        </w:rPr>
        <w:t xml:space="preserve">Es aplicable al caso la jurisprudencia de la Suprema Corte de Justicia, con número de registro 2002000, de la Décima Época, Instancia: Primera Sala, Fuente: Semanario Judicial de la Federación y su Gaceta Libro XIII, Octubre de 2012, Tomo 2, Materia (s): Constitucional, Tesis: 1 a./J. 107/2012 (10 a.), pagina 799, con el rubro y texto siguiente: </w:t>
      </w:r>
      <w:r w:rsidR="00D02187" w:rsidRPr="00A70940">
        <w:rPr>
          <w:rFonts w:ascii="Arial" w:hAnsi="Arial" w:cs="Arial"/>
          <w:sz w:val="26"/>
          <w:szCs w:val="26"/>
        </w:rPr>
        <w:t xml:space="preserve">- - -  - - - - - - - - - - - - - - - - - - - - - - - - - - - - - - - - - - - - </w:t>
      </w:r>
    </w:p>
    <w:p w14:paraId="27C3A197" w14:textId="77777777" w:rsidR="00E736D9" w:rsidRPr="00D80E5C" w:rsidRDefault="00E736D9" w:rsidP="00D80E5C">
      <w:pPr>
        <w:spacing w:after="120"/>
        <w:ind w:left="851" w:right="902"/>
        <w:jc w:val="both"/>
        <w:rPr>
          <w:rFonts w:ascii="Arial" w:hAnsi="Arial" w:cs="Arial"/>
          <w:i/>
          <w:sz w:val="24"/>
          <w:szCs w:val="24"/>
        </w:rPr>
      </w:pPr>
      <w:r w:rsidRPr="00D80E5C">
        <w:rPr>
          <w:rFonts w:ascii="Arial" w:hAnsi="Arial" w:cs="Arial"/>
          <w:i/>
          <w:sz w:val="24"/>
          <w:szCs w:val="24"/>
        </w:rPr>
        <w:t>“</w:t>
      </w:r>
      <w:r w:rsidRPr="00D80E5C">
        <w:rPr>
          <w:rFonts w:ascii="Arial" w:hAnsi="Arial" w:cs="Arial"/>
          <w:b/>
          <w:i/>
          <w:sz w:val="24"/>
          <w:szCs w:val="24"/>
        </w:rPr>
        <w:t>PRINCIPIO PRO PERSONA. CRITERIO DE SELECCIÓN DE LA NORMA DE DERECHO FUNDAMENTAL APLICABLE.</w:t>
      </w:r>
      <w:r w:rsidRPr="00D80E5C">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w:t>
      </w:r>
      <w:r w:rsidRPr="00D80E5C">
        <w:rPr>
          <w:rFonts w:ascii="Arial" w:hAnsi="Arial" w:cs="Arial"/>
          <w:i/>
          <w:sz w:val="24"/>
          <w:szCs w:val="24"/>
        </w:rPr>
        <w:lastRenderedPageBreak/>
        <w:t xml:space="preserve">sino que también incluye a todos aquellos derechos que figuran en los tratados internacionales ratificados por el Estado mexicano”. </w:t>
      </w:r>
    </w:p>
    <w:p w14:paraId="171AF1DA" w14:textId="77777777" w:rsidR="00E736D9" w:rsidRPr="00A70940" w:rsidRDefault="00E736D9" w:rsidP="00E736D9">
      <w:pPr>
        <w:spacing w:after="0"/>
        <w:jc w:val="both"/>
        <w:rPr>
          <w:rFonts w:ascii="Arial" w:hAnsi="Arial" w:cs="Arial"/>
        </w:rPr>
      </w:pPr>
    </w:p>
    <w:p w14:paraId="7FBD036B" w14:textId="5C623C67" w:rsidR="00E736D9" w:rsidRPr="00A70940" w:rsidRDefault="00E736D9" w:rsidP="00E736D9">
      <w:pPr>
        <w:spacing w:after="0" w:line="360" w:lineRule="auto"/>
        <w:ind w:firstLine="567"/>
        <w:jc w:val="both"/>
        <w:rPr>
          <w:rFonts w:ascii="Arial" w:hAnsi="Arial" w:cs="Arial"/>
          <w:sz w:val="26"/>
          <w:szCs w:val="26"/>
        </w:rPr>
      </w:pPr>
      <w:r w:rsidRPr="00A70940">
        <w:rPr>
          <w:rFonts w:ascii="Arial" w:hAnsi="Arial" w:cs="Arial"/>
          <w:sz w:val="26"/>
          <w:szCs w:val="26"/>
        </w:rPr>
        <w:t xml:space="preserve">En tal virtud, conforme en el artículo 1° Constitucional, y en cumplimiento al principio </w:t>
      </w:r>
      <w:r w:rsidRPr="00A70940">
        <w:rPr>
          <w:rFonts w:ascii="Arial" w:hAnsi="Arial" w:cs="Arial"/>
          <w:b/>
          <w:i/>
          <w:sz w:val="26"/>
          <w:szCs w:val="26"/>
        </w:rPr>
        <w:t>pro persona</w:t>
      </w:r>
      <w:r w:rsidRPr="00A70940">
        <w:rPr>
          <w:rFonts w:ascii="Arial" w:hAnsi="Arial" w:cs="Arial"/>
          <w:sz w:val="26"/>
          <w:szCs w:val="26"/>
        </w:rPr>
        <w:t xml:space="preserve"> que implica que la interpretación jurídica siempre debe buscar el mayor beneficio para la persona, acudiendo a la norma más amplia o a la </w:t>
      </w:r>
      <w:r w:rsidRPr="00A70940">
        <w:rPr>
          <w:rFonts w:ascii="Arial" w:hAnsi="Arial" w:cs="Arial"/>
          <w:b/>
          <w:sz w:val="26"/>
          <w:szCs w:val="26"/>
        </w:rPr>
        <w:t xml:space="preserve">interpretación más favorable, </w:t>
      </w:r>
      <w:r w:rsidRPr="00A70940">
        <w:rPr>
          <w:rFonts w:ascii="Arial" w:hAnsi="Arial" w:cs="Arial"/>
          <w:sz w:val="26"/>
          <w:szCs w:val="26"/>
        </w:rPr>
        <w:t>cuando se trata de derechos protegidos, porque toda persona tiene derecho a disfrutar de una seguridad social que le proteja contra de las consecuencias de la vejez, para obtener los medios para llevar una vida digna y decorosa;</w:t>
      </w:r>
      <w:r w:rsidR="000D6134" w:rsidRPr="00A70940">
        <w:rPr>
          <w:rFonts w:ascii="Arial" w:hAnsi="Arial" w:cs="Arial"/>
          <w:sz w:val="26"/>
          <w:szCs w:val="26"/>
        </w:rPr>
        <w:t xml:space="preserve"> </w:t>
      </w:r>
      <w:r w:rsidRPr="00A70940">
        <w:rPr>
          <w:rFonts w:ascii="Arial" w:hAnsi="Arial" w:cs="Arial"/>
          <w:sz w:val="26"/>
          <w:szCs w:val="26"/>
        </w:rPr>
        <w:t xml:space="preserve"> por lo que es indudable que la determinación de la </w:t>
      </w:r>
      <w:r w:rsidR="000D6134" w:rsidRPr="00A70940">
        <w:rPr>
          <w:rFonts w:ascii="Arial" w:hAnsi="Arial" w:cs="Arial"/>
          <w:sz w:val="26"/>
          <w:szCs w:val="26"/>
        </w:rPr>
        <w:t xml:space="preserve">entonces Séptima </w:t>
      </w:r>
      <w:r w:rsidRPr="00A70940">
        <w:rPr>
          <w:rFonts w:ascii="Arial" w:hAnsi="Arial" w:cs="Arial"/>
          <w:sz w:val="26"/>
          <w:szCs w:val="26"/>
        </w:rPr>
        <w:t>Sala Unitaria de Primera Instancia</w:t>
      </w:r>
      <w:r w:rsidR="00CC2D53" w:rsidRPr="00A70940">
        <w:rPr>
          <w:rFonts w:ascii="Arial" w:hAnsi="Arial" w:cs="Arial"/>
          <w:sz w:val="26"/>
          <w:szCs w:val="26"/>
        </w:rPr>
        <w:t>,</w:t>
      </w:r>
      <w:r w:rsidRPr="00A70940">
        <w:rPr>
          <w:rFonts w:ascii="Arial" w:hAnsi="Arial" w:cs="Arial"/>
          <w:sz w:val="26"/>
          <w:szCs w:val="26"/>
        </w:rPr>
        <w:t xml:space="preserve"> al declarar </w:t>
      </w:r>
      <w:r w:rsidR="000D6134" w:rsidRPr="00A70940">
        <w:rPr>
          <w:rFonts w:ascii="Arial" w:hAnsi="Arial" w:cs="Arial"/>
          <w:sz w:val="26"/>
          <w:szCs w:val="26"/>
        </w:rPr>
        <w:t xml:space="preserve">la nulidad </w:t>
      </w:r>
      <w:r w:rsidR="000D6134" w:rsidRPr="00A70940">
        <w:rPr>
          <w:rFonts w:ascii="Arial" w:eastAsia="Calibri" w:hAnsi="Arial" w:cs="Arial"/>
          <w:bCs/>
          <w:color w:val="000000"/>
          <w:sz w:val="26"/>
          <w:szCs w:val="26"/>
        </w:rPr>
        <w:t xml:space="preserve">de la resolución contenida en el oficio </w:t>
      </w:r>
      <w:r w:rsidR="000424AC" w:rsidRPr="00F05F47">
        <w:rPr>
          <w:rFonts w:ascii="Arial" w:eastAsia="Calibri" w:hAnsi="Arial" w:cs="Arial"/>
          <w:b/>
          <w:sz w:val="26"/>
          <w:szCs w:val="26"/>
        </w:rPr>
        <w:t>***********</w:t>
      </w:r>
      <w:r w:rsidR="000424AC">
        <w:rPr>
          <w:rFonts w:ascii="Arial" w:eastAsia="Calibri" w:hAnsi="Arial" w:cs="Arial"/>
          <w:sz w:val="26"/>
          <w:szCs w:val="26"/>
        </w:rPr>
        <w:t xml:space="preserve"> </w:t>
      </w:r>
      <w:r w:rsidR="000D6134" w:rsidRPr="00A70940">
        <w:rPr>
          <w:rFonts w:ascii="Arial" w:eastAsia="Calibri" w:hAnsi="Arial" w:cs="Arial"/>
          <w:bCs/>
          <w:color w:val="000000"/>
          <w:sz w:val="26"/>
          <w:szCs w:val="26"/>
        </w:rPr>
        <w:t xml:space="preserve">de fecha ocho de agosto de dos mil diecinueve, emitida por el Director General de la Oficina de Pensiones del Gobierno del Estado de Oaxaca, así como del acuerdo de revisión de pensión emitido el día nueve de julio del mismo año, </w:t>
      </w:r>
      <w:r w:rsidR="000D6134" w:rsidRPr="00A70940">
        <w:rPr>
          <w:rFonts w:ascii="Arial" w:eastAsia="Calibri" w:hAnsi="Arial" w:cs="Arial"/>
          <w:color w:val="000000"/>
          <w:sz w:val="26"/>
          <w:szCs w:val="26"/>
        </w:rPr>
        <w:t>para el efecto</w:t>
      </w:r>
      <w:r w:rsidR="000D6134" w:rsidRPr="00A70940">
        <w:rPr>
          <w:rFonts w:ascii="Arial" w:eastAsia="Calibri" w:hAnsi="Arial" w:cs="Arial"/>
          <w:b/>
          <w:color w:val="000000"/>
          <w:sz w:val="26"/>
          <w:szCs w:val="26"/>
        </w:rPr>
        <w:t xml:space="preserve"> </w:t>
      </w:r>
      <w:r w:rsidR="000D6134" w:rsidRPr="00A70940">
        <w:rPr>
          <w:rFonts w:ascii="Arial" w:eastAsia="Calibri" w:hAnsi="Arial" w:cs="Arial"/>
          <w:bCs/>
          <w:color w:val="000000"/>
          <w:sz w:val="26"/>
          <w:szCs w:val="26"/>
        </w:rPr>
        <w:t xml:space="preserve"> de que la autoridad demandada Consejo Directivo de la Oficina de Pensiones del Gobierno del Estado de Oaxaca, dicte otro en el que además de la pensión otorgada a favor de </w:t>
      </w:r>
      <w:r w:rsidR="00882DD7" w:rsidRPr="00F05F47">
        <w:rPr>
          <w:rFonts w:ascii="Arial" w:eastAsia="Calibri" w:hAnsi="Arial" w:cs="Arial"/>
          <w:b/>
          <w:sz w:val="26"/>
          <w:szCs w:val="26"/>
        </w:rPr>
        <w:t>***********</w:t>
      </w:r>
      <w:r w:rsidR="000D6134" w:rsidRPr="00F05F47">
        <w:rPr>
          <w:rFonts w:ascii="Arial" w:eastAsia="Calibri" w:hAnsi="Arial" w:cs="Arial"/>
          <w:b/>
          <w:bCs/>
          <w:color w:val="000000"/>
          <w:sz w:val="26"/>
          <w:szCs w:val="26"/>
        </w:rPr>
        <w:t xml:space="preserve">, </w:t>
      </w:r>
      <w:r w:rsidR="000D6134" w:rsidRPr="00A70940">
        <w:rPr>
          <w:rFonts w:ascii="Arial" w:eastAsia="Calibri" w:hAnsi="Arial" w:cs="Arial"/>
          <w:bCs/>
          <w:color w:val="000000"/>
          <w:sz w:val="26"/>
          <w:szCs w:val="26"/>
        </w:rPr>
        <w:t xml:space="preserve">conceda las prestaciones que percibe un trabajador de base, como son previsión social múltiple, despensa, vida cara, quinquenios, aguinaldo, </w:t>
      </w:r>
      <w:r w:rsidR="000D6134" w:rsidRPr="00A70940">
        <w:rPr>
          <w:rFonts w:ascii="Arial" w:eastAsia="Calibri" w:hAnsi="Arial" w:cs="Arial"/>
          <w:bCs/>
          <w:color w:val="000000"/>
          <w:sz w:val="26"/>
          <w:szCs w:val="26"/>
          <w:shd w:val="clear" w:color="auto" w:fill="FFFFFF" w:themeFill="background1"/>
        </w:rPr>
        <w:t xml:space="preserve">estímulo </w:t>
      </w:r>
      <w:r w:rsidR="000D6134" w:rsidRPr="00A70940">
        <w:rPr>
          <w:rFonts w:ascii="Arial" w:eastAsia="Calibri" w:hAnsi="Arial" w:cs="Arial"/>
          <w:bCs/>
          <w:color w:val="000000"/>
          <w:sz w:val="26"/>
          <w:szCs w:val="26"/>
        </w:rPr>
        <w:t xml:space="preserve">del día del jubilado, día de la madre y canasta navideña, </w:t>
      </w:r>
      <w:r w:rsidRPr="00A70940">
        <w:rPr>
          <w:rFonts w:ascii="Arial" w:hAnsi="Arial" w:cs="Arial"/>
          <w:sz w:val="26"/>
          <w:szCs w:val="26"/>
        </w:rPr>
        <w:t xml:space="preserve">sin que se </w:t>
      </w:r>
      <w:r w:rsidR="000D6134" w:rsidRPr="00A70940">
        <w:rPr>
          <w:rFonts w:ascii="Arial" w:hAnsi="Arial" w:cs="Arial"/>
          <w:sz w:val="26"/>
          <w:szCs w:val="26"/>
        </w:rPr>
        <w:t>especifique que dicho pago deberá ser en forma re</w:t>
      </w:r>
      <w:r w:rsidRPr="00A70940">
        <w:rPr>
          <w:rFonts w:ascii="Arial" w:hAnsi="Arial" w:cs="Arial"/>
          <w:sz w:val="26"/>
          <w:szCs w:val="26"/>
        </w:rPr>
        <w:t xml:space="preserve">troactiva, </w:t>
      </w:r>
      <w:r w:rsidRPr="00A70940">
        <w:rPr>
          <w:rFonts w:ascii="Arial" w:hAnsi="Arial" w:cs="Arial"/>
          <w:b/>
          <w:sz w:val="26"/>
          <w:szCs w:val="26"/>
        </w:rPr>
        <w:t>es violatoria de los derechos humanos contenidos en la Constitución Federal</w:t>
      </w:r>
      <w:r w:rsidRPr="00A70940">
        <w:rPr>
          <w:rFonts w:ascii="Arial" w:hAnsi="Arial" w:cs="Arial"/>
          <w:sz w:val="26"/>
          <w:szCs w:val="26"/>
        </w:rPr>
        <w:t xml:space="preserve"> </w:t>
      </w:r>
      <w:r w:rsidRPr="00A70940">
        <w:rPr>
          <w:rFonts w:ascii="Arial" w:hAnsi="Arial" w:cs="Arial"/>
          <w:b/>
          <w:bCs/>
          <w:sz w:val="26"/>
          <w:szCs w:val="26"/>
        </w:rPr>
        <w:t>y, en la Convención Americana sobre Derechos Humanos,</w:t>
      </w:r>
      <w:r w:rsidRPr="00A70940">
        <w:rPr>
          <w:rFonts w:ascii="Arial" w:hAnsi="Arial" w:cs="Arial"/>
          <w:sz w:val="26"/>
          <w:szCs w:val="26"/>
        </w:rPr>
        <w:t xml:space="preserve"> que en su artículo 25, numeral 1, señala: </w:t>
      </w:r>
      <w:r w:rsidRPr="00A70940">
        <w:rPr>
          <w:rFonts w:ascii="Arial" w:hAnsi="Arial" w:cs="Arial"/>
          <w:i/>
          <w:iCs/>
          <w:sz w:val="24"/>
          <w:szCs w:val="24"/>
        </w:rPr>
        <w:t xml:space="preserve">“Artículo 25. Protección Judicial. 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 - </w:t>
      </w:r>
    </w:p>
    <w:p w14:paraId="4B9D6FA5" w14:textId="065A704A" w:rsidR="00815A57" w:rsidRPr="00A70940" w:rsidRDefault="00815A57" w:rsidP="00815A57">
      <w:pPr>
        <w:pStyle w:val="Sinespaciado"/>
        <w:tabs>
          <w:tab w:val="left" w:pos="709"/>
        </w:tabs>
        <w:spacing w:line="360" w:lineRule="auto"/>
        <w:jc w:val="both"/>
        <w:rPr>
          <w:rFonts w:ascii="Arial" w:hAnsi="Arial" w:cs="Arial"/>
          <w:sz w:val="26"/>
          <w:szCs w:val="26"/>
        </w:rPr>
      </w:pPr>
      <w:r w:rsidRPr="00A70940">
        <w:rPr>
          <w:rFonts w:ascii="Arial" w:eastAsia="Calibri" w:hAnsi="Arial" w:cs="Arial"/>
          <w:bCs/>
          <w:color w:val="000000"/>
          <w:sz w:val="26"/>
          <w:szCs w:val="26"/>
          <w:lang w:val="es-MX"/>
        </w:rPr>
        <w:tab/>
      </w:r>
      <w:r w:rsidRPr="00A70940">
        <w:rPr>
          <w:rFonts w:ascii="Arial" w:hAnsi="Arial" w:cs="Arial"/>
          <w:sz w:val="26"/>
          <w:szCs w:val="26"/>
        </w:rPr>
        <w:t xml:space="preserve">Así las cosas, procede </w:t>
      </w:r>
      <w:r w:rsidRPr="00A70940">
        <w:rPr>
          <w:rFonts w:ascii="Arial" w:hAnsi="Arial" w:cs="Arial"/>
          <w:b/>
          <w:sz w:val="26"/>
          <w:szCs w:val="26"/>
        </w:rPr>
        <w:t>MODIFICAR</w:t>
      </w:r>
      <w:r w:rsidRPr="00A70940">
        <w:rPr>
          <w:rFonts w:ascii="Arial" w:hAnsi="Arial" w:cs="Arial"/>
          <w:sz w:val="26"/>
          <w:szCs w:val="26"/>
        </w:rPr>
        <w:t xml:space="preserve"> la sentencia de dieciocho de marzo de dos mil veinte, que declaró </w:t>
      </w:r>
      <w:r w:rsidRPr="00A70940">
        <w:rPr>
          <w:rFonts w:ascii="Arial" w:eastAsia="Arial Unicode MS" w:hAnsi="Arial" w:cs="Arial"/>
          <w:bCs/>
          <w:iCs/>
          <w:sz w:val="26"/>
          <w:szCs w:val="26"/>
          <w:lang w:eastAsia="es-ES"/>
        </w:rPr>
        <w:t xml:space="preserve">la </w:t>
      </w:r>
      <w:r w:rsidRPr="00A70940">
        <w:rPr>
          <w:rFonts w:ascii="Arial" w:eastAsia="Arial Unicode MS" w:hAnsi="Arial" w:cs="Arial"/>
          <w:b/>
          <w:bCs/>
          <w:iCs/>
          <w:sz w:val="26"/>
          <w:szCs w:val="26"/>
          <w:lang w:eastAsia="es-ES"/>
        </w:rPr>
        <w:t xml:space="preserve">NULIDAD </w:t>
      </w:r>
      <w:r w:rsidRPr="00A70940">
        <w:rPr>
          <w:rFonts w:ascii="Arial" w:eastAsia="Arial Unicode MS" w:hAnsi="Arial" w:cs="Arial"/>
          <w:bCs/>
          <w:iCs/>
          <w:sz w:val="26"/>
          <w:szCs w:val="26"/>
          <w:lang w:eastAsia="es-ES"/>
        </w:rPr>
        <w:t xml:space="preserve">del oficio </w:t>
      </w:r>
      <w:r w:rsidR="000424AC" w:rsidRPr="00F05F47">
        <w:rPr>
          <w:rFonts w:ascii="Arial" w:eastAsia="Calibri" w:hAnsi="Arial" w:cs="Arial"/>
          <w:b/>
          <w:sz w:val="26"/>
          <w:szCs w:val="26"/>
        </w:rPr>
        <w:t xml:space="preserve">*********** </w:t>
      </w:r>
      <w:r w:rsidRPr="00F05F47">
        <w:rPr>
          <w:rFonts w:ascii="Arial" w:eastAsia="Arial Unicode MS" w:hAnsi="Arial" w:cs="Arial"/>
          <w:b/>
          <w:bCs/>
          <w:iCs/>
          <w:sz w:val="26"/>
          <w:szCs w:val="26"/>
          <w:lang w:eastAsia="es-ES"/>
        </w:rPr>
        <w:t xml:space="preserve"> </w:t>
      </w:r>
      <w:r w:rsidRPr="00A70940">
        <w:rPr>
          <w:rFonts w:ascii="Arial" w:eastAsia="Arial Unicode MS" w:hAnsi="Arial" w:cs="Arial"/>
          <w:bCs/>
          <w:iCs/>
          <w:sz w:val="26"/>
          <w:szCs w:val="26"/>
          <w:lang w:eastAsia="es-ES"/>
        </w:rPr>
        <w:t xml:space="preserve">de fecha ocho de agosto de dos mil diecinueve, emitido por el Director General de la Oficina de Pensiones del Estado de Oaxaca, así como del acuerdo de revisión de pensión emitido el día nueve de julio de dos mil diecinueve, por el Consejo Directivo de la Oficina de Pensiones del Estado de Oaxaca, para el </w:t>
      </w:r>
      <w:r w:rsidRPr="00A70940">
        <w:rPr>
          <w:rFonts w:ascii="Arial" w:eastAsia="Arial Unicode MS" w:hAnsi="Arial" w:cs="Arial"/>
          <w:b/>
          <w:bCs/>
          <w:iCs/>
          <w:sz w:val="26"/>
          <w:szCs w:val="26"/>
          <w:lang w:eastAsia="es-ES"/>
        </w:rPr>
        <w:t xml:space="preserve">EFECTO </w:t>
      </w:r>
      <w:r w:rsidRPr="00A70940">
        <w:rPr>
          <w:rFonts w:ascii="Arial" w:eastAsia="Arial Unicode MS" w:hAnsi="Arial" w:cs="Arial"/>
          <w:bCs/>
          <w:iCs/>
          <w:sz w:val="26"/>
          <w:szCs w:val="26"/>
          <w:lang w:eastAsia="es-ES"/>
        </w:rPr>
        <w:t xml:space="preserve">de que la autoridad demandada </w:t>
      </w:r>
      <w:r w:rsidRPr="00A70940">
        <w:rPr>
          <w:rFonts w:ascii="Arial" w:eastAsia="Arial Unicode MS" w:hAnsi="Arial" w:cs="Arial"/>
          <w:bCs/>
          <w:iCs/>
          <w:sz w:val="26"/>
          <w:szCs w:val="26"/>
          <w:lang w:eastAsia="es-ES"/>
        </w:rPr>
        <w:lastRenderedPageBreak/>
        <w:t xml:space="preserve">“Consejo Directivo de la Oficina de Pensiones del Estado de Oaxaca”, dicte otro, en el que además de la pensión por jubilación otorgada a favor de </w:t>
      </w:r>
      <w:r w:rsidR="00882DD7" w:rsidRPr="00F05F47">
        <w:rPr>
          <w:rFonts w:ascii="Arial" w:eastAsia="Calibri" w:hAnsi="Arial" w:cs="Arial"/>
          <w:b/>
          <w:sz w:val="26"/>
          <w:szCs w:val="26"/>
        </w:rPr>
        <w:t>***********</w:t>
      </w:r>
      <w:r w:rsidRPr="00F05F47">
        <w:rPr>
          <w:rFonts w:ascii="Arial" w:eastAsia="Arial Unicode MS" w:hAnsi="Arial" w:cs="Arial"/>
          <w:b/>
          <w:bCs/>
          <w:iCs/>
          <w:sz w:val="26"/>
          <w:szCs w:val="26"/>
          <w:lang w:eastAsia="es-ES"/>
        </w:rPr>
        <w:t>,</w:t>
      </w:r>
      <w:r w:rsidRPr="00A70940">
        <w:rPr>
          <w:rFonts w:ascii="Arial" w:eastAsia="Arial Unicode MS" w:hAnsi="Arial" w:cs="Arial"/>
          <w:bCs/>
          <w:iCs/>
          <w:sz w:val="26"/>
          <w:szCs w:val="26"/>
          <w:lang w:eastAsia="es-ES"/>
        </w:rPr>
        <w:t xml:space="preserve"> le conceda las prestaciones </w:t>
      </w:r>
      <w:r w:rsidRPr="00A70940">
        <w:rPr>
          <w:rFonts w:ascii="Arial" w:eastAsia="Calibri" w:hAnsi="Arial" w:cs="Arial"/>
          <w:bCs/>
          <w:color w:val="000000"/>
          <w:sz w:val="26"/>
          <w:szCs w:val="26"/>
          <w:lang w:val="es-MX"/>
        </w:rPr>
        <w:t xml:space="preserve">como son: previsión social múltiple, despensa, vida cara, quinquenios, aguinaldo, </w:t>
      </w:r>
      <w:r w:rsidRPr="00A70940">
        <w:rPr>
          <w:rFonts w:ascii="Arial" w:eastAsia="Calibri" w:hAnsi="Arial" w:cs="Arial"/>
          <w:bCs/>
          <w:color w:val="000000"/>
          <w:sz w:val="26"/>
          <w:szCs w:val="26"/>
          <w:shd w:val="clear" w:color="auto" w:fill="FFFFFF" w:themeFill="background1"/>
          <w:lang w:val="es-MX"/>
        </w:rPr>
        <w:t xml:space="preserve">estímulo </w:t>
      </w:r>
      <w:r w:rsidRPr="00A70940">
        <w:rPr>
          <w:rFonts w:ascii="Arial" w:eastAsia="Calibri" w:hAnsi="Arial" w:cs="Arial"/>
          <w:bCs/>
          <w:color w:val="000000"/>
          <w:sz w:val="26"/>
          <w:szCs w:val="26"/>
          <w:lang w:val="es-MX"/>
        </w:rPr>
        <w:t>del día del jubilado, día de la madre y canasta navideña,</w:t>
      </w:r>
      <w:r w:rsidRPr="00A70940">
        <w:rPr>
          <w:rFonts w:ascii="Arial" w:eastAsia="Arial Unicode MS" w:hAnsi="Arial" w:cs="Arial"/>
          <w:bCs/>
          <w:iCs/>
          <w:sz w:val="26"/>
          <w:szCs w:val="26"/>
          <w:lang w:eastAsia="es-ES"/>
        </w:rPr>
        <w:t xml:space="preserve"> </w:t>
      </w:r>
      <w:r w:rsidRPr="00A70940">
        <w:rPr>
          <w:rFonts w:ascii="Arial" w:hAnsi="Arial" w:cs="Arial"/>
          <w:sz w:val="26"/>
          <w:szCs w:val="26"/>
        </w:rPr>
        <w:t>sin aplicar el descuento del 9% a que se refieren los artículos 6 fracción III, 18 párrafo segundo y octavo transitorios de la ley relativa, por haber sido declarados inconvencionales e inconstitucionales en los términos apuntados, al incumplir con el requisito de validez del acto administrativo que obliga la fracción V, del artículo 17 de la Ley de Procedimiento y Justicia Administrativa para el Estado de Oaxaca</w:t>
      </w:r>
      <w:r w:rsidRPr="00A70940">
        <w:rPr>
          <w:rFonts w:ascii="Arial" w:eastAsia="Arial Unicode MS" w:hAnsi="Arial" w:cs="Arial"/>
          <w:bCs/>
          <w:iCs/>
          <w:sz w:val="26"/>
          <w:szCs w:val="26"/>
          <w:lang w:eastAsia="es-ES"/>
        </w:rPr>
        <w:t xml:space="preserve">; </w:t>
      </w:r>
      <w:r w:rsidRPr="00A70940">
        <w:rPr>
          <w:rFonts w:ascii="Arial" w:hAnsi="Arial" w:cs="Arial"/>
          <w:b/>
          <w:sz w:val="26"/>
          <w:szCs w:val="26"/>
          <w:u w:val="single"/>
        </w:rPr>
        <w:t xml:space="preserve"> asimismo, se ordena a la autoridad demandada “Consejo Directivo de la Oficina de Pensiones del Estado de Oaxaca", haga el pago de las prestaciones que dejó de percibir la actora,</w:t>
      </w:r>
      <w:r w:rsidR="008D2DE3" w:rsidRPr="00A70940">
        <w:rPr>
          <w:rFonts w:ascii="Arial" w:hAnsi="Arial" w:cs="Arial"/>
          <w:b/>
          <w:sz w:val="26"/>
          <w:szCs w:val="26"/>
          <w:u w:val="single"/>
        </w:rPr>
        <w:t xml:space="preserve"> así como la devolución de las cantidades que le fueron indebidamente descontadas respecto del 9%, </w:t>
      </w:r>
      <w:r w:rsidRPr="00A70940">
        <w:rPr>
          <w:rFonts w:ascii="Arial" w:hAnsi="Arial" w:cs="Arial"/>
          <w:b/>
          <w:sz w:val="26"/>
          <w:szCs w:val="26"/>
          <w:u w:val="single"/>
        </w:rPr>
        <w:t xml:space="preserve">en forma retroactiva </w:t>
      </w:r>
      <w:r w:rsidR="00777A6D" w:rsidRPr="00A70940">
        <w:rPr>
          <w:rFonts w:ascii="Arial" w:hAnsi="Arial" w:cs="Arial"/>
          <w:b/>
          <w:sz w:val="26"/>
          <w:szCs w:val="26"/>
          <w:u w:val="single"/>
        </w:rPr>
        <w:t>a partir de la fecha en que recibi</w:t>
      </w:r>
      <w:r w:rsidR="00B55D40" w:rsidRPr="00A70940">
        <w:rPr>
          <w:rFonts w:ascii="Arial" w:hAnsi="Arial" w:cs="Arial"/>
          <w:b/>
          <w:sz w:val="26"/>
          <w:szCs w:val="26"/>
          <w:u w:val="single"/>
        </w:rPr>
        <w:t>ó su primer pago como jubilada</w:t>
      </w:r>
      <w:r w:rsidR="008D2DE3" w:rsidRPr="00A70940">
        <w:rPr>
          <w:rFonts w:ascii="Arial" w:hAnsi="Arial" w:cs="Arial"/>
          <w:b/>
          <w:sz w:val="26"/>
          <w:szCs w:val="26"/>
          <w:u w:val="single"/>
        </w:rPr>
        <w:t>. De igual forma, se haga la devolución de lo</w:t>
      </w:r>
      <w:r w:rsidRPr="00A70940">
        <w:rPr>
          <w:rFonts w:ascii="Arial" w:hAnsi="Arial" w:cs="Arial"/>
          <w:b/>
          <w:sz w:val="26"/>
          <w:szCs w:val="26"/>
          <w:u w:val="single"/>
        </w:rPr>
        <w:t>s descuentos que se han seguido efectuando durante la tramitación del presente juicio hasta la fecha del cumplimiento de la sentencia</w:t>
      </w:r>
      <w:r w:rsidRPr="00A70940">
        <w:rPr>
          <w:rFonts w:ascii="Arial" w:hAnsi="Arial" w:cs="Arial"/>
          <w:sz w:val="26"/>
          <w:szCs w:val="26"/>
        </w:rPr>
        <w:t xml:space="preserve">.- </w:t>
      </w:r>
    </w:p>
    <w:p w14:paraId="5CC09DC7" w14:textId="6AC07860" w:rsidR="00BC1DC8" w:rsidRPr="00882DD7" w:rsidRDefault="00815A57" w:rsidP="00882DD7">
      <w:pPr>
        <w:pStyle w:val="Sinespaciado"/>
        <w:tabs>
          <w:tab w:val="left" w:pos="709"/>
        </w:tabs>
        <w:spacing w:line="360" w:lineRule="auto"/>
        <w:jc w:val="both"/>
        <w:rPr>
          <w:rFonts w:ascii="Arial" w:hAnsi="Arial" w:cs="Arial"/>
          <w:sz w:val="26"/>
          <w:szCs w:val="26"/>
        </w:rPr>
      </w:pPr>
      <w:r w:rsidRPr="00A70940">
        <w:rPr>
          <w:rFonts w:ascii="Arial" w:hAnsi="Arial" w:cs="Arial"/>
          <w:sz w:val="26"/>
          <w:szCs w:val="26"/>
        </w:rPr>
        <w:tab/>
      </w:r>
      <w:r w:rsidR="008D2DE3" w:rsidRPr="00A70940">
        <w:rPr>
          <w:rFonts w:ascii="Arial" w:hAnsi="Arial" w:cs="Arial"/>
          <w:sz w:val="26"/>
          <w:szCs w:val="26"/>
        </w:rPr>
        <w:t>De este modo</w:t>
      </w:r>
      <w:r w:rsidRPr="00A70940">
        <w:rPr>
          <w:rFonts w:ascii="Arial" w:hAnsi="Arial" w:cs="Arial"/>
          <w:sz w:val="26"/>
          <w:szCs w:val="26"/>
        </w:rPr>
        <w:t xml:space="preserve">, la autoridad demandada al momento de dar cumplimiento a la sentencia, deberá exhibir la documentación correspondiente que compruebe que le fue pagada a </w:t>
      </w:r>
      <w:r w:rsidR="00882DD7" w:rsidRPr="00882DD7">
        <w:rPr>
          <w:rFonts w:ascii="Arial" w:eastAsia="Calibri" w:hAnsi="Arial" w:cs="Arial"/>
          <w:b/>
          <w:sz w:val="26"/>
          <w:szCs w:val="26"/>
        </w:rPr>
        <w:t>***********</w:t>
      </w:r>
      <w:r w:rsidRPr="00A70940">
        <w:rPr>
          <w:rFonts w:ascii="Arial" w:hAnsi="Arial" w:cs="Arial"/>
          <w:sz w:val="26"/>
          <w:szCs w:val="26"/>
        </w:rPr>
        <w:t xml:space="preserve">,  su pensión </w:t>
      </w:r>
      <w:r w:rsidR="008D2DE3" w:rsidRPr="00A70940">
        <w:rPr>
          <w:rFonts w:ascii="Arial" w:hAnsi="Arial" w:cs="Arial"/>
          <w:sz w:val="26"/>
          <w:szCs w:val="26"/>
        </w:rPr>
        <w:t xml:space="preserve">por jubilación </w:t>
      </w:r>
      <w:r w:rsidRPr="00A70940">
        <w:rPr>
          <w:rFonts w:ascii="Arial" w:hAnsi="Arial" w:cs="Arial"/>
          <w:sz w:val="26"/>
          <w:szCs w:val="26"/>
        </w:rPr>
        <w:t>con las prestaciones que señala el artículo 54</w:t>
      </w:r>
      <w:r w:rsidR="008D2DE3" w:rsidRPr="00A70940">
        <w:rPr>
          <w:rFonts w:ascii="Arial" w:hAnsi="Arial" w:cs="Arial"/>
          <w:sz w:val="26"/>
          <w:szCs w:val="26"/>
        </w:rPr>
        <w:t xml:space="preserve">,  fracción I </w:t>
      </w:r>
      <w:r w:rsidRPr="00A70940">
        <w:rPr>
          <w:rFonts w:ascii="Arial" w:hAnsi="Arial" w:cs="Arial"/>
          <w:sz w:val="26"/>
          <w:szCs w:val="26"/>
        </w:rPr>
        <w:t xml:space="preserve"> de la Ley de Pensiones para los Trabajadores del Estado de Oaxaca, a partir de la fecha </w:t>
      </w:r>
      <w:r w:rsidR="008D2DE3" w:rsidRPr="00A70940">
        <w:rPr>
          <w:rFonts w:ascii="Arial" w:hAnsi="Arial" w:cs="Arial"/>
          <w:sz w:val="26"/>
          <w:szCs w:val="26"/>
        </w:rPr>
        <w:t>en que recibió su primer pago como jubilada. También,</w:t>
      </w:r>
      <w:r w:rsidRPr="00A70940">
        <w:rPr>
          <w:rFonts w:ascii="Arial" w:hAnsi="Arial" w:cs="Arial"/>
          <w:sz w:val="26"/>
          <w:szCs w:val="26"/>
        </w:rPr>
        <w:t xml:space="preserve"> remita la documentación </w:t>
      </w:r>
      <w:r w:rsidR="00B55D40" w:rsidRPr="00A70940">
        <w:rPr>
          <w:rFonts w:ascii="Arial" w:hAnsi="Arial" w:cs="Arial"/>
          <w:sz w:val="26"/>
          <w:szCs w:val="26"/>
        </w:rPr>
        <w:t xml:space="preserve">respectiva, </w:t>
      </w:r>
      <w:r w:rsidRPr="00A70940">
        <w:rPr>
          <w:rFonts w:ascii="Arial" w:hAnsi="Arial" w:cs="Arial"/>
          <w:sz w:val="26"/>
          <w:szCs w:val="26"/>
        </w:rPr>
        <w:t xml:space="preserve">que acredite que la cantidad devuelta respecto del 9%, es la que se descontó a su pensión desde el quince de </w:t>
      </w:r>
      <w:r w:rsidR="00AE3B8E" w:rsidRPr="00A70940">
        <w:rPr>
          <w:rFonts w:ascii="Arial" w:hAnsi="Arial" w:cs="Arial"/>
          <w:sz w:val="26"/>
          <w:szCs w:val="26"/>
        </w:rPr>
        <w:t>noviembre</w:t>
      </w:r>
      <w:r w:rsidRPr="00A70940">
        <w:rPr>
          <w:rFonts w:ascii="Arial" w:hAnsi="Arial" w:cs="Arial"/>
          <w:sz w:val="26"/>
          <w:szCs w:val="26"/>
        </w:rPr>
        <w:t xml:space="preserve"> de dos mil quince hasta la fecha en que se dé cumplimiento a la sentencia.- - - </w:t>
      </w:r>
      <w:r w:rsidR="00AE3B8E" w:rsidRPr="00A70940">
        <w:rPr>
          <w:rFonts w:ascii="Arial" w:hAnsi="Arial" w:cs="Arial"/>
          <w:sz w:val="26"/>
          <w:szCs w:val="26"/>
        </w:rPr>
        <w:t>- - -</w:t>
      </w:r>
      <w:r w:rsidR="00882DD7">
        <w:rPr>
          <w:rFonts w:ascii="Arial" w:hAnsi="Arial" w:cs="Arial"/>
          <w:sz w:val="26"/>
          <w:szCs w:val="26"/>
        </w:rPr>
        <w:t xml:space="preserve"> - - - - - - - - - - - - - - - - - - - - - </w:t>
      </w:r>
    </w:p>
    <w:p w14:paraId="4912C892" w14:textId="74D6F5FB" w:rsidR="00E52A5A" w:rsidRPr="00882DD7" w:rsidRDefault="000A3D89" w:rsidP="00755103">
      <w:pPr>
        <w:pStyle w:val="Sinespaciado"/>
        <w:tabs>
          <w:tab w:val="left" w:pos="709"/>
        </w:tabs>
        <w:spacing w:line="360" w:lineRule="auto"/>
        <w:jc w:val="both"/>
        <w:rPr>
          <w:rFonts w:ascii="Arial" w:hAnsi="Arial" w:cs="Arial"/>
          <w:sz w:val="26"/>
          <w:szCs w:val="26"/>
        </w:rPr>
      </w:pPr>
      <w:r w:rsidRPr="00A70940">
        <w:rPr>
          <w:rFonts w:ascii="Arial" w:hAnsi="Arial" w:cs="Arial"/>
          <w:sz w:val="26"/>
          <w:szCs w:val="26"/>
        </w:rPr>
        <w:tab/>
      </w:r>
      <w:r w:rsidR="008C2F16" w:rsidRPr="00A70940">
        <w:rPr>
          <w:rFonts w:ascii="Arial" w:eastAsia="Calibri" w:hAnsi="Arial" w:cs="Arial"/>
          <w:bCs/>
          <w:sz w:val="26"/>
          <w:szCs w:val="26"/>
        </w:rPr>
        <w:t>En consecuencia,</w:t>
      </w:r>
      <w:r w:rsidR="00571114" w:rsidRPr="00A70940">
        <w:rPr>
          <w:rFonts w:ascii="Arial" w:eastAsia="Calibri" w:hAnsi="Arial" w:cs="Arial"/>
          <w:bCs/>
          <w:sz w:val="26"/>
          <w:szCs w:val="26"/>
        </w:rPr>
        <w:t xml:space="preserve"> </w:t>
      </w:r>
      <w:r w:rsidR="00571114" w:rsidRPr="00A70940">
        <w:rPr>
          <w:rFonts w:ascii="Arial" w:hAnsi="Arial" w:cs="Arial"/>
          <w:sz w:val="26"/>
          <w:szCs w:val="26"/>
        </w:rPr>
        <w:t xml:space="preserve">con fundamento en los en los artículos 237 y 238 de la Ley de Procedimiento y Justicia Administrativa para el Estado de Oaxaca, </w:t>
      </w:r>
      <w:r w:rsidR="00E52A5A" w:rsidRPr="00A70940">
        <w:rPr>
          <w:rFonts w:ascii="Arial" w:hAnsi="Arial" w:cs="Arial"/>
          <w:sz w:val="26"/>
          <w:szCs w:val="26"/>
        </w:rPr>
        <w:t>se: -</w:t>
      </w:r>
      <w:r w:rsidR="00380738" w:rsidRPr="00A70940">
        <w:rPr>
          <w:rFonts w:ascii="Arial" w:hAnsi="Arial" w:cs="Arial"/>
          <w:sz w:val="26"/>
          <w:szCs w:val="26"/>
        </w:rPr>
        <w:t xml:space="preserve"> - - - - - - - - - - - - - - - - - - - - - - - - - - - - - - - - - - - - - - - - </w:t>
      </w:r>
    </w:p>
    <w:p w14:paraId="1D7BD6C0" w14:textId="0493BE87" w:rsidR="00571114" w:rsidRPr="00A70940" w:rsidRDefault="00571114" w:rsidP="00E52A5A">
      <w:pPr>
        <w:spacing w:after="120" w:line="360" w:lineRule="auto"/>
        <w:ind w:right="51"/>
        <w:jc w:val="center"/>
        <w:rPr>
          <w:rFonts w:ascii="Arial" w:hAnsi="Arial" w:cs="Arial"/>
          <w:b/>
          <w:sz w:val="26"/>
          <w:szCs w:val="26"/>
        </w:rPr>
      </w:pPr>
      <w:r w:rsidRPr="00A70940">
        <w:rPr>
          <w:rFonts w:ascii="Arial" w:hAnsi="Arial" w:cs="Arial"/>
          <w:b/>
          <w:sz w:val="26"/>
          <w:szCs w:val="26"/>
        </w:rPr>
        <w:t>R E S U E L V E</w:t>
      </w:r>
    </w:p>
    <w:p w14:paraId="32EA3667" w14:textId="19038800" w:rsidR="00571114" w:rsidRPr="00A70940" w:rsidRDefault="00571114" w:rsidP="00962475">
      <w:pPr>
        <w:spacing w:after="120" w:line="360" w:lineRule="auto"/>
        <w:ind w:right="51"/>
        <w:jc w:val="both"/>
        <w:rPr>
          <w:rFonts w:ascii="Arial" w:hAnsi="Arial" w:cs="Arial"/>
          <w:sz w:val="26"/>
          <w:szCs w:val="26"/>
        </w:rPr>
      </w:pPr>
      <w:r w:rsidRPr="00A70940">
        <w:rPr>
          <w:rFonts w:ascii="Arial" w:hAnsi="Arial" w:cs="Arial"/>
          <w:b/>
          <w:sz w:val="24"/>
          <w:szCs w:val="24"/>
        </w:rPr>
        <w:t xml:space="preserve"> </w:t>
      </w:r>
      <w:r w:rsidR="00422629" w:rsidRPr="00A70940">
        <w:rPr>
          <w:rFonts w:ascii="Arial" w:hAnsi="Arial" w:cs="Arial"/>
          <w:b/>
          <w:sz w:val="24"/>
          <w:szCs w:val="24"/>
        </w:rPr>
        <w:tab/>
      </w:r>
      <w:r w:rsidRPr="00A70940">
        <w:rPr>
          <w:rFonts w:ascii="Arial" w:hAnsi="Arial" w:cs="Arial"/>
          <w:b/>
          <w:sz w:val="26"/>
          <w:szCs w:val="26"/>
        </w:rPr>
        <w:t>PRIMERO.</w:t>
      </w:r>
      <w:r w:rsidRPr="00A70940">
        <w:rPr>
          <w:rFonts w:ascii="Arial" w:hAnsi="Arial" w:cs="Arial"/>
          <w:sz w:val="26"/>
          <w:szCs w:val="26"/>
        </w:rPr>
        <w:t xml:space="preserve"> Se </w:t>
      </w:r>
      <w:r w:rsidR="008C2F16" w:rsidRPr="00A70940">
        <w:rPr>
          <w:rFonts w:ascii="Arial" w:hAnsi="Arial" w:cs="Arial"/>
          <w:b/>
          <w:sz w:val="26"/>
          <w:szCs w:val="26"/>
        </w:rPr>
        <w:t>MODIFICA</w:t>
      </w:r>
      <w:r w:rsidRPr="00A70940">
        <w:rPr>
          <w:rFonts w:ascii="Arial" w:hAnsi="Arial" w:cs="Arial"/>
          <w:sz w:val="26"/>
          <w:szCs w:val="26"/>
        </w:rPr>
        <w:t xml:space="preserve"> la sentencia de fecha </w:t>
      </w:r>
      <w:r w:rsidR="00380738" w:rsidRPr="00A70940">
        <w:rPr>
          <w:rFonts w:ascii="Arial" w:hAnsi="Arial" w:cs="Arial"/>
          <w:bCs/>
          <w:iCs/>
          <w:sz w:val="26"/>
          <w:szCs w:val="26"/>
          <w:lang w:eastAsia="es-ES"/>
        </w:rPr>
        <w:t xml:space="preserve">dieciocho de marzo </w:t>
      </w:r>
      <w:r w:rsidR="002937DD" w:rsidRPr="00A70940">
        <w:rPr>
          <w:rFonts w:ascii="Arial" w:hAnsi="Arial" w:cs="Arial"/>
          <w:bCs/>
          <w:iCs/>
          <w:sz w:val="26"/>
          <w:szCs w:val="26"/>
          <w:lang w:eastAsia="es-ES"/>
        </w:rPr>
        <w:t>de dos mil veinte</w:t>
      </w:r>
      <w:r w:rsidRPr="00A70940">
        <w:rPr>
          <w:rFonts w:ascii="Arial" w:hAnsi="Arial" w:cs="Arial"/>
          <w:bCs/>
          <w:iCs/>
          <w:sz w:val="26"/>
          <w:szCs w:val="26"/>
          <w:lang w:eastAsia="es-ES"/>
        </w:rPr>
        <w:t>,</w:t>
      </w:r>
      <w:r w:rsidRPr="00A70940">
        <w:rPr>
          <w:rFonts w:ascii="Arial" w:hAnsi="Arial" w:cs="Arial"/>
          <w:sz w:val="26"/>
          <w:szCs w:val="26"/>
        </w:rPr>
        <w:t xml:space="preserve"> </w:t>
      </w:r>
      <w:r w:rsidR="00B55D40" w:rsidRPr="00A70940">
        <w:rPr>
          <w:rFonts w:ascii="Arial" w:hAnsi="Arial" w:cs="Arial"/>
          <w:sz w:val="26"/>
          <w:szCs w:val="26"/>
        </w:rPr>
        <w:t xml:space="preserve">en términos de </w:t>
      </w:r>
      <w:r w:rsidRPr="00A70940">
        <w:rPr>
          <w:rFonts w:ascii="Arial" w:hAnsi="Arial" w:cs="Arial"/>
          <w:sz w:val="26"/>
          <w:szCs w:val="26"/>
        </w:rPr>
        <w:t>l</w:t>
      </w:r>
      <w:r w:rsidR="00AE3B8E" w:rsidRPr="00A70940">
        <w:rPr>
          <w:rFonts w:ascii="Arial" w:hAnsi="Arial" w:cs="Arial"/>
          <w:sz w:val="26"/>
          <w:szCs w:val="26"/>
        </w:rPr>
        <w:t xml:space="preserve">o </w:t>
      </w:r>
      <w:r w:rsidR="00B55D40" w:rsidRPr="00A70940">
        <w:rPr>
          <w:rFonts w:ascii="Arial" w:hAnsi="Arial" w:cs="Arial"/>
          <w:sz w:val="26"/>
          <w:szCs w:val="26"/>
        </w:rPr>
        <w:t>expuest</w:t>
      </w:r>
      <w:r w:rsidR="00AE3B8E" w:rsidRPr="00A70940">
        <w:rPr>
          <w:rFonts w:ascii="Arial" w:hAnsi="Arial" w:cs="Arial"/>
          <w:sz w:val="26"/>
          <w:szCs w:val="26"/>
        </w:rPr>
        <w:t>o</w:t>
      </w:r>
      <w:r w:rsidRPr="00A70940">
        <w:rPr>
          <w:rFonts w:ascii="Arial" w:hAnsi="Arial" w:cs="Arial"/>
          <w:sz w:val="26"/>
          <w:szCs w:val="26"/>
        </w:rPr>
        <w:t xml:space="preserve"> en el considerando tercero de esta resolución.</w:t>
      </w:r>
      <w:r w:rsidR="00422629" w:rsidRPr="00A70940">
        <w:rPr>
          <w:rFonts w:ascii="Arial" w:hAnsi="Arial" w:cs="Arial"/>
          <w:sz w:val="26"/>
          <w:szCs w:val="26"/>
        </w:rPr>
        <w:t xml:space="preserve"> - - - - - - - - - - - - - - - - - - - - - - </w:t>
      </w:r>
      <w:r w:rsidR="00AE3B8E" w:rsidRPr="00A70940">
        <w:rPr>
          <w:rFonts w:ascii="Arial" w:hAnsi="Arial" w:cs="Arial"/>
          <w:sz w:val="26"/>
          <w:szCs w:val="26"/>
        </w:rPr>
        <w:t xml:space="preserve">- - - - - - - - - - </w:t>
      </w:r>
    </w:p>
    <w:p w14:paraId="36F99D22" w14:textId="0611D6AC" w:rsidR="00422629" w:rsidRPr="00A70940" w:rsidRDefault="00571114" w:rsidP="008C2F16">
      <w:pPr>
        <w:spacing w:after="120" w:line="360" w:lineRule="auto"/>
        <w:ind w:right="51"/>
        <w:jc w:val="both"/>
        <w:rPr>
          <w:rFonts w:ascii="Arial" w:hAnsi="Arial" w:cs="Arial"/>
          <w:sz w:val="26"/>
          <w:szCs w:val="26"/>
        </w:rPr>
      </w:pPr>
      <w:r w:rsidRPr="00A70940">
        <w:rPr>
          <w:rFonts w:ascii="Arial" w:hAnsi="Arial" w:cs="Arial"/>
          <w:sz w:val="26"/>
          <w:szCs w:val="26"/>
        </w:rPr>
        <w:lastRenderedPageBreak/>
        <w:t xml:space="preserve"> </w:t>
      </w:r>
      <w:r w:rsidR="00422629" w:rsidRPr="00A70940">
        <w:rPr>
          <w:rFonts w:ascii="Arial" w:hAnsi="Arial" w:cs="Arial"/>
          <w:sz w:val="26"/>
          <w:szCs w:val="26"/>
        </w:rPr>
        <w:tab/>
      </w:r>
      <w:r w:rsidRPr="00A70940">
        <w:rPr>
          <w:rFonts w:ascii="Arial" w:eastAsia="Calibri" w:hAnsi="Arial" w:cs="Arial"/>
          <w:b/>
          <w:sz w:val="26"/>
          <w:szCs w:val="26"/>
        </w:rPr>
        <w:t xml:space="preserve">SEGUNDO. </w:t>
      </w:r>
      <w:r w:rsidRPr="00A70940">
        <w:rPr>
          <w:rFonts w:ascii="Arial" w:hAnsi="Arial" w:cs="Arial"/>
          <w:b/>
          <w:sz w:val="26"/>
          <w:szCs w:val="26"/>
        </w:rPr>
        <w:t xml:space="preserve">NOTIFÍQUESE Y CÚMPLASE, </w:t>
      </w:r>
      <w:r w:rsidRPr="00A70940">
        <w:rPr>
          <w:rFonts w:ascii="Arial" w:hAnsi="Arial" w:cs="Arial"/>
          <w:sz w:val="26"/>
          <w:szCs w:val="26"/>
        </w:rPr>
        <w:t xml:space="preserve">remítase copia certificada de la presente resolución a la </w:t>
      </w:r>
      <w:r w:rsidR="008C2F16" w:rsidRPr="00A70940">
        <w:rPr>
          <w:rFonts w:ascii="Arial" w:hAnsi="Arial" w:cs="Arial"/>
          <w:sz w:val="26"/>
          <w:szCs w:val="26"/>
        </w:rPr>
        <w:t xml:space="preserve">Cuarta </w:t>
      </w:r>
      <w:r w:rsidRPr="00A70940">
        <w:rPr>
          <w:rFonts w:ascii="Arial" w:hAnsi="Arial" w:cs="Arial"/>
          <w:sz w:val="26"/>
          <w:szCs w:val="26"/>
        </w:rPr>
        <w:t>Sala Unitaria de Primera Instancia de este Tribunal y en su oportunidad</w:t>
      </w:r>
      <w:r w:rsidR="004F68BF" w:rsidRPr="00A70940">
        <w:rPr>
          <w:rFonts w:ascii="Arial" w:hAnsi="Arial" w:cs="Arial"/>
          <w:sz w:val="26"/>
          <w:szCs w:val="26"/>
        </w:rPr>
        <w:t>,</w:t>
      </w:r>
      <w:r w:rsidRPr="00A70940">
        <w:rPr>
          <w:rFonts w:ascii="Arial" w:hAnsi="Arial" w:cs="Arial"/>
          <w:sz w:val="26"/>
          <w:szCs w:val="26"/>
        </w:rPr>
        <w:t xml:space="preserve"> archívese el presente cuaderno de revisión como asunto </w:t>
      </w:r>
      <w:r w:rsidR="00561DEB" w:rsidRPr="00A70940">
        <w:rPr>
          <w:rFonts w:ascii="Arial" w:hAnsi="Arial" w:cs="Arial"/>
          <w:sz w:val="26"/>
          <w:szCs w:val="26"/>
        </w:rPr>
        <w:t>concluido. -</w:t>
      </w:r>
      <w:r w:rsidR="00422629" w:rsidRPr="00A70940">
        <w:rPr>
          <w:rFonts w:ascii="Arial" w:hAnsi="Arial" w:cs="Arial"/>
          <w:sz w:val="26"/>
          <w:szCs w:val="26"/>
        </w:rPr>
        <w:t xml:space="preserve"> - - - - - - - - - - -</w:t>
      </w:r>
      <w:r w:rsidR="007A2561" w:rsidRPr="00A70940">
        <w:rPr>
          <w:rFonts w:ascii="Arial" w:hAnsi="Arial" w:cs="Arial"/>
          <w:sz w:val="26"/>
          <w:szCs w:val="26"/>
        </w:rPr>
        <w:t xml:space="preserve"> - - - - - - -</w:t>
      </w:r>
      <w:r w:rsidR="00422629" w:rsidRPr="00A70940">
        <w:rPr>
          <w:rFonts w:ascii="Arial" w:hAnsi="Arial" w:cs="Arial"/>
          <w:sz w:val="26"/>
          <w:szCs w:val="26"/>
        </w:rPr>
        <w:t xml:space="preserve"> </w:t>
      </w:r>
    </w:p>
    <w:p w14:paraId="53BF2E9D" w14:textId="46EE75D4" w:rsidR="00571114" w:rsidRPr="00A70940" w:rsidRDefault="00571114" w:rsidP="00422629">
      <w:pPr>
        <w:spacing w:after="0" w:line="360" w:lineRule="auto"/>
        <w:ind w:right="51" w:firstLine="567"/>
        <w:jc w:val="both"/>
        <w:rPr>
          <w:rFonts w:ascii="Arial" w:eastAsia="Calibri" w:hAnsi="Arial" w:cs="Arial"/>
          <w:bCs/>
          <w:sz w:val="26"/>
          <w:szCs w:val="26"/>
        </w:rPr>
      </w:pPr>
      <w:r w:rsidRPr="00A70940">
        <w:rPr>
          <w:rFonts w:ascii="Arial" w:eastAsia="Calibri" w:hAnsi="Arial" w:cs="Arial"/>
          <w:sz w:val="26"/>
          <w:szCs w:val="26"/>
        </w:rPr>
        <w:t xml:space="preserve">Así por unanimidad de votos, lo resolvieron y firmaron </w:t>
      </w:r>
      <w:r w:rsidRPr="00A70940">
        <w:rPr>
          <w:rFonts w:ascii="Arial" w:hAnsi="Arial" w:cs="Arial"/>
          <w:sz w:val="26"/>
          <w:szCs w:val="26"/>
        </w:rPr>
        <w:t xml:space="preserve">los Magistrados </w:t>
      </w:r>
      <w:r w:rsidR="003225E3" w:rsidRPr="00A70940">
        <w:rPr>
          <w:rFonts w:ascii="Arial" w:hAnsi="Arial" w:cs="Arial"/>
          <w:sz w:val="26"/>
          <w:szCs w:val="26"/>
        </w:rPr>
        <w:t>Manuel Velasco Alcántara, Magistrado Abraham Santiago Soriano, Magistrado Raúl Palomares Palomino</w:t>
      </w:r>
      <w:r w:rsidR="00A12A2E" w:rsidRPr="00A70940">
        <w:rPr>
          <w:rFonts w:ascii="Arial" w:hAnsi="Arial" w:cs="Arial"/>
          <w:sz w:val="26"/>
          <w:szCs w:val="26"/>
        </w:rPr>
        <w:t xml:space="preserve">, Magistrada Gloria del Carmen </w:t>
      </w:r>
      <w:r w:rsidR="00810D10" w:rsidRPr="00A70940">
        <w:rPr>
          <w:rFonts w:ascii="Arial" w:hAnsi="Arial" w:cs="Arial"/>
          <w:sz w:val="26"/>
          <w:szCs w:val="26"/>
        </w:rPr>
        <w:t xml:space="preserve">Camacho </w:t>
      </w:r>
      <w:r w:rsidR="00A12A2E" w:rsidRPr="00A70940">
        <w:rPr>
          <w:rFonts w:ascii="Arial" w:hAnsi="Arial" w:cs="Arial"/>
          <w:sz w:val="26"/>
          <w:szCs w:val="26"/>
        </w:rPr>
        <w:t xml:space="preserve">Meza </w:t>
      </w:r>
      <w:r w:rsidR="00A12A2E" w:rsidRPr="00A70940">
        <w:rPr>
          <w:rFonts w:ascii="Arial" w:hAnsi="Arial" w:cs="Arial"/>
          <w:b/>
          <w:sz w:val="26"/>
          <w:szCs w:val="26"/>
        </w:rPr>
        <w:t>(ponente)</w:t>
      </w:r>
      <w:r w:rsidR="003225E3" w:rsidRPr="00A70940">
        <w:rPr>
          <w:rFonts w:ascii="Arial" w:hAnsi="Arial" w:cs="Arial"/>
          <w:sz w:val="26"/>
          <w:szCs w:val="26"/>
        </w:rPr>
        <w:t xml:space="preserve"> y Magistrado Paulo José Luis Tapia Palacios, </w:t>
      </w:r>
      <w:r w:rsidRPr="00A70940">
        <w:rPr>
          <w:rFonts w:ascii="Arial" w:hAnsi="Arial" w:cs="Arial"/>
          <w:sz w:val="26"/>
          <w:szCs w:val="26"/>
        </w:rPr>
        <w:t xml:space="preserve">integrantes de la Sala Superior del Tribunal de Justicia Administrativa del Estado, quienes actúan con </w:t>
      </w:r>
      <w:r w:rsidR="00691ADA" w:rsidRPr="00A70940">
        <w:rPr>
          <w:rFonts w:ascii="Arial" w:hAnsi="Arial" w:cs="Arial"/>
          <w:sz w:val="26"/>
          <w:szCs w:val="26"/>
        </w:rPr>
        <w:t xml:space="preserve">el </w:t>
      </w:r>
      <w:r w:rsidR="003225E3" w:rsidRPr="00A70940">
        <w:rPr>
          <w:rFonts w:ascii="Arial" w:hAnsi="Arial" w:cs="Arial"/>
          <w:sz w:val="26"/>
          <w:szCs w:val="26"/>
        </w:rPr>
        <w:t xml:space="preserve">Licenciado Juan Edy García Coronado, Secretario </w:t>
      </w:r>
      <w:r w:rsidRPr="00A70940">
        <w:rPr>
          <w:rFonts w:ascii="Arial" w:hAnsi="Arial" w:cs="Arial"/>
          <w:sz w:val="26"/>
          <w:szCs w:val="26"/>
        </w:rPr>
        <w:t xml:space="preserve">General de Acuerdos de este Tribunal, que autoriza y da </w:t>
      </w:r>
      <w:r w:rsidR="00561DEB" w:rsidRPr="00A70940">
        <w:rPr>
          <w:rFonts w:ascii="Arial" w:hAnsi="Arial" w:cs="Arial"/>
          <w:sz w:val="26"/>
          <w:szCs w:val="26"/>
        </w:rPr>
        <w:t>fe. -</w:t>
      </w:r>
      <w:r w:rsidR="00422629" w:rsidRPr="00A70940">
        <w:rPr>
          <w:rFonts w:ascii="Arial" w:hAnsi="Arial" w:cs="Arial"/>
          <w:sz w:val="26"/>
          <w:szCs w:val="26"/>
        </w:rPr>
        <w:t xml:space="preserve"> - - - - - - - - - - - - - - - - </w:t>
      </w:r>
      <w:r w:rsidR="003225E3" w:rsidRPr="00A70940">
        <w:rPr>
          <w:rFonts w:ascii="Arial" w:hAnsi="Arial" w:cs="Arial"/>
          <w:sz w:val="26"/>
          <w:szCs w:val="26"/>
        </w:rPr>
        <w:t xml:space="preserve">- - - -  - - - - - - - - </w:t>
      </w:r>
      <w:r w:rsidR="00A12A2E" w:rsidRPr="00A70940">
        <w:rPr>
          <w:rFonts w:ascii="Arial" w:hAnsi="Arial" w:cs="Arial"/>
          <w:sz w:val="26"/>
          <w:szCs w:val="26"/>
        </w:rPr>
        <w:t>- - - - - - - - - -</w:t>
      </w:r>
      <w:r w:rsidR="00810D10" w:rsidRPr="00A70940">
        <w:rPr>
          <w:rFonts w:ascii="Arial" w:hAnsi="Arial" w:cs="Arial"/>
          <w:sz w:val="26"/>
          <w:szCs w:val="26"/>
        </w:rPr>
        <w:t>-</w:t>
      </w:r>
      <w:r w:rsidR="00A12A2E" w:rsidRPr="00A70940">
        <w:rPr>
          <w:rFonts w:ascii="Arial" w:hAnsi="Arial" w:cs="Arial"/>
          <w:sz w:val="26"/>
          <w:szCs w:val="26"/>
        </w:rPr>
        <w:t xml:space="preserve"> </w:t>
      </w:r>
    </w:p>
    <w:p w14:paraId="6285BD20" w14:textId="5BAAE3DE" w:rsidR="00E564C6" w:rsidRDefault="00E564C6" w:rsidP="00422629">
      <w:pPr>
        <w:spacing w:after="0" w:line="240" w:lineRule="auto"/>
        <w:ind w:firstLine="567"/>
        <w:jc w:val="center"/>
        <w:rPr>
          <w:rFonts w:ascii="Arial" w:eastAsia="Times New Roman" w:hAnsi="Arial" w:cs="Arial"/>
          <w:sz w:val="26"/>
          <w:szCs w:val="26"/>
        </w:rPr>
      </w:pPr>
    </w:p>
    <w:p w14:paraId="45F4B0E9" w14:textId="5733BEBF" w:rsidR="00E564C6" w:rsidRDefault="00E564C6" w:rsidP="00422629">
      <w:pPr>
        <w:spacing w:after="0" w:line="240" w:lineRule="auto"/>
        <w:ind w:firstLine="567"/>
        <w:jc w:val="center"/>
        <w:rPr>
          <w:rFonts w:ascii="Arial" w:eastAsia="Times New Roman" w:hAnsi="Arial" w:cs="Arial"/>
          <w:sz w:val="26"/>
          <w:szCs w:val="26"/>
        </w:rPr>
      </w:pPr>
    </w:p>
    <w:p w14:paraId="772998FF" w14:textId="11DF7942" w:rsidR="00E564C6" w:rsidRDefault="00E564C6" w:rsidP="00422629">
      <w:pPr>
        <w:spacing w:after="0" w:line="240" w:lineRule="auto"/>
        <w:ind w:firstLine="567"/>
        <w:jc w:val="center"/>
        <w:rPr>
          <w:rFonts w:ascii="Arial" w:eastAsia="Times New Roman" w:hAnsi="Arial" w:cs="Arial"/>
          <w:sz w:val="26"/>
          <w:szCs w:val="26"/>
        </w:rPr>
      </w:pPr>
    </w:p>
    <w:p w14:paraId="453B8DF3" w14:textId="77777777" w:rsidR="00E564C6" w:rsidRDefault="00E564C6" w:rsidP="00422629">
      <w:pPr>
        <w:spacing w:after="0" w:line="240" w:lineRule="auto"/>
        <w:ind w:firstLine="567"/>
        <w:jc w:val="center"/>
        <w:rPr>
          <w:rFonts w:ascii="Arial" w:eastAsia="Times New Roman" w:hAnsi="Arial" w:cs="Arial"/>
          <w:sz w:val="26"/>
          <w:szCs w:val="26"/>
        </w:rPr>
      </w:pPr>
    </w:p>
    <w:p w14:paraId="561C1046" w14:textId="0DA9385B" w:rsidR="00E564C6" w:rsidRDefault="00E564C6" w:rsidP="00422629">
      <w:pPr>
        <w:spacing w:after="0" w:line="240" w:lineRule="auto"/>
        <w:ind w:firstLine="567"/>
        <w:jc w:val="center"/>
        <w:rPr>
          <w:rFonts w:ascii="Arial" w:eastAsia="Times New Roman" w:hAnsi="Arial" w:cs="Arial"/>
          <w:sz w:val="26"/>
          <w:szCs w:val="26"/>
        </w:rPr>
      </w:pPr>
    </w:p>
    <w:p w14:paraId="2FE3B641" w14:textId="77777777" w:rsidR="00E564C6" w:rsidRPr="00A70940" w:rsidRDefault="00E564C6" w:rsidP="00422629">
      <w:pPr>
        <w:spacing w:after="0" w:line="240" w:lineRule="auto"/>
        <w:ind w:firstLine="567"/>
        <w:jc w:val="center"/>
        <w:rPr>
          <w:rFonts w:ascii="Arial" w:eastAsia="Times New Roman" w:hAnsi="Arial" w:cs="Arial"/>
          <w:sz w:val="26"/>
          <w:szCs w:val="26"/>
        </w:rPr>
      </w:pPr>
    </w:p>
    <w:p w14:paraId="27C6CDBB" w14:textId="77777777" w:rsidR="00571114" w:rsidRPr="00A70940" w:rsidRDefault="00571114" w:rsidP="00422629">
      <w:pPr>
        <w:spacing w:after="0" w:line="240" w:lineRule="auto"/>
        <w:ind w:firstLine="567"/>
        <w:jc w:val="center"/>
        <w:rPr>
          <w:rFonts w:ascii="Arial" w:eastAsiaTheme="minorHAnsi" w:hAnsi="Arial" w:cs="Arial"/>
          <w:b/>
          <w:sz w:val="14"/>
          <w:szCs w:val="26"/>
          <w:lang w:eastAsia="en-US"/>
        </w:rPr>
      </w:pPr>
      <w:r w:rsidRPr="00A70940">
        <w:rPr>
          <w:rFonts w:ascii="Arial" w:eastAsia="Times New Roman" w:hAnsi="Arial" w:cs="Arial"/>
          <w:sz w:val="26"/>
          <w:szCs w:val="26"/>
        </w:rPr>
        <w:t>MAGISTRADO MANUEL VELASCO ALCÁNTARA</w:t>
      </w:r>
      <w:r w:rsidRPr="00A70940">
        <w:rPr>
          <w:rFonts w:ascii="Arial" w:hAnsi="Arial" w:cs="Arial"/>
          <w:b/>
          <w:sz w:val="14"/>
          <w:szCs w:val="26"/>
        </w:rPr>
        <w:t xml:space="preserve"> </w:t>
      </w:r>
    </w:p>
    <w:p w14:paraId="10CF4B37" w14:textId="77777777" w:rsidR="00571114" w:rsidRPr="00A70940" w:rsidRDefault="00571114" w:rsidP="00422629">
      <w:pPr>
        <w:spacing w:after="0" w:line="240" w:lineRule="auto"/>
        <w:ind w:firstLine="567"/>
        <w:jc w:val="center"/>
        <w:rPr>
          <w:rFonts w:ascii="Arial" w:hAnsi="Arial" w:cs="Arial"/>
          <w:sz w:val="26"/>
          <w:szCs w:val="26"/>
        </w:rPr>
      </w:pPr>
      <w:r w:rsidRPr="00A70940">
        <w:rPr>
          <w:rFonts w:ascii="Arial" w:hAnsi="Arial" w:cs="Arial"/>
          <w:sz w:val="26"/>
          <w:szCs w:val="26"/>
        </w:rPr>
        <w:t>PRESIDENTE</w:t>
      </w:r>
    </w:p>
    <w:p w14:paraId="35989AD4" w14:textId="4DD3A21F" w:rsidR="00A41FF8" w:rsidRDefault="00A41FF8" w:rsidP="00571114">
      <w:pPr>
        <w:jc w:val="center"/>
        <w:rPr>
          <w:rFonts w:ascii="Arial" w:hAnsi="Arial" w:cs="Arial"/>
          <w:sz w:val="26"/>
          <w:szCs w:val="26"/>
        </w:rPr>
      </w:pPr>
    </w:p>
    <w:p w14:paraId="6CC5928D" w14:textId="72941133" w:rsidR="00E564C6" w:rsidRDefault="00E564C6" w:rsidP="00571114">
      <w:pPr>
        <w:jc w:val="center"/>
        <w:rPr>
          <w:rFonts w:ascii="Arial" w:hAnsi="Arial" w:cs="Arial"/>
          <w:sz w:val="26"/>
          <w:szCs w:val="26"/>
        </w:rPr>
      </w:pPr>
    </w:p>
    <w:p w14:paraId="3564B39C" w14:textId="18C18D3B" w:rsidR="00E564C6" w:rsidRDefault="00E564C6" w:rsidP="00571114">
      <w:pPr>
        <w:jc w:val="center"/>
        <w:rPr>
          <w:rFonts w:ascii="Arial" w:hAnsi="Arial" w:cs="Arial"/>
          <w:sz w:val="26"/>
          <w:szCs w:val="26"/>
        </w:rPr>
      </w:pPr>
    </w:p>
    <w:p w14:paraId="488578C8" w14:textId="77777777" w:rsidR="00E564C6" w:rsidRPr="00A70940" w:rsidRDefault="00E564C6" w:rsidP="00571114">
      <w:pPr>
        <w:jc w:val="center"/>
        <w:rPr>
          <w:rFonts w:ascii="Arial" w:hAnsi="Arial" w:cs="Arial"/>
          <w:sz w:val="26"/>
          <w:szCs w:val="26"/>
        </w:rPr>
      </w:pPr>
    </w:p>
    <w:p w14:paraId="225B2C8F" w14:textId="77777777" w:rsidR="00571114" w:rsidRPr="00A70940" w:rsidRDefault="00571114" w:rsidP="002B37CC">
      <w:pPr>
        <w:tabs>
          <w:tab w:val="left" w:pos="1680"/>
          <w:tab w:val="center" w:pos="4277"/>
        </w:tabs>
        <w:spacing w:after="0" w:line="360" w:lineRule="auto"/>
        <w:jc w:val="center"/>
        <w:rPr>
          <w:rFonts w:ascii="Arial" w:hAnsi="Arial" w:cs="Arial"/>
          <w:sz w:val="26"/>
          <w:szCs w:val="26"/>
        </w:rPr>
      </w:pPr>
      <w:r w:rsidRPr="00A70940">
        <w:rPr>
          <w:rFonts w:ascii="Arial" w:hAnsi="Arial" w:cs="Arial"/>
          <w:sz w:val="26"/>
          <w:szCs w:val="26"/>
        </w:rPr>
        <w:t>MAGISTRADO ABRAHAM SANTIAGO SORIANO</w:t>
      </w:r>
    </w:p>
    <w:p w14:paraId="1C0C30C4" w14:textId="0690E4A3" w:rsidR="002B37CC" w:rsidRDefault="002B37CC" w:rsidP="002B37CC">
      <w:pPr>
        <w:tabs>
          <w:tab w:val="left" w:pos="1680"/>
          <w:tab w:val="center" w:pos="4277"/>
        </w:tabs>
        <w:spacing w:after="0" w:line="360" w:lineRule="auto"/>
        <w:jc w:val="center"/>
        <w:rPr>
          <w:rFonts w:ascii="Arial" w:hAnsi="Arial" w:cs="Arial"/>
          <w:sz w:val="26"/>
          <w:szCs w:val="26"/>
        </w:rPr>
      </w:pPr>
    </w:p>
    <w:p w14:paraId="7F9FE33B" w14:textId="33DD3A1B" w:rsidR="00E564C6" w:rsidRDefault="00E564C6" w:rsidP="002B37CC">
      <w:pPr>
        <w:tabs>
          <w:tab w:val="left" w:pos="1680"/>
          <w:tab w:val="center" w:pos="4277"/>
        </w:tabs>
        <w:spacing w:after="0" w:line="360" w:lineRule="auto"/>
        <w:jc w:val="center"/>
        <w:rPr>
          <w:rFonts w:ascii="Arial" w:hAnsi="Arial" w:cs="Arial"/>
          <w:sz w:val="26"/>
          <w:szCs w:val="26"/>
        </w:rPr>
      </w:pPr>
    </w:p>
    <w:p w14:paraId="19E0AF1E" w14:textId="491D1C90" w:rsidR="00E564C6" w:rsidRDefault="00E564C6" w:rsidP="002B37CC">
      <w:pPr>
        <w:tabs>
          <w:tab w:val="left" w:pos="1680"/>
          <w:tab w:val="center" w:pos="4277"/>
        </w:tabs>
        <w:spacing w:after="0" w:line="360" w:lineRule="auto"/>
        <w:jc w:val="center"/>
        <w:rPr>
          <w:rFonts w:ascii="Arial" w:hAnsi="Arial" w:cs="Arial"/>
          <w:b/>
          <w:bCs/>
          <w:sz w:val="18"/>
          <w:szCs w:val="18"/>
        </w:rPr>
      </w:pPr>
      <w:r w:rsidRPr="00E564C6">
        <w:rPr>
          <w:rFonts w:ascii="Arial" w:hAnsi="Arial" w:cs="Arial"/>
          <w:b/>
          <w:bCs/>
          <w:sz w:val="18"/>
          <w:szCs w:val="18"/>
        </w:rPr>
        <w:t xml:space="preserve">LAS PRESENTES FIRMAS CORRESPONDEN AL RECURSO DE REVISIÓN </w:t>
      </w:r>
      <w:r w:rsidR="0020033A">
        <w:rPr>
          <w:rFonts w:ascii="Arial" w:hAnsi="Arial" w:cs="Arial"/>
          <w:b/>
          <w:bCs/>
          <w:sz w:val="18"/>
          <w:szCs w:val="18"/>
        </w:rPr>
        <w:t>174</w:t>
      </w:r>
      <w:r w:rsidRPr="00E564C6">
        <w:rPr>
          <w:rFonts w:ascii="Arial" w:hAnsi="Arial" w:cs="Arial"/>
          <w:b/>
          <w:bCs/>
          <w:sz w:val="18"/>
          <w:szCs w:val="18"/>
        </w:rPr>
        <w:t>/2020</w:t>
      </w:r>
    </w:p>
    <w:p w14:paraId="122C93D6" w14:textId="5330464B" w:rsidR="00E564C6" w:rsidRDefault="00E564C6" w:rsidP="002B37CC">
      <w:pPr>
        <w:tabs>
          <w:tab w:val="left" w:pos="1680"/>
          <w:tab w:val="center" w:pos="4277"/>
        </w:tabs>
        <w:spacing w:after="0" w:line="360" w:lineRule="auto"/>
        <w:jc w:val="center"/>
        <w:rPr>
          <w:rFonts w:ascii="Arial" w:hAnsi="Arial" w:cs="Arial"/>
          <w:b/>
          <w:bCs/>
          <w:sz w:val="18"/>
          <w:szCs w:val="18"/>
        </w:rPr>
      </w:pPr>
    </w:p>
    <w:p w14:paraId="7E058502" w14:textId="5D2EB41B" w:rsidR="00E564C6" w:rsidRDefault="00E564C6" w:rsidP="002B37CC">
      <w:pPr>
        <w:tabs>
          <w:tab w:val="left" w:pos="1680"/>
          <w:tab w:val="center" w:pos="4277"/>
        </w:tabs>
        <w:spacing w:after="0" w:line="360" w:lineRule="auto"/>
        <w:jc w:val="center"/>
        <w:rPr>
          <w:rFonts w:ascii="Arial" w:hAnsi="Arial" w:cs="Arial"/>
          <w:b/>
          <w:bCs/>
          <w:sz w:val="18"/>
          <w:szCs w:val="18"/>
        </w:rPr>
      </w:pPr>
    </w:p>
    <w:p w14:paraId="63C065BE" w14:textId="77777777" w:rsidR="00E564C6" w:rsidRDefault="00E564C6" w:rsidP="002B37CC">
      <w:pPr>
        <w:tabs>
          <w:tab w:val="left" w:pos="1680"/>
          <w:tab w:val="center" w:pos="4277"/>
        </w:tabs>
        <w:spacing w:after="0" w:line="360" w:lineRule="auto"/>
        <w:jc w:val="center"/>
        <w:rPr>
          <w:rFonts w:ascii="Arial" w:hAnsi="Arial" w:cs="Arial"/>
          <w:b/>
          <w:bCs/>
          <w:sz w:val="18"/>
          <w:szCs w:val="18"/>
        </w:rPr>
      </w:pPr>
    </w:p>
    <w:p w14:paraId="268EDF55" w14:textId="521A94B2" w:rsidR="00E564C6" w:rsidRDefault="00E564C6" w:rsidP="002B37CC">
      <w:pPr>
        <w:tabs>
          <w:tab w:val="left" w:pos="1680"/>
          <w:tab w:val="center" w:pos="4277"/>
        </w:tabs>
        <w:spacing w:after="0" w:line="360" w:lineRule="auto"/>
        <w:jc w:val="center"/>
        <w:rPr>
          <w:rFonts w:ascii="Arial" w:hAnsi="Arial" w:cs="Arial"/>
          <w:b/>
          <w:bCs/>
          <w:sz w:val="18"/>
          <w:szCs w:val="18"/>
        </w:rPr>
      </w:pPr>
    </w:p>
    <w:p w14:paraId="60C7622E" w14:textId="5C0E5FAB" w:rsidR="00E564C6" w:rsidRDefault="00E564C6" w:rsidP="002B37CC">
      <w:pPr>
        <w:tabs>
          <w:tab w:val="left" w:pos="1680"/>
          <w:tab w:val="center" w:pos="4277"/>
        </w:tabs>
        <w:spacing w:after="0" w:line="360" w:lineRule="auto"/>
        <w:jc w:val="center"/>
        <w:rPr>
          <w:rFonts w:ascii="Arial" w:hAnsi="Arial" w:cs="Arial"/>
          <w:b/>
          <w:bCs/>
          <w:sz w:val="18"/>
          <w:szCs w:val="18"/>
        </w:rPr>
      </w:pPr>
    </w:p>
    <w:p w14:paraId="2E78FE9C" w14:textId="72CC7831" w:rsidR="00E564C6" w:rsidRDefault="00E564C6" w:rsidP="002B37CC">
      <w:pPr>
        <w:tabs>
          <w:tab w:val="left" w:pos="1680"/>
          <w:tab w:val="center" w:pos="4277"/>
        </w:tabs>
        <w:spacing w:after="0" w:line="360" w:lineRule="auto"/>
        <w:jc w:val="center"/>
        <w:rPr>
          <w:rFonts w:ascii="Arial" w:hAnsi="Arial" w:cs="Arial"/>
          <w:b/>
          <w:bCs/>
          <w:sz w:val="18"/>
          <w:szCs w:val="18"/>
        </w:rPr>
      </w:pPr>
    </w:p>
    <w:p w14:paraId="292BE19E" w14:textId="77777777" w:rsidR="00E564C6" w:rsidRPr="00E564C6" w:rsidRDefault="00E564C6" w:rsidP="002B37CC">
      <w:pPr>
        <w:tabs>
          <w:tab w:val="left" w:pos="1680"/>
          <w:tab w:val="center" w:pos="4277"/>
        </w:tabs>
        <w:spacing w:after="0" w:line="360" w:lineRule="auto"/>
        <w:jc w:val="center"/>
        <w:rPr>
          <w:rFonts w:ascii="Arial" w:hAnsi="Arial" w:cs="Arial"/>
          <w:b/>
          <w:bCs/>
          <w:sz w:val="18"/>
          <w:szCs w:val="18"/>
        </w:rPr>
      </w:pPr>
    </w:p>
    <w:p w14:paraId="4EB08F7C" w14:textId="137B40F2" w:rsidR="003225E3" w:rsidRDefault="003225E3" w:rsidP="002B37CC">
      <w:pPr>
        <w:spacing w:after="0"/>
        <w:jc w:val="center"/>
        <w:rPr>
          <w:rFonts w:ascii="Arial" w:hAnsi="Arial" w:cs="Arial"/>
          <w:sz w:val="26"/>
          <w:szCs w:val="26"/>
        </w:rPr>
      </w:pPr>
      <w:r w:rsidRPr="00A70940">
        <w:rPr>
          <w:rFonts w:ascii="Arial" w:hAnsi="Arial" w:cs="Arial"/>
          <w:sz w:val="26"/>
          <w:szCs w:val="26"/>
        </w:rPr>
        <w:t>MAGISTRADO RAÚL PALOMARES PALOMINO</w:t>
      </w:r>
    </w:p>
    <w:p w14:paraId="7A772F85" w14:textId="4966F694" w:rsidR="00E564C6" w:rsidRDefault="00E564C6" w:rsidP="002B37CC">
      <w:pPr>
        <w:spacing w:after="0"/>
        <w:jc w:val="center"/>
        <w:rPr>
          <w:rFonts w:ascii="Arial" w:hAnsi="Arial" w:cs="Arial"/>
          <w:sz w:val="26"/>
          <w:szCs w:val="26"/>
        </w:rPr>
      </w:pPr>
    </w:p>
    <w:p w14:paraId="0E0E6FF3" w14:textId="5AE96B22" w:rsidR="00E564C6" w:rsidRDefault="00E564C6" w:rsidP="002B37CC">
      <w:pPr>
        <w:spacing w:after="0"/>
        <w:jc w:val="center"/>
        <w:rPr>
          <w:rFonts w:ascii="Arial" w:hAnsi="Arial" w:cs="Arial"/>
          <w:sz w:val="26"/>
          <w:szCs w:val="26"/>
        </w:rPr>
      </w:pPr>
    </w:p>
    <w:p w14:paraId="47BFD77C" w14:textId="25BA8B9C" w:rsidR="00E564C6" w:rsidRDefault="00E564C6" w:rsidP="002B37CC">
      <w:pPr>
        <w:spacing w:after="0"/>
        <w:jc w:val="center"/>
        <w:rPr>
          <w:rFonts w:ascii="Arial" w:hAnsi="Arial" w:cs="Arial"/>
          <w:sz w:val="26"/>
          <w:szCs w:val="26"/>
        </w:rPr>
      </w:pPr>
    </w:p>
    <w:p w14:paraId="008AB82B" w14:textId="64C7EA96" w:rsidR="00E564C6" w:rsidRDefault="00E564C6" w:rsidP="002B37CC">
      <w:pPr>
        <w:spacing w:after="0"/>
        <w:jc w:val="center"/>
        <w:rPr>
          <w:rFonts w:ascii="Arial" w:hAnsi="Arial" w:cs="Arial"/>
          <w:sz w:val="26"/>
          <w:szCs w:val="26"/>
        </w:rPr>
      </w:pPr>
    </w:p>
    <w:p w14:paraId="647F79B2" w14:textId="77777777" w:rsidR="00E564C6" w:rsidRPr="00A70940" w:rsidRDefault="00E564C6" w:rsidP="002B37CC">
      <w:pPr>
        <w:spacing w:after="0"/>
        <w:jc w:val="center"/>
        <w:rPr>
          <w:rFonts w:ascii="Arial" w:hAnsi="Arial" w:cs="Arial"/>
          <w:sz w:val="26"/>
          <w:szCs w:val="26"/>
        </w:rPr>
      </w:pPr>
    </w:p>
    <w:p w14:paraId="45AD1505" w14:textId="77777777" w:rsidR="002B37CC" w:rsidRPr="00A70940" w:rsidRDefault="002B37CC" w:rsidP="002B37CC">
      <w:pPr>
        <w:spacing w:after="0"/>
        <w:jc w:val="center"/>
        <w:rPr>
          <w:rFonts w:ascii="Arial" w:hAnsi="Arial" w:cs="Arial"/>
          <w:sz w:val="26"/>
          <w:szCs w:val="26"/>
        </w:rPr>
      </w:pPr>
    </w:p>
    <w:p w14:paraId="38F33C8B" w14:textId="096C9AFA" w:rsidR="00380738" w:rsidRDefault="00380738" w:rsidP="002B37CC">
      <w:pPr>
        <w:tabs>
          <w:tab w:val="left" w:pos="1680"/>
          <w:tab w:val="center" w:pos="4277"/>
        </w:tabs>
        <w:spacing w:after="0" w:line="360" w:lineRule="auto"/>
        <w:jc w:val="center"/>
        <w:rPr>
          <w:rFonts w:ascii="Arial" w:hAnsi="Arial" w:cs="Arial"/>
          <w:sz w:val="26"/>
          <w:szCs w:val="26"/>
        </w:rPr>
      </w:pPr>
      <w:r w:rsidRPr="00A70940">
        <w:rPr>
          <w:rFonts w:ascii="Arial" w:hAnsi="Arial" w:cs="Arial"/>
          <w:sz w:val="26"/>
          <w:szCs w:val="26"/>
        </w:rPr>
        <w:t>MAGISTRADA GLORIA DEL CARMEN CAMACHO MEZA</w:t>
      </w:r>
    </w:p>
    <w:p w14:paraId="26821F38" w14:textId="68F47C3C" w:rsidR="00E564C6" w:rsidRDefault="00E564C6" w:rsidP="002B37CC">
      <w:pPr>
        <w:tabs>
          <w:tab w:val="left" w:pos="1680"/>
          <w:tab w:val="center" w:pos="4277"/>
        </w:tabs>
        <w:spacing w:after="0" w:line="360" w:lineRule="auto"/>
        <w:jc w:val="center"/>
        <w:rPr>
          <w:rFonts w:ascii="Arial" w:hAnsi="Arial" w:cs="Arial"/>
          <w:sz w:val="26"/>
          <w:szCs w:val="26"/>
        </w:rPr>
      </w:pPr>
    </w:p>
    <w:p w14:paraId="064F0249" w14:textId="201760FF" w:rsidR="00E564C6" w:rsidRDefault="00E564C6" w:rsidP="002B37CC">
      <w:pPr>
        <w:tabs>
          <w:tab w:val="left" w:pos="1680"/>
          <w:tab w:val="center" w:pos="4277"/>
        </w:tabs>
        <w:spacing w:after="0" w:line="360" w:lineRule="auto"/>
        <w:jc w:val="center"/>
        <w:rPr>
          <w:rFonts w:ascii="Arial" w:hAnsi="Arial" w:cs="Arial"/>
          <w:sz w:val="26"/>
          <w:szCs w:val="26"/>
        </w:rPr>
      </w:pPr>
    </w:p>
    <w:p w14:paraId="3BF0CC23" w14:textId="1FD428B8" w:rsidR="00E564C6" w:rsidRDefault="00E564C6" w:rsidP="002B37CC">
      <w:pPr>
        <w:tabs>
          <w:tab w:val="left" w:pos="1680"/>
          <w:tab w:val="center" w:pos="4277"/>
        </w:tabs>
        <w:spacing w:after="0" w:line="360" w:lineRule="auto"/>
        <w:jc w:val="center"/>
        <w:rPr>
          <w:rFonts w:ascii="Arial" w:hAnsi="Arial" w:cs="Arial"/>
          <w:sz w:val="26"/>
          <w:szCs w:val="26"/>
        </w:rPr>
      </w:pPr>
    </w:p>
    <w:p w14:paraId="292AD1B1" w14:textId="77777777" w:rsidR="00E564C6" w:rsidRPr="00A70940" w:rsidRDefault="00E564C6" w:rsidP="002B37CC">
      <w:pPr>
        <w:tabs>
          <w:tab w:val="left" w:pos="1680"/>
          <w:tab w:val="center" w:pos="4277"/>
        </w:tabs>
        <w:spacing w:after="0" w:line="360" w:lineRule="auto"/>
        <w:jc w:val="center"/>
        <w:rPr>
          <w:rFonts w:ascii="Arial" w:hAnsi="Arial" w:cs="Arial"/>
          <w:sz w:val="26"/>
          <w:szCs w:val="26"/>
        </w:rPr>
      </w:pPr>
    </w:p>
    <w:p w14:paraId="1AB7A1C7" w14:textId="77777777" w:rsidR="002B37CC" w:rsidRPr="00A70940" w:rsidRDefault="002B37CC" w:rsidP="002B37CC">
      <w:pPr>
        <w:tabs>
          <w:tab w:val="left" w:pos="1680"/>
          <w:tab w:val="center" w:pos="4277"/>
        </w:tabs>
        <w:spacing w:after="0" w:line="360" w:lineRule="auto"/>
        <w:jc w:val="center"/>
        <w:rPr>
          <w:rFonts w:ascii="Arial" w:hAnsi="Arial" w:cs="Arial"/>
          <w:sz w:val="26"/>
          <w:szCs w:val="26"/>
        </w:rPr>
      </w:pPr>
    </w:p>
    <w:p w14:paraId="66667D2E" w14:textId="6ABB4BA4" w:rsidR="00380738" w:rsidRDefault="00380738" w:rsidP="002B37CC">
      <w:pPr>
        <w:tabs>
          <w:tab w:val="left" w:pos="1680"/>
          <w:tab w:val="center" w:pos="4277"/>
        </w:tabs>
        <w:spacing w:after="0" w:line="360" w:lineRule="auto"/>
        <w:jc w:val="center"/>
        <w:rPr>
          <w:rFonts w:ascii="Arial" w:hAnsi="Arial" w:cs="Arial"/>
          <w:sz w:val="26"/>
          <w:szCs w:val="26"/>
        </w:rPr>
      </w:pPr>
      <w:r w:rsidRPr="00A70940">
        <w:rPr>
          <w:rFonts w:ascii="Arial" w:hAnsi="Arial" w:cs="Arial"/>
          <w:sz w:val="26"/>
          <w:szCs w:val="26"/>
        </w:rPr>
        <w:t>MAGISTR</w:t>
      </w:r>
      <w:r w:rsidR="008C2F16" w:rsidRPr="00A70940">
        <w:rPr>
          <w:rFonts w:ascii="Arial" w:hAnsi="Arial" w:cs="Arial"/>
          <w:sz w:val="26"/>
          <w:szCs w:val="26"/>
        </w:rPr>
        <w:t>A</w:t>
      </w:r>
      <w:r w:rsidRPr="00A70940">
        <w:rPr>
          <w:rFonts w:ascii="Arial" w:hAnsi="Arial" w:cs="Arial"/>
          <w:sz w:val="26"/>
          <w:szCs w:val="26"/>
        </w:rPr>
        <w:t>DO PAULO JOSÉ LUIS TAPIA PALACIOS</w:t>
      </w:r>
    </w:p>
    <w:p w14:paraId="2E51B256" w14:textId="0F336C54" w:rsidR="00E564C6" w:rsidRDefault="00E564C6" w:rsidP="002B37CC">
      <w:pPr>
        <w:tabs>
          <w:tab w:val="left" w:pos="1680"/>
          <w:tab w:val="center" w:pos="4277"/>
        </w:tabs>
        <w:spacing w:after="0" w:line="360" w:lineRule="auto"/>
        <w:jc w:val="center"/>
        <w:rPr>
          <w:rFonts w:ascii="Arial" w:hAnsi="Arial" w:cs="Arial"/>
          <w:sz w:val="26"/>
          <w:szCs w:val="26"/>
        </w:rPr>
      </w:pPr>
    </w:p>
    <w:p w14:paraId="42CF9940" w14:textId="3136F1B6" w:rsidR="00E564C6" w:rsidRDefault="00E564C6" w:rsidP="002B37CC">
      <w:pPr>
        <w:tabs>
          <w:tab w:val="left" w:pos="1680"/>
          <w:tab w:val="center" w:pos="4277"/>
        </w:tabs>
        <w:spacing w:after="0" w:line="360" w:lineRule="auto"/>
        <w:jc w:val="center"/>
        <w:rPr>
          <w:rFonts w:ascii="Arial" w:hAnsi="Arial" w:cs="Arial"/>
          <w:sz w:val="26"/>
          <w:szCs w:val="26"/>
        </w:rPr>
      </w:pPr>
    </w:p>
    <w:p w14:paraId="23E39535" w14:textId="6CDFCDAB" w:rsidR="00E564C6" w:rsidRDefault="00E564C6" w:rsidP="002B37CC">
      <w:pPr>
        <w:tabs>
          <w:tab w:val="left" w:pos="1680"/>
          <w:tab w:val="center" w:pos="4277"/>
        </w:tabs>
        <w:spacing w:after="0" w:line="360" w:lineRule="auto"/>
        <w:jc w:val="center"/>
        <w:rPr>
          <w:rFonts w:ascii="Arial" w:hAnsi="Arial" w:cs="Arial"/>
          <w:sz w:val="26"/>
          <w:szCs w:val="26"/>
        </w:rPr>
      </w:pPr>
    </w:p>
    <w:p w14:paraId="60E21AE5" w14:textId="77777777" w:rsidR="00E564C6" w:rsidRPr="00A70940" w:rsidRDefault="00E564C6" w:rsidP="002B37CC">
      <w:pPr>
        <w:tabs>
          <w:tab w:val="left" w:pos="1680"/>
          <w:tab w:val="center" w:pos="4277"/>
        </w:tabs>
        <w:spacing w:after="0" w:line="360" w:lineRule="auto"/>
        <w:jc w:val="center"/>
        <w:rPr>
          <w:rFonts w:ascii="Arial" w:hAnsi="Arial" w:cs="Arial"/>
          <w:sz w:val="26"/>
          <w:szCs w:val="26"/>
        </w:rPr>
      </w:pPr>
    </w:p>
    <w:p w14:paraId="11C60937" w14:textId="77777777" w:rsidR="002B37CC" w:rsidRPr="00A70940" w:rsidRDefault="002B37CC" w:rsidP="002B37CC">
      <w:pPr>
        <w:tabs>
          <w:tab w:val="left" w:pos="1680"/>
          <w:tab w:val="center" w:pos="4277"/>
        </w:tabs>
        <w:spacing w:after="0" w:line="360" w:lineRule="auto"/>
        <w:jc w:val="center"/>
        <w:rPr>
          <w:rFonts w:ascii="Arial" w:hAnsi="Arial" w:cs="Arial"/>
          <w:sz w:val="26"/>
          <w:szCs w:val="26"/>
        </w:rPr>
      </w:pPr>
    </w:p>
    <w:p w14:paraId="36878909" w14:textId="2759528D" w:rsidR="00AA7F37" w:rsidRPr="00A70940" w:rsidRDefault="005F366A" w:rsidP="002B37CC">
      <w:pPr>
        <w:spacing w:after="0" w:line="240" w:lineRule="auto"/>
        <w:jc w:val="center"/>
        <w:rPr>
          <w:rFonts w:ascii="Arial" w:hAnsi="Arial" w:cs="Arial"/>
          <w:sz w:val="26"/>
          <w:szCs w:val="26"/>
        </w:rPr>
      </w:pPr>
      <w:r w:rsidRPr="00A70940">
        <w:rPr>
          <w:rFonts w:ascii="Arial" w:eastAsia="Calibri" w:hAnsi="Arial" w:cs="Arial"/>
          <w:sz w:val="26"/>
          <w:szCs w:val="26"/>
        </w:rPr>
        <w:t xml:space="preserve">    </w:t>
      </w:r>
      <w:r w:rsidR="00AA7F37" w:rsidRPr="00A70940">
        <w:rPr>
          <w:rFonts w:ascii="Arial" w:hAnsi="Arial" w:cs="Arial"/>
          <w:sz w:val="26"/>
          <w:szCs w:val="26"/>
        </w:rPr>
        <w:t xml:space="preserve">    </w:t>
      </w:r>
      <w:r w:rsidR="00A41FF8" w:rsidRPr="00A70940">
        <w:rPr>
          <w:rFonts w:ascii="Arial" w:hAnsi="Arial" w:cs="Arial"/>
          <w:sz w:val="26"/>
          <w:szCs w:val="26"/>
        </w:rPr>
        <w:t>L</w:t>
      </w:r>
      <w:r w:rsidR="00D37B67">
        <w:rPr>
          <w:rFonts w:ascii="Arial" w:hAnsi="Arial" w:cs="Arial"/>
          <w:sz w:val="26"/>
          <w:szCs w:val="26"/>
        </w:rPr>
        <w:t>ICENCIADO</w:t>
      </w:r>
      <w:r w:rsidR="00A41FF8" w:rsidRPr="00A70940">
        <w:rPr>
          <w:rFonts w:ascii="Arial" w:hAnsi="Arial" w:cs="Arial"/>
          <w:sz w:val="26"/>
          <w:szCs w:val="26"/>
        </w:rPr>
        <w:t xml:space="preserve"> JUAN EDY </w:t>
      </w:r>
      <w:r w:rsidR="007A0FCD" w:rsidRPr="00A70940">
        <w:rPr>
          <w:rFonts w:ascii="Arial" w:hAnsi="Arial" w:cs="Arial"/>
          <w:sz w:val="26"/>
          <w:szCs w:val="26"/>
        </w:rPr>
        <w:t>GARCÍA</w:t>
      </w:r>
      <w:r w:rsidR="00AA7F37" w:rsidRPr="00A70940">
        <w:rPr>
          <w:rFonts w:ascii="Arial" w:hAnsi="Arial" w:cs="Arial"/>
          <w:sz w:val="26"/>
          <w:szCs w:val="26"/>
        </w:rPr>
        <w:t xml:space="preserve"> CORONADO.</w:t>
      </w:r>
    </w:p>
    <w:p w14:paraId="08A0E3CF" w14:textId="2CF269D6" w:rsidR="00AA7F37" w:rsidRDefault="00AA7F37" w:rsidP="00AA7F37">
      <w:pPr>
        <w:spacing w:after="0" w:line="240" w:lineRule="auto"/>
        <w:jc w:val="center"/>
      </w:pPr>
      <w:r w:rsidRPr="00A70940">
        <w:rPr>
          <w:rFonts w:ascii="Arial" w:hAnsi="Arial" w:cs="Arial"/>
          <w:sz w:val="26"/>
          <w:szCs w:val="26"/>
        </w:rPr>
        <w:t xml:space="preserve">      SECRETARIO GENERAL DE ACUERDOS</w:t>
      </w:r>
    </w:p>
    <w:p w14:paraId="50453FE0" w14:textId="47410B9E" w:rsidR="00BA258A" w:rsidRPr="000338EE" w:rsidRDefault="00AA7F37" w:rsidP="000338EE">
      <w:pPr>
        <w:rPr>
          <w:lang w:val="es-ES"/>
        </w:rPr>
      </w:pPr>
      <w:r>
        <w:tab/>
        <w:t xml:space="preserve">  </w:t>
      </w:r>
    </w:p>
    <w:sectPr w:rsidR="00BA258A" w:rsidRPr="000338EE"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44707" w14:textId="77777777" w:rsidR="009C22C6" w:rsidRDefault="009C22C6">
      <w:pPr>
        <w:spacing w:after="0" w:line="240" w:lineRule="auto"/>
      </w:pPr>
      <w:r>
        <w:separator/>
      </w:r>
    </w:p>
  </w:endnote>
  <w:endnote w:type="continuationSeparator" w:id="0">
    <w:p w14:paraId="7EFD69E0" w14:textId="77777777" w:rsidR="009C22C6" w:rsidRDefault="009C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FE08EAF" w:rsidR="00C42196" w:rsidRDefault="007212BE">
    <w:pPr>
      <w:pStyle w:val="Piedepgina"/>
      <w:jc w:val="center"/>
    </w:pPr>
    <w:r>
      <w:rPr>
        <w:noProof/>
      </w:rPr>
      <mc:AlternateContent>
        <mc:Choice Requires="wps">
          <w:drawing>
            <wp:anchor distT="45720" distB="45720" distL="114300" distR="114300" simplePos="0" relativeHeight="251667456" behindDoc="0" locked="0" layoutInCell="1" allowOverlap="1" wp14:anchorId="4312CE62" wp14:editId="66D2640E">
              <wp:simplePos x="0" y="0"/>
              <wp:positionH relativeFrom="column">
                <wp:posOffset>-1295400</wp:posOffset>
              </wp:positionH>
              <wp:positionV relativeFrom="paragraph">
                <wp:posOffset>-4761865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F1A4634" w14:textId="77777777" w:rsidR="007212BE" w:rsidRPr="00BB7E37" w:rsidRDefault="007212BE" w:rsidP="007212B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2CE62" id="_x0000_t202" coordsize="21600,21600" o:spt="202" path="m,l,21600r21600,l21600,xe">
              <v:stroke joinstyle="miter"/>
              <v:path gradientshapeok="t" o:connecttype="rect"/>
            </v:shapetype>
            <v:shape id="Cuadro de texto 2" o:spid="_x0000_s1026" type="#_x0000_t202" style="position:absolute;left:0;text-align:left;margin-left:-102pt;margin-top:-374.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">
              <v:textbox>
                <w:txbxContent>
                  <w:p w14:paraId="4F1A4634" w14:textId="77777777" w:rsidR="007212BE" w:rsidRPr="00BB7E37" w:rsidRDefault="007212BE" w:rsidP="007212B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C42196" w:rsidRDefault="00C421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9A2A2" w14:textId="77777777" w:rsidR="009C22C6" w:rsidRDefault="009C22C6">
      <w:pPr>
        <w:spacing w:after="0" w:line="240" w:lineRule="auto"/>
      </w:pPr>
      <w:r>
        <w:separator/>
      </w:r>
    </w:p>
  </w:footnote>
  <w:footnote w:type="continuationSeparator" w:id="0">
    <w:p w14:paraId="56D16B44" w14:textId="77777777" w:rsidR="009C22C6" w:rsidRDefault="009C22C6">
      <w:pPr>
        <w:spacing w:after="0" w:line="240" w:lineRule="auto"/>
      </w:pPr>
      <w:r>
        <w:continuationSeparator/>
      </w:r>
    </w:p>
  </w:footnote>
  <w:footnote w:id="1">
    <w:p w14:paraId="02AF6644" w14:textId="30B7C991" w:rsidR="00766CF2" w:rsidRPr="00766CF2" w:rsidRDefault="00766CF2" w:rsidP="00766CF2">
      <w:pPr>
        <w:pStyle w:val="Textonotapie"/>
        <w:jc w:val="both"/>
        <w:rPr>
          <w:lang w:val="es-ES"/>
        </w:rPr>
      </w:pPr>
      <w:r>
        <w:rPr>
          <w:rStyle w:val="Refdenotaalpie"/>
        </w:rPr>
        <w:footnoteRef/>
      </w:r>
      <w:r>
        <w:t xml:space="preserve"> </w:t>
      </w:r>
      <w:r w:rsidRPr="00766CF2">
        <w:rPr>
          <w:b/>
          <w:bCs/>
        </w:rPr>
        <w:t>Artículo 53.-</w:t>
      </w:r>
      <w:r>
        <w:t xml:space="preserve"> Para la tramitación y resolución de los asuntos ante los tribunales ordinarios se estará a lo dispuesto por este Código, sin que por convenio de los interesados puedan renunciarse los recursos, ni el derecho de recusación; ni alterarse, modificarse o renunciarse las normas del procedimiento.</w:t>
      </w:r>
    </w:p>
  </w:footnote>
  <w:footnote w:id="2">
    <w:p w14:paraId="2BBEE6FC" w14:textId="3486601D" w:rsidR="00766CF2" w:rsidRPr="00766CF2" w:rsidRDefault="00766CF2" w:rsidP="00766CF2">
      <w:pPr>
        <w:pStyle w:val="Textonotapie"/>
        <w:jc w:val="both"/>
        <w:rPr>
          <w:lang w:val="es-ES"/>
        </w:rPr>
      </w:pPr>
      <w:r>
        <w:rPr>
          <w:rStyle w:val="Refdenotaalpie"/>
        </w:rPr>
        <w:footnoteRef/>
      </w:r>
      <w:r>
        <w:t xml:space="preserve"> </w:t>
      </w:r>
      <w:r w:rsidRPr="00766CF2">
        <w:rPr>
          <w:b/>
          <w:bCs/>
        </w:rPr>
        <w:t>ARTÍCULO 3.-</w:t>
      </w:r>
      <w:r>
        <w:t xml:space="preserve"> 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3">
    <w:p w14:paraId="38C7270A" w14:textId="47779679" w:rsidR="0021150C" w:rsidRPr="0021150C" w:rsidRDefault="0021150C">
      <w:pPr>
        <w:pStyle w:val="Textonotapie"/>
        <w:rPr>
          <w:lang w:val="es-ES"/>
        </w:rPr>
      </w:pPr>
      <w:r>
        <w:rPr>
          <w:rStyle w:val="Refdenotaalpie"/>
        </w:rPr>
        <w:footnoteRef/>
      </w:r>
      <w:r>
        <w:t xml:space="preserve"> </w:t>
      </w:r>
      <w:r w:rsidRPr="0021150C">
        <w:rPr>
          <w:b/>
          <w:bCs/>
        </w:rPr>
        <w:t>ARTÍCULO 213.-</w:t>
      </w:r>
      <w:r>
        <w:t xml:space="preserve"> Si dentro del plazo señalado en el artículo anterior, las autoridades no cumpliesen con la sentencia, la Sala correspondiente, de oficio, la requerirá para que dentro del término de veinticuatro horas contadas a partir de la hora en que queden legalmente notificados cumplimenten el fallo e informen sobre ello.</w:t>
      </w:r>
    </w:p>
  </w:footnote>
  <w:footnote w:id="4">
    <w:p w14:paraId="55AE2B97" w14:textId="2F9481F3" w:rsidR="0021150C" w:rsidRPr="0021150C" w:rsidRDefault="0021150C" w:rsidP="0021150C">
      <w:pPr>
        <w:pStyle w:val="Textonotapie"/>
        <w:jc w:val="both"/>
        <w:rPr>
          <w:lang w:val="es-ES"/>
        </w:rPr>
      </w:pPr>
      <w:r w:rsidRPr="0021150C">
        <w:rPr>
          <w:rStyle w:val="Refdenotaalpie"/>
          <w:b/>
          <w:bCs/>
        </w:rPr>
        <w:footnoteRef/>
      </w:r>
      <w:r w:rsidRPr="0021150C">
        <w:rPr>
          <w:b/>
          <w:bCs/>
        </w:rPr>
        <w:t xml:space="preserve"> ARTÍCULO 214</w:t>
      </w:r>
      <w:r>
        <w:t>.- Si a pesar del requerimiento, la autoridad o la entidad demandada, se niega a cumplir con la sentencia del Tribunal se procederá en la forma siguiente: I. Si la ejecución consiste en un acto material que solo puede ejecutar la demandada, y esta tuviese superior jerárquico, se requerirá a este para que ordene el cumplimiento de la resolución; II. Si la demandada insiste en no cumplir, la Sala que le corresponda lo hará del conocimiento del Ejecutivo del Estado o del Ayuntamiento, según el caso para que obliguen a la demandada al cumplimiento de la sentencia, y si la ejecución consiste en un acto material, que no tenga necesariamente que ser ejecutado por la autoridad demandada, el propio Tribunal podrá realizarlo en rebeldía de aquella; y III. El Tribunal podrá imponer multa de cincuenta y uno a ciento cincuenta Unidades de Medida y Actualización Diaria, a los servidores públicos que incumplan una sentencia sin perjuicio de que se reitere cuantas veces sea necesario la multa impuesta y esta se duplique. Independientemente de que se proceda tanto administrativa como penalmente en contra del que desobedezca el mandato legítimo del Tribunal, en términos de la Ley de Responsabilidades del Estado y Municipios de Oaxaca, así como de la Legislación Penal del Estado de Oaxaca. El Tribunal requerirá continuamente al Órgano de Control Interno que corresponda, para que inicie y concluya el procedimiento administrativo disciplinario al que se refiere la Ley de Responsabilidades del Estado y Municipios de Oaxaca, hasta obtener la sanción del rebelde, imponiendo iguales multas al Órgano de Control Interno que corresponda, para el caso de desacato.</w:t>
      </w:r>
    </w:p>
  </w:footnote>
  <w:footnote w:id="5">
    <w:p w14:paraId="6424E58D" w14:textId="1A3D8581" w:rsidR="00713653" w:rsidRDefault="00713653" w:rsidP="00575BAF">
      <w:pPr>
        <w:pStyle w:val="Textonotapie"/>
        <w:jc w:val="both"/>
      </w:pPr>
      <w:r>
        <w:rPr>
          <w:rStyle w:val="Refdenotaalpie"/>
        </w:rPr>
        <w:footnoteRef/>
      </w:r>
      <w:r>
        <w:t xml:space="preserve"> </w:t>
      </w:r>
      <w:r w:rsidRPr="005669AD">
        <w:rPr>
          <w:b/>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45376BEC" w14:textId="4CDB8F6D" w:rsidR="00713653" w:rsidRDefault="005669AD" w:rsidP="00575BAF">
      <w:pPr>
        <w:pStyle w:val="Textonotapie"/>
        <w:jc w:val="both"/>
      </w:pPr>
      <w:r w:rsidRPr="00462F79">
        <w:rPr>
          <w:b/>
        </w:rPr>
        <w:t>II.</w:t>
      </w:r>
      <w:r>
        <w:t xml:space="preserve"> </w:t>
      </w:r>
      <w:r w:rsidR="00713653">
        <w:t>El acto administrativo que se declare jurídicamente nulo será inválido; no se presumirá legítimo ni ejecutable; será subsanable, sin perjuicio de que pueda expedirse un nuevo acto. Los particulares no tendrán obligación de cumplirlo y los servidores públicos</w:t>
      </w:r>
      <w:r>
        <w:t xml:space="preserve">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42196" w:rsidRDefault="009C22C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C42196">
          <w:fldChar w:fldCharType="begin"/>
        </w:r>
        <w:r w:rsidR="00C42196">
          <w:instrText>PAGE   \* MERGEFORMAT</w:instrText>
        </w:r>
        <w:r w:rsidR="00C42196">
          <w:fldChar w:fldCharType="separate"/>
        </w:r>
        <w:r w:rsidR="007212BE" w:rsidRPr="007212BE">
          <w:rPr>
            <w:noProof/>
            <w:lang w:val="es-ES"/>
          </w:rPr>
          <w:t>8</w:t>
        </w:r>
        <w:r w:rsidR="00C42196">
          <w:fldChar w:fldCharType="end"/>
        </w:r>
      </w:p>
    </w:sdtContent>
  </w:sdt>
  <w:p w14:paraId="0E68208C" w14:textId="77777777" w:rsidR="00C42196" w:rsidRDefault="00C421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42196" w:rsidRDefault="009C22C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42196">
          <w:fldChar w:fldCharType="begin"/>
        </w:r>
        <w:r w:rsidR="00C42196">
          <w:instrText>PAGE   \* MERGEFORMAT</w:instrText>
        </w:r>
        <w:r w:rsidR="00C42196">
          <w:fldChar w:fldCharType="separate"/>
        </w:r>
        <w:r w:rsidR="007212BE" w:rsidRPr="007212BE">
          <w:rPr>
            <w:noProof/>
            <w:lang w:val="es-ES"/>
          </w:rPr>
          <w:t>9</w:t>
        </w:r>
        <w:r w:rsidR="00C42196">
          <w:fldChar w:fldCharType="end"/>
        </w:r>
      </w:sdtContent>
    </w:sdt>
  </w:p>
  <w:p w14:paraId="51E22156" w14:textId="61735068" w:rsidR="00C42196" w:rsidRDefault="00C42196"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AA4CB09">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CB82DA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42196" w:rsidRDefault="009C22C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402324E"/>
    <w:multiLevelType w:val="hybridMultilevel"/>
    <w:tmpl w:val="923CAAFE"/>
    <w:lvl w:ilvl="0" w:tplc="24425F62">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6"/>
  </w:num>
  <w:num w:numId="3">
    <w:abstractNumId w:val="3"/>
  </w:num>
  <w:num w:numId="4">
    <w:abstractNumId w:val="16"/>
  </w:num>
  <w:num w:numId="5">
    <w:abstractNumId w:val="19"/>
  </w:num>
  <w:num w:numId="6">
    <w:abstractNumId w:val="11"/>
  </w:num>
  <w:num w:numId="7">
    <w:abstractNumId w:val="9"/>
  </w:num>
  <w:num w:numId="8">
    <w:abstractNumId w:val="5"/>
  </w:num>
  <w:num w:numId="9">
    <w:abstractNumId w:val="8"/>
  </w:num>
  <w:num w:numId="10">
    <w:abstractNumId w:val="14"/>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3"/>
  </w:num>
  <w:num w:numId="19">
    <w:abstractNumId w:val="10"/>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E5"/>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04"/>
    <w:rsid w:val="00012918"/>
    <w:rsid w:val="00012DC1"/>
    <w:rsid w:val="000130C8"/>
    <w:rsid w:val="000135AF"/>
    <w:rsid w:val="00014D13"/>
    <w:rsid w:val="00014F98"/>
    <w:rsid w:val="0001695E"/>
    <w:rsid w:val="00016C0B"/>
    <w:rsid w:val="00016E88"/>
    <w:rsid w:val="000172AD"/>
    <w:rsid w:val="000174F5"/>
    <w:rsid w:val="000201A4"/>
    <w:rsid w:val="00020680"/>
    <w:rsid w:val="000208F3"/>
    <w:rsid w:val="00020D86"/>
    <w:rsid w:val="00021989"/>
    <w:rsid w:val="00021B04"/>
    <w:rsid w:val="00021C5F"/>
    <w:rsid w:val="00022BBC"/>
    <w:rsid w:val="00023F33"/>
    <w:rsid w:val="00024545"/>
    <w:rsid w:val="00025BEB"/>
    <w:rsid w:val="000262A2"/>
    <w:rsid w:val="000262D5"/>
    <w:rsid w:val="000264DD"/>
    <w:rsid w:val="00026C11"/>
    <w:rsid w:val="000306D4"/>
    <w:rsid w:val="00030BAF"/>
    <w:rsid w:val="000318F4"/>
    <w:rsid w:val="00031F8E"/>
    <w:rsid w:val="000324B9"/>
    <w:rsid w:val="000329BA"/>
    <w:rsid w:val="00032D83"/>
    <w:rsid w:val="000330FB"/>
    <w:rsid w:val="000338EE"/>
    <w:rsid w:val="00034F3F"/>
    <w:rsid w:val="00035ED9"/>
    <w:rsid w:val="0003629C"/>
    <w:rsid w:val="00036809"/>
    <w:rsid w:val="00036823"/>
    <w:rsid w:val="000369AF"/>
    <w:rsid w:val="00037279"/>
    <w:rsid w:val="00037443"/>
    <w:rsid w:val="00037843"/>
    <w:rsid w:val="00037C6A"/>
    <w:rsid w:val="00040C69"/>
    <w:rsid w:val="000419E9"/>
    <w:rsid w:val="00041EAA"/>
    <w:rsid w:val="00042473"/>
    <w:rsid w:val="000424AC"/>
    <w:rsid w:val="00043077"/>
    <w:rsid w:val="000436B4"/>
    <w:rsid w:val="000441B5"/>
    <w:rsid w:val="00044C5F"/>
    <w:rsid w:val="000450F5"/>
    <w:rsid w:val="0004577C"/>
    <w:rsid w:val="000466B1"/>
    <w:rsid w:val="000466D5"/>
    <w:rsid w:val="0004727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AFA"/>
    <w:rsid w:val="000A0E5E"/>
    <w:rsid w:val="000A12C0"/>
    <w:rsid w:val="000A1491"/>
    <w:rsid w:val="000A17DF"/>
    <w:rsid w:val="000A200A"/>
    <w:rsid w:val="000A2550"/>
    <w:rsid w:val="000A27AC"/>
    <w:rsid w:val="000A335C"/>
    <w:rsid w:val="000A33D9"/>
    <w:rsid w:val="000A33F5"/>
    <w:rsid w:val="000A3D89"/>
    <w:rsid w:val="000A468C"/>
    <w:rsid w:val="000A5540"/>
    <w:rsid w:val="000A578F"/>
    <w:rsid w:val="000A58B5"/>
    <w:rsid w:val="000A5D36"/>
    <w:rsid w:val="000A5FA8"/>
    <w:rsid w:val="000A6C87"/>
    <w:rsid w:val="000B0351"/>
    <w:rsid w:val="000B03B9"/>
    <w:rsid w:val="000B0431"/>
    <w:rsid w:val="000B165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90D"/>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134"/>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70"/>
    <w:rsid w:val="00126EEE"/>
    <w:rsid w:val="00126EEF"/>
    <w:rsid w:val="00126F80"/>
    <w:rsid w:val="00127248"/>
    <w:rsid w:val="00127B1F"/>
    <w:rsid w:val="00127C05"/>
    <w:rsid w:val="00130500"/>
    <w:rsid w:val="0013065F"/>
    <w:rsid w:val="00130734"/>
    <w:rsid w:val="001312BC"/>
    <w:rsid w:val="00131562"/>
    <w:rsid w:val="00131911"/>
    <w:rsid w:val="00131CDF"/>
    <w:rsid w:val="00132391"/>
    <w:rsid w:val="001336D8"/>
    <w:rsid w:val="00133BFB"/>
    <w:rsid w:val="00133D68"/>
    <w:rsid w:val="00133DCC"/>
    <w:rsid w:val="00134892"/>
    <w:rsid w:val="00134A68"/>
    <w:rsid w:val="00134AB5"/>
    <w:rsid w:val="00135132"/>
    <w:rsid w:val="0013555E"/>
    <w:rsid w:val="00135B0C"/>
    <w:rsid w:val="00136750"/>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87830"/>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075"/>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5128"/>
    <w:rsid w:val="001B6E63"/>
    <w:rsid w:val="001B7127"/>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DD8"/>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309"/>
    <w:rsid w:val="001E593B"/>
    <w:rsid w:val="001E65E8"/>
    <w:rsid w:val="001E6AE5"/>
    <w:rsid w:val="001E7020"/>
    <w:rsid w:val="001E71FD"/>
    <w:rsid w:val="001E77A9"/>
    <w:rsid w:val="001E7A93"/>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033A"/>
    <w:rsid w:val="002010A9"/>
    <w:rsid w:val="00201769"/>
    <w:rsid w:val="0020247E"/>
    <w:rsid w:val="002025FD"/>
    <w:rsid w:val="002038E9"/>
    <w:rsid w:val="00203FD3"/>
    <w:rsid w:val="00205A55"/>
    <w:rsid w:val="00206222"/>
    <w:rsid w:val="0020694D"/>
    <w:rsid w:val="00206B99"/>
    <w:rsid w:val="002073D2"/>
    <w:rsid w:val="002078AA"/>
    <w:rsid w:val="00207CEA"/>
    <w:rsid w:val="00210261"/>
    <w:rsid w:val="0021074F"/>
    <w:rsid w:val="002111AC"/>
    <w:rsid w:val="0021150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A92"/>
    <w:rsid w:val="00232D7F"/>
    <w:rsid w:val="00233C2B"/>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6761"/>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3398"/>
    <w:rsid w:val="002745CD"/>
    <w:rsid w:val="002748AA"/>
    <w:rsid w:val="00275418"/>
    <w:rsid w:val="002759DE"/>
    <w:rsid w:val="002805AC"/>
    <w:rsid w:val="00280919"/>
    <w:rsid w:val="00281416"/>
    <w:rsid w:val="00281661"/>
    <w:rsid w:val="00281901"/>
    <w:rsid w:val="00282C81"/>
    <w:rsid w:val="00283B3F"/>
    <w:rsid w:val="002841EE"/>
    <w:rsid w:val="002844AF"/>
    <w:rsid w:val="00284891"/>
    <w:rsid w:val="002856E9"/>
    <w:rsid w:val="00285B3A"/>
    <w:rsid w:val="00285C95"/>
    <w:rsid w:val="00286C13"/>
    <w:rsid w:val="00286D4A"/>
    <w:rsid w:val="00286D80"/>
    <w:rsid w:val="00287888"/>
    <w:rsid w:val="00291333"/>
    <w:rsid w:val="00291341"/>
    <w:rsid w:val="002926B1"/>
    <w:rsid w:val="00292CA5"/>
    <w:rsid w:val="002937DD"/>
    <w:rsid w:val="00293B1D"/>
    <w:rsid w:val="00293E41"/>
    <w:rsid w:val="00295212"/>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69"/>
    <w:rsid w:val="002B25C4"/>
    <w:rsid w:val="002B2706"/>
    <w:rsid w:val="002B37CC"/>
    <w:rsid w:val="002B3BA3"/>
    <w:rsid w:val="002B4040"/>
    <w:rsid w:val="002B5C09"/>
    <w:rsid w:val="002B5C82"/>
    <w:rsid w:val="002B62B3"/>
    <w:rsid w:val="002B6893"/>
    <w:rsid w:val="002B6B9D"/>
    <w:rsid w:val="002B6C19"/>
    <w:rsid w:val="002B6D0D"/>
    <w:rsid w:val="002B7419"/>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7C8"/>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E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56A"/>
    <w:rsid w:val="003056B2"/>
    <w:rsid w:val="00305D48"/>
    <w:rsid w:val="00306940"/>
    <w:rsid w:val="00307353"/>
    <w:rsid w:val="00307E06"/>
    <w:rsid w:val="00310588"/>
    <w:rsid w:val="0031096E"/>
    <w:rsid w:val="00311560"/>
    <w:rsid w:val="00311708"/>
    <w:rsid w:val="00311BB1"/>
    <w:rsid w:val="00312470"/>
    <w:rsid w:val="0031285C"/>
    <w:rsid w:val="003129B9"/>
    <w:rsid w:val="00313A44"/>
    <w:rsid w:val="003150CD"/>
    <w:rsid w:val="003154AB"/>
    <w:rsid w:val="003155CF"/>
    <w:rsid w:val="00315BA3"/>
    <w:rsid w:val="00316707"/>
    <w:rsid w:val="00317A31"/>
    <w:rsid w:val="00317B07"/>
    <w:rsid w:val="00317BDE"/>
    <w:rsid w:val="00317D80"/>
    <w:rsid w:val="00317DC3"/>
    <w:rsid w:val="0032088F"/>
    <w:rsid w:val="00321643"/>
    <w:rsid w:val="00321A91"/>
    <w:rsid w:val="00322486"/>
    <w:rsid w:val="003225E3"/>
    <w:rsid w:val="00323295"/>
    <w:rsid w:val="00323848"/>
    <w:rsid w:val="00323FF5"/>
    <w:rsid w:val="0032464C"/>
    <w:rsid w:val="00324B78"/>
    <w:rsid w:val="003253CA"/>
    <w:rsid w:val="00325CD9"/>
    <w:rsid w:val="003264D7"/>
    <w:rsid w:val="00326AF6"/>
    <w:rsid w:val="00326D5E"/>
    <w:rsid w:val="00327A8E"/>
    <w:rsid w:val="00327BDD"/>
    <w:rsid w:val="00331836"/>
    <w:rsid w:val="0033190E"/>
    <w:rsid w:val="00332BD2"/>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81F"/>
    <w:rsid w:val="00347AAB"/>
    <w:rsid w:val="00347FD3"/>
    <w:rsid w:val="0035006A"/>
    <w:rsid w:val="003509B6"/>
    <w:rsid w:val="00350B13"/>
    <w:rsid w:val="00352979"/>
    <w:rsid w:val="00352CC2"/>
    <w:rsid w:val="00352DE7"/>
    <w:rsid w:val="0035300A"/>
    <w:rsid w:val="0035347E"/>
    <w:rsid w:val="003538E6"/>
    <w:rsid w:val="003549F9"/>
    <w:rsid w:val="00354CF7"/>
    <w:rsid w:val="00355E72"/>
    <w:rsid w:val="0035659D"/>
    <w:rsid w:val="00357E0B"/>
    <w:rsid w:val="003611E4"/>
    <w:rsid w:val="0036133D"/>
    <w:rsid w:val="003617D9"/>
    <w:rsid w:val="00361938"/>
    <w:rsid w:val="003625FB"/>
    <w:rsid w:val="003633B9"/>
    <w:rsid w:val="003636DE"/>
    <w:rsid w:val="003646B9"/>
    <w:rsid w:val="003646E5"/>
    <w:rsid w:val="003652C6"/>
    <w:rsid w:val="003654A6"/>
    <w:rsid w:val="00365C52"/>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0738"/>
    <w:rsid w:val="00381DC3"/>
    <w:rsid w:val="00381F89"/>
    <w:rsid w:val="0038228C"/>
    <w:rsid w:val="003824F7"/>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812"/>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5B26"/>
    <w:rsid w:val="003B609E"/>
    <w:rsid w:val="003B6581"/>
    <w:rsid w:val="003B6C7E"/>
    <w:rsid w:val="003B79F9"/>
    <w:rsid w:val="003C0293"/>
    <w:rsid w:val="003C0DF1"/>
    <w:rsid w:val="003C1936"/>
    <w:rsid w:val="003C268F"/>
    <w:rsid w:val="003C2A42"/>
    <w:rsid w:val="003C2E68"/>
    <w:rsid w:val="003C32CD"/>
    <w:rsid w:val="003C32DC"/>
    <w:rsid w:val="003C32FC"/>
    <w:rsid w:val="003C42AD"/>
    <w:rsid w:val="003C4C9F"/>
    <w:rsid w:val="003C51C5"/>
    <w:rsid w:val="003C5D9D"/>
    <w:rsid w:val="003C7036"/>
    <w:rsid w:val="003C7781"/>
    <w:rsid w:val="003C7FA5"/>
    <w:rsid w:val="003D0C96"/>
    <w:rsid w:val="003D13F0"/>
    <w:rsid w:val="003D1CAA"/>
    <w:rsid w:val="003D4395"/>
    <w:rsid w:val="003D474C"/>
    <w:rsid w:val="003D5393"/>
    <w:rsid w:val="003D5398"/>
    <w:rsid w:val="003D5BAD"/>
    <w:rsid w:val="003D5F20"/>
    <w:rsid w:val="003D6DAF"/>
    <w:rsid w:val="003D6E19"/>
    <w:rsid w:val="003D737D"/>
    <w:rsid w:val="003D7E33"/>
    <w:rsid w:val="003E0536"/>
    <w:rsid w:val="003E0C30"/>
    <w:rsid w:val="003E0F2A"/>
    <w:rsid w:val="003E1AC3"/>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547"/>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A2F"/>
    <w:rsid w:val="004211BE"/>
    <w:rsid w:val="0042205F"/>
    <w:rsid w:val="00422629"/>
    <w:rsid w:val="00423C26"/>
    <w:rsid w:val="00423E43"/>
    <w:rsid w:val="00424839"/>
    <w:rsid w:val="00424968"/>
    <w:rsid w:val="00424A72"/>
    <w:rsid w:val="00424D35"/>
    <w:rsid w:val="004256FF"/>
    <w:rsid w:val="004257EC"/>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341"/>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2F79"/>
    <w:rsid w:val="00463325"/>
    <w:rsid w:val="00463D48"/>
    <w:rsid w:val="00464148"/>
    <w:rsid w:val="004647B9"/>
    <w:rsid w:val="00464F06"/>
    <w:rsid w:val="004652D5"/>
    <w:rsid w:val="00465B25"/>
    <w:rsid w:val="00465BF5"/>
    <w:rsid w:val="004668E6"/>
    <w:rsid w:val="004673D5"/>
    <w:rsid w:val="00471682"/>
    <w:rsid w:val="0047274B"/>
    <w:rsid w:val="00472B3D"/>
    <w:rsid w:val="00472D90"/>
    <w:rsid w:val="00473EB5"/>
    <w:rsid w:val="0047576D"/>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91E99"/>
    <w:rsid w:val="004922DC"/>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0ED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4B42"/>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CC5"/>
    <w:rsid w:val="004E0DB7"/>
    <w:rsid w:val="004E13BA"/>
    <w:rsid w:val="004E1A6E"/>
    <w:rsid w:val="004E1B12"/>
    <w:rsid w:val="004E32FC"/>
    <w:rsid w:val="004E3E15"/>
    <w:rsid w:val="004E4A63"/>
    <w:rsid w:val="004E531A"/>
    <w:rsid w:val="004E6061"/>
    <w:rsid w:val="004E6502"/>
    <w:rsid w:val="004E6A8C"/>
    <w:rsid w:val="004E744E"/>
    <w:rsid w:val="004E758B"/>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A54"/>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048E"/>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BE"/>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1CDE"/>
    <w:rsid w:val="00561DEB"/>
    <w:rsid w:val="0056210B"/>
    <w:rsid w:val="00562D03"/>
    <w:rsid w:val="005632DA"/>
    <w:rsid w:val="00563692"/>
    <w:rsid w:val="00563B9C"/>
    <w:rsid w:val="00564247"/>
    <w:rsid w:val="00564488"/>
    <w:rsid w:val="0056508D"/>
    <w:rsid w:val="005669AD"/>
    <w:rsid w:val="00567CCF"/>
    <w:rsid w:val="00570608"/>
    <w:rsid w:val="005707BD"/>
    <w:rsid w:val="00570A3B"/>
    <w:rsid w:val="00571114"/>
    <w:rsid w:val="0057130E"/>
    <w:rsid w:val="0057187A"/>
    <w:rsid w:val="005720EB"/>
    <w:rsid w:val="0057273D"/>
    <w:rsid w:val="005731B2"/>
    <w:rsid w:val="00573350"/>
    <w:rsid w:val="00573D28"/>
    <w:rsid w:val="00573E34"/>
    <w:rsid w:val="005740D5"/>
    <w:rsid w:val="005740DA"/>
    <w:rsid w:val="00575BAF"/>
    <w:rsid w:val="00576025"/>
    <w:rsid w:val="00577656"/>
    <w:rsid w:val="0057772B"/>
    <w:rsid w:val="00580176"/>
    <w:rsid w:val="005802AF"/>
    <w:rsid w:val="00581327"/>
    <w:rsid w:val="005817AB"/>
    <w:rsid w:val="00581EDC"/>
    <w:rsid w:val="00582C57"/>
    <w:rsid w:val="00584BAB"/>
    <w:rsid w:val="00584EFB"/>
    <w:rsid w:val="0058621D"/>
    <w:rsid w:val="00586D72"/>
    <w:rsid w:val="00586E4F"/>
    <w:rsid w:val="00587330"/>
    <w:rsid w:val="00587984"/>
    <w:rsid w:val="00587A84"/>
    <w:rsid w:val="00587B46"/>
    <w:rsid w:val="00590AF7"/>
    <w:rsid w:val="00592360"/>
    <w:rsid w:val="00593333"/>
    <w:rsid w:val="005942CB"/>
    <w:rsid w:val="005960D3"/>
    <w:rsid w:val="005973A7"/>
    <w:rsid w:val="005A0825"/>
    <w:rsid w:val="005A09A3"/>
    <w:rsid w:val="005A1FEE"/>
    <w:rsid w:val="005A273F"/>
    <w:rsid w:val="005A3583"/>
    <w:rsid w:val="005A4118"/>
    <w:rsid w:val="005A453F"/>
    <w:rsid w:val="005A493F"/>
    <w:rsid w:val="005A4E46"/>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2C17"/>
    <w:rsid w:val="005C3179"/>
    <w:rsid w:val="005C464F"/>
    <w:rsid w:val="005C565F"/>
    <w:rsid w:val="005C5B71"/>
    <w:rsid w:val="005C639C"/>
    <w:rsid w:val="005C7062"/>
    <w:rsid w:val="005C714B"/>
    <w:rsid w:val="005C795A"/>
    <w:rsid w:val="005D205F"/>
    <w:rsid w:val="005D2CDE"/>
    <w:rsid w:val="005D2DDC"/>
    <w:rsid w:val="005D341C"/>
    <w:rsid w:val="005D3A26"/>
    <w:rsid w:val="005D3C96"/>
    <w:rsid w:val="005D4EDA"/>
    <w:rsid w:val="005D58F0"/>
    <w:rsid w:val="005D60DE"/>
    <w:rsid w:val="005D630A"/>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1BD"/>
    <w:rsid w:val="0062750D"/>
    <w:rsid w:val="006279BE"/>
    <w:rsid w:val="00627F0D"/>
    <w:rsid w:val="006304BB"/>
    <w:rsid w:val="0063071F"/>
    <w:rsid w:val="00630C62"/>
    <w:rsid w:val="00631207"/>
    <w:rsid w:val="00631467"/>
    <w:rsid w:val="00631749"/>
    <w:rsid w:val="0063273E"/>
    <w:rsid w:val="00633242"/>
    <w:rsid w:val="00633FA0"/>
    <w:rsid w:val="00634534"/>
    <w:rsid w:val="00634EF5"/>
    <w:rsid w:val="00635B8D"/>
    <w:rsid w:val="00636401"/>
    <w:rsid w:val="00636905"/>
    <w:rsid w:val="00636A93"/>
    <w:rsid w:val="00637474"/>
    <w:rsid w:val="0063772A"/>
    <w:rsid w:val="006418C8"/>
    <w:rsid w:val="006427D9"/>
    <w:rsid w:val="00642BAE"/>
    <w:rsid w:val="00642CAD"/>
    <w:rsid w:val="00643498"/>
    <w:rsid w:val="00643D25"/>
    <w:rsid w:val="006448DB"/>
    <w:rsid w:val="00644D3E"/>
    <w:rsid w:val="00644EB6"/>
    <w:rsid w:val="00645AB9"/>
    <w:rsid w:val="00645E2A"/>
    <w:rsid w:val="006460CB"/>
    <w:rsid w:val="00646267"/>
    <w:rsid w:val="00646D5C"/>
    <w:rsid w:val="00646DD7"/>
    <w:rsid w:val="006473BA"/>
    <w:rsid w:val="006475F4"/>
    <w:rsid w:val="00647D90"/>
    <w:rsid w:val="006502D1"/>
    <w:rsid w:val="006504FE"/>
    <w:rsid w:val="00650BC5"/>
    <w:rsid w:val="00650FE9"/>
    <w:rsid w:val="00651275"/>
    <w:rsid w:val="00652231"/>
    <w:rsid w:val="0065228A"/>
    <w:rsid w:val="00654244"/>
    <w:rsid w:val="006546B6"/>
    <w:rsid w:val="006547BB"/>
    <w:rsid w:val="006551F8"/>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338"/>
    <w:rsid w:val="006714CD"/>
    <w:rsid w:val="00671D6E"/>
    <w:rsid w:val="00672CE0"/>
    <w:rsid w:val="00672F8D"/>
    <w:rsid w:val="006730DE"/>
    <w:rsid w:val="006730F3"/>
    <w:rsid w:val="00673752"/>
    <w:rsid w:val="00673B33"/>
    <w:rsid w:val="006741EF"/>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52E"/>
    <w:rsid w:val="00690738"/>
    <w:rsid w:val="00691515"/>
    <w:rsid w:val="00691ADA"/>
    <w:rsid w:val="00692778"/>
    <w:rsid w:val="00692B2A"/>
    <w:rsid w:val="006937A1"/>
    <w:rsid w:val="00693CC2"/>
    <w:rsid w:val="00693F50"/>
    <w:rsid w:val="0069465C"/>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253"/>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0BE0"/>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D06"/>
    <w:rsid w:val="00705D6A"/>
    <w:rsid w:val="00705E84"/>
    <w:rsid w:val="00706144"/>
    <w:rsid w:val="007061EE"/>
    <w:rsid w:val="007063E6"/>
    <w:rsid w:val="007063ED"/>
    <w:rsid w:val="00706FF1"/>
    <w:rsid w:val="00707031"/>
    <w:rsid w:val="00707245"/>
    <w:rsid w:val="00710B09"/>
    <w:rsid w:val="00711EB9"/>
    <w:rsid w:val="0071287D"/>
    <w:rsid w:val="007129B2"/>
    <w:rsid w:val="00712D50"/>
    <w:rsid w:val="00713419"/>
    <w:rsid w:val="007135A0"/>
    <w:rsid w:val="00713653"/>
    <w:rsid w:val="00713957"/>
    <w:rsid w:val="00714402"/>
    <w:rsid w:val="00714488"/>
    <w:rsid w:val="00714E6C"/>
    <w:rsid w:val="00715319"/>
    <w:rsid w:val="00715DC7"/>
    <w:rsid w:val="00715EBB"/>
    <w:rsid w:val="00717122"/>
    <w:rsid w:val="00717898"/>
    <w:rsid w:val="00720029"/>
    <w:rsid w:val="0072068A"/>
    <w:rsid w:val="007212BE"/>
    <w:rsid w:val="00721D8E"/>
    <w:rsid w:val="0072215B"/>
    <w:rsid w:val="00722B88"/>
    <w:rsid w:val="00722FDE"/>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5103"/>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04F"/>
    <w:rsid w:val="00762460"/>
    <w:rsid w:val="00762B99"/>
    <w:rsid w:val="007656A2"/>
    <w:rsid w:val="00766389"/>
    <w:rsid w:val="00766CF2"/>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A6D"/>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42A"/>
    <w:rsid w:val="00793C07"/>
    <w:rsid w:val="00795A12"/>
    <w:rsid w:val="00796315"/>
    <w:rsid w:val="00796538"/>
    <w:rsid w:val="00796AB8"/>
    <w:rsid w:val="00796CE5"/>
    <w:rsid w:val="0079771A"/>
    <w:rsid w:val="007A0C87"/>
    <w:rsid w:val="007A0DD5"/>
    <w:rsid w:val="007A0FCD"/>
    <w:rsid w:val="007A1877"/>
    <w:rsid w:val="007A1A79"/>
    <w:rsid w:val="007A2561"/>
    <w:rsid w:val="007A367E"/>
    <w:rsid w:val="007A3972"/>
    <w:rsid w:val="007A3AF8"/>
    <w:rsid w:val="007A43A0"/>
    <w:rsid w:val="007A47F2"/>
    <w:rsid w:val="007A48A6"/>
    <w:rsid w:val="007A490A"/>
    <w:rsid w:val="007A530A"/>
    <w:rsid w:val="007A65AF"/>
    <w:rsid w:val="007A719C"/>
    <w:rsid w:val="007A726F"/>
    <w:rsid w:val="007A757A"/>
    <w:rsid w:val="007B08F4"/>
    <w:rsid w:val="007B0A40"/>
    <w:rsid w:val="007B14D2"/>
    <w:rsid w:val="007B3321"/>
    <w:rsid w:val="007B34BC"/>
    <w:rsid w:val="007B38A6"/>
    <w:rsid w:val="007B452B"/>
    <w:rsid w:val="007B494B"/>
    <w:rsid w:val="007B4EEE"/>
    <w:rsid w:val="007B5EBB"/>
    <w:rsid w:val="007B65D2"/>
    <w:rsid w:val="007B6AD5"/>
    <w:rsid w:val="007B6B01"/>
    <w:rsid w:val="007B79BD"/>
    <w:rsid w:val="007C04A2"/>
    <w:rsid w:val="007C0845"/>
    <w:rsid w:val="007C09CB"/>
    <w:rsid w:val="007C1271"/>
    <w:rsid w:val="007C1273"/>
    <w:rsid w:val="007C313D"/>
    <w:rsid w:val="007C3B2E"/>
    <w:rsid w:val="007C405D"/>
    <w:rsid w:val="007C4D7C"/>
    <w:rsid w:val="007C5545"/>
    <w:rsid w:val="007C587A"/>
    <w:rsid w:val="007C5FD2"/>
    <w:rsid w:val="007C6E79"/>
    <w:rsid w:val="007C79F5"/>
    <w:rsid w:val="007C7A6B"/>
    <w:rsid w:val="007D0A0F"/>
    <w:rsid w:val="007D131D"/>
    <w:rsid w:val="007D1719"/>
    <w:rsid w:val="007D22FC"/>
    <w:rsid w:val="007D303D"/>
    <w:rsid w:val="007D3452"/>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B47"/>
    <w:rsid w:val="007F2DD4"/>
    <w:rsid w:val="007F2EB7"/>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D10"/>
    <w:rsid w:val="00811182"/>
    <w:rsid w:val="00811407"/>
    <w:rsid w:val="00811B44"/>
    <w:rsid w:val="008122E4"/>
    <w:rsid w:val="00812B26"/>
    <w:rsid w:val="00812D5A"/>
    <w:rsid w:val="00813494"/>
    <w:rsid w:val="00813755"/>
    <w:rsid w:val="008158E7"/>
    <w:rsid w:val="00815A57"/>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4DE3"/>
    <w:rsid w:val="00835668"/>
    <w:rsid w:val="008357D2"/>
    <w:rsid w:val="008370CF"/>
    <w:rsid w:val="00837CEF"/>
    <w:rsid w:val="00840C89"/>
    <w:rsid w:val="0084114B"/>
    <w:rsid w:val="00841D66"/>
    <w:rsid w:val="00842756"/>
    <w:rsid w:val="008430AD"/>
    <w:rsid w:val="008433AE"/>
    <w:rsid w:val="0084355F"/>
    <w:rsid w:val="00843D17"/>
    <w:rsid w:val="00844ACA"/>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DD7"/>
    <w:rsid w:val="00883058"/>
    <w:rsid w:val="0088412E"/>
    <w:rsid w:val="00884613"/>
    <w:rsid w:val="00884F71"/>
    <w:rsid w:val="0088509D"/>
    <w:rsid w:val="00885A50"/>
    <w:rsid w:val="008866BD"/>
    <w:rsid w:val="008871D7"/>
    <w:rsid w:val="00887311"/>
    <w:rsid w:val="00887B04"/>
    <w:rsid w:val="008904F2"/>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9DF"/>
    <w:rsid w:val="008A7EC3"/>
    <w:rsid w:val="008A7F72"/>
    <w:rsid w:val="008B0AD8"/>
    <w:rsid w:val="008B1D4F"/>
    <w:rsid w:val="008B299F"/>
    <w:rsid w:val="008B2A33"/>
    <w:rsid w:val="008B3030"/>
    <w:rsid w:val="008B3155"/>
    <w:rsid w:val="008B32AC"/>
    <w:rsid w:val="008B33CF"/>
    <w:rsid w:val="008B43C8"/>
    <w:rsid w:val="008B458E"/>
    <w:rsid w:val="008B4EBC"/>
    <w:rsid w:val="008B5073"/>
    <w:rsid w:val="008B5200"/>
    <w:rsid w:val="008B55DE"/>
    <w:rsid w:val="008B5DFE"/>
    <w:rsid w:val="008B604B"/>
    <w:rsid w:val="008B68E8"/>
    <w:rsid w:val="008C02B6"/>
    <w:rsid w:val="008C0623"/>
    <w:rsid w:val="008C2171"/>
    <w:rsid w:val="008C2664"/>
    <w:rsid w:val="008C2CF5"/>
    <w:rsid w:val="008C2DFE"/>
    <w:rsid w:val="008C2F16"/>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2DE3"/>
    <w:rsid w:val="008D32AD"/>
    <w:rsid w:val="008D3620"/>
    <w:rsid w:val="008D458F"/>
    <w:rsid w:val="008D52D9"/>
    <w:rsid w:val="008D6772"/>
    <w:rsid w:val="008D72E4"/>
    <w:rsid w:val="008D7AC6"/>
    <w:rsid w:val="008E02E6"/>
    <w:rsid w:val="008E08A8"/>
    <w:rsid w:val="008E0B04"/>
    <w:rsid w:val="008E11CE"/>
    <w:rsid w:val="008E15B5"/>
    <w:rsid w:val="008E1B7B"/>
    <w:rsid w:val="008E20E6"/>
    <w:rsid w:val="008E2B42"/>
    <w:rsid w:val="008E2E62"/>
    <w:rsid w:val="008E350D"/>
    <w:rsid w:val="008E37D1"/>
    <w:rsid w:val="008E3B36"/>
    <w:rsid w:val="008E3CEC"/>
    <w:rsid w:val="008E480F"/>
    <w:rsid w:val="008E4A67"/>
    <w:rsid w:val="008E4D4A"/>
    <w:rsid w:val="008F0205"/>
    <w:rsid w:val="008F0DCC"/>
    <w:rsid w:val="008F188C"/>
    <w:rsid w:val="008F1EB2"/>
    <w:rsid w:val="008F284E"/>
    <w:rsid w:val="008F2BAD"/>
    <w:rsid w:val="008F2CAE"/>
    <w:rsid w:val="008F39F2"/>
    <w:rsid w:val="008F3D03"/>
    <w:rsid w:val="008F45EB"/>
    <w:rsid w:val="008F4E1B"/>
    <w:rsid w:val="008F52F4"/>
    <w:rsid w:val="008F743B"/>
    <w:rsid w:val="00900DA9"/>
    <w:rsid w:val="00900E97"/>
    <w:rsid w:val="009011B4"/>
    <w:rsid w:val="0090168E"/>
    <w:rsid w:val="00901AE0"/>
    <w:rsid w:val="00901FFB"/>
    <w:rsid w:val="009020E0"/>
    <w:rsid w:val="00902FFF"/>
    <w:rsid w:val="00903765"/>
    <w:rsid w:val="00903E8E"/>
    <w:rsid w:val="00904997"/>
    <w:rsid w:val="00905D8A"/>
    <w:rsid w:val="00906232"/>
    <w:rsid w:val="009064B4"/>
    <w:rsid w:val="0090696C"/>
    <w:rsid w:val="00907C15"/>
    <w:rsid w:val="0091170B"/>
    <w:rsid w:val="00911817"/>
    <w:rsid w:val="00912F68"/>
    <w:rsid w:val="009133A9"/>
    <w:rsid w:val="00913418"/>
    <w:rsid w:val="009137F9"/>
    <w:rsid w:val="00913C08"/>
    <w:rsid w:val="00915282"/>
    <w:rsid w:val="0091567A"/>
    <w:rsid w:val="00916277"/>
    <w:rsid w:val="00917C56"/>
    <w:rsid w:val="00920287"/>
    <w:rsid w:val="00920947"/>
    <w:rsid w:val="0092099A"/>
    <w:rsid w:val="00920C90"/>
    <w:rsid w:val="00921428"/>
    <w:rsid w:val="00921E9D"/>
    <w:rsid w:val="009220E0"/>
    <w:rsid w:val="0092244D"/>
    <w:rsid w:val="00922458"/>
    <w:rsid w:val="00922FD0"/>
    <w:rsid w:val="00923572"/>
    <w:rsid w:val="0092383C"/>
    <w:rsid w:val="009239A1"/>
    <w:rsid w:val="00923E83"/>
    <w:rsid w:val="00923FD8"/>
    <w:rsid w:val="009250CB"/>
    <w:rsid w:val="00925FF0"/>
    <w:rsid w:val="00926AC7"/>
    <w:rsid w:val="00926FCD"/>
    <w:rsid w:val="00927607"/>
    <w:rsid w:val="00930147"/>
    <w:rsid w:val="00931D14"/>
    <w:rsid w:val="009322BE"/>
    <w:rsid w:val="00933060"/>
    <w:rsid w:val="00933673"/>
    <w:rsid w:val="00934282"/>
    <w:rsid w:val="00934719"/>
    <w:rsid w:val="00934B4F"/>
    <w:rsid w:val="00935C0C"/>
    <w:rsid w:val="00936747"/>
    <w:rsid w:val="00937A05"/>
    <w:rsid w:val="00937A28"/>
    <w:rsid w:val="00937B14"/>
    <w:rsid w:val="00937D05"/>
    <w:rsid w:val="00937DAB"/>
    <w:rsid w:val="009401E4"/>
    <w:rsid w:val="0094044A"/>
    <w:rsid w:val="00940C5D"/>
    <w:rsid w:val="00941603"/>
    <w:rsid w:val="00941839"/>
    <w:rsid w:val="00942CAB"/>
    <w:rsid w:val="00942E61"/>
    <w:rsid w:val="00942EBA"/>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475"/>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6FCC"/>
    <w:rsid w:val="0097768E"/>
    <w:rsid w:val="009818A2"/>
    <w:rsid w:val="00981A0A"/>
    <w:rsid w:val="009829E2"/>
    <w:rsid w:val="00983525"/>
    <w:rsid w:val="009844CE"/>
    <w:rsid w:val="00984590"/>
    <w:rsid w:val="00984F92"/>
    <w:rsid w:val="00984FB7"/>
    <w:rsid w:val="009855CB"/>
    <w:rsid w:val="00985932"/>
    <w:rsid w:val="009868FC"/>
    <w:rsid w:val="00986D58"/>
    <w:rsid w:val="00986D6A"/>
    <w:rsid w:val="00990013"/>
    <w:rsid w:val="00990D44"/>
    <w:rsid w:val="00990F76"/>
    <w:rsid w:val="00991E94"/>
    <w:rsid w:val="00992712"/>
    <w:rsid w:val="00993E4C"/>
    <w:rsid w:val="00993E7E"/>
    <w:rsid w:val="0099690A"/>
    <w:rsid w:val="00997136"/>
    <w:rsid w:val="009971A7"/>
    <w:rsid w:val="00997965"/>
    <w:rsid w:val="00997BBE"/>
    <w:rsid w:val="009A143B"/>
    <w:rsid w:val="009A33BE"/>
    <w:rsid w:val="009A3F67"/>
    <w:rsid w:val="009A5302"/>
    <w:rsid w:val="009A57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2C6"/>
    <w:rsid w:val="009C24D1"/>
    <w:rsid w:val="009C3841"/>
    <w:rsid w:val="009C607A"/>
    <w:rsid w:val="009C6929"/>
    <w:rsid w:val="009C6A52"/>
    <w:rsid w:val="009C72C2"/>
    <w:rsid w:val="009C7A68"/>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21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070"/>
    <w:rsid w:val="00A06A2F"/>
    <w:rsid w:val="00A06D1F"/>
    <w:rsid w:val="00A06F57"/>
    <w:rsid w:val="00A06FB2"/>
    <w:rsid w:val="00A073BA"/>
    <w:rsid w:val="00A07A56"/>
    <w:rsid w:val="00A1031F"/>
    <w:rsid w:val="00A10D42"/>
    <w:rsid w:val="00A11365"/>
    <w:rsid w:val="00A1186C"/>
    <w:rsid w:val="00A12661"/>
    <w:rsid w:val="00A12A2E"/>
    <w:rsid w:val="00A12D31"/>
    <w:rsid w:val="00A12F8B"/>
    <w:rsid w:val="00A13C0F"/>
    <w:rsid w:val="00A164A6"/>
    <w:rsid w:val="00A165FE"/>
    <w:rsid w:val="00A16EFC"/>
    <w:rsid w:val="00A17A7F"/>
    <w:rsid w:val="00A20405"/>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37DA2"/>
    <w:rsid w:val="00A4105D"/>
    <w:rsid w:val="00A41757"/>
    <w:rsid w:val="00A417FE"/>
    <w:rsid w:val="00A41FA8"/>
    <w:rsid w:val="00A41FF8"/>
    <w:rsid w:val="00A426F3"/>
    <w:rsid w:val="00A42E01"/>
    <w:rsid w:val="00A4381B"/>
    <w:rsid w:val="00A44166"/>
    <w:rsid w:val="00A448E0"/>
    <w:rsid w:val="00A456F5"/>
    <w:rsid w:val="00A45C42"/>
    <w:rsid w:val="00A45C71"/>
    <w:rsid w:val="00A45EEA"/>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1433"/>
    <w:rsid w:val="00A64280"/>
    <w:rsid w:val="00A64C7D"/>
    <w:rsid w:val="00A64E0F"/>
    <w:rsid w:val="00A650F0"/>
    <w:rsid w:val="00A654A2"/>
    <w:rsid w:val="00A654DF"/>
    <w:rsid w:val="00A655E9"/>
    <w:rsid w:val="00A65731"/>
    <w:rsid w:val="00A66CB2"/>
    <w:rsid w:val="00A67461"/>
    <w:rsid w:val="00A703F5"/>
    <w:rsid w:val="00A70940"/>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17B"/>
    <w:rsid w:val="00A85897"/>
    <w:rsid w:val="00A86E22"/>
    <w:rsid w:val="00A87169"/>
    <w:rsid w:val="00A87174"/>
    <w:rsid w:val="00A87279"/>
    <w:rsid w:val="00A87E95"/>
    <w:rsid w:val="00A900FE"/>
    <w:rsid w:val="00A92C9A"/>
    <w:rsid w:val="00A9370A"/>
    <w:rsid w:val="00A94848"/>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2DFD"/>
    <w:rsid w:val="00AA3786"/>
    <w:rsid w:val="00AA38B9"/>
    <w:rsid w:val="00AA438D"/>
    <w:rsid w:val="00AA55E0"/>
    <w:rsid w:val="00AA5BC8"/>
    <w:rsid w:val="00AA61B7"/>
    <w:rsid w:val="00AA689B"/>
    <w:rsid w:val="00AA7023"/>
    <w:rsid w:val="00AA7F37"/>
    <w:rsid w:val="00AB00F1"/>
    <w:rsid w:val="00AB0CE7"/>
    <w:rsid w:val="00AB11B8"/>
    <w:rsid w:val="00AB3333"/>
    <w:rsid w:val="00AB3569"/>
    <w:rsid w:val="00AB511E"/>
    <w:rsid w:val="00AB5C16"/>
    <w:rsid w:val="00AB5C8E"/>
    <w:rsid w:val="00AB628D"/>
    <w:rsid w:val="00AB73B7"/>
    <w:rsid w:val="00AC00B1"/>
    <w:rsid w:val="00AC0229"/>
    <w:rsid w:val="00AC12CF"/>
    <w:rsid w:val="00AC154D"/>
    <w:rsid w:val="00AC2548"/>
    <w:rsid w:val="00AC3C32"/>
    <w:rsid w:val="00AC3DB8"/>
    <w:rsid w:val="00AC7924"/>
    <w:rsid w:val="00AD100C"/>
    <w:rsid w:val="00AD2540"/>
    <w:rsid w:val="00AD38ED"/>
    <w:rsid w:val="00AD39D6"/>
    <w:rsid w:val="00AD3C97"/>
    <w:rsid w:val="00AD40FF"/>
    <w:rsid w:val="00AD4282"/>
    <w:rsid w:val="00AD4456"/>
    <w:rsid w:val="00AD5A42"/>
    <w:rsid w:val="00AD6EF0"/>
    <w:rsid w:val="00AD7073"/>
    <w:rsid w:val="00AD77FD"/>
    <w:rsid w:val="00AD79E0"/>
    <w:rsid w:val="00AD79E2"/>
    <w:rsid w:val="00AD7FFB"/>
    <w:rsid w:val="00AE1201"/>
    <w:rsid w:val="00AE1C5C"/>
    <w:rsid w:val="00AE271F"/>
    <w:rsid w:val="00AE3720"/>
    <w:rsid w:val="00AE3B8E"/>
    <w:rsid w:val="00AE3DF5"/>
    <w:rsid w:val="00AE4CFF"/>
    <w:rsid w:val="00AE4E46"/>
    <w:rsid w:val="00AE52B0"/>
    <w:rsid w:val="00AE54F8"/>
    <w:rsid w:val="00AE5C7F"/>
    <w:rsid w:val="00AF1608"/>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3FF8"/>
    <w:rsid w:val="00B04123"/>
    <w:rsid w:val="00B049EC"/>
    <w:rsid w:val="00B04DD6"/>
    <w:rsid w:val="00B050D6"/>
    <w:rsid w:val="00B0768C"/>
    <w:rsid w:val="00B10264"/>
    <w:rsid w:val="00B1212B"/>
    <w:rsid w:val="00B125A0"/>
    <w:rsid w:val="00B13177"/>
    <w:rsid w:val="00B13705"/>
    <w:rsid w:val="00B13E8D"/>
    <w:rsid w:val="00B15165"/>
    <w:rsid w:val="00B15852"/>
    <w:rsid w:val="00B161B4"/>
    <w:rsid w:val="00B16887"/>
    <w:rsid w:val="00B176C8"/>
    <w:rsid w:val="00B20379"/>
    <w:rsid w:val="00B20655"/>
    <w:rsid w:val="00B2074B"/>
    <w:rsid w:val="00B211BD"/>
    <w:rsid w:val="00B21544"/>
    <w:rsid w:val="00B21717"/>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7F8"/>
    <w:rsid w:val="00B34AAA"/>
    <w:rsid w:val="00B34E8B"/>
    <w:rsid w:val="00B36081"/>
    <w:rsid w:val="00B372E3"/>
    <w:rsid w:val="00B37C1A"/>
    <w:rsid w:val="00B37D09"/>
    <w:rsid w:val="00B40212"/>
    <w:rsid w:val="00B40B0C"/>
    <w:rsid w:val="00B40B73"/>
    <w:rsid w:val="00B41036"/>
    <w:rsid w:val="00B41312"/>
    <w:rsid w:val="00B417BF"/>
    <w:rsid w:val="00B42215"/>
    <w:rsid w:val="00B438BE"/>
    <w:rsid w:val="00B453AD"/>
    <w:rsid w:val="00B45776"/>
    <w:rsid w:val="00B4626A"/>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5D4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1115"/>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146"/>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41C"/>
    <w:rsid w:val="00BA59AD"/>
    <w:rsid w:val="00BA63BB"/>
    <w:rsid w:val="00BA65C8"/>
    <w:rsid w:val="00BA6A89"/>
    <w:rsid w:val="00BA6F7A"/>
    <w:rsid w:val="00BA76AF"/>
    <w:rsid w:val="00BA79B7"/>
    <w:rsid w:val="00BB0D35"/>
    <w:rsid w:val="00BB13C5"/>
    <w:rsid w:val="00BB1447"/>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1DC8"/>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B0D"/>
    <w:rsid w:val="00BD5E19"/>
    <w:rsid w:val="00BD6D4E"/>
    <w:rsid w:val="00BD71F1"/>
    <w:rsid w:val="00BD74CF"/>
    <w:rsid w:val="00BE1BBE"/>
    <w:rsid w:val="00BE2662"/>
    <w:rsid w:val="00BE2C9F"/>
    <w:rsid w:val="00BE3239"/>
    <w:rsid w:val="00BE36D5"/>
    <w:rsid w:val="00BE38E1"/>
    <w:rsid w:val="00BE4815"/>
    <w:rsid w:val="00BE4FDC"/>
    <w:rsid w:val="00BE6056"/>
    <w:rsid w:val="00BE6217"/>
    <w:rsid w:val="00BE7C10"/>
    <w:rsid w:val="00BE7E4D"/>
    <w:rsid w:val="00BF01B9"/>
    <w:rsid w:val="00BF0D7C"/>
    <w:rsid w:val="00BF1235"/>
    <w:rsid w:val="00BF1F39"/>
    <w:rsid w:val="00BF2AD9"/>
    <w:rsid w:val="00BF2FDA"/>
    <w:rsid w:val="00BF3046"/>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23"/>
    <w:rsid w:val="00C07CCB"/>
    <w:rsid w:val="00C1015F"/>
    <w:rsid w:val="00C1063F"/>
    <w:rsid w:val="00C109BA"/>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6F23"/>
    <w:rsid w:val="00C27D1A"/>
    <w:rsid w:val="00C31200"/>
    <w:rsid w:val="00C31A08"/>
    <w:rsid w:val="00C31BE7"/>
    <w:rsid w:val="00C32229"/>
    <w:rsid w:val="00C32415"/>
    <w:rsid w:val="00C32DE7"/>
    <w:rsid w:val="00C32F73"/>
    <w:rsid w:val="00C32FD3"/>
    <w:rsid w:val="00C341CB"/>
    <w:rsid w:val="00C3542E"/>
    <w:rsid w:val="00C35B5E"/>
    <w:rsid w:val="00C3695D"/>
    <w:rsid w:val="00C370A0"/>
    <w:rsid w:val="00C3736F"/>
    <w:rsid w:val="00C4017A"/>
    <w:rsid w:val="00C404FF"/>
    <w:rsid w:val="00C40770"/>
    <w:rsid w:val="00C41357"/>
    <w:rsid w:val="00C41799"/>
    <w:rsid w:val="00C41B56"/>
    <w:rsid w:val="00C42196"/>
    <w:rsid w:val="00C4244D"/>
    <w:rsid w:val="00C42C2F"/>
    <w:rsid w:val="00C43B8F"/>
    <w:rsid w:val="00C4450E"/>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7F6"/>
    <w:rsid w:val="00C57997"/>
    <w:rsid w:val="00C60F3A"/>
    <w:rsid w:val="00C6124E"/>
    <w:rsid w:val="00C613CF"/>
    <w:rsid w:val="00C6230B"/>
    <w:rsid w:val="00C6257D"/>
    <w:rsid w:val="00C631C5"/>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87999"/>
    <w:rsid w:val="00C9111E"/>
    <w:rsid w:val="00C91446"/>
    <w:rsid w:val="00C919AB"/>
    <w:rsid w:val="00C92681"/>
    <w:rsid w:val="00C944AB"/>
    <w:rsid w:val="00C94994"/>
    <w:rsid w:val="00C94C04"/>
    <w:rsid w:val="00C951C1"/>
    <w:rsid w:val="00C95D58"/>
    <w:rsid w:val="00C95FEF"/>
    <w:rsid w:val="00C9600B"/>
    <w:rsid w:val="00C962CF"/>
    <w:rsid w:val="00C96BE2"/>
    <w:rsid w:val="00C96F6C"/>
    <w:rsid w:val="00C976DF"/>
    <w:rsid w:val="00C97806"/>
    <w:rsid w:val="00C978B4"/>
    <w:rsid w:val="00CA069E"/>
    <w:rsid w:val="00CA1A5E"/>
    <w:rsid w:val="00CA1BD1"/>
    <w:rsid w:val="00CA1D49"/>
    <w:rsid w:val="00CA22A3"/>
    <w:rsid w:val="00CA2377"/>
    <w:rsid w:val="00CA265A"/>
    <w:rsid w:val="00CA2D94"/>
    <w:rsid w:val="00CA403B"/>
    <w:rsid w:val="00CA476E"/>
    <w:rsid w:val="00CA4B98"/>
    <w:rsid w:val="00CA4BFA"/>
    <w:rsid w:val="00CA5463"/>
    <w:rsid w:val="00CA5A6D"/>
    <w:rsid w:val="00CA5E32"/>
    <w:rsid w:val="00CA6CF9"/>
    <w:rsid w:val="00CB1AC1"/>
    <w:rsid w:val="00CB26F2"/>
    <w:rsid w:val="00CB2BAE"/>
    <w:rsid w:val="00CB3166"/>
    <w:rsid w:val="00CB36D9"/>
    <w:rsid w:val="00CB40D4"/>
    <w:rsid w:val="00CB4885"/>
    <w:rsid w:val="00CB638D"/>
    <w:rsid w:val="00CB6900"/>
    <w:rsid w:val="00CB6EB4"/>
    <w:rsid w:val="00CB7439"/>
    <w:rsid w:val="00CB748E"/>
    <w:rsid w:val="00CB7C3A"/>
    <w:rsid w:val="00CC0FC3"/>
    <w:rsid w:val="00CC1406"/>
    <w:rsid w:val="00CC154C"/>
    <w:rsid w:val="00CC1DB2"/>
    <w:rsid w:val="00CC1F9C"/>
    <w:rsid w:val="00CC2D53"/>
    <w:rsid w:val="00CC3509"/>
    <w:rsid w:val="00CC367C"/>
    <w:rsid w:val="00CC3FEE"/>
    <w:rsid w:val="00CC4118"/>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60E"/>
    <w:rsid w:val="00CD4B83"/>
    <w:rsid w:val="00CD5020"/>
    <w:rsid w:val="00CD58BA"/>
    <w:rsid w:val="00CD6145"/>
    <w:rsid w:val="00CD64DE"/>
    <w:rsid w:val="00CD681F"/>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4C91"/>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187"/>
    <w:rsid w:val="00D0267B"/>
    <w:rsid w:val="00D032B4"/>
    <w:rsid w:val="00D03AC3"/>
    <w:rsid w:val="00D03E76"/>
    <w:rsid w:val="00D040A2"/>
    <w:rsid w:val="00D055E6"/>
    <w:rsid w:val="00D05CAF"/>
    <w:rsid w:val="00D065AD"/>
    <w:rsid w:val="00D06BB8"/>
    <w:rsid w:val="00D072EF"/>
    <w:rsid w:val="00D07394"/>
    <w:rsid w:val="00D07A9C"/>
    <w:rsid w:val="00D07C1D"/>
    <w:rsid w:val="00D10A14"/>
    <w:rsid w:val="00D113FF"/>
    <w:rsid w:val="00D11E7B"/>
    <w:rsid w:val="00D11F9A"/>
    <w:rsid w:val="00D12C52"/>
    <w:rsid w:val="00D12C55"/>
    <w:rsid w:val="00D12D84"/>
    <w:rsid w:val="00D14E13"/>
    <w:rsid w:val="00D16547"/>
    <w:rsid w:val="00D20368"/>
    <w:rsid w:val="00D209D8"/>
    <w:rsid w:val="00D20B6C"/>
    <w:rsid w:val="00D20DAB"/>
    <w:rsid w:val="00D20E00"/>
    <w:rsid w:val="00D2186C"/>
    <w:rsid w:val="00D239A5"/>
    <w:rsid w:val="00D24260"/>
    <w:rsid w:val="00D2457A"/>
    <w:rsid w:val="00D25024"/>
    <w:rsid w:val="00D25A36"/>
    <w:rsid w:val="00D26250"/>
    <w:rsid w:val="00D26F20"/>
    <w:rsid w:val="00D2737B"/>
    <w:rsid w:val="00D3007F"/>
    <w:rsid w:val="00D30447"/>
    <w:rsid w:val="00D30DBA"/>
    <w:rsid w:val="00D30EC7"/>
    <w:rsid w:val="00D316AE"/>
    <w:rsid w:val="00D33362"/>
    <w:rsid w:val="00D33C0D"/>
    <w:rsid w:val="00D34C41"/>
    <w:rsid w:val="00D35BC6"/>
    <w:rsid w:val="00D3635F"/>
    <w:rsid w:val="00D36532"/>
    <w:rsid w:val="00D367F9"/>
    <w:rsid w:val="00D37B67"/>
    <w:rsid w:val="00D37FBA"/>
    <w:rsid w:val="00D40A87"/>
    <w:rsid w:val="00D40BF5"/>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3BC"/>
    <w:rsid w:val="00D55BD9"/>
    <w:rsid w:val="00D56163"/>
    <w:rsid w:val="00D566F5"/>
    <w:rsid w:val="00D56BF3"/>
    <w:rsid w:val="00D60503"/>
    <w:rsid w:val="00D62605"/>
    <w:rsid w:val="00D62796"/>
    <w:rsid w:val="00D63073"/>
    <w:rsid w:val="00D6362A"/>
    <w:rsid w:val="00D63640"/>
    <w:rsid w:val="00D63DA5"/>
    <w:rsid w:val="00D641C8"/>
    <w:rsid w:val="00D64404"/>
    <w:rsid w:val="00D646B8"/>
    <w:rsid w:val="00D64B3A"/>
    <w:rsid w:val="00D64D09"/>
    <w:rsid w:val="00D6587E"/>
    <w:rsid w:val="00D65C48"/>
    <w:rsid w:val="00D67C48"/>
    <w:rsid w:val="00D70CA3"/>
    <w:rsid w:val="00D718E2"/>
    <w:rsid w:val="00D719E5"/>
    <w:rsid w:val="00D72097"/>
    <w:rsid w:val="00D7233A"/>
    <w:rsid w:val="00D72510"/>
    <w:rsid w:val="00D73167"/>
    <w:rsid w:val="00D7322F"/>
    <w:rsid w:val="00D73481"/>
    <w:rsid w:val="00D73C07"/>
    <w:rsid w:val="00D743AB"/>
    <w:rsid w:val="00D74799"/>
    <w:rsid w:val="00D74FDC"/>
    <w:rsid w:val="00D7536B"/>
    <w:rsid w:val="00D75AD5"/>
    <w:rsid w:val="00D768A0"/>
    <w:rsid w:val="00D76FEA"/>
    <w:rsid w:val="00D80E5C"/>
    <w:rsid w:val="00D81033"/>
    <w:rsid w:val="00D81136"/>
    <w:rsid w:val="00D812D3"/>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BB1"/>
    <w:rsid w:val="00DB77AF"/>
    <w:rsid w:val="00DB7F38"/>
    <w:rsid w:val="00DC09F8"/>
    <w:rsid w:val="00DC0D1A"/>
    <w:rsid w:val="00DC1C5C"/>
    <w:rsid w:val="00DC1E6D"/>
    <w:rsid w:val="00DC2465"/>
    <w:rsid w:val="00DC252B"/>
    <w:rsid w:val="00DC2811"/>
    <w:rsid w:val="00DC458D"/>
    <w:rsid w:val="00DC480C"/>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5F42"/>
    <w:rsid w:val="00DE68DD"/>
    <w:rsid w:val="00DE77DC"/>
    <w:rsid w:val="00DF0391"/>
    <w:rsid w:val="00DF0DE7"/>
    <w:rsid w:val="00DF0FAE"/>
    <w:rsid w:val="00DF1506"/>
    <w:rsid w:val="00DF1D06"/>
    <w:rsid w:val="00DF1F74"/>
    <w:rsid w:val="00DF2FA1"/>
    <w:rsid w:val="00DF5862"/>
    <w:rsid w:val="00DF5E93"/>
    <w:rsid w:val="00DF66BB"/>
    <w:rsid w:val="00DF7D55"/>
    <w:rsid w:val="00E004CD"/>
    <w:rsid w:val="00E00E3A"/>
    <w:rsid w:val="00E013E9"/>
    <w:rsid w:val="00E013EF"/>
    <w:rsid w:val="00E017F2"/>
    <w:rsid w:val="00E01B2C"/>
    <w:rsid w:val="00E0267C"/>
    <w:rsid w:val="00E02932"/>
    <w:rsid w:val="00E02CE1"/>
    <w:rsid w:val="00E03B4B"/>
    <w:rsid w:val="00E043FA"/>
    <w:rsid w:val="00E04ACE"/>
    <w:rsid w:val="00E05373"/>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B7F"/>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5B7"/>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2A3"/>
    <w:rsid w:val="00E43435"/>
    <w:rsid w:val="00E447FF"/>
    <w:rsid w:val="00E44850"/>
    <w:rsid w:val="00E455A1"/>
    <w:rsid w:val="00E45DF0"/>
    <w:rsid w:val="00E45F05"/>
    <w:rsid w:val="00E47A30"/>
    <w:rsid w:val="00E50E09"/>
    <w:rsid w:val="00E51F55"/>
    <w:rsid w:val="00E52A5A"/>
    <w:rsid w:val="00E531FE"/>
    <w:rsid w:val="00E540CA"/>
    <w:rsid w:val="00E54462"/>
    <w:rsid w:val="00E54583"/>
    <w:rsid w:val="00E55F46"/>
    <w:rsid w:val="00E5633C"/>
    <w:rsid w:val="00E564C6"/>
    <w:rsid w:val="00E56E97"/>
    <w:rsid w:val="00E56EE4"/>
    <w:rsid w:val="00E572DD"/>
    <w:rsid w:val="00E57504"/>
    <w:rsid w:val="00E60A17"/>
    <w:rsid w:val="00E61462"/>
    <w:rsid w:val="00E621FE"/>
    <w:rsid w:val="00E62CBA"/>
    <w:rsid w:val="00E63E08"/>
    <w:rsid w:val="00E648F7"/>
    <w:rsid w:val="00E64CC9"/>
    <w:rsid w:val="00E65D50"/>
    <w:rsid w:val="00E65E40"/>
    <w:rsid w:val="00E66274"/>
    <w:rsid w:val="00E66BCF"/>
    <w:rsid w:val="00E67861"/>
    <w:rsid w:val="00E67D3C"/>
    <w:rsid w:val="00E702B9"/>
    <w:rsid w:val="00E71269"/>
    <w:rsid w:val="00E71EAE"/>
    <w:rsid w:val="00E736D9"/>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87172"/>
    <w:rsid w:val="00E90A7F"/>
    <w:rsid w:val="00E90BD7"/>
    <w:rsid w:val="00E90CAB"/>
    <w:rsid w:val="00E90E54"/>
    <w:rsid w:val="00E9118C"/>
    <w:rsid w:val="00E911AC"/>
    <w:rsid w:val="00E914A9"/>
    <w:rsid w:val="00E92595"/>
    <w:rsid w:val="00E92FE6"/>
    <w:rsid w:val="00E93342"/>
    <w:rsid w:val="00E94929"/>
    <w:rsid w:val="00E9535A"/>
    <w:rsid w:val="00E9569C"/>
    <w:rsid w:val="00E959A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5851"/>
    <w:rsid w:val="00EA6786"/>
    <w:rsid w:val="00EA689E"/>
    <w:rsid w:val="00EA778B"/>
    <w:rsid w:val="00EA7C5F"/>
    <w:rsid w:val="00EA7FAC"/>
    <w:rsid w:val="00EB0480"/>
    <w:rsid w:val="00EB0E25"/>
    <w:rsid w:val="00EB1BF9"/>
    <w:rsid w:val="00EB1D2C"/>
    <w:rsid w:val="00EB2497"/>
    <w:rsid w:val="00EB2A4F"/>
    <w:rsid w:val="00EB2ACC"/>
    <w:rsid w:val="00EB2D9B"/>
    <w:rsid w:val="00EB2F4D"/>
    <w:rsid w:val="00EB3AF2"/>
    <w:rsid w:val="00EB3C52"/>
    <w:rsid w:val="00EB51C7"/>
    <w:rsid w:val="00EB5858"/>
    <w:rsid w:val="00EB5DEF"/>
    <w:rsid w:val="00EB61E5"/>
    <w:rsid w:val="00EB67AA"/>
    <w:rsid w:val="00EB70B5"/>
    <w:rsid w:val="00EB780C"/>
    <w:rsid w:val="00EC0AEF"/>
    <w:rsid w:val="00EC27B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2BF9"/>
    <w:rsid w:val="00EE3015"/>
    <w:rsid w:val="00EE31AF"/>
    <w:rsid w:val="00EE34A1"/>
    <w:rsid w:val="00EE41A1"/>
    <w:rsid w:val="00EE4994"/>
    <w:rsid w:val="00EE50C5"/>
    <w:rsid w:val="00EE536C"/>
    <w:rsid w:val="00EE53E7"/>
    <w:rsid w:val="00EE6B18"/>
    <w:rsid w:val="00EE71BF"/>
    <w:rsid w:val="00EE73E5"/>
    <w:rsid w:val="00EE7B44"/>
    <w:rsid w:val="00EE7D04"/>
    <w:rsid w:val="00EE7FB9"/>
    <w:rsid w:val="00EF09AC"/>
    <w:rsid w:val="00EF14D1"/>
    <w:rsid w:val="00EF1DD2"/>
    <w:rsid w:val="00EF58F2"/>
    <w:rsid w:val="00EF60C8"/>
    <w:rsid w:val="00EF6733"/>
    <w:rsid w:val="00EF6AD7"/>
    <w:rsid w:val="00EF7F56"/>
    <w:rsid w:val="00F006A9"/>
    <w:rsid w:val="00F009EB"/>
    <w:rsid w:val="00F017FB"/>
    <w:rsid w:val="00F01F7A"/>
    <w:rsid w:val="00F02736"/>
    <w:rsid w:val="00F02A35"/>
    <w:rsid w:val="00F02DE0"/>
    <w:rsid w:val="00F030A2"/>
    <w:rsid w:val="00F0344E"/>
    <w:rsid w:val="00F03930"/>
    <w:rsid w:val="00F04DD4"/>
    <w:rsid w:val="00F053FC"/>
    <w:rsid w:val="00F05564"/>
    <w:rsid w:val="00F05F47"/>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AE7"/>
    <w:rsid w:val="00F2516C"/>
    <w:rsid w:val="00F2560A"/>
    <w:rsid w:val="00F25B7F"/>
    <w:rsid w:val="00F25D74"/>
    <w:rsid w:val="00F2644C"/>
    <w:rsid w:val="00F26992"/>
    <w:rsid w:val="00F26F0E"/>
    <w:rsid w:val="00F27167"/>
    <w:rsid w:val="00F27698"/>
    <w:rsid w:val="00F276E4"/>
    <w:rsid w:val="00F2789C"/>
    <w:rsid w:val="00F30B89"/>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1EF5"/>
    <w:rsid w:val="00F624A5"/>
    <w:rsid w:val="00F62A5C"/>
    <w:rsid w:val="00F62D15"/>
    <w:rsid w:val="00F6398A"/>
    <w:rsid w:val="00F63C51"/>
    <w:rsid w:val="00F64C5A"/>
    <w:rsid w:val="00F66D81"/>
    <w:rsid w:val="00F67C3E"/>
    <w:rsid w:val="00F70281"/>
    <w:rsid w:val="00F707C2"/>
    <w:rsid w:val="00F707EE"/>
    <w:rsid w:val="00F710EA"/>
    <w:rsid w:val="00F73249"/>
    <w:rsid w:val="00F73524"/>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4D2"/>
    <w:rsid w:val="00F902E3"/>
    <w:rsid w:val="00F921D2"/>
    <w:rsid w:val="00F92334"/>
    <w:rsid w:val="00F937E1"/>
    <w:rsid w:val="00F93EFB"/>
    <w:rsid w:val="00F94647"/>
    <w:rsid w:val="00F9509F"/>
    <w:rsid w:val="00F9524E"/>
    <w:rsid w:val="00F958CB"/>
    <w:rsid w:val="00F95BEE"/>
    <w:rsid w:val="00F95E95"/>
    <w:rsid w:val="00F966D6"/>
    <w:rsid w:val="00F96B6E"/>
    <w:rsid w:val="00F971CA"/>
    <w:rsid w:val="00F97B8D"/>
    <w:rsid w:val="00FA001C"/>
    <w:rsid w:val="00FA0211"/>
    <w:rsid w:val="00FA197C"/>
    <w:rsid w:val="00FA1B8A"/>
    <w:rsid w:val="00FA311C"/>
    <w:rsid w:val="00FA39AD"/>
    <w:rsid w:val="00FA3C84"/>
    <w:rsid w:val="00FA46ED"/>
    <w:rsid w:val="00FA4A5E"/>
    <w:rsid w:val="00FA4B22"/>
    <w:rsid w:val="00FA5829"/>
    <w:rsid w:val="00FA746C"/>
    <w:rsid w:val="00FA7B8D"/>
    <w:rsid w:val="00FB0C83"/>
    <w:rsid w:val="00FB1043"/>
    <w:rsid w:val="00FB20F3"/>
    <w:rsid w:val="00FB226D"/>
    <w:rsid w:val="00FB31F7"/>
    <w:rsid w:val="00FB43AC"/>
    <w:rsid w:val="00FB4676"/>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0FCB"/>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81D"/>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87172"/>
    <w:rPr>
      <w:b/>
      <w:bCs/>
    </w:rPr>
  </w:style>
  <w:style w:type="paragraph" w:customStyle="1" w:styleId="temp">
    <w:name w:val="temp"/>
    <w:basedOn w:val="Normal"/>
    <w:rsid w:val="00F950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509F"/>
  </w:style>
  <w:style w:type="character" w:customStyle="1" w:styleId="ng-star-inserted">
    <w:name w:val="ng-star-inserted"/>
    <w:basedOn w:val="Fuentedeprrafopredeter"/>
    <w:rsid w:val="00F9509F"/>
  </w:style>
  <w:style w:type="character" w:styleId="Hipervnculovisitado">
    <w:name w:val="FollowedHyperlink"/>
    <w:basedOn w:val="Fuentedeprrafopredeter"/>
    <w:uiPriority w:val="99"/>
    <w:semiHidden/>
    <w:unhideWhenUsed/>
    <w:rsid w:val="002733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204961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55685609">
      <w:bodyDiv w:val="1"/>
      <w:marLeft w:val="0"/>
      <w:marRight w:val="0"/>
      <w:marTop w:val="0"/>
      <w:marBottom w:val="0"/>
      <w:divBdr>
        <w:top w:val="none" w:sz="0" w:space="0" w:color="auto"/>
        <w:left w:val="none" w:sz="0" w:space="0" w:color="auto"/>
        <w:bottom w:val="none" w:sz="0" w:space="0" w:color="auto"/>
        <w:right w:val="none" w:sz="0" w:space="0" w:color="auto"/>
      </w:divBdr>
    </w:div>
    <w:div w:id="1202985717">
      <w:bodyDiv w:val="1"/>
      <w:marLeft w:val="0"/>
      <w:marRight w:val="0"/>
      <w:marTop w:val="0"/>
      <w:marBottom w:val="0"/>
      <w:divBdr>
        <w:top w:val="none" w:sz="0" w:space="0" w:color="auto"/>
        <w:left w:val="none" w:sz="0" w:space="0" w:color="auto"/>
        <w:bottom w:val="none" w:sz="0" w:space="0" w:color="auto"/>
        <w:right w:val="none" w:sz="0" w:space="0" w:color="auto"/>
      </w:divBdr>
      <w:divsChild>
        <w:div w:id="1206022934">
          <w:marLeft w:val="0"/>
          <w:marRight w:val="0"/>
          <w:marTop w:val="0"/>
          <w:marBottom w:val="0"/>
          <w:divBdr>
            <w:top w:val="none" w:sz="0" w:space="0" w:color="auto"/>
            <w:left w:val="none" w:sz="0" w:space="0" w:color="auto"/>
            <w:bottom w:val="none" w:sz="0" w:space="0" w:color="auto"/>
            <w:right w:val="none" w:sz="0" w:space="0" w:color="auto"/>
          </w:divBdr>
        </w:div>
        <w:div w:id="1029839009">
          <w:marLeft w:val="0"/>
          <w:marRight w:val="0"/>
          <w:marTop w:val="0"/>
          <w:marBottom w:val="0"/>
          <w:divBdr>
            <w:top w:val="none" w:sz="0" w:space="0" w:color="auto"/>
            <w:left w:val="none" w:sz="0" w:space="0" w:color="auto"/>
            <w:bottom w:val="none" w:sz="0" w:space="0" w:color="auto"/>
            <w:right w:val="none" w:sz="0" w:space="0" w:color="auto"/>
          </w:divBdr>
        </w:div>
        <w:div w:id="1916501762">
          <w:marLeft w:val="0"/>
          <w:marRight w:val="0"/>
          <w:marTop w:val="0"/>
          <w:marBottom w:val="0"/>
          <w:divBdr>
            <w:top w:val="none" w:sz="0" w:space="0" w:color="auto"/>
            <w:left w:val="none" w:sz="0" w:space="0" w:color="auto"/>
            <w:bottom w:val="none" w:sz="0" w:space="0" w:color="auto"/>
            <w:right w:val="none" w:sz="0" w:space="0" w:color="auto"/>
          </w:divBdr>
        </w:div>
        <w:div w:id="433748839">
          <w:marLeft w:val="0"/>
          <w:marRight w:val="0"/>
          <w:marTop w:val="0"/>
          <w:marBottom w:val="0"/>
          <w:divBdr>
            <w:top w:val="none" w:sz="0" w:space="0" w:color="auto"/>
            <w:left w:val="none" w:sz="0" w:space="0" w:color="auto"/>
            <w:bottom w:val="none" w:sz="0" w:space="0" w:color="auto"/>
            <w:right w:val="none" w:sz="0" w:space="0" w:color="auto"/>
          </w:divBdr>
        </w:div>
        <w:div w:id="1157497806">
          <w:marLeft w:val="0"/>
          <w:marRight w:val="0"/>
          <w:marTop w:val="0"/>
          <w:marBottom w:val="0"/>
          <w:divBdr>
            <w:top w:val="none" w:sz="0" w:space="0" w:color="auto"/>
            <w:left w:val="none" w:sz="0" w:space="0" w:color="auto"/>
            <w:bottom w:val="none" w:sz="0" w:space="0" w:color="auto"/>
            <w:right w:val="none" w:sz="0" w:space="0" w:color="auto"/>
          </w:divBdr>
        </w:div>
        <w:div w:id="1890452557">
          <w:marLeft w:val="0"/>
          <w:marRight w:val="0"/>
          <w:marTop w:val="0"/>
          <w:marBottom w:val="0"/>
          <w:divBdr>
            <w:top w:val="none" w:sz="0" w:space="0" w:color="auto"/>
            <w:left w:val="none" w:sz="0" w:space="0" w:color="auto"/>
            <w:bottom w:val="none" w:sz="0" w:space="0" w:color="auto"/>
            <w:right w:val="none" w:sz="0" w:space="0" w:color="auto"/>
          </w:divBdr>
        </w:div>
        <w:div w:id="6566744">
          <w:marLeft w:val="0"/>
          <w:marRight w:val="0"/>
          <w:marTop w:val="0"/>
          <w:marBottom w:val="0"/>
          <w:divBdr>
            <w:top w:val="none" w:sz="0" w:space="0" w:color="auto"/>
            <w:left w:val="none" w:sz="0" w:space="0" w:color="auto"/>
            <w:bottom w:val="none" w:sz="0" w:space="0" w:color="auto"/>
            <w:right w:val="none" w:sz="0" w:space="0" w:color="auto"/>
          </w:divBdr>
        </w:div>
      </w:divsChild>
    </w:div>
    <w:div w:id="128079618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21052596">
      <w:bodyDiv w:val="1"/>
      <w:marLeft w:val="0"/>
      <w:marRight w:val="0"/>
      <w:marTop w:val="0"/>
      <w:marBottom w:val="0"/>
      <w:divBdr>
        <w:top w:val="none" w:sz="0" w:space="0" w:color="auto"/>
        <w:left w:val="none" w:sz="0" w:space="0" w:color="auto"/>
        <w:bottom w:val="none" w:sz="0" w:space="0" w:color="auto"/>
        <w:right w:val="none" w:sz="0" w:space="0" w:color="auto"/>
      </w:divBdr>
      <w:divsChild>
        <w:div w:id="1389067027">
          <w:marLeft w:val="0"/>
          <w:marRight w:val="0"/>
          <w:marTop w:val="0"/>
          <w:marBottom w:val="0"/>
          <w:divBdr>
            <w:top w:val="none" w:sz="0" w:space="0" w:color="auto"/>
            <w:left w:val="none" w:sz="0" w:space="0" w:color="auto"/>
            <w:bottom w:val="none" w:sz="0" w:space="0" w:color="auto"/>
            <w:right w:val="none" w:sz="0" w:space="0" w:color="auto"/>
          </w:divBdr>
        </w:div>
        <w:div w:id="1022703068">
          <w:marLeft w:val="0"/>
          <w:marRight w:val="0"/>
          <w:marTop w:val="0"/>
          <w:marBottom w:val="0"/>
          <w:divBdr>
            <w:top w:val="none" w:sz="0" w:space="0" w:color="auto"/>
            <w:left w:val="none" w:sz="0" w:space="0" w:color="auto"/>
            <w:bottom w:val="none" w:sz="0" w:space="0" w:color="auto"/>
            <w:right w:val="none" w:sz="0" w:space="0" w:color="auto"/>
          </w:divBdr>
        </w:div>
        <w:div w:id="1628464759">
          <w:marLeft w:val="0"/>
          <w:marRight w:val="0"/>
          <w:marTop w:val="0"/>
          <w:marBottom w:val="0"/>
          <w:divBdr>
            <w:top w:val="none" w:sz="0" w:space="0" w:color="auto"/>
            <w:left w:val="none" w:sz="0" w:space="0" w:color="auto"/>
            <w:bottom w:val="none" w:sz="0" w:space="0" w:color="auto"/>
            <w:right w:val="none" w:sz="0" w:space="0" w:color="auto"/>
          </w:divBdr>
        </w:div>
        <w:div w:id="2022589072">
          <w:marLeft w:val="0"/>
          <w:marRight w:val="0"/>
          <w:marTop w:val="0"/>
          <w:marBottom w:val="0"/>
          <w:divBdr>
            <w:top w:val="none" w:sz="0" w:space="0" w:color="auto"/>
            <w:left w:val="none" w:sz="0" w:space="0" w:color="auto"/>
            <w:bottom w:val="none" w:sz="0" w:space="0" w:color="auto"/>
            <w:right w:val="none" w:sz="0" w:space="0" w:color="auto"/>
          </w:divBdr>
        </w:div>
        <w:div w:id="894049322">
          <w:marLeft w:val="0"/>
          <w:marRight w:val="0"/>
          <w:marTop w:val="0"/>
          <w:marBottom w:val="0"/>
          <w:divBdr>
            <w:top w:val="none" w:sz="0" w:space="0" w:color="auto"/>
            <w:left w:val="none" w:sz="0" w:space="0" w:color="auto"/>
            <w:bottom w:val="none" w:sz="0" w:space="0" w:color="auto"/>
            <w:right w:val="none" w:sz="0" w:space="0" w:color="auto"/>
          </w:divBdr>
        </w:div>
        <w:div w:id="13846736">
          <w:marLeft w:val="0"/>
          <w:marRight w:val="0"/>
          <w:marTop w:val="0"/>
          <w:marBottom w:val="0"/>
          <w:divBdr>
            <w:top w:val="none" w:sz="0" w:space="0" w:color="auto"/>
            <w:left w:val="none" w:sz="0" w:space="0" w:color="auto"/>
            <w:bottom w:val="none" w:sz="0" w:space="0" w:color="auto"/>
            <w:right w:val="none" w:sz="0" w:space="0" w:color="auto"/>
          </w:divBdr>
        </w:div>
        <w:div w:id="22439095">
          <w:marLeft w:val="0"/>
          <w:marRight w:val="0"/>
          <w:marTop w:val="0"/>
          <w:marBottom w:val="0"/>
          <w:divBdr>
            <w:top w:val="none" w:sz="0" w:space="0" w:color="auto"/>
            <w:left w:val="none" w:sz="0" w:space="0" w:color="auto"/>
            <w:bottom w:val="none" w:sz="0" w:space="0" w:color="auto"/>
            <w:right w:val="none" w:sz="0" w:space="0" w:color="auto"/>
          </w:divBdr>
        </w:div>
      </w:divsChild>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1F616-6935-427E-A6BE-5B3C1973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5830</Words>
  <Characters>32067</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cp:revision>
  <cp:lastPrinted>2021-09-09T18:10:00Z</cp:lastPrinted>
  <dcterms:created xsi:type="dcterms:W3CDTF">2021-09-09T18:17:00Z</dcterms:created>
  <dcterms:modified xsi:type="dcterms:W3CDTF">2021-09-21T19:23:00Z</dcterms:modified>
</cp:coreProperties>
</file>