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1D651926"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BA6368">
        <w:rPr>
          <w:rFonts w:cs="Arial"/>
          <w:b/>
          <w:bCs/>
          <w:sz w:val="24"/>
          <w:szCs w:val="24"/>
        </w:rPr>
        <w:t>174</w:t>
      </w:r>
      <w:r w:rsidRPr="007B0581">
        <w:rPr>
          <w:rFonts w:cs="Arial"/>
          <w:b/>
          <w:bCs/>
          <w:sz w:val="24"/>
          <w:szCs w:val="24"/>
        </w:rPr>
        <w:t>/20</w:t>
      </w:r>
      <w:r w:rsidR="00165D83" w:rsidRPr="007B0581">
        <w:rPr>
          <w:rFonts w:cs="Arial"/>
          <w:b/>
          <w:bCs/>
          <w:sz w:val="24"/>
          <w:szCs w:val="24"/>
        </w:rPr>
        <w:t>2</w:t>
      </w:r>
      <w:r w:rsidR="00BA6368">
        <w:rPr>
          <w:rFonts w:cs="Arial"/>
          <w:b/>
          <w:bCs/>
          <w:sz w:val="24"/>
          <w:szCs w:val="24"/>
        </w:rPr>
        <w:t>0</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3B455E28"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ACTOR</w:t>
      </w:r>
      <w:r w:rsidR="009406AD">
        <w:rPr>
          <w:rFonts w:cs="Arial"/>
          <w:b/>
          <w:sz w:val="24"/>
          <w:szCs w:val="24"/>
        </w:rPr>
        <w:t>A</w:t>
      </w:r>
      <w:r w:rsidRPr="007B0581">
        <w:rPr>
          <w:rFonts w:cs="Arial"/>
          <w:b/>
          <w:sz w:val="24"/>
          <w:szCs w:val="24"/>
        </w:rPr>
        <w:t xml:space="preserve">: </w:t>
      </w:r>
      <w:r w:rsidR="00EC41EF">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4F2E5DB0"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w:t>
      </w:r>
      <w:r w:rsidR="00BA6368">
        <w:rPr>
          <w:rFonts w:cs="Arial"/>
          <w:b/>
          <w:sz w:val="24"/>
          <w:szCs w:val="24"/>
        </w:rPr>
        <w:t>ES</w:t>
      </w:r>
      <w:r w:rsidRPr="007B0581">
        <w:rPr>
          <w:rFonts w:cs="Arial"/>
          <w:b/>
          <w:sz w:val="24"/>
          <w:szCs w:val="24"/>
        </w:rPr>
        <w:t xml:space="preserve"> DEMANDADA</w:t>
      </w:r>
      <w:r w:rsidR="00BA6368">
        <w:rPr>
          <w:rFonts w:cs="Arial"/>
          <w:b/>
          <w:sz w:val="24"/>
          <w:szCs w:val="24"/>
        </w:rPr>
        <w:t>S</w:t>
      </w:r>
      <w:r w:rsidRPr="007B0581">
        <w:rPr>
          <w:rFonts w:cs="Arial"/>
          <w:b/>
          <w:sz w:val="24"/>
          <w:szCs w:val="24"/>
        </w:rPr>
        <w:t>:</w:t>
      </w:r>
      <w:r w:rsidR="00965B3E">
        <w:rPr>
          <w:rFonts w:cs="Arial"/>
          <w:b/>
          <w:sz w:val="24"/>
          <w:szCs w:val="24"/>
        </w:rPr>
        <w:t xml:space="preserve"> </w:t>
      </w:r>
      <w:r w:rsidR="00BA6368">
        <w:rPr>
          <w:rFonts w:cs="Arial"/>
          <w:b/>
          <w:sz w:val="24"/>
          <w:szCs w:val="24"/>
        </w:rPr>
        <w:t>FISCAL GENERAL DEL ESTADO DE OAXACA Y OFICIAL MAYOR DE LA FISCALÍA GENERAL DEL ESTADO DE OAXACA.</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0D1EE420"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7E5E53">
        <w:rPr>
          <w:rFonts w:ascii="Arial" w:hAnsi="Arial" w:cs="Arial"/>
          <w:b/>
          <w:sz w:val="24"/>
          <w:szCs w:val="24"/>
        </w:rPr>
        <w:t>TREINTA DE NOVIEMBRE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w:t>
      </w:r>
      <w:r w:rsidR="009406AD">
        <w:rPr>
          <w:rFonts w:ascii="Arial" w:hAnsi="Arial" w:cs="Arial"/>
          <w:b/>
          <w:sz w:val="24"/>
          <w:szCs w:val="24"/>
        </w:rPr>
        <w:t>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5D391585"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4F8DFDAC" w:rsidR="00A15B34"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3208EA">
        <w:rPr>
          <w:rFonts w:ascii="Arial" w:hAnsi="Arial" w:cs="Arial"/>
          <w:b/>
          <w:bCs/>
          <w:sz w:val="24"/>
          <w:szCs w:val="24"/>
        </w:rPr>
        <w:t>0</w:t>
      </w:r>
      <w:r w:rsidR="008355FE">
        <w:rPr>
          <w:rFonts w:ascii="Arial" w:hAnsi="Arial" w:cs="Arial"/>
          <w:b/>
          <w:bCs/>
          <w:sz w:val="24"/>
          <w:szCs w:val="24"/>
        </w:rPr>
        <w:t>1</w:t>
      </w:r>
      <w:r w:rsidR="00084BE9">
        <w:rPr>
          <w:rFonts w:ascii="Arial" w:hAnsi="Arial" w:cs="Arial"/>
          <w:b/>
          <w:bCs/>
          <w:sz w:val="24"/>
          <w:szCs w:val="24"/>
        </w:rPr>
        <w:t>7</w:t>
      </w:r>
      <w:r w:rsidR="008355FE">
        <w:rPr>
          <w:rFonts w:ascii="Arial" w:hAnsi="Arial" w:cs="Arial"/>
          <w:b/>
          <w:bCs/>
          <w:sz w:val="24"/>
          <w:szCs w:val="24"/>
        </w:rPr>
        <w:t>4</w:t>
      </w:r>
      <w:r w:rsidR="006E2C00" w:rsidRPr="001A7D4E">
        <w:rPr>
          <w:rFonts w:ascii="Arial" w:hAnsi="Arial" w:cs="Arial"/>
          <w:b/>
          <w:bCs/>
          <w:sz w:val="24"/>
          <w:szCs w:val="24"/>
        </w:rPr>
        <w:t>/20</w:t>
      </w:r>
      <w:r w:rsidR="00802DB3" w:rsidRPr="001A7D4E">
        <w:rPr>
          <w:rFonts w:ascii="Arial" w:hAnsi="Arial" w:cs="Arial"/>
          <w:b/>
          <w:bCs/>
          <w:sz w:val="24"/>
          <w:szCs w:val="24"/>
        </w:rPr>
        <w:t>2</w:t>
      </w:r>
      <w:r w:rsidR="00084BE9">
        <w:rPr>
          <w:rFonts w:ascii="Arial" w:hAnsi="Arial" w:cs="Arial"/>
          <w:b/>
          <w:bCs/>
          <w:sz w:val="24"/>
          <w:szCs w:val="24"/>
        </w:rPr>
        <w:t>0</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EC41EF">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w:t>
      </w:r>
      <w:r w:rsidR="00084BE9">
        <w:rPr>
          <w:rFonts w:ascii="Arial" w:hAnsi="Arial" w:cs="Arial"/>
          <w:sz w:val="24"/>
          <w:szCs w:val="24"/>
        </w:rPr>
        <w:t xml:space="preserve"> la resolución contenida en el oficio </w:t>
      </w:r>
      <w:r w:rsidR="00EC41EF">
        <w:rPr>
          <w:rFonts w:cs="Arial"/>
          <w:b/>
          <w:sz w:val="24"/>
          <w:szCs w:val="24"/>
        </w:rPr>
        <w:t>**********</w:t>
      </w:r>
      <w:r w:rsidR="00EC41EF">
        <w:rPr>
          <w:rFonts w:cs="Arial"/>
          <w:b/>
          <w:sz w:val="24"/>
          <w:szCs w:val="24"/>
        </w:rPr>
        <w:t xml:space="preserve"> </w:t>
      </w:r>
      <w:r w:rsidR="00084BE9">
        <w:rPr>
          <w:rFonts w:ascii="Arial" w:hAnsi="Arial" w:cs="Arial"/>
          <w:sz w:val="24"/>
          <w:szCs w:val="24"/>
        </w:rPr>
        <w:t>de veintiuno de septiembre de dos mil veinte</w:t>
      </w:r>
      <w:bookmarkStart w:id="0" w:name="_Hlk83640314"/>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signad</w:t>
      </w:r>
      <w:r w:rsidR="00084BE9">
        <w:rPr>
          <w:rFonts w:ascii="Arial" w:hAnsi="Arial" w:cs="Arial"/>
          <w:sz w:val="24"/>
          <w:szCs w:val="24"/>
        </w:rPr>
        <w:t>a</w:t>
      </w:r>
      <w:r w:rsidR="00150F4B" w:rsidRPr="007B0581">
        <w:rPr>
          <w:rFonts w:ascii="Arial" w:hAnsi="Arial" w:cs="Arial"/>
          <w:sz w:val="24"/>
          <w:szCs w:val="24"/>
        </w:rPr>
        <w:t xml:space="preserve"> por</w:t>
      </w:r>
      <w:bookmarkEnd w:id="0"/>
      <w:r w:rsidR="00084BE9">
        <w:rPr>
          <w:rFonts w:ascii="Arial" w:hAnsi="Arial" w:cs="Arial"/>
          <w:sz w:val="24"/>
          <w:szCs w:val="24"/>
        </w:rPr>
        <w:t xml:space="preserve"> el Oficial Mayor de la Fiscalía General del Estado; así como en contra del Fiscal General del Estado</w:t>
      </w:r>
      <w:r w:rsidR="00150F4B" w:rsidRPr="007B0581">
        <w:rPr>
          <w:rFonts w:ascii="Arial" w:hAnsi="Arial" w:cs="Arial"/>
          <w:sz w:val="24"/>
          <w:szCs w:val="24"/>
        </w:rPr>
        <w:t>, y;</w:t>
      </w:r>
      <w:r w:rsidR="00BA6368">
        <w:rPr>
          <w:rFonts w:ascii="Arial" w:hAnsi="Arial" w:cs="Arial"/>
          <w:b/>
          <w:bCs/>
          <w:sz w:val="24"/>
          <w:szCs w:val="24"/>
        </w:rPr>
        <w:t xml:space="preserve"> </w:t>
      </w:r>
    </w:p>
    <w:p w14:paraId="5F5FB89F" w14:textId="77777777" w:rsidR="00755662" w:rsidRPr="007B0581" w:rsidRDefault="00755662" w:rsidP="00A15B34">
      <w:pPr>
        <w:spacing w:line="360" w:lineRule="auto"/>
        <w:jc w:val="both"/>
        <w:rPr>
          <w:rFonts w:ascii="Arial" w:hAnsi="Arial" w:cs="Arial"/>
          <w:b/>
          <w:bCs/>
          <w:sz w:val="24"/>
          <w:szCs w:val="24"/>
        </w:rPr>
      </w:pP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38C8DA20"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30F3E9D3" w:rsidR="00471C70" w:rsidRDefault="00471C70" w:rsidP="00AB36AE">
      <w:pPr>
        <w:contextualSpacing/>
        <w:jc w:val="both"/>
        <w:rPr>
          <w:rFonts w:ascii="Arial" w:hAnsi="Arial" w:cs="Arial"/>
          <w:b/>
          <w:spacing w:val="-3"/>
          <w:sz w:val="24"/>
          <w:szCs w:val="24"/>
          <w:lang w:val="es-ES_tradnl"/>
        </w:rPr>
      </w:pPr>
    </w:p>
    <w:p w14:paraId="185E182D" w14:textId="77777777" w:rsidR="00F42CDD" w:rsidRPr="007B0581" w:rsidRDefault="00F42CDD" w:rsidP="00AB36AE">
      <w:pPr>
        <w:contextualSpacing/>
        <w:jc w:val="both"/>
        <w:rPr>
          <w:rFonts w:ascii="Arial" w:hAnsi="Arial" w:cs="Arial"/>
          <w:b/>
          <w:spacing w:val="-3"/>
          <w:sz w:val="24"/>
          <w:szCs w:val="24"/>
          <w:lang w:val="es-ES_tradnl"/>
        </w:rPr>
      </w:pPr>
    </w:p>
    <w:p w14:paraId="5AE7FA93" w14:textId="08B75433"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084BE9">
        <w:rPr>
          <w:rFonts w:ascii="Arial" w:hAnsi="Arial" w:cs="Arial"/>
          <w:sz w:val="24"/>
          <w:szCs w:val="24"/>
        </w:rPr>
        <w:t>diez de diciembre de dos mil veinte</w:t>
      </w:r>
      <w:r w:rsidR="00473175" w:rsidRPr="007B0581">
        <w:rPr>
          <w:rFonts w:ascii="Arial" w:hAnsi="Arial" w:cs="Arial"/>
          <w:sz w:val="24"/>
          <w:szCs w:val="24"/>
        </w:rPr>
        <w:t xml:space="preserve">, </w:t>
      </w:r>
      <w:r w:rsidR="00EC41EF">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084BE9">
        <w:rPr>
          <w:rFonts w:ascii="Arial" w:hAnsi="Arial" w:cs="Arial"/>
          <w:sz w:val="24"/>
          <w:szCs w:val="24"/>
        </w:rPr>
        <w:t xml:space="preserve"> </w:t>
      </w:r>
      <w:r w:rsidR="00D44838">
        <w:rPr>
          <w:rFonts w:ascii="Arial" w:hAnsi="Arial" w:cs="Arial"/>
          <w:sz w:val="24"/>
          <w:szCs w:val="24"/>
        </w:rPr>
        <w:t>l</w:t>
      </w:r>
      <w:r w:rsidR="00084BE9">
        <w:rPr>
          <w:rFonts w:ascii="Arial" w:hAnsi="Arial" w:cs="Arial"/>
          <w:sz w:val="24"/>
          <w:szCs w:val="24"/>
        </w:rPr>
        <w:t>a</w:t>
      </w:r>
      <w:r w:rsidR="00910EFC" w:rsidRPr="007B0581">
        <w:rPr>
          <w:rFonts w:ascii="Arial" w:hAnsi="Arial" w:cs="Arial"/>
          <w:sz w:val="24"/>
          <w:szCs w:val="24"/>
        </w:rPr>
        <w:t xml:space="preserve"> </w:t>
      </w:r>
      <w:bookmarkStart w:id="2" w:name="_Hlk83725409"/>
      <w:r w:rsidR="00084BE9">
        <w:rPr>
          <w:rFonts w:ascii="Arial" w:hAnsi="Arial" w:cs="Arial"/>
          <w:sz w:val="24"/>
          <w:szCs w:val="24"/>
        </w:rPr>
        <w:t xml:space="preserve">resolución contenida en el oficio </w:t>
      </w:r>
      <w:r w:rsidR="00EC41EF">
        <w:rPr>
          <w:rFonts w:cs="Arial"/>
          <w:b/>
          <w:sz w:val="24"/>
          <w:szCs w:val="24"/>
        </w:rPr>
        <w:t>**********</w:t>
      </w:r>
      <w:r w:rsidR="00EC41EF">
        <w:rPr>
          <w:rFonts w:cs="Arial"/>
          <w:b/>
          <w:sz w:val="24"/>
          <w:szCs w:val="24"/>
        </w:rPr>
        <w:t xml:space="preserve"> </w:t>
      </w:r>
      <w:r w:rsidR="00084BE9">
        <w:rPr>
          <w:rFonts w:ascii="Arial" w:hAnsi="Arial" w:cs="Arial"/>
          <w:sz w:val="24"/>
          <w:szCs w:val="24"/>
        </w:rPr>
        <w:t>de veintiuno de septiembre de dos mil veinte</w:t>
      </w:r>
      <w:r w:rsidR="00084BE9" w:rsidRPr="007B0581">
        <w:rPr>
          <w:rFonts w:ascii="Arial" w:hAnsi="Arial" w:cs="Arial"/>
          <w:sz w:val="24"/>
          <w:szCs w:val="24"/>
        </w:rPr>
        <w:t>, signad</w:t>
      </w:r>
      <w:r w:rsidR="00084BE9">
        <w:rPr>
          <w:rFonts w:ascii="Arial" w:hAnsi="Arial" w:cs="Arial"/>
          <w:sz w:val="24"/>
          <w:szCs w:val="24"/>
        </w:rPr>
        <w:t>a</w:t>
      </w:r>
      <w:r w:rsidR="00084BE9" w:rsidRPr="007B0581">
        <w:rPr>
          <w:rFonts w:ascii="Arial" w:hAnsi="Arial" w:cs="Arial"/>
          <w:sz w:val="24"/>
          <w:szCs w:val="24"/>
        </w:rPr>
        <w:t xml:space="preserve"> por</w:t>
      </w:r>
      <w:r w:rsidR="00084BE9">
        <w:rPr>
          <w:rFonts w:ascii="Arial" w:hAnsi="Arial" w:cs="Arial"/>
          <w:sz w:val="24"/>
          <w:szCs w:val="24"/>
        </w:rPr>
        <w:t xml:space="preserve"> el Oficial Mayor de la Fiscalía General del Estado; </w:t>
      </w:r>
      <w:r w:rsidR="00084BE9" w:rsidRPr="00DA0C82">
        <w:rPr>
          <w:rFonts w:ascii="Arial" w:hAnsi="Arial" w:cs="Arial"/>
          <w:sz w:val="24"/>
          <w:szCs w:val="24"/>
        </w:rPr>
        <w:t>así como en contra del Fiscal General del Estado</w:t>
      </w:r>
      <w:r w:rsidR="00E95FD9" w:rsidRPr="00DA0C82">
        <w:rPr>
          <w:rFonts w:ascii="Arial" w:hAnsi="Arial" w:cs="Arial"/>
          <w:sz w:val="24"/>
          <w:szCs w:val="24"/>
        </w:rPr>
        <w:t>.</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395EFA70"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084BE9">
        <w:rPr>
          <w:rFonts w:ascii="Arial" w:hAnsi="Arial" w:cs="Arial"/>
          <w:sz w:val="24"/>
          <w:szCs w:val="24"/>
        </w:rPr>
        <w:t>quince de diciembre de dos mil veinte</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w:t>
      </w:r>
      <w:r w:rsidR="00084BE9">
        <w:rPr>
          <w:rFonts w:ascii="Arial" w:hAnsi="Arial" w:cs="Arial"/>
          <w:sz w:val="24"/>
          <w:szCs w:val="24"/>
        </w:rPr>
        <w:t>s</w:t>
      </w:r>
      <w:r w:rsidR="006E2C00" w:rsidRPr="007B0581">
        <w:rPr>
          <w:rFonts w:ascii="Arial" w:hAnsi="Arial" w:cs="Arial"/>
          <w:sz w:val="24"/>
          <w:szCs w:val="24"/>
        </w:rPr>
        <w:t xml:space="preserve"> autoridad</w:t>
      </w:r>
      <w:r w:rsidR="00084BE9">
        <w:rPr>
          <w:rFonts w:ascii="Arial" w:hAnsi="Arial" w:cs="Arial"/>
          <w:sz w:val="24"/>
          <w:szCs w:val="24"/>
        </w:rPr>
        <w:t>es</w:t>
      </w:r>
      <w:r w:rsidR="006E2C00" w:rsidRPr="007B0581">
        <w:rPr>
          <w:rFonts w:ascii="Arial" w:hAnsi="Arial" w:cs="Arial"/>
          <w:sz w:val="24"/>
          <w:szCs w:val="24"/>
        </w:rPr>
        <w:t xml:space="preserve"> demandada</w:t>
      </w:r>
      <w:r w:rsidR="00084BE9">
        <w:rPr>
          <w:rFonts w:ascii="Arial" w:hAnsi="Arial" w:cs="Arial"/>
          <w:sz w:val="24"/>
          <w:szCs w:val="24"/>
        </w:rPr>
        <w:t>s</w:t>
      </w:r>
      <w:r w:rsidR="006E2C00" w:rsidRPr="007B0581">
        <w:rPr>
          <w:rFonts w:ascii="Arial" w:hAnsi="Arial" w:cs="Arial"/>
          <w:sz w:val="24"/>
          <w:szCs w:val="24"/>
        </w:rPr>
        <w:t>, para qu</w:t>
      </w:r>
      <w:r w:rsidR="007A2570" w:rsidRPr="007B0581">
        <w:rPr>
          <w:rFonts w:ascii="Arial" w:hAnsi="Arial" w:cs="Arial"/>
          <w:sz w:val="24"/>
          <w:szCs w:val="24"/>
        </w:rPr>
        <w:t>e</w:t>
      </w:r>
      <w:r w:rsidR="006E2C00" w:rsidRPr="007B0581">
        <w:rPr>
          <w:rFonts w:ascii="Arial" w:hAnsi="Arial" w:cs="Arial"/>
          <w:sz w:val="24"/>
          <w:szCs w:val="24"/>
        </w:rPr>
        <w:t xml:space="preserve"> produjera</w:t>
      </w:r>
      <w:r w:rsidR="00084BE9">
        <w:rPr>
          <w:rFonts w:ascii="Arial" w:hAnsi="Arial" w:cs="Arial"/>
          <w:sz w:val="24"/>
          <w:szCs w:val="24"/>
        </w:rPr>
        <w:t>n</w:t>
      </w:r>
      <w:r w:rsidR="006E2C00" w:rsidRPr="007B0581">
        <w:rPr>
          <w:rFonts w:ascii="Arial" w:hAnsi="Arial" w:cs="Arial"/>
          <w:sz w:val="24"/>
          <w:szCs w:val="24"/>
        </w:rPr>
        <w:t xml:space="preserve">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360DD32B"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4B5E94">
        <w:rPr>
          <w:rFonts w:cs="Arial"/>
          <w:bCs/>
          <w:sz w:val="24"/>
          <w:szCs w:val="24"/>
        </w:rPr>
        <w:t>veinte de abril de dos mil veintiuno</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w:t>
      </w:r>
      <w:r w:rsidR="004B5E94">
        <w:rPr>
          <w:rFonts w:cs="Arial"/>
          <w:bCs/>
          <w:sz w:val="24"/>
          <w:szCs w:val="24"/>
        </w:rPr>
        <w:t>s</w:t>
      </w:r>
      <w:r w:rsidR="00DE58D0">
        <w:rPr>
          <w:rFonts w:cs="Arial"/>
          <w:bCs/>
          <w:sz w:val="24"/>
          <w:szCs w:val="24"/>
        </w:rPr>
        <w:t xml:space="preserve"> autoridad</w:t>
      </w:r>
      <w:r w:rsidR="004B5E94">
        <w:rPr>
          <w:rFonts w:cs="Arial"/>
          <w:bCs/>
          <w:sz w:val="24"/>
          <w:szCs w:val="24"/>
        </w:rPr>
        <w:t>es</w:t>
      </w:r>
      <w:r w:rsidR="00DE58D0">
        <w:rPr>
          <w:rFonts w:cs="Arial"/>
          <w:bCs/>
          <w:sz w:val="24"/>
          <w:szCs w:val="24"/>
        </w:rPr>
        <w:t xml:space="preserve"> demandada</w:t>
      </w:r>
      <w:r w:rsidR="004B5E94">
        <w:rPr>
          <w:rFonts w:cs="Arial"/>
          <w:bCs/>
          <w:sz w:val="24"/>
          <w:szCs w:val="24"/>
        </w:rPr>
        <w:t>s Fiscal General, por conducto</w:t>
      </w:r>
      <w:r w:rsidR="00432566">
        <w:rPr>
          <w:rFonts w:cs="Arial"/>
          <w:bCs/>
          <w:sz w:val="24"/>
          <w:szCs w:val="24"/>
        </w:rPr>
        <w:t xml:space="preserve"> de su representante legal,</w:t>
      </w:r>
      <w:r w:rsidR="004B5E94">
        <w:rPr>
          <w:rFonts w:cs="Arial"/>
          <w:bCs/>
          <w:sz w:val="24"/>
          <w:szCs w:val="24"/>
        </w:rPr>
        <w:t xml:space="preserve"> Director de Asuntos </w:t>
      </w:r>
      <w:r w:rsidR="00283F23">
        <w:rPr>
          <w:rFonts w:cs="Arial"/>
          <w:bCs/>
          <w:sz w:val="24"/>
          <w:szCs w:val="24"/>
        </w:rPr>
        <w:t>Jurídicos</w:t>
      </w:r>
      <w:r w:rsidR="006E2C00" w:rsidRPr="007B0581">
        <w:rPr>
          <w:rFonts w:cs="Arial"/>
          <w:bCs/>
          <w:sz w:val="24"/>
          <w:szCs w:val="24"/>
        </w:rPr>
        <w:t>,</w:t>
      </w:r>
      <w:r w:rsidR="00283F23">
        <w:rPr>
          <w:rFonts w:cs="Arial"/>
          <w:bCs/>
          <w:sz w:val="24"/>
          <w:szCs w:val="24"/>
        </w:rPr>
        <w:t xml:space="preserve"> y Oficial Mayor de la Fiscalía General del Estado de Oaxaca,</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w:t>
      </w:r>
      <w:r w:rsidR="00D9008E">
        <w:rPr>
          <w:rFonts w:cs="Arial"/>
          <w:sz w:val="24"/>
          <w:szCs w:val="24"/>
        </w:rPr>
        <w:t>i</w:t>
      </w:r>
      <w:r w:rsidR="00283F23">
        <w:rPr>
          <w:rFonts w:cs="Arial"/>
          <w:sz w:val="24"/>
          <w:szCs w:val="24"/>
        </w:rPr>
        <w:t>eron</w:t>
      </w:r>
      <w:r w:rsidRPr="007B0581">
        <w:rPr>
          <w:rFonts w:cs="Arial"/>
          <w:sz w:val="24"/>
          <w:szCs w:val="24"/>
        </w:rPr>
        <w:t>, haciendo</w:t>
      </w:r>
      <w:r w:rsidR="006E2C00" w:rsidRPr="007B0581">
        <w:rPr>
          <w:rFonts w:cs="Arial"/>
          <w:sz w:val="24"/>
          <w:szCs w:val="24"/>
        </w:rPr>
        <w:t xml:space="preserve"> valer sus </w:t>
      </w:r>
      <w:r w:rsidR="006E2C00" w:rsidRPr="007B0581">
        <w:rPr>
          <w:rFonts w:cs="Arial"/>
          <w:sz w:val="24"/>
          <w:szCs w:val="24"/>
        </w:rPr>
        <w:lastRenderedPageBreak/>
        <w:t>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D9008E">
        <w:rPr>
          <w:rFonts w:cs="Arial"/>
          <w:sz w:val="24"/>
          <w:szCs w:val="24"/>
        </w:rPr>
        <w:t>; asimismo se</w:t>
      </w:r>
      <w:r w:rsidR="0004516B">
        <w:rPr>
          <w:rFonts w:cs="Arial"/>
          <w:sz w:val="24"/>
          <w:szCs w:val="24"/>
        </w:rPr>
        <w:t xml:space="preserve"> </w:t>
      </w:r>
      <w:r w:rsidR="00283F23">
        <w:rPr>
          <w:rFonts w:cs="Arial"/>
          <w:sz w:val="24"/>
          <w:szCs w:val="24"/>
        </w:rPr>
        <w:t xml:space="preserve">hizo del conocimiento de las partes la incorporación y adscripción de la Magistrada VIRGINIA HERNÁNDEZ </w:t>
      </w:r>
      <w:proofErr w:type="spellStart"/>
      <w:r w:rsidR="00283F23">
        <w:rPr>
          <w:rFonts w:cs="Arial"/>
          <w:sz w:val="24"/>
          <w:szCs w:val="24"/>
        </w:rPr>
        <w:t>HERNÁNDEZ</w:t>
      </w:r>
      <w:proofErr w:type="spellEnd"/>
      <w:r w:rsidR="00283F23">
        <w:rPr>
          <w:rFonts w:cs="Arial"/>
          <w:sz w:val="24"/>
          <w:szCs w:val="24"/>
        </w:rPr>
        <w:t>, como titular de esta Quinta Sala de Primera Instancia de este órgano jurisdiccional</w:t>
      </w:r>
      <w:r w:rsidR="00C3273C">
        <w:rPr>
          <w:rFonts w:cs="Arial"/>
          <w:sz w:val="24"/>
          <w:szCs w:val="24"/>
        </w:rPr>
        <w:t xml:space="preserve"> para que en el plazo de tres días hábiles manifestaran lo que a su derecho conviniera</w:t>
      </w:r>
      <w:r w:rsidR="0004516B">
        <w:rPr>
          <w:rFonts w:cs="Arial"/>
          <w:sz w:val="24"/>
          <w:szCs w:val="24"/>
        </w:rPr>
        <w:t>.</w:t>
      </w:r>
      <w:r w:rsidR="00D9008E">
        <w:rPr>
          <w:rFonts w:cs="Arial"/>
          <w:sz w:val="24"/>
          <w:szCs w:val="24"/>
        </w:rPr>
        <w:t xml:space="preserve"> </w:t>
      </w:r>
      <w:r w:rsidR="0079658F" w:rsidRPr="007B0581">
        <w:rPr>
          <w:rFonts w:cs="Arial"/>
          <w:sz w:val="24"/>
          <w:szCs w:val="24"/>
        </w:rPr>
        <w:t xml:space="preserve">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008E2D59" w14:textId="68614F88" w:rsidR="00C3273C" w:rsidRDefault="00232678" w:rsidP="009B52E2">
      <w:pPr>
        <w:pStyle w:val="corte4fondo"/>
        <w:ind w:right="51" w:firstLine="567"/>
        <w:rPr>
          <w:rFonts w:cs="Arial"/>
          <w:sz w:val="24"/>
          <w:szCs w:val="24"/>
        </w:rPr>
      </w:pPr>
      <w:r w:rsidRPr="007B33B4">
        <w:rPr>
          <w:rFonts w:cs="Arial"/>
          <w:b/>
          <w:bCs/>
          <w:sz w:val="24"/>
          <w:szCs w:val="24"/>
        </w:rPr>
        <w:t xml:space="preserve">CUARTO. </w:t>
      </w:r>
      <w:r w:rsidR="00C3273C">
        <w:rPr>
          <w:rFonts w:cs="Arial"/>
          <w:sz w:val="24"/>
          <w:szCs w:val="24"/>
        </w:rPr>
        <w:t xml:space="preserve">- </w:t>
      </w:r>
      <w:r w:rsidR="00C3273C" w:rsidRPr="00C3273C">
        <w:rPr>
          <w:rFonts w:cs="Arial"/>
          <w:sz w:val="24"/>
          <w:szCs w:val="24"/>
        </w:rPr>
        <w:t>Por</w:t>
      </w:r>
      <w:r w:rsidR="00C3273C">
        <w:rPr>
          <w:rFonts w:cs="Arial"/>
          <w:sz w:val="24"/>
          <w:szCs w:val="24"/>
        </w:rPr>
        <w:t xml:space="preserve"> acuerdo de dos de junio de dos mil veintiuno, se señalaron las ONCE HORAS del día SIETE DE SEPTIEMBRE DE DOS MIL VEINTIUNO, para la celebración de la Audiencia Final.</w:t>
      </w:r>
    </w:p>
    <w:p w14:paraId="78350DB6" w14:textId="265C023E" w:rsidR="00C3273C" w:rsidRDefault="00C3273C" w:rsidP="009B52E2">
      <w:pPr>
        <w:pStyle w:val="corte4fondo"/>
        <w:ind w:right="51" w:firstLine="567"/>
        <w:rPr>
          <w:rFonts w:cs="Arial"/>
          <w:sz w:val="24"/>
          <w:szCs w:val="24"/>
        </w:rPr>
      </w:pPr>
    </w:p>
    <w:p w14:paraId="32CED991" w14:textId="0E24CF8A" w:rsidR="00C3273C" w:rsidRDefault="00C3273C" w:rsidP="009B52E2">
      <w:pPr>
        <w:pStyle w:val="corte4fondo"/>
        <w:ind w:right="51" w:firstLine="567"/>
        <w:rPr>
          <w:rFonts w:cs="Arial"/>
          <w:b/>
          <w:bCs/>
          <w:sz w:val="24"/>
          <w:szCs w:val="24"/>
        </w:rPr>
      </w:pPr>
      <w:r w:rsidRPr="00353EF3">
        <w:rPr>
          <w:rFonts w:cs="Arial"/>
          <w:b/>
          <w:bCs/>
          <w:sz w:val="24"/>
          <w:szCs w:val="24"/>
        </w:rPr>
        <w:t>QUINTO.</w:t>
      </w:r>
      <w:r>
        <w:rPr>
          <w:rFonts w:cs="Arial"/>
          <w:sz w:val="24"/>
          <w:szCs w:val="24"/>
        </w:rPr>
        <w:t xml:space="preserve"> </w:t>
      </w:r>
      <w:r w:rsidR="00353EF3">
        <w:rPr>
          <w:rFonts w:cs="Arial"/>
          <w:sz w:val="24"/>
          <w:szCs w:val="24"/>
        </w:rPr>
        <w:t xml:space="preserve">- </w:t>
      </w:r>
      <w:r>
        <w:rPr>
          <w:rFonts w:cs="Arial"/>
          <w:sz w:val="24"/>
          <w:szCs w:val="24"/>
        </w:rPr>
        <w:t>Por acuerdo de doce de noviembre de dos mil veintiuno</w:t>
      </w:r>
      <w:r w:rsidR="00353EF3">
        <w:rPr>
          <w:rFonts w:cs="Arial"/>
          <w:sz w:val="24"/>
          <w:szCs w:val="24"/>
        </w:rPr>
        <w:t>, se hizo del conocimiento de las partes que no fue posible llevar a cabo la audiencia final señalada mediante proveído de dos de junio de dos mil veintiuno, en razón que</w:t>
      </w:r>
      <w:r w:rsidR="00A8373B">
        <w:rPr>
          <w:rFonts w:cs="Arial"/>
          <w:sz w:val="24"/>
          <w:szCs w:val="24"/>
        </w:rPr>
        <w:t>,</w:t>
      </w:r>
      <w:r w:rsidR="00353EF3">
        <w:rPr>
          <w:rFonts w:cs="Arial"/>
          <w:sz w:val="24"/>
          <w:szCs w:val="24"/>
        </w:rPr>
        <w:t xml:space="preserve"> en la fecha señalada fueron suspendidas las actividades de e</w:t>
      </w:r>
      <w:bookmarkStart w:id="3" w:name="_GoBack"/>
      <w:bookmarkEnd w:id="3"/>
      <w:r w:rsidR="00353EF3">
        <w:rPr>
          <w:rFonts w:cs="Arial"/>
          <w:sz w:val="24"/>
          <w:szCs w:val="24"/>
        </w:rPr>
        <w:t>ste órgano jurisdiccional. Asimismo, se señalaron las ONCE HORAS del día VEINTINUEVE DE NOVIEMBRE DE DOS MIL VEINTIUNO, para la celebración de la Audiencia Final.</w:t>
      </w:r>
    </w:p>
    <w:p w14:paraId="4423B52D" w14:textId="77777777" w:rsidR="00C3273C" w:rsidRDefault="00C3273C" w:rsidP="009B52E2">
      <w:pPr>
        <w:pStyle w:val="corte4fondo"/>
        <w:ind w:right="51" w:firstLine="567"/>
        <w:rPr>
          <w:rFonts w:cs="Arial"/>
          <w:b/>
          <w:bCs/>
          <w:sz w:val="24"/>
          <w:szCs w:val="24"/>
        </w:rPr>
      </w:pPr>
    </w:p>
    <w:p w14:paraId="11761674" w14:textId="64DD5495" w:rsidR="00772264" w:rsidRPr="007B0581" w:rsidRDefault="00353EF3" w:rsidP="009B52E2">
      <w:pPr>
        <w:pStyle w:val="corte4fondo"/>
        <w:ind w:right="51" w:firstLine="567"/>
        <w:rPr>
          <w:rFonts w:cs="Arial"/>
          <w:b/>
          <w:bCs/>
          <w:sz w:val="24"/>
          <w:szCs w:val="24"/>
        </w:rPr>
      </w:pPr>
      <w:r w:rsidRPr="00CC51BD">
        <w:rPr>
          <w:rFonts w:cs="Arial"/>
          <w:b/>
          <w:bCs/>
          <w:sz w:val="24"/>
          <w:szCs w:val="24"/>
          <w:lang w:val="es-ES"/>
        </w:rPr>
        <w:t>SEXTO.</w:t>
      </w:r>
      <w:r w:rsidR="00CC51BD">
        <w:rPr>
          <w:rFonts w:cs="Arial"/>
          <w:sz w:val="24"/>
          <w:szCs w:val="24"/>
          <w:lang w:val="es-ES"/>
        </w:rPr>
        <w:t xml:space="preserve"> -</w:t>
      </w:r>
      <w:r>
        <w:rPr>
          <w:rFonts w:cs="Arial"/>
          <w:sz w:val="24"/>
          <w:szCs w:val="24"/>
          <w:lang w:val="es-ES"/>
        </w:rPr>
        <w:t xml:space="preserve"> </w:t>
      </w:r>
      <w:r w:rsidR="00772264" w:rsidRPr="007B33B4">
        <w:rPr>
          <w:rFonts w:cs="Arial"/>
          <w:sz w:val="24"/>
          <w:szCs w:val="24"/>
          <w:lang w:val="es-ES"/>
        </w:rPr>
        <w:t xml:space="preserve">El </w:t>
      </w:r>
      <w:r>
        <w:rPr>
          <w:rFonts w:cs="Arial"/>
          <w:sz w:val="24"/>
          <w:szCs w:val="24"/>
          <w:lang w:val="es-ES"/>
        </w:rPr>
        <w:t>veintinueve de noviembre de dos mil veintiuno</w:t>
      </w:r>
      <w:r w:rsidR="00772264" w:rsidRPr="007B33B4">
        <w:rPr>
          <w:rFonts w:cs="Arial"/>
          <w:bCs/>
          <w:sz w:val="24"/>
          <w:szCs w:val="24"/>
          <w:lang w:val="es-ES"/>
        </w:rPr>
        <w:t xml:space="preserve">, se llevó a cabo la audiencia final, </w:t>
      </w:r>
      <w:r w:rsidR="00772264" w:rsidRPr="007B33B4">
        <w:rPr>
          <w:rFonts w:cs="Arial"/>
          <w:sz w:val="24"/>
          <w:szCs w:val="24"/>
          <w:lang w:val="es-ES"/>
        </w:rPr>
        <w:t>sin la asistencia de las partes, ni persona alguna que legalmente las representara</w:t>
      </w:r>
      <w:r w:rsidR="00772264" w:rsidRPr="007B33B4">
        <w:rPr>
          <w:rFonts w:cs="Arial"/>
          <w:bCs/>
          <w:sz w:val="24"/>
          <w:szCs w:val="24"/>
          <w:lang w:val="es-ES"/>
        </w:rPr>
        <w:t xml:space="preserve">, </w:t>
      </w:r>
      <w:r w:rsidR="000918E0" w:rsidRPr="007B33B4">
        <w:rPr>
          <w:rFonts w:cs="Arial"/>
          <w:sz w:val="24"/>
          <w:szCs w:val="24"/>
        </w:rPr>
        <w:t xml:space="preserve">asentando la Secretaria de Acuerdos de esta Sala, que </w:t>
      </w:r>
      <w:r w:rsidR="005E56A7">
        <w:rPr>
          <w:rFonts w:cs="Arial"/>
          <w:sz w:val="24"/>
          <w:szCs w:val="24"/>
        </w:rPr>
        <w:t>la</w:t>
      </w:r>
      <w:r>
        <w:rPr>
          <w:rFonts w:cs="Arial"/>
          <w:sz w:val="24"/>
          <w:szCs w:val="24"/>
        </w:rPr>
        <w:t>s</w:t>
      </w:r>
      <w:r w:rsidR="00461914">
        <w:rPr>
          <w:rFonts w:cs="Arial"/>
          <w:sz w:val="24"/>
          <w:szCs w:val="24"/>
        </w:rPr>
        <w:t xml:space="preserve"> </w:t>
      </w:r>
      <w:r>
        <w:rPr>
          <w:rFonts w:cs="Arial"/>
          <w:sz w:val="24"/>
          <w:szCs w:val="24"/>
        </w:rPr>
        <w:t>partes no</w:t>
      </w:r>
      <w:r w:rsidR="00461914">
        <w:rPr>
          <w:rFonts w:cs="Arial"/>
          <w:sz w:val="24"/>
          <w:szCs w:val="24"/>
        </w:rPr>
        <w:t xml:space="preserve"> formul</w:t>
      </w:r>
      <w:r>
        <w:rPr>
          <w:rFonts w:cs="Arial"/>
          <w:sz w:val="24"/>
          <w:szCs w:val="24"/>
        </w:rPr>
        <w:t>aron</w:t>
      </w:r>
      <w:r w:rsidR="000918E0" w:rsidRPr="007B33B4">
        <w:rPr>
          <w:rFonts w:cs="Arial"/>
          <w:sz w:val="24"/>
          <w:szCs w:val="24"/>
        </w:rPr>
        <w:t xml:space="preserve"> alegatos, por lo que se ordenó citar a las partes a oír sentencia dentro del término de ley, misma que ahora se pronuncia, y;</w:t>
      </w:r>
      <w:r w:rsidR="00772264" w:rsidRPr="007B0581">
        <w:rPr>
          <w:rFonts w:cs="Arial"/>
          <w:bCs/>
          <w:sz w:val="24"/>
          <w:szCs w:val="24"/>
          <w:lang w:val="es-ES"/>
        </w:rPr>
        <w:t xml:space="preserve"> </w:t>
      </w:r>
    </w:p>
    <w:p w14:paraId="365C4614" w14:textId="6CD225A0" w:rsidR="001056AB" w:rsidRDefault="001056AB" w:rsidP="009B52E2">
      <w:pPr>
        <w:pStyle w:val="corte4fondo"/>
        <w:ind w:right="51" w:firstLine="567"/>
        <w:rPr>
          <w:rFonts w:cs="Arial"/>
          <w:b/>
          <w:spacing w:val="-3"/>
          <w:sz w:val="24"/>
          <w:szCs w:val="24"/>
        </w:rPr>
      </w:pPr>
    </w:p>
    <w:p w14:paraId="54FA5C91" w14:textId="77777777" w:rsidR="00F42CDD" w:rsidRPr="007B0581" w:rsidRDefault="00F42CDD" w:rsidP="009B52E2">
      <w:pPr>
        <w:pStyle w:val="corte4fondo"/>
        <w:ind w:right="51" w:firstLine="567"/>
        <w:rPr>
          <w:rFonts w:cs="Arial"/>
          <w:b/>
          <w:spacing w:val="-3"/>
          <w:sz w:val="24"/>
          <w:szCs w:val="24"/>
        </w:rPr>
      </w:pPr>
    </w:p>
    <w:p w14:paraId="6035E4C4" w14:textId="23BE00D1" w:rsidR="006E2C00"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4B32191B" w14:textId="77777777" w:rsidR="00F42CDD" w:rsidRPr="007B0581" w:rsidRDefault="00F42CDD" w:rsidP="00E2534F">
      <w:pPr>
        <w:pStyle w:val="corte4fondo"/>
        <w:ind w:right="51" w:firstLine="567"/>
        <w:jc w:val="center"/>
        <w:rPr>
          <w:rFonts w:cs="Arial"/>
          <w:b/>
          <w:spacing w:val="-3"/>
          <w:sz w:val="24"/>
          <w:szCs w:val="24"/>
        </w:rPr>
      </w:pP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3E5EA2EB"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A05018">
        <w:rPr>
          <w:rFonts w:ascii="Arial" w:hAnsi="Arial" w:cs="Arial"/>
          <w:b/>
          <w:sz w:val="24"/>
          <w:szCs w:val="24"/>
        </w:rPr>
        <w:t>P</w:t>
      </w:r>
      <w:r w:rsidR="00F80AE6" w:rsidRPr="007B0581">
        <w:rPr>
          <w:rFonts w:ascii="Arial" w:hAnsi="Arial" w:cs="Arial"/>
          <w:b/>
          <w:sz w:val="24"/>
          <w:szCs w:val="24"/>
        </w:rPr>
        <w:t xml:space="preserve">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CC51BD">
        <w:rPr>
          <w:rFonts w:ascii="Arial" w:hAnsi="Arial" w:cs="Arial"/>
          <w:sz w:val="24"/>
          <w:szCs w:val="24"/>
        </w:rPr>
        <w:t>l</w:t>
      </w:r>
      <w:r w:rsidR="002E4380">
        <w:rPr>
          <w:rFonts w:ascii="Arial" w:hAnsi="Arial" w:cs="Arial"/>
          <w:sz w:val="24"/>
          <w:szCs w:val="24"/>
        </w:rPr>
        <w:t xml:space="preserve"> </w:t>
      </w:r>
      <w:r w:rsidR="00CC51BD">
        <w:rPr>
          <w:rFonts w:ascii="Arial" w:hAnsi="Arial" w:cs="Arial"/>
          <w:sz w:val="24"/>
          <w:szCs w:val="24"/>
        </w:rPr>
        <w:t>Oficial Mayor de la Fiscalía General del Estado</w:t>
      </w:r>
      <w:r w:rsidR="00502E44" w:rsidRPr="007B0581">
        <w:rPr>
          <w:rFonts w:ascii="Arial" w:hAnsi="Arial" w:cs="Arial"/>
          <w:sz w:val="24"/>
          <w:szCs w:val="24"/>
        </w:rPr>
        <w:t xml:space="preserve">, con fundamento en el artículo 114 QUATER, párrafo primero, inciso B, </w:t>
      </w:r>
      <w:r w:rsidR="00502E44" w:rsidRPr="00842F7E">
        <w:rPr>
          <w:rFonts w:ascii="Arial" w:hAnsi="Arial" w:cs="Arial"/>
          <w:sz w:val="24"/>
          <w:szCs w:val="24"/>
        </w:rPr>
        <w:t>fracción 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w:t>
      </w:r>
      <w:r w:rsidR="00502E44" w:rsidRPr="00842F7E">
        <w:rPr>
          <w:rFonts w:ascii="Arial" w:hAnsi="Arial" w:cs="Arial"/>
          <w:sz w:val="24"/>
          <w:szCs w:val="24"/>
        </w:rPr>
        <w:t>fracción I,</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58325334" w14:textId="02F8C3BC" w:rsidR="00F80AE6" w:rsidRDefault="00232678" w:rsidP="00CC51BD">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127277">
        <w:rPr>
          <w:rFonts w:ascii="Arial" w:hAnsi="Arial" w:cs="Arial"/>
          <w:sz w:val="24"/>
          <w:szCs w:val="24"/>
        </w:rPr>
        <w:t>la</w:t>
      </w:r>
      <w:r w:rsidR="00F80AE6" w:rsidRPr="007B0581">
        <w:rPr>
          <w:rFonts w:ascii="Arial" w:hAnsi="Arial" w:cs="Arial"/>
          <w:sz w:val="24"/>
          <w:szCs w:val="24"/>
        </w:rPr>
        <w:t xml:space="preserve"> actor</w:t>
      </w:r>
      <w:r w:rsidR="00127277">
        <w:rPr>
          <w:rFonts w:ascii="Arial" w:hAnsi="Arial" w:cs="Arial"/>
          <w:sz w:val="24"/>
          <w:szCs w:val="24"/>
        </w:rPr>
        <w:t>a</w:t>
      </w:r>
      <w:r w:rsidR="00F80AE6" w:rsidRPr="007B0581">
        <w:rPr>
          <w:rFonts w:ascii="Arial" w:hAnsi="Arial" w:cs="Arial"/>
          <w:sz w:val="24"/>
          <w:szCs w:val="24"/>
        </w:rPr>
        <w:t xml:space="preserve"> promueve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127277">
        <w:rPr>
          <w:rFonts w:ascii="Arial" w:hAnsi="Arial" w:cs="Arial"/>
          <w:sz w:val="24"/>
          <w:szCs w:val="24"/>
        </w:rPr>
        <w:t>la</w:t>
      </w:r>
      <w:r w:rsidR="00461914">
        <w:rPr>
          <w:rFonts w:ascii="Arial" w:hAnsi="Arial" w:cs="Arial"/>
          <w:sz w:val="24"/>
          <w:szCs w:val="24"/>
        </w:rPr>
        <w:t xml:space="preserve"> de la</w:t>
      </w:r>
      <w:r w:rsidR="00CC51BD">
        <w:rPr>
          <w:rFonts w:ascii="Arial" w:hAnsi="Arial" w:cs="Arial"/>
          <w:sz w:val="24"/>
          <w:szCs w:val="24"/>
        </w:rPr>
        <w:t>s</w:t>
      </w:r>
      <w:r w:rsidR="005F35A7">
        <w:rPr>
          <w:rFonts w:ascii="Arial" w:hAnsi="Arial" w:cs="Arial"/>
          <w:sz w:val="24"/>
          <w:szCs w:val="24"/>
        </w:rPr>
        <w:t xml:space="preserve"> </w:t>
      </w:r>
      <w:r w:rsidR="00CC51BD">
        <w:rPr>
          <w:rFonts w:ascii="Arial" w:hAnsi="Arial" w:cs="Arial"/>
          <w:sz w:val="24"/>
          <w:szCs w:val="24"/>
        </w:rPr>
        <w:t>autoridades demandadas</w:t>
      </w:r>
      <w:r w:rsidR="00B83B7C">
        <w:rPr>
          <w:rFonts w:ascii="Arial" w:hAnsi="Arial" w:cs="Arial"/>
          <w:sz w:val="24"/>
          <w:szCs w:val="24"/>
        </w:rPr>
        <w:t xml:space="preserve">, </w:t>
      </w:r>
      <w:r w:rsidR="00127277">
        <w:rPr>
          <w:rFonts w:ascii="Arial" w:hAnsi="Arial" w:cs="Arial"/>
          <w:sz w:val="24"/>
          <w:szCs w:val="24"/>
        </w:rPr>
        <w:t>en términos de</w:t>
      </w:r>
      <w:r w:rsidR="00634C3C" w:rsidRPr="007B0581">
        <w:rPr>
          <w:rFonts w:ascii="Arial" w:hAnsi="Arial" w:cs="Arial"/>
          <w:sz w:val="24"/>
          <w:szCs w:val="24"/>
        </w:rPr>
        <w:t xml:space="preserve"> </w:t>
      </w:r>
      <w:r w:rsidR="005F35A7">
        <w:rPr>
          <w:rFonts w:ascii="Arial" w:hAnsi="Arial" w:cs="Arial"/>
          <w:sz w:val="24"/>
          <w:szCs w:val="24"/>
        </w:rPr>
        <w:t>los</w:t>
      </w:r>
      <w:r w:rsidR="00634C3C" w:rsidRPr="007B0581">
        <w:rPr>
          <w:rFonts w:ascii="Arial" w:hAnsi="Arial" w:cs="Arial"/>
          <w:sz w:val="24"/>
          <w:szCs w:val="24"/>
        </w:rPr>
        <w:t xml:space="preserve"> artículo</w:t>
      </w:r>
      <w:r w:rsidR="005F35A7">
        <w:rPr>
          <w:rFonts w:ascii="Arial" w:hAnsi="Arial" w:cs="Arial"/>
          <w:sz w:val="24"/>
          <w:szCs w:val="24"/>
        </w:rPr>
        <w:t>s</w:t>
      </w:r>
      <w:r w:rsidR="00634C3C" w:rsidRPr="007B0581">
        <w:rPr>
          <w:rFonts w:ascii="Arial" w:hAnsi="Arial" w:cs="Arial"/>
          <w:sz w:val="24"/>
          <w:szCs w:val="24"/>
        </w:rPr>
        <w:t xml:space="preserve"> 148</w:t>
      </w:r>
      <w:r w:rsidR="00634C3C">
        <w:rPr>
          <w:rFonts w:ascii="Arial" w:hAnsi="Arial" w:cs="Arial"/>
          <w:sz w:val="24"/>
          <w:szCs w:val="24"/>
        </w:rPr>
        <w:t xml:space="preserve"> </w:t>
      </w:r>
      <w:r w:rsidR="005F35A7">
        <w:rPr>
          <w:rFonts w:ascii="Arial" w:hAnsi="Arial" w:cs="Arial"/>
          <w:sz w:val="24"/>
          <w:szCs w:val="24"/>
        </w:rPr>
        <w:t>y</w:t>
      </w:r>
      <w:r w:rsidR="00634C3C">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51</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r w:rsidR="00F80AE6" w:rsidRPr="007B0581">
        <w:rPr>
          <w:rFonts w:ascii="Arial" w:hAnsi="Arial" w:cs="Arial"/>
          <w:sz w:val="24"/>
          <w:szCs w:val="24"/>
        </w:rPr>
        <w:t xml:space="preserve"> </w:t>
      </w:r>
    </w:p>
    <w:p w14:paraId="1C79AF82" w14:textId="77777777" w:rsidR="00BC698C" w:rsidRPr="007B0581" w:rsidRDefault="00BC698C" w:rsidP="00CC51BD">
      <w:pPr>
        <w:spacing w:line="360" w:lineRule="auto"/>
        <w:ind w:right="51" w:firstLine="709"/>
        <w:jc w:val="both"/>
        <w:rPr>
          <w:rFonts w:ascii="Arial" w:hAnsi="Arial" w:cs="Arial"/>
          <w:sz w:val="24"/>
          <w:szCs w:val="24"/>
        </w:rPr>
      </w:pPr>
    </w:p>
    <w:p w14:paraId="00693CE7" w14:textId="40E6FD82" w:rsidR="002E79F8" w:rsidRPr="002E79F8" w:rsidRDefault="006E2C00" w:rsidP="002E79F8">
      <w:pPr>
        <w:autoSpaceDE w:val="0"/>
        <w:autoSpaceDN w:val="0"/>
        <w:adjustRightInd w:val="0"/>
        <w:spacing w:line="360" w:lineRule="auto"/>
        <w:jc w:val="both"/>
        <w:rPr>
          <w:rFonts w:ascii="Arial" w:hAnsi="Arial" w:cs="Arial"/>
          <w:bCs/>
          <w:sz w:val="24"/>
          <w:szCs w:val="24"/>
        </w:rPr>
      </w:pPr>
      <w:r w:rsidRPr="007B0581">
        <w:rPr>
          <w:rFonts w:cs="Arial"/>
          <w:sz w:val="24"/>
          <w:szCs w:val="24"/>
        </w:rPr>
        <w:tab/>
      </w:r>
      <w:r w:rsidRPr="00BA454F">
        <w:rPr>
          <w:rFonts w:ascii="Arial" w:hAnsi="Arial" w:cs="Arial"/>
          <w:b/>
          <w:sz w:val="24"/>
          <w:szCs w:val="24"/>
        </w:rPr>
        <w:t>TERCE</w:t>
      </w:r>
      <w:r w:rsidRPr="002E79F8">
        <w:rPr>
          <w:rFonts w:ascii="Arial" w:hAnsi="Arial" w:cs="Arial"/>
          <w:b/>
          <w:sz w:val="24"/>
          <w:szCs w:val="24"/>
        </w:rPr>
        <w:t>RO.-</w:t>
      </w:r>
      <w:r w:rsidRPr="002E79F8">
        <w:rPr>
          <w:rFonts w:ascii="Arial" w:hAnsi="Arial" w:cs="Arial"/>
          <w:sz w:val="24"/>
          <w:szCs w:val="24"/>
        </w:rPr>
        <w:t xml:space="preserve"> </w:t>
      </w:r>
      <w:r w:rsidR="002E79F8" w:rsidRPr="002E79F8">
        <w:rPr>
          <w:rFonts w:ascii="Arial" w:hAnsi="Arial" w:cs="Arial"/>
          <w:sz w:val="24"/>
          <w:szCs w:val="24"/>
          <w:lang w:val="es-ES_tradnl"/>
        </w:rPr>
        <w:t xml:space="preserve">Esta Sala </w:t>
      </w:r>
      <w:r w:rsidR="002E79F8" w:rsidRPr="002E79F8">
        <w:rPr>
          <w:rFonts w:ascii="Arial" w:hAnsi="Arial" w:cs="Arial"/>
          <w:bCs/>
          <w:sz w:val="24"/>
          <w:szCs w:val="24"/>
        </w:rPr>
        <w:t xml:space="preserve">previo al estudio de fondo del asunto procede analizar, sí en la especie se actualiza alguna causal de improcedencia del juicio de nulidad, ya sea invocada por las partes o bien, alguna que se advierta oficiosamente, en ese sentido </w:t>
      </w:r>
      <w:r w:rsidR="002E79F8" w:rsidRPr="002E79F8">
        <w:rPr>
          <w:rFonts w:ascii="Arial" w:hAnsi="Arial" w:cs="Arial"/>
          <w:b/>
          <w:sz w:val="24"/>
          <w:szCs w:val="24"/>
        </w:rPr>
        <w:t>SE SOBRESEE EN EL JUICIO</w:t>
      </w:r>
      <w:r w:rsidR="002E79F8" w:rsidRPr="002E79F8">
        <w:rPr>
          <w:rFonts w:ascii="Arial" w:hAnsi="Arial" w:cs="Arial"/>
          <w:bCs/>
          <w:sz w:val="24"/>
          <w:szCs w:val="24"/>
        </w:rPr>
        <w:t xml:space="preserve"> por lo que hace únicamente a la autoridad demandada, </w:t>
      </w:r>
      <w:r w:rsidR="002E79F8">
        <w:rPr>
          <w:rFonts w:ascii="Arial" w:hAnsi="Arial" w:cs="Arial"/>
          <w:sz w:val="24"/>
          <w:szCs w:val="24"/>
        </w:rPr>
        <w:t>Fiscal General del Estado de Oaxaca</w:t>
      </w:r>
      <w:r w:rsidR="002E79F8" w:rsidRPr="002E79F8">
        <w:rPr>
          <w:rFonts w:ascii="Arial" w:hAnsi="Arial" w:cs="Arial"/>
          <w:sz w:val="24"/>
          <w:szCs w:val="24"/>
        </w:rPr>
        <w:t xml:space="preserve">, en virtud a que no es parte en el presente asunto, dado que no </w:t>
      </w:r>
      <w:r w:rsidR="002E79F8" w:rsidRPr="002E79F8">
        <w:rPr>
          <w:rFonts w:ascii="Arial" w:eastAsiaTheme="minorHAnsi" w:hAnsi="Arial" w:cs="Arial"/>
          <w:sz w:val="24"/>
          <w:szCs w:val="24"/>
          <w:lang w:val="es-MX" w:eastAsia="en-US"/>
        </w:rPr>
        <w:t xml:space="preserve">dictó, ordenó, ejecutó o trató de ejecutar el acto impugnado, de conformidad con los </w:t>
      </w:r>
      <w:r w:rsidR="002E79F8" w:rsidRPr="00852333">
        <w:rPr>
          <w:rFonts w:ascii="Arial" w:eastAsiaTheme="minorHAnsi" w:hAnsi="Arial" w:cs="Arial"/>
          <w:sz w:val="24"/>
          <w:szCs w:val="24"/>
          <w:lang w:val="es-MX" w:eastAsia="en-US"/>
        </w:rPr>
        <w:t>artículos 163</w:t>
      </w:r>
      <w:r w:rsidR="002E79F8" w:rsidRPr="002E79F8">
        <w:rPr>
          <w:rFonts w:ascii="Arial" w:eastAsiaTheme="minorHAnsi" w:hAnsi="Arial" w:cs="Arial"/>
          <w:sz w:val="24"/>
          <w:szCs w:val="24"/>
          <w:lang w:val="es-MX" w:eastAsia="en-US"/>
        </w:rPr>
        <w:t xml:space="preserve">, fracción II, 161, fracciones II y </w:t>
      </w:r>
      <w:r w:rsidR="002E79F8" w:rsidRPr="00852333">
        <w:rPr>
          <w:rFonts w:ascii="Arial" w:eastAsiaTheme="minorHAnsi" w:hAnsi="Arial" w:cs="Arial"/>
          <w:sz w:val="24"/>
          <w:szCs w:val="24"/>
          <w:lang w:val="es-MX" w:eastAsia="en-US"/>
        </w:rPr>
        <w:t>IX</w:t>
      </w:r>
      <w:r w:rsidR="002E79F8" w:rsidRPr="002E79F8">
        <w:rPr>
          <w:rFonts w:ascii="Arial" w:eastAsiaTheme="minorHAnsi" w:hAnsi="Arial" w:cs="Arial"/>
          <w:sz w:val="24"/>
          <w:szCs w:val="24"/>
          <w:lang w:val="es-MX" w:eastAsia="en-US"/>
        </w:rPr>
        <w:t xml:space="preserve"> y, 162, fracción </w:t>
      </w:r>
      <w:r w:rsidR="00842F7E">
        <w:rPr>
          <w:rFonts w:ascii="Arial" w:eastAsiaTheme="minorHAnsi" w:hAnsi="Arial" w:cs="Arial"/>
          <w:sz w:val="24"/>
          <w:szCs w:val="24"/>
          <w:lang w:val="es-MX" w:eastAsia="en-US"/>
        </w:rPr>
        <w:t>V</w:t>
      </w:r>
      <w:r w:rsidR="002E79F8" w:rsidRPr="002E79F8">
        <w:rPr>
          <w:rFonts w:ascii="Arial" w:eastAsiaTheme="minorHAnsi" w:hAnsi="Arial" w:cs="Arial"/>
          <w:sz w:val="24"/>
          <w:szCs w:val="24"/>
          <w:lang w:val="es-MX" w:eastAsia="en-US"/>
        </w:rPr>
        <w:t>,</w:t>
      </w:r>
      <w:r w:rsidR="002E79F8" w:rsidRPr="002E79F8">
        <w:rPr>
          <w:rFonts w:ascii="Arial" w:hAnsi="Arial" w:cs="Arial"/>
          <w:bCs/>
          <w:sz w:val="24"/>
          <w:szCs w:val="24"/>
        </w:rPr>
        <w:t xml:space="preserve"> de la Ley de Procedimiento y Justicia Administrativa para el Estado de Oaxaca. </w:t>
      </w:r>
    </w:p>
    <w:p w14:paraId="5499E450" w14:textId="605224F6" w:rsidR="0012261E" w:rsidRPr="007B0581" w:rsidRDefault="0012261E" w:rsidP="002E79F8">
      <w:pPr>
        <w:pStyle w:val="corte4fondo"/>
        <w:ind w:right="51" w:firstLine="567"/>
        <w:rPr>
          <w:rFonts w:cs="Arial"/>
          <w:sz w:val="24"/>
          <w:szCs w:val="24"/>
        </w:rPr>
      </w:pPr>
    </w:p>
    <w:p w14:paraId="7CFC4D22" w14:textId="5D706EF3"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2F5D42">
        <w:rPr>
          <w:rFonts w:ascii="Arial" w:hAnsi="Arial" w:cs="Arial"/>
          <w:bCs/>
          <w:sz w:val="24"/>
          <w:szCs w:val="24"/>
        </w:rPr>
        <w:t>la</w:t>
      </w:r>
      <w:r w:rsidRPr="007B0581">
        <w:rPr>
          <w:rFonts w:ascii="Arial" w:hAnsi="Arial" w:cs="Arial"/>
          <w:bCs/>
          <w:sz w:val="24"/>
          <w:szCs w:val="24"/>
        </w:rPr>
        <w:t xml:space="preserve"> actor</w:t>
      </w:r>
      <w:r w:rsidR="002F5D42">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2CCECB48" w14:textId="4DCA5ED3" w:rsidR="00561C2E" w:rsidRDefault="00561C2E" w:rsidP="00F42CDD">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1675155B" w14:textId="51800059" w:rsidR="00DB6EB7" w:rsidRDefault="00DD1AD0" w:rsidP="00B664A7">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La</w:t>
      </w:r>
      <w:r w:rsidR="00561C2E" w:rsidRPr="007B0581">
        <w:rPr>
          <w:rFonts w:ascii="Arial" w:hAnsi="Arial" w:cs="Arial"/>
          <w:sz w:val="24"/>
          <w:szCs w:val="24"/>
        </w:rPr>
        <w:t xml:space="preserve"> actor</w:t>
      </w:r>
      <w:r>
        <w:rPr>
          <w:rFonts w:ascii="Arial" w:hAnsi="Arial" w:cs="Arial"/>
          <w:sz w:val="24"/>
          <w:szCs w:val="24"/>
        </w:rPr>
        <w:t>a</w:t>
      </w:r>
      <w:r w:rsidR="00561C2E" w:rsidRPr="007B0581">
        <w:rPr>
          <w:rFonts w:ascii="Arial" w:hAnsi="Arial" w:cs="Arial"/>
          <w:sz w:val="24"/>
          <w:szCs w:val="24"/>
        </w:rPr>
        <w:t xml:space="preserve"> </w:t>
      </w:r>
      <w:r w:rsidR="00EC41EF">
        <w:rPr>
          <w:rFonts w:cs="Arial"/>
          <w:b/>
          <w:sz w:val="24"/>
          <w:szCs w:val="24"/>
        </w:rPr>
        <w:t>**********</w:t>
      </w:r>
      <w:r w:rsidR="00561C2E" w:rsidRPr="007B0581">
        <w:rPr>
          <w:rFonts w:ascii="Arial" w:hAnsi="Arial" w:cs="Arial"/>
          <w:sz w:val="24"/>
          <w:szCs w:val="24"/>
        </w:rPr>
        <w:t xml:space="preserve">, demandó la nulidad </w:t>
      </w:r>
      <w:r w:rsidR="00B05A9D" w:rsidRPr="007B0581">
        <w:rPr>
          <w:rFonts w:ascii="Arial" w:hAnsi="Arial" w:cs="Arial"/>
          <w:sz w:val="24"/>
          <w:szCs w:val="24"/>
        </w:rPr>
        <w:t>de</w:t>
      </w:r>
      <w:r w:rsidR="00B05A9D">
        <w:rPr>
          <w:rFonts w:ascii="Arial" w:hAnsi="Arial" w:cs="Arial"/>
          <w:sz w:val="24"/>
          <w:szCs w:val="24"/>
        </w:rPr>
        <w:t xml:space="preserve"> la</w:t>
      </w:r>
      <w:r w:rsidR="00B05A9D" w:rsidRPr="007B0581">
        <w:rPr>
          <w:rFonts w:ascii="Arial" w:hAnsi="Arial" w:cs="Arial"/>
          <w:sz w:val="24"/>
          <w:szCs w:val="24"/>
        </w:rPr>
        <w:t xml:space="preserve"> </w:t>
      </w:r>
      <w:r w:rsidR="00B05A9D">
        <w:rPr>
          <w:rFonts w:ascii="Arial" w:hAnsi="Arial" w:cs="Arial"/>
          <w:sz w:val="24"/>
          <w:szCs w:val="24"/>
        </w:rPr>
        <w:t xml:space="preserve">resolución contenida en el oficio </w:t>
      </w:r>
      <w:r w:rsidR="00EC41EF">
        <w:rPr>
          <w:rFonts w:cs="Arial"/>
          <w:b/>
          <w:sz w:val="24"/>
          <w:szCs w:val="24"/>
        </w:rPr>
        <w:t>**********</w:t>
      </w:r>
      <w:r w:rsidR="00EC41EF">
        <w:rPr>
          <w:rFonts w:cs="Arial"/>
          <w:b/>
          <w:sz w:val="24"/>
          <w:szCs w:val="24"/>
        </w:rPr>
        <w:t xml:space="preserve"> </w:t>
      </w:r>
      <w:r w:rsidR="00B05A9D">
        <w:rPr>
          <w:rFonts w:ascii="Arial" w:hAnsi="Arial" w:cs="Arial"/>
          <w:sz w:val="24"/>
          <w:szCs w:val="24"/>
        </w:rPr>
        <w:t>de veintiuno de septiembre de dos mil veinte</w:t>
      </w:r>
      <w:r w:rsidR="00B05A9D" w:rsidRPr="007B0581">
        <w:rPr>
          <w:rFonts w:ascii="Arial" w:hAnsi="Arial" w:cs="Arial"/>
          <w:sz w:val="24"/>
          <w:szCs w:val="24"/>
        </w:rPr>
        <w:t>, signad</w:t>
      </w:r>
      <w:r w:rsidR="00B05A9D">
        <w:rPr>
          <w:rFonts w:ascii="Arial" w:hAnsi="Arial" w:cs="Arial"/>
          <w:sz w:val="24"/>
          <w:szCs w:val="24"/>
        </w:rPr>
        <w:t>a</w:t>
      </w:r>
      <w:r w:rsidR="00B05A9D" w:rsidRPr="007B0581">
        <w:rPr>
          <w:rFonts w:ascii="Arial" w:hAnsi="Arial" w:cs="Arial"/>
          <w:sz w:val="24"/>
          <w:szCs w:val="24"/>
        </w:rPr>
        <w:t xml:space="preserve"> por</w:t>
      </w:r>
      <w:r w:rsidR="00B05A9D">
        <w:rPr>
          <w:rFonts w:ascii="Arial" w:hAnsi="Arial" w:cs="Arial"/>
          <w:sz w:val="24"/>
          <w:szCs w:val="24"/>
        </w:rPr>
        <w:t xml:space="preserve"> el Oficial Mayor de la Fiscalía General del Estado</w:t>
      </w:r>
      <w:r w:rsidR="008855F5">
        <w:rPr>
          <w:rFonts w:ascii="Arial" w:hAnsi="Arial" w:cs="Arial"/>
          <w:sz w:val="24"/>
          <w:szCs w:val="24"/>
        </w:rPr>
        <w:t xml:space="preserve">, </w:t>
      </w:r>
      <w:r w:rsidR="00561C2E" w:rsidRPr="00F10620">
        <w:rPr>
          <w:rFonts w:ascii="Arial" w:hAnsi="Arial" w:cs="Arial"/>
          <w:sz w:val="24"/>
          <w:szCs w:val="24"/>
        </w:rPr>
        <w:t>por</w:t>
      </w:r>
      <w:r w:rsidR="00561C2E">
        <w:rPr>
          <w:rFonts w:ascii="Arial" w:hAnsi="Arial" w:cs="Arial"/>
          <w:sz w:val="24"/>
          <w:szCs w:val="24"/>
        </w:rPr>
        <w:t xml:space="preserve"> considerar</w:t>
      </w:r>
      <w:r w:rsidR="004450BA">
        <w:rPr>
          <w:rFonts w:ascii="Arial" w:hAnsi="Arial" w:cs="Arial"/>
          <w:sz w:val="24"/>
          <w:szCs w:val="24"/>
        </w:rPr>
        <w:t xml:space="preserve"> </w:t>
      </w:r>
      <w:r w:rsidR="005975DA">
        <w:rPr>
          <w:rFonts w:ascii="Arial" w:hAnsi="Arial" w:cs="Arial"/>
          <w:sz w:val="24"/>
          <w:szCs w:val="24"/>
        </w:rPr>
        <w:t>falta de fund</w:t>
      </w:r>
      <w:r w:rsidR="007D3CA7">
        <w:rPr>
          <w:rFonts w:ascii="Arial" w:hAnsi="Arial" w:cs="Arial"/>
          <w:sz w:val="24"/>
          <w:szCs w:val="24"/>
        </w:rPr>
        <w:t>amentación y motivación</w:t>
      </w:r>
      <w:r w:rsidR="00E853F6">
        <w:rPr>
          <w:rFonts w:ascii="Arial" w:hAnsi="Arial" w:cs="Arial"/>
          <w:sz w:val="24"/>
          <w:szCs w:val="24"/>
        </w:rPr>
        <w:t>, pues al negarle el pago correcto</w:t>
      </w:r>
      <w:r w:rsidR="00945AC8">
        <w:rPr>
          <w:rFonts w:ascii="Arial" w:hAnsi="Arial" w:cs="Arial"/>
          <w:sz w:val="24"/>
          <w:szCs w:val="24"/>
        </w:rPr>
        <w:t xml:space="preserve"> del tercero, cuarto y quinto quinquenio</w:t>
      </w:r>
      <w:r w:rsidR="00DF1CD8">
        <w:rPr>
          <w:rFonts w:ascii="Arial" w:hAnsi="Arial" w:cs="Arial"/>
          <w:sz w:val="24"/>
          <w:szCs w:val="24"/>
        </w:rPr>
        <w:t>s</w:t>
      </w:r>
      <w:r w:rsidR="00945AC8">
        <w:rPr>
          <w:rFonts w:ascii="Arial" w:hAnsi="Arial" w:cs="Arial"/>
          <w:sz w:val="24"/>
          <w:szCs w:val="24"/>
        </w:rPr>
        <w:t xml:space="preserve"> conforme al artículo 34 Bis de la Ley de Servicio Civil para los Trabajadores y Empleados del Gobierno del Estado</w:t>
      </w:r>
      <w:r w:rsidR="0091373D">
        <w:rPr>
          <w:rFonts w:ascii="Arial" w:hAnsi="Arial" w:cs="Arial"/>
          <w:sz w:val="24"/>
          <w:szCs w:val="24"/>
        </w:rPr>
        <w:t xml:space="preserve"> de Oaxaca</w:t>
      </w:r>
      <w:r w:rsidR="007D3CA7">
        <w:rPr>
          <w:rFonts w:ascii="Arial" w:hAnsi="Arial" w:cs="Arial"/>
          <w:sz w:val="24"/>
          <w:szCs w:val="24"/>
        </w:rPr>
        <w:t xml:space="preserve"> </w:t>
      </w:r>
      <w:r w:rsidR="00787DA2">
        <w:rPr>
          <w:rFonts w:ascii="Arial" w:hAnsi="Arial" w:cs="Arial"/>
          <w:sz w:val="24"/>
          <w:szCs w:val="24"/>
        </w:rPr>
        <w:t>se</w:t>
      </w:r>
      <w:r w:rsidR="00951720">
        <w:rPr>
          <w:rFonts w:ascii="Arial" w:hAnsi="Arial" w:cs="Arial"/>
          <w:sz w:val="24"/>
          <w:szCs w:val="24"/>
        </w:rPr>
        <w:t xml:space="preserve"> viola</w:t>
      </w:r>
      <w:r w:rsidR="00787DA2">
        <w:rPr>
          <w:rFonts w:ascii="Arial" w:hAnsi="Arial" w:cs="Arial"/>
          <w:sz w:val="24"/>
          <w:szCs w:val="24"/>
        </w:rPr>
        <w:t xml:space="preserve"> lo dispuesto en</w:t>
      </w:r>
      <w:r w:rsidR="00951720">
        <w:rPr>
          <w:rFonts w:ascii="Arial" w:hAnsi="Arial" w:cs="Arial"/>
          <w:sz w:val="24"/>
          <w:szCs w:val="24"/>
        </w:rPr>
        <w:t xml:space="preserve"> los artículos 1º, 2º, 14 y 16 de la Constitución Política de los Estados Unidos Mexicanos</w:t>
      </w:r>
      <w:r w:rsidR="005E6752">
        <w:rPr>
          <w:rFonts w:ascii="Arial" w:hAnsi="Arial" w:cs="Arial"/>
          <w:sz w:val="24"/>
          <w:szCs w:val="24"/>
        </w:rPr>
        <w:t>, 2 de la Declaración Universal de los Derechos Humanos y 24 de la Convención Americana Sobre Derechos Humanos.</w:t>
      </w:r>
      <w:r w:rsidR="00B664A7">
        <w:rPr>
          <w:rFonts w:ascii="Arial" w:hAnsi="Arial" w:cs="Arial"/>
          <w:sz w:val="24"/>
          <w:szCs w:val="24"/>
        </w:rPr>
        <w:t xml:space="preserve"> </w:t>
      </w:r>
    </w:p>
    <w:p w14:paraId="5140D96F" w14:textId="77777777" w:rsidR="00EA70A8" w:rsidRDefault="00EA70A8" w:rsidP="00B664A7">
      <w:pPr>
        <w:pStyle w:val="Textonotapie"/>
        <w:widowControl w:val="0"/>
        <w:spacing w:line="360" w:lineRule="auto"/>
        <w:ind w:right="49" w:firstLine="708"/>
        <w:jc w:val="both"/>
        <w:rPr>
          <w:rFonts w:ascii="Arial" w:hAnsi="Arial" w:cs="Arial"/>
          <w:sz w:val="24"/>
          <w:szCs w:val="24"/>
        </w:rPr>
      </w:pPr>
    </w:p>
    <w:p w14:paraId="2007B246" w14:textId="1D6437E9" w:rsidR="007D722E" w:rsidRDefault="00DD576F" w:rsidP="000C386C">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r w:rsidR="00DF3097" w:rsidRPr="006F0FD2">
        <w:rPr>
          <w:rFonts w:ascii="Arial" w:hAnsi="Arial" w:cs="Arial"/>
          <w:sz w:val="24"/>
          <w:szCs w:val="24"/>
        </w:rPr>
        <w:t>Por su parte, la autoridad demandada</w:t>
      </w:r>
      <w:r w:rsidR="00CF4E5C" w:rsidRPr="006F0FD2">
        <w:rPr>
          <w:rFonts w:ascii="Arial" w:hAnsi="Arial" w:cs="Arial"/>
          <w:sz w:val="24"/>
          <w:szCs w:val="24"/>
        </w:rPr>
        <w:t>,</w:t>
      </w:r>
      <w:r w:rsidR="0031383C" w:rsidRPr="006F0FD2">
        <w:rPr>
          <w:rFonts w:ascii="Arial" w:hAnsi="Arial" w:cs="Arial"/>
          <w:sz w:val="24"/>
          <w:szCs w:val="24"/>
        </w:rPr>
        <w:t xml:space="preserve"> </w:t>
      </w:r>
      <w:r w:rsidR="00BD7359" w:rsidRPr="006F0FD2">
        <w:rPr>
          <w:rFonts w:ascii="Arial" w:hAnsi="Arial" w:cs="Arial"/>
          <w:sz w:val="24"/>
          <w:szCs w:val="24"/>
        </w:rPr>
        <w:t>indica</w:t>
      </w:r>
      <w:r w:rsidR="00471E25">
        <w:rPr>
          <w:rFonts w:ascii="Arial" w:hAnsi="Arial" w:cs="Arial"/>
          <w:sz w:val="24"/>
          <w:szCs w:val="24"/>
        </w:rPr>
        <w:t xml:space="preserve"> que</w:t>
      </w:r>
      <w:r w:rsidR="003725F2">
        <w:rPr>
          <w:rFonts w:ascii="Arial" w:hAnsi="Arial" w:cs="Arial"/>
          <w:sz w:val="24"/>
          <w:szCs w:val="24"/>
        </w:rPr>
        <w:t xml:space="preserve"> la</w:t>
      </w:r>
      <w:r w:rsidR="003725F2" w:rsidRPr="007B0581">
        <w:rPr>
          <w:rFonts w:ascii="Arial" w:hAnsi="Arial" w:cs="Arial"/>
          <w:sz w:val="24"/>
          <w:szCs w:val="24"/>
        </w:rPr>
        <w:t xml:space="preserve"> </w:t>
      </w:r>
      <w:r w:rsidR="003725F2">
        <w:rPr>
          <w:rFonts w:ascii="Arial" w:hAnsi="Arial" w:cs="Arial"/>
          <w:sz w:val="24"/>
          <w:szCs w:val="24"/>
        </w:rPr>
        <w:t xml:space="preserve">resolución contenida en el oficio </w:t>
      </w:r>
      <w:r w:rsidR="00EC41EF">
        <w:rPr>
          <w:rFonts w:cs="Arial"/>
          <w:b/>
          <w:sz w:val="24"/>
          <w:szCs w:val="24"/>
        </w:rPr>
        <w:t>**********</w:t>
      </w:r>
      <w:r w:rsidR="00EC41EF">
        <w:rPr>
          <w:rFonts w:cs="Arial"/>
          <w:b/>
          <w:sz w:val="24"/>
          <w:szCs w:val="24"/>
        </w:rPr>
        <w:t xml:space="preserve"> </w:t>
      </w:r>
      <w:r w:rsidR="003725F2">
        <w:rPr>
          <w:rFonts w:ascii="Arial" w:hAnsi="Arial" w:cs="Arial"/>
          <w:sz w:val="24"/>
          <w:szCs w:val="24"/>
        </w:rPr>
        <w:t xml:space="preserve">de veintiuno de septiembre de dos mil veinte, está dictada conforme a derecho </w:t>
      </w:r>
      <w:r w:rsidR="00787DA2">
        <w:rPr>
          <w:rFonts w:ascii="Arial" w:hAnsi="Arial" w:cs="Arial"/>
          <w:sz w:val="24"/>
          <w:szCs w:val="24"/>
        </w:rPr>
        <w:t>por</w:t>
      </w:r>
      <w:r w:rsidR="003725F2">
        <w:rPr>
          <w:rFonts w:ascii="Arial" w:hAnsi="Arial" w:cs="Arial"/>
          <w:sz w:val="24"/>
          <w:szCs w:val="24"/>
        </w:rPr>
        <w:t xml:space="preserve"> reunir los requisitos previstos en los artículos 14 y 16 de la Constitución Política de los Estados Unidos Mexicanos y en las leyes secundarias como lo es el artículo 17 de la Ley de Procedimiento y Justicia Administ</w:t>
      </w:r>
      <w:r w:rsidR="00EC16DB">
        <w:rPr>
          <w:rFonts w:ascii="Arial" w:hAnsi="Arial" w:cs="Arial"/>
          <w:sz w:val="24"/>
          <w:szCs w:val="24"/>
        </w:rPr>
        <w:t>rativa para el Estado de Oaxaca, dado que no se considera competente para pronunciarse respecto del pago y cuantificación de los quinquenios que reclama la actora.</w:t>
      </w:r>
      <w:r w:rsidR="00DD1AD0">
        <w:rPr>
          <w:rFonts w:ascii="Arial" w:hAnsi="Arial" w:cs="Arial"/>
          <w:sz w:val="24"/>
          <w:szCs w:val="24"/>
        </w:rPr>
        <w:t xml:space="preserve"> </w:t>
      </w:r>
    </w:p>
    <w:p w14:paraId="4780C36D" w14:textId="77777777" w:rsidR="00A8343E" w:rsidRDefault="00A8343E" w:rsidP="00AC3D37">
      <w:pPr>
        <w:spacing w:line="360" w:lineRule="auto"/>
        <w:ind w:firstLine="708"/>
        <w:jc w:val="both"/>
        <w:rPr>
          <w:rFonts w:ascii="Arial" w:hAnsi="Arial" w:cs="Arial"/>
          <w:sz w:val="24"/>
          <w:szCs w:val="24"/>
        </w:rPr>
      </w:pPr>
    </w:p>
    <w:p w14:paraId="2EC406F2" w14:textId="7DDE17A0" w:rsidR="00E450A8" w:rsidRDefault="009A5C5C" w:rsidP="009A5C5C">
      <w:pPr>
        <w:pStyle w:val="Sangradetextonormal2"/>
        <w:spacing w:line="360" w:lineRule="auto"/>
        <w:ind w:right="51" w:firstLine="0"/>
        <w:jc w:val="both"/>
        <w:rPr>
          <w:rFonts w:ascii="Arial" w:hAnsi="Arial" w:cs="Arial"/>
          <w:sz w:val="24"/>
          <w:szCs w:val="24"/>
        </w:rPr>
      </w:pPr>
      <w:r>
        <w:rPr>
          <w:rFonts w:ascii="Arial" w:hAnsi="Arial" w:cs="Arial"/>
          <w:sz w:val="24"/>
          <w:szCs w:val="24"/>
        </w:rPr>
        <w:tab/>
      </w:r>
      <w:bookmarkStart w:id="4" w:name="_Hlk113457469"/>
      <w:r w:rsidR="00A8343E" w:rsidRPr="00772A00">
        <w:rPr>
          <w:rFonts w:ascii="Arial" w:hAnsi="Arial" w:cs="Arial"/>
          <w:sz w:val="24"/>
          <w:szCs w:val="24"/>
        </w:rPr>
        <w:t>Ah</w:t>
      </w:r>
      <w:r w:rsidR="00A8343E" w:rsidRPr="007B0581">
        <w:rPr>
          <w:rFonts w:ascii="Arial" w:hAnsi="Arial" w:cs="Arial"/>
          <w:sz w:val="24"/>
          <w:szCs w:val="24"/>
        </w:rPr>
        <w:t xml:space="preserve">ora bien, esta juzgadora después de haber realizado </w:t>
      </w:r>
      <w:r w:rsidR="00A8343E">
        <w:rPr>
          <w:rFonts w:ascii="Arial" w:hAnsi="Arial" w:cs="Arial"/>
          <w:sz w:val="24"/>
          <w:szCs w:val="24"/>
        </w:rPr>
        <w:t>el</w:t>
      </w:r>
      <w:r w:rsidR="00A8343E" w:rsidRPr="007B0581">
        <w:rPr>
          <w:rFonts w:ascii="Arial" w:hAnsi="Arial" w:cs="Arial"/>
          <w:sz w:val="24"/>
          <w:szCs w:val="24"/>
        </w:rPr>
        <w:t xml:space="preserve"> estudio al contenido de </w:t>
      </w:r>
      <w:r w:rsidR="00A8343E">
        <w:rPr>
          <w:rFonts w:ascii="Arial" w:hAnsi="Arial" w:cs="Arial"/>
          <w:sz w:val="24"/>
          <w:szCs w:val="24"/>
        </w:rPr>
        <w:t xml:space="preserve">la resolución contenida en el oficio </w:t>
      </w:r>
      <w:r w:rsidR="00EC41EF">
        <w:rPr>
          <w:rFonts w:cs="Arial"/>
          <w:b/>
          <w:sz w:val="24"/>
          <w:szCs w:val="24"/>
        </w:rPr>
        <w:t>**********</w:t>
      </w:r>
      <w:r w:rsidR="00EC41EF">
        <w:rPr>
          <w:rFonts w:cs="Arial"/>
          <w:b/>
          <w:sz w:val="24"/>
          <w:szCs w:val="24"/>
        </w:rPr>
        <w:t xml:space="preserve"> </w:t>
      </w:r>
      <w:r w:rsidR="00A8343E">
        <w:rPr>
          <w:rFonts w:ascii="Arial" w:hAnsi="Arial" w:cs="Arial"/>
          <w:sz w:val="24"/>
          <w:szCs w:val="24"/>
        </w:rPr>
        <w:t>de veintiuno de septiembre de dos mil veinte</w:t>
      </w:r>
      <w:r w:rsidR="00A8343E" w:rsidRPr="007B0581">
        <w:rPr>
          <w:rFonts w:ascii="Arial" w:hAnsi="Arial" w:cs="Arial"/>
          <w:sz w:val="24"/>
          <w:szCs w:val="24"/>
        </w:rPr>
        <w:t>, signad</w:t>
      </w:r>
      <w:r w:rsidR="00A8343E">
        <w:rPr>
          <w:rFonts w:ascii="Arial" w:hAnsi="Arial" w:cs="Arial"/>
          <w:sz w:val="24"/>
          <w:szCs w:val="24"/>
        </w:rPr>
        <w:t>a</w:t>
      </w:r>
      <w:r w:rsidR="00A8343E" w:rsidRPr="007B0581">
        <w:rPr>
          <w:rFonts w:ascii="Arial" w:hAnsi="Arial" w:cs="Arial"/>
          <w:sz w:val="24"/>
          <w:szCs w:val="24"/>
        </w:rPr>
        <w:t xml:space="preserve"> por</w:t>
      </w:r>
      <w:r w:rsidR="00A8343E">
        <w:rPr>
          <w:rFonts w:ascii="Arial" w:hAnsi="Arial" w:cs="Arial"/>
          <w:sz w:val="24"/>
          <w:szCs w:val="24"/>
        </w:rPr>
        <w:t xml:space="preserve"> el Oficial Mayor de </w:t>
      </w:r>
      <w:r w:rsidR="00317E82">
        <w:rPr>
          <w:rFonts w:ascii="Arial" w:hAnsi="Arial" w:cs="Arial"/>
          <w:sz w:val="24"/>
          <w:szCs w:val="24"/>
        </w:rPr>
        <w:t>la Fiscalía General del Estado,</w:t>
      </w:r>
      <w:r w:rsidR="00A8343E">
        <w:rPr>
          <w:rFonts w:ascii="Arial" w:hAnsi="Arial" w:cs="Arial"/>
          <w:b/>
          <w:bCs/>
          <w:sz w:val="24"/>
          <w:szCs w:val="24"/>
        </w:rPr>
        <w:t xml:space="preserve"> </w:t>
      </w:r>
      <w:r w:rsidR="00A8343E" w:rsidRPr="007B0581">
        <w:rPr>
          <w:rFonts w:ascii="Arial" w:hAnsi="Arial" w:cs="Arial"/>
          <w:sz w:val="24"/>
          <w:szCs w:val="24"/>
        </w:rPr>
        <w:t>advierte que</w:t>
      </w:r>
      <w:r w:rsidR="00D24043">
        <w:rPr>
          <w:rFonts w:ascii="Arial" w:hAnsi="Arial" w:cs="Arial"/>
          <w:sz w:val="24"/>
          <w:szCs w:val="24"/>
        </w:rPr>
        <w:t xml:space="preserve"> son</w:t>
      </w:r>
      <w:r w:rsidR="00A8343E">
        <w:rPr>
          <w:rFonts w:ascii="Arial" w:hAnsi="Arial" w:cs="Arial"/>
          <w:sz w:val="24"/>
          <w:szCs w:val="24"/>
        </w:rPr>
        <w:t xml:space="preserve"> fundado</w:t>
      </w:r>
      <w:r w:rsidR="00D24043">
        <w:rPr>
          <w:rFonts w:ascii="Arial" w:hAnsi="Arial" w:cs="Arial"/>
          <w:sz w:val="24"/>
          <w:szCs w:val="24"/>
        </w:rPr>
        <w:t>s los</w:t>
      </w:r>
      <w:r w:rsidR="00A8343E">
        <w:rPr>
          <w:rFonts w:ascii="Arial" w:hAnsi="Arial" w:cs="Arial"/>
          <w:sz w:val="24"/>
          <w:szCs w:val="24"/>
        </w:rPr>
        <w:t xml:space="preserve"> concepto</w:t>
      </w:r>
      <w:r w:rsidR="00D24043">
        <w:rPr>
          <w:rFonts w:ascii="Arial" w:hAnsi="Arial" w:cs="Arial"/>
          <w:sz w:val="24"/>
          <w:szCs w:val="24"/>
        </w:rPr>
        <w:t>s de impugnación</w:t>
      </w:r>
      <w:r w:rsidR="00A8343E">
        <w:rPr>
          <w:rFonts w:ascii="Arial" w:hAnsi="Arial" w:cs="Arial"/>
          <w:sz w:val="24"/>
          <w:szCs w:val="24"/>
        </w:rPr>
        <w:t xml:space="preserve"> hecho</w:t>
      </w:r>
      <w:r w:rsidR="00D24043">
        <w:rPr>
          <w:rFonts w:ascii="Arial" w:hAnsi="Arial" w:cs="Arial"/>
          <w:sz w:val="24"/>
          <w:szCs w:val="24"/>
        </w:rPr>
        <w:t>s</w:t>
      </w:r>
      <w:r w:rsidR="00A8343E">
        <w:rPr>
          <w:rFonts w:ascii="Arial" w:hAnsi="Arial" w:cs="Arial"/>
          <w:sz w:val="24"/>
          <w:szCs w:val="24"/>
        </w:rPr>
        <w:t xml:space="preserve"> valer por la actora,</w:t>
      </w:r>
      <w:r w:rsidR="00317E82">
        <w:rPr>
          <w:rFonts w:ascii="Arial" w:hAnsi="Arial" w:cs="Arial"/>
          <w:sz w:val="24"/>
          <w:szCs w:val="24"/>
        </w:rPr>
        <w:t xml:space="preserve"> </w:t>
      </w:r>
      <w:r w:rsidR="00317E82" w:rsidRPr="006F0FD2">
        <w:rPr>
          <w:rFonts w:ascii="Arial" w:hAnsi="Arial" w:cs="Arial"/>
          <w:sz w:val="24"/>
          <w:szCs w:val="24"/>
        </w:rPr>
        <w:t>en el sentido</w:t>
      </w:r>
      <w:r w:rsidR="00317E82">
        <w:rPr>
          <w:rFonts w:ascii="Arial" w:hAnsi="Arial" w:cs="Arial"/>
          <w:sz w:val="24"/>
          <w:szCs w:val="24"/>
        </w:rPr>
        <w:t xml:space="preserve"> que carece de una debida fundamentación y motivación,</w:t>
      </w:r>
      <w:r w:rsidR="00E450A8">
        <w:rPr>
          <w:rFonts w:ascii="Arial" w:hAnsi="Arial" w:cs="Arial"/>
          <w:sz w:val="24"/>
          <w:szCs w:val="24"/>
        </w:rPr>
        <w:t xml:space="preserve"> </w:t>
      </w:r>
      <w:r w:rsidR="00317E82" w:rsidRPr="001D646E">
        <w:rPr>
          <w:rFonts w:ascii="Arial" w:hAnsi="Arial" w:cs="Arial"/>
          <w:sz w:val="24"/>
          <w:szCs w:val="24"/>
        </w:rPr>
        <w:t>s</w:t>
      </w:r>
      <w:r w:rsidR="00E450A8" w:rsidRPr="001D646E">
        <w:rPr>
          <w:rFonts w:ascii="Arial" w:hAnsi="Arial" w:cs="Arial"/>
          <w:sz w:val="24"/>
          <w:szCs w:val="24"/>
        </w:rPr>
        <w:t>e dice</w:t>
      </w:r>
      <w:r w:rsidR="00E450A8">
        <w:rPr>
          <w:rFonts w:ascii="Arial" w:hAnsi="Arial" w:cs="Arial"/>
          <w:sz w:val="24"/>
          <w:szCs w:val="24"/>
        </w:rPr>
        <w:t xml:space="preserve"> lo anterior en razón que </w:t>
      </w:r>
      <w:r w:rsidR="00804FDC">
        <w:rPr>
          <w:rFonts w:ascii="Arial" w:hAnsi="Arial" w:cs="Arial"/>
          <w:sz w:val="24"/>
          <w:szCs w:val="24"/>
        </w:rPr>
        <w:t>si bien es cierto que</w:t>
      </w:r>
      <w:r w:rsidR="00E450A8">
        <w:rPr>
          <w:rFonts w:ascii="Arial" w:hAnsi="Arial" w:cs="Arial"/>
          <w:sz w:val="24"/>
          <w:szCs w:val="24"/>
        </w:rPr>
        <w:t xml:space="preserve"> la Fiscalía General del Estado de Oaxaca</w:t>
      </w:r>
      <w:r w:rsidR="00804FDC">
        <w:rPr>
          <w:rFonts w:ascii="Arial" w:hAnsi="Arial" w:cs="Arial"/>
          <w:sz w:val="24"/>
          <w:szCs w:val="24"/>
        </w:rPr>
        <w:t xml:space="preserve"> actualmente es</w:t>
      </w:r>
      <w:r w:rsidR="00E450A8">
        <w:rPr>
          <w:rFonts w:ascii="Arial" w:hAnsi="Arial" w:cs="Arial"/>
          <w:sz w:val="24"/>
          <w:szCs w:val="24"/>
        </w:rPr>
        <w:t xml:space="preserve"> un órgano autónomo del Estado de Oaxaca, </w:t>
      </w:r>
      <w:r w:rsidR="00572663">
        <w:rPr>
          <w:rFonts w:ascii="Arial" w:hAnsi="Arial" w:cs="Arial"/>
          <w:sz w:val="24"/>
          <w:szCs w:val="24"/>
        </w:rPr>
        <w:t>también lo</w:t>
      </w:r>
      <w:r w:rsidR="00E450A8">
        <w:rPr>
          <w:rFonts w:ascii="Arial" w:hAnsi="Arial" w:cs="Arial"/>
          <w:sz w:val="24"/>
          <w:szCs w:val="24"/>
        </w:rPr>
        <w:t xml:space="preserve"> es que la autoridad demandada fue omisa en la fundamentación y motivación al considerar por qué, se encuentra impedida de facto para poder realizar el cálculo y pago de quinquenios que reclama la actora, omitiendo señalar si a la fecha de la solicitud presentada por aquélla, existía algún acuerdo, Ley o disposición transitoria que estableciera el impedimento de facto que tuviera la multicitada Fiscalía para hacer la cuantificación correcta y el pago de quinquenios reclamado</w:t>
      </w:r>
      <w:r w:rsidR="00317E82">
        <w:rPr>
          <w:rFonts w:ascii="Arial" w:hAnsi="Arial" w:cs="Arial"/>
          <w:sz w:val="24"/>
          <w:szCs w:val="24"/>
        </w:rPr>
        <w:t>s</w:t>
      </w:r>
      <w:r w:rsidR="00E450A8">
        <w:rPr>
          <w:rFonts w:ascii="Arial" w:hAnsi="Arial" w:cs="Arial"/>
          <w:sz w:val="24"/>
          <w:szCs w:val="24"/>
        </w:rPr>
        <w:t>, a pesar de ser un órgano autónomo,</w:t>
      </w:r>
      <w:r w:rsidR="006A2453">
        <w:rPr>
          <w:rFonts w:ascii="Arial" w:hAnsi="Arial" w:cs="Arial"/>
          <w:sz w:val="24"/>
          <w:szCs w:val="24"/>
        </w:rPr>
        <w:t xml:space="preserve"> pues en el último párrafo del acto combatido, únicamente refiere que</w:t>
      </w:r>
      <w:r w:rsidR="00E450A8">
        <w:rPr>
          <w:rFonts w:ascii="Arial" w:hAnsi="Arial" w:cs="Arial"/>
          <w:sz w:val="24"/>
          <w:szCs w:val="24"/>
        </w:rPr>
        <w:t xml:space="preserve"> dicha obligación</w:t>
      </w:r>
      <w:r w:rsidR="006A2453">
        <w:rPr>
          <w:rFonts w:ascii="Arial" w:hAnsi="Arial" w:cs="Arial"/>
          <w:sz w:val="24"/>
          <w:szCs w:val="24"/>
        </w:rPr>
        <w:t xml:space="preserve"> le corresponde</w:t>
      </w:r>
      <w:r w:rsidR="00E450A8">
        <w:rPr>
          <w:rFonts w:ascii="Arial" w:hAnsi="Arial" w:cs="Arial"/>
          <w:sz w:val="24"/>
          <w:szCs w:val="24"/>
        </w:rPr>
        <w:t xml:space="preserve"> a la Secretaría de Administración, </w:t>
      </w:r>
      <w:r w:rsidR="004C598E" w:rsidRPr="005F3A2E">
        <w:rPr>
          <w:rFonts w:ascii="Arial" w:hAnsi="Arial" w:cs="Arial"/>
          <w:i/>
          <w:iCs/>
          <w:sz w:val="24"/>
          <w:szCs w:val="24"/>
        </w:rPr>
        <w:t>“No obstante lo anterior, la institución que se considera competente es la Secretaría de Administración del Poder Ejecutivo del Gobierno del Estado, misma que se rige por la Ley del Servicio Civil para los empleados del Gobierno del Estado y por la normatividad en materia de Recursos Humanos emitida por la propia Secretaría de Administración</w:t>
      </w:r>
      <w:r w:rsidR="004C598E">
        <w:rPr>
          <w:rFonts w:ascii="Arial" w:hAnsi="Arial" w:cs="Arial"/>
          <w:i/>
          <w:iCs/>
          <w:sz w:val="24"/>
          <w:szCs w:val="24"/>
        </w:rPr>
        <w:t>.</w:t>
      </w:r>
      <w:r w:rsidR="004C598E" w:rsidRPr="005F3A2E">
        <w:rPr>
          <w:rFonts w:ascii="Arial" w:hAnsi="Arial" w:cs="Arial"/>
          <w:i/>
          <w:iCs/>
          <w:sz w:val="24"/>
          <w:szCs w:val="24"/>
        </w:rPr>
        <w:t>”</w:t>
      </w:r>
      <w:r w:rsidR="004C598E">
        <w:rPr>
          <w:rFonts w:ascii="Arial" w:hAnsi="Arial" w:cs="Arial"/>
          <w:i/>
          <w:iCs/>
          <w:sz w:val="24"/>
          <w:szCs w:val="24"/>
        </w:rPr>
        <w:t xml:space="preserve">, </w:t>
      </w:r>
      <w:r w:rsidR="004C598E" w:rsidRPr="005F3A2E">
        <w:rPr>
          <w:rFonts w:ascii="Arial" w:hAnsi="Arial" w:cs="Arial"/>
          <w:sz w:val="24"/>
          <w:szCs w:val="24"/>
        </w:rPr>
        <w:t>sin</w:t>
      </w:r>
      <w:r w:rsidR="004C598E">
        <w:rPr>
          <w:rFonts w:ascii="Arial" w:hAnsi="Arial" w:cs="Arial"/>
          <w:i/>
          <w:iCs/>
          <w:sz w:val="24"/>
          <w:szCs w:val="24"/>
        </w:rPr>
        <w:t xml:space="preserve"> </w:t>
      </w:r>
      <w:r w:rsidR="004C598E" w:rsidRPr="00B80F0B">
        <w:rPr>
          <w:rFonts w:ascii="Arial" w:hAnsi="Arial" w:cs="Arial"/>
          <w:sz w:val="24"/>
          <w:szCs w:val="24"/>
        </w:rPr>
        <w:t xml:space="preserve">que </w:t>
      </w:r>
      <w:r w:rsidR="004C598E">
        <w:rPr>
          <w:rFonts w:ascii="Arial" w:hAnsi="Arial" w:cs="Arial"/>
          <w:sz w:val="24"/>
          <w:szCs w:val="24"/>
        </w:rPr>
        <w:t>haya plasmado la normativa y motivación del porqué concluyó que es la Secretaría</w:t>
      </w:r>
      <w:r w:rsidR="00961A1F">
        <w:rPr>
          <w:rFonts w:ascii="Arial" w:hAnsi="Arial" w:cs="Arial"/>
          <w:sz w:val="24"/>
          <w:szCs w:val="24"/>
        </w:rPr>
        <w:t xml:space="preserve"> de administración del Poder Ejecutivo del Gobierno del Estado de Oaxaca</w:t>
      </w:r>
      <w:r w:rsidR="004C598E">
        <w:rPr>
          <w:rFonts w:ascii="Arial" w:hAnsi="Arial" w:cs="Arial"/>
          <w:sz w:val="24"/>
          <w:szCs w:val="24"/>
        </w:rPr>
        <w:t xml:space="preserve"> la facultada para pronunciarse de la solicitud de la actora.</w:t>
      </w:r>
    </w:p>
    <w:p w14:paraId="10FC6EFB" w14:textId="77777777" w:rsidR="00804317" w:rsidRDefault="00804317" w:rsidP="009A5C5C">
      <w:pPr>
        <w:pStyle w:val="Sangradetextonormal2"/>
        <w:spacing w:line="360" w:lineRule="auto"/>
        <w:ind w:right="51" w:firstLine="0"/>
        <w:jc w:val="both"/>
        <w:rPr>
          <w:rFonts w:ascii="Arial" w:hAnsi="Arial" w:cs="Arial"/>
          <w:sz w:val="24"/>
          <w:szCs w:val="24"/>
        </w:rPr>
      </w:pPr>
    </w:p>
    <w:bookmarkEnd w:id="4"/>
    <w:p w14:paraId="2FCE667C" w14:textId="52AD390C" w:rsidR="00E450A8" w:rsidRDefault="00E450A8" w:rsidP="00E450A8">
      <w:pPr>
        <w:pStyle w:val="Sangradetextonormal2"/>
        <w:tabs>
          <w:tab w:val="left" w:pos="2041"/>
        </w:tabs>
        <w:spacing w:line="360" w:lineRule="auto"/>
        <w:ind w:right="51" w:firstLine="0"/>
        <w:jc w:val="both"/>
        <w:rPr>
          <w:rFonts w:ascii="Arial" w:hAnsi="Arial" w:cs="Arial"/>
          <w:sz w:val="24"/>
          <w:szCs w:val="24"/>
        </w:rPr>
      </w:pPr>
      <w:r>
        <w:rPr>
          <w:rFonts w:ascii="Arial" w:hAnsi="Arial" w:cs="Arial"/>
          <w:sz w:val="24"/>
          <w:szCs w:val="24"/>
        </w:rPr>
        <w:t>Sirve de apoyo la jurisprudencia VI. 2. J.7248, del Segundo Tribunal Colegiado del Sexto Circuito, que aparece publicada en la página 43 de la Gaceta del Semanario Judicial de la Federación, tomo 64, Abril de 1993, Octava Época, Materia Administrativa, de rubro y texto siguiente:</w:t>
      </w:r>
    </w:p>
    <w:p w14:paraId="5A726A08" w14:textId="77777777" w:rsidR="008300B9" w:rsidRDefault="008300B9" w:rsidP="00E450A8">
      <w:pPr>
        <w:pStyle w:val="Sangradetextonormal2"/>
        <w:tabs>
          <w:tab w:val="left" w:pos="2041"/>
        </w:tabs>
        <w:spacing w:line="360" w:lineRule="auto"/>
        <w:ind w:right="51" w:firstLine="0"/>
        <w:jc w:val="both"/>
        <w:rPr>
          <w:rFonts w:ascii="Arial" w:hAnsi="Arial" w:cs="Arial"/>
          <w:sz w:val="24"/>
          <w:szCs w:val="24"/>
        </w:rPr>
      </w:pPr>
    </w:p>
    <w:p w14:paraId="1C3E7E9D" w14:textId="77777777" w:rsidR="00E450A8" w:rsidRDefault="00E450A8" w:rsidP="00E450A8">
      <w:pPr>
        <w:pStyle w:val="Sangradetextonormal2"/>
        <w:tabs>
          <w:tab w:val="left" w:pos="2041"/>
        </w:tabs>
        <w:spacing w:line="360" w:lineRule="auto"/>
        <w:ind w:right="51" w:firstLine="0"/>
        <w:jc w:val="both"/>
        <w:rPr>
          <w:rFonts w:ascii="Arial" w:hAnsi="Arial" w:cs="Arial"/>
          <w:sz w:val="24"/>
          <w:szCs w:val="24"/>
        </w:rPr>
      </w:pPr>
    </w:p>
    <w:p w14:paraId="53B646E7" w14:textId="5C11E768" w:rsidR="00B073D2" w:rsidRPr="00B073D2" w:rsidRDefault="00E450A8" w:rsidP="00B073D2">
      <w:pPr>
        <w:pStyle w:val="Sangradetextonormal2"/>
        <w:tabs>
          <w:tab w:val="left" w:pos="2041"/>
        </w:tabs>
        <w:spacing w:line="360" w:lineRule="auto"/>
        <w:ind w:right="51" w:firstLine="0"/>
        <w:jc w:val="both"/>
        <w:rPr>
          <w:rFonts w:ascii="Arial" w:hAnsi="Arial" w:cs="Arial"/>
          <w:i/>
          <w:iCs/>
          <w:sz w:val="24"/>
          <w:szCs w:val="24"/>
        </w:rPr>
      </w:pPr>
      <w:r w:rsidRPr="00B073D2">
        <w:rPr>
          <w:rFonts w:ascii="Arial" w:hAnsi="Arial" w:cs="Arial"/>
          <w:i/>
          <w:iCs/>
          <w:sz w:val="24"/>
          <w:szCs w:val="24"/>
        </w:rPr>
        <w:t xml:space="preserve">“FUNDAMENTACION Y MOTIVACION DE LOS ACTOS ADMINISTRATIVOS. </w:t>
      </w:r>
      <w:r w:rsidR="00B073D2" w:rsidRPr="00B073D2">
        <w:rPr>
          <w:rFonts w:ascii="Arial" w:hAnsi="Arial" w:cs="Arial"/>
          <w:i/>
          <w:iCs/>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B073D2" w:rsidRPr="00B073D2">
        <w:rPr>
          <w:rFonts w:ascii="Arial" w:hAnsi="Arial" w:cs="Arial"/>
          <w:i/>
          <w:iCs/>
          <w:sz w:val="24"/>
          <w:szCs w:val="24"/>
        </w:rPr>
        <w:t>subincisos</w:t>
      </w:r>
      <w:proofErr w:type="spellEnd"/>
      <w:r w:rsidR="00B073D2" w:rsidRPr="00B073D2">
        <w:rPr>
          <w:rFonts w:ascii="Arial" w:hAnsi="Arial" w:cs="Arial"/>
          <w:i/>
          <w:iCs/>
          <w:sz w:val="24"/>
          <w:szCs w:val="24"/>
        </w:rPr>
        <w:t>, fracciones y preceptos aplicables, y b).- Los cuerpos legales, y preceptos que otorgan competencia o facultades a las autoridades para emitir el acto en agravio del gobernado.”</w:t>
      </w:r>
    </w:p>
    <w:p w14:paraId="0EC2DF4C" w14:textId="77777777" w:rsidR="00B073D2" w:rsidRDefault="00B073D2" w:rsidP="00E450A8">
      <w:pPr>
        <w:pStyle w:val="Sangradetextonormal2"/>
        <w:tabs>
          <w:tab w:val="left" w:pos="2041"/>
        </w:tabs>
        <w:spacing w:line="360" w:lineRule="auto"/>
        <w:ind w:right="51" w:firstLine="0"/>
        <w:jc w:val="both"/>
        <w:rPr>
          <w:rFonts w:ascii="Arial" w:hAnsi="Arial" w:cs="Arial"/>
          <w:sz w:val="24"/>
          <w:szCs w:val="24"/>
        </w:rPr>
      </w:pPr>
    </w:p>
    <w:p w14:paraId="37FC1415" w14:textId="4EFB0924" w:rsidR="004C3BAE" w:rsidRDefault="00A817C9" w:rsidP="00AC3D37">
      <w:pPr>
        <w:spacing w:line="360" w:lineRule="auto"/>
        <w:ind w:firstLine="708"/>
        <w:jc w:val="both"/>
        <w:rPr>
          <w:rFonts w:ascii="Arial" w:hAnsi="Arial" w:cs="Arial"/>
          <w:sz w:val="24"/>
          <w:szCs w:val="24"/>
        </w:rPr>
      </w:pPr>
      <w:r>
        <w:rPr>
          <w:rFonts w:ascii="Arial" w:hAnsi="Arial" w:cs="Arial"/>
          <w:sz w:val="24"/>
          <w:szCs w:val="24"/>
        </w:rPr>
        <w:t>De lo antes vertido, e</w:t>
      </w:r>
      <w:r w:rsidR="00033D80">
        <w:rPr>
          <w:rFonts w:ascii="Arial" w:hAnsi="Arial" w:cs="Arial"/>
          <w:sz w:val="24"/>
          <w:szCs w:val="24"/>
        </w:rPr>
        <w:t>sta juzgadora</w:t>
      </w:r>
      <w:r w:rsidR="004C3BAE">
        <w:rPr>
          <w:rFonts w:ascii="Arial" w:hAnsi="Arial" w:cs="Arial"/>
          <w:sz w:val="24"/>
          <w:szCs w:val="24"/>
        </w:rPr>
        <w:t xml:space="preserve"> considera necesario precisar que la presente </w:t>
      </w:r>
      <w:r w:rsidR="0086005E">
        <w:rPr>
          <w:rFonts w:ascii="Arial" w:hAnsi="Arial" w:cs="Arial"/>
          <w:sz w:val="24"/>
          <w:szCs w:val="24"/>
        </w:rPr>
        <w:t>resolución</w:t>
      </w:r>
      <w:r w:rsidR="004C3BAE">
        <w:rPr>
          <w:rFonts w:ascii="Arial" w:hAnsi="Arial" w:cs="Arial"/>
          <w:sz w:val="24"/>
          <w:szCs w:val="24"/>
        </w:rPr>
        <w:t xml:space="preserve"> se debe decidir conforme a las normas relativas a los derechos humanos, interpretados acorde a la Constitución Política de los Estados Unidos Mexicanos y los Tratados Internacionales en los que México es parte; es decir, deben analizarse los que establezcan lo referente a “QUINQUENIOS” el cual es un complemento del salario, como lo sostiene la siguiente jurisprudencia de la S</w:t>
      </w:r>
      <w:r w:rsidR="00C32379">
        <w:rPr>
          <w:rFonts w:ascii="Arial" w:hAnsi="Arial" w:cs="Arial"/>
          <w:sz w:val="24"/>
          <w:szCs w:val="24"/>
        </w:rPr>
        <w:t>egunda Sala de la Suprema Corte de Justicia de la Nación, visible a página 395 del Semanario Judicial de la Federación y su Gaceta; Tomo XII, diciembre de 2000, Novena Época, con registro digital 190641, de rubro y texto siguiente:</w:t>
      </w:r>
    </w:p>
    <w:p w14:paraId="446C33FB" w14:textId="00521821" w:rsidR="00AC3D37" w:rsidRDefault="00AC3D37" w:rsidP="00AC3D37">
      <w:pPr>
        <w:spacing w:line="360" w:lineRule="auto"/>
        <w:ind w:firstLine="708"/>
        <w:jc w:val="both"/>
        <w:rPr>
          <w:rFonts w:ascii="Arial" w:hAnsi="Arial" w:cs="Arial"/>
          <w:sz w:val="24"/>
          <w:szCs w:val="24"/>
        </w:rPr>
      </w:pPr>
    </w:p>
    <w:p w14:paraId="2E74C8C3" w14:textId="0F9D93CA" w:rsidR="00C32379" w:rsidRDefault="00DA1529" w:rsidP="00C32379">
      <w:pPr>
        <w:pStyle w:val="NormalWeb"/>
        <w:spacing w:before="0" w:beforeAutospacing="0" w:after="0" w:afterAutospacing="0" w:line="375" w:lineRule="atLeast"/>
        <w:jc w:val="both"/>
        <w:rPr>
          <w:rFonts w:ascii="Calibri" w:hAnsi="Calibri" w:cs="Calibri"/>
          <w:color w:val="212529"/>
          <w:sz w:val="26"/>
          <w:szCs w:val="26"/>
        </w:rPr>
      </w:pPr>
      <w:r w:rsidRPr="0086005E">
        <w:rPr>
          <w:rFonts w:ascii="Arial" w:hAnsi="Arial" w:cs="Arial"/>
          <w:i/>
          <w:iCs/>
          <w:color w:val="212529"/>
        </w:rPr>
        <w:t>“</w:t>
      </w:r>
      <w:r w:rsidR="00C32379" w:rsidRPr="0086005E">
        <w:rPr>
          <w:rFonts w:ascii="Arial" w:hAnsi="Arial" w:cs="Arial"/>
          <w:i/>
          <w:iCs/>
          <w:color w:val="212529"/>
        </w:rPr>
        <w:t>PRIMA QUINQUENAL Y PRIMA DE ANTIGÜEDAD. SON PRESTACIONES LABORALES DE DISTINTA NATURALEZA JURÍDICA, POR LO QUE EL PAGO DE LA PRIMERA NO EXCLUYE EL DE LA SEGUNDA</w:t>
      </w:r>
      <w:r w:rsidR="00C32379" w:rsidRPr="00DA1529">
        <w:rPr>
          <w:rFonts w:ascii="Arial" w:hAnsi="Arial" w:cs="Arial"/>
          <w:b/>
          <w:bCs/>
          <w:i/>
          <w:iCs/>
          <w:color w:val="212529"/>
        </w:rPr>
        <w:t>.</w:t>
      </w:r>
      <w:r w:rsidR="0086005E">
        <w:rPr>
          <w:rFonts w:ascii="Arial" w:hAnsi="Arial" w:cs="Arial"/>
          <w:b/>
          <w:bCs/>
          <w:i/>
          <w:iCs/>
          <w:color w:val="212529"/>
        </w:rPr>
        <w:t xml:space="preserve"> </w:t>
      </w:r>
      <w:r w:rsidR="00C32379" w:rsidRPr="00DA1529">
        <w:rPr>
          <w:rFonts w:ascii="Arial" w:hAnsi="Arial" w:cs="Arial"/>
          <w:i/>
          <w:iCs/>
          <w:color w:val="212529"/>
        </w:rPr>
        <w:t xml:space="preserve">Del análisis comparativo de la prima quinquenal prevista en el artículo </w:t>
      </w:r>
      <w:hyperlink r:id="rId7" w:history="1">
        <w:r w:rsidR="00C32379" w:rsidRPr="00DA1529">
          <w:rPr>
            <w:rStyle w:val="Hipervnculo"/>
            <w:rFonts w:ascii="Arial" w:hAnsi="Arial" w:cs="Arial"/>
            <w:i/>
            <w:iCs/>
            <w:color w:val="auto"/>
            <w:u w:val="none"/>
          </w:rPr>
          <w:t>34, párrafo segundo, de la Ley Federal de los Trabajadores al Servicio del Estado</w:t>
        </w:r>
      </w:hyperlink>
      <w:r w:rsidR="00C32379" w:rsidRPr="00DA1529">
        <w:rPr>
          <w:rFonts w:ascii="Arial" w:hAnsi="Arial" w:cs="Arial"/>
          <w:i/>
          <w:iCs/>
          <w:color w:val="212529"/>
        </w:rPr>
        <w:t xml:space="preserve"> y de la de antigüedad establecida en el artículo </w:t>
      </w:r>
      <w:hyperlink r:id="rId8" w:history="1">
        <w:r w:rsidR="00C32379" w:rsidRPr="00DA1529">
          <w:rPr>
            <w:rStyle w:val="Hipervnculo"/>
            <w:rFonts w:ascii="Arial" w:hAnsi="Arial" w:cs="Arial"/>
            <w:i/>
            <w:iCs/>
            <w:color w:val="auto"/>
            <w:u w:val="none"/>
          </w:rPr>
          <w:t>162 de la Ley Federal del Trabajo</w:t>
        </w:r>
      </w:hyperlink>
      <w:r w:rsidR="00C32379" w:rsidRPr="00DA1529">
        <w:rPr>
          <w:rFonts w:ascii="Arial" w:hAnsi="Arial" w:cs="Arial"/>
          <w:i/>
          <w:iCs/>
          <w:color w:val="212529"/>
        </w:rPr>
        <w:t>, se advierten las siguientes diferencias, a saber: la prima quinquenal se otorga durante la vigencia de la relación laboral a los trabajadores que han acumulado cierto número de años de servicios, a partir del quinto año, mientras que la prima de antigüedad tiene como presupuesto la terminación de la relación de trabajo; la prima quinquenal es un complemento al salario, por lo que constituye un factor de aumento de éste, que se incrementa cada cinco años de actividad laboral, en tanto que la prima de antigüedad no constituye un incremento al salario que se pague periódicamente, sino que se entrega en una sola exhibición; la prima quinquenal está limitada en su cuantía a que se cumplan veinticinco años de servicios, por lo que los posteriores no serán acumulables para aumentar su monto, mientras que la prima de antigüedad sigue generándose por cada año de servicios prestados, independientemente del periodo que labore el trabajador; el monto de la prima quinquenal se establece en el presupuesto de egresos y no puede rebasar lo autorizado, en tanto que el monto de la prima de antigüedad se encuentra establecido en la invocada ley laboral (doce días por cada año de servicios), no obstante, dicho monto puede ser incrementado de manera convencional por las partes y, por ende, puede exceder los límites legales; la prima quinquenal tiene la finalidad de reconocer el esfuerzo y colaboración del trabajador durante la vigencia de la relación laboral, mientras que la prima de antigüedad, si bien pretende reconocer las mismas actividades, ello únicamente se lleva a cabo hasta que concluye dicha relación laboral. Como consecuencia de lo anterior, debe decirse que aun cuando las primas quinquenal y de antigüedad son prestaciones que se otorgan como recompensa a los años de servicios acumulados, prestados por un trabajador, su naturaleza jurídica es distinta, ya que poseen características que las hacen diferir sustancialmente una de otra, por lo que si un trabajador gozó de la prestación primeramente mencionada, ello no impide que tenga a su favor el derecho de percibir la segunda, toda vez que no son prestaciones equiparables entre sí, sino que se refieren a conceptos diversos.</w:t>
      </w:r>
      <w:r>
        <w:rPr>
          <w:rFonts w:ascii="Arial" w:hAnsi="Arial" w:cs="Arial"/>
          <w:i/>
          <w:iCs/>
          <w:color w:val="212529"/>
        </w:rPr>
        <w:t>”</w:t>
      </w:r>
    </w:p>
    <w:p w14:paraId="68746867" w14:textId="54D61D05" w:rsidR="00C32379" w:rsidRDefault="00C32379" w:rsidP="00AC3D37">
      <w:pPr>
        <w:spacing w:line="360" w:lineRule="auto"/>
        <w:ind w:firstLine="708"/>
        <w:jc w:val="both"/>
        <w:rPr>
          <w:rFonts w:ascii="Arial" w:hAnsi="Arial" w:cs="Arial"/>
          <w:sz w:val="24"/>
          <w:szCs w:val="24"/>
        </w:rPr>
      </w:pPr>
    </w:p>
    <w:p w14:paraId="3B299A6E" w14:textId="748BBDDF" w:rsidR="00CF773E" w:rsidRDefault="00462917" w:rsidP="003929EF">
      <w:pPr>
        <w:spacing w:line="360" w:lineRule="auto"/>
        <w:ind w:firstLine="708"/>
        <w:jc w:val="both"/>
        <w:rPr>
          <w:rFonts w:ascii="Arial" w:hAnsi="Arial" w:cs="Arial"/>
          <w:sz w:val="24"/>
          <w:szCs w:val="24"/>
        </w:rPr>
      </w:pPr>
      <w:r>
        <w:rPr>
          <w:rFonts w:ascii="Arial" w:hAnsi="Arial" w:cs="Arial"/>
          <w:sz w:val="24"/>
          <w:szCs w:val="24"/>
        </w:rPr>
        <w:t>Asimismo</w:t>
      </w:r>
      <w:r w:rsidR="00DA1529">
        <w:rPr>
          <w:rFonts w:ascii="Arial" w:hAnsi="Arial" w:cs="Arial"/>
          <w:sz w:val="24"/>
          <w:szCs w:val="24"/>
        </w:rPr>
        <w:t>,</w:t>
      </w:r>
      <w:r w:rsidR="00E102C5">
        <w:rPr>
          <w:rFonts w:ascii="Arial" w:hAnsi="Arial" w:cs="Arial"/>
          <w:sz w:val="24"/>
          <w:szCs w:val="24"/>
        </w:rPr>
        <w:t xml:space="preserve"> de</w:t>
      </w:r>
      <w:r>
        <w:rPr>
          <w:rFonts w:ascii="Arial" w:hAnsi="Arial" w:cs="Arial"/>
          <w:sz w:val="24"/>
          <w:szCs w:val="24"/>
        </w:rPr>
        <w:t xml:space="preserve"> lo establecido</w:t>
      </w:r>
      <w:r w:rsidR="00DA1529">
        <w:rPr>
          <w:rFonts w:ascii="Arial" w:hAnsi="Arial" w:cs="Arial"/>
          <w:sz w:val="24"/>
          <w:szCs w:val="24"/>
        </w:rPr>
        <w:t xml:space="preserve"> en </w:t>
      </w:r>
      <w:r>
        <w:rPr>
          <w:rFonts w:ascii="Arial" w:hAnsi="Arial" w:cs="Arial"/>
          <w:sz w:val="24"/>
          <w:szCs w:val="24"/>
        </w:rPr>
        <w:t xml:space="preserve">los </w:t>
      </w:r>
      <w:r w:rsidR="00DA1529">
        <w:rPr>
          <w:rFonts w:ascii="Arial" w:hAnsi="Arial" w:cs="Arial"/>
          <w:sz w:val="24"/>
          <w:szCs w:val="24"/>
        </w:rPr>
        <w:t>artículos 123, apartado B, fracciones IV y VI, y 127</w:t>
      </w:r>
      <w:r w:rsidR="003B5AA7">
        <w:rPr>
          <w:rFonts w:ascii="Arial" w:hAnsi="Arial" w:cs="Arial"/>
          <w:sz w:val="24"/>
          <w:szCs w:val="24"/>
        </w:rPr>
        <w:t>, de la Constitución Política de los Estados Unidos Mexicanos</w:t>
      </w:r>
      <w:r w:rsidR="00F10C64">
        <w:rPr>
          <w:rFonts w:ascii="Arial" w:hAnsi="Arial" w:cs="Arial"/>
          <w:sz w:val="24"/>
          <w:szCs w:val="24"/>
        </w:rPr>
        <w:t xml:space="preserve">, así como </w:t>
      </w:r>
      <w:r w:rsidR="00592DE1">
        <w:rPr>
          <w:rFonts w:ascii="Arial" w:hAnsi="Arial" w:cs="Arial"/>
          <w:sz w:val="24"/>
          <w:szCs w:val="24"/>
        </w:rPr>
        <w:t xml:space="preserve">los numerales 25, 26, 27, 27 Bis, 28, 29, 30, 31, 32, 33, 34, y 34 Bis </w:t>
      </w:r>
      <w:r w:rsidR="00F10C64">
        <w:rPr>
          <w:rFonts w:ascii="Arial" w:hAnsi="Arial" w:cs="Arial"/>
          <w:sz w:val="24"/>
          <w:szCs w:val="24"/>
        </w:rPr>
        <w:t>de</w:t>
      </w:r>
      <w:r w:rsidR="00BC76F8">
        <w:rPr>
          <w:rFonts w:ascii="Arial" w:hAnsi="Arial" w:cs="Arial"/>
          <w:sz w:val="24"/>
          <w:szCs w:val="24"/>
        </w:rPr>
        <w:t xml:space="preserve"> </w:t>
      </w:r>
      <w:r w:rsidR="00CF773E">
        <w:rPr>
          <w:rFonts w:ascii="Arial" w:hAnsi="Arial" w:cs="Arial"/>
          <w:sz w:val="24"/>
          <w:szCs w:val="24"/>
        </w:rPr>
        <w:t>la Ley del Servicio Civil para los empleados del Gobierno del Estado,</w:t>
      </w:r>
      <w:r w:rsidR="00592DE1">
        <w:rPr>
          <w:rFonts w:ascii="Arial" w:hAnsi="Arial" w:cs="Arial"/>
          <w:sz w:val="24"/>
          <w:szCs w:val="24"/>
        </w:rPr>
        <w:t xml:space="preserve"> referente al capítulo</w:t>
      </w:r>
      <w:r w:rsidR="00F10C64">
        <w:rPr>
          <w:rFonts w:ascii="Arial" w:hAnsi="Arial" w:cs="Arial"/>
          <w:sz w:val="24"/>
          <w:szCs w:val="24"/>
        </w:rPr>
        <w:t xml:space="preserve"> </w:t>
      </w:r>
      <w:r w:rsidR="00592DE1">
        <w:rPr>
          <w:rFonts w:ascii="Arial" w:hAnsi="Arial" w:cs="Arial"/>
          <w:sz w:val="24"/>
          <w:szCs w:val="24"/>
        </w:rPr>
        <w:t>de los</w:t>
      </w:r>
      <w:r w:rsidR="00F10C64">
        <w:rPr>
          <w:rFonts w:ascii="Arial" w:hAnsi="Arial" w:cs="Arial"/>
          <w:sz w:val="24"/>
          <w:szCs w:val="24"/>
        </w:rPr>
        <w:t xml:space="preserve"> sueldos</w:t>
      </w:r>
      <w:r w:rsidR="00BC76F8">
        <w:rPr>
          <w:rFonts w:ascii="Arial" w:hAnsi="Arial" w:cs="Arial"/>
          <w:sz w:val="24"/>
          <w:szCs w:val="24"/>
        </w:rPr>
        <w:t>, este último</w:t>
      </w:r>
      <w:r w:rsidR="007B2596">
        <w:rPr>
          <w:rFonts w:ascii="Arial" w:hAnsi="Arial" w:cs="Arial"/>
          <w:sz w:val="24"/>
          <w:szCs w:val="24"/>
        </w:rPr>
        <w:t xml:space="preserve"> se transcribe para mayor ilustración</w:t>
      </w:r>
      <w:r w:rsidR="00BC76F8">
        <w:rPr>
          <w:rFonts w:ascii="Arial" w:hAnsi="Arial" w:cs="Arial"/>
          <w:sz w:val="24"/>
          <w:szCs w:val="24"/>
        </w:rPr>
        <w:t xml:space="preserve">: </w:t>
      </w:r>
    </w:p>
    <w:p w14:paraId="5E99C2FB" w14:textId="77777777" w:rsidR="00CF773E" w:rsidRDefault="00CF773E" w:rsidP="003929EF">
      <w:pPr>
        <w:spacing w:line="360" w:lineRule="auto"/>
        <w:ind w:firstLine="708"/>
        <w:jc w:val="both"/>
        <w:rPr>
          <w:rFonts w:ascii="Arial" w:hAnsi="Arial" w:cs="Arial"/>
          <w:sz w:val="24"/>
          <w:szCs w:val="24"/>
        </w:rPr>
      </w:pPr>
    </w:p>
    <w:p w14:paraId="057915FA" w14:textId="2C884ABC" w:rsidR="005D3F93" w:rsidRDefault="007B2596" w:rsidP="003929EF">
      <w:pPr>
        <w:spacing w:line="360" w:lineRule="auto"/>
        <w:ind w:firstLine="708"/>
        <w:jc w:val="both"/>
        <w:rPr>
          <w:rFonts w:ascii="Arial" w:hAnsi="Arial" w:cs="Arial"/>
          <w:i/>
          <w:iCs/>
          <w:sz w:val="24"/>
          <w:szCs w:val="24"/>
        </w:rPr>
      </w:pPr>
      <w:r>
        <w:rPr>
          <w:rFonts w:ascii="Arial" w:hAnsi="Arial" w:cs="Arial"/>
          <w:i/>
          <w:iCs/>
          <w:sz w:val="24"/>
          <w:szCs w:val="24"/>
        </w:rPr>
        <w:t>“</w:t>
      </w:r>
      <w:r w:rsidR="005D3F93" w:rsidRPr="005D3F93">
        <w:rPr>
          <w:rFonts w:ascii="Arial" w:hAnsi="Arial" w:cs="Arial"/>
          <w:i/>
          <w:iCs/>
          <w:sz w:val="24"/>
          <w:szCs w:val="24"/>
        </w:rPr>
        <w:t xml:space="preserve">Artículo 34 </w:t>
      </w:r>
      <w:r w:rsidR="00BC76F8" w:rsidRPr="005D3F93">
        <w:rPr>
          <w:rFonts w:ascii="Arial" w:hAnsi="Arial" w:cs="Arial"/>
          <w:i/>
          <w:iCs/>
          <w:sz w:val="24"/>
          <w:szCs w:val="24"/>
        </w:rPr>
        <w:t>BIS. -</w:t>
      </w:r>
      <w:r w:rsidR="005D3F93" w:rsidRPr="005D3F93">
        <w:rPr>
          <w:rFonts w:ascii="Arial" w:hAnsi="Arial" w:cs="Arial"/>
          <w:i/>
          <w:iCs/>
          <w:sz w:val="24"/>
          <w:szCs w:val="24"/>
        </w:rPr>
        <w:t xml:space="preserve"> A los empleados de Base o de Confianza se les otorgará en forma mensual, Quinquenios, conforme a la Tabla siguiente: 5 AÑOS DE SERVICIOS CUMPLIDOS CON NOMBRAMIENTO.  $ 350.00 10 AÑOS DE SERVICIOS CUMPLIDOS CON NOMBRAMIENTO 300.00 15 AÑOS DE SERVICIOS CUMPLIDOS CON NOMBRAMIENTO 1,300.00 20 AÑOS DE SERVICIOS CUMPLIDOS CON NOMBRAMIENTO 1,800.00 25 AÑOS DE SERVICIOS CUMPLIDOS CON NOMBRAMIENTO 2,300.00 30 AÑOS DE SERVICIOS CUMPLIDOS CON NOMBRAMIENTO 2,800.00 Y por cada 5 años más de servicios, se les aumentará $ 500.00 más.</w:t>
      </w:r>
      <w:r w:rsidR="006110F0">
        <w:rPr>
          <w:rFonts w:ascii="Arial" w:hAnsi="Arial" w:cs="Arial"/>
          <w:i/>
          <w:iCs/>
          <w:sz w:val="24"/>
          <w:szCs w:val="24"/>
        </w:rPr>
        <w:t>”</w:t>
      </w:r>
    </w:p>
    <w:p w14:paraId="6D28E830" w14:textId="449DA402" w:rsidR="00CF773E" w:rsidRDefault="00CF773E" w:rsidP="003929EF">
      <w:pPr>
        <w:spacing w:line="360" w:lineRule="auto"/>
        <w:ind w:firstLine="708"/>
        <w:jc w:val="both"/>
        <w:rPr>
          <w:rFonts w:ascii="Arial" w:hAnsi="Arial" w:cs="Arial"/>
          <w:sz w:val="24"/>
          <w:szCs w:val="24"/>
        </w:rPr>
      </w:pPr>
    </w:p>
    <w:p w14:paraId="6EA9BB9D" w14:textId="202ECE42" w:rsidR="006110F0" w:rsidRDefault="006110F0" w:rsidP="003929EF">
      <w:pPr>
        <w:spacing w:line="360" w:lineRule="auto"/>
        <w:ind w:firstLine="708"/>
        <w:jc w:val="both"/>
        <w:rPr>
          <w:rFonts w:ascii="Arial" w:hAnsi="Arial" w:cs="Arial"/>
          <w:sz w:val="24"/>
          <w:szCs w:val="24"/>
        </w:rPr>
      </w:pPr>
      <w:r>
        <w:rPr>
          <w:rFonts w:ascii="Arial" w:hAnsi="Arial" w:cs="Arial"/>
          <w:sz w:val="24"/>
          <w:szCs w:val="24"/>
        </w:rPr>
        <w:t>De dichos preceptos legales, se advierte que los quinquenios</w:t>
      </w:r>
      <w:r w:rsidR="003D1CD9">
        <w:rPr>
          <w:rFonts w:ascii="Arial" w:hAnsi="Arial" w:cs="Arial"/>
          <w:sz w:val="24"/>
          <w:szCs w:val="24"/>
        </w:rPr>
        <w:t xml:space="preserve"> constituyen una prerrogativa necesaria para lograr la eficacia al disfrute del derecho mínimo de protección al salario que se consagra en el apartado B del artículo 123 de la Constitución Política de los Estado Unidos Mexicanos, al haberse establecido como una prestación adicional al salario del trabajador, con la cual el estado reconoce el esfuerzo y colaboración de los empleados públicos en la consecución de sus propósitos; además del contenido de las fracciones IV y VI del apartado B del referido numeral 123, se desprende que el constituyente previó medidas de protección al salario, entre otras, que sería fijado en los presupuestos respectivos, sin que su cuantía</w:t>
      </w:r>
      <w:r w:rsidR="0086770E">
        <w:rPr>
          <w:rFonts w:ascii="Arial" w:hAnsi="Arial" w:cs="Arial"/>
          <w:sz w:val="24"/>
          <w:szCs w:val="24"/>
        </w:rPr>
        <w:t xml:space="preserve"> pudiera ser disminuida durante su vigencia, y que no podrían ser inferiores al mínimo </w:t>
      </w:r>
      <w:r w:rsidR="00E57519">
        <w:rPr>
          <w:rFonts w:ascii="Arial" w:hAnsi="Arial" w:cs="Arial"/>
          <w:sz w:val="24"/>
          <w:szCs w:val="24"/>
        </w:rPr>
        <w:t>para los trabajadores en general para las entidades federativas; y que solo podrían hacerse retenciones, descuentos, deducciones o embargos, en los casos previstos en las leyes; de donde se advierte que una de las medidas de protección al salario consiste en que esa retribución no podrá ser restringida, pero si es extensiva a las condiciones laborales</w:t>
      </w:r>
      <w:r w:rsidR="004B3FD5">
        <w:rPr>
          <w:rFonts w:ascii="Arial" w:hAnsi="Arial" w:cs="Arial"/>
          <w:sz w:val="24"/>
          <w:szCs w:val="24"/>
        </w:rPr>
        <w:t>, donde queda incluido el pago de quinquenios, precisamente por constituir un incremento al salario que se otorga al trabajador como estímulo por su desempeño.</w:t>
      </w:r>
    </w:p>
    <w:p w14:paraId="701EC488" w14:textId="6766995A" w:rsidR="004B3FD5" w:rsidRDefault="004B3FD5" w:rsidP="003929EF">
      <w:pPr>
        <w:spacing w:line="360" w:lineRule="auto"/>
        <w:ind w:firstLine="708"/>
        <w:jc w:val="both"/>
        <w:rPr>
          <w:rFonts w:ascii="Arial" w:hAnsi="Arial" w:cs="Arial"/>
          <w:sz w:val="24"/>
          <w:szCs w:val="24"/>
        </w:rPr>
      </w:pPr>
    </w:p>
    <w:p w14:paraId="66160CF3" w14:textId="2EAC5A94" w:rsidR="004B3FD5" w:rsidRDefault="004B3FD5" w:rsidP="003929EF">
      <w:pPr>
        <w:spacing w:line="360" w:lineRule="auto"/>
        <w:ind w:firstLine="708"/>
        <w:jc w:val="both"/>
        <w:rPr>
          <w:rFonts w:ascii="Arial" w:hAnsi="Arial" w:cs="Arial"/>
          <w:sz w:val="24"/>
          <w:szCs w:val="24"/>
        </w:rPr>
      </w:pPr>
      <w:r>
        <w:rPr>
          <w:rFonts w:ascii="Arial" w:hAnsi="Arial" w:cs="Arial"/>
          <w:sz w:val="24"/>
          <w:szCs w:val="24"/>
        </w:rPr>
        <w:t>Así, los quinquenios se otorgan durante la vigencia de la relación laboral a los que han acumulado</w:t>
      </w:r>
      <w:r w:rsidR="00681729">
        <w:rPr>
          <w:rFonts w:ascii="Arial" w:hAnsi="Arial" w:cs="Arial"/>
          <w:sz w:val="24"/>
          <w:szCs w:val="24"/>
        </w:rPr>
        <w:t xml:space="preserve"> cierto número de años de servicios, a partir del quinto año.</w:t>
      </w:r>
    </w:p>
    <w:p w14:paraId="251B9A70" w14:textId="77777777" w:rsidR="00A37545" w:rsidRDefault="00A37545" w:rsidP="003929EF">
      <w:pPr>
        <w:spacing w:line="360" w:lineRule="auto"/>
        <w:ind w:firstLine="708"/>
        <w:jc w:val="both"/>
        <w:rPr>
          <w:rFonts w:ascii="Arial" w:hAnsi="Arial" w:cs="Arial"/>
          <w:sz w:val="24"/>
          <w:szCs w:val="24"/>
        </w:rPr>
      </w:pPr>
    </w:p>
    <w:p w14:paraId="57908324" w14:textId="530B5BDF" w:rsidR="00681729" w:rsidRDefault="00681729" w:rsidP="003929EF">
      <w:pPr>
        <w:spacing w:line="360" w:lineRule="auto"/>
        <w:ind w:firstLine="708"/>
        <w:jc w:val="both"/>
        <w:rPr>
          <w:rFonts w:ascii="Arial" w:hAnsi="Arial" w:cs="Arial"/>
          <w:sz w:val="24"/>
          <w:szCs w:val="24"/>
        </w:rPr>
      </w:pPr>
      <w:r>
        <w:rPr>
          <w:rFonts w:ascii="Arial" w:hAnsi="Arial" w:cs="Arial"/>
          <w:sz w:val="24"/>
          <w:szCs w:val="24"/>
        </w:rPr>
        <w:t xml:space="preserve">La prima quincenal es un complemento del salario por lo que constituye un factor de aumento de </w:t>
      </w:r>
      <w:r w:rsidR="00005FF9">
        <w:rPr>
          <w:rFonts w:ascii="Arial" w:hAnsi="Arial" w:cs="Arial"/>
          <w:sz w:val="24"/>
          <w:szCs w:val="24"/>
        </w:rPr>
        <w:t>é</w:t>
      </w:r>
      <w:r>
        <w:rPr>
          <w:rFonts w:ascii="Arial" w:hAnsi="Arial" w:cs="Arial"/>
          <w:sz w:val="24"/>
          <w:szCs w:val="24"/>
        </w:rPr>
        <w:t>ste que se incrementa cada cinco años a los de actividad laboral.</w:t>
      </w:r>
    </w:p>
    <w:p w14:paraId="25E3BD8D" w14:textId="2CEB8677" w:rsidR="00681729" w:rsidRDefault="00681729" w:rsidP="003929EF">
      <w:pPr>
        <w:spacing w:line="360" w:lineRule="auto"/>
        <w:ind w:firstLine="708"/>
        <w:jc w:val="both"/>
        <w:rPr>
          <w:rFonts w:ascii="Arial" w:hAnsi="Arial" w:cs="Arial"/>
          <w:sz w:val="24"/>
          <w:szCs w:val="24"/>
        </w:rPr>
      </w:pPr>
    </w:p>
    <w:p w14:paraId="62925E91" w14:textId="5F3E55DF" w:rsidR="00681729" w:rsidRDefault="00681729" w:rsidP="003929EF">
      <w:pPr>
        <w:spacing w:line="360" w:lineRule="auto"/>
        <w:ind w:firstLine="708"/>
        <w:jc w:val="both"/>
        <w:rPr>
          <w:rFonts w:ascii="Arial" w:hAnsi="Arial" w:cs="Arial"/>
          <w:sz w:val="24"/>
          <w:szCs w:val="24"/>
        </w:rPr>
      </w:pPr>
      <w:r>
        <w:rPr>
          <w:rFonts w:ascii="Arial" w:hAnsi="Arial" w:cs="Arial"/>
          <w:sz w:val="24"/>
          <w:szCs w:val="24"/>
        </w:rPr>
        <w:t>La protección a</w:t>
      </w:r>
      <w:r w:rsidR="00F331AF">
        <w:rPr>
          <w:rFonts w:ascii="Arial" w:hAnsi="Arial" w:cs="Arial"/>
          <w:sz w:val="24"/>
          <w:szCs w:val="24"/>
        </w:rPr>
        <w:t>l salario es también un derecho</w:t>
      </w:r>
      <w:r>
        <w:rPr>
          <w:rFonts w:ascii="Arial" w:hAnsi="Arial" w:cs="Arial"/>
          <w:sz w:val="24"/>
          <w:szCs w:val="24"/>
        </w:rPr>
        <w:t xml:space="preserve"> garantizado para los trabajadores al servicio del estado, que dispuso el legislador ordinario y el pago de la prima quincenal constituye una de esas medidas.</w:t>
      </w:r>
    </w:p>
    <w:p w14:paraId="04CCFC5B" w14:textId="46F9DD71" w:rsidR="00681729" w:rsidRDefault="00681729" w:rsidP="003929EF">
      <w:pPr>
        <w:spacing w:line="360" w:lineRule="auto"/>
        <w:ind w:firstLine="708"/>
        <w:jc w:val="both"/>
        <w:rPr>
          <w:rFonts w:ascii="Arial" w:hAnsi="Arial" w:cs="Arial"/>
          <w:sz w:val="24"/>
          <w:szCs w:val="24"/>
        </w:rPr>
      </w:pPr>
    </w:p>
    <w:p w14:paraId="7AB1133A" w14:textId="04C279D3" w:rsidR="00681729" w:rsidRDefault="00681729" w:rsidP="003929EF">
      <w:pPr>
        <w:spacing w:line="360" w:lineRule="auto"/>
        <w:ind w:firstLine="708"/>
        <w:jc w:val="both"/>
        <w:rPr>
          <w:rFonts w:ascii="Arial" w:hAnsi="Arial" w:cs="Arial"/>
          <w:sz w:val="24"/>
          <w:szCs w:val="24"/>
        </w:rPr>
      </w:pPr>
      <w:r>
        <w:rPr>
          <w:rFonts w:ascii="Arial" w:hAnsi="Arial" w:cs="Arial"/>
          <w:sz w:val="24"/>
          <w:szCs w:val="24"/>
        </w:rPr>
        <w:t xml:space="preserve">En tal virtud, analizando los tratados internacionales de la materia, debe decirse </w:t>
      </w:r>
      <w:r w:rsidR="00E6284E">
        <w:rPr>
          <w:rFonts w:ascii="Arial" w:hAnsi="Arial" w:cs="Arial"/>
          <w:sz w:val="24"/>
          <w:szCs w:val="24"/>
        </w:rPr>
        <w:t xml:space="preserve">que el salario ha sido materia de protección en el convenio </w:t>
      </w:r>
      <w:r w:rsidR="00B1160E">
        <w:rPr>
          <w:rFonts w:ascii="Arial" w:hAnsi="Arial" w:cs="Arial"/>
          <w:sz w:val="24"/>
          <w:szCs w:val="24"/>
        </w:rPr>
        <w:t>93</w:t>
      </w:r>
      <w:r w:rsidR="00E6284E">
        <w:rPr>
          <w:rFonts w:ascii="Arial" w:hAnsi="Arial" w:cs="Arial"/>
          <w:sz w:val="24"/>
          <w:szCs w:val="24"/>
        </w:rPr>
        <w:t xml:space="preserve"> de la O</w:t>
      </w:r>
      <w:r w:rsidR="00A2058B">
        <w:rPr>
          <w:rFonts w:ascii="Arial" w:hAnsi="Arial" w:cs="Arial"/>
          <w:sz w:val="24"/>
          <w:szCs w:val="24"/>
        </w:rPr>
        <w:t xml:space="preserve">rganización </w:t>
      </w:r>
      <w:r w:rsidR="00E6284E">
        <w:rPr>
          <w:rFonts w:ascii="Arial" w:hAnsi="Arial" w:cs="Arial"/>
          <w:sz w:val="24"/>
          <w:szCs w:val="24"/>
        </w:rPr>
        <w:t>I</w:t>
      </w:r>
      <w:r w:rsidR="00A2058B">
        <w:rPr>
          <w:rFonts w:ascii="Arial" w:hAnsi="Arial" w:cs="Arial"/>
          <w:sz w:val="24"/>
          <w:szCs w:val="24"/>
        </w:rPr>
        <w:t xml:space="preserve">nternacional del </w:t>
      </w:r>
      <w:r w:rsidR="00E6284E">
        <w:rPr>
          <w:rFonts w:ascii="Arial" w:hAnsi="Arial" w:cs="Arial"/>
          <w:sz w:val="24"/>
          <w:szCs w:val="24"/>
        </w:rPr>
        <w:t>T</w:t>
      </w:r>
      <w:r w:rsidR="00A2058B">
        <w:rPr>
          <w:rFonts w:ascii="Arial" w:hAnsi="Arial" w:cs="Arial"/>
          <w:sz w:val="24"/>
          <w:szCs w:val="24"/>
        </w:rPr>
        <w:t>rabajo</w:t>
      </w:r>
      <w:r w:rsidR="00E6284E">
        <w:rPr>
          <w:rFonts w:ascii="Arial" w:hAnsi="Arial" w:cs="Arial"/>
          <w:sz w:val="24"/>
          <w:szCs w:val="24"/>
        </w:rPr>
        <w:t xml:space="preserve">, sobre protección al salario, ratificado por México el </w:t>
      </w:r>
      <w:r w:rsidR="00E6284E" w:rsidRPr="00514C06">
        <w:rPr>
          <w:rFonts w:ascii="Arial" w:hAnsi="Arial" w:cs="Arial"/>
          <w:sz w:val="24"/>
          <w:szCs w:val="24"/>
        </w:rPr>
        <w:t>veintisiete de septiembre</w:t>
      </w:r>
      <w:r w:rsidR="00476C85" w:rsidRPr="00514C06">
        <w:rPr>
          <w:rFonts w:ascii="Arial" w:hAnsi="Arial" w:cs="Arial"/>
          <w:sz w:val="24"/>
          <w:szCs w:val="24"/>
        </w:rPr>
        <w:t xml:space="preserve"> de mil novecientos cincuenta y cinco</w:t>
      </w:r>
      <w:r w:rsidR="00476C85">
        <w:rPr>
          <w:rFonts w:ascii="Arial" w:hAnsi="Arial" w:cs="Arial"/>
          <w:sz w:val="24"/>
          <w:szCs w:val="24"/>
        </w:rPr>
        <w:t>; ello ha sido</w:t>
      </w:r>
      <w:r w:rsidR="002743F4">
        <w:rPr>
          <w:rFonts w:ascii="Arial" w:hAnsi="Arial" w:cs="Arial"/>
          <w:sz w:val="24"/>
          <w:szCs w:val="24"/>
        </w:rPr>
        <w:t xml:space="preserve"> reiterado en el Pacto Internacional de Derechos Económicos, Sociales y Culturales, donde se establece que las personas deben percibir un salario equitativo, igual y satisfactorio, instrumento ratificado por México el </w:t>
      </w:r>
      <w:r w:rsidR="00514C06">
        <w:rPr>
          <w:rFonts w:ascii="Arial" w:hAnsi="Arial" w:cs="Arial"/>
          <w:sz w:val="24"/>
          <w:szCs w:val="24"/>
        </w:rPr>
        <w:t>veintitrés de marzo de mil novecientos ochenta y uno</w:t>
      </w:r>
      <w:r w:rsidR="002743F4">
        <w:rPr>
          <w:rFonts w:ascii="Arial" w:hAnsi="Arial" w:cs="Arial"/>
          <w:sz w:val="24"/>
          <w:szCs w:val="24"/>
        </w:rPr>
        <w:t>.</w:t>
      </w:r>
    </w:p>
    <w:p w14:paraId="1510F4DA" w14:textId="468E1E78" w:rsidR="008B28FC" w:rsidRDefault="008B28FC" w:rsidP="003929EF">
      <w:pPr>
        <w:spacing w:line="360" w:lineRule="auto"/>
        <w:ind w:firstLine="708"/>
        <w:jc w:val="both"/>
        <w:rPr>
          <w:rFonts w:ascii="Arial" w:hAnsi="Arial" w:cs="Arial"/>
          <w:sz w:val="24"/>
          <w:szCs w:val="24"/>
        </w:rPr>
      </w:pPr>
    </w:p>
    <w:p w14:paraId="0D2FDA54" w14:textId="17F65D5C" w:rsidR="00024C8B" w:rsidRDefault="00EB41F4" w:rsidP="003929EF">
      <w:pPr>
        <w:spacing w:line="360" w:lineRule="auto"/>
        <w:ind w:firstLine="708"/>
        <w:jc w:val="both"/>
        <w:rPr>
          <w:rFonts w:ascii="Arial" w:hAnsi="Arial" w:cs="Arial"/>
          <w:sz w:val="24"/>
          <w:szCs w:val="24"/>
        </w:rPr>
      </w:pPr>
      <w:r>
        <w:rPr>
          <w:rFonts w:ascii="Arial" w:hAnsi="Arial" w:cs="Arial"/>
          <w:sz w:val="24"/>
          <w:szCs w:val="24"/>
        </w:rPr>
        <w:t xml:space="preserve">Por lo que, </w:t>
      </w:r>
      <w:r w:rsidR="00647B80">
        <w:rPr>
          <w:rFonts w:ascii="Arial" w:hAnsi="Arial" w:cs="Arial"/>
          <w:sz w:val="24"/>
          <w:szCs w:val="24"/>
        </w:rPr>
        <w:t>debe</w:t>
      </w:r>
      <w:r>
        <w:rPr>
          <w:rFonts w:ascii="Arial" w:hAnsi="Arial" w:cs="Arial"/>
          <w:sz w:val="24"/>
          <w:szCs w:val="24"/>
        </w:rPr>
        <w:t xml:space="preserve"> atenderse los montos establecidos en el artículo 34 Bis de la Ley del Servicio Civil para los Empleados del Gobierno del Estado, que son más favorables, ya que la cantidad que se fija en este precepto es más </w:t>
      </w:r>
      <w:r w:rsidR="00E272AE">
        <w:rPr>
          <w:rFonts w:ascii="Arial" w:hAnsi="Arial" w:cs="Arial"/>
          <w:sz w:val="24"/>
          <w:szCs w:val="24"/>
        </w:rPr>
        <w:t>favorable</w:t>
      </w:r>
      <w:r>
        <w:rPr>
          <w:rFonts w:ascii="Arial" w:hAnsi="Arial" w:cs="Arial"/>
          <w:sz w:val="24"/>
          <w:szCs w:val="24"/>
        </w:rPr>
        <w:t xml:space="preserve"> a</w:t>
      </w:r>
      <w:r w:rsidR="006F05A1">
        <w:rPr>
          <w:rFonts w:ascii="Arial" w:hAnsi="Arial" w:cs="Arial"/>
          <w:sz w:val="24"/>
          <w:szCs w:val="24"/>
        </w:rPr>
        <w:t>l</w:t>
      </w:r>
      <w:r>
        <w:rPr>
          <w:rFonts w:ascii="Arial" w:hAnsi="Arial" w:cs="Arial"/>
          <w:sz w:val="24"/>
          <w:szCs w:val="24"/>
        </w:rPr>
        <w:t xml:space="preserve"> salario</w:t>
      </w:r>
      <w:r w:rsidR="006F05A1">
        <w:rPr>
          <w:rFonts w:ascii="Arial" w:hAnsi="Arial" w:cs="Arial"/>
          <w:sz w:val="24"/>
          <w:szCs w:val="24"/>
        </w:rPr>
        <w:t xml:space="preserve"> de la actora</w:t>
      </w:r>
      <w:r>
        <w:rPr>
          <w:rFonts w:ascii="Arial" w:hAnsi="Arial" w:cs="Arial"/>
          <w:sz w:val="24"/>
          <w:szCs w:val="24"/>
        </w:rPr>
        <w:t>, pues lo incrementa</w:t>
      </w:r>
      <w:r w:rsidR="00C25B68">
        <w:rPr>
          <w:rFonts w:ascii="Arial" w:hAnsi="Arial" w:cs="Arial"/>
          <w:sz w:val="24"/>
          <w:szCs w:val="24"/>
        </w:rPr>
        <w:t>;</w:t>
      </w:r>
      <w:r w:rsidR="004A7385">
        <w:rPr>
          <w:rFonts w:ascii="Arial" w:hAnsi="Arial" w:cs="Arial"/>
          <w:sz w:val="24"/>
          <w:szCs w:val="24"/>
        </w:rPr>
        <w:t xml:space="preserve"> por tanto</w:t>
      </w:r>
      <w:r>
        <w:rPr>
          <w:rFonts w:ascii="Arial" w:hAnsi="Arial" w:cs="Arial"/>
          <w:sz w:val="24"/>
          <w:szCs w:val="24"/>
        </w:rPr>
        <w:t xml:space="preserve"> </w:t>
      </w:r>
      <w:r w:rsidR="00E91B54" w:rsidRPr="004646BE">
        <w:rPr>
          <w:rFonts w:ascii="Arial" w:hAnsi="Arial" w:cs="Arial"/>
          <w:sz w:val="24"/>
          <w:szCs w:val="24"/>
        </w:rPr>
        <w:t>se realiza</w:t>
      </w:r>
      <w:r w:rsidR="00E91B54">
        <w:rPr>
          <w:rFonts w:ascii="Arial" w:hAnsi="Arial" w:cs="Arial"/>
          <w:sz w:val="24"/>
          <w:szCs w:val="24"/>
        </w:rPr>
        <w:t xml:space="preserve"> el pago incorrecto de los diversos quinquenios pagados a la a</w:t>
      </w:r>
      <w:r w:rsidR="006F05A1">
        <w:rPr>
          <w:rFonts w:ascii="Arial" w:hAnsi="Arial" w:cs="Arial"/>
          <w:sz w:val="24"/>
          <w:szCs w:val="24"/>
        </w:rPr>
        <w:t>dministrada</w:t>
      </w:r>
      <w:r w:rsidR="00E91B54">
        <w:rPr>
          <w:rFonts w:ascii="Arial" w:hAnsi="Arial" w:cs="Arial"/>
          <w:sz w:val="24"/>
          <w:szCs w:val="24"/>
        </w:rPr>
        <w:t>, como se desprende de los talones de pago que hacen prueba plena conforme al artículo 203, fracción I, de la Ley de Procedimiento y Justicia Administrativa para el Estado de Oaxaca, mermando con ello el derecho de obtener un salario decoroso, el cual debe ser respetado y garantizado por todas las autoridades</w:t>
      </w:r>
      <w:r w:rsidR="00024C8B">
        <w:rPr>
          <w:rFonts w:ascii="Arial" w:hAnsi="Arial" w:cs="Arial"/>
          <w:sz w:val="24"/>
          <w:szCs w:val="24"/>
        </w:rPr>
        <w:t>, y al no hacerlo así se trastocaron los preceptos constitucionales 1, 5 y 123 apartado B, de la Constitución Política de los Estados Unidos Mexicanos, relativas al salario de los trabajadores.</w:t>
      </w:r>
    </w:p>
    <w:p w14:paraId="0B5A52D1" w14:textId="77777777" w:rsidR="00024C8B" w:rsidRDefault="00024C8B" w:rsidP="003929EF">
      <w:pPr>
        <w:spacing w:line="360" w:lineRule="auto"/>
        <w:ind w:firstLine="708"/>
        <w:jc w:val="both"/>
        <w:rPr>
          <w:rFonts w:ascii="Arial" w:hAnsi="Arial" w:cs="Arial"/>
          <w:sz w:val="24"/>
          <w:szCs w:val="24"/>
        </w:rPr>
      </w:pPr>
    </w:p>
    <w:p w14:paraId="0692E919" w14:textId="77777777" w:rsidR="00024C8B" w:rsidRDefault="00024C8B" w:rsidP="003929EF">
      <w:pPr>
        <w:spacing w:line="360" w:lineRule="auto"/>
        <w:ind w:firstLine="708"/>
        <w:jc w:val="both"/>
        <w:rPr>
          <w:rFonts w:ascii="Arial" w:hAnsi="Arial" w:cs="Arial"/>
          <w:sz w:val="24"/>
          <w:szCs w:val="24"/>
        </w:rPr>
      </w:pPr>
      <w:r>
        <w:rPr>
          <w:rFonts w:ascii="Arial" w:hAnsi="Arial" w:cs="Arial"/>
          <w:sz w:val="24"/>
          <w:szCs w:val="24"/>
        </w:rPr>
        <w:t>A mayor abundamiento debe decirse que el párrafo tercero del artículo 1 de nuestra Carta Magna, obliga a todas las autoridades, en el ámbito de sus competencias, que tienen la obligación de promover, respetar, proteger y garantizar los derechos humanos con los principios de universalidad, interdependencia, indivisibilidad y progresividad. En consecuencia, el Estado deberá prevenir, investigar, sancionar y reparar las violaciones a los derechos humanos, en términos que establezca la ley.</w:t>
      </w:r>
    </w:p>
    <w:p w14:paraId="5700FF25" w14:textId="77777777" w:rsidR="00024C8B" w:rsidRDefault="00024C8B" w:rsidP="003929EF">
      <w:pPr>
        <w:spacing w:line="360" w:lineRule="auto"/>
        <w:ind w:firstLine="708"/>
        <w:jc w:val="both"/>
        <w:rPr>
          <w:rFonts w:ascii="Arial" w:hAnsi="Arial" w:cs="Arial"/>
          <w:sz w:val="24"/>
          <w:szCs w:val="24"/>
        </w:rPr>
      </w:pPr>
    </w:p>
    <w:p w14:paraId="00E93DAC" w14:textId="237EA801" w:rsidR="003B16E1" w:rsidRDefault="00024C8B" w:rsidP="003929EF">
      <w:pPr>
        <w:spacing w:line="360" w:lineRule="auto"/>
        <w:ind w:firstLine="708"/>
        <w:jc w:val="both"/>
        <w:rPr>
          <w:rFonts w:ascii="Arial" w:hAnsi="Arial" w:cs="Arial"/>
          <w:sz w:val="24"/>
          <w:szCs w:val="24"/>
        </w:rPr>
      </w:pPr>
      <w:r>
        <w:rPr>
          <w:rFonts w:ascii="Arial" w:hAnsi="Arial" w:cs="Arial"/>
          <w:sz w:val="24"/>
          <w:szCs w:val="24"/>
        </w:rPr>
        <w:t>Ante lo expuesto, y haciendo una interpretación conforme</w:t>
      </w:r>
      <w:r w:rsidR="00240F8A">
        <w:rPr>
          <w:rFonts w:ascii="Arial" w:hAnsi="Arial" w:cs="Arial"/>
          <w:sz w:val="24"/>
          <w:szCs w:val="24"/>
        </w:rPr>
        <w:t xml:space="preserve"> a</w:t>
      </w:r>
      <w:r>
        <w:rPr>
          <w:rFonts w:ascii="Arial" w:hAnsi="Arial" w:cs="Arial"/>
          <w:sz w:val="24"/>
          <w:szCs w:val="24"/>
        </w:rPr>
        <w:t xml:space="preserve"> </w:t>
      </w:r>
      <w:r w:rsidRPr="00065ED6">
        <w:rPr>
          <w:rFonts w:ascii="Arial" w:hAnsi="Arial" w:cs="Arial"/>
          <w:sz w:val="24"/>
          <w:szCs w:val="24"/>
        </w:rPr>
        <w:t>los</w:t>
      </w:r>
      <w:r>
        <w:rPr>
          <w:rFonts w:ascii="Arial" w:hAnsi="Arial" w:cs="Arial"/>
          <w:sz w:val="24"/>
          <w:szCs w:val="24"/>
        </w:rPr>
        <w:t xml:space="preserve"> derechos humanos reconocidos</w:t>
      </w:r>
      <w:r w:rsidR="00EB41F4">
        <w:rPr>
          <w:rFonts w:ascii="Arial" w:hAnsi="Arial" w:cs="Arial"/>
          <w:sz w:val="24"/>
          <w:szCs w:val="24"/>
        </w:rPr>
        <w:t xml:space="preserve"> </w:t>
      </w:r>
      <w:r>
        <w:rPr>
          <w:rFonts w:ascii="Arial" w:hAnsi="Arial" w:cs="Arial"/>
          <w:sz w:val="24"/>
          <w:szCs w:val="24"/>
        </w:rPr>
        <w:t xml:space="preserve">en la Constitución Política de los Estados Unidos Mexicanos y en los Tratados Internacionales mencionados, que favorecen en todo momento a las personas </w:t>
      </w:r>
      <w:r w:rsidR="00203F90">
        <w:rPr>
          <w:rFonts w:ascii="Arial" w:hAnsi="Arial" w:cs="Arial"/>
          <w:sz w:val="24"/>
          <w:szCs w:val="24"/>
        </w:rPr>
        <w:t xml:space="preserve">con la protección más amplia y prefiriendo aquella interpretación que la hace acorde con tales derechos, permiten establecer que es procedente realizar el </w:t>
      </w:r>
      <w:r w:rsidR="00203F90" w:rsidRPr="003F0EEB">
        <w:rPr>
          <w:rFonts w:ascii="Arial" w:hAnsi="Arial" w:cs="Arial"/>
          <w:sz w:val="24"/>
          <w:szCs w:val="24"/>
        </w:rPr>
        <w:t>pago de los quinquenios</w:t>
      </w:r>
      <w:r w:rsidR="00203F90">
        <w:rPr>
          <w:rFonts w:ascii="Arial" w:hAnsi="Arial" w:cs="Arial"/>
          <w:sz w:val="24"/>
          <w:szCs w:val="24"/>
        </w:rPr>
        <w:t xml:space="preserve"> </w:t>
      </w:r>
      <w:r w:rsidR="00240F8A">
        <w:rPr>
          <w:rFonts w:ascii="Arial" w:hAnsi="Arial" w:cs="Arial"/>
          <w:sz w:val="24"/>
          <w:szCs w:val="24"/>
        </w:rPr>
        <w:t>tercero</w:t>
      </w:r>
      <w:r w:rsidR="00065ED6">
        <w:rPr>
          <w:rFonts w:ascii="Arial" w:hAnsi="Arial" w:cs="Arial"/>
          <w:sz w:val="24"/>
          <w:szCs w:val="24"/>
        </w:rPr>
        <w:t>,</w:t>
      </w:r>
      <w:r w:rsidR="00240F8A">
        <w:rPr>
          <w:rFonts w:ascii="Arial" w:hAnsi="Arial" w:cs="Arial"/>
          <w:sz w:val="24"/>
          <w:szCs w:val="24"/>
        </w:rPr>
        <w:t xml:space="preserve"> cuarto</w:t>
      </w:r>
      <w:r w:rsidR="00065ED6">
        <w:rPr>
          <w:rFonts w:ascii="Arial" w:hAnsi="Arial" w:cs="Arial"/>
          <w:sz w:val="24"/>
          <w:szCs w:val="24"/>
        </w:rPr>
        <w:t xml:space="preserve"> y quinto</w:t>
      </w:r>
      <w:r w:rsidR="00240F8A">
        <w:rPr>
          <w:rFonts w:ascii="Arial" w:hAnsi="Arial" w:cs="Arial"/>
          <w:sz w:val="24"/>
          <w:szCs w:val="24"/>
        </w:rPr>
        <w:t xml:space="preserve"> </w:t>
      </w:r>
      <w:r w:rsidR="00203F90">
        <w:rPr>
          <w:rFonts w:ascii="Arial" w:hAnsi="Arial" w:cs="Arial"/>
          <w:sz w:val="24"/>
          <w:szCs w:val="24"/>
        </w:rPr>
        <w:t>que reclama la actora,</w:t>
      </w:r>
      <w:r w:rsidR="00065ED6">
        <w:rPr>
          <w:rFonts w:ascii="Arial" w:hAnsi="Arial" w:cs="Arial"/>
          <w:sz w:val="24"/>
          <w:szCs w:val="24"/>
        </w:rPr>
        <w:t xml:space="preserve"> ahora,</w:t>
      </w:r>
      <w:r w:rsidR="0059539A">
        <w:rPr>
          <w:rFonts w:ascii="Arial" w:hAnsi="Arial" w:cs="Arial"/>
          <w:sz w:val="24"/>
          <w:szCs w:val="24"/>
        </w:rPr>
        <w:t xml:space="preserve"> si bien es cierto que no obra en autos recibos de pago por concepto</w:t>
      </w:r>
      <w:r w:rsidR="00065ED6">
        <w:rPr>
          <w:rFonts w:ascii="Arial" w:hAnsi="Arial" w:cs="Arial"/>
          <w:sz w:val="24"/>
          <w:szCs w:val="24"/>
        </w:rPr>
        <w:t xml:space="preserve"> del quinto quinquenio</w:t>
      </w:r>
      <w:r w:rsidR="0059539A">
        <w:rPr>
          <w:rFonts w:ascii="Arial" w:hAnsi="Arial" w:cs="Arial"/>
          <w:sz w:val="24"/>
          <w:szCs w:val="24"/>
        </w:rPr>
        <w:t>,</w:t>
      </w:r>
      <w:r w:rsidR="00065ED6">
        <w:rPr>
          <w:rFonts w:ascii="Arial" w:hAnsi="Arial" w:cs="Arial"/>
          <w:sz w:val="24"/>
          <w:szCs w:val="24"/>
        </w:rPr>
        <w:t xml:space="preserve"> por contar la actora con</w:t>
      </w:r>
      <w:r w:rsidR="0059539A">
        <w:rPr>
          <w:rFonts w:ascii="Arial" w:hAnsi="Arial" w:cs="Arial"/>
          <w:sz w:val="24"/>
          <w:szCs w:val="24"/>
        </w:rPr>
        <w:t xml:space="preserve"> </w:t>
      </w:r>
      <w:r w:rsidR="003B4BEA">
        <w:rPr>
          <w:rFonts w:ascii="Arial" w:hAnsi="Arial" w:cs="Arial"/>
          <w:sz w:val="24"/>
          <w:szCs w:val="24"/>
        </w:rPr>
        <w:t>veinticuatro años de servicio</w:t>
      </w:r>
      <w:r w:rsidR="00482C7A">
        <w:rPr>
          <w:rFonts w:ascii="Arial" w:hAnsi="Arial" w:cs="Arial"/>
          <w:sz w:val="24"/>
          <w:szCs w:val="24"/>
        </w:rPr>
        <w:t xml:space="preserve"> al momento de promover el presente juicio de nulidad</w:t>
      </w:r>
      <w:r w:rsidR="003B4BEA">
        <w:rPr>
          <w:rFonts w:ascii="Arial" w:hAnsi="Arial" w:cs="Arial"/>
          <w:sz w:val="24"/>
          <w:szCs w:val="24"/>
        </w:rPr>
        <w:t>, también lo es que</w:t>
      </w:r>
      <w:r w:rsidR="00BF3825">
        <w:rPr>
          <w:rFonts w:ascii="Arial" w:hAnsi="Arial" w:cs="Arial"/>
          <w:sz w:val="24"/>
          <w:szCs w:val="24"/>
        </w:rPr>
        <w:t xml:space="preserve"> de autos se observa que</w:t>
      </w:r>
      <w:r w:rsidR="00482C7A">
        <w:rPr>
          <w:rFonts w:ascii="Arial" w:hAnsi="Arial" w:cs="Arial"/>
          <w:sz w:val="24"/>
          <w:szCs w:val="24"/>
        </w:rPr>
        <w:t xml:space="preserve"> durante</w:t>
      </w:r>
      <w:r w:rsidR="00C06DD5">
        <w:rPr>
          <w:rFonts w:ascii="Arial" w:hAnsi="Arial" w:cs="Arial"/>
          <w:sz w:val="24"/>
          <w:szCs w:val="24"/>
        </w:rPr>
        <w:t xml:space="preserve"> la tramitación del presente juicio de nulidad cumplió v</w:t>
      </w:r>
      <w:r w:rsidR="00BF3825">
        <w:rPr>
          <w:rFonts w:ascii="Arial" w:hAnsi="Arial" w:cs="Arial"/>
          <w:sz w:val="24"/>
          <w:szCs w:val="24"/>
        </w:rPr>
        <w:t>einticinco años de servicio</w:t>
      </w:r>
      <w:r w:rsidR="00065ED6">
        <w:rPr>
          <w:rFonts w:ascii="Arial" w:hAnsi="Arial" w:cs="Arial"/>
          <w:sz w:val="24"/>
          <w:szCs w:val="24"/>
        </w:rPr>
        <w:t xml:space="preserve">, por tanto es </w:t>
      </w:r>
      <w:r w:rsidR="00C06DD5">
        <w:rPr>
          <w:rFonts w:ascii="Arial" w:hAnsi="Arial" w:cs="Arial"/>
          <w:sz w:val="24"/>
          <w:szCs w:val="24"/>
        </w:rPr>
        <w:t>factible</w:t>
      </w:r>
      <w:r w:rsidR="00065ED6">
        <w:rPr>
          <w:rFonts w:ascii="Arial" w:hAnsi="Arial" w:cs="Arial"/>
          <w:sz w:val="24"/>
          <w:szCs w:val="24"/>
        </w:rPr>
        <w:t xml:space="preserve"> realizarle el citado pago</w:t>
      </w:r>
      <w:r w:rsidR="00240F8A">
        <w:rPr>
          <w:rFonts w:ascii="Arial" w:hAnsi="Arial" w:cs="Arial"/>
          <w:sz w:val="24"/>
          <w:szCs w:val="24"/>
        </w:rPr>
        <w:t xml:space="preserve">, </w:t>
      </w:r>
      <w:r w:rsidR="00203F90">
        <w:rPr>
          <w:rFonts w:ascii="Arial" w:hAnsi="Arial" w:cs="Arial"/>
          <w:sz w:val="24"/>
          <w:szCs w:val="24"/>
        </w:rPr>
        <w:t>debiendo efectuar la demandada la interpretación más favorable a la recurrente y atender a los montos descritos por el artículo 34 Bis de la Ley del Servicio Civil para los Empleados del Gobierno del Estado, así como efectuar los pagos correctos de las cantidades que</w:t>
      </w:r>
      <w:r w:rsidR="00E55485">
        <w:rPr>
          <w:rFonts w:ascii="Arial" w:hAnsi="Arial" w:cs="Arial"/>
          <w:sz w:val="24"/>
          <w:szCs w:val="24"/>
        </w:rPr>
        <w:t xml:space="preserve"> se</w:t>
      </w:r>
      <w:r w:rsidR="00203F90">
        <w:rPr>
          <w:rFonts w:ascii="Arial" w:hAnsi="Arial" w:cs="Arial"/>
          <w:sz w:val="24"/>
          <w:szCs w:val="24"/>
        </w:rPr>
        <w:t xml:space="preserve"> reclama</w:t>
      </w:r>
      <w:r w:rsidR="00E55485">
        <w:rPr>
          <w:rFonts w:ascii="Arial" w:hAnsi="Arial" w:cs="Arial"/>
          <w:sz w:val="24"/>
          <w:szCs w:val="24"/>
        </w:rPr>
        <w:t>n</w:t>
      </w:r>
      <w:r w:rsidR="00203F90">
        <w:rPr>
          <w:rFonts w:ascii="Arial" w:hAnsi="Arial" w:cs="Arial"/>
          <w:sz w:val="24"/>
          <w:szCs w:val="24"/>
        </w:rPr>
        <w:t>, por los años trabajados. Se toma como criterio orientador para estas consideraciones, la siguiente tesis</w:t>
      </w:r>
      <w:r w:rsidR="00B03C8F">
        <w:rPr>
          <w:rFonts w:ascii="Arial" w:hAnsi="Arial" w:cs="Arial"/>
          <w:sz w:val="24"/>
          <w:szCs w:val="24"/>
        </w:rPr>
        <w:t xml:space="preserve"> emitida por el Tribunal Colegiado en Materias del Trabajo y administrativa del Décimo Tercer Circuito, en la Décima Época del Semanario</w:t>
      </w:r>
      <w:r w:rsidR="003B16E1">
        <w:rPr>
          <w:rFonts w:ascii="Arial" w:hAnsi="Arial" w:cs="Arial"/>
          <w:sz w:val="24"/>
          <w:szCs w:val="24"/>
        </w:rPr>
        <w:t xml:space="preserve"> Judicial de la Federación y su Gaceta, Libro VIII, Mayo de 2012, Tomo 2, página 1856, con registro digital 2000768 de texto y rubro siguiente:</w:t>
      </w:r>
    </w:p>
    <w:p w14:paraId="1931D5B8" w14:textId="62F3B614" w:rsidR="003B16E1" w:rsidRDefault="003B16E1" w:rsidP="003929EF">
      <w:pPr>
        <w:spacing w:line="360" w:lineRule="auto"/>
        <w:ind w:firstLine="708"/>
        <w:jc w:val="both"/>
        <w:rPr>
          <w:rFonts w:ascii="Arial" w:hAnsi="Arial" w:cs="Arial"/>
          <w:sz w:val="24"/>
          <w:szCs w:val="24"/>
        </w:rPr>
      </w:pPr>
    </w:p>
    <w:p w14:paraId="4AACFEA6" w14:textId="03A8ECBA" w:rsidR="003B16E1" w:rsidRPr="003B16E1" w:rsidRDefault="003B16E1" w:rsidP="003B16E1">
      <w:pPr>
        <w:pStyle w:val="NormalWeb"/>
        <w:spacing w:before="0" w:beforeAutospacing="0" w:after="0" w:afterAutospacing="0" w:line="375" w:lineRule="atLeast"/>
        <w:jc w:val="both"/>
        <w:rPr>
          <w:rFonts w:ascii="Arial" w:hAnsi="Arial" w:cs="Arial"/>
          <w:color w:val="212529"/>
        </w:rPr>
      </w:pPr>
      <w:r w:rsidRPr="003B16E1">
        <w:rPr>
          <w:rFonts w:ascii="Arial" w:hAnsi="Arial" w:cs="Arial"/>
          <w:b/>
          <w:bCs/>
          <w:i/>
          <w:iCs/>
          <w:color w:val="212529"/>
        </w:rPr>
        <w:t>“DERECHO A LA DIGNIDAD HUMANA. SE VULNERA SI EN LA CUANTIFICACIÓN DE QUINQUENIOS A FAVOR DE UN EMPLEADO AL SERVICIO DEL GOBIERNO DEL ESTADO DE OAXACA SE APLICA LA CONVERSIÓN CONTENIDA EN EL DECRETO PUBLICADO EN EL DIARIO OFICIAL DE LA FEDERACIÓN EL 22 DE JUNIO DE 1992, POR EL QUE SE CREÓ LA NUEVA UNIDAD DEL SISTEMA MONETARIO NACIONAL.</w:t>
      </w:r>
      <w:r w:rsidR="00F71FDE">
        <w:rPr>
          <w:rFonts w:ascii="Arial" w:hAnsi="Arial" w:cs="Arial"/>
          <w:b/>
          <w:bCs/>
          <w:i/>
          <w:iCs/>
          <w:color w:val="212529"/>
        </w:rPr>
        <w:t xml:space="preserve"> </w:t>
      </w:r>
      <w:r w:rsidRPr="003B16E1">
        <w:rPr>
          <w:rFonts w:ascii="Arial" w:hAnsi="Arial" w:cs="Arial"/>
          <w:i/>
          <w:iCs/>
          <w:color w:val="212529"/>
        </w:rPr>
        <w:t xml:space="preserve">Si la autoridad laboral, al cuantificar una condena relativa al pago de quinquenios a favor de un empleado al servicio del Estado de Oaxaca, aplica la conversión contenida en el decreto publicado en el Diario Oficial de la Federación el 22 de junio de 1992, ello resulta incompatible con el derecho a la protección a la dignidad humana previsto en el artículo </w:t>
      </w:r>
      <w:hyperlink r:id="rId9" w:history="1">
        <w:r w:rsidRPr="003B16E1">
          <w:rPr>
            <w:rStyle w:val="Hipervnculo"/>
            <w:rFonts w:ascii="Arial" w:hAnsi="Arial" w:cs="Arial"/>
            <w:i/>
            <w:iCs/>
            <w:color w:val="auto"/>
            <w:u w:val="none"/>
          </w:rPr>
          <w:t>11.1 de la Convención Americana sobre Derechos Humanos</w:t>
        </w:r>
      </w:hyperlink>
      <w:r w:rsidRPr="003B16E1">
        <w:rPr>
          <w:rFonts w:ascii="Arial" w:hAnsi="Arial" w:cs="Arial"/>
          <w:i/>
          <w:iCs/>
          <w:color w:val="212529"/>
        </w:rPr>
        <w:t xml:space="preserve">, debido a que la cantidad irrisoria obtenida de tal conversión tiene un minúsculo valor adquisitivo y no estimula la permanencia en el empleo, que es la finalidad que persiguen tales quinquenios; de ahí que la Junta debió actualizar automáticamente tal monto, precisamente por ser la interpretación más favorable a ese derecho humano, la cual está autorizada por el artículo </w:t>
      </w:r>
      <w:hyperlink r:id="rId10" w:history="1">
        <w:r w:rsidRPr="003B16E1">
          <w:rPr>
            <w:rStyle w:val="Hipervnculo"/>
            <w:rFonts w:ascii="Arial" w:hAnsi="Arial" w:cs="Arial"/>
            <w:i/>
            <w:iCs/>
            <w:color w:val="auto"/>
            <w:u w:val="none"/>
          </w:rPr>
          <w:t>1o., párrafo segundo de la Constitución Política de los Estados Unidos Mexicanos</w:t>
        </w:r>
      </w:hyperlink>
      <w:r w:rsidRPr="003B16E1">
        <w:rPr>
          <w:rFonts w:ascii="Arial" w:hAnsi="Arial" w:cs="Arial"/>
          <w:i/>
          <w:iCs/>
          <w:color w:val="212529"/>
        </w:rPr>
        <w:t>.</w:t>
      </w:r>
      <w:r>
        <w:rPr>
          <w:rFonts w:ascii="Arial" w:hAnsi="Arial" w:cs="Arial"/>
          <w:i/>
          <w:iCs/>
          <w:color w:val="212529"/>
        </w:rPr>
        <w:t>”</w:t>
      </w:r>
    </w:p>
    <w:p w14:paraId="3A9D0019" w14:textId="77777777" w:rsidR="003B16E1" w:rsidRDefault="003B16E1" w:rsidP="003929EF">
      <w:pPr>
        <w:spacing w:line="360" w:lineRule="auto"/>
        <w:ind w:firstLine="708"/>
        <w:jc w:val="both"/>
        <w:rPr>
          <w:rFonts w:ascii="Arial" w:hAnsi="Arial" w:cs="Arial"/>
          <w:sz w:val="24"/>
          <w:szCs w:val="24"/>
        </w:rPr>
      </w:pPr>
    </w:p>
    <w:p w14:paraId="282EB140" w14:textId="015C2CAD" w:rsidR="00AF34AE" w:rsidRDefault="003B16E1" w:rsidP="003929EF">
      <w:pPr>
        <w:spacing w:line="360" w:lineRule="auto"/>
        <w:ind w:firstLine="708"/>
        <w:jc w:val="both"/>
        <w:rPr>
          <w:rFonts w:ascii="Arial" w:hAnsi="Arial" w:cs="Arial"/>
          <w:sz w:val="24"/>
          <w:szCs w:val="24"/>
        </w:rPr>
      </w:pPr>
      <w:r>
        <w:rPr>
          <w:rFonts w:ascii="Arial" w:hAnsi="Arial" w:cs="Arial"/>
          <w:sz w:val="24"/>
          <w:szCs w:val="24"/>
        </w:rPr>
        <w:t xml:space="preserve"> </w:t>
      </w:r>
      <w:r w:rsidR="00C50BCA">
        <w:rPr>
          <w:rFonts w:ascii="Arial" w:hAnsi="Arial" w:cs="Arial"/>
          <w:sz w:val="24"/>
          <w:szCs w:val="24"/>
        </w:rPr>
        <w:t>En ese mismo contexto, se precisa que al pertenecer laboralmente la actora a la Fiscalía General del Estado de Oaxaca es importante complementar lo anteriormente expuesto verificando el artículo séptimo Transitorio de la Ley orgánica de la Fiscalía General del Estado de Oaxaca, publicada</w:t>
      </w:r>
      <w:r w:rsidR="00AF34AE">
        <w:rPr>
          <w:rFonts w:ascii="Arial" w:hAnsi="Arial" w:cs="Arial"/>
          <w:sz w:val="24"/>
          <w:szCs w:val="24"/>
        </w:rPr>
        <w:t xml:space="preserve"> en el Extra del Periódico Oficial del Gobierno del Estado de Oaxaca el seis de octubre de dos mil quince, establece lo siguiente</w:t>
      </w:r>
      <w:r w:rsidR="00A36DE4">
        <w:rPr>
          <w:rFonts w:ascii="Arial" w:hAnsi="Arial" w:cs="Arial"/>
          <w:sz w:val="24"/>
          <w:szCs w:val="24"/>
        </w:rPr>
        <w:t>:</w:t>
      </w:r>
      <w:r w:rsidR="00AF34AE">
        <w:rPr>
          <w:rFonts w:ascii="Arial" w:hAnsi="Arial" w:cs="Arial"/>
          <w:sz w:val="24"/>
          <w:szCs w:val="24"/>
        </w:rPr>
        <w:t xml:space="preserve"> </w:t>
      </w:r>
    </w:p>
    <w:p w14:paraId="420887B7" w14:textId="489E4303" w:rsidR="00AF34AE" w:rsidRPr="009B6617" w:rsidRDefault="00AF34AE" w:rsidP="00811661">
      <w:pPr>
        <w:spacing w:line="360" w:lineRule="auto"/>
        <w:ind w:firstLine="708"/>
        <w:jc w:val="both"/>
        <w:rPr>
          <w:rFonts w:ascii="Arial" w:hAnsi="Arial" w:cs="Arial"/>
          <w:i/>
          <w:iCs/>
          <w:sz w:val="24"/>
          <w:szCs w:val="24"/>
        </w:rPr>
      </w:pPr>
      <w:r w:rsidRPr="009B6617">
        <w:rPr>
          <w:rFonts w:ascii="Arial" w:hAnsi="Arial" w:cs="Arial"/>
          <w:i/>
          <w:iCs/>
          <w:sz w:val="24"/>
          <w:szCs w:val="24"/>
        </w:rPr>
        <w:t>“</w:t>
      </w:r>
      <w:r w:rsidR="00811661" w:rsidRPr="009B6617">
        <w:rPr>
          <w:rFonts w:ascii="Arial" w:hAnsi="Arial" w:cs="Arial"/>
          <w:i/>
          <w:iCs/>
          <w:sz w:val="24"/>
          <w:szCs w:val="24"/>
        </w:rPr>
        <w:t>SÉPTIMO. Para efectos del otorgamiento operativo de la autonomía constitucional de la Fiscalía General, esta Institución celebrará convenios con las secretarías de Administración, de Finanzas, de Contraloría y Transparencia Gubernamental, así como con las demás instancias competentes, para que dentro del plazo de tres años a partir de la entrada en vigor del presente Decreto, se puedan generar los mecanismos necesarios para que la Fiscalía General pueda implementar su autonomía constitucional administrando sus recursos humanos, materiales, su patrimonio y presupuesto, su Fondo de Procuración de Justicia, la adquisición, arrendamiento y contratación de manera independiente de bienes y servicios, así como de obra pública, entre otras acciones inherentes a su autonomía.</w:t>
      </w:r>
      <w:r w:rsidR="009B6617" w:rsidRPr="009B6617">
        <w:rPr>
          <w:rFonts w:ascii="Arial" w:hAnsi="Arial" w:cs="Arial"/>
          <w:i/>
          <w:iCs/>
          <w:sz w:val="24"/>
          <w:szCs w:val="24"/>
        </w:rPr>
        <w:t>”</w:t>
      </w:r>
    </w:p>
    <w:p w14:paraId="74066841" w14:textId="5D85EE23" w:rsidR="00E023D1" w:rsidRDefault="00AF34AE" w:rsidP="003929EF">
      <w:pPr>
        <w:spacing w:line="360" w:lineRule="auto"/>
        <w:ind w:firstLine="708"/>
        <w:jc w:val="both"/>
        <w:rPr>
          <w:rFonts w:ascii="Arial" w:hAnsi="Arial" w:cs="Arial"/>
          <w:sz w:val="24"/>
          <w:szCs w:val="24"/>
        </w:rPr>
      </w:pPr>
      <w:r>
        <w:rPr>
          <w:rFonts w:ascii="Arial" w:hAnsi="Arial" w:cs="Arial"/>
          <w:sz w:val="24"/>
          <w:szCs w:val="24"/>
        </w:rPr>
        <w:t xml:space="preserve">Por lo que, conforme al artículo Séptimo Transitorio de la Ley Orgánica  de la Fiscalía General del Estado de Oaxaca </w:t>
      </w:r>
      <w:r w:rsidRPr="00482C7A">
        <w:rPr>
          <w:rFonts w:ascii="Arial" w:hAnsi="Arial" w:cs="Arial"/>
          <w:sz w:val="24"/>
          <w:szCs w:val="24"/>
        </w:rPr>
        <w:t>publicada en el Extra del Periódico Oficial del Gobierno del Estado el seis de octubre de dos mil quince</w:t>
      </w:r>
      <w:r>
        <w:rPr>
          <w:rFonts w:ascii="Arial" w:hAnsi="Arial" w:cs="Arial"/>
          <w:sz w:val="24"/>
          <w:szCs w:val="24"/>
        </w:rPr>
        <w:t>; se desprende que</w:t>
      </w:r>
      <w:r w:rsidR="0053153F">
        <w:rPr>
          <w:rFonts w:ascii="Arial" w:hAnsi="Arial" w:cs="Arial"/>
          <w:sz w:val="24"/>
          <w:szCs w:val="24"/>
        </w:rPr>
        <w:t xml:space="preserve">, para efectos del otorgamiento </w:t>
      </w:r>
      <w:r w:rsidR="002D5E56">
        <w:rPr>
          <w:rFonts w:ascii="Arial" w:hAnsi="Arial" w:cs="Arial"/>
          <w:sz w:val="24"/>
          <w:szCs w:val="24"/>
        </w:rPr>
        <w:t>operativo de la Autonomía Constitucional de la Fiscalía General, esa institución celebraría convenios con las Secretarías de Administración, de finanzas, de contraloría y Transparencia Gubernamental, para que dentro del plazo de tres años a partir de la entrada en vigor de ese Decreto, se puedan generar los mecanismos necesarios para</w:t>
      </w:r>
      <w:r w:rsidR="005C08A1">
        <w:rPr>
          <w:rFonts w:ascii="Arial" w:hAnsi="Arial" w:cs="Arial"/>
          <w:sz w:val="24"/>
          <w:szCs w:val="24"/>
        </w:rPr>
        <w:t xml:space="preserve"> que</w:t>
      </w:r>
      <w:r w:rsidR="002D5E56">
        <w:rPr>
          <w:rFonts w:ascii="Arial" w:hAnsi="Arial" w:cs="Arial"/>
          <w:sz w:val="24"/>
          <w:szCs w:val="24"/>
        </w:rPr>
        <w:t xml:space="preserve"> la Fiscalía General pueda implementar su autonomía, administrando sus recursos humanos, materiales, su patrimonio y presupuesto, su fondo de procuración de justicia, la adquisición, arrendamiento y contratación de manera independiente de </w:t>
      </w:r>
      <w:r w:rsidR="009B6617">
        <w:rPr>
          <w:rFonts w:ascii="Arial" w:hAnsi="Arial" w:cs="Arial"/>
          <w:sz w:val="24"/>
          <w:szCs w:val="24"/>
        </w:rPr>
        <w:t>b</w:t>
      </w:r>
      <w:r w:rsidR="002D5E56">
        <w:rPr>
          <w:rFonts w:ascii="Arial" w:hAnsi="Arial" w:cs="Arial"/>
          <w:sz w:val="24"/>
          <w:szCs w:val="24"/>
        </w:rPr>
        <w:t>ienes y servicios, así como de obra pública, entre otras acciones inherentes a su autonomía, es decir, a partir del mes de octubre de dos mil dieciocho</w:t>
      </w:r>
      <w:r w:rsidR="00EA3DC5">
        <w:rPr>
          <w:rFonts w:ascii="Arial" w:hAnsi="Arial" w:cs="Arial"/>
          <w:sz w:val="24"/>
          <w:szCs w:val="24"/>
        </w:rPr>
        <w:t xml:space="preserve"> la Fiscalía General del Estado sería materialmente autónoma, por lo tanto, se infiere que antes del mes de </w:t>
      </w:r>
      <w:r w:rsidR="00EA3DC5" w:rsidRPr="00482C7A">
        <w:rPr>
          <w:rFonts w:ascii="Arial" w:hAnsi="Arial" w:cs="Arial"/>
          <w:sz w:val="24"/>
          <w:szCs w:val="24"/>
        </w:rPr>
        <w:t>septiembre de dos mil dieciocho</w:t>
      </w:r>
      <w:r w:rsidR="00EA3DC5">
        <w:rPr>
          <w:rFonts w:ascii="Arial" w:hAnsi="Arial" w:cs="Arial"/>
          <w:sz w:val="24"/>
          <w:szCs w:val="24"/>
        </w:rPr>
        <w:t>, la Fiscalía General, antes denominada Procuraduría General de Justicia del Estado de Oaxaca, pertenecía al Poder Ejecutivo del Estado de Oaxaca, con los derechos y obligaciones que ello implica.</w:t>
      </w:r>
    </w:p>
    <w:p w14:paraId="760D900D" w14:textId="77777777" w:rsidR="00A36DE4" w:rsidRDefault="00A36DE4" w:rsidP="003929EF">
      <w:pPr>
        <w:spacing w:line="360" w:lineRule="auto"/>
        <w:ind w:firstLine="708"/>
        <w:jc w:val="both"/>
        <w:rPr>
          <w:rFonts w:ascii="Arial" w:hAnsi="Arial" w:cs="Arial"/>
          <w:sz w:val="24"/>
          <w:szCs w:val="24"/>
        </w:rPr>
      </w:pPr>
    </w:p>
    <w:p w14:paraId="2D0EB6C0" w14:textId="4D2926B8" w:rsidR="00691905" w:rsidRDefault="008229C7" w:rsidP="003929EF">
      <w:pPr>
        <w:spacing w:line="360" w:lineRule="auto"/>
        <w:ind w:firstLine="708"/>
        <w:jc w:val="both"/>
        <w:rPr>
          <w:rFonts w:ascii="Arial" w:hAnsi="Arial" w:cs="Arial"/>
          <w:sz w:val="24"/>
          <w:szCs w:val="24"/>
        </w:rPr>
      </w:pPr>
      <w:r>
        <w:rPr>
          <w:rFonts w:ascii="Arial" w:hAnsi="Arial" w:cs="Arial"/>
          <w:sz w:val="24"/>
          <w:szCs w:val="24"/>
        </w:rPr>
        <w:t>Ahora bien</w:t>
      </w:r>
      <w:r w:rsidR="00E023D1">
        <w:rPr>
          <w:rFonts w:ascii="Arial" w:hAnsi="Arial" w:cs="Arial"/>
          <w:sz w:val="24"/>
          <w:szCs w:val="24"/>
        </w:rPr>
        <w:t xml:space="preserve">, conforme a lo establecido en el artículo </w:t>
      </w:r>
      <w:r w:rsidR="00E023D1" w:rsidRPr="009435B6">
        <w:rPr>
          <w:rFonts w:ascii="Arial" w:hAnsi="Arial" w:cs="Arial"/>
          <w:sz w:val="24"/>
          <w:szCs w:val="24"/>
        </w:rPr>
        <w:t>19 del Reglamento</w:t>
      </w:r>
      <w:r w:rsidR="00E023D1">
        <w:rPr>
          <w:rFonts w:ascii="Arial" w:hAnsi="Arial" w:cs="Arial"/>
          <w:sz w:val="24"/>
          <w:szCs w:val="24"/>
        </w:rPr>
        <w:t xml:space="preserve"> Interno de la Secretaría de Administración del Poder Ejecutivo del Gobierno de Oaxaca, publicado en el periódico Oficial del Gobierno</w:t>
      </w:r>
      <w:r w:rsidR="007F1C5A">
        <w:rPr>
          <w:rFonts w:ascii="Arial" w:hAnsi="Arial" w:cs="Arial"/>
          <w:sz w:val="24"/>
          <w:szCs w:val="24"/>
        </w:rPr>
        <w:t xml:space="preserve"> del Estado </w:t>
      </w:r>
      <w:r w:rsidR="007F1C5A" w:rsidRPr="009435B6">
        <w:rPr>
          <w:rFonts w:ascii="Arial" w:hAnsi="Arial" w:cs="Arial"/>
          <w:sz w:val="24"/>
          <w:szCs w:val="24"/>
        </w:rPr>
        <w:t xml:space="preserve">el trece de </w:t>
      </w:r>
      <w:r w:rsidR="0012511D">
        <w:rPr>
          <w:rFonts w:ascii="Arial" w:hAnsi="Arial" w:cs="Arial"/>
          <w:sz w:val="24"/>
          <w:szCs w:val="24"/>
        </w:rPr>
        <w:t>diciembre</w:t>
      </w:r>
      <w:r w:rsidR="007F1C5A">
        <w:rPr>
          <w:rFonts w:ascii="Arial" w:hAnsi="Arial" w:cs="Arial"/>
          <w:sz w:val="24"/>
          <w:szCs w:val="24"/>
        </w:rPr>
        <w:t xml:space="preserve"> de dos mil catorce, es decir, vigente antes del decreto publicado en el Periódico Oficial del Gobierno del Estado el seis de octubre de dos mil quince, mediante el cual se publicó la Ley Orgánica de la Fiscalía General del Estado de Oaxaca, se advierte que en la fracción XIII y XVI del citado precepto legal, se especifican las atribuciones de la Dirección de Recursos Humanos de la Secretaría de Administración del Poder Ejecutivo del Gobierno del Estado, para vigilar el catálogo y manual de puesto, tabulador de sueldos, salarios y prestaciones de los trabajadores del Ejecutivo Estatal, así como administrar los recursos correspondientes</w:t>
      </w:r>
      <w:r w:rsidR="00F129A0">
        <w:rPr>
          <w:rFonts w:ascii="Arial" w:hAnsi="Arial" w:cs="Arial"/>
          <w:sz w:val="24"/>
          <w:szCs w:val="24"/>
        </w:rPr>
        <w:t xml:space="preserve"> a los sueldos y salarios, por lo tanto, al acreditarse que no se le pagó</w:t>
      </w:r>
      <w:r>
        <w:rPr>
          <w:rFonts w:ascii="Arial" w:hAnsi="Arial" w:cs="Arial"/>
          <w:sz w:val="24"/>
          <w:szCs w:val="24"/>
        </w:rPr>
        <w:t xml:space="preserve"> a la actora</w:t>
      </w:r>
      <w:r w:rsidR="00EC1FE7">
        <w:rPr>
          <w:rFonts w:ascii="Arial" w:hAnsi="Arial" w:cs="Arial"/>
          <w:sz w:val="24"/>
          <w:szCs w:val="24"/>
        </w:rPr>
        <w:t xml:space="preserve"> de forma correcta su prestación del </w:t>
      </w:r>
      <w:r w:rsidR="00EC1FE7" w:rsidRPr="0012511D">
        <w:rPr>
          <w:rFonts w:ascii="Arial" w:hAnsi="Arial" w:cs="Arial"/>
          <w:sz w:val="24"/>
          <w:szCs w:val="24"/>
        </w:rPr>
        <w:t>tercero</w:t>
      </w:r>
      <w:r w:rsidR="0012511D">
        <w:rPr>
          <w:rFonts w:ascii="Arial" w:hAnsi="Arial" w:cs="Arial"/>
          <w:sz w:val="24"/>
          <w:szCs w:val="24"/>
        </w:rPr>
        <w:t>,</w:t>
      </w:r>
      <w:r w:rsidR="004D1EE1">
        <w:rPr>
          <w:rFonts w:ascii="Arial" w:hAnsi="Arial" w:cs="Arial"/>
          <w:sz w:val="24"/>
          <w:szCs w:val="24"/>
        </w:rPr>
        <w:t xml:space="preserve"> cuarto y q</w:t>
      </w:r>
      <w:r w:rsidR="004D1EE1" w:rsidRPr="0012511D">
        <w:rPr>
          <w:rFonts w:ascii="Arial" w:hAnsi="Arial" w:cs="Arial"/>
          <w:sz w:val="24"/>
          <w:szCs w:val="24"/>
        </w:rPr>
        <w:t>uinto</w:t>
      </w:r>
      <w:r w:rsidR="004D1EE1">
        <w:rPr>
          <w:rFonts w:ascii="Arial" w:hAnsi="Arial" w:cs="Arial"/>
          <w:sz w:val="24"/>
          <w:szCs w:val="24"/>
        </w:rPr>
        <w:t xml:space="preserve"> </w:t>
      </w:r>
      <w:r w:rsidR="00EC1FE7">
        <w:rPr>
          <w:rFonts w:ascii="Arial" w:hAnsi="Arial" w:cs="Arial"/>
          <w:sz w:val="24"/>
          <w:szCs w:val="24"/>
        </w:rPr>
        <w:t>Quinquenio, dicha omisión es atribuible</w:t>
      </w:r>
      <w:r w:rsidR="00022216">
        <w:rPr>
          <w:rFonts w:ascii="Arial" w:hAnsi="Arial" w:cs="Arial"/>
          <w:sz w:val="24"/>
          <w:szCs w:val="24"/>
        </w:rPr>
        <w:t xml:space="preserve"> por una parte</w:t>
      </w:r>
      <w:r w:rsidR="00EC1FE7">
        <w:rPr>
          <w:rFonts w:ascii="Arial" w:hAnsi="Arial" w:cs="Arial"/>
          <w:sz w:val="24"/>
          <w:szCs w:val="24"/>
        </w:rPr>
        <w:t xml:space="preserve"> a la </w:t>
      </w:r>
      <w:r w:rsidR="00EC1FE7" w:rsidRPr="0012511D">
        <w:rPr>
          <w:rFonts w:ascii="Arial" w:hAnsi="Arial" w:cs="Arial"/>
          <w:sz w:val="24"/>
          <w:szCs w:val="24"/>
        </w:rPr>
        <w:t>citada Secretaría de</w:t>
      </w:r>
      <w:r w:rsidR="00EC1FE7">
        <w:rPr>
          <w:rFonts w:ascii="Arial" w:hAnsi="Arial" w:cs="Arial"/>
          <w:sz w:val="24"/>
          <w:szCs w:val="24"/>
        </w:rPr>
        <w:t xml:space="preserve"> Administración</w:t>
      </w:r>
      <w:r w:rsidR="00022216">
        <w:rPr>
          <w:rFonts w:ascii="Arial" w:hAnsi="Arial" w:cs="Arial"/>
          <w:sz w:val="24"/>
          <w:szCs w:val="24"/>
        </w:rPr>
        <w:t xml:space="preserve"> y por otra a la Fiscalía General del Estado de Oaxaca</w:t>
      </w:r>
      <w:r w:rsidR="00EC1FE7">
        <w:rPr>
          <w:rFonts w:ascii="Arial" w:hAnsi="Arial" w:cs="Arial"/>
          <w:sz w:val="24"/>
          <w:szCs w:val="24"/>
        </w:rPr>
        <w:t xml:space="preserve">, dado que, desde que ingresó a laborar </w:t>
      </w:r>
      <w:r w:rsidR="00EC41EF">
        <w:rPr>
          <w:rFonts w:cs="Arial"/>
          <w:b/>
          <w:sz w:val="24"/>
          <w:szCs w:val="24"/>
        </w:rPr>
        <w:t>**********</w:t>
      </w:r>
      <w:r w:rsidR="00EC41EF">
        <w:rPr>
          <w:rFonts w:cs="Arial"/>
          <w:b/>
          <w:sz w:val="24"/>
          <w:szCs w:val="24"/>
        </w:rPr>
        <w:t xml:space="preserve"> </w:t>
      </w:r>
      <w:r w:rsidR="00EC1FE7">
        <w:rPr>
          <w:rFonts w:ascii="Arial" w:hAnsi="Arial" w:cs="Arial"/>
          <w:sz w:val="24"/>
          <w:szCs w:val="24"/>
        </w:rPr>
        <w:t xml:space="preserve">en el año </w:t>
      </w:r>
      <w:r w:rsidR="008C51C5">
        <w:rPr>
          <w:rFonts w:ascii="Arial" w:hAnsi="Arial" w:cs="Arial"/>
          <w:sz w:val="24"/>
          <w:szCs w:val="24"/>
        </w:rPr>
        <w:t>1996</w:t>
      </w:r>
      <w:r w:rsidR="00942A6E">
        <w:rPr>
          <w:rFonts w:ascii="Arial" w:hAnsi="Arial" w:cs="Arial"/>
          <w:sz w:val="24"/>
          <w:szCs w:val="24"/>
        </w:rPr>
        <w:t xml:space="preserve">, </w:t>
      </w:r>
      <w:r w:rsidR="00811661">
        <w:rPr>
          <w:rFonts w:ascii="Arial" w:hAnsi="Arial" w:cs="Arial"/>
          <w:sz w:val="24"/>
          <w:szCs w:val="24"/>
        </w:rPr>
        <w:t>fecha</w:t>
      </w:r>
      <w:r w:rsidR="00942A6E">
        <w:rPr>
          <w:rFonts w:ascii="Arial" w:hAnsi="Arial" w:cs="Arial"/>
          <w:sz w:val="24"/>
          <w:szCs w:val="24"/>
        </w:rPr>
        <w:t xml:space="preserve"> </w:t>
      </w:r>
      <w:r w:rsidR="00811661">
        <w:rPr>
          <w:rFonts w:ascii="Arial" w:hAnsi="Arial" w:cs="Arial"/>
          <w:sz w:val="24"/>
          <w:szCs w:val="24"/>
        </w:rPr>
        <w:t>e</w:t>
      </w:r>
      <w:r w:rsidR="00942A6E">
        <w:rPr>
          <w:rFonts w:ascii="Arial" w:hAnsi="Arial" w:cs="Arial"/>
          <w:sz w:val="24"/>
          <w:szCs w:val="24"/>
        </w:rPr>
        <w:t>n que la Procuraduría General de Justicia del Estado de Oaxaca pertenecía al Poder Ejecutivo del Estado de Oaxaca, como lo establecía</w:t>
      </w:r>
      <w:r w:rsidR="00691905">
        <w:rPr>
          <w:rFonts w:ascii="Arial" w:hAnsi="Arial" w:cs="Arial"/>
          <w:sz w:val="24"/>
          <w:szCs w:val="24"/>
        </w:rPr>
        <w:t xml:space="preserve"> el segundo párrafo del artículo 1º de la abrogada Ley Orgánica de la Procuraduría General de Justicia del Estado de Oaxaca.</w:t>
      </w:r>
    </w:p>
    <w:p w14:paraId="1CBB0E33" w14:textId="5698FDB6" w:rsidR="00562BF4" w:rsidRDefault="00691905" w:rsidP="003929EF">
      <w:pPr>
        <w:spacing w:line="360" w:lineRule="auto"/>
        <w:ind w:firstLine="708"/>
        <w:jc w:val="both"/>
        <w:rPr>
          <w:rFonts w:ascii="Arial" w:hAnsi="Arial" w:cs="Arial"/>
          <w:sz w:val="24"/>
          <w:szCs w:val="24"/>
        </w:rPr>
      </w:pPr>
      <w:r>
        <w:rPr>
          <w:rFonts w:ascii="Arial" w:hAnsi="Arial" w:cs="Arial"/>
          <w:sz w:val="24"/>
          <w:szCs w:val="24"/>
        </w:rPr>
        <w:t>Ante lo expuesto</w:t>
      </w:r>
      <w:r w:rsidR="00A37545">
        <w:rPr>
          <w:rFonts w:ascii="Arial" w:hAnsi="Arial" w:cs="Arial"/>
          <w:sz w:val="24"/>
          <w:szCs w:val="24"/>
        </w:rPr>
        <w:t>,</w:t>
      </w:r>
      <w:r>
        <w:rPr>
          <w:rFonts w:ascii="Arial" w:hAnsi="Arial" w:cs="Arial"/>
          <w:sz w:val="24"/>
          <w:szCs w:val="24"/>
        </w:rPr>
        <w:t xml:space="preserve"> esta </w:t>
      </w:r>
      <w:r w:rsidR="00A37545">
        <w:rPr>
          <w:rFonts w:ascii="Arial" w:hAnsi="Arial" w:cs="Arial"/>
          <w:sz w:val="24"/>
          <w:szCs w:val="24"/>
        </w:rPr>
        <w:t>juzgadora</w:t>
      </w:r>
      <w:r>
        <w:rPr>
          <w:rFonts w:ascii="Arial" w:hAnsi="Arial" w:cs="Arial"/>
          <w:sz w:val="24"/>
          <w:szCs w:val="24"/>
        </w:rPr>
        <w:t xml:space="preserve"> considera que el acto impugnado en este juicio no cumple con la debida fundamentación </w:t>
      </w:r>
      <w:r w:rsidR="00F53080">
        <w:rPr>
          <w:rFonts w:ascii="Arial" w:hAnsi="Arial" w:cs="Arial"/>
          <w:sz w:val="24"/>
          <w:szCs w:val="24"/>
        </w:rPr>
        <w:t>ni</w:t>
      </w:r>
      <w:r>
        <w:rPr>
          <w:rFonts w:ascii="Arial" w:hAnsi="Arial" w:cs="Arial"/>
          <w:sz w:val="24"/>
          <w:szCs w:val="24"/>
        </w:rPr>
        <w:t xml:space="preserve"> motivación, de conformidad con el artículo 17, fracción V de la Ley de Procedimiento y Justicia Administrativa para el Estado de Oaxaca, consecuentemente, con fundamento en los artículos</w:t>
      </w:r>
      <w:r w:rsidR="002E7FDD">
        <w:rPr>
          <w:rFonts w:ascii="Arial" w:hAnsi="Arial" w:cs="Arial"/>
          <w:sz w:val="24"/>
          <w:szCs w:val="24"/>
        </w:rPr>
        <w:t xml:space="preserve"> 207,</w:t>
      </w:r>
      <w:r>
        <w:rPr>
          <w:rFonts w:ascii="Arial" w:hAnsi="Arial" w:cs="Arial"/>
          <w:sz w:val="24"/>
          <w:szCs w:val="24"/>
        </w:rPr>
        <w:t xml:space="preserve"> 208, fracciones II y VI, y </w:t>
      </w:r>
      <w:r w:rsidRPr="002E7FDD">
        <w:rPr>
          <w:rFonts w:ascii="Arial" w:hAnsi="Arial" w:cs="Arial"/>
          <w:sz w:val="24"/>
          <w:szCs w:val="24"/>
        </w:rPr>
        <w:t>209 de la</w:t>
      </w:r>
      <w:r>
        <w:rPr>
          <w:rFonts w:ascii="Arial" w:hAnsi="Arial" w:cs="Arial"/>
          <w:sz w:val="24"/>
          <w:szCs w:val="24"/>
        </w:rPr>
        <w:t xml:space="preserve"> Ley invocada</w:t>
      </w:r>
      <w:r w:rsidR="00713AF1">
        <w:rPr>
          <w:rFonts w:ascii="Arial" w:hAnsi="Arial" w:cs="Arial"/>
          <w:sz w:val="24"/>
          <w:szCs w:val="24"/>
        </w:rPr>
        <w:t>,</w:t>
      </w:r>
      <w:r w:rsidR="00562BF4">
        <w:rPr>
          <w:rFonts w:ascii="Arial" w:hAnsi="Arial" w:cs="Arial"/>
          <w:sz w:val="24"/>
          <w:szCs w:val="24"/>
        </w:rPr>
        <w:t xml:space="preserve"> lo procedente es</w:t>
      </w:r>
      <w:r w:rsidR="008B2785" w:rsidRPr="008B2785">
        <w:rPr>
          <w:rFonts w:ascii="Arial" w:hAnsi="Arial" w:cs="Arial"/>
          <w:sz w:val="24"/>
          <w:szCs w:val="24"/>
        </w:rPr>
        <w:t xml:space="preserve"> declara</w:t>
      </w:r>
      <w:r w:rsidR="00444A9F">
        <w:rPr>
          <w:rFonts w:ascii="Arial" w:hAnsi="Arial" w:cs="Arial"/>
          <w:sz w:val="24"/>
          <w:szCs w:val="24"/>
        </w:rPr>
        <w:t>r</w:t>
      </w:r>
      <w:r w:rsidR="008B2785" w:rsidRPr="008B2785">
        <w:rPr>
          <w:rFonts w:ascii="Arial" w:hAnsi="Arial" w:cs="Arial"/>
          <w:sz w:val="24"/>
          <w:szCs w:val="24"/>
        </w:rPr>
        <w:t xml:space="preserve"> la</w:t>
      </w:r>
      <w:r w:rsidR="00713AF1" w:rsidRPr="007D3917">
        <w:rPr>
          <w:rFonts w:ascii="Arial" w:hAnsi="Arial" w:cs="Arial"/>
          <w:b/>
          <w:bCs/>
          <w:sz w:val="24"/>
          <w:szCs w:val="24"/>
        </w:rPr>
        <w:t xml:space="preserve"> NULIDAD </w:t>
      </w:r>
      <w:r w:rsidR="007D3917">
        <w:rPr>
          <w:rFonts w:ascii="Arial" w:hAnsi="Arial" w:cs="Arial"/>
          <w:sz w:val="24"/>
          <w:szCs w:val="24"/>
        </w:rPr>
        <w:t>del</w:t>
      </w:r>
      <w:r w:rsidR="00713AF1">
        <w:rPr>
          <w:rFonts w:ascii="Arial" w:hAnsi="Arial" w:cs="Arial"/>
          <w:sz w:val="24"/>
          <w:szCs w:val="24"/>
        </w:rPr>
        <w:t xml:space="preserve"> </w:t>
      </w:r>
      <w:r w:rsidR="007D3917">
        <w:rPr>
          <w:rFonts w:ascii="Arial" w:hAnsi="Arial" w:cs="Arial"/>
          <w:sz w:val="24"/>
          <w:szCs w:val="24"/>
        </w:rPr>
        <w:t>oficio</w:t>
      </w:r>
      <w:r w:rsidR="00713AF1">
        <w:rPr>
          <w:rFonts w:ascii="Arial" w:hAnsi="Arial" w:cs="Arial"/>
          <w:sz w:val="24"/>
          <w:szCs w:val="24"/>
        </w:rPr>
        <w:t xml:space="preserve"> </w:t>
      </w:r>
      <w:r w:rsidR="00EC41EF">
        <w:rPr>
          <w:rFonts w:cs="Arial"/>
          <w:b/>
          <w:sz w:val="24"/>
          <w:szCs w:val="24"/>
        </w:rPr>
        <w:t>**********</w:t>
      </w:r>
      <w:r w:rsidR="00EC41EF">
        <w:rPr>
          <w:rFonts w:cs="Arial"/>
          <w:b/>
          <w:sz w:val="24"/>
          <w:szCs w:val="24"/>
        </w:rPr>
        <w:t xml:space="preserve"> </w:t>
      </w:r>
      <w:r w:rsidR="00713AF1">
        <w:rPr>
          <w:rFonts w:ascii="Arial" w:hAnsi="Arial" w:cs="Arial"/>
          <w:sz w:val="24"/>
          <w:szCs w:val="24"/>
        </w:rPr>
        <w:t>de veintiuno de septiembre de dos mil veinte, signad</w:t>
      </w:r>
      <w:r w:rsidR="00F14862">
        <w:rPr>
          <w:rFonts w:ascii="Arial" w:hAnsi="Arial" w:cs="Arial"/>
          <w:sz w:val="24"/>
          <w:szCs w:val="24"/>
        </w:rPr>
        <w:t>o</w:t>
      </w:r>
      <w:r w:rsidR="00713AF1">
        <w:rPr>
          <w:rFonts w:ascii="Arial" w:hAnsi="Arial" w:cs="Arial"/>
          <w:sz w:val="24"/>
          <w:szCs w:val="24"/>
        </w:rPr>
        <w:t xml:space="preserve"> por el </w:t>
      </w:r>
      <w:r w:rsidR="00713AF1" w:rsidRPr="00562BF4">
        <w:rPr>
          <w:rFonts w:ascii="Arial" w:hAnsi="Arial" w:cs="Arial"/>
          <w:sz w:val="24"/>
          <w:szCs w:val="24"/>
        </w:rPr>
        <w:t>Oficial Mayor de la Fiscalía General del Estado</w:t>
      </w:r>
      <w:r w:rsidR="00562BF4">
        <w:rPr>
          <w:rFonts w:ascii="Arial" w:hAnsi="Arial" w:cs="Arial"/>
          <w:sz w:val="24"/>
          <w:szCs w:val="24"/>
        </w:rPr>
        <w:t xml:space="preserve">, </w:t>
      </w:r>
      <w:r w:rsidR="00562BF4" w:rsidRPr="007B0581">
        <w:rPr>
          <w:rFonts w:ascii="Arial" w:hAnsi="Arial" w:cs="Arial"/>
          <w:b/>
          <w:bCs/>
          <w:sz w:val="24"/>
          <w:szCs w:val="24"/>
        </w:rPr>
        <w:t xml:space="preserve">PARA EL EFECTO </w:t>
      </w:r>
      <w:r w:rsidR="00562BF4">
        <w:rPr>
          <w:rFonts w:ascii="Arial" w:hAnsi="Arial" w:cs="Arial"/>
          <w:sz w:val="24"/>
          <w:szCs w:val="24"/>
        </w:rPr>
        <w:t xml:space="preserve">de </w:t>
      </w:r>
      <w:r w:rsidR="00562BF4" w:rsidRPr="007B0581">
        <w:rPr>
          <w:rFonts w:ascii="Arial" w:hAnsi="Arial" w:cs="Arial"/>
          <w:sz w:val="24"/>
          <w:szCs w:val="24"/>
        </w:rPr>
        <w:t xml:space="preserve">que una vez que cause estado la presente resolución, el </w:t>
      </w:r>
      <w:r w:rsidR="00562BF4" w:rsidRPr="00562BF4">
        <w:rPr>
          <w:rFonts w:ascii="Arial" w:hAnsi="Arial" w:cs="Arial"/>
          <w:sz w:val="24"/>
          <w:szCs w:val="24"/>
        </w:rPr>
        <w:t>Oficial Mayor de la Fiscalía General del Estado</w:t>
      </w:r>
      <w:r w:rsidR="00562BF4">
        <w:rPr>
          <w:rFonts w:ascii="Arial" w:hAnsi="Arial" w:cs="Arial"/>
          <w:sz w:val="24"/>
          <w:szCs w:val="24"/>
        </w:rPr>
        <w:t xml:space="preserve"> dicte otro,</w:t>
      </w:r>
      <w:r w:rsidR="00621D8F">
        <w:rPr>
          <w:rFonts w:ascii="Arial" w:hAnsi="Arial" w:cs="Arial"/>
          <w:sz w:val="24"/>
          <w:szCs w:val="24"/>
        </w:rPr>
        <w:t xml:space="preserve"> </w:t>
      </w:r>
      <w:r w:rsidR="00F14862">
        <w:rPr>
          <w:rFonts w:ascii="Arial" w:hAnsi="Arial" w:cs="Arial"/>
          <w:sz w:val="24"/>
          <w:szCs w:val="24"/>
        </w:rPr>
        <w:t>autorizando</w:t>
      </w:r>
      <w:r w:rsidR="003536DC">
        <w:rPr>
          <w:rFonts w:ascii="Arial" w:hAnsi="Arial" w:cs="Arial"/>
          <w:sz w:val="24"/>
          <w:szCs w:val="24"/>
        </w:rPr>
        <w:t xml:space="preserve"> el </w:t>
      </w:r>
      <w:r w:rsidR="003536DC" w:rsidRPr="003F0EEB">
        <w:rPr>
          <w:rFonts w:ascii="Arial" w:hAnsi="Arial" w:cs="Arial"/>
          <w:sz w:val="24"/>
          <w:szCs w:val="24"/>
        </w:rPr>
        <w:t>pago de los quinquenios</w:t>
      </w:r>
      <w:r w:rsidR="003536DC">
        <w:rPr>
          <w:rFonts w:ascii="Arial" w:hAnsi="Arial" w:cs="Arial"/>
          <w:sz w:val="24"/>
          <w:szCs w:val="24"/>
        </w:rPr>
        <w:t xml:space="preserve"> tercero, cuarto y quinto</w:t>
      </w:r>
      <w:r w:rsidR="00562BF4">
        <w:rPr>
          <w:rFonts w:ascii="Arial" w:hAnsi="Arial" w:cs="Arial"/>
          <w:sz w:val="24"/>
          <w:szCs w:val="24"/>
        </w:rPr>
        <w:t xml:space="preserve"> </w:t>
      </w:r>
      <w:r w:rsidR="003536DC">
        <w:rPr>
          <w:rFonts w:ascii="Arial" w:hAnsi="Arial" w:cs="Arial"/>
          <w:sz w:val="24"/>
          <w:szCs w:val="24"/>
        </w:rPr>
        <w:t>que se declararon procedentes en el presente fallo</w:t>
      </w:r>
      <w:r w:rsidR="00FB74F9">
        <w:rPr>
          <w:rFonts w:ascii="Arial" w:hAnsi="Arial" w:cs="Arial"/>
          <w:sz w:val="24"/>
          <w:szCs w:val="24"/>
        </w:rPr>
        <w:t xml:space="preserve">, </w:t>
      </w:r>
      <w:r w:rsidR="00FB74F9" w:rsidRPr="00D8762D">
        <w:rPr>
          <w:rFonts w:ascii="Arial" w:hAnsi="Arial" w:cs="Arial"/>
          <w:sz w:val="24"/>
          <w:szCs w:val="24"/>
        </w:rPr>
        <w:t>en los términos</w:t>
      </w:r>
      <w:r w:rsidR="00FB74F9">
        <w:rPr>
          <w:rFonts w:ascii="Arial" w:hAnsi="Arial" w:cs="Arial"/>
          <w:sz w:val="24"/>
          <w:szCs w:val="24"/>
        </w:rPr>
        <w:t xml:space="preserve"> y por las consideraciones ya precisadas</w:t>
      </w:r>
      <w:r w:rsidR="00562BF4">
        <w:rPr>
          <w:rFonts w:ascii="Arial" w:hAnsi="Arial" w:cs="Arial"/>
          <w:sz w:val="24"/>
          <w:szCs w:val="24"/>
        </w:rPr>
        <w:t>.</w:t>
      </w:r>
    </w:p>
    <w:p w14:paraId="5FFAB7AE" w14:textId="77777777" w:rsidR="00D8762D" w:rsidRDefault="00D8762D" w:rsidP="003929EF">
      <w:pPr>
        <w:spacing w:line="360" w:lineRule="auto"/>
        <w:ind w:firstLine="708"/>
        <w:jc w:val="both"/>
        <w:rPr>
          <w:rFonts w:ascii="Arial" w:hAnsi="Arial" w:cs="Arial"/>
          <w:sz w:val="24"/>
          <w:szCs w:val="24"/>
        </w:rPr>
      </w:pPr>
    </w:p>
    <w:p w14:paraId="28B8860C" w14:textId="73B02323" w:rsidR="00D8762D" w:rsidRDefault="00D8762D" w:rsidP="003929EF">
      <w:pPr>
        <w:spacing w:line="360" w:lineRule="auto"/>
        <w:ind w:firstLine="708"/>
        <w:jc w:val="both"/>
        <w:rPr>
          <w:rFonts w:ascii="Arial" w:hAnsi="Arial" w:cs="Arial"/>
          <w:sz w:val="24"/>
          <w:szCs w:val="24"/>
        </w:rPr>
      </w:pPr>
      <w:r>
        <w:rPr>
          <w:rFonts w:ascii="Arial" w:hAnsi="Arial" w:cs="Arial"/>
          <w:sz w:val="24"/>
          <w:szCs w:val="24"/>
        </w:rPr>
        <w:t>En el entendido que el presente fallo se tendrá por cumplido hasta en tanto se realice a</w:t>
      </w:r>
      <w:r w:rsidR="00F53080">
        <w:rPr>
          <w:rFonts w:ascii="Arial" w:hAnsi="Arial" w:cs="Arial"/>
          <w:sz w:val="24"/>
          <w:szCs w:val="24"/>
        </w:rPr>
        <w:t xml:space="preserve"> </w:t>
      </w:r>
      <w:r>
        <w:rPr>
          <w:rFonts w:ascii="Arial" w:hAnsi="Arial" w:cs="Arial"/>
          <w:sz w:val="24"/>
          <w:szCs w:val="24"/>
        </w:rPr>
        <w:t>l</w:t>
      </w:r>
      <w:r w:rsidR="00F53080">
        <w:rPr>
          <w:rFonts w:ascii="Arial" w:hAnsi="Arial" w:cs="Arial"/>
          <w:sz w:val="24"/>
          <w:szCs w:val="24"/>
        </w:rPr>
        <w:t>a</w:t>
      </w:r>
      <w:r>
        <w:rPr>
          <w:rFonts w:ascii="Arial" w:hAnsi="Arial" w:cs="Arial"/>
          <w:sz w:val="24"/>
          <w:szCs w:val="24"/>
        </w:rPr>
        <w:t xml:space="preserve"> actor</w:t>
      </w:r>
      <w:r w:rsidR="00F53080">
        <w:rPr>
          <w:rFonts w:ascii="Arial" w:hAnsi="Arial" w:cs="Arial"/>
          <w:sz w:val="24"/>
          <w:szCs w:val="24"/>
        </w:rPr>
        <w:t>a</w:t>
      </w:r>
      <w:r>
        <w:rPr>
          <w:rFonts w:ascii="Arial" w:hAnsi="Arial" w:cs="Arial"/>
          <w:sz w:val="24"/>
          <w:szCs w:val="24"/>
        </w:rPr>
        <w:t xml:space="preserve"> el pago total y correcto de las prestaciones que se declar</w:t>
      </w:r>
      <w:r w:rsidR="00444A9F">
        <w:rPr>
          <w:rFonts w:ascii="Arial" w:hAnsi="Arial" w:cs="Arial"/>
          <w:sz w:val="24"/>
          <w:szCs w:val="24"/>
        </w:rPr>
        <w:t>aron</w:t>
      </w:r>
      <w:r>
        <w:rPr>
          <w:rFonts w:ascii="Arial" w:hAnsi="Arial" w:cs="Arial"/>
          <w:sz w:val="24"/>
          <w:szCs w:val="24"/>
        </w:rPr>
        <w:t xml:space="preserve"> procedentes.</w:t>
      </w:r>
    </w:p>
    <w:p w14:paraId="14A5E0A5" w14:textId="136606D7" w:rsidR="00562BF4" w:rsidRDefault="00562BF4" w:rsidP="003929EF">
      <w:pPr>
        <w:spacing w:line="360" w:lineRule="auto"/>
        <w:ind w:firstLine="708"/>
        <w:jc w:val="both"/>
        <w:rPr>
          <w:rFonts w:ascii="Arial" w:hAnsi="Arial" w:cs="Arial"/>
          <w:sz w:val="24"/>
          <w:szCs w:val="24"/>
        </w:rPr>
      </w:pPr>
    </w:p>
    <w:p w14:paraId="1CC49610" w14:textId="2C67CBA6" w:rsidR="00B91E35" w:rsidRDefault="00713AF1" w:rsidP="00B91E35">
      <w:pPr>
        <w:spacing w:line="360" w:lineRule="auto"/>
        <w:ind w:firstLine="708"/>
        <w:jc w:val="both"/>
        <w:rPr>
          <w:rFonts w:ascii="Arial" w:hAnsi="Arial" w:cs="Arial"/>
          <w:color w:val="212529"/>
          <w:sz w:val="24"/>
          <w:szCs w:val="24"/>
          <w:lang w:val="es-MX"/>
        </w:rPr>
      </w:pPr>
      <w:r>
        <w:rPr>
          <w:rFonts w:ascii="Arial" w:hAnsi="Arial" w:cs="Arial"/>
          <w:sz w:val="24"/>
          <w:szCs w:val="24"/>
        </w:rPr>
        <w:t>Por lo que,</w:t>
      </w:r>
      <w:r w:rsidR="00D5693C">
        <w:rPr>
          <w:rFonts w:ascii="Arial" w:hAnsi="Arial" w:cs="Arial"/>
          <w:sz w:val="24"/>
          <w:szCs w:val="24"/>
        </w:rPr>
        <w:t xml:space="preserve"> </w:t>
      </w:r>
      <w:r w:rsidR="00891F99">
        <w:rPr>
          <w:rFonts w:ascii="Arial" w:hAnsi="Arial" w:cs="Arial"/>
          <w:sz w:val="24"/>
          <w:szCs w:val="24"/>
        </w:rPr>
        <w:t xml:space="preserve">el </w:t>
      </w:r>
      <w:r w:rsidR="00891F99" w:rsidRPr="004646BE">
        <w:rPr>
          <w:rFonts w:ascii="Arial" w:hAnsi="Arial" w:cs="Arial"/>
          <w:sz w:val="24"/>
          <w:szCs w:val="24"/>
        </w:rPr>
        <w:t>Oficial Mayor de la</w:t>
      </w:r>
      <w:r w:rsidR="00022216" w:rsidRPr="004646BE">
        <w:rPr>
          <w:rFonts w:ascii="Arial" w:hAnsi="Arial" w:cs="Arial"/>
          <w:sz w:val="24"/>
          <w:szCs w:val="24"/>
        </w:rPr>
        <w:t xml:space="preserve"> Fiscalí</w:t>
      </w:r>
      <w:r w:rsidR="00022216">
        <w:rPr>
          <w:rFonts w:ascii="Arial" w:hAnsi="Arial" w:cs="Arial"/>
          <w:sz w:val="24"/>
          <w:szCs w:val="24"/>
        </w:rPr>
        <w:t>a General del Estado de Oaxaca y</w:t>
      </w:r>
      <w:r>
        <w:rPr>
          <w:rFonts w:ascii="Arial" w:hAnsi="Arial" w:cs="Arial"/>
          <w:sz w:val="24"/>
          <w:szCs w:val="24"/>
        </w:rPr>
        <w:t xml:space="preserve"> </w:t>
      </w:r>
      <w:r w:rsidR="00243030">
        <w:rPr>
          <w:rFonts w:ascii="Arial" w:hAnsi="Arial" w:cs="Arial"/>
          <w:sz w:val="24"/>
          <w:szCs w:val="24"/>
        </w:rPr>
        <w:t>la</w:t>
      </w:r>
      <w:r>
        <w:rPr>
          <w:rFonts w:ascii="Arial" w:hAnsi="Arial" w:cs="Arial"/>
          <w:sz w:val="24"/>
          <w:szCs w:val="24"/>
        </w:rPr>
        <w:t xml:space="preserve"> </w:t>
      </w:r>
      <w:r w:rsidR="00243030">
        <w:rPr>
          <w:rFonts w:ascii="Arial" w:hAnsi="Arial" w:cs="Arial"/>
          <w:sz w:val="24"/>
          <w:szCs w:val="24"/>
        </w:rPr>
        <w:t>Secretaría de Administración del Poder Ejecutivo del Gobierno del Estado de Oaxaca</w:t>
      </w:r>
      <w:r w:rsidR="00F53080">
        <w:rPr>
          <w:rFonts w:ascii="Arial" w:hAnsi="Arial" w:cs="Arial"/>
          <w:sz w:val="24"/>
          <w:szCs w:val="24"/>
        </w:rPr>
        <w:t>,</w:t>
      </w:r>
      <w:r>
        <w:rPr>
          <w:rFonts w:ascii="Arial" w:hAnsi="Arial" w:cs="Arial"/>
          <w:sz w:val="24"/>
          <w:szCs w:val="24"/>
        </w:rPr>
        <w:t xml:space="preserve"> debe</w:t>
      </w:r>
      <w:r w:rsidR="00022216">
        <w:rPr>
          <w:rFonts w:ascii="Arial" w:hAnsi="Arial" w:cs="Arial"/>
          <w:sz w:val="24"/>
          <w:szCs w:val="24"/>
        </w:rPr>
        <w:t>n</w:t>
      </w:r>
      <w:r>
        <w:rPr>
          <w:rFonts w:ascii="Arial" w:hAnsi="Arial" w:cs="Arial"/>
          <w:sz w:val="24"/>
          <w:szCs w:val="24"/>
        </w:rPr>
        <w:t xml:space="preserve"> realizar</w:t>
      </w:r>
      <w:r w:rsidR="00911440">
        <w:rPr>
          <w:rFonts w:ascii="Arial" w:hAnsi="Arial" w:cs="Arial"/>
          <w:sz w:val="24"/>
          <w:szCs w:val="24"/>
        </w:rPr>
        <w:t xml:space="preserve"> las gestiones necesarias para reintegrar</w:t>
      </w:r>
      <w:r>
        <w:rPr>
          <w:rFonts w:ascii="Arial" w:hAnsi="Arial" w:cs="Arial"/>
          <w:sz w:val="24"/>
          <w:szCs w:val="24"/>
        </w:rPr>
        <w:t xml:space="preserve"> a </w:t>
      </w:r>
      <w:r w:rsidR="00EC41EF">
        <w:rPr>
          <w:rFonts w:cs="Arial"/>
          <w:b/>
          <w:sz w:val="24"/>
          <w:szCs w:val="24"/>
        </w:rPr>
        <w:t>**********</w:t>
      </w:r>
      <w:r w:rsidR="00EC41EF">
        <w:rPr>
          <w:rFonts w:cs="Arial"/>
          <w:b/>
          <w:sz w:val="24"/>
          <w:szCs w:val="24"/>
        </w:rPr>
        <w:t xml:space="preserve"> </w:t>
      </w:r>
      <w:r>
        <w:rPr>
          <w:rFonts w:ascii="Arial" w:hAnsi="Arial" w:cs="Arial"/>
          <w:sz w:val="24"/>
          <w:szCs w:val="24"/>
        </w:rPr>
        <w:t xml:space="preserve">el pago correcto de su </w:t>
      </w:r>
      <w:r w:rsidRPr="0012511D">
        <w:rPr>
          <w:rFonts w:ascii="Arial" w:hAnsi="Arial" w:cs="Arial"/>
          <w:sz w:val="24"/>
          <w:szCs w:val="24"/>
        </w:rPr>
        <w:t>tercer</w:t>
      </w:r>
      <w:r w:rsidR="00243030">
        <w:rPr>
          <w:rFonts w:ascii="Arial" w:hAnsi="Arial" w:cs="Arial"/>
          <w:sz w:val="24"/>
          <w:szCs w:val="24"/>
        </w:rPr>
        <w:t>o</w:t>
      </w:r>
      <w:r w:rsidR="0012511D">
        <w:rPr>
          <w:rFonts w:ascii="Arial" w:hAnsi="Arial" w:cs="Arial"/>
          <w:sz w:val="24"/>
          <w:szCs w:val="24"/>
        </w:rPr>
        <w:t>,</w:t>
      </w:r>
      <w:r w:rsidR="00243030">
        <w:rPr>
          <w:rFonts w:ascii="Arial" w:hAnsi="Arial" w:cs="Arial"/>
          <w:sz w:val="24"/>
          <w:szCs w:val="24"/>
        </w:rPr>
        <w:t xml:space="preserve"> cuarto</w:t>
      </w:r>
      <w:r w:rsidR="0012511D">
        <w:rPr>
          <w:rFonts w:ascii="Arial" w:hAnsi="Arial" w:cs="Arial"/>
          <w:sz w:val="24"/>
          <w:szCs w:val="24"/>
        </w:rPr>
        <w:t xml:space="preserve"> y quinto</w:t>
      </w:r>
      <w:r>
        <w:rPr>
          <w:rFonts w:ascii="Arial" w:hAnsi="Arial" w:cs="Arial"/>
          <w:sz w:val="24"/>
          <w:szCs w:val="24"/>
        </w:rPr>
        <w:t xml:space="preserve"> quinquenio de forma retroactiva conforme al artículo 34 Bis de la Ley de Servicio Civil para los empleados del Gobierno del Estado de Oaxaca</w:t>
      </w:r>
      <w:r w:rsidR="00C46BFC">
        <w:rPr>
          <w:rFonts w:ascii="Arial" w:hAnsi="Arial" w:cs="Arial"/>
          <w:sz w:val="24"/>
          <w:szCs w:val="24"/>
        </w:rPr>
        <w:t>, esto es,</w:t>
      </w:r>
      <w:r w:rsidR="00022216">
        <w:rPr>
          <w:rFonts w:ascii="Arial" w:hAnsi="Arial" w:cs="Arial"/>
          <w:sz w:val="24"/>
          <w:szCs w:val="24"/>
        </w:rPr>
        <w:t xml:space="preserve"> para la Secretaría</w:t>
      </w:r>
      <w:r w:rsidR="00C46BFC">
        <w:rPr>
          <w:rFonts w:ascii="Arial" w:hAnsi="Arial" w:cs="Arial"/>
          <w:sz w:val="24"/>
          <w:szCs w:val="24"/>
        </w:rPr>
        <w:t xml:space="preserve"> a partir del </w:t>
      </w:r>
      <w:r w:rsidR="00B861F3">
        <w:rPr>
          <w:rFonts w:ascii="Arial" w:hAnsi="Arial" w:cs="Arial"/>
          <w:sz w:val="24"/>
          <w:szCs w:val="24"/>
        </w:rPr>
        <w:t>mes</w:t>
      </w:r>
      <w:r w:rsidR="00C46BFC">
        <w:rPr>
          <w:rFonts w:ascii="Arial" w:hAnsi="Arial" w:cs="Arial"/>
          <w:sz w:val="24"/>
          <w:szCs w:val="24"/>
        </w:rPr>
        <w:t xml:space="preserve"> de enero de dos mil quince al </w:t>
      </w:r>
      <w:r w:rsidR="00B861F3">
        <w:rPr>
          <w:rFonts w:ascii="Arial" w:hAnsi="Arial" w:cs="Arial"/>
          <w:sz w:val="24"/>
          <w:szCs w:val="24"/>
        </w:rPr>
        <w:t>mes</w:t>
      </w:r>
      <w:r w:rsidR="00C46BFC">
        <w:rPr>
          <w:rFonts w:ascii="Arial" w:hAnsi="Arial" w:cs="Arial"/>
          <w:sz w:val="24"/>
          <w:szCs w:val="24"/>
        </w:rPr>
        <w:t xml:space="preserve"> de septiembre de dos mil dieciocho</w:t>
      </w:r>
      <w:r w:rsidR="00670EB0">
        <w:rPr>
          <w:rFonts w:ascii="Arial" w:hAnsi="Arial" w:cs="Arial"/>
          <w:sz w:val="24"/>
          <w:szCs w:val="24"/>
        </w:rPr>
        <w:t>; asimismo,</w:t>
      </w:r>
      <w:r w:rsidR="00B861F3">
        <w:rPr>
          <w:rFonts w:ascii="Arial" w:hAnsi="Arial" w:cs="Arial"/>
          <w:sz w:val="24"/>
          <w:szCs w:val="24"/>
        </w:rPr>
        <w:t xml:space="preserve"> el</w:t>
      </w:r>
      <w:r w:rsidR="00243030">
        <w:rPr>
          <w:rFonts w:ascii="Arial" w:hAnsi="Arial" w:cs="Arial"/>
          <w:sz w:val="24"/>
          <w:szCs w:val="24"/>
        </w:rPr>
        <w:t xml:space="preserve"> </w:t>
      </w:r>
      <w:r w:rsidR="00243030" w:rsidRPr="004646BE">
        <w:rPr>
          <w:rFonts w:ascii="Arial" w:hAnsi="Arial" w:cs="Arial"/>
          <w:sz w:val="24"/>
          <w:szCs w:val="24"/>
        </w:rPr>
        <w:t>Oficial Mayor de la Fiscalía General del Estado de Oaxaca</w:t>
      </w:r>
      <w:r w:rsidR="00670EB0">
        <w:rPr>
          <w:rFonts w:ascii="Arial" w:hAnsi="Arial" w:cs="Arial"/>
          <w:sz w:val="24"/>
          <w:szCs w:val="24"/>
        </w:rPr>
        <w:t xml:space="preserve"> deberá</w:t>
      </w:r>
      <w:r w:rsidR="00D5693C">
        <w:rPr>
          <w:rFonts w:ascii="Arial" w:hAnsi="Arial" w:cs="Arial"/>
          <w:sz w:val="24"/>
          <w:szCs w:val="24"/>
        </w:rPr>
        <w:t xml:space="preserve"> </w:t>
      </w:r>
      <w:r w:rsidR="00670EB0">
        <w:rPr>
          <w:rFonts w:ascii="Arial" w:hAnsi="Arial" w:cs="Arial"/>
          <w:sz w:val="24"/>
          <w:szCs w:val="24"/>
        </w:rPr>
        <w:t>efectuar los pagos</w:t>
      </w:r>
      <w:r w:rsidR="00842530">
        <w:rPr>
          <w:rFonts w:ascii="Arial" w:hAnsi="Arial" w:cs="Arial"/>
          <w:sz w:val="24"/>
          <w:szCs w:val="24"/>
        </w:rPr>
        <w:t xml:space="preserve"> correctos</w:t>
      </w:r>
      <w:r w:rsidR="00670EB0">
        <w:rPr>
          <w:rFonts w:ascii="Arial" w:hAnsi="Arial" w:cs="Arial"/>
          <w:sz w:val="24"/>
          <w:szCs w:val="24"/>
        </w:rPr>
        <w:t xml:space="preserve"> de</w:t>
      </w:r>
      <w:r w:rsidR="00842530">
        <w:rPr>
          <w:rFonts w:ascii="Arial" w:hAnsi="Arial" w:cs="Arial"/>
          <w:sz w:val="24"/>
          <w:szCs w:val="24"/>
        </w:rPr>
        <w:t xml:space="preserve"> los</w:t>
      </w:r>
      <w:r w:rsidR="00670EB0">
        <w:rPr>
          <w:rFonts w:ascii="Arial" w:hAnsi="Arial" w:cs="Arial"/>
          <w:sz w:val="24"/>
          <w:szCs w:val="24"/>
        </w:rPr>
        <w:t xml:space="preserve"> quinquenios posteriores</w:t>
      </w:r>
      <w:r w:rsidR="00C46BFC">
        <w:rPr>
          <w:rFonts w:ascii="Arial" w:hAnsi="Arial" w:cs="Arial"/>
          <w:sz w:val="24"/>
          <w:szCs w:val="24"/>
        </w:rPr>
        <w:t>, esto es,</w:t>
      </w:r>
      <w:r w:rsidR="001D646E">
        <w:rPr>
          <w:rFonts w:ascii="Arial" w:hAnsi="Arial" w:cs="Arial"/>
          <w:sz w:val="24"/>
          <w:szCs w:val="24"/>
        </w:rPr>
        <w:t xml:space="preserve"> </w:t>
      </w:r>
      <w:r w:rsidR="00C46BFC">
        <w:rPr>
          <w:rFonts w:ascii="Arial" w:hAnsi="Arial" w:cs="Arial"/>
          <w:sz w:val="24"/>
          <w:szCs w:val="24"/>
        </w:rPr>
        <w:t>el cuarto quinquenio</w:t>
      </w:r>
      <w:r w:rsidR="001D646E">
        <w:rPr>
          <w:rFonts w:ascii="Arial" w:hAnsi="Arial" w:cs="Arial"/>
          <w:sz w:val="24"/>
          <w:szCs w:val="24"/>
        </w:rPr>
        <w:t xml:space="preserve"> a partir de la segunda quincena</w:t>
      </w:r>
      <w:r w:rsidR="00C46BFC">
        <w:rPr>
          <w:rFonts w:ascii="Arial" w:hAnsi="Arial" w:cs="Arial"/>
          <w:sz w:val="24"/>
          <w:szCs w:val="24"/>
        </w:rPr>
        <w:t xml:space="preserve"> del </w:t>
      </w:r>
      <w:r w:rsidR="008102EE">
        <w:rPr>
          <w:rFonts w:ascii="Arial" w:hAnsi="Arial" w:cs="Arial"/>
          <w:sz w:val="24"/>
          <w:szCs w:val="24"/>
        </w:rPr>
        <w:t>mes</w:t>
      </w:r>
      <w:r w:rsidR="00C46BFC">
        <w:rPr>
          <w:rFonts w:ascii="Arial" w:hAnsi="Arial" w:cs="Arial"/>
          <w:sz w:val="24"/>
          <w:szCs w:val="24"/>
        </w:rPr>
        <w:t xml:space="preserve"> de octubre de dos mil dieciocho</w:t>
      </w:r>
      <w:r w:rsidR="00842530">
        <w:rPr>
          <w:rFonts w:ascii="Arial" w:hAnsi="Arial" w:cs="Arial"/>
          <w:sz w:val="24"/>
          <w:szCs w:val="24"/>
        </w:rPr>
        <w:t>, así como el quinto quinquenio,</w:t>
      </w:r>
      <w:r w:rsidR="00670EB0">
        <w:rPr>
          <w:rFonts w:ascii="Arial" w:hAnsi="Arial" w:cs="Arial"/>
          <w:sz w:val="24"/>
          <w:szCs w:val="24"/>
        </w:rPr>
        <w:t xml:space="preserve"> efectuando la interpretación más favorable a</w:t>
      </w:r>
      <w:r w:rsidR="00022216">
        <w:rPr>
          <w:rFonts w:ascii="Arial" w:hAnsi="Arial" w:cs="Arial"/>
          <w:sz w:val="24"/>
          <w:szCs w:val="24"/>
        </w:rPr>
        <w:t xml:space="preserve"> </w:t>
      </w:r>
      <w:r w:rsidR="00670EB0">
        <w:rPr>
          <w:rFonts w:ascii="Arial" w:hAnsi="Arial" w:cs="Arial"/>
          <w:sz w:val="24"/>
          <w:szCs w:val="24"/>
        </w:rPr>
        <w:t>l</w:t>
      </w:r>
      <w:r w:rsidR="00022216">
        <w:rPr>
          <w:rFonts w:ascii="Arial" w:hAnsi="Arial" w:cs="Arial"/>
          <w:sz w:val="24"/>
          <w:szCs w:val="24"/>
        </w:rPr>
        <w:t>a</w:t>
      </w:r>
      <w:r w:rsidR="00670EB0">
        <w:rPr>
          <w:rFonts w:ascii="Arial" w:hAnsi="Arial" w:cs="Arial"/>
          <w:sz w:val="24"/>
          <w:szCs w:val="24"/>
        </w:rPr>
        <w:t xml:space="preserve"> actor</w:t>
      </w:r>
      <w:r w:rsidR="00022216">
        <w:rPr>
          <w:rFonts w:ascii="Arial" w:hAnsi="Arial" w:cs="Arial"/>
          <w:sz w:val="24"/>
          <w:szCs w:val="24"/>
        </w:rPr>
        <w:t>a</w:t>
      </w:r>
      <w:r w:rsidR="00670EB0">
        <w:rPr>
          <w:rFonts w:ascii="Arial" w:hAnsi="Arial" w:cs="Arial"/>
          <w:sz w:val="24"/>
          <w:szCs w:val="24"/>
        </w:rPr>
        <w:t xml:space="preserve"> y atender a los montos descritos por el artículo 34 Bis de la Ley de Servicio Civil para los Empleados del Gobierno del Estado,</w:t>
      </w:r>
      <w:r w:rsidR="00CE58C8">
        <w:rPr>
          <w:rFonts w:ascii="Arial" w:hAnsi="Arial" w:cs="Arial"/>
          <w:sz w:val="24"/>
          <w:szCs w:val="24"/>
        </w:rPr>
        <w:t xml:space="preserve"> por lo anteriormente vertido</w:t>
      </w:r>
      <w:r w:rsidR="000846EF">
        <w:rPr>
          <w:rFonts w:ascii="Arial" w:hAnsi="Arial" w:cs="Arial"/>
          <w:sz w:val="24"/>
          <w:szCs w:val="24"/>
        </w:rPr>
        <w:t xml:space="preserve"> </w:t>
      </w:r>
      <w:r w:rsidR="00670EB0">
        <w:rPr>
          <w:rFonts w:ascii="Arial" w:hAnsi="Arial" w:cs="Arial"/>
          <w:sz w:val="24"/>
          <w:szCs w:val="24"/>
        </w:rPr>
        <w:t>se vincula al cumplimiento de esta sentencia a la Secretaría de Administración del Poder Ejecutivo del Estado</w:t>
      </w:r>
      <w:r w:rsidR="00CE58C8">
        <w:rPr>
          <w:rFonts w:ascii="Arial" w:hAnsi="Arial" w:cs="Arial"/>
          <w:sz w:val="24"/>
          <w:szCs w:val="24"/>
        </w:rPr>
        <w:t>, en términos del artículo 222 de la Ley de Procedimiento y Justicia Administrativa para el Estado de Oaxaca</w:t>
      </w:r>
      <w:r w:rsidR="00670EB0">
        <w:rPr>
          <w:rFonts w:ascii="Arial" w:hAnsi="Arial" w:cs="Arial"/>
          <w:sz w:val="24"/>
          <w:szCs w:val="24"/>
        </w:rPr>
        <w:t xml:space="preserve">, para que de forma coordinada y conforme a sus atribuciones, coadyuve con la Fiscalía General del Estado de Oaxaca, para que se realice el pago total y correcto de la variación del pago de la prestación </w:t>
      </w:r>
      <w:r w:rsidR="00670EB0" w:rsidRPr="009435B6">
        <w:rPr>
          <w:rFonts w:ascii="Arial" w:hAnsi="Arial" w:cs="Arial"/>
          <w:sz w:val="24"/>
          <w:szCs w:val="24"/>
        </w:rPr>
        <w:t>del tercer</w:t>
      </w:r>
      <w:r w:rsidR="00C475C4">
        <w:rPr>
          <w:rFonts w:ascii="Arial" w:hAnsi="Arial" w:cs="Arial"/>
          <w:sz w:val="24"/>
          <w:szCs w:val="24"/>
        </w:rPr>
        <w:t>o</w:t>
      </w:r>
      <w:r w:rsidR="009435B6">
        <w:rPr>
          <w:rFonts w:ascii="Arial" w:hAnsi="Arial" w:cs="Arial"/>
          <w:sz w:val="24"/>
          <w:szCs w:val="24"/>
        </w:rPr>
        <w:t>,</w:t>
      </w:r>
      <w:r w:rsidR="00CE4E23">
        <w:rPr>
          <w:rFonts w:ascii="Arial" w:hAnsi="Arial" w:cs="Arial"/>
          <w:sz w:val="24"/>
          <w:szCs w:val="24"/>
        </w:rPr>
        <w:t xml:space="preserve"> cuarto </w:t>
      </w:r>
      <w:r w:rsidR="00CE4E23" w:rsidRPr="009435B6">
        <w:rPr>
          <w:rFonts w:ascii="Arial" w:hAnsi="Arial" w:cs="Arial"/>
          <w:sz w:val="24"/>
          <w:szCs w:val="24"/>
        </w:rPr>
        <w:t>y quinto</w:t>
      </w:r>
      <w:r w:rsidR="00670EB0">
        <w:rPr>
          <w:rFonts w:ascii="Arial" w:hAnsi="Arial" w:cs="Arial"/>
          <w:sz w:val="24"/>
          <w:szCs w:val="24"/>
        </w:rPr>
        <w:t xml:space="preserve"> quinquenio que no se le pagó a la actora</w:t>
      </w:r>
      <w:r w:rsidR="009435B6">
        <w:rPr>
          <w:rFonts w:ascii="Arial" w:hAnsi="Arial" w:cs="Arial"/>
          <w:sz w:val="24"/>
          <w:szCs w:val="24"/>
        </w:rPr>
        <w:t xml:space="preserve"> de manera correcta</w:t>
      </w:r>
      <w:r w:rsidR="00670EB0">
        <w:rPr>
          <w:rFonts w:ascii="Arial" w:hAnsi="Arial" w:cs="Arial"/>
          <w:sz w:val="24"/>
          <w:szCs w:val="24"/>
        </w:rPr>
        <w:t>, respecto al cargo de</w:t>
      </w:r>
      <w:r w:rsidR="000846EF">
        <w:rPr>
          <w:rFonts w:ascii="Arial" w:hAnsi="Arial" w:cs="Arial"/>
          <w:sz w:val="24"/>
          <w:szCs w:val="24"/>
        </w:rPr>
        <w:t xml:space="preserve"> Secretaria Ministerial</w:t>
      </w:r>
      <w:r w:rsidR="00786BBC">
        <w:rPr>
          <w:rFonts w:ascii="Arial" w:hAnsi="Arial" w:cs="Arial"/>
          <w:sz w:val="24"/>
          <w:szCs w:val="24"/>
        </w:rPr>
        <w:t xml:space="preserve">, por lo que las autoridades  de la </w:t>
      </w:r>
      <w:r w:rsidR="00CE4E23">
        <w:rPr>
          <w:rFonts w:ascii="Arial" w:hAnsi="Arial" w:cs="Arial"/>
          <w:sz w:val="24"/>
          <w:szCs w:val="24"/>
        </w:rPr>
        <w:t>Secretaría de Administración del Poder Ejecutivo del Estado</w:t>
      </w:r>
      <w:r w:rsidR="00786BBC">
        <w:rPr>
          <w:rFonts w:ascii="Arial" w:hAnsi="Arial" w:cs="Arial"/>
          <w:sz w:val="24"/>
          <w:szCs w:val="24"/>
        </w:rPr>
        <w:t xml:space="preserve">, están obligadas a realizar los actos necesarios para el eficaz cumplimiento de la sentencia. Sirve de sustento </w:t>
      </w:r>
      <w:r w:rsidR="009C3FB2">
        <w:rPr>
          <w:rFonts w:ascii="Arial" w:hAnsi="Arial" w:cs="Arial"/>
          <w:sz w:val="24"/>
          <w:szCs w:val="24"/>
        </w:rPr>
        <w:t xml:space="preserve">el </w:t>
      </w:r>
      <w:r w:rsidR="00786BBC">
        <w:rPr>
          <w:rFonts w:ascii="Arial" w:hAnsi="Arial" w:cs="Arial"/>
          <w:sz w:val="24"/>
          <w:szCs w:val="24"/>
        </w:rPr>
        <w:t>criterio jurisprudencial emitido por la Primera Sala de la Suprema Corte de Justicia de la Nación, publicada en la Novena Época del Semanario Judicial de la Federación</w:t>
      </w:r>
      <w:r w:rsidR="00AF60E6">
        <w:rPr>
          <w:rFonts w:ascii="Arial" w:hAnsi="Arial" w:cs="Arial"/>
          <w:sz w:val="24"/>
          <w:szCs w:val="24"/>
        </w:rPr>
        <w:t>, tomo XXV, mayo de 2007, página 144, con número de registro 172605 de texto y rubro siguiente</w:t>
      </w:r>
      <w:r w:rsidR="00B91E35">
        <w:rPr>
          <w:rFonts w:ascii="Arial" w:hAnsi="Arial" w:cs="Arial"/>
          <w:sz w:val="24"/>
          <w:szCs w:val="24"/>
        </w:rPr>
        <w:t xml:space="preserve">:” </w:t>
      </w:r>
      <w:r w:rsidR="00B91E35" w:rsidRPr="007D3917">
        <w:rPr>
          <w:rFonts w:ascii="Arial" w:hAnsi="Arial" w:cs="Arial"/>
          <w:i/>
          <w:iCs/>
          <w:color w:val="212529"/>
          <w:sz w:val="24"/>
          <w:szCs w:val="24"/>
          <w:lang w:val="es-MX"/>
        </w:rPr>
        <w:t>AUTORIDADES NO SEÑALADAS COMO RESPONSABLES. ESTÁN OBLIGADAS A REALIZAR LOS ACTOS NECESARIOS PARA EL EFICAZ CUMPLIMIENTO DE LA EJECUTORIA DE AMPARO.</w:t>
      </w:r>
      <w:r w:rsidR="00B91E35" w:rsidRPr="007D3917">
        <w:rPr>
          <w:rFonts w:ascii="Calibri" w:hAnsi="Calibri" w:cs="Calibri"/>
          <w:b/>
          <w:bCs/>
          <w:i/>
          <w:iCs/>
          <w:color w:val="212529"/>
          <w:sz w:val="26"/>
          <w:szCs w:val="26"/>
          <w:lang w:val="es-MX"/>
        </w:rPr>
        <w:t xml:space="preserve"> </w:t>
      </w:r>
      <w:r w:rsidR="00B91E35" w:rsidRPr="007D3917">
        <w:rPr>
          <w:rFonts w:ascii="Arial" w:hAnsi="Arial" w:cs="Arial"/>
          <w:i/>
          <w:iCs/>
          <w:color w:val="212529"/>
          <w:sz w:val="24"/>
          <w:szCs w:val="24"/>
          <w:lang w:val="es-MX"/>
        </w:rPr>
        <w:t>Aun cuando las autoridades no hayan sido designadas como responsables en el juicio de garantías, pero en razón de sus funciones deban tener intervención en el cumplimiento de la ejecutoria de amparo, están obligadas a realizar, dentro de los límites de su competencia, todos los actos necesarios para el acatamiento íntegro y fiel de dicha sentencia protectora, y para que logre vigencia real y eficacia práctica.”</w:t>
      </w:r>
    </w:p>
    <w:p w14:paraId="00E5B857" w14:textId="07DD9443" w:rsidR="00B91E35" w:rsidRDefault="00B91E35" w:rsidP="00B91E35">
      <w:pPr>
        <w:spacing w:line="360" w:lineRule="auto"/>
        <w:ind w:firstLine="708"/>
        <w:jc w:val="both"/>
        <w:rPr>
          <w:rFonts w:ascii="Arial" w:hAnsi="Arial" w:cs="Arial"/>
          <w:color w:val="212529"/>
          <w:sz w:val="24"/>
          <w:szCs w:val="24"/>
          <w:lang w:val="es-MX"/>
        </w:rPr>
      </w:pPr>
    </w:p>
    <w:p w14:paraId="5A8D79B9" w14:textId="5070B4BF" w:rsidR="00B91E35" w:rsidRDefault="00B91E35" w:rsidP="003C7336">
      <w:pPr>
        <w:pStyle w:val="NormalWeb"/>
        <w:spacing w:before="0" w:beforeAutospacing="0" w:after="0" w:afterAutospacing="0" w:line="375" w:lineRule="atLeast"/>
        <w:ind w:firstLine="708"/>
        <w:jc w:val="both"/>
        <w:rPr>
          <w:rFonts w:ascii="Arial" w:hAnsi="Arial" w:cs="Arial"/>
          <w:color w:val="212529"/>
        </w:rPr>
      </w:pPr>
      <w:r w:rsidRPr="004646BE">
        <w:rPr>
          <w:rFonts w:ascii="Arial" w:hAnsi="Arial" w:cs="Arial"/>
          <w:color w:val="212529"/>
        </w:rPr>
        <w:t>Para la</w:t>
      </w:r>
      <w:r>
        <w:rPr>
          <w:rFonts w:ascii="Arial" w:hAnsi="Arial" w:cs="Arial"/>
          <w:color w:val="212529"/>
        </w:rPr>
        <w:t xml:space="preserve"> consideración de pago retroactivo, sirve de orientación el principio de retroactividad, que descansa en el artículo 14 de la Constitución Política de los Estados Unidos Mexicanos; criterio emitido por el Pleno de la Suprema Corte de Justicia de la Nación y publicada en el semanario Judicial de la Federación, volumen CXXXVI, Primera Parte, página 80, con número de registro 257483 de rubro y texto siguiente: </w:t>
      </w:r>
      <w:r w:rsidR="009B6617">
        <w:rPr>
          <w:rFonts w:ascii="Arial" w:hAnsi="Arial" w:cs="Arial"/>
          <w:color w:val="212529"/>
        </w:rPr>
        <w:t>“</w:t>
      </w:r>
      <w:r w:rsidR="009B6617" w:rsidRPr="009B6617">
        <w:rPr>
          <w:rFonts w:ascii="Arial" w:hAnsi="Arial" w:cs="Arial"/>
          <w:b/>
          <w:bCs/>
          <w:i/>
          <w:iCs/>
          <w:color w:val="212529"/>
        </w:rPr>
        <w:t xml:space="preserve">RETROACTIVIDAD, TEORIAS DE LA. </w:t>
      </w:r>
      <w:r w:rsidR="009B6617" w:rsidRPr="009B6617">
        <w:rPr>
          <w:rFonts w:ascii="Arial" w:hAnsi="Arial" w:cs="Arial"/>
          <w:i/>
          <w:iCs/>
          <w:color w:val="212529"/>
        </w:rPr>
        <w:t>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r>
        <w:rPr>
          <w:rFonts w:ascii="Arial" w:hAnsi="Arial" w:cs="Arial"/>
          <w:color w:val="212529"/>
        </w:rPr>
        <w:t xml:space="preserve"> </w:t>
      </w:r>
    </w:p>
    <w:p w14:paraId="52681845" w14:textId="76D47A9C" w:rsidR="00EB41F4" w:rsidRPr="00CF773E" w:rsidRDefault="00EB41F4" w:rsidP="003929EF">
      <w:pPr>
        <w:spacing w:line="360" w:lineRule="auto"/>
        <w:ind w:firstLine="708"/>
        <w:jc w:val="both"/>
        <w:rPr>
          <w:rFonts w:ascii="Arial" w:hAnsi="Arial" w:cs="Arial"/>
          <w:sz w:val="24"/>
          <w:szCs w:val="24"/>
        </w:rPr>
      </w:pPr>
    </w:p>
    <w:p w14:paraId="65D665FF" w14:textId="613F1E78"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00E01260" w:rsidRPr="00BB5812">
        <w:rPr>
          <w:rFonts w:ascii="Arial" w:hAnsi="Arial" w:cs="Arial"/>
          <w:sz w:val="24"/>
          <w:szCs w:val="24"/>
        </w:rPr>
        <w:t>Como la parte actora en el presente juicio</w:t>
      </w:r>
      <w:r w:rsidR="00E01260" w:rsidRPr="009C3FB2">
        <w:rPr>
          <w:rFonts w:ascii="Arial" w:hAnsi="Arial" w:cs="Arial"/>
          <w:sz w:val="24"/>
          <w:szCs w:val="24"/>
        </w:rPr>
        <w:t>,</w:t>
      </w:r>
      <w:r w:rsidR="000846EF" w:rsidRPr="009C3FB2">
        <w:rPr>
          <w:rFonts w:ascii="Arial" w:hAnsi="Arial" w:cs="Arial"/>
          <w:sz w:val="24"/>
          <w:szCs w:val="24"/>
        </w:rPr>
        <w:t xml:space="preserve"> </w:t>
      </w:r>
      <w:r w:rsidR="000846EF" w:rsidRPr="009C3FB2">
        <w:rPr>
          <w:rFonts w:ascii="Arial" w:hAnsi="Arial" w:cs="Arial"/>
          <w:b/>
          <w:bCs/>
          <w:sz w:val="24"/>
          <w:szCs w:val="24"/>
        </w:rPr>
        <w:t>no</w:t>
      </w:r>
      <w:r w:rsidR="001E2D6D" w:rsidRPr="009C3FB2">
        <w:rPr>
          <w:rFonts w:ascii="Arial" w:hAnsi="Arial" w:cs="Arial"/>
          <w:b/>
          <w:sz w:val="24"/>
          <w:szCs w:val="24"/>
        </w:rPr>
        <w:t xml:space="preserve"> se</w:t>
      </w:r>
      <w:r w:rsidR="00E01260" w:rsidRPr="00BB5812">
        <w:rPr>
          <w:rFonts w:ascii="Arial" w:hAnsi="Arial" w:cs="Arial"/>
          <w:b/>
          <w:sz w:val="24"/>
          <w:szCs w:val="24"/>
        </w:rPr>
        <w:t xml:space="preserve"> opuso a la publicación de sus datos personales</w:t>
      </w:r>
      <w:r w:rsidR="00E01260" w:rsidRPr="00BB5812">
        <w:rPr>
          <w:rFonts w:ascii="Arial" w:hAnsi="Arial" w:cs="Arial"/>
          <w:sz w:val="24"/>
          <w:szCs w:val="24"/>
        </w:rPr>
        <w:t xml:space="preserve"> y al encontrarse obligad</w:t>
      </w:r>
      <w:r w:rsidR="00E01260">
        <w:rPr>
          <w:rFonts w:ascii="Arial" w:hAnsi="Arial" w:cs="Arial"/>
          <w:sz w:val="24"/>
          <w:szCs w:val="24"/>
        </w:rPr>
        <w:t>a</w:t>
      </w:r>
      <w:r w:rsidR="00E01260" w:rsidRPr="00BB5812">
        <w:rPr>
          <w:rFonts w:ascii="Arial" w:hAnsi="Arial" w:cs="Arial"/>
          <w:sz w:val="24"/>
          <w:szCs w:val="24"/>
        </w:rPr>
        <w:t xml:space="preserve"> est</w:t>
      </w:r>
      <w:r w:rsidR="00E01260">
        <w:rPr>
          <w:rFonts w:ascii="Arial" w:hAnsi="Arial" w:cs="Arial"/>
          <w:sz w:val="24"/>
          <w:szCs w:val="24"/>
        </w:rPr>
        <w:t>a</w:t>
      </w:r>
      <w:r w:rsidR="00E01260" w:rsidRPr="00BB5812">
        <w:rPr>
          <w:rFonts w:ascii="Arial" w:hAnsi="Arial" w:cs="Arial"/>
          <w:sz w:val="24"/>
          <w:szCs w:val="24"/>
        </w:rPr>
        <w:t xml:space="preserve"> juzgador</w:t>
      </w:r>
      <w:r w:rsidR="00E01260">
        <w:rPr>
          <w:rFonts w:ascii="Arial" w:hAnsi="Arial" w:cs="Arial"/>
          <w:sz w:val="24"/>
          <w:szCs w:val="24"/>
        </w:rPr>
        <w:t xml:space="preserve">a </w:t>
      </w:r>
      <w:r w:rsidR="00E01260" w:rsidRPr="00BB5812">
        <w:rPr>
          <w:rFonts w:ascii="Arial" w:hAnsi="Arial" w:cs="Arial"/>
          <w:sz w:val="24"/>
          <w:szCs w:val="24"/>
        </w:rPr>
        <w:t>a proteger dicha información</w:t>
      </w:r>
      <w:r w:rsidR="00E01260" w:rsidRPr="00BB5812">
        <w:rPr>
          <w:rFonts w:ascii="Arial" w:hAnsi="Arial" w:cs="Arial"/>
          <w:b/>
          <w:sz w:val="24"/>
          <w:szCs w:val="24"/>
        </w:rPr>
        <w:t xml:space="preserve"> </w:t>
      </w:r>
      <w:r w:rsidR="00E01260"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E01260" w:rsidRPr="00BB5812">
        <w:rPr>
          <w:rFonts w:ascii="Arial" w:hAnsi="Arial" w:cs="Arial"/>
          <w:b/>
          <w:sz w:val="24"/>
          <w:szCs w:val="24"/>
        </w:rPr>
        <w:t xml:space="preserve">se ordena la publicación de la sentencia, </w:t>
      </w:r>
      <w:r w:rsidR="00E01260" w:rsidRPr="00BB5812">
        <w:rPr>
          <w:rFonts w:ascii="Arial" w:hAnsi="Arial" w:cs="Arial"/>
          <w:sz w:val="24"/>
          <w:szCs w:val="24"/>
        </w:rPr>
        <w:t>con la supresión de datos personales identificables, procurándose que no se impida conocer el criterio sostenido por este órgano jurisdiccional.</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23479EFE" w14:textId="77777777" w:rsidR="00F42CDD" w:rsidRDefault="00F42CDD" w:rsidP="00D2553B">
      <w:pPr>
        <w:tabs>
          <w:tab w:val="left" w:pos="3786"/>
        </w:tabs>
        <w:spacing w:line="360" w:lineRule="auto"/>
        <w:ind w:firstLine="708"/>
        <w:jc w:val="both"/>
        <w:rPr>
          <w:rFonts w:ascii="Arial" w:eastAsia="Calibri" w:hAnsi="Arial" w:cs="Arial"/>
          <w:color w:val="000000"/>
          <w:sz w:val="24"/>
          <w:szCs w:val="24"/>
          <w:lang w:val="es-MX" w:eastAsia="en-US"/>
        </w:rPr>
      </w:pPr>
    </w:p>
    <w:p w14:paraId="61D1203E" w14:textId="0DAB33F1"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7BF46AD5" w14:textId="77777777" w:rsidR="00F42CDD" w:rsidRPr="007B0581" w:rsidRDefault="00F42CDD" w:rsidP="00D2553B">
      <w:pPr>
        <w:tabs>
          <w:tab w:val="left" w:pos="3786"/>
        </w:tabs>
        <w:spacing w:line="360" w:lineRule="auto"/>
        <w:ind w:firstLine="708"/>
        <w:jc w:val="both"/>
        <w:rPr>
          <w:rFonts w:ascii="Arial" w:hAnsi="Arial" w:cs="Arial"/>
          <w:b/>
          <w:sz w:val="24"/>
          <w:szCs w:val="24"/>
        </w:rPr>
      </w:pP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7563BB41" w:rsidR="00585FAB"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0E13AA45" w14:textId="77777777" w:rsidR="00DE4530" w:rsidRPr="007B0581" w:rsidRDefault="00DE4530" w:rsidP="009B52E2">
      <w:pPr>
        <w:spacing w:line="360" w:lineRule="auto"/>
        <w:ind w:firstLine="708"/>
        <w:jc w:val="both"/>
        <w:rPr>
          <w:rFonts w:ascii="Arial" w:eastAsia="Calibri" w:hAnsi="Arial" w:cs="Arial"/>
          <w:color w:val="000000"/>
          <w:sz w:val="24"/>
          <w:szCs w:val="24"/>
          <w:lang w:val="es-MX" w:eastAsia="en-US"/>
        </w:rPr>
      </w:pPr>
    </w:p>
    <w:p w14:paraId="356163A1" w14:textId="70239893"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2B2CF4">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558B7DDC" w14:textId="22501FB4" w:rsidR="00585FAB" w:rsidRDefault="00585FAB" w:rsidP="002E79F8">
      <w:pPr>
        <w:spacing w:line="360" w:lineRule="auto"/>
        <w:ind w:right="51" w:firstLine="567"/>
        <w:contextualSpacing/>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00F674DC" w:rsidRPr="007B0581">
        <w:rPr>
          <w:rFonts w:ascii="Arial" w:hAnsi="Arial" w:cs="Arial"/>
          <w:b/>
          <w:sz w:val="24"/>
          <w:szCs w:val="24"/>
        </w:rPr>
        <w:t>TERCERO. -</w:t>
      </w:r>
      <w:r w:rsidRPr="007B0581">
        <w:rPr>
          <w:rFonts w:ascii="Arial" w:hAnsi="Arial" w:cs="Arial"/>
          <w:b/>
          <w:sz w:val="24"/>
          <w:szCs w:val="24"/>
          <w:lang w:val="es-MX"/>
        </w:rPr>
        <w:t xml:space="preserve"> </w:t>
      </w:r>
      <w:r w:rsidR="002E79F8" w:rsidRPr="0000623A">
        <w:rPr>
          <w:rFonts w:ascii="Arial" w:eastAsia="Calibri" w:hAnsi="Arial" w:cs="Arial"/>
          <w:b/>
          <w:bCs/>
          <w:color w:val="000000"/>
          <w:sz w:val="24"/>
          <w:szCs w:val="24"/>
          <w:lang w:val="es-MX" w:eastAsia="en-US"/>
        </w:rPr>
        <w:t>SE SOBRESEE</w:t>
      </w:r>
      <w:r w:rsidR="002E79F8">
        <w:rPr>
          <w:rFonts w:ascii="Arial" w:eastAsia="Calibri" w:hAnsi="Arial" w:cs="Arial"/>
          <w:b/>
          <w:bCs/>
          <w:color w:val="000000"/>
          <w:sz w:val="24"/>
          <w:szCs w:val="24"/>
          <w:lang w:val="es-MX" w:eastAsia="en-US"/>
        </w:rPr>
        <w:t xml:space="preserve"> </w:t>
      </w:r>
      <w:r w:rsidR="002E79F8" w:rsidRPr="002953D9">
        <w:rPr>
          <w:rFonts w:ascii="Arial" w:eastAsia="Calibri" w:hAnsi="Arial" w:cs="Arial"/>
          <w:color w:val="000000"/>
          <w:sz w:val="24"/>
          <w:szCs w:val="24"/>
          <w:lang w:val="es-MX" w:eastAsia="en-US"/>
        </w:rPr>
        <w:t>únicamente respecto de</w:t>
      </w:r>
      <w:r w:rsidR="002E79F8">
        <w:rPr>
          <w:rFonts w:ascii="Arial" w:eastAsia="Calibri" w:hAnsi="Arial" w:cs="Arial"/>
          <w:color w:val="000000"/>
          <w:sz w:val="24"/>
          <w:szCs w:val="24"/>
          <w:lang w:val="es-MX" w:eastAsia="en-US"/>
        </w:rPr>
        <w:t xml:space="preserve"> </w:t>
      </w:r>
      <w:r w:rsidR="002E79F8" w:rsidRPr="002953D9">
        <w:rPr>
          <w:rFonts w:ascii="Arial" w:eastAsia="Calibri" w:hAnsi="Arial" w:cs="Arial"/>
          <w:color w:val="000000"/>
          <w:sz w:val="24"/>
          <w:szCs w:val="24"/>
          <w:lang w:val="es-MX" w:eastAsia="en-US"/>
        </w:rPr>
        <w:t>l</w:t>
      </w:r>
      <w:r w:rsidR="002E79F8">
        <w:rPr>
          <w:rFonts w:ascii="Arial" w:eastAsia="Calibri" w:hAnsi="Arial" w:cs="Arial"/>
          <w:color w:val="000000"/>
          <w:sz w:val="24"/>
          <w:szCs w:val="24"/>
          <w:lang w:val="es-MX" w:eastAsia="en-US"/>
        </w:rPr>
        <w:t xml:space="preserve">a autoridad demandada, </w:t>
      </w:r>
      <w:r w:rsidR="008B2785">
        <w:rPr>
          <w:rFonts w:ascii="Arial" w:hAnsi="Arial" w:cs="Arial"/>
          <w:sz w:val="24"/>
          <w:szCs w:val="24"/>
        </w:rPr>
        <w:t>Fiscal General del Estado de Oaxaca</w:t>
      </w:r>
      <w:r w:rsidR="002E79F8" w:rsidRPr="007B0581">
        <w:rPr>
          <w:rFonts w:ascii="Arial" w:eastAsia="Calibri" w:hAnsi="Arial" w:cs="Arial"/>
          <w:color w:val="000000"/>
          <w:sz w:val="24"/>
          <w:szCs w:val="24"/>
          <w:lang w:val="es-MX" w:eastAsia="en-US"/>
        </w:rPr>
        <w:t>.</w:t>
      </w:r>
    </w:p>
    <w:p w14:paraId="4C4C3A55" w14:textId="77777777" w:rsidR="002E79F8" w:rsidRPr="007B0581" w:rsidRDefault="002E79F8" w:rsidP="002E79F8">
      <w:pPr>
        <w:spacing w:line="360" w:lineRule="auto"/>
        <w:ind w:right="51" w:firstLine="567"/>
        <w:contextualSpacing/>
        <w:jc w:val="both"/>
        <w:rPr>
          <w:rFonts w:ascii="Arial" w:hAnsi="Arial" w:cs="Arial"/>
          <w:sz w:val="24"/>
          <w:szCs w:val="24"/>
          <w:lang w:val="es-MX"/>
        </w:rPr>
      </w:pPr>
    </w:p>
    <w:p w14:paraId="636835E4" w14:textId="6D4331FA" w:rsidR="001139C7"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w:t>
      </w:r>
      <w:r w:rsidR="008B2785">
        <w:rPr>
          <w:rFonts w:ascii="Arial" w:hAnsi="Arial" w:cs="Arial"/>
          <w:sz w:val="24"/>
          <w:szCs w:val="24"/>
        </w:rPr>
        <w:t xml:space="preserve">del oficio </w:t>
      </w:r>
      <w:r w:rsidR="00EC41EF">
        <w:rPr>
          <w:rFonts w:cs="Arial"/>
          <w:b/>
          <w:sz w:val="24"/>
          <w:szCs w:val="24"/>
        </w:rPr>
        <w:t>**********</w:t>
      </w:r>
      <w:r w:rsidR="00EC41EF">
        <w:rPr>
          <w:rFonts w:cs="Arial"/>
          <w:b/>
          <w:sz w:val="24"/>
          <w:szCs w:val="24"/>
        </w:rPr>
        <w:t xml:space="preserve"> </w:t>
      </w:r>
      <w:r w:rsidR="008B2785">
        <w:rPr>
          <w:rFonts w:ascii="Arial" w:hAnsi="Arial" w:cs="Arial"/>
          <w:sz w:val="24"/>
          <w:szCs w:val="24"/>
        </w:rPr>
        <w:t>de veintiuno de septiembre de dos mil veinte, signad</w:t>
      </w:r>
      <w:r w:rsidR="005A0FC9">
        <w:rPr>
          <w:rFonts w:ascii="Arial" w:hAnsi="Arial" w:cs="Arial"/>
          <w:sz w:val="24"/>
          <w:szCs w:val="24"/>
        </w:rPr>
        <w:t>o</w:t>
      </w:r>
      <w:r w:rsidR="008B2785">
        <w:rPr>
          <w:rFonts w:ascii="Arial" w:hAnsi="Arial" w:cs="Arial"/>
          <w:sz w:val="24"/>
          <w:szCs w:val="24"/>
        </w:rPr>
        <w:t xml:space="preserve"> por el </w:t>
      </w:r>
      <w:r w:rsidR="008B2785" w:rsidRPr="008B2785">
        <w:rPr>
          <w:rFonts w:ascii="Arial" w:hAnsi="Arial" w:cs="Arial"/>
          <w:b/>
          <w:bCs/>
          <w:sz w:val="24"/>
          <w:szCs w:val="24"/>
        </w:rPr>
        <w:t>Oficial Mayor de la Fiscalía General del Estado</w:t>
      </w:r>
      <w:r w:rsidR="0010270B">
        <w:rPr>
          <w:rFonts w:ascii="Arial" w:hAnsi="Arial" w:cs="Arial"/>
          <w:bCs/>
          <w:sz w:val="24"/>
          <w:szCs w:val="24"/>
        </w:rPr>
        <w:t>,</w:t>
      </w:r>
      <w:r w:rsidR="003536DC">
        <w:rPr>
          <w:rFonts w:ascii="Arial" w:hAnsi="Arial" w:cs="Arial"/>
          <w:bCs/>
          <w:sz w:val="24"/>
          <w:szCs w:val="24"/>
        </w:rPr>
        <w:t xml:space="preserve"> </w:t>
      </w:r>
      <w:r w:rsidR="003536DC" w:rsidRPr="003536DC">
        <w:rPr>
          <w:rFonts w:ascii="Arial" w:hAnsi="Arial" w:cs="Arial"/>
          <w:b/>
          <w:sz w:val="24"/>
          <w:szCs w:val="24"/>
        </w:rPr>
        <w:t>PARA EL EFECTO</w:t>
      </w:r>
      <w:r w:rsidR="003536DC">
        <w:rPr>
          <w:rFonts w:ascii="Arial" w:hAnsi="Arial" w:cs="Arial"/>
          <w:bCs/>
          <w:sz w:val="24"/>
          <w:szCs w:val="24"/>
        </w:rPr>
        <w:t xml:space="preserve"> </w:t>
      </w:r>
      <w:r w:rsidR="00DE4530" w:rsidRPr="007B0581">
        <w:rPr>
          <w:rFonts w:ascii="Arial" w:hAnsi="Arial" w:cs="Arial"/>
          <w:sz w:val="24"/>
          <w:szCs w:val="24"/>
        </w:rPr>
        <w:t xml:space="preserve">de que dicte otro en los términos indicados en el considerando </w:t>
      </w:r>
      <w:r w:rsidR="00DE4530" w:rsidRPr="00DE4530">
        <w:rPr>
          <w:rFonts w:ascii="Arial" w:hAnsi="Arial" w:cs="Arial"/>
          <w:b/>
          <w:bCs/>
          <w:sz w:val="24"/>
          <w:szCs w:val="24"/>
        </w:rPr>
        <w:t>CUARTO</w:t>
      </w:r>
      <w:r w:rsidR="00DE4530" w:rsidRPr="007B0581">
        <w:rPr>
          <w:rFonts w:ascii="Arial" w:hAnsi="Arial" w:cs="Arial"/>
          <w:sz w:val="24"/>
          <w:szCs w:val="24"/>
        </w:rPr>
        <w:t xml:space="preserve"> de la presente sentencia.</w:t>
      </w:r>
    </w:p>
    <w:p w14:paraId="7CEDA7FF" w14:textId="77777777" w:rsidR="00F42CDD" w:rsidRPr="007B0581" w:rsidRDefault="00F42CDD" w:rsidP="009B52E2">
      <w:pPr>
        <w:spacing w:line="360" w:lineRule="auto"/>
        <w:ind w:right="51" w:firstLine="567"/>
        <w:jc w:val="both"/>
        <w:rPr>
          <w:rFonts w:ascii="Arial" w:hAnsi="Arial" w:cs="Arial"/>
          <w:sz w:val="24"/>
          <w:szCs w:val="24"/>
        </w:rPr>
      </w:pPr>
    </w:p>
    <w:p w14:paraId="7CA8C415" w14:textId="6168460C" w:rsidR="00585FAB"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w:t>
      </w:r>
      <w:r w:rsidR="0000623A">
        <w:rPr>
          <w:rFonts w:ascii="Arial" w:eastAsia="Calibri" w:hAnsi="Arial" w:cs="Arial"/>
          <w:color w:val="000000"/>
          <w:sz w:val="24"/>
          <w:szCs w:val="24"/>
          <w:lang w:val="es-MX" w:eastAsia="en-US"/>
        </w:rPr>
        <w:t xml:space="preserve"> </w:t>
      </w:r>
      <w:r w:rsidR="006F0FD2">
        <w:rPr>
          <w:rFonts w:ascii="Arial" w:eastAsia="Calibri" w:hAnsi="Arial" w:cs="Arial"/>
          <w:color w:val="000000"/>
          <w:sz w:val="24"/>
          <w:szCs w:val="24"/>
          <w:lang w:val="es-MX" w:eastAsia="en-US"/>
        </w:rPr>
        <w:t>demandada y</w:t>
      </w:r>
      <w:r w:rsidR="003F0EEB">
        <w:rPr>
          <w:rFonts w:ascii="Arial" w:eastAsia="Calibri" w:hAnsi="Arial" w:cs="Arial"/>
          <w:color w:val="000000"/>
          <w:sz w:val="24"/>
          <w:szCs w:val="24"/>
          <w:lang w:val="es-MX" w:eastAsia="en-US"/>
        </w:rPr>
        <w:t xml:space="preserve"> autoridad</w:t>
      </w:r>
      <w:r w:rsidR="006F0FD2">
        <w:rPr>
          <w:rFonts w:ascii="Arial" w:eastAsia="Calibri" w:hAnsi="Arial" w:cs="Arial"/>
          <w:color w:val="000000"/>
          <w:sz w:val="24"/>
          <w:szCs w:val="24"/>
          <w:lang w:val="es-MX" w:eastAsia="en-US"/>
        </w:rPr>
        <w:t xml:space="preserve"> </w:t>
      </w:r>
      <w:r w:rsidR="006F0FD2" w:rsidRPr="003F0EEB">
        <w:rPr>
          <w:rFonts w:ascii="Arial" w:eastAsia="Calibri" w:hAnsi="Arial" w:cs="Arial"/>
          <w:color w:val="000000"/>
          <w:sz w:val="24"/>
          <w:szCs w:val="24"/>
          <w:lang w:val="es-MX" w:eastAsia="en-US"/>
        </w:rPr>
        <w:t>obligada al cu</w:t>
      </w:r>
      <w:r w:rsidR="006F0FD2">
        <w:rPr>
          <w:rFonts w:ascii="Arial" w:eastAsia="Calibri" w:hAnsi="Arial" w:cs="Arial"/>
          <w:color w:val="000000"/>
          <w:sz w:val="24"/>
          <w:szCs w:val="24"/>
          <w:lang w:val="es-MX" w:eastAsia="en-US"/>
        </w:rPr>
        <w:t>mplimiento</w:t>
      </w:r>
      <w:r w:rsidR="003F0EEB">
        <w:rPr>
          <w:rFonts w:ascii="Arial" w:eastAsia="Calibri" w:hAnsi="Arial" w:cs="Arial"/>
          <w:color w:val="000000"/>
          <w:sz w:val="24"/>
          <w:szCs w:val="24"/>
          <w:lang w:val="es-MX" w:eastAsia="en-US"/>
        </w:rPr>
        <w:t xml:space="preserve">, </w:t>
      </w:r>
      <w:r w:rsidR="003F0EEB">
        <w:rPr>
          <w:rFonts w:ascii="Arial" w:hAnsi="Arial" w:cs="Arial"/>
          <w:sz w:val="24"/>
          <w:szCs w:val="24"/>
        </w:rPr>
        <w:t>Secretaría de Administración del Poder Ejecutivo del Gobierno del Estado de Oaxaca</w:t>
      </w:r>
      <w:r w:rsidRPr="007B0581">
        <w:rPr>
          <w:rFonts w:ascii="Arial" w:eastAsia="Calibri" w:hAnsi="Arial" w:cs="Arial"/>
          <w:color w:val="000000"/>
          <w:sz w:val="24"/>
          <w:szCs w:val="24"/>
          <w:lang w:val="es-MX" w:eastAsia="en-US"/>
        </w:rPr>
        <w:t>.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85419F7" w14:textId="77777777" w:rsidR="00647B80" w:rsidRPr="007B0581" w:rsidRDefault="00647B80" w:rsidP="009B52E2">
      <w:pPr>
        <w:spacing w:line="360" w:lineRule="auto"/>
        <w:ind w:right="51" w:firstLine="567"/>
        <w:jc w:val="both"/>
        <w:rPr>
          <w:rFonts w:ascii="Arial" w:eastAsia="Calibri" w:hAnsi="Arial" w:cs="Arial"/>
          <w:b/>
          <w:color w:val="000000"/>
          <w:sz w:val="24"/>
          <w:szCs w:val="24"/>
          <w:lang w:val="es-MX" w:eastAsia="en-US"/>
        </w:rPr>
      </w:pP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8B367A6" w14:textId="18C850D7" w:rsidR="00867DE5" w:rsidRPr="007B0581" w:rsidRDefault="00585FAB" w:rsidP="006E5FC7">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sectPr w:rsidR="00867DE5" w:rsidRPr="007B0581" w:rsidSect="004262C5">
      <w:headerReference w:type="default" r:id="rId11"/>
      <w:footerReference w:type="default" r:id="rId12"/>
      <w:headerReference w:type="first" r:id="rId13"/>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7E7DE" w14:textId="77777777" w:rsidR="00723F42" w:rsidRDefault="00723F42" w:rsidP="00C22D0D">
      <w:r>
        <w:separator/>
      </w:r>
    </w:p>
  </w:endnote>
  <w:endnote w:type="continuationSeparator" w:id="0">
    <w:p w14:paraId="4AF5BF59" w14:textId="77777777" w:rsidR="00723F42" w:rsidRDefault="00723F42"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47893165" w:rsidR="00A73AD7" w:rsidRDefault="00A73AD7">
        <w:pPr>
          <w:pStyle w:val="Piedepgina"/>
          <w:jc w:val="center"/>
        </w:pPr>
        <w:r>
          <w:fldChar w:fldCharType="begin"/>
        </w:r>
        <w:r>
          <w:instrText>PAGE   \* MERGEFORMAT</w:instrText>
        </w:r>
        <w:r>
          <w:fldChar w:fldCharType="separate"/>
        </w:r>
        <w:r w:rsidR="004262C5">
          <w:rPr>
            <w:noProof/>
          </w:rPr>
          <w:t>13</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D3FA5" w14:textId="77777777" w:rsidR="00723F42" w:rsidRDefault="00723F42" w:rsidP="00C22D0D">
      <w:r>
        <w:separator/>
      </w:r>
    </w:p>
  </w:footnote>
  <w:footnote w:type="continuationSeparator" w:id="0">
    <w:p w14:paraId="43EF68FE" w14:textId="77777777" w:rsidR="00723F42" w:rsidRDefault="00723F42"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7538DA9C" w:rsidR="00C22D0D" w:rsidRPr="00A73AD7" w:rsidRDefault="004262C5" w:rsidP="00A73AD7">
    <w:pPr>
      <w:pStyle w:val="Encabezado"/>
      <w:jc w:val="right"/>
      <w:rPr>
        <w:rFonts w:ascii="Arial" w:hAnsi="Arial" w:cs="Arial"/>
      </w:rPr>
    </w:pPr>
    <w:r>
      <w:rPr>
        <w:rFonts w:eastAsiaTheme="minorHAnsi"/>
        <w:noProof/>
        <w:sz w:val="24"/>
        <w:szCs w:val="24"/>
        <w:lang w:val="es-MX"/>
      </w:rPr>
      <mc:AlternateContent>
        <mc:Choice Requires="wps">
          <w:drawing>
            <wp:anchor distT="45720" distB="45720" distL="114300" distR="114300" simplePos="0" relativeHeight="251667456" behindDoc="1" locked="0" layoutInCell="1" allowOverlap="1" wp14:anchorId="1DACBD41" wp14:editId="5537382F">
              <wp:simplePos x="0" y="0"/>
              <wp:positionH relativeFrom="leftMargin">
                <wp:posOffset>282712</wp:posOffset>
              </wp:positionH>
              <wp:positionV relativeFrom="paragraph">
                <wp:posOffset>4651809</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6E53A9D" w14:textId="77777777" w:rsidR="004262C5" w:rsidRDefault="004262C5" w:rsidP="004262C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ACBD41" id="_x0000_t202" coordsize="21600,21600" o:spt="202" path="m,l,21600r21600,l21600,xe">
              <v:stroke joinstyle="miter"/>
              <v:path gradientshapeok="t" o:connecttype="rect"/>
            </v:shapetype>
            <v:shape id="Cuadro de texto 4" o:spid="_x0000_s1026" type="#_x0000_t202" style="position:absolute;left:0;text-align:left;margin-left:22.25pt;margin-top:366.3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">
              <v:textbox>
                <w:txbxContent>
                  <w:p w14:paraId="06E53A9D" w14:textId="77777777" w:rsidR="004262C5" w:rsidRDefault="004262C5" w:rsidP="004262C5">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59671292">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008E">
      <w:rPr>
        <w:rFonts w:ascii="Arial" w:hAnsi="Arial" w:cs="Arial"/>
      </w:rPr>
      <w:t>0</w:t>
    </w:r>
    <w:r w:rsidR="00CC51BD">
      <w:rPr>
        <w:rFonts w:ascii="Arial" w:hAnsi="Arial" w:cs="Arial"/>
      </w:rPr>
      <w:t>17</w:t>
    </w:r>
    <w:r w:rsidR="00375D91">
      <w:rPr>
        <w:rFonts w:ascii="Arial" w:hAnsi="Arial" w:cs="Arial"/>
      </w:rPr>
      <w:t>4</w:t>
    </w:r>
    <w:r w:rsidR="00A73AD7" w:rsidRPr="00A73AD7">
      <w:rPr>
        <w:rFonts w:ascii="Arial" w:hAnsi="Arial" w:cs="Arial"/>
      </w:rPr>
      <w:t>/20</w:t>
    </w:r>
    <w:r w:rsidR="00360DC1">
      <w:rPr>
        <w:rFonts w:ascii="Arial" w:hAnsi="Arial" w:cs="Arial"/>
      </w:rPr>
      <w:t>2</w:t>
    </w:r>
    <w:r w:rsidR="00CC51BD">
      <w:rPr>
        <w:rFonts w:ascii="Arial" w:hAnsi="Arial" w:cs="Arial"/>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242D3EF9" w:rsidR="00065664" w:rsidRDefault="004262C5">
    <w:pPr>
      <w:pStyle w:val="Encabezado"/>
    </w:pPr>
    <w:r>
      <w:rPr>
        <w:rFonts w:eastAsiaTheme="minorHAnsi"/>
        <w:noProof/>
        <w:sz w:val="24"/>
        <w:szCs w:val="24"/>
        <w:lang w:val="es-MX"/>
      </w:rPr>
      <mc:AlternateContent>
        <mc:Choice Requires="wps">
          <w:drawing>
            <wp:anchor distT="45720" distB="45720" distL="114300" distR="114300" simplePos="0" relativeHeight="251665408" behindDoc="1" locked="0" layoutInCell="1" allowOverlap="1" wp14:anchorId="44EB5D51" wp14:editId="44645CB5">
              <wp:simplePos x="0" y="0"/>
              <wp:positionH relativeFrom="leftMargin">
                <wp:posOffset>252482</wp:posOffset>
              </wp:positionH>
              <wp:positionV relativeFrom="paragraph">
                <wp:posOffset>5644874</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467D0FC" w14:textId="77777777" w:rsidR="004262C5" w:rsidRDefault="004262C5" w:rsidP="004262C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EB5D51" id="_x0000_t202" coordsize="21600,21600" o:spt="202" path="m,l,21600r21600,l21600,xe">
              <v:stroke joinstyle="miter"/>
              <v:path gradientshapeok="t" o:connecttype="rect"/>
            </v:shapetype>
            <v:shape id="Cuadro de texto 5" o:spid="_x0000_s1027" type="#_x0000_t202" style="position:absolute;margin-left:19.9pt;margin-top:444.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">
              <v:textbox>
                <w:txbxContent>
                  <w:p w14:paraId="1467D0FC" w14:textId="77777777" w:rsidR="004262C5" w:rsidRDefault="004262C5" w:rsidP="004262C5">
                    <w:pPr>
                      <w:jc w:val="center"/>
                    </w:pPr>
                    <w:r>
                      <w:t>DATOS PERSONALES PROTEGIDOS POR EL ART.- 116 DE LA LGTAIP Y EL ART.- 61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5E85C64A">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D372E9E"/>
    <w:multiLevelType w:val="hybridMultilevel"/>
    <w:tmpl w:val="05F254FC"/>
    <w:lvl w:ilvl="0" w:tplc="60868CA4">
      <w:start w:val="2"/>
      <w:numFmt w:val="upperLetter"/>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6D0B7D17"/>
    <w:multiLevelType w:val="hybridMultilevel"/>
    <w:tmpl w:val="BD5AB3C4"/>
    <w:lvl w:ilvl="0" w:tplc="26A4E8FC">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6E7250A1"/>
    <w:multiLevelType w:val="hybridMultilevel"/>
    <w:tmpl w:val="AAA89984"/>
    <w:lvl w:ilvl="0" w:tplc="D2C448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5FF9"/>
    <w:rsid w:val="0000623A"/>
    <w:rsid w:val="00007EBE"/>
    <w:rsid w:val="00007F33"/>
    <w:rsid w:val="00010253"/>
    <w:rsid w:val="000113F6"/>
    <w:rsid w:val="000119A6"/>
    <w:rsid w:val="00011FC0"/>
    <w:rsid w:val="00014485"/>
    <w:rsid w:val="0001538D"/>
    <w:rsid w:val="00015A88"/>
    <w:rsid w:val="0001663D"/>
    <w:rsid w:val="00016D4A"/>
    <w:rsid w:val="00016E15"/>
    <w:rsid w:val="00022216"/>
    <w:rsid w:val="00024C8B"/>
    <w:rsid w:val="00026CF5"/>
    <w:rsid w:val="00027543"/>
    <w:rsid w:val="00030AD1"/>
    <w:rsid w:val="000334C2"/>
    <w:rsid w:val="00033D80"/>
    <w:rsid w:val="00035972"/>
    <w:rsid w:val="0003697E"/>
    <w:rsid w:val="0004516B"/>
    <w:rsid w:val="000452D2"/>
    <w:rsid w:val="000558E9"/>
    <w:rsid w:val="00056002"/>
    <w:rsid w:val="00057E33"/>
    <w:rsid w:val="000635B0"/>
    <w:rsid w:val="00064007"/>
    <w:rsid w:val="00065664"/>
    <w:rsid w:val="00065ED6"/>
    <w:rsid w:val="00066864"/>
    <w:rsid w:val="000668F8"/>
    <w:rsid w:val="000674E2"/>
    <w:rsid w:val="0007145C"/>
    <w:rsid w:val="00073204"/>
    <w:rsid w:val="00074F8E"/>
    <w:rsid w:val="00076E94"/>
    <w:rsid w:val="0007790A"/>
    <w:rsid w:val="0008061F"/>
    <w:rsid w:val="000842AB"/>
    <w:rsid w:val="000846EF"/>
    <w:rsid w:val="00084BE9"/>
    <w:rsid w:val="000851D6"/>
    <w:rsid w:val="00090C4D"/>
    <w:rsid w:val="000918E0"/>
    <w:rsid w:val="000953BE"/>
    <w:rsid w:val="000956C2"/>
    <w:rsid w:val="0009625C"/>
    <w:rsid w:val="000A1299"/>
    <w:rsid w:val="000A3BB8"/>
    <w:rsid w:val="000A580B"/>
    <w:rsid w:val="000A7A44"/>
    <w:rsid w:val="000B0104"/>
    <w:rsid w:val="000B49F5"/>
    <w:rsid w:val="000C1565"/>
    <w:rsid w:val="000C2C1E"/>
    <w:rsid w:val="000C386C"/>
    <w:rsid w:val="000C4E31"/>
    <w:rsid w:val="000C6227"/>
    <w:rsid w:val="000C6C60"/>
    <w:rsid w:val="000C70E9"/>
    <w:rsid w:val="000D6698"/>
    <w:rsid w:val="000E2777"/>
    <w:rsid w:val="000E6AD5"/>
    <w:rsid w:val="000E6E1A"/>
    <w:rsid w:val="000F0020"/>
    <w:rsid w:val="000F1624"/>
    <w:rsid w:val="000F2109"/>
    <w:rsid w:val="000F4F36"/>
    <w:rsid w:val="000F5690"/>
    <w:rsid w:val="000F783C"/>
    <w:rsid w:val="000F7B39"/>
    <w:rsid w:val="0010270B"/>
    <w:rsid w:val="00102BDC"/>
    <w:rsid w:val="00102FFD"/>
    <w:rsid w:val="001032C8"/>
    <w:rsid w:val="001033A1"/>
    <w:rsid w:val="001056AB"/>
    <w:rsid w:val="00106927"/>
    <w:rsid w:val="001139C7"/>
    <w:rsid w:val="00120259"/>
    <w:rsid w:val="00120C20"/>
    <w:rsid w:val="0012261E"/>
    <w:rsid w:val="001239DA"/>
    <w:rsid w:val="0012511D"/>
    <w:rsid w:val="00125E72"/>
    <w:rsid w:val="00127277"/>
    <w:rsid w:val="00132CE4"/>
    <w:rsid w:val="001341D3"/>
    <w:rsid w:val="00135D86"/>
    <w:rsid w:val="0013609B"/>
    <w:rsid w:val="001368CA"/>
    <w:rsid w:val="00137C1A"/>
    <w:rsid w:val="00140569"/>
    <w:rsid w:val="00141F97"/>
    <w:rsid w:val="0014397E"/>
    <w:rsid w:val="00143AA3"/>
    <w:rsid w:val="00146E21"/>
    <w:rsid w:val="001506AE"/>
    <w:rsid w:val="00150F4B"/>
    <w:rsid w:val="00155049"/>
    <w:rsid w:val="00160E9C"/>
    <w:rsid w:val="00163861"/>
    <w:rsid w:val="00164147"/>
    <w:rsid w:val="00165D83"/>
    <w:rsid w:val="00166D0B"/>
    <w:rsid w:val="00166D55"/>
    <w:rsid w:val="00171A26"/>
    <w:rsid w:val="00172955"/>
    <w:rsid w:val="00174DD0"/>
    <w:rsid w:val="00175A93"/>
    <w:rsid w:val="00176D7B"/>
    <w:rsid w:val="00180A3F"/>
    <w:rsid w:val="00184BC3"/>
    <w:rsid w:val="00187FC0"/>
    <w:rsid w:val="0019376B"/>
    <w:rsid w:val="001939EE"/>
    <w:rsid w:val="00194DD8"/>
    <w:rsid w:val="001968FD"/>
    <w:rsid w:val="00196F6D"/>
    <w:rsid w:val="00197467"/>
    <w:rsid w:val="001A4D53"/>
    <w:rsid w:val="001A7D4E"/>
    <w:rsid w:val="001B0398"/>
    <w:rsid w:val="001B0B86"/>
    <w:rsid w:val="001B1AB4"/>
    <w:rsid w:val="001B3349"/>
    <w:rsid w:val="001B3B32"/>
    <w:rsid w:val="001B4F0D"/>
    <w:rsid w:val="001B5355"/>
    <w:rsid w:val="001B64DB"/>
    <w:rsid w:val="001C2DF2"/>
    <w:rsid w:val="001D09AA"/>
    <w:rsid w:val="001D0E37"/>
    <w:rsid w:val="001D0F1F"/>
    <w:rsid w:val="001D150B"/>
    <w:rsid w:val="001D58F3"/>
    <w:rsid w:val="001D646E"/>
    <w:rsid w:val="001D7125"/>
    <w:rsid w:val="001D7D2E"/>
    <w:rsid w:val="001E16C9"/>
    <w:rsid w:val="001E1A6A"/>
    <w:rsid w:val="001E2D6D"/>
    <w:rsid w:val="001E5467"/>
    <w:rsid w:val="001F71A7"/>
    <w:rsid w:val="001F74CA"/>
    <w:rsid w:val="00200A56"/>
    <w:rsid w:val="00201191"/>
    <w:rsid w:val="00201D27"/>
    <w:rsid w:val="00203F90"/>
    <w:rsid w:val="00206287"/>
    <w:rsid w:val="00206E78"/>
    <w:rsid w:val="0021005D"/>
    <w:rsid w:val="00210866"/>
    <w:rsid w:val="00212F77"/>
    <w:rsid w:val="0021675C"/>
    <w:rsid w:val="00221647"/>
    <w:rsid w:val="002226BC"/>
    <w:rsid w:val="00223BE0"/>
    <w:rsid w:val="0022701F"/>
    <w:rsid w:val="00232678"/>
    <w:rsid w:val="00234557"/>
    <w:rsid w:val="0023606C"/>
    <w:rsid w:val="00240F8A"/>
    <w:rsid w:val="00243030"/>
    <w:rsid w:val="00243705"/>
    <w:rsid w:val="0024583D"/>
    <w:rsid w:val="00246A0A"/>
    <w:rsid w:val="0024705C"/>
    <w:rsid w:val="00252336"/>
    <w:rsid w:val="00253796"/>
    <w:rsid w:val="00254F0F"/>
    <w:rsid w:val="00255783"/>
    <w:rsid w:val="0026074B"/>
    <w:rsid w:val="00262BD0"/>
    <w:rsid w:val="00270EE2"/>
    <w:rsid w:val="0027261E"/>
    <w:rsid w:val="002743F4"/>
    <w:rsid w:val="00275CCE"/>
    <w:rsid w:val="002778A5"/>
    <w:rsid w:val="00281AAA"/>
    <w:rsid w:val="00283F23"/>
    <w:rsid w:val="00284F72"/>
    <w:rsid w:val="00286489"/>
    <w:rsid w:val="00286593"/>
    <w:rsid w:val="002943AA"/>
    <w:rsid w:val="00294A96"/>
    <w:rsid w:val="00295DBB"/>
    <w:rsid w:val="00296F18"/>
    <w:rsid w:val="00296F93"/>
    <w:rsid w:val="002970D0"/>
    <w:rsid w:val="002A0A1A"/>
    <w:rsid w:val="002A3E0F"/>
    <w:rsid w:val="002A481C"/>
    <w:rsid w:val="002A6617"/>
    <w:rsid w:val="002A7A14"/>
    <w:rsid w:val="002B133C"/>
    <w:rsid w:val="002B20A0"/>
    <w:rsid w:val="002B2CF4"/>
    <w:rsid w:val="002B36E5"/>
    <w:rsid w:val="002B54A2"/>
    <w:rsid w:val="002C064D"/>
    <w:rsid w:val="002C25CA"/>
    <w:rsid w:val="002C4FF6"/>
    <w:rsid w:val="002C692C"/>
    <w:rsid w:val="002C74D5"/>
    <w:rsid w:val="002D3C7A"/>
    <w:rsid w:val="002D5BA6"/>
    <w:rsid w:val="002D5E31"/>
    <w:rsid w:val="002D5E56"/>
    <w:rsid w:val="002D7A9F"/>
    <w:rsid w:val="002E171A"/>
    <w:rsid w:val="002E3177"/>
    <w:rsid w:val="002E4380"/>
    <w:rsid w:val="002E4A79"/>
    <w:rsid w:val="002E6B26"/>
    <w:rsid w:val="002E7553"/>
    <w:rsid w:val="002E79F8"/>
    <w:rsid w:val="002E7FDD"/>
    <w:rsid w:val="002F3241"/>
    <w:rsid w:val="002F397A"/>
    <w:rsid w:val="002F5D42"/>
    <w:rsid w:val="002F5F0B"/>
    <w:rsid w:val="002F6F1F"/>
    <w:rsid w:val="00307BA1"/>
    <w:rsid w:val="0031136B"/>
    <w:rsid w:val="003117AB"/>
    <w:rsid w:val="00311E73"/>
    <w:rsid w:val="0031327F"/>
    <w:rsid w:val="0031383C"/>
    <w:rsid w:val="00313AD5"/>
    <w:rsid w:val="00314AA9"/>
    <w:rsid w:val="00316A30"/>
    <w:rsid w:val="00317E82"/>
    <w:rsid w:val="00320787"/>
    <w:rsid w:val="003208EA"/>
    <w:rsid w:val="00322EDF"/>
    <w:rsid w:val="003230BE"/>
    <w:rsid w:val="00324E9C"/>
    <w:rsid w:val="0032516E"/>
    <w:rsid w:val="00326725"/>
    <w:rsid w:val="0032692B"/>
    <w:rsid w:val="00326E0E"/>
    <w:rsid w:val="0033366A"/>
    <w:rsid w:val="00333C75"/>
    <w:rsid w:val="00335802"/>
    <w:rsid w:val="003378EF"/>
    <w:rsid w:val="00337D62"/>
    <w:rsid w:val="003407F3"/>
    <w:rsid w:val="003409AC"/>
    <w:rsid w:val="00342C31"/>
    <w:rsid w:val="00343435"/>
    <w:rsid w:val="003453BE"/>
    <w:rsid w:val="00345D40"/>
    <w:rsid w:val="0034638B"/>
    <w:rsid w:val="0035069C"/>
    <w:rsid w:val="003536DC"/>
    <w:rsid w:val="00353EF3"/>
    <w:rsid w:val="0035736B"/>
    <w:rsid w:val="00357684"/>
    <w:rsid w:val="00357A28"/>
    <w:rsid w:val="00360DC1"/>
    <w:rsid w:val="003636E1"/>
    <w:rsid w:val="00363F3A"/>
    <w:rsid w:val="00364B36"/>
    <w:rsid w:val="00364F56"/>
    <w:rsid w:val="003654F6"/>
    <w:rsid w:val="003655F5"/>
    <w:rsid w:val="003670DF"/>
    <w:rsid w:val="00367EA3"/>
    <w:rsid w:val="00370340"/>
    <w:rsid w:val="003725F2"/>
    <w:rsid w:val="0037279C"/>
    <w:rsid w:val="00373626"/>
    <w:rsid w:val="003745F5"/>
    <w:rsid w:val="00374895"/>
    <w:rsid w:val="00375D91"/>
    <w:rsid w:val="00375E60"/>
    <w:rsid w:val="0037665E"/>
    <w:rsid w:val="00376DE6"/>
    <w:rsid w:val="0039061D"/>
    <w:rsid w:val="00390807"/>
    <w:rsid w:val="00390F91"/>
    <w:rsid w:val="003929EF"/>
    <w:rsid w:val="003949C6"/>
    <w:rsid w:val="00395E43"/>
    <w:rsid w:val="00397620"/>
    <w:rsid w:val="00397EDB"/>
    <w:rsid w:val="003A2CC7"/>
    <w:rsid w:val="003A640E"/>
    <w:rsid w:val="003B06F3"/>
    <w:rsid w:val="003B07FD"/>
    <w:rsid w:val="003B16E1"/>
    <w:rsid w:val="003B1CD6"/>
    <w:rsid w:val="003B4BEA"/>
    <w:rsid w:val="003B517B"/>
    <w:rsid w:val="003B5AA7"/>
    <w:rsid w:val="003B6272"/>
    <w:rsid w:val="003B6A4B"/>
    <w:rsid w:val="003C12CB"/>
    <w:rsid w:val="003C2517"/>
    <w:rsid w:val="003C2799"/>
    <w:rsid w:val="003C7336"/>
    <w:rsid w:val="003C7CC5"/>
    <w:rsid w:val="003D07D3"/>
    <w:rsid w:val="003D1C33"/>
    <w:rsid w:val="003D1CD9"/>
    <w:rsid w:val="003E51C7"/>
    <w:rsid w:val="003E568B"/>
    <w:rsid w:val="003E7F8F"/>
    <w:rsid w:val="003F0EEB"/>
    <w:rsid w:val="003F1FFF"/>
    <w:rsid w:val="003F254F"/>
    <w:rsid w:val="003F4389"/>
    <w:rsid w:val="003F5445"/>
    <w:rsid w:val="003F738C"/>
    <w:rsid w:val="00400744"/>
    <w:rsid w:val="00402395"/>
    <w:rsid w:val="004027A4"/>
    <w:rsid w:val="00406044"/>
    <w:rsid w:val="004100FD"/>
    <w:rsid w:val="0041211F"/>
    <w:rsid w:val="00417493"/>
    <w:rsid w:val="004259B2"/>
    <w:rsid w:val="004262C5"/>
    <w:rsid w:val="00426EE2"/>
    <w:rsid w:val="00430161"/>
    <w:rsid w:val="0043120A"/>
    <w:rsid w:val="00431B90"/>
    <w:rsid w:val="00432566"/>
    <w:rsid w:val="00435513"/>
    <w:rsid w:val="004402CE"/>
    <w:rsid w:val="00442CE9"/>
    <w:rsid w:val="00444A9F"/>
    <w:rsid w:val="004450BA"/>
    <w:rsid w:val="00450F12"/>
    <w:rsid w:val="00451A1E"/>
    <w:rsid w:val="004558A9"/>
    <w:rsid w:val="0045685C"/>
    <w:rsid w:val="0046046B"/>
    <w:rsid w:val="00461914"/>
    <w:rsid w:val="00462917"/>
    <w:rsid w:val="004646BE"/>
    <w:rsid w:val="00466AD6"/>
    <w:rsid w:val="00466E39"/>
    <w:rsid w:val="00467C41"/>
    <w:rsid w:val="00470B16"/>
    <w:rsid w:val="00471C70"/>
    <w:rsid w:val="00471E25"/>
    <w:rsid w:val="004726AC"/>
    <w:rsid w:val="0047304E"/>
    <w:rsid w:val="00473175"/>
    <w:rsid w:val="00473225"/>
    <w:rsid w:val="0047510F"/>
    <w:rsid w:val="0047561F"/>
    <w:rsid w:val="00476C85"/>
    <w:rsid w:val="00476EE3"/>
    <w:rsid w:val="00481687"/>
    <w:rsid w:val="004819EC"/>
    <w:rsid w:val="00482C7A"/>
    <w:rsid w:val="00483AFA"/>
    <w:rsid w:val="0049063F"/>
    <w:rsid w:val="004914E3"/>
    <w:rsid w:val="004A3055"/>
    <w:rsid w:val="004A35A5"/>
    <w:rsid w:val="004A7385"/>
    <w:rsid w:val="004B3214"/>
    <w:rsid w:val="004B3FD5"/>
    <w:rsid w:val="004B5E94"/>
    <w:rsid w:val="004C142F"/>
    <w:rsid w:val="004C3BAE"/>
    <w:rsid w:val="004C4910"/>
    <w:rsid w:val="004C598E"/>
    <w:rsid w:val="004D1EE1"/>
    <w:rsid w:val="004D2858"/>
    <w:rsid w:val="004D31AE"/>
    <w:rsid w:val="004D530A"/>
    <w:rsid w:val="004D69CC"/>
    <w:rsid w:val="004E0294"/>
    <w:rsid w:val="004E167A"/>
    <w:rsid w:val="004E4CFA"/>
    <w:rsid w:val="004F0EAF"/>
    <w:rsid w:val="004F16BA"/>
    <w:rsid w:val="004F3DEB"/>
    <w:rsid w:val="004F4B01"/>
    <w:rsid w:val="004F6919"/>
    <w:rsid w:val="004F7134"/>
    <w:rsid w:val="00502E44"/>
    <w:rsid w:val="00505CED"/>
    <w:rsid w:val="00506294"/>
    <w:rsid w:val="00510C5E"/>
    <w:rsid w:val="00511B8A"/>
    <w:rsid w:val="00514C06"/>
    <w:rsid w:val="00516A40"/>
    <w:rsid w:val="00516BCC"/>
    <w:rsid w:val="00521247"/>
    <w:rsid w:val="00521874"/>
    <w:rsid w:val="00523DE6"/>
    <w:rsid w:val="0053153F"/>
    <w:rsid w:val="00533A7B"/>
    <w:rsid w:val="00543886"/>
    <w:rsid w:val="00545BFF"/>
    <w:rsid w:val="00547243"/>
    <w:rsid w:val="00547B32"/>
    <w:rsid w:val="0055504F"/>
    <w:rsid w:val="0055625B"/>
    <w:rsid w:val="00556A8F"/>
    <w:rsid w:val="00561C2E"/>
    <w:rsid w:val="00562BF4"/>
    <w:rsid w:val="00562F3E"/>
    <w:rsid w:val="00565C3E"/>
    <w:rsid w:val="00572663"/>
    <w:rsid w:val="00572C01"/>
    <w:rsid w:val="005759DC"/>
    <w:rsid w:val="005812A9"/>
    <w:rsid w:val="00581B9A"/>
    <w:rsid w:val="0058293B"/>
    <w:rsid w:val="005851DE"/>
    <w:rsid w:val="00585FAB"/>
    <w:rsid w:val="0058668B"/>
    <w:rsid w:val="00592B66"/>
    <w:rsid w:val="00592DE1"/>
    <w:rsid w:val="005950E6"/>
    <w:rsid w:val="0059539A"/>
    <w:rsid w:val="005975DA"/>
    <w:rsid w:val="005A0770"/>
    <w:rsid w:val="005A0FC9"/>
    <w:rsid w:val="005A4729"/>
    <w:rsid w:val="005A7F05"/>
    <w:rsid w:val="005B0146"/>
    <w:rsid w:val="005C08A1"/>
    <w:rsid w:val="005C165D"/>
    <w:rsid w:val="005C4932"/>
    <w:rsid w:val="005C6524"/>
    <w:rsid w:val="005C791C"/>
    <w:rsid w:val="005D1860"/>
    <w:rsid w:val="005D1AA1"/>
    <w:rsid w:val="005D3DE8"/>
    <w:rsid w:val="005D3F93"/>
    <w:rsid w:val="005D550E"/>
    <w:rsid w:val="005D64AF"/>
    <w:rsid w:val="005E0A5A"/>
    <w:rsid w:val="005E0D76"/>
    <w:rsid w:val="005E1CD9"/>
    <w:rsid w:val="005E2BD1"/>
    <w:rsid w:val="005E56A7"/>
    <w:rsid w:val="005E5BA2"/>
    <w:rsid w:val="005E6752"/>
    <w:rsid w:val="005F15EE"/>
    <w:rsid w:val="005F2B9F"/>
    <w:rsid w:val="005F35A7"/>
    <w:rsid w:val="005F3A2E"/>
    <w:rsid w:val="005F7D08"/>
    <w:rsid w:val="006033B7"/>
    <w:rsid w:val="00605B16"/>
    <w:rsid w:val="00606520"/>
    <w:rsid w:val="006110F0"/>
    <w:rsid w:val="00621D8F"/>
    <w:rsid w:val="006245BA"/>
    <w:rsid w:val="006306E3"/>
    <w:rsid w:val="006307CC"/>
    <w:rsid w:val="00634B92"/>
    <w:rsid w:val="00634C3C"/>
    <w:rsid w:val="00634F00"/>
    <w:rsid w:val="0063647C"/>
    <w:rsid w:val="006408C9"/>
    <w:rsid w:val="00641D8B"/>
    <w:rsid w:val="0064366C"/>
    <w:rsid w:val="00646ED9"/>
    <w:rsid w:val="00647B80"/>
    <w:rsid w:val="00652DA6"/>
    <w:rsid w:val="006546DE"/>
    <w:rsid w:val="00654BBE"/>
    <w:rsid w:val="00655E9F"/>
    <w:rsid w:val="00663C0B"/>
    <w:rsid w:val="006668D9"/>
    <w:rsid w:val="00666B0E"/>
    <w:rsid w:val="00670EB0"/>
    <w:rsid w:val="00672CBA"/>
    <w:rsid w:val="00673948"/>
    <w:rsid w:val="006750C1"/>
    <w:rsid w:val="00676136"/>
    <w:rsid w:val="00677978"/>
    <w:rsid w:val="00680D49"/>
    <w:rsid w:val="00681729"/>
    <w:rsid w:val="006827F8"/>
    <w:rsid w:val="006830BD"/>
    <w:rsid w:val="00683B03"/>
    <w:rsid w:val="00685D6F"/>
    <w:rsid w:val="00685EA3"/>
    <w:rsid w:val="00686266"/>
    <w:rsid w:val="00691905"/>
    <w:rsid w:val="00693C6B"/>
    <w:rsid w:val="006955C6"/>
    <w:rsid w:val="0069601F"/>
    <w:rsid w:val="0069672E"/>
    <w:rsid w:val="00696BF9"/>
    <w:rsid w:val="00697265"/>
    <w:rsid w:val="00697FEB"/>
    <w:rsid w:val="006A0E35"/>
    <w:rsid w:val="006A20BA"/>
    <w:rsid w:val="006A2453"/>
    <w:rsid w:val="006A29B4"/>
    <w:rsid w:val="006A2C75"/>
    <w:rsid w:val="006A445C"/>
    <w:rsid w:val="006A478D"/>
    <w:rsid w:val="006A4E4E"/>
    <w:rsid w:val="006A5B48"/>
    <w:rsid w:val="006A6970"/>
    <w:rsid w:val="006B617F"/>
    <w:rsid w:val="006B7AC8"/>
    <w:rsid w:val="006C0CA3"/>
    <w:rsid w:val="006C29A8"/>
    <w:rsid w:val="006C31C0"/>
    <w:rsid w:val="006C3A19"/>
    <w:rsid w:val="006C540A"/>
    <w:rsid w:val="006C5ADB"/>
    <w:rsid w:val="006C62A0"/>
    <w:rsid w:val="006C6B91"/>
    <w:rsid w:val="006D147C"/>
    <w:rsid w:val="006D1B65"/>
    <w:rsid w:val="006D3714"/>
    <w:rsid w:val="006D5A41"/>
    <w:rsid w:val="006D7462"/>
    <w:rsid w:val="006E0CC7"/>
    <w:rsid w:val="006E1675"/>
    <w:rsid w:val="006E291F"/>
    <w:rsid w:val="006E2C00"/>
    <w:rsid w:val="006E39C3"/>
    <w:rsid w:val="006E5FC7"/>
    <w:rsid w:val="006E6C4C"/>
    <w:rsid w:val="006E7E0A"/>
    <w:rsid w:val="006F05A1"/>
    <w:rsid w:val="006F0FD2"/>
    <w:rsid w:val="006F2C29"/>
    <w:rsid w:val="00700E21"/>
    <w:rsid w:val="0070327B"/>
    <w:rsid w:val="00707B95"/>
    <w:rsid w:val="007116B4"/>
    <w:rsid w:val="00713AF1"/>
    <w:rsid w:val="007142CD"/>
    <w:rsid w:val="007156D0"/>
    <w:rsid w:val="00715B93"/>
    <w:rsid w:val="00720CC7"/>
    <w:rsid w:val="00723F42"/>
    <w:rsid w:val="00725BFA"/>
    <w:rsid w:val="00727580"/>
    <w:rsid w:val="00731A28"/>
    <w:rsid w:val="007357E4"/>
    <w:rsid w:val="007365DA"/>
    <w:rsid w:val="00736E80"/>
    <w:rsid w:val="0074017C"/>
    <w:rsid w:val="00742701"/>
    <w:rsid w:val="007454B3"/>
    <w:rsid w:val="00747FB3"/>
    <w:rsid w:val="00750464"/>
    <w:rsid w:val="00750E70"/>
    <w:rsid w:val="0075247C"/>
    <w:rsid w:val="00755662"/>
    <w:rsid w:val="00756C5C"/>
    <w:rsid w:val="00760FF0"/>
    <w:rsid w:val="007616DD"/>
    <w:rsid w:val="00761E0C"/>
    <w:rsid w:val="00764C7B"/>
    <w:rsid w:val="00765194"/>
    <w:rsid w:val="00766415"/>
    <w:rsid w:val="00772264"/>
    <w:rsid w:val="00772750"/>
    <w:rsid w:val="00772A00"/>
    <w:rsid w:val="00777CF5"/>
    <w:rsid w:val="00780427"/>
    <w:rsid w:val="00783D7B"/>
    <w:rsid w:val="00783EDE"/>
    <w:rsid w:val="00786BBC"/>
    <w:rsid w:val="00787DA2"/>
    <w:rsid w:val="00790036"/>
    <w:rsid w:val="0079269A"/>
    <w:rsid w:val="00796397"/>
    <w:rsid w:val="0079658F"/>
    <w:rsid w:val="007A1E52"/>
    <w:rsid w:val="007A2570"/>
    <w:rsid w:val="007A5988"/>
    <w:rsid w:val="007B0581"/>
    <w:rsid w:val="007B2596"/>
    <w:rsid w:val="007B2BAB"/>
    <w:rsid w:val="007B33B4"/>
    <w:rsid w:val="007B47F1"/>
    <w:rsid w:val="007B487D"/>
    <w:rsid w:val="007C0CFD"/>
    <w:rsid w:val="007D3917"/>
    <w:rsid w:val="007D3CA7"/>
    <w:rsid w:val="007D564E"/>
    <w:rsid w:val="007D722E"/>
    <w:rsid w:val="007E0C70"/>
    <w:rsid w:val="007E3CFF"/>
    <w:rsid w:val="007E5E53"/>
    <w:rsid w:val="007E6219"/>
    <w:rsid w:val="007E7D48"/>
    <w:rsid w:val="007F1418"/>
    <w:rsid w:val="007F16A4"/>
    <w:rsid w:val="007F1C5A"/>
    <w:rsid w:val="007F1E01"/>
    <w:rsid w:val="007F2042"/>
    <w:rsid w:val="007F557B"/>
    <w:rsid w:val="007F5A4E"/>
    <w:rsid w:val="007F5FED"/>
    <w:rsid w:val="00802DB3"/>
    <w:rsid w:val="00802EE4"/>
    <w:rsid w:val="00804317"/>
    <w:rsid w:val="008043E1"/>
    <w:rsid w:val="00804947"/>
    <w:rsid w:val="00804FDC"/>
    <w:rsid w:val="008075F1"/>
    <w:rsid w:val="00807AA4"/>
    <w:rsid w:val="008102EE"/>
    <w:rsid w:val="00810700"/>
    <w:rsid w:val="00810DC4"/>
    <w:rsid w:val="00811661"/>
    <w:rsid w:val="00811AC0"/>
    <w:rsid w:val="00813257"/>
    <w:rsid w:val="0081409D"/>
    <w:rsid w:val="00814192"/>
    <w:rsid w:val="0082213D"/>
    <w:rsid w:val="008229C7"/>
    <w:rsid w:val="008229F1"/>
    <w:rsid w:val="00824E92"/>
    <w:rsid w:val="00825E6B"/>
    <w:rsid w:val="008300B9"/>
    <w:rsid w:val="0083112B"/>
    <w:rsid w:val="008317C8"/>
    <w:rsid w:val="00831D8E"/>
    <w:rsid w:val="008355FE"/>
    <w:rsid w:val="00836E04"/>
    <w:rsid w:val="00842530"/>
    <w:rsid w:val="00842BF2"/>
    <w:rsid w:val="00842F7E"/>
    <w:rsid w:val="0084463F"/>
    <w:rsid w:val="00846646"/>
    <w:rsid w:val="00852131"/>
    <w:rsid w:val="00852333"/>
    <w:rsid w:val="00854BCF"/>
    <w:rsid w:val="008574E0"/>
    <w:rsid w:val="0086005E"/>
    <w:rsid w:val="00864B46"/>
    <w:rsid w:val="0086770E"/>
    <w:rsid w:val="00867DE5"/>
    <w:rsid w:val="00870DB0"/>
    <w:rsid w:val="00872609"/>
    <w:rsid w:val="00874121"/>
    <w:rsid w:val="00876A9D"/>
    <w:rsid w:val="00876CB5"/>
    <w:rsid w:val="00877A51"/>
    <w:rsid w:val="008823E5"/>
    <w:rsid w:val="008855F5"/>
    <w:rsid w:val="00891F99"/>
    <w:rsid w:val="0089778E"/>
    <w:rsid w:val="008A389C"/>
    <w:rsid w:val="008A5ACC"/>
    <w:rsid w:val="008A6ACD"/>
    <w:rsid w:val="008B2785"/>
    <w:rsid w:val="008B28FC"/>
    <w:rsid w:val="008B62E6"/>
    <w:rsid w:val="008B6B0C"/>
    <w:rsid w:val="008B7CE7"/>
    <w:rsid w:val="008C07DF"/>
    <w:rsid w:val="008C51C5"/>
    <w:rsid w:val="008C7879"/>
    <w:rsid w:val="008D343F"/>
    <w:rsid w:val="008D50B0"/>
    <w:rsid w:val="008D615A"/>
    <w:rsid w:val="008D758E"/>
    <w:rsid w:val="008D7ABB"/>
    <w:rsid w:val="008E2B12"/>
    <w:rsid w:val="008E3073"/>
    <w:rsid w:val="008E42B1"/>
    <w:rsid w:val="008E5DDE"/>
    <w:rsid w:val="008F1594"/>
    <w:rsid w:val="008F4ABF"/>
    <w:rsid w:val="00906C4C"/>
    <w:rsid w:val="00910EFC"/>
    <w:rsid w:val="00911440"/>
    <w:rsid w:val="0091373D"/>
    <w:rsid w:val="00917498"/>
    <w:rsid w:val="00917EDB"/>
    <w:rsid w:val="00920526"/>
    <w:rsid w:val="00922080"/>
    <w:rsid w:val="009228A3"/>
    <w:rsid w:val="00923664"/>
    <w:rsid w:val="00924687"/>
    <w:rsid w:val="00924C3A"/>
    <w:rsid w:val="00933BF1"/>
    <w:rsid w:val="0093469B"/>
    <w:rsid w:val="0093506B"/>
    <w:rsid w:val="00935F92"/>
    <w:rsid w:val="009406AD"/>
    <w:rsid w:val="00942A6E"/>
    <w:rsid w:val="009435B6"/>
    <w:rsid w:val="00943D26"/>
    <w:rsid w:val="00944861"/>
    <w:rsid w:val="00944924"/>
    <w:rsid w:val="00945AC8"/>
    <w:rsid w:val="009505E4"/>
    <w:rsid w:val="00951720"/>
    <w:rsid w:val="00951875"/>
    <w:rsid w:val="009525A3"/>
    <w:rsid w:val="0095484F"/>
    <w:rsid w:val="0095726D"/>
    <w:rsid w:val="00957EC6"/>
    <w:rsid w:val="00961A1F"/>
    <w:rsid w:val="00963117"/>
    <w:rsid w:val="00964538"/>
    <w:rsid w:val="00965B3E"/>
    <w:rsid w:val="00965FFB"/>
    <w:rsid w:val="00966BE0"/>
    <w:rsid w:val="009705CE"/>
    <w:rsid w:val="00972D02"/>
    <w:rsid w:val="00973F5E"/>
    <w:rsid w:val="009749F2"/>
    <w:rsid w:val="0097709A"/>
    <w:rsid w:val="00984CB4"/>
    <w:rsid w:val="009901D5"/>
    <w:rsid w:val="00990C91"/>
    <w:rsid w:val="00992F9A"/>
    <w:rsid w:val="00997234"/>
    <w:rsid w:val="009A3B93"/>
    <w:rsid w:val="009A4946"/>
    <w:rsid w:val="009A5C5C"/>
    <w:rsid w:val="009B0DB8"/>
    <w:rsid w:val="009B1CEE"/>
    <w:rsid w:val="009B3100"/>
    <w:rsid w:val="009B3687"/>
    <w:rsid w:val="009B4B80"/>
    <w:rsid w:val="009B52E2"/>
    <w:rsid w:val="009B6617"/>
    <w:rsid w:val="009B6FE9"/>
    <w:rsid w:val="009C131A"/>
    <w:rsid w:val="009C2486"/>
    <w:rsid w:val="009C2A9F"/>
    <w:rsid w:val="009C2EA9"/>
    <w:rsid w:val="009C37DB"/>
    <w:rsid w:val="009C3FB2"/>
    <w:rsid w:val="009C4886"/>
    <w:rsid w:val="009C5784"/>
    <w:rsid w:val="009C7C86"/>
    <w:rsid w:val="009D19E2"/>
    <w:rsid w:val="009D5236"/>
    <w:rsid w:val="009D7B1B"/>
    <w:rsid w:val="009E0919"/>
    <w:rsid w:val="009E33DA"/>
    <w:rsid w:val="009E65F7"/>
    <w:rsid w:val="009F28D2"/>
    <w:rsid w:val="00A05018"/>
    <w:rsid w:val="00A079BF"/>
    <w:rsid w:val="00A10AAF"/>
    <w:rsid w:val="00A11487"/>
    <w:rsid w:val="00A11547"/>
    <w:rsid w:val="00A13471"/>
    <w:rsid w:val="00A1391C"/>
    <w:rsid w:val="00A141D2"/>
    <w:rsid w:val="00A15B34"/>
    <w:rsid w:val="00A20099"/>
    <w:rsid w:val="00A2058B"/>
    <w:rsid w:val="00A2194B"/>
    <w:rsid w:val="00A31A82"/>
    <w:rsid w:val="00A33931"/>
    <w:rsid w:val="00A35378"/>
    <w:rsid w:val="00A36520"/>
    <w:rsid w:val="00A36DE4"/>
    <w:rsid w:val="00A37545"/>
    <w:rsid w:val="00A4014F"/>
    <w:rsid w:val="00A419EA"/>
    <w:rsid w:val="00A42CC9"/>
    <w:rsid w:val="00A470EF"/>
    <w:rsid w:val="00A519E2"/>
    <w:rsid w:val="00A5533C"/>
    <w:rsid w:val="00A55D14"/>
    <w:rsid w:val="00A60D09"/>
    <w:rsid w:val="00A611ED"/>
    <w:rsid w:val="00A62428"/>
    <w:rsid w:val="00A647A3"/>
    <w:rsid w:val="00A70FF7"/>
    <w:rsid w:val="00A72E4B"/>
    <w:rsid w:val="00A73AD7"/>
    <w:rsid w:val="00A742F2"/>
    <w:rsid w:val="00A7531C"/>
    <w:rsid w:val="00A76BA8"/>
    <w:rsid w:val="00A775FB"/>
    <w:rsid w:val="00A80309"/>
    <w:rsid w:val="00A80F3D"/>
    <w:rsid w:val="00A817C9"/>
    <w:rsid w:val="00A823DA"/>
    <w:rsid w:val="00A82615"/>
    <w:rsid w:val="00A8343E"/>
    <w:rsid w:val="00A8373B"/>
    <w:rsid w:val="00A92A66"/>
    <w:rsid w:val="00A95AF1"/>
    <w:rsid w:val="00AA57CF"/>
    <w:rsid w:val="00AB0D65"/>
    <w:rsid w:val="00AB1069"/>
    <w:rsid w:val="00AB1533"/>
    <w:rsid w:val="00AB2FF0"/>
    <w:rsid w:val="00AB36AE"/>
    <w:rsid w:val="00AB3F67"/>
    <w:rsid w:val="00AB4089"/>
    <w:rsid w:val="00AB4A09"/>
    <w:rsid w:val="00AB4C90"/>
    <w:rsid w:val="00AB712E"/>
    <w:rsid w:val="00AB793D"/>
    <w:rsid w:val="00AC033D"/>
    <w:rsid w:val="00AC3D37"/>
    <w:rsid w:val="00AC47B9"/>
    <w:rsid w:val="00AD1222"/>
    <w:rsid w:val="00AD3FDF"/>
    <w:rsid w:val="00AD53E2"/>
    <w:rsid w:val="00AE1985"/>
    <w:rsid w:val="00AE2CEF"/>
    <w:rsid w:val="00AE5951"/>
    <w:rsid w:val="00AE670D"/>
    <w:rsid w:val="00AF2E69"/>
    <w:rsid w:val="00AF34AE"/>
    <w:rsid w:val="00AF60E6"/>
    <w:rsid w:val="00AF6A83"/>
    <w:rsid w:val="00AF6BF9"/>
    <w:rsid w:val="00B03C8F"/>
    <w:rsid w:val="00B04D8F"/>
    <w:rsid w:val="00B057B9"/>
    <w:rsid w:val="00B05A9D"/>
    <w:rsid w:val="00B073D2"/>
    <w:rsid w:val="00B10165"/>
    <w:rsid w:val="00B10462"/>
    <w:rsid w:val="00B1142E"/>
    <w:rsid w:val="00B1160E"/>
    <w:rsid w:val="00B12321"/>
    <w:rsid w:val="00B1422E"/>
    <w:rsid w:val="00B149CA"/>
    <w:rsid w:val="00B21C6C"/>
    <w:rsid w:val="00B23092"/>
    <w:rsid w:val="00B234D7"/>
    <w:rsid w:val="00B23A8B"/>
    <w:rsid w:val="00B253D4"/>
    <w:rsid w:val="00B25F23"/>
    <w:rsid w:val="00B2600F"/>
    <w:rsid w:val="00B27A3A"/>
    <w:rsid w:val="00B27F69"/>
    <w:rsid w:val="00B300CC"/>
    <w:rsid w:val="00B321CB"/>
    <w:rsid w:val="00B37102"/>
    <w:rsid w:val="00B401C0"/>
    <w:rsid w:val="00B503EB"/>
    <w:rsid w:val="00B50F19"/>
    <w:rsid w:val="00B5109F"/>
    <w:rsid w:val="00B57C74"/>
    <w:rsid w:val="00B62D72"/>
    <w:rsid w:val="00B62EA1"/>
    <w:rsid w:val="00B664A7"/>
    <w:rsid w:val="00B676DB"/>
    <w:rsid w:val="00B7239E"/>
    <w:rsid w:val="00B73524"/>
    <w:rsid w:val="00B7369E"/>
    <w:rsid w:val="00B76F68"/>
    <w:rsid w:val="00B80F0B"/>
    <w:rsid w:val="00B813BD"/>
    <w:rsid w:val="00B813E5"/>
    <w:rsid w:val="00B814E4"/>
    <w:rsid w:val="00B8199E"/>
    <w:rsid w:val="00B83B7C"/>
    <w:rsid w:val="00B83FB0"/>
    <w:rsid w:val="00B84C7D"/>
    <w:rsid w:val="00B861F3"/>
    <w:rsid w:val="00B91E35"/>
    <w:rsid w:val="00B93B2F"/>
    <w:rsid w:val="00B95AC5"/>
    <w:rsid w:val="00B95E64"/>
    <w:rsid w:val="00BA454F"/>
    <w:rsid w:val="00BA47EA"/>
    <w:rsid w:val="00BA6368"/>
    <w:rsid w:val="00BB0737"/>
    <w:rsid w:val="00BB2EC0"/>
    <w:rsid w:val="00BB3C38"/>
    <w:rsid w:val="00BB718F"/>
    <w:rsid w:val="00BC2EBC"/>
    <w:rsid w:val="00BC4105"/>
    <w:rsid w:val="00BC47C0"/>
    <w:rsid w:val="00BC698C"/>
    <w:rsid w:val="00BC76F8"/>
    <w:rsid w:val="00BD1E0E"/>
    <w:rsid w:val="00BD7359"/>
    <w:rsid w:val="00BE5BAF"/>
    <w:rsid w:val="00BE6982"/>
    <w:rsid w:val="00BE6C2B"/>
    <w:rsid w:val="00BF25F9"/>
    <w:rsid w:val="00BF3825"/>
    <w:rsid w:val="00BF484A"/>
    <w:rsid w:val="00C056DB"/>
    <w:rsid w:val="00C062D8"/>
    <w:rsid w:val="00C06D49"/>
    <w:rsid w:val="00C06DD5"/>
    <w:rsid w:val="00C10FCF"/>
    <w:rsid w:val="00C13110"/>
    <w:rsid w:val="00C15CD9"/>
    <w:rsid w:val="00C21430"/>
    <w:rsid w:val="00C22D0D"/>
    <w:rsid w:val="00C240A1"/>
    <w:rsid w:val="00C254ED"/>
    <w:rsid w:val="00C25B68"/>
    <w:rsid w:val="00C32046"/>
    <w:rsid w:val="00C32379"/>
    <w:rsid w:val="00C3273C"/>
    <w:rsid w:val="00C33DD1"/>
    <w:rsid w:val="00C3476A"/>
    <w:rsid w:val="00C4139D"/>
    <w:rsid w:val="00C42A60"/>
    <w:rsid w:val="00C42B27"/>
    <w:rsid w:val="00C4653E"/>
    <w:rsid w:val="00C46BFC"/>
    <w:rsid w:val="00C475C4"/>
    <w:rsid w:val="00C47F9D"/>
    <w:rsid w:val="00C500E8"/>
    <w:rsid w:val="00C50BCA"/>
    <w:rsid w:val="00C52991"/>
    <w:rsid w:val="00C544A0"/>
    <w:rsid w:val="00C5659F"/>
    <w:rsid w:val="00C60B8D"/>
    <w:rsid w:val="00C60E00"/>
    <w:rsid w:val="00C6134D"/>
    <w:rsid w:val="00C6391B"/>
    <w:rsid w:val="00C64FD4"/>
    <w:rsid w:val="00C657F5"/>
    <w:rsid w:val="00C66303"/>
    <w:rsid w:val="00C673EC"/>
    <w:rsid w:val="00C702E1"/>
    <w:rsid w:val="00C707C2"/>
    <w:rsid w:val="00C72565"/>
    <w:rsid w:val="00C7326C"/>
    <w:rsid w:val="00C7431B"/>
    <w:rsid w:val="00C75628"/>
    <w:rsid w:val="00C77E51"/>
    <w:rsid w:val="00C80831"/>
    <w:rsid w:val="00C80C36"/>
    <w:rsid w:val="00C80D44"/>
    <w:rsid w:val="00C817A7"/>
    <w:rsid w:val="00C82AF3"/>
    <w:rsid w:val="00C84DF3"/>
    <w:rsid w:val="00C864BA"/>
    <w:rsid w:val="00C866C3"/>
    <w:rsid w:val="00C87683"/>
    <w:rsid w:val="00C879E1"/>
    <w:rsid w:val="00C90395"/>
    <w:rsid w:val="00C92C19"/>
    <w:rsid w:val="00C93942"/>
    <w:rsid w:val="00CA38B8"/>
    <w:rsid w:val="00CA494A"/>
    <w:rsid w:val="00CA5BAC"/>
    <w:rsid w:val="00CB3964"/>
    <w:rsid w:val="00CB4190"/>
    <w:rsid w:val="00CB504E"/>
    <w:rsid w:val="00CB5FB1"/>
    <w:rsid w:val="00CC1E65"/>
    <w:rsid w:val="00CC26EF"/>
    <w:rsid w:val="00CC51BD"/>
    <w:rsid w:val="00CC7362"/>
    <w:rsid w:val="00CD1DDA"/>
    <w:rsid w:val="00CD35E0"/>
    <w:rsid w:val="00CD4529"/>
    <w:rsid w:val="00CD5E22"/>
    <w:rsid w:val="00CD6D1C"/>
    <w:rsid w:val="00CD70AC"/>
    <w:rsid w:val="00CE4E23"/>
    <w:rsid w:val="00CE54F5"/>
    <w:rsid w:val="00CE58C8"/>
    <w:rsid w:val="00CF2D22"/>
    <w:rsid w:val="00CF3E2F"/>
    <w:rsid w:val="00CF4E5C"/>
    <w:rsid w:val="00CF6047"/>
    <w:rsid w:val="00CF60CA"/>
    <w:rsid w:val="00CF75B4"/>
    <w:rsid w:val="00CF773E"/>
    <w:rsid w:val="00D020CC"/>
    <w:rsid w:val="00D0237F"/>
    <w:rsid w:val="00D05077"/>
    <w:rsid w:val="00D058DA"/>
    <w:rsid w:val="00D060ED"/>
    <w:rsid w:val="00D07A2B"/>
    <w:rsid w:val="00D07D24"/>
    <w:rsid w:val="00D107EF"/>
    <w:rsid w:val="00D12806"/>
    <w:rsid w:val="00D149EE"/>
    <w:rsid w:val="00D2268F"/>
    <w:rsid w:val="00D24043"/>
    <w:rsid w:val="00D2439D"/>
    <w:rsid w:val="00D2553B"/>
    <w:rsid w:val="00D268E7"/>
    <w:rsid w:val="00D27A49"/>
    <w:rsid w:val="00D31ED3"/>
    <w:rsid w:val="00D4417A"/>
    <w:rsid w:val="00D44838"/>
    <w:rsid w:val="00D46053"/>
    <w:rsid w:val="00D467E1"/>
    <w:rsid w:val="00D55B40"/>
    <w:rsid w:val="00D5693C"/>
    <w:rsid w:val="00D61CE9"/>
    <w:rsid w:val="00D64E43"/>
    <w:rsid w:val="00D7020F"/>
    <w:rsid w:val="00D70C8E"/>
    <w:rsid w:val="00D70F4B"/>
    <w:rsid w:val="00D71778"/>
    <w:rsid w:val="00D7203F"/>
    <w:rsid w:val="00D72485"/>
    <w:rsid w:val="00D7413D"/>
    <w:rsid w:val="00D7417A"/>
    <w:rsid w:val="00D76522"/>
    <w:rsid w:val="00D77CCF"/>
    <w:rsid w:val="00D8599C"/>
    <w:rsid w:val="00D86689"/>
    <w:rsid w:val="00D8762D"/>
    <w:rsid w:val="00D90031"/>
    <w:rsid w:val="00D9008E"/>
    <w:rsid w:val="00D91F3A"/>
    <w:rsid w:val="00D9278E"/>
    <w:rsid w:val="00D92CD7"/>
    <w:rsid w:val="00D9348F"/>
    <w:rsid w:val="00D939A2"/>
    <w:rsid w:val="00D93FAE"/>
    <w:rsid w:val="00DA0C82"/>
    <w:rsid w:val="00DA1529"/>
    <w:rsid w:val="00DA319C"/>
    <w:rsid w:val="00DA36F1"/>
    <w:rsid w:val="00DA5E55"/>
    <w:rsid w:val="00DA6621"/>
    <w:rsid w:val="00DA6A23"/>
    <w:rsid w:val="00DB0149"/>
    <w:rsid w:val="00DB0CAF"/>
    <w:rsid w:val="00DB3D87"/>
    <w:rsid w:val="00DB568D"/>
    <w:rsid w:val="00DB6EB7"/>
    <w:rsid w:val="00DC0E30"/>
    <w:rsid w:val="00DC1B90"/>
    <w:rsid w:val="00DC2E88"/>
    <w:rsid w:val="00DC6A93"/>
    <w:rsid w:val="00DD1AD0"/>
    <w:rsid w:val="00DD2F40"/>
    <w:rsid w:val="00DD41D0"/>
    <w:rsid w:val="00DD52D8"/>
    <w:rsid w:val="00DD53E9"/>
    <w:rsid w:val="00DD576F"/>
    <w:rsid w:val="00DD69B3"/>
    <w:rsid w:val="00DD7728"/>
    <w:rsid w:val="00DE22C2"/>
    <w:rsid w:val="00DE378C"/>
    <w:rsid w:val="00DE4530"/>
    <w:rsid w:val="00DE56EC"/>
    <w:rsid w:val="00DE58D0"/>
    <w:rsid w:val="00DE5CEF"/>
    <w:rsid w:val="00DE6248"/>
    <w:rsid w:val="00DE6686"/>
    <w:rsid w:val="00DE6826"/>
    <w:rsid w:val="00DE6D44"/>
    <w:rsid w:val="00DE7D18"/>
    <w:rsid w:val="00DF1CD8"/>
    <w:rsid w:val="00DF3097"/>
    <w:rsid w:val="00DF43F8"/>
    <w:rsid w:val="00DF467C"/>
    <w:rsid w:val="00E01260"/>
    <w:rsid w:val="00E01CC3"/>
    <w:rsid w:val="00E023D1"/>
    <w:rsid w:val="00E03CB5"/>
    <w:rsid w:val="00E04057"/>
    <w:rsid w:val="00E0550C"/>
    <w:rsid w:val="00E05B31"/>
    <w:rsid w:val="00E102C5"/>
    <w:rsid w:val="00E206AB"/>
    <w:rsid w:val="00E2534F"/>
    <w:rsid w:val="00E25C17"/>
    <w:rsid w:val="00E272AE"/>
    <w:rsid w:val="00E306D2"/>
    <w:rsid w:val="00E30CD2"/>
    <w:rsid w:val="00E34208"/>
    <w:rsid w:val="00E3621C"/>
    <w:rsid w:val="00E41559"/>
    <w:rsid w:val="00E42947"/>
    <w:rsid w:val="00E43C2E"/>
    <w:rsid w:val="00E450A8"/>
    <w:rsid w:val="00E52C0E"/>
    <w:rsid w:val="00E54272"/>
    <w:rsid w:val="00E54D4A"/>
    <w:rsid w:val="00E55485"/>
    <w:rsid w:val="00E55595"/>
    <w:rsid w:val="00E572F6"/>
    <w:rsid w:val="00E57519"/>
    <w:rsid w:val="00E61158"/>
    <w:rsid w:val="00E6284E"/>
    <w:rsid w:val="00E64C56"/>
    <w:rsid w:val="00E66E59"/>
    <w:rsid w:val="00E66EE7"/>
    <w:rsid w:val="00E67550"/>
    <w:rsid w:val="00E71D16"/>
    <w:rsid w:val="00E74218"/>
    <w:rsid w:val="00E85373"/>
    <w:rsid w:val="00E853F6"/>
    <w:rsid w:val="00E86AC9"/>
    <w:rsid w:val="00E908B6"/>
    <w:rsid w:val="00E90F98"/>
    <w:rsid w:val="00E9182C"/>
    <w:rsid w:val="00E91B54"/>
    <w:rsid w:val="00E93DF8"/>
    <w:rsid w:val="00E954B1"/>
    <w:rsid w:val="00E95FD9"/>
    <w:rsid w:val="00E975E9"/>
    <w:rsid w:val="00E9769F"/>
    <w:rsid w:val="00EA120D"/>
    <w:rsid w:val="00EA2E4A"/>
    <w:rsid w:val="00EA3DC5"/>
    <w:rsid w:val="00EA47A2"/>
    <w:rsid w:val="00EA6A84"/>
    <w:rsid w:val="00EA70A8"/>
    <w:rsid w:val="00EB1FF8"/>
    <w:rsid w:val="00EB4115"/>
    <w:rsid w:val="00EB41F4"/>
    <w:rsid w:val="00EB699F"/>
    <w:rsid w:val="00EC16DB"/>
    <w:rsid w:val="00EC1A20"/>
    <w:rsid w:val="00EC1FE7"/>
    <w:rsid w:val="00EC2647"/>
    <w:rsid w:val="00EC41EF"/>
    <w:rsid w:val="00EC5E30"/>
    <w:rsid w:val="00EC72F7"/>
    <w:rsid w:val="00ED091C"/>
    <w:rsid w:val="00ED39C9"/>
    <w:rsid w:val="00ED5AA6"/>
    <w:rsid w:val="00EE2766"/>
    <w:rsid w:val="00EE3FA4"/>
    <w:rsid w:val="00EE4F61"/>
    <w:rsid w:val="00EE6999"/>
    <w:rsid w:val="00EF1E7F"/>
    <w:rsid w:val="00EF29EB"/>
    <w:rsid w:val="00EF4051"/>
    <w:rsid w:val="00EF43D8"/>
    <w:rsid w:val="00EF4CB0"/>
    <w:rsid w:val="00EF4CC5"/>
    <w:rsid w:val="00EF64CE"/>
    <w:rsid w:val="00EF7025"/>
    <w:rsid w:val="00EF7054"/>
    <w:rsid w:val="00F005A1"/>
    <w:rsid w:val="00F0073B"/>
    <w:rsid w:val="00F01098"/>
    <w:rsid w:val="00F026C1"/>
    <w:rsid w:val="00F02812"/>
    <w:rsid w:val="00F05D33"/>
    <w:rsid w:val="00F10620"/>
    <w:rsid w:val="00F10C64"/>
    <w:rsid w:val="00F115C9"/>
    <w:rsid w:val="00F129A0"/>
    <w:rsid w:val="00F14862"/>
    <w:rsid w:val="00F2650A"/>
    <w:rsid w:val="00F331AF"/>
    <w:rsid w:val="00F34A78"/>
    <w:rsid w:val="00F34C0A"/>
    <w:rsid w:val="00F36864"/>
    <w:rsid w:val="00F36BB6"/>
    <w:rsid w:val="00F36CA6"/>
    <w:rsid w:val="00F36FCB"/>
    <w:rsid w:val="00F41742"/>
    <w:rsid w:val="00F422AC"/>
    <w:rsid w:val="00F42CDD"/>
    <w:rsid w:val="00F43EF9"/>
    <w:rsid w:val="00F44507"/>
    <w:rsid w:val="00F46F7E"/>
    <w:rsid w:val="00F51CA1"/>
    <w:rsid w:val="00F53080"/>
    <w:rsid w:val="00F53625"/>
    <w:rsid w:val="00F57098"/>
    <w:rsid w:val="00F60672"/>
    <w:rsid w:val="00F616B6"/>
    <w:rsid w:val="00F665E7"/>
    <w:rsid w:val="00F674DC"/>
    <w:rsid w:val="00F70904"/>
    <w:rsid w:val="00F7156D"/>
    <w:rsid w:val="00F71FDE"/>
    <w:rsid w:val="00F7401E"/>
    <w:rsid w:val="00F76CF5"/>
    <w:rsid w:val="00F77BBF"/>
    <w:rsid w:val="00F80AE6"/>
    <w:rsid w:val="00F8105D"/>
    <w:rsid w:val="00F81588"/>
    <w:rsid w:val="00F83E66"/>
    <w:rsid w:val="00F87AD7"/>
    <w:rsid w:val="00F95865"/>
    <w:rsid w:val="00F96406"/>
    <w:rsid w:val="00FA2A46"/>
    <w:rsid w:val="00FA5F43"/>
    <w:rsid w:val="00FB0555"/>
    <w:rsid w:val="00FB2D3E"/>
    <w:rsid w:val="00FB5D26"/>
    <w:rsid w:val="00FB74F9"/>
    <w:rsid w:val="00FC10CC"/>
    <w:rsid w:val="00FC1955"/>
    <w:rsid w:val="00FC1FCF"/>
    <w:rsid w:val="00FC2258"/>
    <w:rsid w:val="00FC39C7"/>
    <w:rsid w:val="00FC3FED"/>
    <w:rsid w:val="00FD2282"/>
    <w:rsid w:val="00FD5B2F"/>
    <w:rsid w:val="00FD70F8"/>
    <w:rsid w:val="00FE2F4B"/>
    <w:rsid w:val="00FE3718"/>
    <w:rsid w:val="00FE42F0"/>
    <w:rsid w:val="00FE4828"/>
    <w:rsid w:val="00FE52FF"/>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7D40"/>
  <w15:docId w15:val="{2B9656DD-517B-48A6-98D3-E075CED20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paragraph" w:customStyle="1" w:styleId="Sangradetextonormal2">
    <w:name w:val="Sangría de texto normal2"/>
    <w:rsid w:val="00C240A1"/>
    <w:pPr>
      <w:widowControl w:val="0"/>
      <w:suppressAutoHyphens/>
      <w:spacing w:after="0" w:line="276" w:lineRule="auto"/>
      <w:ind w:firstLine="360"/>
    </w:pPr>
    <w:rPr>
      <w:rFonts w:ascii="Calibri" w:eastAsia="Arial Unicode MS" w:hAnsi="Calibri" w:cs="font280"/>
      <w:kern w:val="1"/>
      <w:lang w:eastAsia="ar-SA"/>
    </w:rPr>
  </w:style>
  <w:style w:type="paragraph" w:styleId="Sinespaciado">
    <w:name w:val="No Spacing"/>
    <w:link w:val="SinespaciadoCar"/>
    <w:uiPriority w:val="1"/>
    <w:qFormat/>
    <w:rsid w:val="00C240A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C240A1"/>
    <w:rPr>
      <w:rFonts w:ascii="Calibri" w:eastAsia="Calibri" w:hAnsi="Calibri" w:cs="Times New Roman"/>
    </w:rPr>
  </w:style>
  <w:style w:type="character" w:customStyle="1" w:styleId="ng-star-inserted">
    <w:name w:val="ng-star-inserted"/>
    <w:basedOn w:val="Fuentedeprrafopredeter"/>
    <w:rsid w:val="00C240A1"/>
  </w:style>
  <w:style w:type="paragraph" w:styleId="NormalWeb">
    <w:name w:val="Normal (Web)"/>
    <w:basedOn w:val="Normal"/>
    <w:uiPriority w:val="99"/>
    <w:unhideWhenUsed/>
    <w:rsid w:val="00C32379"/>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391198251">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222875">
      <w:bodyDiv w:val="1"/>
      <w:marLeft w:val="0"/>
      <w:marRight w:val="0"/>
      <w:marTop w:val="0"/>
      <w:marBottom w:val="0"/>
      <w:divBdr>
        <w:top w:val="none" w:sz="0" w:space="0" w:color="auto"/>
        <w:left w:val="none" w:sz="0" w:space="0" w:color="auto"/>
        <w:bottom w:val="none" w:sz="0" w:space="0" w:color="auto"/>
        <w:right w:val="none" w:sz="0" w:space="0" w:color="auto"/>
      </w:divBdr>
    </w:div>
    <w:div w:id="534000944">
      <w:bodyDiv w:val="1"/>
      <w:marLeft w:val="0"/>
      <w:marRight w:val="0"/>
      <w:marTop w:val="0"/>
      <w:marBottom w:val="0"/>
      <w:divBdr>
        <w:top w:val="none" w:sz="0" w:space="0" w:color="auto"/>
        <w:left w:val="none" w:sz="0" w:space="0" w:color="auto"/>
        <w:bottom w:val="none" w:sz="0" w:space="0" w:color="auto"/>
        <w:right w:val="none" w:sz="0" w:space="0" w:color="auto"/>
      </w:divBdr>
    </w:div>
    <w:div w:id="569194048">
      <w:bodyDiv w:val="1"/>
      <w:marLeft w:val="0"/>
      <w:marRight w:val="0"/>
      <w:marTop w:val="0"/>
      <w:marBottom w:val="0"/>
      <w:divBdr>
        <w:top w:val="none" w:sz="0" w:space="0" w:color="auto"/>
        <w:left w:val="none" w:sz="0" w:space="0" w:color="auto"/>
        <w:bottom w:val="none" w:sz="0" w:space="0" w:color="auto"/>
        <w:right w:val="none" w:sz="0" w:space="0" w:color="auto"/>
      </w:divBdr>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5170</Words>
  <Characters>28437</Characters>
  <Application>Microsoft Office Word</Application>
  <DocSecurity>0</DocSecurity>
  <Lines>236</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3</cp:revision>
  <cp:lastPrinted>2022-09-23T19:29:00Z</cp:lastPrinted>
  <dcterms:created xsi:type="dcterms:W3CDTF">2023-04-17T16:08:00Z</dcterms:created>
  <dcterms:modified xsi:type="dcterms:W3CDTF">2023-04-17T16:10:00Z</dcterms:modified>
</cp:coreProperties>
</file>