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AF10EA">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AF10EA">
      <w:pPr>
        <w:tabs>
          <w:tab w:val="left" w:pos="6480"/>
        </w:tabs>
        <w:spacing w:after="160" w:line="360" w:lineRule="auto"/>
        <w:jc w:val="right"/>
        <w:rPr>
          <w:rFonts w:ascii="Calibri" w:eastAsia="Calibri" w:hAnsi="Calibri" w:cs="Times New Roman"/>
          <w:sz w:val="24"/>
          <w:szCs w:val="24"/>
          <w:lang w:eastAsia="en-US"/>
        </w:rPr>
      </w:pPr>
    </w:p>
    <w:p w14:paraId="3901E82E" w14:textId="7EEB4762" w:rsidR="007C7A1C" w:rsidRPr="00512412" w:rsidRDefault="007C7A1C" w:rsidP="00AF10EA">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9D0EEC">
        <w:rPr>
          <w:rFonts w:ascii="Arial" w:eastAsia="Calibri" w:hAnsi="Arial" w:cs="Arial"/>
          <w:b/>
          <w:bCs/>
          <w:sz w:val="24"/>
          <w:szCs w:val="24"/>
          <w:lang w:eastAsia="en-US"/>
        </w:rPr>
        <w:t>22</w:t>
      </w:r>
      <w:r w:rsidR="00464CBE">
        <w:rPr>
          <w:rFonts w:ascii="Arial" w:eastAsia="Calibri" w:hAnsi="Arial" w:cs="Arial"/>
          <w:b/>
          <w:bCs/>
          <w:sz w:val="24"/>
          <w:szCs w:val="24"/>
          <w:lang w:eastAsia="en-US"/>
        </w:rPr>
        <w:t xml:space="preserve"> de </w:t>
      </w:r>
      <w:r w:rsidR="00B6108F">
        <w:rPr>
          <w:rFonts w:ascii="Arial" w:eastAsia="Calibri" w:hAnsi="Arial" w:cs="Arial"/>
          <w:b/>
          <w:bCs/>
          <w:sz w:val="24"/>
          <w:szCs w:val="24"/>
          <w:lang w:eastAsia="en-US"/>
        </w:rPr>
        <w:t>marzo</w:t>
      </w:r>
      <w:r w:rsidR="00464CBE">
        <w:rPr>
          <w:rFonts w:ascii="Arial" w:eastAsia="Calibri" w:hAnsi="Arial" w:cs="Arial"/>
          <w:b/>
          <w:bCs/>
          <w:sz w:val="24"/>
          <w:szCs w:val="24"/>
          <w:lang w:eastAsia="en-US"/>
        </w:rPr>
        <w:t xml:space="preserve"> de 2023</w:t>
      </w:r>
      <w:r w:rsidRPr="00512412">
        <w:rPr>
          <w:rFonts w:ascii="Arial" w:eastAsia="Calibri" w:hAnsi="Arial" w:cs="Arial"/>
          <w:b/>
          <w:bCs/>
          <w:sz w:val="24"/>
          <w:szCs w:val="24"/>
          <w:lang w:eastAsia="en-US"/>
        </w:rPr>
        <w:t>.</w:t>
      </w:r>
    </w:p>
    <w:p w14:paraId="19350AAC" w14:textId="77777777" w:rsidR="007C7A1C" w:rsidRPr="00512412" w:rsidRDefault="007C7A1C" w:rsidP="00AF10EA">
      <w:pPr>
        <w:tabs>
          <w:tab w:val="left" w:pos="6480"/>
        </w:tabs>
        <w:spacing w:after="160" w:line="360" w:lineRule="auto"/>
        <w:rPr>
          <w:rFonts w:ascii="Calibri" w:eastAsia="Calibri" w:hAnsi="Calibri" w:cs="Times New Roman"/>
          <w:sz w:val="24"/>
          <w:szCs w:val="24"/>
          <w:lang w:eastAsia="en-US"/>
        </w:rPr>
      </w:pPr>
    </w:p>
    <w:p w14:paraId="22E739C9" w14:textId="77777777" w:rsidR="007C7A1C" w:rsidRPr="00512412" w:rsidRDefault="007C7A1C" w:rsidP="00AF10EA">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6777C1C7" w:rsidR="007C7A1C" w:rsidRDefault="007C7A1C" w:rsidP="00AF10EA">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9D0EEC">
        <w:rPr>
          <w:rFonts w:ascii="Arial" w:hAnsi="Arial" w:cs="Arial"/>
          <w:b/>
          <w:sz w:val="24"/>
          <w:szCs w:val="24"/>
        </w:rPr>
        <w:t>0018</w:t>
      </w:r>
      <w:r w:rsidRPr="00512412">
        <w:rPr>
          <w:rFonts w:ascii="Arial" w:hAnsi="Arial" w:cs="Arial"/>
          <w:b/>
          <w:sz w:val="24"/>
          <w:szCs w:val="24"/>
        </w:rPr>
        <w:t>/20</w:t>
      </w:r>
      <w:r w:rsidR="007751BD">
        <w:rPr>
          <w:rFonts w:ascii="Arial" w:hAnsi="Arial" w:cs="Arial"/>
          <w:b/>
          <w:sz w:val="24"/>
          <w:szCs w:val="24"/>
        </w:rPr>
        <w:t>2</w:t>
      </w:r>
      <w:r w:rsidR="009D0EEC">
        <w:rPr>
          <w:rFonts w:ascii="Arial" w:hAnsi="Arial" w:cs="Arial"/>
          <w:b/>
          <w:sz w:val="24"/>
          <w:szCs w:val="24"/>
        </w:rPr>
        <w:t>1</w:t>
      </w:r>
      <w:r w:rsidRPr="00512412">
        <w:rPr>
          <w:rFonts w:ascii="Arial" w:hAnsi="Arial" w:cs="Arial"/>
          <w:sz w:val="24"/>
          <w:szCs w:val="24"/>
        </w:rPr>
        <w:t>, promovido por</w:t>
      </w:r>
      <w:r w:rsidRPr="00512412">
        <w:rPr>
          <w:rFonts w:ascii="Arial" w:hAnsi="Arial" w:cs="Arial"/>
          <w:b/>
          <w:sz w:val="24"/>
          <w:szCs w:val="24"/>
        </w:rPr>
        <w:t xml:space="preserve"> </w:t>
      </w:r>
      <w:r w:rsidR="00C3144B">
        <w:rPr>
          <w:rFonts w:ascii="Arial" w:hAnsi="Arial" w:cs="Arial"/>
          <w:b/>
          <w:sz w:val="24"/>
          <w:szCs w:val="24"/>
        </w:rPr>
        <w:t>**********</w:t>
      </w:r>
      <w:r w:rsidR="00CA378A">
        <w:rPr>
          <w:rFonts w:ascii="Arial" w:hAnsi="Arial" w:cs="Arial"/>
          <w:b/>
          <w:sz w:val="24"/>
          <w:szCs w:val="24"/>
        </w:rPr>
        <w:tab/>
      </w:r>
      <w:r w:rsidR="007751BD">
        <w:rPr>
          <w:rFonts w:ascii="Arial" w:hAnsi="Arial" w:cs="Arial"/>
          <w:b/>
          <w:sz w:val="24"/>
          <w:szCs w:val="24"/>
        </w:rPr>
        <w:t xml:space="preserve"> </w:t>
      </w:r>
      <w:r w:rsidRPr="00512412">
        <w:rPr>
          <w:rFonts w:ascii="Arial" w:hAnsi="Arial" w:cs="Arial"/>
          <w:sz w:val="24"/>
          <w:szCs w:val="24"/>
        </w:rPr>
        <w:t>en contra de</w:t>
      </w:r>
      <w:r w:rsidR="006B49AF">
        <w:rPr>
          <w:rFonts w:ascii="Arial" w:hAnsi="Arial" w:cs="Arial"/>
          <w:sz w:val="24"/>
          <w:szCs w:val="24"/>
        </w:rPr>
        <w:t>l</w:t>
      </w:r>
      <w:r w:rsidR="00CA378A">
        <w:rPr>
          <w:rFonts w:ascii="Arial" w:hAnsi="Arial" w:cs="Arial"/>
          <w:sz w:val="24"/>
          <w:szCs w:val="24"/>
        </w:rPr>
        <w:t xml:space="preserve"> </w:t>
      </w:r>
      <w:r w:rsidR="00AC707D" w:rsidRPr="00AC707D">
        <w:rPr>
          <w:rFonts w:ascii="Arial" w:hAnsi="Arial" w:cs="Arial"/>
          <w:b/>
          <w:bCs/>
          <w:sz w:val="24"/>
          <w:szCs w:val="24"/>
        </w:rPr>
        <w:t>POLICÍA VIAL</w:t>
      </w:r>
      <w:r w:rsidR="008D1989">
        <w:rPr>
          <w:rFonts w:ascii="Arial" w:hAnsi="Arial" w:cs="Arial"/>
          <w:b/>
          <w:bCs/>
          <w:sz w:val="24"/>
          <w:szCs w:val="24"/>
        </w:rPr>
        <w:t xml:space="preserve"> </w:t>
      </w:r>
      <w:r w:rsidR="009315AE">
        <w:rPr>
          <w:rFonts w:ascii="Arial" w:hAnsi="Arial" w:cs="Arial"/>
          <w:b/>
          <w:bCs/>
          <w:sz w:val="24"/>
          <w:szCs w:val="24"/>
        </w:rPr>
        <w:t xml:space="preserve"> MUNICIPAL </w:t>
      </w:r>
      <w:r w:rsidR="00C3144B">
        <w:rPr>
          <w:rFonts w:ascii="Arial" w:hAnsi="Arial" w:cs="Arial"/>
          <w:b/>
          <w:bCs/>
          <w:sz w:val="24"/>
          <w:szCs w:val="24"/>
        </w:rPr>
        <w:t>**********</w:t>
      </w:r>
      <w:r w:rsidR="009315AE">
        <w:rPr>
          <w:rFonts w:ascii="Arial" w:hAnsi="Arial" w:cs="Arial"/>
          <w:b/>
          <w:bCs/>
          <w:sz w:val="24"/>
          <w:szCs w:val="24"/>
        </w:rPr>
        <w:t xml:space="preserve"> </w:t>
      </w:r>
      <w:r w:rsidR="009D0EEC">
        <w:rPr>
          <w:rFonts w:ascii="Arial" w:hAnsi="Arial" w:cs="Arial"/>
          <w:b/>
          <w:bCs/>
          <w:sz w:val="24"/>
          <w:szCs w:val="24"/>
        </w:rPr>
        <w:t>DE</w:t>
      </w:r>
      <w:r w:rsidR="009315AE">
        <w:rPr>
          <w:rFonts w:ascii="Arial" w:hAnsi="Arial" w:cs="Arial"/>
          <w:b/>
          <w:bCs/>
          <w:sz w:val="24"/>
          <w:szCs w:val="24"/>
        </w:rPr>
        <w:t xml:space="preserve">L MUNICIPIO DE </w:t>
      </w:r>
      <w:r w:rsidR="009D0EEC">
        <w:rPr>
          <w:rFonts w:ascii="Arial" w:hAnsi="Arial" w:cs="Arial"/>
          <w:b/>
          <w:bCs/>
          <w:sz w:val="24"/>
          <w:szCs w:val="24"/>
        </w:rPr>
        <w:t xml:space="preserve"> ZIMATLÁN DE ÁLVAREZ</w:t>
      </w:r>
      <w:proofErr w:type="gramStart"/>
      <w:r w:rsidR="009315AE">
        <w:rPr>
          <w:rFonts w:ascii="Arial" w:hAnsi="Arial" w:cs="Arial"/>
          <w:b/>
          <w:bCs/>
          <w:sz w:val="24"/>
          <w:szCs w:val="24"/>
        </w:rPr>
        <w:t>,OAXACA</w:t>
      </w:r>
      <w:proofErr w:type="gramEnd"/>
      <w:r w:rsidR="007751BD">
        <w:rPr>
          <w:rFonts w:ascii="Arial" w:hAnsi="Arial" w:cs="Arial"/>
          <w:b/>
          <w:bCs/>
          <w:sz w:val="24"/>
          <w:szCs w:val="24"/>
        </w:rPr>
        <w:t xml:space="preserve">. </w:t>
      </w:r>
      <w:r w:rsidRPr="00512412">
        <w:rPr>
          <w:rFonts w:ascii="Arial" w:hAnsi="Arial" w:cs="Arial"/>
          <w:b/>
          <w:sz w:val="24"/>
          <w:szCs w:val="24"/>
        </w:rPr>
        <w:t xml:space="preserve"> </w:t>
      </w:r>
    </w:p>
    <w:p w14:paraId="475056CC" w14:textId="77777777" w:rsidR="003A730F" w:rsidRDefault="003A730F" w:rsidP="00AF10EA">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AF10EA">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085BB257" w:rsidR="003A730F" w:rsidRPr="00512412" w:rsidRDefault="003A730F" w:rsidP="00AF10EA">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9D0EEC">
        <w:rPr>
          <w:rFonts w:ascii="Arial" w:eastAsia="Calibri" w:hAnsi="Arial" w:cs="Arial"/>
          <w:sz w:val="24"/>
          <w:szCs w:val="24"/>
          <w:lang w:eastAsia="en-US"/>
        </w:rPr>
        <w:t>dieciocho de marzo de dos mil veintiuno</w:t>
      </w:r>
      <w:r w:rsidR="00513C70">
        <w:rPr>
          <w:rFonts w:ascii="Arial" w:eastAsia="Calibri" w:hAnsi="Arial" w:cs="Arial"/>
          <w:sz w:val="24"/>
          <w:szCs w:val="24"/>
          <w:lang w:eastAsia="en-US"/>
        </w:rPr>
        <w:t xml:space="preserve">, </w:t>
      </w:r>
      <w:r w:rsidR="00C3144B">
        <w:rPr>
          <w:rFonts w:ascii="Arial" w:hAnsi="Arial" w:cs="Arial"/>
          <w:bCs/>
          <w:sz w:val="24"/>
          <w:szCs w:val="24"/>
        </w:rPr>
        <w:t>**********</w:t>
      </w:r>
      <w:r w:rsidR="00AC24D4">
        <w:rPr>
          <w:rFonts w:ascii="Arial" w:hAnsi="Arial" w:cs="Arial"/>
          <w:bCs/>
          <w:sz w:val="24"/>
          <w:szCs w:val="24"/>
        </w:rPr>
        <w:t xml:space="preserve"> </w:t>
      </w:r>
      <w:r>
        <w:rPr>
          <w:rFonts w:ascii="Arial" w:eastAsia="Calibri" w:hAnsi="Arial" w:cs="Arial"/>
          <w:sz w:val="24"/>
          <w:szCs w:val="24"/>
          <w:lang w:eastAsia="en-US"/>
        </w:rPr>
        <w:t xml:space="preserve">demandó </w:t>
      </w:r>
      <w:r w:rsidRPr="006E6EB1">
        <w:rPr>
          <w:rFonts w:ascii="Arial" w:eastAsia="Calibri" w:hAnsi="Arial" w:cs="Arial"/>
          <w:sz w:val="24"/>
          <w:szCs w:val="24"/>
          <w:lang w:eastAsia="en-US"/>
        </w:rPr>
        <w:t xml:space="preserve">la nulidad </w:t>
      </w:r>
      <w:r w:rsidR="009315AE">
        <w:rPr>
          <w:rFonts w:ascii="Arial" w:eastAsia="Calibri" w:hAnsi="Arial" w:cs="Arial"/>
          <w:sz w:val="24"/>
          <w:szCs w:val="24"/>
          <w:lang w:eastAsia="en-US"/>
        </w:rPr>
        <w:t xml:space="preserve">del </w:t>
      </w:r>
      <w:r w:rsidR="00CA378A">
        <w:rPr>
          <w:rFonts w:ascii="Arial" w:eastAsia="Calibri" w:hAnsi="Arial" w:cs="Arial"/>
          <w:sz w:val="24"/>
          <w:szCs w:val="24"/>
          <w:lang w:eastAsia="en-US"/>
        </w:rPr>
        <w:t xml:space="preserve">acta de infracción </w:t>
      </w:r>
      <w:r w:rsidR="008D1989">
        <w:rPr>
          <w:rFonts w:ascii="Arial" w:eastAsia="Calibri" w:hAnsi="Arial" w:cs="Arial"/>
          <w:sz w:val="24"/>
          <w:szCs w:val="24"/>
          <w:lang w:eastAsia="en-US"/>
        </w:rPr>
        <w:t xml:space="preserve">con número de folio </w:t>
      </w:r>
      <w:r w:rsidR="00C3144B">
        <w:rPr>
          <w:rFonts w:ascii="Arial" w:eastAsia="Calibri" w:hAnsi="Arial" w:cs="Arial"/>
          <w:sz w:val="24"/>
          <w:szCs w:val="24"/>
          <w:lang w:eastAsia="en-US"/>
        </w:rPr>
        <w:t>**********</w:t>
      </w:r>
      <w:r w:rsidR="00464CBE">
        <w:rPr>
          <w:rFonts w:ascii="Arial" w:eastAsia="Calibri" w:hAnsi="Arial" w:cs="Arial"/>
          <w:sz w:val="24"/>
          <w:szCs w:val="24"/>
          <w:lang w:eastAsia="en-US"/>
        </w:rPr>
        <w:t xml:space="preserve"> de fecha </w:t>
      </w:r>
      <w:r w:rsidR="006B49AF">
        <w:rPr>
          <w:rFonts w:ascii="Arial" w:eastAsia="Calibri" w:hAnsi="Arial" w:cs="Arial"/>
          <w:sz w:val="24"/>
          <w:szCs w:val="24"/>
          <w:lang w:eastAsia="en-US"/>
        </w:rPr>
        <w:t>ocho de febrero de dos mil veintiuno</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3C0543A5" w:rsidR="003A730F" w:rsidRDefault="003A730F" w:rsidP="00AF10EA">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6B49AF">
        <w:rPr>
          <w:rFonts w:ascii="Arial" w:eastAsia="Calibri" w:hAnsi="Arial" w:cs="Arial"/>
          <w:sz w:val="24"/>
          <w:szCs w:val="24"/>
          <w:lang w:eastAsia="en-US"/>
        </w:rPr>
        <w:t>catorce de mayo de dos mil veintiuno</w:t>
      </w:r>
      <w:r w:rsidR="006C08AA">
        <w:rPr>
          <w:rFonts w:ascii="Arial" w:eastAsia="Calibri" w:hAnsi="Arial" w:cs="Arial"/>
          <w:sz w:val="24"/>
          <w:szCs w:val="24"/>
          <w:lang w:eastAsia="en-US"/>
        </w:rPr>
        <w:t xml:space="preserve"> se </w:t>
      </w:r>
      <w:r w:rsidRPr="00512412">
        <w:rPr>
          <w:rFonts w:ascii="Arial" w:eastAsia="Calibri" w:hAnsi="Arial" w:cs="Arial"/>
          <w:sz w:val="24"/>
          <w:szCs w:val="24"/>
          <w:lang w:eastAsia="en-US"/>
        </w:rPr>
        <w:t>admitió</w:t>
      </w:r>
      <w:r w:rsidR="00FB02AE">
        <w:rPr>
          <w:rFonts w:ascii="Arial" w:eastAsia="Calibri" w:hAnsi="Arial" w:cs="Arial"/>
          <w:sz w:val="24"/>
          <w:szCs w:val="24"/>
          <w:lang w:eastAsia="en-US"/>
        </w:rPr>
        <w:t xml:space="preserve"> a trámite la demanda en comento</w:t>
      </w:r>
      <w:r w:rsidRPr="00512412">
        <w:rPr>
          <w:rFonts w:ascii="Arial" w:eastAsia="Calibri" w:hAnsi="Arial" w:cs="Arial"/>
          <w:sz w:val="24"/>
          <w:szCs w:val="24"/>
          <w:lang w:eastAsia="en-US"/>
        </w:rPr>
        <w:t>, ordenándose  correr traslado a la autorida</w:t>
      </w:r>
      <w:r w:rsidR="00513C70">
        <w:rPr>
          <w:rFonts w:ascii="Arial" w:eastAsia="Calibri" w:hAnsi="Arial" w:cs="Arial"/>
          <w:sz w:val="24"/>
          <w:szCs w:val="24"/>
          <w:lang w:eastAsia="en-US"/>
        </w:rPr>
        <w:t>d</w:t>
      </w:r>
      <w:r w:rsidRPr="00512412">
        <w:rPr>
          <w:rFonts w:ascii="Arial" w:eastAsia="Calibri" w:hAnsi="Arial" w:cs="Arial"/>
          <w:sz w:val="24"/>
          <w:szCs w:val="24"/>
          <w:lang w:eastAsia="en-US"/>
        </w:rPr>
        <w:t xml:space="preserve"> enjuiciada</w:t>
      </w:r>
      <w:r w:rsidR="006C08AA">
        <w:rPr>
          <w:rFonts w:ascii="Arial" w:eastAsia="Calibri" w:hAnsi="Arial" w:cs="Arial"/>
          <w:sz w:val="24"/>
          <w:szCs w:val="24"/>
          <w:lang w:eastAsia="en-US"/>
        </w:rPr>
        <w:t xml:space="preserve">, </w:t>
      </w:r>
      <w:r w:rsidRPr="00512412">
        <w:rPr>
          <w:rFonts w:ascii="Arial" w:eastAsia="Calibri" w:hAnsi="Arial" w:cs="Arial"/>
          <w:sz w:val="24"/>
          <w:szCs w:val="24"/>
          <w:lang w:eastAsia="en-US"/>
        </w:rPr>
        <w:t>para que diera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w:t>
      </w:r>
      <w:r w:rsidR="006C08AA">
        <w:rPr>
          <w:rFonts w:ascii="Arial" w:eastAsia="Calibri" w:hAnsi="Arial" w:cs="Arial"/>
          <w:sz w:val="24"/>
          <w:szCs w:val="24"/>
          <w:lang w:eastAsia="en-US"/>
        </w:rPr>
        <w:t xml:space="preserve">. </w:t>
      </w:r>
      <w:r w:rsidR="00783820">
        <w:rPr>
          <w:rFonts w:ascii="Arial" w:eastAsia="Calibri" w:hAnsi="Arial" w:cs="Arial"/>
          <w:sz w:val="24"/>
          <w:szCs w:val="24"/>
          <w:lang w:eastAsia="en-US"/>
        </w:rPr>
        <w:t xml:space="preserve">También se desechó la demanda </w:t>
      </w:r>
      <w:r w:rsidR="00FB02AE">
        <w:rPr>
          <w:rFonts w:ascii="Arial" w:eastAsia="Calibri" w:hAnsi="Arial" w:cs="Arial"/>
          <w:sz w:val="24"/>
          <w:szCs w:val="24"/>
          <w:lang w:eastAsia="en-US"/>
        </w:rPr>
        <w:t xml:space="preserve">en </w:t>
      </w:r>
      <w:r w:rsidR="00783820">
        <w:rPr>
          <w:rFonts w:ascii="Arial" w:eastAsia="Calibri" w:hAnsi="Arial" w:cs="Arial"/>
          <w:sz w:val="24"/>
          <w:szCs w:val="24"/>
          <w:lang w:eastAsia="en-US"/>
        </w:rPr>
        <w:t xml:space="preserve">contra </w:t>
      </w:r>
      <w:r w:rsidR="002B0184">
        <w:rPr>
          <w:rFonts w:ascii="Arial" w:eastAsia="Calibri" w:hAnsi="Arial" w:cs="Arial"/>
          <w:sz w:val="24"/>
          <w:szCs w:val="24"/>
          <w:lang w:eastAsia="en-US"/>
        </w:rPr>
        <w:t xml:space="preserve">de la Dirección de Tránsito </w:t>
      </w:r>
      <w:r w:rsidR="00FB02AE">
        <w:rPr>
          <w:rFonts w:ascii="Arial" w:eastAsia="Calibri" w:hAnsi="Arial" w:cs="Arial"/>
          <w:sz w:val="24"/>
          <w:szCs w:val="24"/>
          <w:lang w:eastAsia="en-US"/>
        </w:rPr>
        <w:t>Municipal de Zimatlán de Álvarez, Oaxaca</w:t>
      </w:r>
      <w:r w:rsidR="00783820">
        <w:rPr>
          <w:rFonts w:ascii="Arial" w:eastAsia="Calibri" w:hAnsi="Arial" w:cs="Arial"/>
          <w:sz w:val="24"/>
          <w:szCs w:val="24"/>
          <w:lang w:eastAsia="en-US"/>
        </w:rPr>
        <w:t>.</w:t>
      </w:r>
    </w:p>
    <w:p w14:paraId="0C69C4CC" w14:textId="32D036D2" w:rsidR="00C9091B" w:rsidRDefault="003A730F" w:rsidP="00AF10EA">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1459E1">
        <w:rPr>
          <w:rFonts w:ascii="Arial" w:eastAsia="Calibri" w:hAnsi="Arial" w:cs="Arial"/>
          <w:sz w:val="24"/>
          <w:szCs w:val="24"/>
          <w:lang w:eastAsia="en-US"/>
        </w:rPr>
        <w:t>veinticuatro</w:t>
      </w:r>
      <w:r w:rsidR="00783820">
        <w:rPr>
          <w:rFonts w:ascii="Arial" w:eastAsia="Calibri" w:hAnsi="Arial" w:cs="Arial"/>
          <w:sz w:val="24"/>
          <w:szCs w:val="24"/>
          <w:lang w:eastAsia="en-US"/>
        </w:rPr>
        <w:t xml:space="preserve"> de febrero de dos mil veintitrés</w:t>
      </w:r>
      <w:r w:rsidR="00AC707D">
        <w:rPr>
          <w:rFonts w:ascii="Arial" w:eastAsia="Calibri" w:hAnsi="Arial" w:cs="Arial"/>
          <w:sz w:val="24"/>
          <w:szCs w:val="24"/>
          <w:lang w:eastAsia="en-US"/>
        </w:rPr>
        <w:t xml:space="preserve"> </w:t>
      </w:r>
      <w:r w:rsidR="00CE275F">
        <w:rPr>
          <w:rFonts w:ascii="Arial" w:eastAsia="Calibri" w:hAnsi="Arial" w:cs="Arial"/>
          <w:sz w:val="24"/>
          <w:szCs w:val="24"/>
          <w:lang w:eastAsia="en-US"/>
        </w:rPr>
        <w:t xml:space="preserve">se tuvo a la autoridad demandada </w:t>
      </w:r>
      <w:r w:rsidR="008D1989" w:rsidRPr="00171708">
        <w:rPr>
          <w:rFonts w:ascii="Arial" w:eastAsia="Calibri" w:hAnsi="Arial" w:cs="Arial"/>
          <w:sz w:val="24"/>
          <w:szCs w:val="24"/>
          <w:lang w:eastAsia="en-US"/>
        </w:rPr>
        <w:t xml:space="preserve">contestando la demanda de nulidad </w:t>
      </w:r>
      <w:r w:rsidR="001459E1">
        <w:rPr>
          <w:rFonts w:ascii="Arial" w:eastAsia="Calibri" w:hAnsi="Arial" w:cs="Arial"/>
          <w:sz w:val="24"/>
          <w:szCs w:val="24"/>
          <w:lang w:eastAsia="en-US"/>
        </w:rPr>
        <w:t>en sentido afirmativo</w:t>
      </w:r>
      <w:r w:rsidR="00C9091B">
        <w:rPr>
          <w:rFonts w:ascii="Arial" w:eastAsia="Calibri" w:hAnsi="Arial" w:cs="Arial"/>
          <w:sz w:val="24"/>
          <w:szCs w:val="24"/>
          <w:lang w:eastAsia="en-US"/>
        </w:rPr>
        <w:t xml:space="preserve">. </w:t>
      </w:r>
      <w:r w:rsidR="00783820">
        <w:rPr>
          <w:rFonts w:ascii="Arial" w:eastAsia="Calibri" w:hAnsi="Arial" w:cs="Arial"/>
          <w:sz w:val="24"/>
          <w:szCs w:val="24"/>
          <w:lang w:eastAsia="en-US"/>
        </w:rPr>
        <w:t xml:space="preserve">Así mismo se señalaron las </w:t>
      </w:r>
      <w:r w:rsidR="001459E1">
        <w:rPr>
          <w:rFonts w:ascii="Arial" w:eastAsia="Calibri" w:hAnsi="Arial" w:cs="Arial"/>
          <w:sz w:val="24"/>
          <w:szCs w:val="24"/>
          <w:lang w:eastAsia="en-US"/>
        </w:rPr>
        <w:t>trece horas del trece de marzo</w:t>
      </w:r>
      <w:r w:rsidR="00783820">
        <w:rPr>
          <w:rFonts w:ascii="Arial" w:eastAsia="Calibri" w:hAnsi="Arial" w:cs="Arial"/>
          <w:sz w:val="24"/>
          <w:szCs w:val="24"/>
          <w:lang w:eastAsia="en-US"/>
        </w:rPr>
        <w:t xml:space="preserve"> de dos mil veintitrés</w:t>
      </w:r>
      <w:r w:rsidR="003332DD">
        <w:rPr>
          <w:rFonts w:ascii="Arial" w:eastAsia="Calibri" w:hAnsi="Arial" w:cs="Arial"/>
          <w:sz w:val="24"/>
          <w:szCs w:val="24"/>
          <w:lang w:eastAsia="en-US"/>
        </w:rPr>
        <w:t xml:space="preserve"> para que tuviera verificativo la Audiencia de Ley</w:t>
      </w:r>
      <w:r w:rsidR="00893C2E">
        <w:rPr>
          <w:rFonts w:ascii="Arial" w:eastAsia="Calibri" w:hAnsi="Arial" w:cs="Arial"/>
          <w:sz w:val="24"/>
          <w:szCs w:val="24"/>
          <w:lang w:eastAsia="en-US"/>
        </w:rPr>
        <w:t xml:space="preserve">. </w:t>
      </w:r>
    </w:p>
    <w:p w14:paraId="219A7C67" w14:textId="2AB77B43" w:rsidR="003A730F" w:rsidRDefault="00893C2E" w:rsidP="00AF10EA">
      <w:pPr>
        <w:spacing w:after="160" w:line="360" w:lineRule="auto"/>
        <w:ind w:firstLine="567"/>
        <w:jc w:val="both"/>
        <w:rPr>
          <w:rFonts w:ascii="Arial" w:eastAsia="Calibri" w:hAnsi="Arial" w:cs="Arial"/>
          <w:sz w:val="24"/>
          <w:szCs w:val="24"/>
          <w:lang w:eastAsia="en-US"/>
        </w:rPr>
      </w:pPr>
      <w:r>
        <w:rPr>
          <w:rFonts w:ascii="Arial" w:eastAsia="Calibri" w:hAnsi="Arial" w:cs="Arial"/>
          <w:b/>
          <w:bCs/>
          <w:sz w:val="24"/>
          <w:szCs w:val="24"/>
          <w:lang w:eastAsia="en-US"/>
        </w:rPr>
        <w:t xml:space="preserve">4°. </w:t>
      </w:r>
      <w:r>
        <w:rPr>
          <w:rFonts w:ascii="Arial" w:eastAsia="Calibri" w:hAnsi="Arial" w:cs="Arial"/>
          <w:sz w:val="24"/>
          <w:szCs w:val="24"/>
          <w:lang w:eastAsia="en-US"/>
        </w:rPr>
        <w:t>El día señalado se llevó a cabo la Audiencia Final</w:t>
      </w:r>
      <w:r w:rsidR="003C1EC7">
        <w:rPr>
          <w:rFonts w:ascii="Arial" w:eastAsia="Calibri" w:hAnsi="Arial" w:cs="Arial"/>
          <w:sz w:val="24"/>
          <w:szCs w:val="24"/>
          <w:lang w:eastAsia="en-US"/>
        </w:rPr>
        <w:t xml:space="preserve"> </w:t>
      </w:r>
      <w:r w:rsidR="0085386F">
        <w:rPr>
          <w:rFonts w:ascii="Arial" w:eastAsia="Calibri" w:hAnsi="Arial" w:cs="Arial"/>
          <w:sz w:val="24"/>
          <w:szCs w:val="24"/>
          <w:lang w:eastAsia="en-US"/>
        </w:rPr>
        <w:t xml:space="preserve">donde </w:t>
      </w:r>
      <w:r w:rsidR="003A730F">
        <w:rPr>
          <w:rFonts w:ascii="Arial" w:eastAsia="Calibri" w:hAnsi="Arial" w:cs="Arial"/>
          <w:sz w:val="24"/>
          <w:szCs w:val="24"/>
          <w:lang w:eastAsia="en-US"/>
        </w:rPr>
        <w:t>se hizo constar</w:t>
      </w:r>
      <w:r w:rsidR="0085386F">
        <w:rPr>
          <w:rFonts w:ascii="Arial" w:eastAsia="Calibri" w:hAnsi="Arial" w:cs="Arial"/>
          <w:sz w:val="24"/>
          <w:szCs w:val="24"/>
          <w:lang w:eastAsia="en-US"/>
        </w:rPr>
        <w:t xml:space="preserve"> que no se encontraron presentes las partes ni persona alguna que legalmente las representara</w:t>
      </w:r>
      <w:r w:rsidR="003A730F" w:rsidRPr="00512412">
        <w:rPr>
          <w:rFonts w:ascii="Arial" w:eastAsia="Calibri" w:hAnsi="Arial" w:cs="Arial"/>
          <w:sz w:val="24"/>
          <w:szCs w:val="24"/>
          <w:lang w:eastAsia="en-US"/>
        </w:rPr>
        <w:t xml:space="preserve">; en el periodo de pruebas se tuvieron por </w:t>
      </w:r>
      <w:r w:rsidR="003A730F" w:rsidRPr="00512412">
        <w:rPr>
          <w:rFonts w:ascii="Arial" w:eastAsia="Calibri" w:hAnsi="Arial" w:cs="Arial"/>
          <w:sz w:val="24"/>
          <w:szCs w:val="24"/>
          <w:lang w:eastAsia="en-US"/>
        </w:rPr>
        <w:lastRenderedPageBreak/>
        <w:t xml:space="preserve">desahogadas por su propia y especial naturaleza las pruebas ofrecidas por las partes; en el periodo de alegatos se hizo constar </w:t>
      </w:r>
      <w:r w:rsidR="00783820">
        <w:rPr>
          <w:rFonts w:ascii="Arial" w:eastAsia="Calibri" w:hAnsi="Arial" w:cs="Arial"/>
          <w:sz w:val="24"/>
          <w:szCs w:val="24"/>
          <w:lang w:eastAsia="en-US"/>
        </w:rPr>
        <w:t>que las partes no presentaron alegato</w:t>
      </w:r>
      <w:r w:rsidR="007C3C1C">
        <w:rPr>
          <w:rFonts w:ascii="Arial" w:eastAsia="Calibri" w:hAnsi="Arial" w:cs="Arial"/>
          <w:sz w:val="24"/>
          <w:szCs w:val="24"/>
          <w:lang w:eastAsia="en-US"/>
        </w:rPr>
        <w:t xml:space="preserve">s </w:t>
      </w:r>
      <w:r w:rsidR="003A730F">
        <w:rPr>
          <w:rFonts w:ascii="Arial" w:eastAsia="Calibri" w:hAnsi="Arial" w:cs="Arial"/>
          <w:sz w:val="24"/>
          <w:szCs w:val="24"/>
          <w:lang w:eastAsia="en-US"/>
        </w:rPr>
        <w:t xml:space="preserve">por lo que se le tuvo por perdido su derecho </w:t>
      </w:r>
      <w:r w:rsidR="003A730F"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3D48B7CA" w14:textId="77777777" w:rsidR="0085386F" w:rsidRPr="00512412" w:rsidRDefault="0085386F" w:rsidP="00AF10EA">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364191BE" w14:textId="1D67491C" w:rsidR="0085386F" w:rsidRPr="00512412" w:rsidRDefault="0085386F" w:rsidP="00AF10EA">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sidR="007A6DD0">
        <w:rPr>
          <w:rFonts w:ascii="Arial" w:eastAsia="Calibri" w:hAnsi="Arial" w:cs="Arial"/>
          <w:b/>
          <w:sz w:val="24"/>
          <w:szCs w:val="24"/>
          <w:lang w:eastAsia="en-US"/>
        </w:rPr>
        <w:t>municipal</w:t>
      </w:r>
      <w:r w:rsidRPr="00512412">
        <w:rPr>
          <w:rFonts w:ascii="Arial" w:eastAsia="Calibri" w:hAnsi="Arial" w:cs="Arial"/>
          <w:sz w:val="24"/>
          <w:szCs w:val="24"/>
          <w:lang w:eastAsia="en-US"/>
        </w:rPr>
        <w:t xml:space="preserve">. </w:t>
      </w:r>
    </w:p>
    <w:p w14:paraId="0C80F779" w14:textId="0728B96D" w:rsidR="0085386F" w:rsidRPr="00C14A2B" w:rsidRDefault="0085386F" w:rsidP="00AF10EA">
      <w:pPr>
        <w:spacing w:after="160" w:line="360" w:lineRule="auto"/>
        <w:ind w:firstLine="567"/>
        <w:jc w:val="both"/>
        <w:rPr>
          <w:rFonts w:ascii="Arial" w:eastAsia="Calibri" w:hAnsi="Arial" w:cs="Arial"/>
          <w:sz w:val="24"/>
          <w:szCs w:val="24"/>
          <w:lang w:eastAsia="en-US"/>
        </w:rPr>
      </w:pPr>
      <w:r w:rsidRPr="00C14A2B">
        <w:rPr>
          <w:rFonts w:ascii="Arial" w:eastAsia="Calibri" w:hAnsi="Arial" w:cs="Arial"/>
          <w:b/>
          <w:bCs/>
          <w:sz w:val="24"/>
          <w:szCs w:val="24"/>
          <w:lang w:eastAsia="en-US"/>
        </w:rPr>
        <w:t>SEGUNDO.</w:t>
      </w:r>
      <w:r w:rsidRPr="00C14A2B">
        <w:rPr>
          <w:rFonts w:ascii="Arial" w:eastAsia="Calibri" w:hAnsi="Arial" w:cs="Arial"/>
          <w:sz w:val="24"/>
          <w:szCs w:val="24"/>
          <w:lang w:eastAsia="en-US"/>
        </w:rPr>
        <w:t xml:space="preserve"> </w:t>
      </w:r>
      <w:r w:rsidRPr="00C14A2B">
        <w:rPr>
          <w:rFonts w:ascii="Arial" w:eastAsia="Calibri" w:hAnsi="Arial" w:cs="Arial"/>
          <w:b/>
          <w:bCs/>
          <w:sz w:val="24"/>
          <w:szCs w:val="24"/>
          <w:lang w:eastAsia="en-US"/>
        </w:rPr>
        <w:t xml:space="preserve">Personalidad. </w:t>
      </w:r>
      <w:r w:rsidRPr="00C14A2B">
        <w:rPr>
          <w:rFonts w:ascii="Arial" w:eastAsia="Calibri" w:hAnsi="Arial" w:cs="Arial"/>
          <w:sz w:val="24"/>
          <w:szCs w:val="24"/>
          <w:lang w:eastAsia="en-US"/>
        </w:rPr>
        <w:t xml:space="preserve"> La personalidad de las partes se tuvo acreditada de conformidad con los artículos 150</w:t>
      </w:r>
      <w:r w:rsidRPr="00C14A2B">
        <w:rPr>
          <w:rFonts w:ascii="Arial" w:eastAsia="Calibri" w:hAnsi="Arial" w:cs="Arial"/>
          <w:sz w:val="24"/>
          <w:szCs w:val="24"/>
          <w:vertAlign w:val="superscript"/>
          <w:lang w:eastAsia="en-US"/>
        </w:rPr>
        <w:footnoteReference w:id="1"/>
      </w:r>
      <w:r w:rsidRPr="00C14A2B">
        <w:rPr>
          <w:rFonts w:ascii="Arial" w:eastAsia="Calibri" w:hAnsi="Arial" w:cs="Arial"/>
          <w:sz w:val="24"/>
          <w:szCs w:val="24"/>
          <w:lang w:eastAsia="en-US"/>
        </w:rPr>
        <w:t xml:space="preserve"> y 151</w:t>
      </w:r>
      <w:r w:rsidRPr="00C14A2B">
        <w:rPr>
          <w:rFonts w:ascii="Arial" w:eastAsia="Calibri" w:hAnsi="Arial" w:cs="Arial"/>
          <w:sz w:val="24"/>
          <w:szCs w:val="24"/>
          <w:vertAlign w:val="superscript"/>
          <w:lang w:eastAsia="en-US"/>
        </w:rPr>
        <w:footnoteReference w:id="2"/>
      </w:r>
      <w:r w:rsidRPr="00C14A2B">
        <w:rPr>
          <w:rFonts w:ascii="Arial" w:eastAsia="Calibri" w:hAnsi="Arial" w:cs="Arial"/>
          <w:sz w:val="24"/>
          <w:szCs w:val="24"/>
          <w:lang w:eastAsia="en-US"/>
        </w:rPr>
        <w:t xml:space="preserve"> de la Ley de Procedimiento y Justicia Administrativa</w:t>
      </w:r>
      <w:r w:rsidR="007A6DD0" w:rsidRPr="00C14A2B">
        <w:rPr>
          <w:rFonts w:ascii="Arial" w:eastAsia="Calibri" w:hAnsi="Arial" w:cs="Arial"/>
          <w:sz w:val="24"/>
          <w:szCs w:val="24"/>
          <w:lang w:eastAsia="en-US"/>
        </w:rPr>
        <w:t xml:space="preserve"> para el Estado de Oaxaca</w:t>
      </w:r>
      <w:r w:rsidRPr="00C14A2B">
        <w:rPr>
          <w:rFonts w:ascii="Arial" w:eastAsia="Calibri" w:hAnsi="Arial" w:cs="Arial"/>
          <w:sz w:val="24"/>
          <w:szCs w:val="24"/>
          <w:lang w:eastAsia="en-US"/>
        </w:rPr>
        <w:t>.</w:t>
      </w:r>
    </w:p>
    <w:p w14:paraId="1D9EEE29" w14:textId="53709E5D" w:rsidR="00D83CC1" w:rsidRDefault="00D83CC1" w:rsidP="00AF10EA">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3C1EC7">
        <w:rPr>
          <w:rFonts w:ascii="Arial" w:hAnsi="Arial" w:cs="Arial"/>
          <w:sz w:val="24"/>
          <w:szCs w:val="24"/>
        </w:rPr>
        <w:t xml:space="preserve"> el </w:t>
      </w:r>
      <w:r w:rsidR="00971BEB">
        <w:rPr>
          <w:rFonts w:ascii="Arial" w:hAnsi="Arial" w:cs="Arial"/>
          <w:sz w:val="24"/>
          <w:szCs w:val="24"/>
        </w:rPr>
        <w:t xml:space="preserve">acta de infracción con número de folio </w:t>
      </w:r>
      <w:r w:rsidR="00C3144B">
        <w:rPr>
          <w:rFonts w:ascii="Arial" w:eastAsia="Calibri" w:hAnsi="Arial" w:cs="Arial"/>
          <w:sz w:val="24"/>
          <w:szCs w:val="24"/>
          <w:lang w:eastAsia="en-US"/>
        </w:rPr>
        <w:t>**********</w:t>
      </w:r>
      <w:r w:rsidR="001459E1">
        <w:rPr>
          <w:rFonts w:ascii="Arial" w:eastAsia="Calibri" w:hAnsi="Arial" w:cs="Arial"/>
          <w:sz w:val="24"/>
          <w:szCs w:val="24"/>
          <w:lang w:eastAsia="en-US"/>
        </w:rPr>
        <w:t xml:space="preserve"> de fecha ocho de febrero de dos mil veintiuno</w:t>
      </w:r>
      <w:r w:rsidR="00893C2E">
        <w:rPr>
          <w:rFonts w:ascii="Arial" w:hAnsi="Arial" w:cs="Arial"/>
          <w:sz w:val="24"/>
          <w:szCs w:val="24"/>
        </w:rPr>
        <w:t xml:space="preserve"> </w:t>
      </w:r>
      <w:r w:rsidR="00971BEB">
        <w:rPr>
          <w:rFonts w:ascii="Arial" w:hAnsi="Arial" w:cs="Arial"/>
          <w:sz w:val="24"/>
          <w:szCs w:val="24"/>
        </w:rPr>
        <w:t xml:space="preserve">misma que obra en </w:t>
      </w:r>
      <w:r w:rsidR="007C3C1C">
        <w:rPr>
          <w:rFonts w:ascii="Arial" w:hAnsi="Arial" w:cs="Arial"/>
          <w:sz w:val="24"/>
          <w:szCs w:val="24"/>
        </w:rPr>
        <w:t>original</w:t>
      </w:r>
      <w:r w:rsidR="00971BEB">
        <w:rPr>
          <w:rFonts w:ascii="Arial" w:hAnsi="Arial" w:cs="Arial"/>
          <w:sz w:val="24"/>
          <w:szCs w:val="24"/>
        </w:rPr>
        <w:t xml:space="preserve"> a foja </w:t>
      </w:r>
      <w:r w:rsidR="001459E1">
        <w:rPr>
          <w:rFonts w:ascii="Arial" w:hAnsi="Arial" w:cs="Arial"/>
          <w:sz w:val="24"/>
          <w:szCs w:val="24"/>
        </w:rPr>
        <w:t>diez</w:t>
      </w:r>
      <w:r w:rsidR="00971BEB">
        <w:rPr>
          <w:rFonts w:ascii="Arial" w:hAnsi="Arial" w:cs="Arial"/>
          <w:sz w:val="24"/>
          <w:szCs w:val="24"/>
        </w:rPr>
        <w:t xml:space="preserve"> del expediente natural a rubro indicado</w:t>
      </w:r>
      <w:r w:rsidRPr="006D319D">
        <w:rPr>
          <w:rFonts w:ascii="Arial" w:hAnsi="Arial" w:cs="Arial"/>
          <w:sz w:val="24"/>
          <w:szCs w:val="24"/>
        </w:rPr>
        <w:t>, a la cual se le concede valor probatorio pleno de conformidad con el artículo 203</w:t>
      </w:r>
      <w:r w:rsidR="00C14A2B">
        <w:rPr>
          <w:rFonts w:ascii="Arial" w:hAnsi="Arial" w:cs="Arial"/>
          <w:sz w:val="24"/>
          <w:szCs w:val="24"/>
        </w:rPr>
        <w:t>,</w:t>
      </w:r>
      <w:r w:rsidRPr="006D319D">
        <w:rPr>
          <w:rFonts w:ascii="Arial" w:hAnsi="Arial" w:cs="Arial"/>
          <w:sz w:val="24"/>
          <w:szCs w:val="24"/>
        </w:rPr>
        <w:t xml:space="preserve">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Justicia Administrativa para el Estado de Oaxaca</w:t>
      </w:r>
      <w:r>
        <w:rPr>
          <w:rFonts w:ascii="Arial" w:hAnsi="Arial" w:cs="Arial"/>
          <w:sz w:val="24"/>
          <w:szCs w:val="24"/>
        </w:rPr>
        <w:t>. De manera que dicha</w:t>
      </w:r>
      <w:r w:rsidRPr="006D319D">
        <w:rPr>
          <w:rFonts w:ascii="Arial" w:hAnsi="Arial" w:cs="Arial"/>
          <w:sz w:val="24"/>
          <w:szCs w:val="24"/>
        </w:rPr>
        <w:t xml:space="preserve"> documental pública es el medio de convicción, que se tiene </w:t>
      </w:r>
      <w:r w:rsidR="00C14A2B">
        <w:rPr>
          <w:rFonts w:ascii="Arial" w:hAnsi="Arial" w:cs="Arial"/>
          <w:sz w:val="24"/>
          <w:szCs w:val="24"/>
        </w:rPr>
        <w:t>para acreditar</w:t>
      </w:r>
      <w:r w:rsidRPr="006D319D">
        <w:rPr>
          <w:rFonts w:ascii="Arial" w:hAnsi="Arial" w:cs="Arial"/>
          <w:sz w:val="24"/>
          <w:szCs w:val="24"/>
        </w:rPr>
        <w:t xml:space="preserve"> la existencia del acto impugnado. </w:t>
      </w:r>
    </w:p>
    <w:p w14:paraId="6ED81FD1" w14:textId="749A162C" w:rsidR="004C0A42" w:rsidRDefault="00D83CC1" w:rsidP="00AF10EA">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 xml:space="preserve">respecto al </w:t>
      </w:r>
      <w:r w:rsidR="00226899">
        <w:rPr>
          <w:rFonts w:ascii="Arial" w:hAnsi="Arial" w:cs="Arial"/>
          <w:sz w:val="24"/>
          <w:szCs w:val="24"/>
        </w:rPr>
        <w:t xml:space="preserve">acta de infracción </w:t>
      </w:r>
      <w:r w:rsidR="00F97079">
        <w:rPr>
          <w:rFonts w:ascii="Arial" w:hAnsi="Arial" w:cs="Arial"/>
          <w:sz w:val="24"/>
          <w:szCs w:val="24"/>
        </w:rPr>
        <w:t xml:space="preserve">aquí </w:t>
      </w:r>
      <w:r w:rsidR="00971BEB">
        <w:rPr>
          <w:rFonts w:ascii="Arial" w:hAnsi="Arial" w:cs="Arial"/>
          <w:sz w:val="24"/>
          <w:szCs w:val="24"/>
        </w:rPr>
        <w:t>impugnada</w:t>
      </w:r>
      <w:r w:rsidR="003C1EC7">
        <w:rPr>
          <w:rFonts w:ascii="Arial" w:hAnsi="Arial" w:cs="Arial"/>
          <w:sz w:val="24"/>
          <w:szCs w:val="24"/>
        </w:rPr>
        <w:t xml:space="preserve">, de donde argumenta que no resulta legal </w:t>
      </w:r>
      <w:r w:rsidR="007C49D1">
        <w:rPr>
          <w:rFonts w:ascii="Arial" w:hAnsi="Arial" w:cs="Arial"/>
          <w:sz w:val="24"/>
          <w:szCs w:val="24"/>
        </w:rPr>
        <w:t xml:space="preserve">pues </w:t>
      </w:r>
      <w:r w:rsidR="006B1484">
        <w:rPr>
          <w:rFonts w:ascii="Arial" w:hAnsi="Arial" w:cs="Arial"/>
          <w:sz w:val="24"/>
          <w:szCs w:val="24"/>
        </w:rPr>
        <w:t xml:space="preserve">se encuentra </w:t>
      </w:r>
      <w:r w:rsidR="006B1484">
        <w:rPr>
          <w:rFonts w:ascii="Arial" w:hAnsi="Arial" w:cs="Arial"/>
          <w:sz w:val="24"/>
          <w:szCs w:val="24"/>
        </w:rPr>
        <w:lastRenderedPageBreak/>
        <w:t>indebidamente fundad</w:t>
      </w:r>
      <w:r w:rsidR="00226899">
        <w:rPr>
          <w:rFonts w:ascii="Arial" w:hAnsi="Arial" w:cs="Arial"/>
          <w:sz w:val="24"/>
          <w:szCs w:val="24"/>
        </w:rPr>
        <w:t>a y motivada</w:t>
      </w:r>
      <w:r w:rsidR="007C3C1C">
        <w:rPr>
          <w:rFonts w:ascii="Arial" w:hAnsi="Arial" w:cs="Arial"/>
          <w:sz w:val="24"/>
          <w:szCs w:val="24"/>
        </w:rPr>
        <w:t xml:space="preserve"> máxime que no realiza una descripción </w:t>
      </w:r>
      <w:r w:rsidR="004C0A42">
        <w:rPr>
          <w:rFonts w:ascii="Arial" w:hAnsi="Arial" w:cs="Arial"/>
          <w:sz w:val="24"/>
          <w:szCs w:val="24"/>
        </w:rPr>
        <w:t xml:space="preserve">clara y completa de la conducta sancionable. </w:t>
      </w:r>
    </w:p>
    <w:p w14:paraId="453239B8" w14:textId="01DD275F" w:rsidR="007C3C1C" w:rsidRDefault="004C0A42" w:rsidP="00AF10EA">
      <w:pPr>
        <w:spacing w:after="160" w:line="360" w:lineRule="auto"/>
        <w:ind w:firstLine="567"/>
        <w:jc w:val="both"/>
        <w:rPr>
          <w:rFonts w:ascii="Arial" w:hAnsi="Arial" w:cs="Arial"/>
          <w:sz w:val="24"/>
          <w:szCs w:val="24"/>
        </w:rPr>
      </w:pPr>
      <w:r>
        <w:rPr>
          <w:rFonts w:ascii="Arial" w:hAnsi="Arial" w:cs="Arial"/>
          <w:sz w:val="24"/>
          <w:szCs w:val="24"/>
        </w:rPr>
        <w:t>Por su parte</w:t>
      </w:r>
      <w:r w:rsidR="001459E1">
        <w:rPr>
          <w:rFonts w:ascii="Arial" w:hAnsi="Arial" w:cs="Arial"/>
          <w:sz w:val="24"/>
          <w:szCs w:val="24"/>
        </w:rPr>
        <w:t xml:space="preserve"> </w:t>
      </w:r>
      <w:r w:rsidR="003D0052">
        <w:rPr>
          <w:rFonts w:ascii="Arial" w:hAnsi="Arial" w:cs="Arial"/>
          <w:sz w:val="24"/>
          <w:szCs w:val="24"/>
        </w:rPr>
        <w:t>a</w:t>
      </w:r>
      <w:r>
        <w:rPr>
          <w:rFonts w:ascii="Arial" w:hAnsi="Arial" w:cs="Arial"/>
          <w:sz w:val="24"/>
          <w:szCs w:val="24"/>
        </w:rPr>
        <w:t xml:space="preserve"> la autoridad demandada </w:t>
      </w:r>
      <w:r w:rsidR="001459E1">
        <w:rPr>
          <w:rFonts w:ascii="Arial" w:hAnsi="Arial" w:cs="Arial"/>
          <w:sz w:val="24"/>
          <w:szCs w:val="24"/>
        </w:rPr>
        <w:t>se le tuvo contestando en sentido afirmativo por lo que lo hay Litis que integrar.</w:t>
      </w:r>
    </w:p>
    <w:p w14:paraId="1D668CDD" w14:textId="382E5F5D" w:rsidR="00BA14C6" w:rsidRDefault="00BA14C6" w:rsidP="00AF10EA">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w:t>
      </w:r>
      <w:r w:rsidR="004C0A42">
        <w:rPr>
          <w:rFonts w:ascii="Arial" w:hAnsi="Arial" w:cs="Arial"/>
          <w:sz w:val="24"/>
          <w:szCs w:val="24"/>
        </w:rPr>
        <w:t xml:space="preserve">. </w:t>
      </w:r>
    </w:p>
    <w:p w14:paraId="2E7CE99F" w14:textId="797FAB02" w:rsidR="003F5A16" w:rsidRDefault="003F5A16" w:rsidP="00F97079">
      <w:pPr>
        <w:tabs>
          <w:tab w:val="left" w:pos="284"/>
          <w:tab w:val="left" w:pos="426"/>
          <w:tab w:val="right" w:pos="9072"/>
        </w:tabs>
        <w:spacing w:after="0" w:line="360" w:lineRule="auto"/>
        <w:ind w:right="49" w:firstLine="567"/>
        <w:jc w:val="both"/>
        <w:rPr>
          <w:rFonts w:ascii="Arial" w:hAnsi="Arial" w:cs="Arial"/>
          <w:sz w:val="24"/>
          <w:szCs w:val="24"/>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Pr="00AE3452">
        <w:rPr>
          <w:rFonts w:ascii="Arial" w:hAnsi="Arial" w:cs="Arial"/>
          <w:sz w:val="24"/>
          <w:szCs w:val="24"/>
        </w:rPr>
        <w:t xml:space="preserve">Son </w:t>
      </w:r>
      <w:r w:rsidRPr="00AE3452">
        <w:rPr>
          <w:rFonts w:ascii="Arial" w:hAnsi="Arial" w:cs="Arial"/>
          <w:b/>
          <w:bCs/>
          <w:sz w:val="24"/>
          <w:szCs w:val="24"/>
        </w:rPr>
        <w:t>fundados</w:t>
      </w:r>
      <w:r w:rsidRPr="00AE3452">
        <w:rPr>
          <w:rFonts w:ascii="Arial" w:hAnsi="Arial" w:cs="Arial"/>
          <w:sz w:val="24"/>
          <w:szCs w:val="24"/>
        </w:rPr>
        <w:t xml:space="preserve"> los conceptos de impugnación esgrimidos por la parte actora, </w:t>
      </w:r>
      <w:r>
        <w:rPr>
          <w:rFonts w:ascii="Arial" w:hAnsi="Arial" w:cs="Arial"/>
          <w:sz w:val="24"/>
          <w:szCs w:val="24"/>
        </w:rPr>
        <w:t xml:space="preserve">respecto a la ilegalidad del </w:t>
      </w:r>
      <w:r w:rsidR="00277B68">
        <w:rPr>
          <w:rFonts w:ascii="Arial" w:hAnsi="Arial" w:cs="Arial"/>
          <w:sz w:val="24"/>
          <w:szCs w:val="24"/>
        </w:rPr>
        <w:t xml:space="preserve">acta de infracción con número de folio </w:t>
      </w:r>
      <w:r w:rsidR="00C3144B">
        <w:rPr>
          <w:rFonts w:ascii="Arial" w:eastAsia="Calibri" w:hAnsi="Arial" w:cs="Arial"/>
          <w:sz w:val="24"/>
          <w:szCs w:val="24"/>
          <w:lang w:eastAsia="en-US"/>
        </w:rPr>
        <w:t>**********</w:t>
      </w:r>
      <w:r w:rsidR="001459E1">
        <w:rPr>
          <w:rFonts w:ascii="Arial" w:eastAsia="Calibri" w:hAnsi="Arial" w:cs="Arial"/>
          <w:sz w:val="24"/>
          <w:szCs w:val="24"/>
          <w:lang w:eastAsia="en-US"/>
        </w:rPr>
        <w:t xml:space="preserve"> de fecha ocho de febrero de dos mil veintiuno</w:t>
      </w:r>
      <w:r w:rsidR="00A36029">
        <w:rPr>
          <w:rFonts w:ascii="Arial" w:hAnsi="Arial" w:cs="Arial"/>
          <w:sz w:val="24"/>
          <w:szCs w:val="24"/>
        </w:rPr>
        <w:t>.</w:t>
      </w:r>
    </w:p>
    <w:p w14:paraId="093217AF" w14:textId="0BD9CFFF" w:rsidR="00343500" w:rsidRDefault="00343500" w:rsidP="00AF10EA">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La parte actora refirió en lo medular que el acto administrativo es ilegal en virtud de que no fue emitido cumpliendo con los requisitos de validez que deben tener los actos administrativos, pues si bien cita el supuesto precepto normativo aplicable para la imposición de sanciones, no así realiza </w:t>
      </w:r>
      <w:r w:rsidR="00F97079">
        <w:rPr>
          <w:rFonts w:ascii="Arial" w:eastAsia="Calibri" w:hAnsi="Arial" w:cs="Arial"/>
          <w:sz w:val="24"/>
          <w:szCs w:val="24"/>
          <w:lang w:eastAsia="en-US"/>
        </w:rPr>
        <w:t>u</w:t>
      </w:r>
      <w:r>
        <w:rPr>
          <w:rFonts w:ascii="Arial" w:eastAsia="Calibri" w:hAnsi="Arial" w:cs="Arial"/>
          <w:sz w:val="24"/>
          <w:szCs w:val="24"/>
          <w:lang w:eastAsia="en-US"/>
        </w:rPr>
        <w:t xml:space="preserve">n análisis lógico jurídico para exponer por qué la conducta del actor es en efecto sancionable. </w:t>
      </w:r>
      <w:r w:rsidR="001459E1">
        <w:rPr>
          <w:rFonts w:ascii="Arial" w:eastAsia="Calibri" w:hAnsi="Arial" w:cs="Arial"/>
          <w:sz w:val="24"/>
          <w:szCs w:val="24"/>
          <w:lang w:eastAsia="en-US"/>
        </w:rPr>
        <w:t xml:space="preserve">Dichas manifestaciones se consideran presuntamente </w:t>
      </w:r>
      <w:r w:rsidR="00F97079">
        <w:rPr>
          <w:rFonts w:ascii="Arial" w:eastAsia="Calibri" w:hAnsi="Arial" w:cs="Arial"/>
          <w:sz w:val="24"/>
          <w:szCs w:val="24"/>
          <w:lang w:eastAsia="en-US"/>
        </w:rPr>
        <w:t>cierta toda vez</w:t>
      </w:r>
      <w:r w:rsidR="001459E1">
        <w:rPr>
          <w:rFonts w:ascii="Arial" w:eastAsia="Calibri" w:hAnsi="Arial" w:cs="Arial"/>
          <w:sz w:val="24"/>
          <w:szCs w:val="24"/>
          <w:lang w:eastAsia="en-US"/>
        </w:rPr>
        <w:t xml:space="preserve"> que </w:t>
      </w:r>
      <w:r w:rsidR="00F97079">
        <w:rPr>
          <w:rFonts w:ascii="Arial" w:eastAsia="Calibri" w:hAnsi="Arial" w:cs="Arial"/>
          <w:sz w:val="24"/>
          <w:szCs w:val="24"/>
          <w:lang w:eastAsia="en-US"/>
        </w:rPr>
        <w:t xml:space="preserve">a </w:t>
      </w:r>
      <w:r w:rsidR="001459E1">
        <w:rPr>
          <w:rFonts w:ascii="Arial" w:eastAsia="Calibri" w:hAnsi="Arial" w:cs="Arial"/>
          <w:sz w:val="24"/>
          <w:szCs w:val="24"/>
          <w:lang w:eastAsia="en-US"/>
        </w:rPr>
        <w:t xml:space="preserve">la autoridad demandada </w:t>
      </w:r>
      <w:r w:rsidR="00F97079">
        <w:rPr>
          <w:rFonts w:ascii="Arial" w:eastAsia="Calibri" w:hAnsi="Arial" w:cs="Arial"/>
          <w:sz w:val="24"/>
          <w:szCs w:val="24"/>
          <w:lang w:eastAsia="en-US"/>
        </w:rPr>
        <w:t xml:space="preserve">se le tuvo </w:t>
      </w:r>
      <w:r w:rsidR="001459E1">
        <w:rPr>
          <w:rFonts w:ascii="Arial" w:eastAsia="Calibri" w:hAnsi="Arial" w:cs="Arial"/>
          <w:sz w:val="24"/>
          <w:szCs w:val="24"/>
          <w:lang w:eastAsia="en-US"/>
        </w:rPr>
        <w:t>contest</w:t>
      </w:r>
      <w:r w:rsidR="00F97079">
        <w:rPr>
          <w:rFonts w:ascii="Arial" w:eastAsia="Calibri" w:hAnsi="Arial" w:cs="Arial"/>
          <w:sz w:val="24"/>
          <w:szCs w:val="24"/>
          <w:lang w:eastAsia="en-US"/>
        </w:rPr>
        <w:t>ando</w:t>
      </w:r>
      <w:r w:rsidR="001459E1">
        <w:rPr>
          <w:rFonts w:ascii="Arial" w:eastAsia="Calibri" w:hAnsi="Arial" w:cs="Arial"/>
          <w:sz w:val="24"/>
          <w:szCs w:val="24"/>
          <w:lang w:eastAsia="en-US"/>
        </w:rPr>
        <w:t xml:space="preserve"> en sentido afirmativo</w:t>
      </w:r>
      <w:r>
        <w:rPr>
          <w:rFonts w:ascii="Arial" w:eastAsia="Calibri" w:hAnsi="Arial" w:cs="Arial"/>
          <w:sz w:val="24"/>
          <w:szCs w:val="24"/>
          <w:lang w:eastAsia="en-US"/>
        </w:rPr>
        <w:t>.</w:t>
      </w:r>
    </w:p>
    <w:p w14:paraId="63EDB96C" w14:textId="77777777" w:rsidR="00343500" w:rsidRPr="00CE328A" w:rsidRDefault="00343500" w:rsidP="00AF10EA">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Por ello es menester verificar si el acto administrativo impugnado cumple o no con los requisitos de validez que deben revestir los actos administrativos.</w:t>
      </w:r>
    </w:p>
    <w:p w14:paraId="31EF5CF2" w14:textId="37437486" w:rsidR="00343500" w:rsidRPr="00CE328A" w:rsidRDefault="00343500" w:rsidP="00AF10EA">
      <w:pPr>
        <w:spacing w:after="160" w:line="360" w:lineRule="auto"/>
        <w:ind w:firstLine="567"/>
        <w:jc w:val="both"/>
        <w:rPr>
          <w:rFonts w:ascii="Arial" w:hAnsi="Arial" w:cs="Arial"/>
          <w:bCs/>
          <w:sz w:val="24"/>
          <w:szCs w:val="24"/>
        </w:rPr>
      </w:pPr>
      <w:r>
        <w:rPr>
          <w:rFonts w:ascii="Arial" w:eastAsia="Calibri" w:hAnsi="Arial" w:cs="Arial"/>
          <w:sz w:val="24"/>
          <w:szCs w:val="24"/>
          <w:lang w:eastAsia="en-US"/>
        </w:rPr>
        <w:t>Así pues, de</w:t>
      </w:r>
      <w:r w:rsidRPr="00CE328A">
        <w:rPr>
          <w:rFonts w:ascii="Arial" w:eastAsia="Calibri" w:hAnsi="Arial" w:cs="Arial"/>
          <w:sz w:val="24"/>
          <w:szCs w:val="24"/>
          <w:lang w:eastAsia="en-US"/>
        </w:rPr>
        <w:t xml:space="preserve"> una lectura integral del acto impugnado, al cual se le ha dado valor probatorio pleno de </w:t>
      </w:r>
      <w:r w:rsidR="00F97079">
        <w:rPr>
          <w:rFonts w:ascii="Arial" w:eastAsia="Calibri" w:hAnsi="Arial" w:cs="Arial"/>
          <w:sz w:val="24"/>
          <w:szCs w:val="24"/>
          <w:lang w:eastAsia="en-US"/>
        </w:rPr>
        <w:t xml:space="preserve">conformidad con el precepto 203, </w:t>
      </w:r>
      <w:r w:rsidRPr="00CE328A">
        <w:rPr>
          <w:rFonts w:ascii="Arial" w:eastAsia="Calibri" w:hAnsi="Arial" w:cs="Arial"/>
          <w:sz w:val="24"/>
          <w:szCs w:val="24"/>
          <w:lang w:eastAsia="en-US"/>
        </w:rPr>
        <w:t xml:space="preserve">fracción I de la Ley de la materia, en la parte que interesa, se advierte que la autoridad aquí demandada asentó </w:t>
      </w:r>
      <w:r w:rsidR="00F97079">
        <w:rPr>
          <w:rFonts w:ascii="Arial" w:eastAsia="Calibri" w:hAnsi="Arial" w:cs="Arial"/>
          <w:sz w:val="24"/>
          <w:szCs w:val="24"/>
          <w:lang w:eastAsia="en-US"/>
        </w:rPr>
        <w:t xml:space="preserve">lo </w:t>
      </w:r>
      <w:r w:rsidRPr="00CE328A">
        <w:rPr>
          <w:rFonts w:ascii="Arial" w:eastAsia="Calibri" w:hAnsi="Arial" w:cs="Arial"/>
          <w:sz w:val="24"/>
          <w:szCs w:val="24"/>
          <w:lang w:eastAsia="en-US"/>
        </w:rPr>
        <w:t>siguiente</w:t>
      </w:r>
      <w:r w:rsidRPr="00CE328A">
        <w:rPr>
          <w:rFonts w:ascii="Arial" w:hAnsi="Arial" w:cs="Arial"/>
          <w:bCs/>
          <w:sz w:val="24"/>
          <w:szCs w:val="24"/>
        </w:rPr>
        <w:t>:</w:t>
      </w:r>
    </w:p>
    <w:p w14:paraId="74B494C9" w14:textId="26F07B78" w:rsidR="00610349" w:rsidRDefault="00F97079" w:rsidP="00AF10EA">
      <w:pPr>
        <w:tabs>
          <w:tab w:val="left" w:pos="284"/>
          <w:tab w:val="left" w:pos="709"/>
          <w:tab w:val="right" w:pos="9072"/>
        </w:tabs>
        <w:spacing w:after="0" w:line="360" w:lineRule="auto"/>
        <w:ind w:left="1134" w:right="-234"/>
        <w:jc w:val="both"/>
        <w:rPr>
          <w:rFonts w:ascii="Arial Narrow" w:eastAsia="Calibri" w:hAnsi="Arial Narrow" w:cs="Arial"/>
          <w:sz w:val="24"/>
          <w:szCs w:val="24"/>
          <w:lang w:eastAsia="en-US"/>
        </w:rPr>
      </w:pPr>
      <w:r>
        <w:rPr>
          <w:rFonts w:ascii="Arial Narrow" w:eastAsia="Calibri" w:hAnsi="Arial Narrow" w:cs="Arial"/>
          <w:sz w:val="24"/>
          <w:szCs w:val="24"/>
          <w:lang w:eastAsia="en-US"/>
        </w:rPr>
        <w:t>“</w:t>
      </w:r>
      <w:r w:rsidR="001459E1">
        <w:rPr>
          <w:rFonts w:ascii="Arial Narrow" w:eastAsia="Calibri" w:hAnsi="Arial Narrow" w:cs="Arial"/>
          <w:sz w:val="24"/>
          <w:szCs w:val="24"/>
          <w:lang w:eastAsia="en-US"/>
        </w:rPr>
        <w:t>Estacionarse en contra esquina y no respetar los 6 metros reglamentarios</w:t>
      </w:r>
      <w:r w:rsidR="004C0A42">
        <w:rPr>
          <w:rFonts w:ascii="Arial Narrow" w:eastAsia="Calibri" w:hAnsi="Arial Narrow" w:cs="Arial"/>
          <w:sz w:val="24"/>
          <w:szCs w:val="24"/>
          <w:lang w:eastAsia="en-US"/>
        </w:rPr>
        <w:t xml:space="preserve"> </w:t>
      </w:r>
      <w:r>
        <w:rPr>
          <w:rFonts w:ascii="Arial Narrow" w:eastAsia="Calibri" w:hAnsi="Arial Narrow" w:cs="Arial"/>
          <w:sz w:val="24"/>
          <w:szCs w:val="24"/>
          <w:lang w:eastAsia="en-US"/>
        </w:rPr>
        <w:t>(</w:t>
      </w:r>
      <w:r w:rsidR="00343500" w:rsidRPr="00343500">
        <w:rPr>
          <w:rFonts w:ascii="Arial Narrow" w:eastAsia="Calibri" w:hAnsi="Arial Narrow" w:cs="Arial"/>
          <w:sz w:val="24"/>
          <w:szCs w:val="24"/>
          <w:lang w:eastAsia="en-US"/>
        </w:rPr>
        <w:t>…</w:t>
      </w:r>
      <w:r>
        <w:rPr>
          <w:rFonts w:ascii="Arial Narrow" w:eastAsia="Calibri" w:hAnsi="Arial Narrow" w:cs="Arial"/>
          <w:sz w:val="24"/>
          <w:szCs w:val="24"/>
          <w:lang w:eastAsia="en-US"/>
        </w:rPr>
        <w:t>)”</w:t>
      </w:r>
    </w:p>
    <w:p w14:paraId="1F3C0797" w14:textId="77777777" w:rsidR="004F795C" w:rsidRPr="00343500" w:rsidRDefault="004F795C" w:rsidP="00AF10EA">
      <w:pPr>
        <w:tabs>
          <w:tab w:val="left" w:pos="284"/>
          <w:tab w:val="left" w:pos="709"/>
          <w:tab w:val="right" w:pos="9072"/>
        </w:tabs>
        <w:spacing w:after="0" w:line="360" w:lineRule="auto"/>
        <w:ind w:left="1134" w:right="-234"/>
        <w:jc w:val="both"/>
        <w:rPr>
          <w:rFonts w:ascii="Arial Narrow" w:eastAsia="Calibri" w:hAnsi="Arial Narrow" w:cs="Arial"/>
          <w:sz w:val="24"/>
          <w:szCs w:val="24"/>
          <w:lang w:eastAsia="en-US"/>
        </w:rPr>
      </w:pPr>
    </w:p>
    <w:p w14:paraId="7EF25139" w14:textId="72BD7D9D" w:rsidR="004F795C" w:rsidRDefault="004F795C" w:rsidP="00AF10EA">
      <w:pPr>
        <w:spacing w:line="360" w:lineRule="auto"/>
        <w:ind w:firstLine="567"/>
        <w:jc w:val="both"/>
        <w:rPr>
          <w:rFonts w:ascii="Arial" w:hAnsi="Arial" w:cs="Arial"/>
          <w:sz w:val="24"/>
          <w:szCs w:val="24"/>
        </w:rPr>
      </w:pPr>
      <w:r>
        <w:rPr>
          <w:rFonts w:ascii="Arial" w:hAnsi="Arial" w:cs="Arial"/>
          <w:sz w:val="24"/>
          <w:szCs w:val="24"/>
        </w:rPr>
        <w:t>Es así</w:t>
      </w:r>
      <w:r w:rsidR="00F97079">
        <w:rPr>
          <w:rFonts w:ascii="Arial" w:hAnsi="Arial" w:cs="Arial"/>
          <w:sz w:val="24"/>
          <w:szCs w:val="24"/>
        </w:rPr>
        <w:t>,</w:t>
      </w:r>
      <w:r>
        <w:rPr>
          <w:rFonts w:ascii="Arial" w:hAnsi="Arial" w:cs="Arial"/>
          <w:sz w:val="24"/>
          <w:szCs w:val="24"/>
        </w:rPr>
        <w:t xml:space="preserve"> que el artículo 21 de la Constitución Política de los Estados Unidos Mexicanos, faculta a las autoridades administrativas a imponer sanciones que no podrán ir más allá de una multa, arresto hasta por treinta y seis horas o trabajo en favor de la comunidad: </w:t>
      </w:r>
    </w:p>
    <w:p w14:paraId="3122EF4B" w14:textId="52B6E730" w:rsidR="004F795C" w:rsidRPr="009F092A" w:rsidRDefault="00F97079" w:rsidP="00F97079">
      <w:pPr>
        <w:spacing w:line="360" w:lineRule="auto"/>
        <w:ind w:left="1134" w:right="758"/>
        <w:jc w:val="both"/>
        <w:rPr>
          <w:rFonts w:ascii="Arial Narrow" w:hAnsi="Arial Narrow" w:cs="Arial"/>
          <w:sz w:val="24"/>
          <w:szCs w:val="24"/>
        </w:rPr>
      </w:pPr>
      <w:r>
        <w:rPr>
          <w:rFonts w:ascii="Arial Narrow" w:hAnsi="Arial Narrow" w:cs="Arial"/>
          <w:b/>
          <w:bCs/>
          <w:sz w:val="24"/>
          <w:szCs w:val="24"/>
        </w:rPr>
        <w:lastRenderedPageBreak/>
        <w:t>“</w:t>
      </w:r>
      <w:r w:rsidR="004F795C" w:rsidRPr="009F092A">
        <w:rPr>
          <w:rFonts w:ascii="Arial Narrow" w:hAnsi="Arial Narrow" w:cs="Arial"/>
          <w:b/>
          <w:bCs/>
          <w:sz w:val="24"/>
          <w:szCs w:val="24"/>
        </w:rPr>
        <w:t>Artículo 21.</w:t>
      </w:r>
      <w:r w:rsidR="004F795C" w:rsidRPr="009F092A">
        <w:rPr>
          <w:rFonts w:ascii="Arial Narrow" w:hAnsi="Arial Narrow" w:cs="Arial"/>
          <w:sz w:val="24"/>
          <w:szCs w:val="24"/>
        </w:rPr>
        <w:t xml:space="preserve"> La investigación de los delitos corresponde al Ministerio Público y a las policías, las cuales actuarán bajo la conducción y mando de aquél en el ejercicio de esta función.</w:t>
      </w:r>
    </w:p>
    <w:p w14:paraId="2442E631" w14:textId="77777777" w:rsidR="004F795C" w:rsidRPr="009F092A" w:rsidRDefault="004F795C" w:rsidP="00F97079">
      <w:pPr>
        <w:spacing w:line="360" w:lineRule="auto"/>
        <w:ind w:left="1134" w:right="758"/>
        <w:jc w:val="both"/>
        <w:rPr>
          <w:rFonts w:ascii="Arial Narrow" w:hAnsi="Arial Narrow" w:cs="Arial"/>
          <w:sz w:val="24"/>
          <w:szCs w:val="24"/>
        </w:rPr>
      </w:pPr>
      <w:r w:rsidRPr="009F092A">
        <w:rPr>
          <w:rFonts w:ascii="Arial Narrow" w:hAnsi="Arial Narrow" w:cs="Arial"/>
          <w:sz w:val="24"/>
          <w:szCs w:val="24"/>
        </w:rPr>
        <w:t>(…)</w:t>
      </w:r>
    </w:p>
    <w:p w14:paraId="3585A664" w14:textId="77777777" w:rsidR="004F795C" w:rsidRPr="009F092A" w:rsidRDefault="004F795C" w:rsidP="00F97079">
      <w:pPr>
        <w:spacing w:line="360" w:lineRule="auto"/>
        <w:ind w:left="1134" w:right="758"/>
        <w:jc w:val="both"/>
        <w:rPr>
          <w:rFonts w:ascii="Arial Narrow" w:hAnsi="Arial Narrow" w:cs="Arial"/>
          <w:sz w:val="24"/>
          <w:szCs w:val="24"/>
        </w:rPr>
      </w:pPr>
      <w:r w:rsidRPr="009F092A">
        <w:rPr>
          <w:rFonts w:ascii="Arial Narrow" w:hAnsi="Arial Narrow" w:cs="Arial"/>
          <w:sz w:val="24"/>
          <w:szCs w:val="24"/>
        </w:rPr>
        <w:t xml:space="preserve"> Compete a la autoridad administrativa la aplicación de sanciones por las infracciones de los reglamentos gubernativos y de policía, las que únicamente consistirán en multa, arresto hasta por treinta y seis horas o en trabajo a favor de la comunidad; pero si el infractor no pagare la multa que se le hubiese impuesto, se permutará esta por el arresto correspondiente, que no excederá en ningún caso de treinta y seis horas.</w:t>
      </w:r>
    </w:p>
    <w:p w14:paraId="634D13D5" w14:textId="63DAB066" w:rsidR="004F795C" w:rsidRPr="009F092A" w:rsidRDefault="004F795C" w:rsidP="00F97079">
      <w:pPr>
        <w:spacing w:line="360" w:lineRule="auto"/>
        <w:ind w:left="1134" w:right="758"/>
        <w:jc w:val="both"/>
        <w:rPr>
          <w:rFonts w:ascii="Arial Narrow" w:hAnsi="Arial Narrow" w:cs="Arial"/>
          <w:sz w:val="28"/>
          <w:szCs w:val="28"/>
        </w:rPr>
      </w:pPr>
      <w:r w:rsidRPr="009F092A">
        <w:rPr>
          <w:rFonts w:ascii="Arial Narrow" w:hAnsi="Arial Narrow" w:cs="Arial"/>
          <w:sz w:val="24"/>
          <w:szCs w:val="24"/>
        </w:rPr>
        <w:t>(…)</w:t>
      </w:r>
      <w:r w:rsidR="00F97079">
        <w:rPr>
          <w:rFonts w:ascii="Arial Narrow" w:hAnsi="Arial Narrow" w:cs="Arial"/>
          <w:sz w:val="24"/>
          <w:szCs w:val="24"/>
        </w:rPr>
        <w:t>”</w:t>
      </w:r>
    </w:p>
    <w:p w14:paraId="1EFEB37D" w14:textId="77777777" w:rsidR="004F795C" w:rsidRDefault="004F795C" w:rsidP="00AF10EA">
      <w:pPr>
        <w:spacing w:line="360" w:lineRule="auto"/>
        <w:jc w:val="both"/>
        <w:rPr>
          <w:rFonts w:ascii="Arial" w:hAnsi="Arial" w:cs="Arial"/>
          <w:sz w:val="24"/>
          <w:szCs w:val="24"/>
        </w:rPr>
      </w:pPr>
    </w:p>
    <w:p w14:paraId="2C388579" w14:textId="77777777" w:rsidR="004F795C" w:rsidRDefault="004F795C" w:rsidP="00AF10EA">
      <w:pPr>
        <w:spacing w:line="360" w:lineRule="auto"/>
        <w:ind w:firstLine="567"/>
        <w:jc w:val="both"/>
        <w:rPr>
          <w:rFonts w:ascii="Arial" w:hAnsi="Arial" w:cs="Arial"/>
          <w:sz w:val="24"/>
          <w:szCs w:val="24"/>
        </w:rPr>
      </w:pPr>
      <w:r>
        <w:rPr>
          <w:rFonts w:ascii="Arial" w:hAnsi="Arial" w:cs="Arial"/>
          <w:sz w:val="24"/>
          <w:szCs w:val="24"/>
        </w:rPr>
        <w:t xml:space="preserve">Así pues, resulta innegable que las multas emitidas por una autoridad administrativa, deben cumplir el imperativo constitucional de encontrarse debidamente fundadas y motivadas como se podrá apreciar de la cita de las siguientes Tesis: </w:t>
      </w:r>
    </w:p>
    <w:p w14:paraId="0F653C3D" w14:textId="77777777" w:rsidR="004F795C" w:rsidRDefault="004F795C" w:rsidP="00F97079">
      <w:pPr>
        <w:spacing w:line="360" w:lineRule="auto"/>
        <w:ind w:right="333" w:firstLine="567"/>
        <w:jc w:val="both"/>
        <w:rPr>
          <w:rFonts w:ascii="Arial" w:hAnsi="Arial" w:cs="Arial"/>
          <w:sz w:val="24"/>
          <w:szCs w:val="24"/>
        </w:rPr>
      </w:pPr>
    </w:p>
    <w:p w14:paraId="39C4BC5D" w14:textId="70840EA2" w:rsidR="004F795C" w:rsidRPr="009F092A" w:rsidRDefault="00F97079" w:rsidP="00F97079">
      <w:pPr>
        <w:spacing w:line="360" w:lineRule="auto"/>
        <w:ind w:left="1134" w:right="758"/>
        <w:jc w:val="both"/>
        <w:rPr>
          <w:rFonts w:ascii="Arial Narrow" w:hAnsi="Arial Narrow" w:cs="Arial"/>
          <w:b/>
          <w:bCs/>
          <w:sz w:val="24"/>
          <w:szCs w:val="24"/>
        </w:rPr>
      </w:pPr>
      <w:r>
        <w:rPr>
          <w:rFonts w:ascii="Arial Narrow" w:hAnsi="Arial Narrow" w:cs="Arial"/>
          <w:b/>
          <w:bCs/>
          <w:sz w:val="24"/>
          <w:szCs w:val="24"/>
        </w:rPr>
        <w:t>“</w:t>
      </w:r>
      <w:r w:rsidR="004F795C" w:rsidRPr="009F092A">
        <w:rPr>
          <w:rFonts w:ascii="Arial Narrow" w:hAnsi="Arial Narrow" w:cs="Arial"/>
          <w:b/>
          <w:bCs/>
          <w:sz w:val="24"/>
          <w:szCs w:val="24"/>
        </w:rPr>
        <w:t>TRANSITO, MULTAS DE</w:t>
      </w:r>
      <w:r w:rsidR="004F795C">
        <w:rPr>
          <w:rStyle w:val="Refdenotaalpie"/>
          <w:rFonts w:ascii="Arial Narrow" w:hAnsi="Arial Narrow" w:cs="Arial"/>
          <w:b/>
          <w:bCs/>
          <w:sz w:val="24"/>
          <w:szCs w:val="24"/>
        </w:rPr>
        <w:footnoteReference w:id="4"/>
      </w:r>
      <w:r w:rsidR="004F795C" w:rsidRPr="009F092A">
        <w:rPr>
          <w:rFonts w:ascii="Arial Narrow" w:hAnsi="Arial Narrow" w:cs="Arial"/>
          <w:b/>
          <w:bCs/>
          <w:sz w:val="24"/>
          <w:szCs w:val="24"/>
        </w:rPr>
        <w:t>.</w:t>
      </w:r>
    </w:p>
    <w:p w14:paraId="4B7B0B35" w14:textId="3BB63939" w:rsidR="004F795C" w:rsidRDefault="004F795C" w:rsidP="00F97079">
      <w:pPr>
        <w:spacing w:line="360" w:lineRule="auto"/>
        <w:ind w:left="1134" w:right="758"/>
        <w:jc w:val="both"/>
        <w:rPr>
          <w:rFonts w:ascii="Arial Narrow" w:hAnsi="Arial Narrow" w:cs="Arial"/>
          <w:sz w:val="24"/>
          <w:szCs w:val="24"/>
        </w:rPr>
      </w:pPr>
      <w:r w:rsidRPr="009F092A">
        <w:rPr>
          <w:rFonts w:ascii="Arial Narrow" w:hAnsi="Arial Narrow" w:cs="Arial"/>
          <w:sz w:val="24"/>
          <w:szCs w:val="24"/>
        </w:rPr>
        <w:t>Si un agente de tránsito como testigo, parte y Juez, levanta una infracción, y contra su dicho resulta eventualmente diabólica la carga de la prueba, lo menos que puede exigirse de ese agente es que al levantar una infracción exprese con toda amplitud y claridad los motivos que tuvo para hacerlo, y funde en derecho, con toda claridad los motivos que tuvo para hacerlo, y funde en derecho, con toda claridad, la multa que impuso. Y también es menester que conteste la demanda que contra su acta de infracción y su resolución de multa se imponga, refiriéndose con toda claridad y precisión a los hechos que el actor narra en su demanda y en los que dicho agente tuvo intervención, pues no podrían aceptarse como motivación válida del acto impugnado su silencio, ni sus evasivas, ni las afirmaciones ambiguas que soslayan la esencia de los hechos. Tal conducta exigida del agente es un mínimo de seguridad en la aplicación de las garantías de motivación y fundamentación que consagra el artículo 16 constitucional.</w:t>
      </w:r>
      <w:r w:rsidR="00F97079">
        <w:rPr>
          <w:rFonts w:ascii="Arial Narrow" w:hAnsi="Arial Narrow" w:cs="Arial"/>
          <w:sz w:val="24"/>
          <w:szCs w:val="24"/>
        </w:rPr>
        <w:t>”</w:t>
      </w:r>
    </w:p>
    <w:p w14:paraId="4A69DEC6" w14:textId="77777777" w:rsidR="004F795C" w:rsidRDefault="004F795C" w:rsidP="00F97079">
      <w:pPr>
        <w:spacing w:line="360" w:lineRule="auto"/>
        <w:ind w:left="1134" w:right="758"/>
        <w:jc w:val="both"/>
        <w:rPr>
          <w:rFonts w:ascii="Arial Narrow" w:hAnsi="Arial Narrow" w:cs="Arial"/>
          <w:sz w:val="24"/>
          <w:szCs w:val="24"/>
        </w:rPr>
      </w:pPr>
    </w:p>
    <w:p w14:paraId="5A9428B2" w14:textId="40DB3B45" w:rsidR="004F795C" w:rsidRPr="009F092A" w:rsidRDefault="00F97079" w:rsidP="00F97079">
      <w:pPr>
        <w:spacing w:line="360" w:lineRule="auto"/>
        <w:ind w:left="1134" w:right="758"/>
        <w:jc w:val="both"/>
        <w:rPr>
          <w:rFonts w:ascii="Arial Narrow" w:hAnsi="Arial Narrow" w:cs="Arial"/>
          <w:b/>
          <w:bCs/>
          <w:sz w:val="24"/>
          <w:szCs w:val="24"/>
        </w:rPr>
      </w:pPr>
      <w:r>
        <w:rPr>
          <w:rFonts w:ascii="Arial Narrow" w:hAnsi="Arial Narrow" w:cs="Arial"/>
          <w:b/>
          <w:bCs/>
          <w:sz w:val="24"/>
          <w:szCs w:val="24"/>
        </w:rPr>
        <w:t>“</w:t>
      </w:r>
      <w:r w:rsidR="004F795C" w:rsidRPr="009F092A">
        <w:rPr>
          <w:rFonts w:ascii="Arial Narrow" w:hAnsi="Arial Narrow" w:cs="Arial"/>
          <w:b/>
          <w:bCs/>
          <w:sz w:val="24"/>
          <w:szCs w:val="24"/>
        </w:rPr>
        <w:t>TRANSITO, MULTAS DE</w:t>
      </w:r>
      <w:r w:rsidR="004F795C" w:rsidRPr="009F092A">
        <w:rPr>
          <w:rStyle w:val="Refdenotaalpie"/>
          <w:rFonts w:ascii="Arial Narrow" w:hAnsi="Arial Narrow" w:cs="Arial"/>
          <w:b/>
          <w:bCs/>
          <w:sz w:val="24"/>
          <w:szCs w:val="24"/>
        </w:rPr>
        <w:footnoteReference w:id="5"/>
      </w:r>
      <w:r w:rsidR="004F795C" w:rsidRPr="009F092A">
        <w:rPr>
          <w:rFonts w:ascii="Arial Narrow" w:hAnsi="Arial Narrow" w:cs="Arial"/>
          <w:b/>
          <w:bCs/>
          <w:sz w:val="24"/>
          <w:szCs w:val="24"/>
        </w:rPr>
        <w:t>.</w:t>
      </w:r>
    </w:p>
    <w:p w14:paraId="00EA1B8B" w14:textId="186CCE52" w:rsidR="004F795C" w:rsidRDefault="004F795C" w:rsidP="00F97079">
      <w:pPr>
        <w:spacing w:line="360" w:lineRule="auto"/>
        <w:ind w:left="1134" w:right="758"/>
        <w:jc w:val="both"/>
        <w:rPr>
          <w:rFonts w:ascii="Arial Narrow" w:hAnsi="Arial Narrow" w:cs="Arial"/>
          <w:sz w:val="24"/>
          <w:szCs w:val="24"/>
        </w:rPr>
      </w:pPr>
      <w:r w:rsidRPr="009F092A">
        <w:rPr>
          <w:rFonts w:ascii="Arial Narrow" w:hAnsi="Arial Narrow" w:cs="Arial"/>
          <w:sz w:val="24"/>
          <w:szCs w:val="24"/>
        </w:rPr>
        <w:t>Una infracción y una multa impuestas por el agente de tránsito como parte, testigo y Juez, en cuya acta se limita a asentar escuetamente "pasar alto con señal de semáforo", carece de motivación en realidad, pues por una parte no explica en forma clara y completa las circunstancias de la infracción y, por otra, sería una denegación de justicia y una renuncia al debido proceso legal, contra el texto de los artículos 14 y 16 constitucionales, obligar a un particular a pagar sin más una multa cuya motivación no es clara y en la que, como se dijo, el agente fue parte, testigo y Juez, sin que su dicho admita prueba eficaz y real (no simplemente teórica) en contrario.</w:t>
      </w:r>
      <w:r w:rsidR="00F97079">
        <w:rPr>
          <w:rFonts w:ascii="Arial Narrow" w:hAnsi="Arial Narrow" w:cs="Arial"/>
          <w:sz w:val="24"/>
          <w:szCs w:val="24"/>
        </w:rPr>
        <w:t>”</w:t>
      </w:r>
    </w:p>
    <w:p w14:paraId="03BE2D2D" w14:textId="77777777" w:rsidR="004F795C" w:rsidRDefault="004F795C" w:rsidP="00F97079">
      <w:pPr>
        <w:spacing w:line="360" w:lineRule="auto"/>
        <w:ind w:right="758" w:firstLine="567"/>
        <w:jc w:val="both"/>
        <w:rPr>
          <w:rFonts w:ascii="Arial" w:hAnsi="Arial" w:cs="Arial"/>
          <w:sz w:val="24"/>
          <w:szCs w:val="24"/>
        </w:rPr>
      </w:pPr>
    </w:p>
    <w:p w14:paraId="0BBAD0AB" w14:textId="7DA34F3C" w:rsidR="004F795C" w:rsidRDefault="004F795C" w:rsidP="00AF10EA">
      <w:pPr>
        <w:spacing w:line="360" w:lineRule="auto"/>
        <w:ind w:firstLine="567"/>
        <w:jc w:val="both"/>
        <w:rPr>
          <w:rFonts w:ascii="Arial" w:hAnsi="Arial" w:cs="Arial"/>
          <w:sz w:val="24"/>
          <w:szCs w:val="24"/>
        </w:rPr>
      </w:pPr>
      <w:r>
        <w:rPr>
          <w:rFonts w:ascii="Arial" w:hAnsi="Arial" w:cs="Arial"/>
          <w:sz w:val="24"/>
          <w:szCs w:val="24"/>
        </w:rPr>
        <w:t xml:space="preserve">Considerando lo anterior, se busca que las infracciones de tránsito contengan un mínimo de fundamentación y motivación que permita al particular conocer a plenitud la conducta que actualizó y por cuyo motivo se le está sancionando, pues se reitera, la finalidad es evitar actuaciones arbitrarias por parte de las autoridades administrativas al momento de imponer sanciones. </w:t>
      </w:r>
    </w:p>
    <w:p w14:paraId="18E3E001" w14:textId="77777777" w:rsidR="004F795C" w:rsidRDefault="004F795C" w:rsidP="00AF10EA">
      <w:pPr>
        <w:spacing w:line="360" w:lineRule="auto"/>
        <w:ind w:firstLine="567"/>
        <w:jc w:val="both"/>
        <w:rPr>
          <w:rFonts w:ascii="Arial" w:hAnsi="Arial" w:cs="Arial"/>
          <w:sz w:val="24"/>
          <w:szCs w:val="24"/>
        </w:rPr>
      </w:pPr>
      <w:r>
        <w:rPr>
          <w:rFonts w:ascii="Arial" w:hAnsi="Arial" w:cs="Arial"/>
          <w:sz w:val="24"/>
          <w:szCs w:val="24"/>
        </w:rPr>
        <w:t xml:space="preserve">Lo anterior se advierte de una interpretación de la siguiente Jurisprudencia que en este momento se transcribe: </w:t>
      </w:r>
    </w:p>
    <w:p w14:paraId="79153C75" w14:textId="77777777" w:rsidR="004F795C" w:rsidRPr="00821610" w:rsidRDefault="004F795C" w:rsidP="00AF10EA">
      <w:pPr>
        <w:spacing w:line="360" w:lineRule="auto"/>
        <w:ind w:left="1134"/>
        <w:jc w:val="both"/>
        <w:rPr>
          <w:rFonts w:ascii="Arial Narrow" w:hAnsi="Arial Narrow" w:cs="Arial"/>
          <w:sz w:val="24"/>
          <w:szCs w:val="24"/>
        </w:rPr>
      </w:pPr>
    </w:p>
    <w:p w14:paraId="3EBD5A40" w14:textId="389335A5" w:rsidR="004F795C" w:rsidRPr="00821610" w:rsidRDefault="00F97079" w:rsidP="00F97079">
      <w:pPr>
        <w:spacing w:line="360" w:lineRule="auto"/>
        <w:ind w:left="1134" w:right="758"/>
        <w:jc w:val="both"/>
        <w:rPr>
          <w:rFonts w:ascii="Arial Narrow" w:hAnsi="Arial Narrow" w:cs="Arial"/>
          <w:b/>
          <w:bCs/>
          <w:sz w:val="24"/>
          <w:szCs w:val="24"/>
        </w:rPr>
      </w:pPr>
      <w:r>
        <w:rPr>
          <w:rFonts w:ascii="Arial Narrow" w:hAnsi="Arial Narrow" w:cs="Arial"/>
          <w:b/>
          <w:bCs/>
          <w:sz w:val="24"/>
          <w:szCs w:val="24"/>
        </w:rPr>
        <w:t>“</w:t>
      </w:r>
      <w:r w:rsidR="004F795C" w:rsidRPr="00821610">
        <w:rPr>
          <w:rFonts w:ascii="Arial Narrow" w:hAnsi="Arial Narrow" w:cs="Arial"/>
          <w:b/>
          <w:bCs/>
          <w:sz w:val="24"/>
          <w:szCs w:val="24"/>
        </w:rPr>
        <w:t>TRANSITO, MULTA IMPUESTA POR VIOLACION AL REGLAMENTO DE, NO FUNDADA</w:t>
      </w:r>
      <w:r w:rsidR="004F795C">
        <w:rPr>
          <w:rStyle w:val="Refdenotaalpie"/>
          <w:rFonts w:ascii="Arial Narrow" w:hAnsi="Arial Narrow" w:cs="Arial"/>
          <w:b/>
          <w:bCs/>
          <w:sz w:val="24"/>
          <w:szCs w:val="24"/>
        </w:rPr>
        <w:footnoteReference w:id="6"/>
      </w:r>
      <w:r w:rsidR="004F795C" w:rsidRPr="00821610">
        <w:rPr>
          <w:rFonts w:ascii="Arial Narrow" w:hAnsi="Arial Narrow" w:cs="Arial"/>
          <w:b/>
          <w:bCs/>
          <w:sz w:val="24"/>
          <w:szCs w:val="24"/>
        </w:rPr>
        <w:t>.</w:t>
      </w:r>
    </w:p>
    <w:p w14:paraId="013C2BEF" w14:textId="59D128CD" w:rsidR="004F795C" w:rsidRPr="00821610" w:rsidRDefault="004F795C" w:rsidP="00F97079">
      <w:pPr>
        <w:spacing w:line="360" w:lineRule="auto"/>
        <w:ind w:left="1134" w:right="758"/>
        <w:jc w:val="both"/>
        <w:rPr>
          <w:rFonts w:ascii="Arial Narrow" w:hAnsi="Arial Narrow" w:cs="Arial"/>
          <w:sz w:val="24"/>
          <w:szCs w:val="24"/>
        </w:rPr>
      </w:pPr>
      <w:r w:rsidRPr="00821610">
        <w:rPr>
          <w:rFonts w:ascii="Arial Narrow" w:hAnsi="Arial Narrow" w:cs="Arial"/>
          <w:sz w:val="24"/>
          <w:szCs w:val="24"/>
        </w:rPr>
        <w:t xml:space="preserve">De la lectura del acta de infracción y multa reclamados, no puede admitirse jurídicamente que se esté ante una resolución fundada en los términos del artículo 16 de la Constitución General de la República, aun cuando sea cierto que en el documento relativo se mencione el artículo 215, capítulo XII, del Reglamento de Tránsito del Departamento del Distrito Federal, como apoyo de la facultad sancionadora de la autoridad administrativa, si también es cierto que al precisarse la violación cometida, </w:t>
      </w:r>
      <w:r w:rsidRPr="00821610">
        <w:rPr>
          <w:rFonts w:ascii="Arial Narrow" w:hAnsi="Arial Narrow" w:cs="Arial"/>
          <w:sz w:val="24"/>
          <w:szCs w:val="24"/>
        </w:rPr>
        <w:lastRenderedPageBreak/>
        <w:t>únicamente se menciona el "Artículo 175, fracción III, del grupo 1", sin precisarse a qué ordenamiento legal corresponde este último precepto invocado, omisión que desde luego se traduce en una falta de fundamentación de la resolución impugnada ante el Tribunal de lo Contencioso Administrativo del Distrito Federal, lo que lleva a conceder el amparo y protección de la Justicia Federal que se demande.</w:t>
      </w:r>
      <w:r w:rsidR="00F97079">
        <w:rPr>
          <w:rFonts w:ascii="Arial Narrow" w:hAnsi="Arial Narrow" w:cs="Arial"/>
          <w:sz w:val="24"/>
          <w:szCs w:val="24"/>
        </w:rPr>
        <w:t>”</w:t>
      </w:r>
    </w:p>
    <w:p w14:paraId="7C6E2BC3" w14:textId="31D7D038" w:rsidR="004F795C" w:rsidRDefault="004F795C" w:rsidP="00AF10EA">
      <w:pPr>
        <w:spacing w:line="360" w:lineRule="auto"/>
        <w:ind w:firstLine="567"/>
        <w:jc w:val="both"/>
        <w:rPr>
          <w:rFonts w:ascii="Arial" w:hAnsi="Arial" w:cs="Arial"/>
          <w:sz w:val="24"/>
          <w:szCs w:val="24"/>
        </w:rPr>
      </w:pPr>
    </w:p>
    <w:p w14:paraId="0C1E7308" w14:textId="560F437D" w:rsidR="004F795C" w:rsidRPr="008E25FE" w:rsidRDefault="00496AD7" w:rsidP="00AF10EA">
      <w:pPr>
        <w:spacing w:line="360" w:lineRule="auto"/>
        <w:ind w:firstLine="567"/>
        <w:jc w:val="both"/>
        <w:rPr>
          <w:rFonts w:ascii="Arial" w:eastAsia="Calibri" w:hAnsi="Arial" w:cs="Arial"/>
          <w:sz w:val="24"/>
          <w:szCs w:val="24"/>
          <w:lang w:eastAsia="en-US"/>
        </w:rPr>
      </w:pPr>
      <w:r>
        <w:rPr>
          <w:rFonts w:ascii="Arial" w:hAnsi="Arial" w:cs="Arial"/>
          <w:sz w:val="24"/>
          <w:szCs w:val="24"/>
        </w:rPr>
        <w:t xml:space="preserve">De la lectura del acta de infracción impugnada </w:t>
      </w:r>
      <w:r w:rsidR="001459E1">
        <w:rPr>
          <w:rFonts w:ascii="Arial" w:hAnsi="Arial" w:cs="Arial"/>
          <w:b/>
          <w:bCs/>
          <w:sz w:val="24"/>
          <w:szCs w:val="24"/>
        </w:rPr>
        <w:t>NO SE ADVIERTE LA CITA DE ARTÍCULOS DE UNA DISPOSICIÓN NORMATIVA VIGENTE</w:t>
      </w:r>
      <w:r w:rsidR="001459E1">
        <w:rPr>
          <w:rFonts w:ascii="Arial" w:hAnsi="Arial" w:cs="Arial"/>
          <w:sz w:val="24"/>
          <w:szCs w:val="24"/>
        </w:rPr>
        <w:t xml:space="preserve"> ni mucho menos una descripción pormenorizada del por qué la conducta del actor se apega a dicha circunstancia a efecto de ser sancionable</w:t>
      </w:r>
      <w:r>
        <w:rPr>
          <w:rFonts w:ascii="Arial" w:hAnsi="Arial" w:cs="Arial"/>
          <w:sz w:val="24"/>
          <w:szCs w:val="24"/>
        </w:rPr>
        <w:t xml:space="preserve">, pues </w:t>
      </w:r>
      <w:r w:rsidR="008E25FE">
        <w:rPr>
          <w:rFonts w:ascii="Arial" w:hAnsi="Arial" w:cs="Arial"/>
          <w:sz w:val="24"/>
          <w:szCs w:val="24"/>
        </w:rPr>
        <w:t xml:space="preserve">existe una descripción somera y superficial de la supuesta conducta desplegada por el hoy accionante y que haya generado la convicción en la autoridad demandada para sustentar la imposición de la multa de que se duele. Lo anterior toda vez que no realiza una descripción pormenorizada de cómo se percató de los hechos </w:t>
      </w:r>
      <w:r w:rsidR="008E25FE">
        <w:rPr>
          <w:rFonts w:ascii="Arial" w:hAnsi="Arial" w:cs="Arial"/>
          <w:b/>
          <w:bCs/>
          <w:sz w:val="24"/>
          <w:szCs w:val="24"/>
        </w:rPr>
        <w:t>dentro del acto administrativo</w:t>
      </w:r>
      <w:r w:rsidR="008E25FE">
        <w:rPr>
          <w:rFonts w:ascii="Arial" w:hAnsi="Arial" w:cs="Arial"/>
          <w:sz w:val="24"/>
          <w:szCs w:val="24"/>
        </w:rPr>
        <w:t>.</w:t>
      </w:r>
    </w:p>
    <w:p w14:paraId="34FB064B" w14:textId="341096B3" w:rsidR="00343500" w:rsidRPr="0051494B" w:rsidRDefault="00343500" w:rsidP="00AF10E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w:t>
      </w:r>
      <w:r w:rsidR="00A53C75">
        <w:rPr>
          <w:rFonts w:ascii="Arial" w:eastAsia="Calibri" w:hAnsi="Arial" w:cs="Arial"/>
          <w:sz w:val="24"/>
          <w:szCs w:val="24"/>
          <w:lang w:eastAsia="en-US"/>
        </w:rPr>
        <w:t xml:space="preserve">, lo que en el presente caso no se llevó a cabo pues la autoridad demandada resultó omisa en motivar adecuadamente la forma en que se cercioró que el hoy actor estaba </w:t>
      </w:r>
      <w:r w:rsidR="001459E1">
        <w:rPr>
          <w:rFonts w:ascii="Arial" w:eastAsia="Calibri" w:hAnsi="Arial" w:cs="Arial"/>
          <w:sz w:val="24"/>
          <w:szCs w:val="24"/>
          <w:lang w:eastAsia="en-US"/>
        </w:rPr>
        <w:t>estacionado en contra esquina y sin respetar los 6 metros reglamentarios máxime que no cita el dispositivo normativo donde supuestamente se establece esa obligación</w:t>
      </w:r>
      <w:r w:rsidR="00A53C75">
        <w:rPr>
          <w:rFonts w:ascii="Arial" w:eastAsia="Calibri" w:hAnsi="Arial" w:cs="Arial"/>
          <w:sz w:val="24"/>
          <w:szCs w:val="24"/>
          <w:lang w:eastAsia="en-US"/>
        </w:rPr>
        <w:t xml:space="preserve">, de donde deriva que se declare su </w:t>
      </w:r>
      <w:r w:rsidR="00A53C75">
        <w:rPr>
          <w:rFonts w:ascii="Arial" w:eastAsia="Calibri" w:hAnsi="Arial" w:cs="Arial"/>
          <w:b/>
          <w:bCs/>
          <w:sz w:val="24"/>
          <w:szCs w:val="24"/>
          <w:lang w:eastAsia="en-US"/>
        </w:rPr>
        <w:t>NULIDAD LISA Y LLANA</w:t>
      </w:r>
      <w:r w:rsidR="00A53C75">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 </w:t>
      </w:r>
    </w:p>
    <w:p w14:paraId="1D2D489C" w14:textId="77777777" w:rsidR="00343500" w:rsidRPr="0051494B" w:rsidRDefault="00343500" w:rsidP="00AF10EA">
      <w:pPr>
        <w:tabs>
          <w:tab w:val="right" w:pos="8789"/>
        </w:tabs>
        <w:spacing w:after="0" w:line="360" w:lineRule="auto"/>
        <w:ind w:firstLine="567"/>
        <w:jc w:val="both"/>
        <w:rPr>
          <w:rFonts w:ascii="Arial" w:eastAsia="Calibri" w:hAnsi="Arial" w:cs="Arial"/>
          <w:lang w:eastAsia="en-US"/>
        </w:rPr>
      </w:pPr>
    </w:p>
    <w:p w14:paraId="6D474895" w14:textId="77777777" w:rsidR="00343500" w:rsidRPr="0051494B" w:rsidRDefault="00343500" w:rsidP="00AF10E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62B87A02" w14:textId="77777777" w:rsidR="00343500" w:rsidRPr="0051494B" w:rsidRDefault="00343500" w:rsidP="00AF10EA">
      <w:pPr>
        <w:tabs>
          <w:tab w:val="right" w:pos="8789"/>
        </w:tabs>
        <w:spacing w:after="0" w:line="360" w:lineRule="auto"/>
        <w:ind w:left="1134" w:right="616"/>
        <w:jc w:val="both"/>
        <w:rPr>
          <w:rFonts w:ascii="Arial" w:eastAsia="Calibri" w:hAnsi="Arial" w:cs="Arial"/>
          <w:i/>
          <w:lang w:eastAsia="en-US"/>
        </w:rPr>
      </w:pPr>
    </w:p>
    <w:p w14:paraId="5A2D7E8F" w14:textId="77777777" w:rsidR="00343500" w:rsidRPr="00BF29B5" w:rsidRDefault="00343500" w:rsidP="00AF10EA">
      <w:pPr>
        <w:tabs>
          <w:tab w:val="right" w:pos="8789"/>
        </w:tabs>
        <w:spacing w:after="0" w:line="360" w:lineRule="auto"/>
        <w:jc w:val="both"/>
        <w:rPr>
          <w:rFonts w:ascii="Arial Narrow" w:eastAsia="Calibri" w:hAnsi="Arial Narrow" w:cs="Arial"/>
          <w:b/>
          <w:i/>
          <w:sz w:val="24"/>
          <w:szCs w:val="24"/>
          <w:lang w:eastAsia="en-US"/>
        </w:rPr>
      </w:pPr>
    </w:p>
    <w:p w14:paraId="1E5D1A01" w14:textId="4F38332C" w:rsidR="00343500" w:rsidRPr="00BF29B5" w:rsidRDefault="00F97079" w:rsidP="00AF10EA">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343500" w:rsidRPr="00BF29B5">
        <w:rPr>
          <w:rFonts w:ascii="Arial Narrow" w:eastAsia="Calibri" w:hAnsi="Arial Narrow" w:cs="Arial"/>
          <w:b/>
          <w:bCs/>
          <w:color w:val="000000"/>
          <w:sz w:val="24"/>
          <w:szCs w:val="24"/>
          <w:lang w:eastAsia="en-US"/>
        </w:rPr>
        <w:t xml:space="preserve">FUNDAMENTACIÓN Y MOTIVACIÓN. LA DIFERENCIA ENTRE LA FALTA Y LA INDEBIDA SATISFACCIÓN DE AMBOS REQUISITOS CONSTITUCIONALES TRASCIENDE AL ORDEN EN QUE DEBEN </w:t>
      </w:r>
      <w:r w:rsidR="00343500" w:rsidRPr="00BF29B5">
        <w:rPr>
          <w:rFonts w:ascii="Arial Narrow" w:eastAsia="Calibri" w:hAnsi="Arial Narrow" w:cs="Arial"/>
          <w:b/>
          <w:bCs/>
          <w:color w:val="000000"/>
          <w:sz w:val="24"/>
          <w:szCs w:val="24"/>
          <w:lang w:eastAsia="en-US"/>
        </w:rPr>
        <w:lastRenderedPageBreak/>
        <w:t>ESTUDIARSE LOS CONCEPTOS DE VIOLACIÓN Y A LOS EFECTOS DEL FALLO PROTECTOR.</w:t>
      </w:r>
      <w:r w:rsidR="00343500" w:rsidRPr="00BF29B5">
        <w:rPr>
          <w:rFonts w:ascii="Arial Narrow" w:eastAsia="Calibri" w:hAnsi="Arial Narrow" w:cs="Arial"/>
          <w:color w:val="000000"/>
          <w:sz w:val="24"/>
          <w:szCs w:val="24"/>
          <w:lang w:eastAsia="en-US"/>
        </w:rPr>
        <w:t xml:space="preserve"> </w:t>
      </w:r>
    </w:p>
    <w:p w14:paraId="74BB5AF9" w14:textId="77777777" w:rsidR="00343500" w:rsidRPr="00BF29B5" w:rsidRDefault="00343500" w:rsidP="00AF10EA">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p>
    <w:p w14:paraId="529DEEA7" w14:textId="2C23FD1A" w:rsidR="00343500" w:rsidRPr="00BF29B5" w:rsidRDefault="00343500" w:rsidP="00AF10EA">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w:t>
      </w:r>
      <w:r w:rsidRPr="00BF29B5">
        <w:rPr>
          <w:rFonts w:ascii="Arial Narrow" w:eastAsia="Calibri" w:hAnsi="Arial Narrow" w:cs="Arial"/>
          <w:color w:val="000000"/>
          <w:sz w:val="24"/>
          <w:szCs w:val="24"/>
          <w:lang w:eastAsia="en-US"/>
        </w:rPr>
        <w:lastRenderedPageBreak/>
        <w:t>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00F97079">
        <w:rPr>
          <w:rFonts w:ascii="Arial Narrow" w:eastAsia="Calibri" w:hAnsi="Arial Narrow" w:cs="Arial"/>
          <w:color w:val="000000"/>
          <w:sz w:val="24"/>
          <w:szCs w:val="24"/>
          <w:lang w:eastAsia="en-US"/>
        </w:rPr>
        <w:t>”</w:t>
      </w:r>
    </w:p>
    <w:p w14:paraId="0FD9619A" w14:textId="77777777" w:rsidR="00343500" w:rsidRPr="0051494B" w:rsidRDefault="00343500" w:rsidP="00AF10EA">
      <w:pPr>
        <w:autoSpaceDE w:val="0"/>
        <w:autoSpaceDN w:val="0"/>
        <w:adjustRightInd w:val="0"/>
        <w:spacing w:after="0" w:line="360" w:lineRule="auto"/>
        <w:rPr>
          <w:rFonts w:ascii="NimbusSanL" w:eastAsia="Calibri" w:hAnsi="NimbusSanL" w:cs="NimbusSanL"/>
          <w:color w:val="000000"/>
          <w:sz w:val="24"/>
          <w:szCs w:val="24"/>
          <w:lang w:eastAsia="en-US"/>
        </w:rPr>
      </w:pPr>
    </w:p>
    <w:p w14:paraId="2181F7C3" w14:textId="77777777" w:rsidR="00343500" w:rsidRPr="0051494B" w:rsidRDefault="00343500" w:rsidP="00AF10EA">
      <w:pPr>
        <w:tabs>
          <w:tab w:val="right" w:pos="8789"/>
        </w:tabs>
        <w:spacing w:after="0" w:line="360" w:lineRule="auto"/>
        <w:jc w:val="both"/>
        <w:rPr>
          <w:rFonts w:ascii="Arial" w:eastAsia="Calibri" w:hAnsi="Arial" w:cs="Arial"/>
          <w:color w:val="FF0000"/>
          <w:lang w:eastAsia="en-US"/>
        </w:rPr>
      </w:pPr>
    </w:p>
    <w:p w14:paraId="120AAAC4" w14:textId="77777777" w:rsidR="00343500" w:rsidRPr="0051494B" w:rsidRDefault="00343500" w:rsidP="00AF10EA">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3E45DA26" w14:textId="77777777" w:rsidR="00343500" w:rsidRPr="0051494B" w:rsidRDefault="00343500" w:rsidP="00AF10EA">
      <w:pPr>
        <w:tabs>
          <w:tab w:val="right" w:pos="8789"/>
        </w:tabs>
        <w:spacing w:after="0" w:line="360" w:lineRule="auto"/>
        <w:jc w:val="both"/>
        <w:rPr>
          <w:rFonts w:ascii="Arial" w:eastAsia="Calibri" w:hAnsi="Arial" w:cs="Arial"/>
          <w:b/>
          <w:noProof/>
          <w:lang w:eastAsia="en-US"/>
        </w:rPr>
      </w:pPr>
    </w:p>
    <w:p w14:paraId="18CEBF72" w14:textId="211E9806" w:rsidR="00343500" w:rsidRPr="00BF29B5" w:rsidRDefault="00F97079" w:rsidP="00AF10EA">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343500" w:rsidRPr="00BF29B5">
        <w:rPr>
          <w:rFonts w:ascii="Arial Narrow" w:eastAsia="Calibri" w:hAnsi="Arial Narrow" w:cs="Arial"/>
          <w:b/>
          <w:bCs/>
          <w:color w:val="000000"/>
          <w:sz w:val="24"/>
          <w:szCs w:val="24"/>
          <w:lang w:eastAsia="en-US"/>
        </w:rPr>
        <w:t>FUNDAMENTACIÓN Y MOTIVACIÓN. SU DISTINCIÓN ENTRE SU FALTA Y CUANDO ES INDEBIDA.</w:t>
      </w:r>
      <w:r w:rsidR="00343500" w:rsidRPr="00BF29B5">
        <w:rPr>
          <w:rFonts w:ascii="Arial Narrow" w:eastAsia="Calibri" w:hAnsi="Arial Narrow" w:cs="Arial"/>
          <w:color w:val="000000"/>
          <w:sz w:val="24"/>
          <w:szCs w:val="24"/>
          <w:lang w:eastAsia="en-US"/>
        </w:rPr>
        <w:t xml:space="preserve"> </w:t>
      </w:r>
    </w:p>
    <w:p w14:paraId="4E933182" w14:textId="77777777" w:rsidR="00343500" w:rsidRPr="00BF29B5" w:rsidRDefault="00343500" w:rsidP="00AF10EA">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p>
    <w:p w14:paraId="7FDF31CC" w14:textId="7B4AABD7" w:rsidR="00343500" w:rsidRPr="00BF29B5" w:rsidRDefault="00343500" w:rsidP="00AF10EA">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00F97079">
        <w:rPr>
          <w:rFonts w:ascii="Arial Narrow" w:eastAsia="Calibri" w:hAnsi="Arial Narrow" w:cs="Arial"/>
          <w:color w:val="000000"/>
          <w:sz w:val="24"/>
          <w:szCs w:val="24"/>
          <w:lang w:eastAsia="en-US"/>
        </w:rPr>
        <w:t>”</w:t>
      </w:r>
    </w:p>
    <w:p w14:paraId="30865CB1" w14:textId="77777777" w:rsidR="00343500" w:rsidRPr="0051494B" w:rsidRDefault="00343500" w:rsidP="00AF10EA">
      <w:pPr>
        <w:tabs>
          <w:tab w:val="right" w:pos="8789"/>
        </w:tabs>
        <w:spacing w:after="0" w:line="360" w:lineRule="auto"/>
        <w:ind w:left="567" w:right="758"/>
        <w:jc w:val="both"/>
        <w:rPr>
          <w:rFonts w:ascii="Arial" w:eastAsia="Calibri" w:hAnsi="Arial" w:cs="Arial"/>
          <w:b/>
          <w:i/>
          <w:noProof/>
          <w:lang w:eastAsia="en-US"/>
        </w:rPr>
      </w:pPr>
    </w:p>
    <w:p w14:paraId="3F4634CD" w14:textId="03647CD6" w:rsidR="00610349" w:rsidRDefault="00610349" w:rsidP="00AF10EA">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5E6DDA1" w14:textId="213718E7" w:rsidR="00EC3B62" w:rsidRDefault="00EC3B62" w:rsidP="00AF10EA">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En tales términos </w:t>
      </w:r>
      <w:r w:rsidR="00C3197C">
        <w:rPr>
          <w:rFonts w:ascii="Arial" w:eastAsia="Calibri" w:hAnsi="Arial" w:cs="Arial"/>
          <w:sz w:val="24"/>
          <w:szCs w:val="24"/>
          <w:lang w:eastAsia="en-US"/>
        </w:rPr>
        <w:t>es</w:t>
      </w:r>
      <w:r>
        <w:rPr>
          <w:rFonts w:ascii="Arial" w:eastAsia="Calibri" w:hAnsi="Arial" w:cs="Arial"/>
          <w:sz w:val="24"/>
          <w:szCs w:val="24"/>
          <w:lang w:eastAsia="en-US"/>
        </w:rPr>
        <w:t xml:space="preserve"> procede</w:t>
      </w:r>
      <w:r w:rsidR="00C3197C">
        <w:rPr>
          <w:rFonts w:ascii="Arial" w:eastAsia="Calibri" w:hAnsi="Arial" w:cs="Arial"/>
          <w:sz w:val="24"/>
          <w:szCs w:val="24"/>
          <w:lang w:eastAsia="en-US"/>
        </w:rPr>
        <w:t>nte</w:t>
      </w:r>
      <w:r>
        <w:rPr>
          <w:rFonts w:ascii="Arial" w:eastAsia="Calibri" w:hAnsi="Arial" w:cs="Arial"/>
          <w:sz w:val="24"/>
          <w:szCs w:val="24"/>
          <w:lang w:eastAsia="en-US"/>
        </w:rPr>
        <w:t xml:space="preserv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w:t>
      </w:r>
      <w:r w:rsidR="00277B68">
        <w:rPr>
          <w:rFonts w:ascii="Arial" w:hAnsi="Arial" w:cs="Arial"/>
          <w:sz w:val="24"/>
          <w:szCs w:val="24"/>
        </w:rPr>
        <w:t xml:space="preserve">acta de infracción con número de folio </w:t>
      </w:r>
      <w:r w:rsidR="00C3144B">
        <w:rPr>
          <w:rFonts w:ascii="Arial" w:eastAsia="Calibri" w:hAnsi="Arial" w:cs="Arial"/>
          <w:sz w:val="24"/>
          <w:szCs w:val="24"/>
          <w:lang w:eastAsia="en-US"/>
        </w:rPr>
        <w:t>**********</w:t>
      </w:r>
      <w:r w:rsidR="001459E1">
        <w:rPr>
          <w:rFonts w:ascii="Arial" w:eastAsia="Calibri" w:hAnsi="Arial" w:cs="Arial"/>
          <w:sz w:val="24"/>
          <w:szCs w:val="24"/>
          <w:lang w:eastAsia="en-US"/>
        </w:rPr>
        <w:t xml:space="preserve"> de fecha ocho de febrero de dos mil veintiuno</w:t>
      </w:r>
      <w:r w:rsidR="00203853">
        <w:rPr>
          <w:rFonts w:ascii="Arial" w:eastAsia="Calibri" w:hAnsi="Arial" w:cs="Arial"/>
          <w:sz w:val="24"/>
          <w:szCs w:val="24"/>
          <w:lang w:eastAsia="en-US"/>
        </w:rPr>
        <w:t>,</w:t>
      </w:r>
      <w:r>
        <w:rPr>
          <w:rFonts w:ascii="Arial" w:hAnsi="Arial" w:cs="Arial"/>
          <w:sz w:val="24"/>
          <w:szCs w:val="24"/>
        </w:rPr>
        <w:t xml:space="preserve"> en </w:t>
      </w:r>
      <w:r w:rsidR="00F97079">
        <w:rPr>
          <w:rFonts w:ascii="Arial" w:hAnsi="Arial" w:cs="Arial"/>
          <w:sz w:val="24"/>
          <w:szCs w:val="24"/>
        </w:rPr>
        <w:t xml:space="preserve">los </w:t>
      </w:r>
      <w:r>
        <w:rPr>
          <w:rFonts w:ascii="Arial" w:hAnsi="Arial" w:cs="Arial"/>
          <w:sz w:val="24"/>
          <w:szCs w:val="24"/>
        </w:rPr>
        <w:t>términos de la siguiente Jurisprudencia</w:t>
      </w:r>
      <w:r>
        <w:rPr>
          <w:rStyle w:val="Refdenotaalpie"/>
          <w:rFonts w:ascii="Arial" w:hAnsi="Arial" w:cs="Arial"/>
          <w:sz w:val="24"/>
          <w:szCs w:val="24"/>
        </w:rPr>
        <w:footnoteReference w:id="7"/>
      </w:r>
      <w:r>
        <w:rPr>
          <w:rFonts w:ascii="Arial" w:hAnsi="Arial" w:cs="Arial"/>
          <w:sz w:val="24"/>
          <w:szCs w:val="24"/>
        </w:rPr>
        <w:t xml:space="preserve">: </w:t>
      </w:r>
    </w:p>
    <w:p w14:paraId="51B284B6" w14:textId="6EDB32CC" w:rsidR="00EC3B62" w:rsidRPr="00EC3B62" w:rsidRDefault="00EC3B62" w:rsidP="00AF10EA">
      <w:pPr>
        <w:tabs>
          <w:tab w:val="left" w:pos="284"/>
          <w:tab w:val="left" w:pos="426"/>
          <w:tab w:val="right" w:pos="9072"/>
        </w:tabs>
        <w:spacing w:after="0" w:line="360" w:lineRule="auto"/>
        <w:ind w:right="-234" w:firstLine="567"/>
        <w:jc w:val="both"/>
        <w:rPr>
          <w:rFonts w:ascii="Arial" w:hAnsi="Arial" w:cs="Arial"/>
          <w:b/>
          <w:bCs/>
          <w:sz w:val="24"/>
          <w:szCs w:val="24"/>
        </w:rPr>
      </w:pPr>
    </w:p>
    <w:p w14:paraId="0B7D2D05" w14:textId="077BD4C9" w:rsidR="00EC3B62" w:rsidRPr="00EC3B62" w:rsidRDefault="00F97079" w:rsidP="00F97079">
      <w:pPr>
        <w:tabs>
          <w:tab w:val="left" w:pos="284"/>
          <w:tab w:val="left" w:pos="851"/>
          <w:tab w:val="right" w:pos="9072"/>
        </w:tabs>
        <w:spacing w:after="0" w:line="360" w:lineRule="auto"/>
        <w:ind w:left="1134" w:right="474"/>
        <w:jc w:val="both"/>
        <w:rPr>
          <w:rFonts w:ascii="Arial Narrow" w:hAnsi="Arial Narrow" w:cs="Arial"/>
          <w:b/>
          <w:bCs/>
          <w:sz w:val="24"/>
          <w:szCs w:val="24"/>
        </w:rPr>
      </w:pPr>
      <w:r>
        <w:rPr>
          <w:rFonts w:ascii="Arial Narrow" w:hAnsi="Arial Narrow" w:cs="Arial"/>
          <w:b/>
          <w:bCs/>
          <w:sz w:val="24"/>
          <w:szCs w:val="24"/>
        </w:rPr>
        <w:lastRenderedPageBreak/>
        <w:t>“</w:t>
      </w:r>
      <w:r w:rsidR="00EC3B62" w:rsidRPr="00EC3B62">
        <w:rPr>
          <w:rFonts w:ascii="Arial Narrow" w:hAnsi="Arial Narrow" w:cs="Arial"/>
          <w:b/>
          <w:bCs/>
          <w:sz w:val="24"/>
          <w:szCs w:val="24"/>
        </w:rPr>
        <w:t>NULIDAD DE LAS RESOLUCIONES ADMINISTRATIVAS. SENTIDO AMPLIO DEL CONCEPTO Y EFECTOS DE LA DECRETADA EN EL JUICIO CONTENCIOSO ADMINISTRATIVO FEDERAL.</w:t>
      </w:r>
    </w:p>
    <w:p w14:paraId="70D8E78E" w14:textId="77777777" w:rsidR="00EC3B62" w:rsidRPr="00EC3B62" w:rsidRDefault="00EC3B62" w:rsidP="00F97079">
      <w:pPr>
        <w:tabs>
          <w:tab w:val="left" w:pos="284"/>
          <w:tab w:val="left" w:pos="851"/>
          <w:tab w:val="right" w:pos="9072"/>
        </w:tabs>
        <w:spacing w:after="0" w:line="360" w:lineRule="auto"/>
        <w:ind w:left="1134" w:right="474"/>
        <w:jc w:val="both"/>
        <w:rPr>
          <w:rFonts w:ascii="Arial Narrow" w:hAnsi="Arial Narrow" w:cs="Arial"/>
          <w:sz w:val="24"/>
          <w:szCs w:val="24"/>
        </w:rPr>
      </w:pPr>
    </w:p>
    <w:p w14:paraId="4C3813EB" w14:textId="77777777" w:rsidR="00EC3B62" w:rsidRPr="00EC3B62" w:rsidRDefault="00EC3B62" w:rsidP="00F97079">
      <w:pPr>
        <w:tabs>
          <w:tab w:val="left" w:pos="284"/>
          <w:tab w:val="left" w:pos="851"/>
          <w:tab w:val="right" w:pos="9072"/>
        </w:tabs>
        <w:spacing w:after="0" w:line="360" w:lineRule="auto"/>
        <w:ind w:left="1134" w:right="474"/>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artículo 51 de la Ley Federal de Procedimiento Contencioso Administrativo; II) declaración de invalidez o nulidad de la resolución, acorde con la trascendencia del vicio identificado, conforme al artículo 52 del ordenamiento citado; III) precisión de las ineficacias atribuibles a la resolución y sus consecuencias, en razón de los excesos o deficiencias que conlleven, tanto en el ámbito jurídico como en el fáctico, lo cual abarca a la propia decisión y a las secuelas que 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w:t>
      </w:r>
      <w:r w:rsidRPr="00EC3B62">
        <w:rPr>
          <w:rFonts w:ascii="Arial Narrow" w:hAnsi="Arial Narrow" w:cs="Arial"/>
          <w:sz w:val="24"/>
          <w:szCs w:val="24"/>
        </w:rPr>
        <w:lastRenderedPageBreak/>
        <w:t>lesión o agravio causado a 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6A38B830" w14:textId="77777777" w:rsidR="00EC3B62" w:rsidRDefault="00EC3B62" w:rsidP="00AF10EA">
      <w:pPr>
        <w:tabs>
          <w:tab w:val="left" w:pos="284"/>
          <w:tab w:val="left" w:pos="426"/>
          <w:tab w:val="right" w:pos="9072"/>
        </w:tabs>
        <w:spacing w:after="0" w:line="360" w:lineRule="auto"/>
        <w:ind w:right="-234" w:firstLine="567"/>
        <w:jc w:val="both"/>
        <w:rPr>
          <w:rFonts w:ascii="Arial" w:hAnsi="Arial" w:cs="Arial"/>
          <w:sz w:val="24"/>
          <w:szCs w:val="24"/>
        </w:rPr>
      </w:pPr>
    </w:p>
    <w:p w14:paraId="67C0EA02" w14:textId="1FB15E57" w:rsidR="008E25FE" w:rsidRDefault="008E25FE" w:rsidP="00AF10EA">
      <w:pPr>
        <w:spacing w:after="0" w:line="360" w:lineRule="auto"/>
        <w:ind w:firstLine="567"/>
        <w:jc w:val="both"/>
        <w:rPr>
          <w:rFonts w:ascii="Arial" w:hAnsi="Arial" w:cs="Arial"/>
          <w:sz w:val="24"/>
          <w:szCs w:val="24"/>
        </w:rPr>
      </w:pPr>
      <w:r>
        <w:rPr>
          <w:rFonts w:ascii="Arial" w:hAnsi="Arial" w:cs="Arial"/>
          <w:sz w:val="24"/>
          <w:szCs w:val="24"/>
        </w:rPr>
        <w:t xml:space="preserve">Por último, por ser un efecto consecuente, inmediato y directo del que se ha declarado nulo en el presente juicio, se ordena a la autoridad demandada para que por conducto de quien resulte </w:t>
      </w:r>
      <w:r w:rsidR="00F97079">
        <w:rPr>
          <w:rFonts w:ascii="Arial" w:hAnsi="Arial" w:cs="Arial"/>
          <w:sz w:val="24"/>
          <w:szCs w:val="24"/>
        </w:rPr>
        <w:t>competente</w:t>
      </w:r>
      <w:r>
        <w:rPr>
          <w:rFonts w:ascii="Arial" w:hAnsi="Arial" w:cs="Arial"/>
          <w:sz w:val="24"/>
          <w:szCs w:val="24"/>
        </w:rPr>
        <w:t xml:space="preserve"> </w:t>
      </w:r>
      <w:r>
        <w:rPr>
          <w:rFonts w:ascii="Arial" w:hAnsi="Arial" w:cs="Arial"/>
          <w:b/>
          <w:bCs/>
          <w:sz w:val="24"/>
          <w:szCs w:val="24"/>
        </w:rPr>
        <w:t>dé de baja del sistema SAP</w:t>
      </w:r>
      <w:r>
        <w:rPr>
          <w:rFonts w:ascii="Arial" w:hAnsi="Arial" w:cs="Arial"/>
          <w:sz w:val="24"/>
          <w:szCs w:val="24"/>
        </w:rPr>
        <w:t xml:space="preserve"> </w:t>
      </w:r>
      <w:r w:rsidR="002A627A">
        <w:rPr>
          <w:rFonts w:ascii="Arial" w:hAnsi="Arial" w:cs="Arial"/>
          <w:sz w:val="24"/>
          <w:szCs w:val="24"/>
        </w:rPr>
        <w:t xml:space="preserve"> o de sus registros </w:t>
      </w:r>
      <w:r>
        <w:rPr>
          <w:rFonts w:ascii="Arial" w:hAnsi="Arial" w:cs="Arial"/>
          <w:sz w:val="24"/>
          <w:szCs w:val="24"/>
        </w:rPr>
        <w:t>la infracción</w:t>
      </w:r>
      <w:r>
        <w:rPr>
          <w:rFonts w:ascii="Arial" w:hAnsi="Arial" w:cs="Arial"/>
          <w:b/>
          <w:bCs/>
          <w:sz w:val="24"/>
          <w:szCs w:val="24"/>
        </w:rPr>
        <w:t xml:space="preserve"> </w:t>
      </w:r>
      <w:r>
        <w:rPr>
          <w:rFonts w:ascii="Arial" w:hAnsi="Arial" w:cs="Arial"/>
          <w:sz w:val="24"/>
          <w:szCs w:val="24"/>
        </w:rPr>
        <w:t>de tránsito aquí impugnada, a fin de que se restituya al actor en el pleno goce de sus derechos</w:t>
      </w:r>
      <w:r>
        <w:rPr>
          <w:rStyle w:val="Refdenotaalpie"/>
          <w:rFonts w:ascii="Arial" w:hAnsi="Arial" w:cs="Arial"/>
          <w:sz w:val="24"/>
          <w:szCs w:val="24"/>
        </w:rPr>
        <w:footnoteReference w:id="8"/>
      </w:r>
      <w:r>
        <w:rPr>
          <w:rFonts w:ascii="Arial" w:hAnsi="Arial" w:cs="Arial"/>
          <w:sz w:val="24"/>
          <w:szCs w:val="24"/>
        </w:rPr>
        <w:t xml:space="preserve">. </w:t>
      </w:r>
    </w:p>
    <w:p w14:paraId="538832D2" w14:textId="77777777" w:rsidR="008E25FE" w:rsidRDefault="008E25FE" w:rsidP="00AF10EA">
      <w:pPr>
        <w:spacing w:line="360" w:lineRule="auto"/>
        <w:ind w:firstLine="567"/>
        <w:jc w:val="both"/>
        <w:rPr>
          <w:rFonts w:ascii="Arial" w:hAnsi="Arial" w:cs="Arial"/>
          <w:sz w:val="24"/>
          <w:szCs w:val="24"/>
        </w:rPr>
      </w:pPr>
    </w:p>
    <w:p w14:paraId="1830672D" w14:textId="65CBB914" w:rsidR="002B375F" w:rsidRPr="00512412" w:rsidRDefault="002B375F" w:rsidP="00AF10EA">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AF10EA">
      <w:pPr>
        <w:tabs>
          <w:tab w:val="right" w:pos="9072"/>
        </w:tabs>
        <w:spacing w:after="0" w:line="360" w:lineRule="auto"/>
        <w:ind w:right="-234"/>
        <w:rPr>
          <w:rFonts w:ascii="Arial" w:hAnsi="Arial" w:cs="Arial"/>
          <w:b/>
          <w:sz w:val="24"/>
          <w:szCs w:val="24"/>
        </w:rPr>
      </w:pPr>
    </w:p>
    <w:p w14:paraId="676D380E" w14:textId="77777777" w:rsidR="002B375F" w:rsidRPr="00512412" w:rsidRDefault="002B375F" w:rsidP="00AF10EA">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AF10EA">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AF10EA">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AF10EA">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AF10EA">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AF10EA">
      <w:pPr>
        <w:tabs>
          <w:tab w:val="right" w:pos="9072"/>
        </w:tabs>
        <w:spacing w:after="0" w:line="360" w:lineRule="auto"/>
        <w:ind w:right="-234" w:firstLine="567"/>
        <w:jc w:val="both"/>
        <w:rPr>
          <w:rFonts w:ascii="Arial" w:hAnsi="Arial" w:cs="Arial"/>
          <w:b/>
          <w:sz w:val="24"/>
          <w:szCs w:val="24"/>
        </w:rPr>
      </w:pPr>
    </w:p>
    <w:p w14:paraId="5A6E4C73" w14:textId="2A045C99" w:rsidR="002B375F" w:rsidRDefault="002B375F" w:rsidP="00AF10EA">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Pr>
          <w:rFonts w:ascii="Arial" w:hAnsi="Arial" w:cs="Arial"/>
          <w:b/>
          <w:bCs/>
          <w:sz w:val="24"/>
          <w:szCs w:val="24"/>
        </w:rPr>
        <w:t>NULIDAD</w:t>
      </w:r>
      <w:r w:rsidR="00496AD7">
        <w:rPr>
          <w:rFonts w:ascii="Arial" w:hAnsi="Arial" w:cs="Arial"/>
          <w:b/>
          <w:bCs/>
          <w:sz w:val="24"/>
          <w:szCs w:val="24"/>
        </w:rPr>
        <w:t xml:space="preserve">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343500">
        <w:rPr>
          <w:rFonts w:ascii="Arial" w:hAnsi="Arial" w:cs="Arial"/>
          <w:sz w:val="24"/>
          <w:szCs w:val="24"/>
        </w:rPr>
        <w:t xml:space="preserve">acta de infracción con número de folio </w:t>
      </w:r>
      <w:r w:rsidR="00C3144B">
        <w:rPr>
          <w:rFonts w:ascii="Arial" w:eastAsia="Calibri" w:hAnsi="Arial" w:cs="Arial"/>
          <w:sz w:val="24"/>
          <w:szCs w:val="24"/>
          <w:lang w:eastAsia="en-US"/>
        </w:rPr>
        <w:t>**********</w:t>
      </w:r>
      <w:bookmarkStart w:id="0" w:name="_GoBack"/>
      <w:bookmarkEnd w:id="0"/>
      <w:r w:rsidR="001459E1">
        <w:rPr>
          <w:rFonts w:ascii="Arial" w:eastAsia="Calibri" w:hAnsi="Arial" w:cs="Arial"/>
          <w:sz w:val="24"/>
          <w:szCs w:val="24"/>
          <w:lang w:eastAsia="en-US"/>
        </w:rPr>
        <w:t xml:space="preserve"> de fecha ocho de febrero de dos mil veintiuno</w:t>
      </w:r>
      <w:r w:rsidR="001459E1">
        <w:rPr>
          <w:rFonts w:ascii="Arial" w:hAnsi="Arial" w:cs="Arial"/>
          <w:sz w:val="24"/>
          <w:szCs w:val="24"/>
        </w:rPr>
        <w:t xml:space="preserve"> </w:t>
      </w:r>
      <w:r w:rsidR="00EC3B62">
        <w:rPr>
          <w:rFonts w:ascii="Arial" w:hAnsi="Arial" w:cs="Arial"/>
          <w:sz w:val="24"/>
          <w:szCs w:val="24"/>
        </w:rPr>
        <w:t>por las razones expuestas</w:t>
      </w:r>
      <w:r>
        <w:rPr>
          <w:rFonts w:ascii="Arial" w:hAnsi="Arial" w:cs="Arial"/>
          <w:bCs/>
          <w:sz w:val="24"/>
          <w:szCs w:val="24"/>
        </w:rPr>
        <w:t xml:space="preserve"> en el considerando </w:t>
      </w:r>
      <w:r w:rsidR="00F7700E">
        <w:rPr>
          <w:rFonts w:ascii="Arial" w:hAnsi="Arial" w:cs="Arial"/>
          <w:bCs/>
          <w:sz w:val="24"/>
          <w:szCs w:val="24"/>
        </w:rPr>
        <w:t>SEXTO</w:t>
      </w:r>
      <w:r>
        <w:rPr>
          <w:rFonts w:ascii="Arial" w:hAnsi="Arial" w:cs="Arial"/>
          <w:bCs/>
          <w:sz w:val="24"/>
          <w:szCs w:val="24"/>
        </w:rPr>
        <w:t xml:space="preserve"> de la presente resolución.</w:t>
      </w:r>
    </w:p>
    <w:p w14:paraId="7C1BBEAB" w14:textId="77777777" w:rsidR="002B375F" w:rsidRPr="00512412" w:rsidRDefault="002B375F" w:rsidP="00AF10EA">
      <w:pPr>
        <w:spacing w:after="0" w:line="360" w:lineRule="auto"/>
        <w:ind w:firstLine="567"/>
        <w:jc w:val="both"/>
        <w:rPr>
          <w:rFonts w:ascii="Arial" w:hAnsi="Arial" w:cs="Arial"/>
          <w:sz w:val="24"/>
          <w:szCs w:val="24"/>
        </w:rPr>
      </w:pPr>
    </w:p>
    <w:p w14:paraId="4F70F251" w14:textId="4A59200B" w:rsidR="002B375F" w:rsidRPr="00512412" w:rsidRDefault="002B375F" w:rsidP="00AF10EA">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lastRenderedPageBreak/>
        <w:t>CUARTO. Notifíquese personalmente a la parte actora y por oficio a la autoridad demandada</w:t>
      </w:r>
      <w:r w:rsidRPr="00512412">
        <w:rPr>
          <w:rFonts w:ascii="Arial" w:eastAsia="Times New Roman" w:hAnsi="Arial" w:cs="Arial"/>
          <w:sz w:val="24"/>
          <w:szCs w:val="24"/>
        </w:rPr>
        <w:t>, con fundamento en los artículos 172</w:t>
      </w:r>
      <w:r w:rsidR="00F97079">
        <w:rPr>
          <w:rFonts w:ascii="Arial" w:eastAsia="Times New Roman" w:hAnsi="Arial" w:cs="Arial"/>
          <w:sz w:val="24"/>
          <w:szCs w:val="24"/>
        </w:rPr>
        <w:t>,</w:t>
      </w:r>
      <w:r w:rsidRPr="00512412">
        <w:rPr>
          <w:rFonts w:ascii="Arial" w:eastAsia="Times New Roman" w:hAnsi="Arial" w:cs="Arial"/>
          <w:sz w:val="24"/>
          <w:szCs w:val="24"/>
        </w:rPr>
        <w:t xml:space="preserve"> fracción I y 173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AF10EA">
      <w:pPr>
        <w:spacing w:after="0" w:line="360" w:lineRule="auto"/>
        <w:ind w:right="49" w:firstLine="567"/>
        <w:jc w:val="both"/>
        <w:rPr>
          <w:rFonts w:ascii="Arial" w:eastAsia="Times New Roman" w:hAnsi="Arial" w:cs="Arial"/>
          <w:b/>
          <w:sz w:val="24"/>
          <w:szCs w:val="24"/>
        </w:rPr>
      </w:pPr>
    </w:p>
    <w:p w14:paraId="7964499F" w14:textId="77777777" w:rsidR="002B375F" w:rsidRPr="00512412" w:rsidRDefault="002B375F" w:rsidP="00AF10EA">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2412">
        <w:rPr>
          <w:rFonts w:ascii="Arial" w:eastAsia="Times New Roman" w:hAnsi="Arial" w:cs="Arial"/>
          <w:sz w:val="24"/>
          <w:szCs w:val="24"/>
        </w:rPr>
        <w:t>Morales</w:t>
      </w:r>
      <w:proofErr w:type="spellEnd"/>
      <w:r w:rsidRPr="00512412">
        <w:rPr>
          <w:rFonts w:ascii="Arial" w:eastAsia="Times New Roman" w:hAnsi="Arial" w:cs="Arial"/>
          <w:sz w:val="24"/>
          <w:szCs w:val="24"/>
        </w:rPr>
        <w:t>, Secretario de Acuerdos, que autoriza y da fe.</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8A7684" w14:textId="77777777" w:rsidR="00F271CD" w:rsidRDefault="00F271CD">
      <w:pPr>
        <w:spacing w:after="0" w:line="240" w:lineRule="auto"/>
      </w:pPr>
      <w:r>
        <w:separator/>
      </w:r>
    </w:p>
  </w:endnote>
  <w:endnote w:type="continuationSeparator" w:id="0">
    <w:p w14:paraId="764B083F" w14:textId="77777777" w:rsidR="00F271CD" w:rsidRDefault="00F27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AB7400" w14:textId="77777777" w:rsidR="00F271CD" w:rsidRDefault="00F271CD">
      <w:pPr>
        <w:spacing w:after="0" w:line="240" w:lineRule="auto"/>
      </w:pPr>
      <w:r>
        <w:separator/>
      </w:r>
    </w:p>
  </w:footnote>
  <w:footnote w:type="continuationSeparator" w:id="0">
    <w:p w14:paraId="428712DA" w14:textId="77777777" w:rsidR="00F271CD" w:rsidRDefault="00F271CD">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256A2623" w14:textId="77777777" w:rsidR="004F795C" w:rsidRDefault="004F795C" w:rsidP="004F795C">
      <w:pPr>
        <w:pStyle w:val="Textonotapie"/>
        <w:jc w:val="both"/>
        <w:rPr>
          <w:rFonts w:ascii="Arial" w:hAnsi="Arial" w:cs="Arial"/>
          <w:sz w:val="16"/>
          <w:szCs w:val="16"/>
        </w:rPr>
      </w:pPr>
      <w:r>
        <w:rPr>
          <w:rStyle w:val="Refdenotaalpie"/>
        </w:rPr>
        <w:footnoteRef/>
      </w:r>
      <w:r>
        <w:t xml:space="preserve"> </w:t>
      </w:r>
      <w:r w:rsidRPr="009F092A">
        <w:rPr>
          <w:rFonts w:ascii="Arial" w:hAnsi="Arial" w:cs="Arial"/>
          <w:sz w:val="16"/>
          <w:szCs w:val="16"/>
        </w:rPr>
        <w:t>Registro digital: 251050, Instancia: Tribunales Colegiados de Circuito, Séptima Época, Materia(s): Administrativa, Fuente: Semanario Judicial de la Federación, Volumen 145-150, Sexta Parte, página 283, Tipo: Aislada</w:t>
      </w:r>
    </w:p>
    <w:p w14:paraId="7445DAE6" w14:textId="77777777" w:rsidR="004F795C" w:rsidRDefault="004F795C" w:rsidP="004F795C">
      <w:pPr>
        <w:pStyle w:val="Textonotapie"/>
        <w:jc w:val="both"/>
      </w:pPr>
    </w:p>
  </w:footnote>
  <w:footnote w:id="5">
    <w:p w14:paraId="36EBAB5E" w14:textId="77777777" w:rsidR="004F795C" w:rsidRDefault="004F795C" w:rsidP="004F795C">
      <w:pPr>
        <w:pStyle w:val="Textonotapie"/>
        <w:jc w:val="both"/>
      </w:pPr>
      <w:r>
        <w:rPr>
          <w:rStyle w:val="Refdenotaalpie"/>
        </w:rPr>
        <w:footnoteRef/>
      </w:r>
      <w:r>
        <w:t xml:space="preserve"> </w:t>
      </w:r>
      <w:r w:rsidRPr="009F092A">
        <w:rPr>
          <w:rFonts w:ascii="Arial" w:hAnsi="Arial" w:cs="Arial"/>
          <w:sz w:val="16"/>
          <w:szCs w:val="16"/>
        </w:rPr>
        <w:t>Registro digital: 252071, Instancia: Tribunales Colegiados de Circuito, Séptima Época, Materia(s): Administrativa, Fuente: Semanario Judicial de la Federación, Volumen 121-126, Sexta Parte, página 233, Tipo: Aislada</w:t>
      </w:r>
    </w:p>
  </w:footnote>
  <w:footnote w:id="6">
    <w:p w14:paraId="2991E409" w14:textId="77777777" w:rsidR="004F795C" w:rsidRDefault="004F795C" w:rsidP="004F795C">
      <w:pPr>
        <w:pStyle w:val="Textonotapie"/>
        <w:jc w:val="both"/>
      </w:pPr>
      <w:r>
        <w:rPr>
          <w:rStyle w:val="Refdenotaalpie"/>
        </w:rPr>
        <w:footnoteRef/>
      </w:r>
      <w:r>
        <w:t xml:space="preserve"> </w:t>
      </w:r>
      <w:r w:rsidRPr="00821610">
        <w:rPr>
          <w:rFonts w:ascii="Arial" w:hAnsi="Arial" w:cs="Arial"/>
          <w:sz w:val="16"/>
          <w:szCs w:val="16"/>
        </w:rPr>
        <w:t>Registro digital: 252110, Instancia: Tribunales Colegiados de Circuito, Séptima Época, Materia(s): Administrativa, Fuente: Semanario Judicial de la Federación, Volumen 121-126, Sexta Parte, página 293, Tipo: Jurisprudencia</w:t>
      </w:r>
    </w:p>
  </w:footnote>
  <w:footnote w:id="7">
    <w:p w14:paraId="3DBF711D" w14:textId="56F78420" w:rsidR="00EC3B62" w:rsidRDefault="00EC3B62" w:rsidP="00EC3B62">
      <w:pPr>
        <w:pStyle w:val="temp"/>
        <w:shd w:val="clear" w:color="auto" w:fill="FFFFFF"/>
        <w:spacing w:before="0" w:beforeAutospacing="0" w:after="0" w:afterAutospacing="0"/>
        <w:jc w:val="both"/>
        <w:rPr>
          <w:rFonts w:ascii="Calibri" w:hAnsi="Calibri" w:cs="Calibri"/>
          <w:color w:val="212529"/>
          <w:sz w:val="26"/>
          <w:szCs w:val="26"/>
        </w:rPr>
      </w:pPr>
      <w:r>
        <w:rPr>
          <w:rStyle w:val="Refdenotaalpie"/>
        </w:rPr>
        <w:footnoteRef/>
      </w:r>
      <w:r>
        <w:t xml:space="preserve"> </w:t>
      </w:r>
      <w:r w:rsidRPr="00EC3B62">
        <w:rPr>
          <w:rStyle w:val="bold"/>
          <w:rFonts w:ascii="Arial" w:eastAsia="PMingLiU" w:hAnsi="Arial" w:cs="Arial"/>
          <w:color w:val="212529"/>
          <w:sz w:val="20"/>
          <w:szCs w:val="20"/>
        </w:rPr>
        <w:t>Registro digital: </w:t>
      </w:r>
      <w:r w:rsidRPr="00EC3B62">
        <w:rPr>
          <w:rFonts w:ascii="Arial" w:hAnsi="Arial" w:cs="Arial"/>
          <w:color w:val="212529"/>
          <w:sz w:val="20"/>
          <w:szCs w:val="20"/>
        </w:rPr>
        <w:t xml:space="preserve">2020803, </w:t>
      </w:r>
      <w:r w:rsidRPr="00EC3B62">
        <w:rPr>
          <w:rStyle w:val="bold"/>
          <w:rFonts w:ascii="Arial" w:eastAsia="PMingLiU" w:hAnsi="Arial" w:cs="Arial"/>
          <w:color w:val="212529"/>
          <w:sz w:val="20"/>
          <w:szCs w:val="20"/>
        </w:rPr>
        <w:t>Instancia: </w:t>
      </w:r>
      <w:r w:rsidRPr="00EC3B62">
        <w:rPr>
          <w:rFonts w:ascii="Arial" w:hAnsi="Arial" w:cs="Arial"/>
          <w:color w:val="212529"/>
          <w:sz w:val="20"/>
          <w:szCs w:val="20"/>
        </w:rPr>
        <w:t xml:space="preserve">Tribunales Colegiados de Circuito, </w:t>
      </w:r>
      <w:r w:rsidRPr="00EC3B62">
        <w:rPr>
          <w:rStyle w:val="bold"/>
          <w:rFonts w:ascii="Arial" w:eastAsia="PMingLiU" w:hAnsi="Arial" w:cs="Arial"/>
          <w:color w:val="212529"/>
          <w:sz w:val="20"/>
          <w:szCs w:val="20"/>
        </w:rPr>
        <w:t>Décima Época, Materia(s): </w:t>
      </w:r>
      <w:r w:rsidRPr="00EC3B62">
        <w:rPr>
          <w:rFonts w:ascii="Arial" w:hAnsi="Arial" w:cs="Arial"/>
          <w:color w:val="212529"/>
          <w:sz w:val="20"/>
          <w:szCs w:val="20"/>
        </w:rPr>
        <w:t xml:space="preserve">Administrativa, </w:t>
      </w:r>
      <w:r w:rsidRPr="00EC3B62">
        <w:rPr>
          <w:rStyle w:val="bold"/>
          <w:rFonts w:ascii="Arial" w:eastAsia="PMingLiU" w:hAnsi="Arial" w:cs="Arial"/>
          <w:color w:val="212529"/>
          <w:sz w:val="20"/>
          <w:szCs w:val="20"/>
        </w:rPr>
        <w:t>Tesis: </w:t>
      </w:r>
      <w:r w:rsidRPr="00EC3B62">
        <w:rPr>
          <w:rFonts w:ascii="Arial" w:hAnsi="Arial" w:cs="Arial"/>
          <w:color w:val="212529"/>
          <w:sz w:val="20"/>
          <w:szCs w:val="20"/>
        </w:rPr>
        <w:t xml:space="preserve">I.4o.A. J/4 (10a.), </w:t>
      </w:r>
      <w:r w:rsidRPr="00EC3B62">
        <w:rPr>
          <w:rStyle w:val="bold"/>
          <w:rFonts w:ascii="Arial" w:eastAsia="PMingLiU" w:hAnsi="Arial" w:cs="Arial"/>
          <w:color w:val="212529"/>
          <w:sz w:val="20"/>
          <w:szCs w:val="20"/>
        </w:rPr>
        <w:t>Fuente: </w:t>
      </w:r>
      <w:r w:rsidRPr="00EC3B62">
        <w:rPr>
          <w:rFonts w:ascii="Arial" w:hAnsi="Arial" w:cs="Arial"/>
          <w:color w:val="212529"/>
          <w:sz w:val="20"/>
          <w:szCs w:val="20"/>
        </w:rPr>
        <w:t xml:space="preserve">Gaceta del Semanario Judicial de la Federación, </w:t>
      </w:r>
      <w:r w:rsidRPr="00EC3B62">
        <w:rPr>
          <w:rStyle w:val="ng-star-inserted"/>
          <w:rFonts w:ascii="Arial" w:hAnsi="Arial" w:cs="Arial"/>
          <w:color w:val="212529"/>
          <w:sz w:val="20"/>
          <w:szCs w:val="20"/>
        </w:rPr>
        <w:t xml:space="preserve">Libro 71, Octubre de 2019, Tomo IV, página 3350, </w:t>
      </w:r>
      <w:r w:rsidRPr="00EC3B62">
        <w:rPr>
          <w:rStyle w:val="bold"/>
          <w:rFonts w:ascii="Arial" w:eastAsia="PMingLiU" w:hAnsi="Arial" w:cs="Arial"/>
          <w:color w:val="212529"/>
          <w:sz w:val="20"/>
          <w:szCs w:val="20"/>
        </w:rPr>
        <w:t>Tipo: </w:t>
      </w:r>
      <w:r w:rsidRPr="00EC3B62">
        <w:rPr>
          <w:rFonts w:ascii="Arial" w:hAnsi="Arial" w:cs="Arial"/>
          <w:color w:val="212529"/>
          <w:sz w:val="20"/>
          <w:szCs w:val="20"/>
        </w:rPr>
        <w:t>Jurisprudencia</w:t>
      </w:r>
    </w:p>
    <w:p w14:paraId="7BC0ED81" w14:textId="7463431E" w:rsidR="00EC3B62" w:rsidRDefault="00EC3B62">
      <w:pPr>
        <w:pStyle w:val="Textonotapie"/>
      </w:pPr>
    </w:p>
  </w:footnote>
  <w:footnote w:id="8">
    <w:p w14:paraId="6EDE4CE7" w14:textId="77777777" w:rsidR="008E25FE" w:rsidRPr="000264BB" w:rsidRDefault="008E25FE" w:rsidP="008E25FE">
      <w:pPr>
        <w:pStyle w:val="Textonotapie"/>
        <w:jc w:val="both"/>
        <w:rPr>
          <w:rFonts w:ascii="Arial" w:hAnsi="Arial" w:cs="Arial"/>
          <w:sz w:val="16"/>
          <w:szCs w:val="16"/>
        </w:rPr>
      </w:pPr>
      <w:r>
        <w:rPr>
          <w:rStyle w:val="Refdenotaalpie"/>
        </w:rPr>
        <w:footnoteRef/>
      </w:r>
      <w:r>
        <w:t xml:space="preserve"> </w:t>
      </w:r>
      <w:r w:rsidRPr="000264BB">
        <w:rPr>
          <w:rFonts w:ascii="Arial" w:hAnsi="Arial" w:cs="Arial"/>
          <w:sz w:val="16"/>
          <w:szCs w:val="16"/>
        </w:rPr>
        <w:t>SENTENCIAS DEL TRIBUNAL FEDERAL DE JUSTICIA FISCAL Y ADMINISTRATIVA. LA ORDEN DE RESTITUIR AL ACTOR EN SUS DERECHOS ES UN EFECTO PROPIO DE LAS QUE DECLARAN LA NULIDAD QUE, POR TANTO, NO IMPLICA LA INTRODUCCIÓN DE UN NUEVO ELEMENTO EN LA LITIS NI SUPLENCIA DE LA QUEJA DEFICIENTE.</w:t>
      </w:r>
    </w:p>
    <w:p w14:paraId="6139359F" w14:textId="77777777" w:rsidR="008E25FE" w:rsidRPr="000264BB" w:rsidRDefault="008E25FE" w:rsidP="008E25FE">
      <w:pPr>
        <w:pStyle w:val="Textonotapie"/>
        <w:jc w:val="both"/>
        <w:rPr>
          <w:rFonts w:ascii="Arial" w:hAnsi="Arial" w:cs="Arial"/>
          <w:sz w:val="16"/>
          <w:szCs w:val="16"/>
        </w:rPr>
      </w:pPr>
    </w:p>
    <w:p w14:paraId="6ACB10C4" w14:textId="77777777" w:rsidR="008E25FE" w:rsidRDefault="008E25FE" w:rsidP="008E25FE">
      <w:pPr>
        <w:pStyle w:val="Textonotapie"/>
        <w:jc w:val="both"/>
        <w:rPr>
          <w:rFonts w:ascii="Arial" w:hAnsi="Arial" w:cs="Arial"/>
          <w:sz w:val="16"/>
          <w:szCs w:val="16"/>
        </w:rPr>
      </w:pPr>
      <w:r w:rsidRPr="000264BB">
        <w:rPr>
          <w:rFonts w:ascii="Arial" w:hAnsi="Arial" w:cs="Arial"/>
          <w:sz w:val="16"/>
          <w:szCs w:val="16"/>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w:t>
      </w:r>
      <w:proofErr w:type="spellStart"/>
      <w:r w:rsidRPr="000264BB">
        <w:rPr>
          <w:rFonts w:ascii="Arial" w:hAnsi="Arial" w:cs="Arial"/>
          <w:sz w:val="16"/>
          <w:szCs w:val="16"/>
        </w:rPr>
        <w:t>litis</w:t>
      </w:r>
      <w:proofErr w:type="spellEnd"/>
      <w:r w:rsidRPr="000264BB">
        <w:rPr>
          <w:rFonts w:ascii="Arial" w:hAnsi="Arial" w:cs="Arial"/>
          <w:sz w:val="16"/>
          <w:szCs w:val="16"/>
        </w:rPr>
        <w:t xml:space="preserve">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p>
    <w:p w14:paraId="0B4F20A6" w14:textId="77777777" w:rsidR="008E25FE" w:rsidRPr="000264BB" w:rsidRDefault="008E25FE" w:rsidP="008E25FE">
      <w:pPr>
        <w:pStyle w:val="Textonotapie"/>
        <w:jc w:val="both"/>
        <w:rPr>
          <w:rFonts w:ascii="Arial" w:hAnsi="Arial" w:cs="Arial"/>
          <w:sz w:val="12"/>
          <w:szCs w:val="12"/>
        </w:rPr>
      </w:pPr>
    </w:p>
    <w:p w14:paraId="75A43414" w14:textId="77777777" w:rsidR="008E25FE" w:rsidRDefault="008E25FE" w:rsidP="008E25FE">
      <w:pPr>
        <w:pStyle w:val="Textonotapie"/>
        <w:jc w:val="both"/>
      </w:pPr>
      <w:r w:rsidRPr="000264BB">
        <w:rPr>
          <w:rFonts w:ascii="Arial" w:hAnsi="Arial" w:cs="Arial"/>
          <w:sz w:val="16"/>
          <w:szCs w:val="16"/>
        </w:rPr>
        <w:t>Registro digital: 179740, Instancia: Tribunales Colegiados de Circuito, Novena Época, Materia(s): Administrativa, Tesis: I.4o.A.455 A, Fuente: Semanario Judicial de la Federación y su Gaceta, Tomo XX, Diciembre de 2004, página 1454, Tipo: Aislada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F271C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C3144B" w:rsidRPr="00C3144B">
          <w:rPr>
            <w:noProof/>
            <w:lang w:val="es-ES"/>
          </w:rPr>
          <w:t>10</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BF24CFD" w:rsidR="00A360DF" w:rsidRDefault="00F271C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C3144B" w:rsidRPr="00C3144B">
          <w:rPr>
            <w:noProof/>
            <w:lang w:val="es-ES"/>
          </w:rPr>
          <w:t>11</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9D0EEC">
          <w:rPr>
            <w:rFonts w:ascii="Century Schoolbook" w:hAnsi="Century Schoolbook" w:cs="Arial"/>
            <w:b/>
            <w:bCs/>
          </w:rPr>
          <w:t>0018</w:t>
        </w:r>
        <w:r w:rsidR="007C7A1C">
          <w:rPr>
            <w:rFonts w:ascii="Century Schoolbook" w:hAnsi="Century Schoolbook" w:cs="Arial"/>
            <w:b/>
            <w:bCs/>
          </w:rPr>
          <w:t>/20</w:t>
        </w:r>
        <w:r w:rsidR="007751BD">
          <w:rPr>
            <w:rFonts w:ascii="Century Schoolbook" w:hAnsi="Century Schoolbook" w:cs="Arial"/>
            <w:b/>
            <w:bCs/>
          </w:rPr>
          <w:t>2</w:t>
        </w:r>
        <w:r w:rsidR="009D0EEC">
          <w:rPr>
            <w:rFonts w:ascii="Century Schoolbook" w:hAnsi="Century Schoolbook" w:cs="Arial"/>
            <w:b/>
            <w:bCs/>
          </w:rPr>
          <w:t>1</w:t>
        </w:r>
      </w:sdtContent>
    </w:sdt>
  </w:p>
  <w:sdt>
    <w:sdtPr>
      <w:id w:val="1700360081"/>
      <w:docPartObj>
        <w:docPartGallery w:val="Page Numbers (Top of Page)"/>
        <w:docPartUnique/>
      </w:docPartObj>
    </w:sdtPr>
    <w:sdtContent>
      <w:p w14:paraId="11C29139" w14:textId="77777777" w:rsidR="00C3144B" w:rsidRDefault="00C3144B" w:rsidP="00C3144B">
        <w:pPr>
          <w:pStyle w:val="Encabezado"/>
          <w:jc w:val="center"/>
        </w:pPr>
      </w:p>
      <w:p w14:paraId="7CF37D62" w14:textId="7049F033" w:rsidR="00C3144B" w:rsidRDefault="00C3144B" w:rsidP="00C3144B">
        <w:pPr>
          <w:pStyle w:val="Encabezado"/>
          <w:jc w:val="center"/>
        </w:pPr>
        <w:r>
          <w:rPr>
            <w:rFonts w:ascii="Arial" w:hAnsi="Arial" w:cs="Arial"/>
            <w:b/>
            <w:color w:val="0070C0"/>
          </w:rPr>
          <w:t xml:space="preserve">DATOS PERSONALES PROTEGIDOS POR EL ARTÍCULO 116 DE LA LGTAIP Y ARTÍCULO 61 DE LA LTAIPBGEO </w:t>
        </w:r>
      </w:p>
    </w:sdtContent>
  </w:sdt>
  <w:p w14:paraId="241E21DF" w14:textId="77777777" w:rsidR="00C3144B" w:rsidRDefault="00C3144B" w:rsidP="00C3144B">
    <w:pPr>
      <w:tabs>
        <w:tab w:val="center" w:pos="4419"/>
        <w:tab w:val="right" w:pos="8838"/>
      </w:tabs>
      <w:spacing w:after="0" w:line="240" w:lineRule="auto"/>
      <w:jc w:val="center"/>
      <w:rPr>
        <w:color w:val="000000"/>
      </w:rPr>
    </w:pPr>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F271C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5C10"/>
    <w:rsid w:val="00136897"/>
    <w:rsid w:val="0013695E"/>
    <w:rsid w:val="00136FB8"/>
    <w:rsid w:val="0014043C"/>
    <w:rsid w:val="00140D7E"/>
    <w:rsid w:val="00141BB2"/>
    <w:rsid w:val="00142417"/>
    <w:rsid w:val="00143682"/>
    <w:rsid w:val="001441D3"/>
    <w:rsid w:val="00144462"/>
    <w:rsid w:val="001450E2"/>
    <w:rsid w:val="001459E1"/>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969"/>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53"/>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689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7B68"/>
    <w:rsid w:val="002805AC"/>
    <w:rsid w:val="00280919"/>
    <w:rsid w:val="00280B62"/>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27A"/>
    <w:rsid w:val="002A657D"/>
    <w:rsid w:val="002A6B3D"/>
    <w:rsid w:val="002A6E86"/>
    <w:rsid w:val="002A6EF0"/>
    <w:rsid w:val="002B0184"/>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2DD"/>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500"/>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19A3"/>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87"/>
    <w:rsid w:val="003B609E"/>
    <w:rsid w:val="003B6581"/>
    <w:rsid w:val="003B6C7E"/>
    <w:rsid w:val="003B79F9"/>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052"/>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A65"/>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154"/>
    <w:rsid w:val="004647B9"/>
    <w:rsid w:val="00464CBE"/>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AD7"/>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A42"/>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4F795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2CA"/>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349"/>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484"/>
    <w:rsid w:val="006B1B86"/>
    <w:rsid w:val="006B208B"/>
    <w:rsid w:val="006B3C7A"/>
    <w:rsid w:val="006B454E"/>
    <w:rsid w:val="006B462B"/>
    <w:rsid w:val="006B46C9"/>
    <w:rsid w:val="006B49AF"/>
    <w:rsid w:val="006B4FD6"/>
    <w:rsid w:val="006B511B"/>
    <w:rsid w:val="006B5508"/>
    <w:rsid w:val="006B5F34"/>
    <w:rsid w:val="006B7267"/>
    <w:rsid w:val="006C08AA"/>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32E"/>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9BF"/>
    <w:rsid w:val="00777B9A"/>
    <w:rsid w:val="00777CFA"/>
    <w:rsid w:val="00777F6C"/>
    <w:rsid w:val="007806D4"/>
    <w:rsid w:val="00781E84"/>
    <w:rsid w:val="00781EFF"/>
    <w:rsid w:val="00782019"/>
    <w:rsid w:val="00783820"/>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6DD0"/>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3C1C"/>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88E"/>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C64"/>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3C2E"/>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989"/>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5FE"/>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5AE"/>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A4A"/>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1BEB"/>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0EEC"/>
    <w:rsid w:val="009D183B"/>
    <w:rsid w:val="009D20C4"/>
    <w:rsid w:val="009D2378"/>
    <w:rsid w:val="009D267D"/>
    <w:rsid w:val="009D30C1"/>
    <w:rsid w:val="009D3356"/>
    <w:rsid w:val="009D3AE3"/>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3C75"/>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4D4"/>
    <w:rsid w:val="00AC2548"/>
    <w:rsid w:val="00AC3C32"/>
    <w:rsid w:val="00AC3DB8"/>
    <w:rsid w:val="00AC707D"/>
    <w:rsid w:val="00AD100C"/>
    <w:rsid w:val="00AD2540"/>
    <w:rsid w:val="00AD2CB9"/>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0EA"/>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6BE"/>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08F"/>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881"/>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A2B"/>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44B"/>
    <w:rsid w:val="00C3197C"/>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091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78A"/>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75F"/>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1CD"/>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00E"/>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079"/>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2AE"/>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24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39721487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4370346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28A34-470C-4B82-B593-8F206B0F6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860</TotalTime>
  <Pages>11</Pages>
  <Words>3371</Words>
  <Characters>18541</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20</cp:revision>
  <cp:lastPrinted>2023-10-24T00:06:00Z</cp:lastPrinted>
  <dcterms:created xsi:type="dcterms:W3CDTF">2022-10-24T19:10:00Z</dcterms:created>
  <dcterms:modified xsi:type="dcterms:W3CDTF">2023-10-24T00:07:00Z</dcterms:modified>
</cp:coreProperties>
</file>