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2355" w:rsidRPr="007B0581" w:rsidRDefault="00792355" w:rsidP="0079235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792355" w:rsidRPr="007B0581" w:rsidRDefault="00792355" w:rsidP="00792355">
      <w:pPr>
        <w:pStyle w:val="corte4fondo"/>
        <w:spacing w:line="276" w:lineRule="auto"/>
        <w:ind w:left="3544" w:right="-521" w:firstLine="0"/>
        <w:rPr>
          <w:rFonts w:cs="Arial"/>
          <w:b/>
          <w:sz w:val="24"/>
          <w:szCs w:val="24"/>
        </w:rPr>
      </w:pPr>
    </w:p>
    <w:p w:rsidR="00792355" w:rsidRPr="007B0581" w:rsidRDefault="00792355" w:rsidP="0079235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180</w:t>
      </w:r>
      <w:r w:rsidRPr="007B0581">
        <w:rPr>
          <w:rFonts w:cs="Arial"/>
          <w:b/>
          <w:bCs/>
          <w:sz w:val="24"/>
          <w:szCs w:val="24"/>
        </w:rPr>
        <w:t>/20</w:t>
      </w:r>
      <w:r>
        <w:rPr>
          <w:rFonts w:cs="Arial"/>
          <w:b/>
          <w:bCs/>
          <w:sz w:val="24"/>
          <w:szCs w:val="24"/>
        </w:rPr>
        <w:t>20</w:t>
      </w:r>
      <w:r w:rsidRPr="007B0581">
        <w:rPr>
          <w:rFonts w:cs="Arial"/>
          <w:sz w:val="24"/>
          <w:szCs w:val="24"/>
        </w:rPr>
        <w:t xml:space="preserve">. </w:t>
      </w:r>
    </w:p>
    <w:p w:rsidR="00792355" w:rsidRPr="007B0581" w:rsidRDefault="00792355" w:rsidP="00792355">
      <w:pPr>
        <w:pStyle w:val="corte4fondo"/>
        <w:spacing w:line="276" w:lineRule="auto"/>
        <w:ind w:left="3544" w:right="-521" w:firstLine="0"/>
        <w:rPr>
          <w:rFonts w:cs="Arial"/>
          <w:sz w:val="24"/>
          <w:szCs w:val="24"/>
        </w:rPr>
      </w:pPr>
    </w:p>
    <w:p w:rsidR="00792355" w:rsidRPr="007B0581" w:rsidRDefault="00792355" w:rsidP="00792355">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792355" w:rsidRPr="007B0581" w:rsidRDefault="00792355" w:rsidP="00792355">
      <w:pPr>
        <w:pStyle w:val="corte4fondo"/>
        <w:spacing w:line="276" w:lineRule="auto"/>
        <w:ind w:left="3544" w:right="-521" w:firstLine="0"/>
        <w:rPr>
          <w:rFonts w:cs="Arial"/>
          <w:b/>
          <w:i/>
          <w:sz w:val="24"/>
          <w:szCs w:val="24"/>
        </w:rPr>
      </w:pPr>
      <w:r w:rsidRPr="007B0581">
        <w:rPr>
          <w:rFonts w:cs="Arial"/>
          <w:b/>
          <w:i/>
          <w:sz w:val="24"/>
          <w:szCs w:val="24"/>
        </w:rPr>
        <w:t xml:space="preserve"> </w:t>
      </w:r>
    </w:p>
    <w:p w:rsidR="00792355" w:rsidRPr="007B0581" w:rsidRDefault="00792355" w:rsidP="00792355">
      <w:pPr>
        <w:pStyle w:val="corte4fondo"/>
        <w:spacing w:line="276" w:lineRule="auto"/>
        <w:ind w:left="3544" w:right="51" w:firstLine="0"/>
        <w:rPr>
          <w:rFonts w:cs="Arial"/>
          <w:bCs/>
          <w:sz w:val="24"/>
          <w:szCs w:val="24"/>
        </w:rPr>
      </w:pPr>
      <w:r w:rsidRPr="007B0581">
        <w:rPr>
          <w:rFonts w:cs="Arial"/>
          <w:b/>
          <w:sz w:val="24"/>
          <w:szCs w:val="24"/>
        </w:rPr>
        <w:t>AUTORIDAD DEMANDADA</w:t>
      </w:r>
      <w:r w:rsidRPr="00464FA8">
        <w:rPr>
          <w:rFonts w:cs="Arial"/>
          <w:bCs/>
          <w:sz w:val="24"/>
          <w:szCs w:val="24"/>
        </w:rPr>
        <w:t>:</w:t>
      </w:r>
      <w:r>
        <w:rPr>
          <w:rFonts w:cs="Arial"/>
          <w:b/>
          <w:sz w:val="24"/>
          <w:szCs w:val="24"/>
        </w:rPr>
        <w:t xml:space="preserve"> FISCAL GENERAL DEL ESTADO DE OAXACA.</w:t>
      </w:r>
    </w:p>
    <w:p w:rsidR="00792355" w:rsidRPr="007B0581" w:rsidRDefault="00792355" w:rsidP="00792355">
      <w:pPr>
        <w:pStyle w:val="corte4fondo"/>
        <w:spacing w:line="276" w:lineRule="auto"/>
        <w:ind w:left="3544" w:right="51" w:firstLine="0"/>
        <w:rPr>
          <w:rFonts w:cs="Arial"/>
          <w:bCs/>
          <w:sz w:val="24"/>
          <w:szCs w:val="24"/>
        </w:rPr>
      </w:pPr>
    </w:p>
    <w:p w:rsidR="00792355" w:rsidRPr="007B0581" w:rsidRDefault="00792355" w:rsidP="00792355">
      <w:pPr>
        <w:pStyle w:val="corte4fondo"/>
        <w:spacing w:line="276" w:lineRule="auto"/>
        <w:ind w:left="3544" w:right="51" w:firstLine="0"/>
        <w:rPr>
          <w:rFonts w:cs="Arial"/>
          <w:bCs/>
          <w:sz w:val="24"/>
          <w:szCs w:val="24"/>
        </w:rPr>
      </w:pPr>
    </w:p>
    <w:p w:rsidR="00792355" w:rsidRDefault="00792355" w:rsidP="00792355">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DIEZ DE OCTUBRE</w:t>
      </w:r>
      <w:r w:rsidRPr="007B0581">
        <w:rPr>
          <w:rFonts w:ascii="Arial" w:hAnsi="Arial" w:cs="Arial"/>
          <w:b/>
          <w:sz w:val="24"/>
          <w:szCs w:val="24"/>
        </w:rPr>
        <w:t xml:space="preserve"> DE DOS MIL VEINTI</w:t>
      </w:r>
      <w:r>
        <w:rPr>
          <w:rFonts w:ascii="Arial" w:hAnsi="Arial" w:cs="Arial"/>
          <w:b/>
          <w:sz w:val="24"/>
          <w:szCs w:val="24"/>
        </w:rPr>
        <w:t>DÓS</w:t>
      </w:r>
      <w:r w:rsidRPr="007B0581">
        <w:rPr>
          <w:rFonts w:ascii="Arial" w:hAnsi="Arial" w:cs="Arial"/>
          <w:b/>
          <w:sz w:val="24"/>
          <w:szCs w:val="24"/>
        </w:rPr>
        <w:t xml:space="preserve">. </w:t>
      </w:r>
    </w:p>
    <w:p w:rsidR="00792355" w:rsidRDefault="00792355" w:rsidP="00792355">
      <w:pPr>
        <w:spacing w:line="360" w:lineRule="auto"/>
        <w:jc w:val="both"/>
        <w:rPr>
          <w:rFonts w:ascii="Arial" w:hAnsi="Arial" w:cs="Arial"/>
          <w:b/>
          <w:sz w:val="24"/>
          <w:szCs w:val="24"/>
        </w:rPr>
      </w:pPr>
      <w:r w:rsidRPr="007B0581">
        <w:rPr>
          <w:rFonts w:ascii="Arial" w:hAnsi="Arial" w:cs="Arial"/>
          <w:b/>
          <w:sz w:val="24"/>
          <w:szCs w:val="24"/>
        </w:rPr>
        <w:t xml:space="preserve"> </w:t>
      </w:r>
    </w:p>
    <w:p w:rsidR="00792355" w:rsidRPr="007B0581" w:rsidRDefault="00792355" w:rsidP="00792355">
      <w:pPr>
        <w:contextualSpacing/>
        <w:jc w:val="both"/>
        <w:rPr>
          <w:rFonts w:ascii="Arial" w:hAnsi="Arial" w:cs="Arial"/>
          <w:b/>
          <w:sz w:val="24"/>
          <w:szCs w:val="24"/>
        </w:rPr>
      </w:pPr>
    </w:p>
    <w:p w:rsidR="00792355" w:rsidRDefault="00792355" w:rsidP="00792355">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0180</w:t>
      </w:r>
      <w:r w:rsidRPr="001A7D4E">
        <w:rPr>
          <w:rFonts w:ascii="Arial" w:hAnsi="Arial" w:cs="Arial"/>
          <w:b/>
          <w:bCs/>
          <w:sz w:val="24"/>
          <w:szCs w:val="24"/>
        </w:rPr>
        <w:t>/20</w:t>
      </w:r>
      <w:r>
        <w:rPr>
          <w:rFonts w:ascii="Arial" w:hAnsi="Arial" w:cs="Arial"/>
          <w:b/>
          <w:bCs/>
          <w:sz w:val="24"/>
          <w:szCs w:val="24"/>
        </w:rPr>
        <w:t>20</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resolución de veintiséis de octubre de dos mil veinte, emitida en el expediente administrativo </w:t>
      </w:r>
      <w:r>
        <w:rPr>
          <w:rFonts w:cs="Arial"/>
          <w:b/>
          <w:sz w:val="24"/>
          <w:szCs w:val="24"/>
        </w:rPr>
        <w:t>**********</w:t>
      </w:r>
      <w:r>
        <w:rPr>
          <w:rFonts w:cs="Arial"/>
          <w:b/>
          <w:sz w:val="24"/>
          <w:szCs w:val="24"/>
        </w:rPr>
        <w:t xml:space="preserve"> </w:t>
      </w:r>
      <w:r>
        <w:rPr>
          <w:rFonts w:ascii="Arial" w:hAnsi="Arial" w:cs="Arial"/>
          <w:sz w:val="24"/>
          <w:szCs w:val="24"/>
        </w:rPr>
        <w:t xml:space="preserve">por el Fiscal General del Estado de Oaxaca, </w:t>
      </w:r>
      <w:bookmarkStart w:id="0" w:name="_Hlk84505151"/>
      <w:r w:rsidRPr="007B0581">
        <w:rPr>
          <w:rFonts w:ascii="Arial" w:hAnsi="Arial" w:cs="Arial"/>
          <w:sz w:val="24"/>
          <w:szCs w:val="24"/>
        </w:rPr>
        <w:t>y;</w:t>
      </w:r>
      <w:r>
        <w:rPr>
          <w:rFonts w:ascii="Arial" w:hAnsi="Arial" w:cs="Arial"/>
          <w:b/>
          <w:bCs/>
          <w:sz w:val="24"/>
          <w:szCs w:val="24"/>
        </w:rPr>
        <w:t xml:space="preserve"> </w:t>
      </w:r>
    </w:p>
    <w:p w:rsidR="00792355" w:rsidRPr="007B0581" w:rsidRDefault="00792355" w:rsidP="00792355">
      <w:pPr>
        <w:spacing w:line="360" w:lineRule="auto"/>
        <w:jc w:val="both"/>
        <w:rPr>
          <w:rFonts w:ascii="Arial" w:hAnsi="Arial" w:cs="Arial"/>
          <w:b/>
          <w:bCs/>
          <w:sz w:val="24"/>
          <w:szCs w:val="24"/>
        </w:rPr>
      </w:pPr>
    </w:p>
    <w:bookmarkEnd w:id="0"/>
    <w:p w:rsidR="00792355" w:rsidRPr="007B0581" w:rsidRDefault="00792355" w:rsidP="00792355">
      <w:pPr>
        <w:contextualSpacing/>
        <w:jc w:val="both"/>
        <w:rPr>
          <w:rFonts w:ascii="Arial" w:hAnsi="Arial" w:cs="Arial"/>
          <w:sz w:val="24"/>
          <w:szCs w:val="24"/>
        </w:rPr>
      </w:pPr>
    </w:p>
    <w:p w:rsidR="00792355" w:rsidRPr="007B0581" w:rsidRDefault="00792355" w:rsidP="0079235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792355" w:rsidRDefault="00792355" w:rsidP="00792355">
      <w:pPr>
        <w:contextualSpacing/>
        <w:jc w:val="both"/>
        <w:rPr>
          <w:rFonts w:ascii="Arial" w:hAnsi="Arial" w:cs="Arial"/>
          <w:b/>
          <w:spacing w:val="-3"/>
          <w:sz w:val="24"/>
          <w:szCs w:val="24"/>
          <w:lang w:val="es-ES_tradnl"/>
        </w:rPr>
      </w:pPr>
    </w:p>
    <w:p w:rsidR="00792355" w:rsidRPr="007B0581" w:rsidRDefault="00792355" w:rsidP="00792355">
      <w:pPr>
        <w:contextualSpacing/>
        <w:jc w:val="both"/>
        <w:rPr>
          <w:rFonts w:ascii="Arial" w:hAnsi="Arial" w:cs="Arial"/>
          <w:b/>
          <w:spacing w:val="-3"/>
          <w:sz w:val="24"/>
          <w:szCs w:val="24"/>
          <w:lang w:val="es-ES_tradnl"/>
        </w:rPr>
      </w:pPr>
    </w:p>
    <w:p w:rsidR="00792355" w:rsidRPr="007B0581" w:rsidRDefault="00792355" w:rsidP="00792355">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quince de diciembre de dos mil veinte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w:t>
      </w:r>
      <w:bookmarkStart w:id="1" w:name="_Hlk83725409"/>
      <w:r>
        <w:rPr>
          <w:rFonts w:ascii="Arial" w:hAnsi="Arial" w:cs="Arial"/>
          <w:sz w:val="24"/>
          <w:szCs w:val="24"/>
        </w:rPr>
        <w:t xml:space="preserve">en </w:t>
      </w:r>
      <w:r w:rsidRPr="007B0581">
        <w:rPr>
          <w:rFonts w:ascii="Arial" w:hAnsi="Arial" w:cs="Arial"/>
          <w:sz w:val="24"/>
          <w:szCs w:val="24"/>
        </w:rPr>
        <w:t>contra de</w:t>
      </w:r>
      <w:r>
        <w:rPr>
          <w:rFonts w:ascii="Arial" w:hAnsi="Arial" w:cs="Arial"/>
          <w:sz w:val="24"/>
          <w:szCs w:val="24"/>
        </w:rPr>
        <w:t xml:space="preserve"> la resolución de veintiséis de octubre de dos mil veinte, emitida en el expediente administrativo </w:t>
      </w:r>
      <w:r>
        <w:rPr>
          <w:rFonts w:cs="Arial"/>
          <w:b/>
          <w:sz w:val="24"/>
          <w:szCs w:val="24"/>
        </w:rPr>
        <w:t>**********</w:t>
      </w:r>
      <w:r>
        <w:rPr>
          <w:rFonts w:cs="Arial"/>
          <w:b/>
          <w:sz w:val="24"/>
          <w:szCs w:val="24"/>
        </w:rPr>
        <w:t xml:space="preserve"> </w:t>
      </w:r>
      <w:r>
        <w:rPr>
          <w:rFonts w:ascii="Arial" w:hAnsi="Arial" w:cs="Arial"/>
          <w:sz w:val="24"/>
          <w:szCs w:val="24"/>
        </w:rPr>
        <w:t>por el Fiscal General del Estado de Oaxaca</w:t>
      </w:r>
      <w:r w:rsidRPr="00CF6BC3">
        <w:rPr>
          <w:rFonts w:ascii="Arial" w:hAnsi="Arial" w:cs="Arial"/>
          <w:sz w:val="24"/>
          <w:szCs w:val="24"/>
        </w:rPr>
        <w:t>.</w:t>
      </w:r>
      <w:r w:rsidRPr="007B0581">
        <w:rPr>
          <w:rFonts w:ascii="Arial" w:hAnsi="Arial" w:cs="Arial"/>
          <w:sz w:val="24"/>
          <w:szCs w:val="24"/>
        </w:rPr>
        <w:t xml:space="preserve"> </w:t>
      </w:r>
    </w:p>
    <w:bookmarkEnd w:id="1"/>
    <w:p w:rsidR="00792355" w:rsidRPr="007B0581" w:rsidRDefault="00792355" w:rsidP="00792355">
      <w:pPr>
        <w:contextualSpacing/>
        <w:jc w:val="both"/>
        <w:rPr>
          <w:rFonts w:ascii="Arial" w:hAnsi="Arial" w:cs="Arial"/>
          <w:sz w:val="24"/>
          <w:szCs w:val="24"/>
        </w:rPr>
      </w:pPr>
    </w:p>
    <w:p w:rsidR="00792355" w:rsidRPr="007B0581" w:rsidRDefault="00792355" w:rsidP="00792355">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quince de febrero de dos mil veintiuno</w:t>
      </w:r>
      <w:r w:rsidRPr="007B0581">
        <w:rPr>
          <w:rFonts w:ascii="Arial" w:hAnsi="Arial" w:cs="Arial"/>
          <w:sz w:val="24"/>
          <w:szCs w:val="24"/>
        </w:rPr>
        <w:t xml:space="preserve">, se admitió a trámite la demanda, ordenándose notificar, emplazar y correr traslado a la autoridad demandada, para que produjera su contestación en los términos de ley. </w:t>
      </w:r>
    </w:p>
    <w:p w:rsidR="00792355" w:rsidRPr="007B0581" w:rsidRDefault="00792355" w:rsidP="00792355">
      <w:pPr>
        <w:pStyle w:val="corte4fondo"/>
        <w:spacing w:line="240" w:lineRule="auto"/>
        <w:ind w:right="51" w:firstLine="567"/>
        <w:contextualSpacing/>
        <w:rPr>
          <w:rFonts w:cs="Arial"/>
          <w:bCs/>
          <w:sz w:val="24"/>
          <w:szCs w:val="24"/>
        </w:rPr>
      </w:pPr>
      <w:r w:rsidRPr="007B0581">
        <w:rPr>
          <w:rFonts w:cs="Arial"/>
          <w:bCs/>
          <w:sz w:val="24"/>
          <w:szCs w:val="24"/>
        </w:rPr>
        <w:tab/>
      </w:r>
    </w:p>
    <w:p w:rsidR="00792355" w:rsidRDefault="00792355" w:rsidP="00792355">
      <w:pPr>
        <w:pStyle w:val="corte4fondo"/>
        <w:ind w:right="51" w:firstLine="567"/>
        <w:rPr>
          <w:rFonts w:cs="Arial"/>
          <w:bCs/>
          <w:sz w:val="24"/>
          <w:szCs w:val="24"/>
        </w:rPr>
      </w:pPr>
      <w:r w:rsidRPr="007B0581">
        <w:rPr>
          <w:rFonts w:cs="Arial"/>
          <w:b/>
          <w:bCs/>
          <w:sz w:val="24"/>
          <w:szCs w:val="24"/>
        </w:rPr>
        <w:t>TERCERO</w:t>
      </w:r>
      <w:r w:rsidRPr="007B0581">
        <w:rPr>
          <w:rFonts w:cs="Arial"/>
          <w:bCs/>
          <w:sz w:val="24"/>
          <w:szCs w:val="24"/>
        </w:rPr>
        <w:t xml:space="preserve">. - Por acuerdo de </w:t>
      </w:r>
      <w:r>
        <w:rPr>
          <w:rFonts w:cs="Arial"/>
          <w:bCs/>
          <w:sz w:val="24"/>
          <w:szCs w:val="24"/>
        </w:rPr>
        <w:t>veinticuatro de mayo de dos mil veintiuno</w:t>
      </w:r>
      <w:r w:rsidRPr="007B0581">
        <w:rPr>
          <w:rFonts w:cs="Arial"/>
          <w:bCs/>
          <w:sz w:val="24"/>
          <w:szCs w:val="24"/>
        </w:rPr>
        <w:t>, se</w:t>
      </w:r>
      <w:r>
        <w:rPr>
          <w:rFonts w:cs="Arial"/>
          <w:bCs/>
          <w:sz w:val="24"/>
          <w:szCs w:val="24"/>
        </w:rPr>
        <w:t xml:space="preserve"> le</w:t>
      </w:r>
      <w:r w:rsidRPr="007B0581">
        <w:rPr>
          <w:rFonts w:cs="Arial"/>
          <w:bCs/>
          <w:sz w:val="24"/>
          <w:szCs w:val="24"/>
        </w:rPr>
        <w:t xml:space="preserve"> tuvo</w:t>
      </w:r>
      <w:r>
        <w:rPr>
          <w:rFonts w:cs="Arial"/>
          <w:bCs/>
          <w:sz w:val="24"/>
          <w:szCs w:val="24"/>
        </w:rPr>
        <w:t xml:space="preserve"> a la autoridad demandada Fiscal General del Estado de Oaxaca por precluído su derecho a contestar la demanda, en virtud que no lo hizo dentro del plazo concedido mediante proveído de quince de febrero de dos mil veintiuno; asimismo, se señalaron las ONCE HORAS del día TREINTA Y UNO DE AGOSTO DE DOS MIL VEINTIUNO, para la celebración de la audiencia de final; así también, se hizo del conocimiento de las partes </w:t>
      </w:r>
      <w:r>
        <w:rPr>
          <w:rFonts w:cs="Arial"/>
          <w:bCs/>
          <w:spacing w:val="-3"/>
          <w:sz w:val="24"/>
          <w:szCs w:val="24"/>
        </w:rPr>
        <w:t xml:space="preserve">la incorporación y adscripción de la Magistrada VIRGINIA HERNÁNDEZ HERNÁNDEZ, como titular de esta Quinta Sala Unitaria de </w:t>
      </w:r>
      <w:r>
        <w:rPr>
          <w:rFonts w:cs="Arial"/>
          <w:bCs/>
          <w:spacing w:val="-3"/>
          <w:sz w:val="24"/>
          <w:szCs w:val="24"/>
        </w:rPr>
        <w:lastRenderedPageBreak/>
        <w:t>Primera Instancia de este órgano jurisdiccional, para que dentro del plazo de tres días hábiles manifestaran lo que a su derecho conviniera.</w:t>
      </w:r>
      <w:r>
        <w:rPr>
          <w:rFonts w:cs="Arial"/>
          <w:bCs/>
          <w:sz w:val="24"/>
          <w:szCs w:val="24"/>
        </w:rPr>
        <w:t xml:space="preserve">  </w:t>
      </w:r>
    </w:p>
    <w:p w:rsidR="00792355" w:rsidRDefault="00792355" w:rsidP="00792355">
      <w:pPr>
        <w:pStyle w:val="corte4fondo"/>
        <w:ind w:right="51" w:firstLine="567"/>
        <w:rPr>
          <w:rFonts w:cs="Arial"/>
          <w:bCs/>
          <w:sz w:val="24"/>
          <w:szCs w:val="24"/>
        </w:rPr>
      </w:pPr>
      <w:r>
        <w:rPr>
          <w:rFonts w:cs="Arial"/>
          <w:bCs/>
          <w:sz w:val="24"/>
          <w:szCs w:val="24"/>
        </w:rPr>
        <w:t xml:space="preserve"> </w:t>
      </w:r>
    </w:p>
    <w:p w:rsidR="00792355" w:rsidRDefault="00792355" w:rsidP="00792355">
      <w:pPr>
        <w:pStyle w:val="corte4fondo"/>
        <w:ind w:right="51" w:firstLine="567"/>
        <w:rPr>
          <w:rFonts w:cs="Arial"/>
          <w:sz w:val="24"/>
          <w:szCs w:val="24"/>
        </w:rPr>
      </w:pPr>
      <w:r w:rsidRPr="00481042">
        <w:rPr>
          <w:rFonts w:cs="Arial"/>
          <w:b/>
          <w:bCs/>
          <w:sz w:val="24"/>
          <w:szCs w:val="24"/>
        </w:rPr>
        <w:t>CUA</w:t>
      </w:r>
      <w:r w:rsidRPr="007B33B4">
        <w:rPr>
          <w:rFonts w:cs="Arial"/>
          <w:b/>
          <w:bCs/>
          <w:sz w:val="24"/>
          <w:szCs w:val="24"/>
        </w:rPr>
        <w:t xml:space="preserve">RTO. </w:t>
      </w:r>
      <w:r>
        <w:rPr>
          <w:rFonts w:cs="Arial"/>
          <w:sz w:val="24"/>
          <w:szCs w:val="24"/>
        </w:rPr>
        <w:t xml:space="preserve">- </w:t>
      </w:r>
      <w:r w:rsidRPr="00C3273C">
        <w:rPr>
          <w:rFonts w:cs="Arial"/>
          <w:sz w:val="24"/>
          <w:szCs w:val="24"/>
        </w:rPr>
        <w:t>Por</w:t>
      </w:r>
      <w:r>
        <w:rPr>
          <w:rFonts w:cs="Arial"/>
          <w:sz w:val="24"/>
          <w:szCs w:val="24"/>
        </w:rPr>
        <w:t xml:space="preserve"> acuerdo de veinticuatro de septiembre de dos mil veintiuno, se hizo del conocimiento de las partes que no fue posible llevar a cabo la audiencia final señalada para el treinta y uno de agosto de dos mil veintiuno, en virtud que fueron suspendidas las actividades de este órgano jurisdiccional, como medida sanitaria necesaria para limitar la propagación y contagio del virus SARS-COV2 (COVID 19), asimismo, se señalaron las ONCE HORAS del día VEINTINUEVE DE OCTUBRE DE DOS MIL VEINTIUNO, para la celebración de la audiencia final.</w:t>
      </w:r>
    </w:p>
    <w:p w:rsidR="00792355" w:rsidRDefault="00792355" w:rsidP="00792355">
      <w:pPr>
        <w:pStyle w:val="corte4fondo"/>
        <w:ind w:right="51" w:firstLine="567"/>
        <w:rPr>
          <w:rFonts w:cs="Arial"/>
          <w:sz w:val="24"/>
          <w:szCs w:val="24"/>
        </w:rPr>
      </w:pPr>
    </w:p>
    <w:p w:rsidR="00792355" w:rsidRPr="007B0581" w:rsidRDefault="00792355" w:rsidP="00792355">
      <w:pPr>
        <w:pStyle w:val="corte4fondo"/>
        <w:ind w:right="51" w:firstLine="567"/>
        <w:rPr>
          <w:rFonts w:cs="Arial"/>
          <w:b/>
          <w:bCs/>
          <w:sz w:val="24"/>
          <w:szCs w:val="24"/>
        </w:rPr>
      </w:pPr>
      <w:r w:rsidRPr="00B51047">
        <w:rPr>
          <w:rFonts w:cs="Arial"/>
          <w:b/>
          <w:bCs/>
          <w:sz w:val="24"/>
          <w:szCs w:val="24"/>
        </w:rPr>
        <w:t>QUINTO.</w:t>
      </w:r>
      <w:r w:rsidRPr="00B51047">
        <w:rPr>
          <w:rFonts w:cs="Arial"/>
          <w:sz w:val="24"/>
          <w:szCs w:val="24"/>
        </w:rPr>
        <w:t xml:space="preserve"> - </w:t>
      </w:r>
      <w:r w:rsidRPr="00B51047">
        <w:rPr>
          <w:rFonts w:cs="Arial"/>
          <w:sz w:val="24"/>
          <w:szCs w:val="24"/>
          <w:lang w:val="es-ES"/>
        </w:rPr>
        <w:t>El</w:t>
      </w:r>
      <w:r w:rsidRPr="007B33B4">
        <w:rPr>
          <w:rFonts w:cs="Arial"/>
          <w:sz w:val="24"/>
          <w:szCs w:val="24"/>
          <w:lang w:val="es-ES"/>
        </w:rPr>
        <w:t xml:space="preserve"> </w:t>
      </w:r>
      <w:r>
        <w:rPr>
          <w:rFonts w:cs="Arial"/>
          <w:sz w:val="24"/>
          <w:szCs w:val="24"/>
          <w:lang w:val="es-ES"/>
        </w:rPr>
        <w:t>veintinueve de octubre de dos mil veintiuno</w:t>
      </w:r>
      <w:r w:rsidRPr="007B33B4">
        <w:rPr>
          <w:rFonts w:cs="Arial"/>
          <w:bCs/>
          <w:sz w:val="24"/>
          <w:szCs w:val="24"/>
          <w:lang w:val="es-ES"/>
        </w:rPr>
        <w:t xml:space="preserve">, se llevó a cabo la audiencia final, </w:t>
      </w:r>
      <w:r w:rsidRPr="007B33B4">
        <w:rPr>
          <w:rFonts w:cs="Arial"/>
          <w:sz w:val="24"/>
          <w:szCs w:val="24"/>
          <w:lang w:val="es-ES"/>
        </w:rPr>
        <w:t>sin la asistencia de las partes, ni persona alguna que legalmente las representara</w:t>
      </w:r>
      <w:r w:rsidRPr="007B33B4">
        <w:rPr>
          <w:rFonts w:cs="Arial"/>
          <w:bCs/>
          <w:sz w:val="24"/>
          <w:szCs w:val="24"/>
          <w:lang w:val="es-ES"/>
        </w:rPr>
        <w:t xml:space="preserve">, </w:t>
      </w:r>
      <w:r w:rsidRPr="007B33B4">
        <w:rPr>
          <w:rFonts w:cs="Arial"/>
          <w:sz w:val="24"/>
          <w:szCs w:val="24"/>
        </w:rPr>
        <w:t xml:space="preserve">asentando la Secretaria de Acuerdos de esta Sala, que </w:t>
      </w:r>
      <w:r>
        <w:rPr>
          <w:rFonts w:cs="Arial"/>
          <w:sz w:val="24"/>
          <w:szCs w:val="24"/>
        </w:rPr>
        <w:t>el actor formuló</w:t>
      </w:r>
      <w:r w:rsidRPr="007B33B4">
        <w:rPr>
          <w:rFonts w:cs="Arial"/>
          <w:sz w:val="24"/>
          <w:szCs w:val="24"/>
        </w:rPr>
        <w:t xml:space="preserve"> alegatos</w:t>
      </w:r>
      <w:r>
        <w:rPr>
          <w:rFonts w:cs="Arial"/>
          <w:sz w:val="24"/>
          <w:szCs w:val="24"/>
        </w:rPr>
        <w:t xml:space="preserve"> por escrito por conducto de su autorizada legal</w:t>
      </w:r>
      <w:r w:rsidRPr="007B33B4">
        <w:rPr>
          <w:rFonts w:cs="Arial"/>
          <w:sz w:val="24"/>
          <w:szCs w:val="24"/>
        </w:rPr>
        <w:t>, por lo que se ordenó citar a las partes a oír sentencia dentro del término de ley</w:t>
      </w:r>
      <w:r>
        <w:rPr>
          <w:rFonts w:cs="Arial"/>
          <w:sz w:val="24"/>
          <w:szCs w:val="24"/>
        </w:rPr>
        <w:t>.</w:t>
      </w:r>
    </w:p>
    <w:p w:rsidR="00792355" w:rsidRDefault="00792355" w:rsidP="00792355">
      <w:pPr>
        <w:pStyle w:val="corte4fondo"/>
        <w:ind w:right="51" w:firstLine="567"/>
        <w:rPr>
          <w:rFonts w:cs="Arial"/>
          <w:b/>
          <w:spacing w:val="-3"/>
          <w:sz w:val="24"/>
          <w:szCs w:val="24"/>
        </w:rPr>
      </w:pPr>
    </w:p>
    <w:p w:rsidR="00792355" w:rsidRDefault="00792355" w:rsidP="00792355">
      <w:pPr>
        <w:pStyle w:val="corte4fondo"/>
        <w:ind w:right="51" w:firstLine="567"/>
        <w:rPr>
          <w:rFonts w:cs="Arial"/>
          <w:bCs/>
          <w:spacing w:val="-3"/>
          <w:sz w:val="24"/>
          <w:szCs w:val="24"/>
        </w:rPr>
      </w:pPr>
    </w:p>
    <w:p w:rsidR="00792355" w:rsidRDefault="00792355" w:rsidP="00792355">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792355" w:rsidRPr="007B0581" w:rsidRDefault="00792355" w:rsidP="00792355">
      <w:pPr>
        <w:pStyle w:val="corte4fondo"/>
        <w:ind w:right="51" w:firstLine="567"/>
        <w:jc w:val="center"/>
        <w:rPr>
          <w:rFonts w:cs="Arial"/>
          <w:b/>
          <w:spacing w:val="-3"/>
          <w:sz w:val="24"/>
          <w:szCs w:val="24"/>
        </w:rPr>
      </w:pPr>
    </w:p>
    <w:p w:rsidR="00792355" w:rsidRPr="007B0581" w:rsidRDefault="00792355" w:rsidP="00792355">
      <w:pPr>
        <w:pStyle w:val="corte4fondo"/>
        <w:spacing w:line="240" w:lineRule="auto"/>
        <w:ind w:right="51" w:firstLine="567"/>
        <w:contextualSpacing/>
        <w:rPr>
          <w:rFonts w:cs="Arial"/>
          <w:bCs/>
          <w:sz w:val="24"/>
          <w:szCs w:val="24"/>
        </w:rPr>
      </w:pPr>
    </w:p>
    <w:p w:rsidR="00792355" w:rsidRPr="007B0581" w:rsidRDefault="00792355" w:rsidP="00792355">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r>
      <w:r w:rsidRPr="00F72EAE">
        <w:rPr>
          <w:rFonts w:ascii="Arial" w:hAnsi="Arial" w:cs="Arial"/>
          <w:b/>
          <w:sz w:val="24"/>
          <w:szCs w:val="24"/>
        </w:rPr>
        <w:t>PRIMERO</w:t>
      </w:r>
      <w:r w:rsidRPr="007B0581">
        <w:rPr>
          <w:rFonts w:ascii="Arial" w:hAnsi="Arial" w:cs="Arial"/>
          <w:b/>
          <w:sz w:val="24"/>
          <w:szCs w:val="24"/>
        </w:rPr>
        <w:t xml:space="preserve">.-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l Fiscal General del Estado</w:t>
      </w:r>
      <w:r w:rsidRPr="007B0581">
        <w:rPr>
          <w:rFonts w:ascii="Arial" w:hAnsi="Arial" w:cs="Arial"/>
          <w:sz w:val="24"/>
          <w:szCs w:val="24"/>
        </w:rPr>
        <w:t>, con fundamento en el artículo</w:t>
      </w:r>
      <w:r>
        <w:rPr>
          <w:rFonts w:ascii="Arial" w:hAnsi="Arial" w:cs="Arial"/>
          <w:sz w:val="24"/>
          <w:szCs w:val="24"/>
        </w:rPr>
        <w:t xml:space="preserve"> </w:t>
      </w:r>
      <w:r w:rsidRPr="007B0581">
        <w:rPr>
          <w:rFonts w:ascii="Arial" w:hAnsi="Arial" w:cs="Arial"/>
          <w:sz w:val="24"/>
          <w:szCs w:val="24"/>
        </w:rPr>
        <w:t>114 QUA</w:t>
      </w:r>
      <w:r>
        <w:rPr>
          <w:rFonts w:ascii="Arial" w:hAnsi="Arial" w:cs="Arial"/>
          <w:sz w:val="24"/>
          <w:szCs w:val="24"/>
        </w:rPr>
        <w:t>TER</w:t>
      </w:r>
      <w:r w:rsidRPr="007B0581">
        <w:rPr>
          <w:rFonts w:ascii="Arial" w:hAnsi="Arial" w:cs="Arial"/>
          <w:sz w:val="24"/>
          <w:szCs w:val="24"/>
        </w:rPr>
        <w:t xml:space="preserve"> de la Constitución Política del Estado Libre y Soberano de Oaxaca;</w:t>
      </w:r>
      <w:r>
        <w:rPr>
          <w:rFonts w:ascii="Arial" w:hAnsi="Arial" w:cs="Arial"/>
          <w:sz w:val="24"/>
          <w:szCs w:val="24"/>
        </w:rPr>
        <w:t xml:space="preserve"> 119,</w:t>
      </w:r>
      <w:r w:rsidRPr="007B0581">
        <w:rPr>
          <w:rFonts w:ascii="Arial" w:hAnsi="Arial" w:cs="Arial"/>
          <w:sz w:val="24"/>
          <w:szCs w:val="24"/>
        </w:rPr>
        <w:t xml:space="preserve"> 120, fracción I</w:t>
      </w:r>
      <w:r>
        <w:rPr>
          <w:rFonts w:ascii="Arial" w:hAnsi="Arial" w:cs="Arial"/>
          <w:sz w:val="24"/>
          <w:szCs w:val="24"/>
        </w:rPr>
        <w:t xml:space="preserve">, </w:t>
      </w:r>
      <w:r w:rsidRPr="00F72EAE">
        <w:rPr>
          <w:rFonts w:ascii="Arial" w:hAnsi="Arial" w:cs="Arial"/>
          <w:sz w:val="24"/>
          <w:szCs w:val="24"/>
        </w:rPr>
        <w:t>123</w:t>
      </w:r>
      <w:r>
        <w:rPr>
          <w:rFonts w:ascii="Arial" w:hAnsi="Arial" w:cs="Arial"/>
          <w:sz w:val="24"/>
          <w:szCs w:val="24"/>
        </w:rPr>
        <w:t>, 1</w:t>
      </w:r>
      <w:r w:rsidRPr="00F72EAE">
        <w:rPr>
          <w:rFonts w:ascii="Arial" w:hAnsi="Arial" w:cs="Arial"/>
          <w:sz w:val="24"/>
          <w:szCs w:val="24"/>
        </w:rPr>
        <w:t>2</w:t>
      </w:r>
      <w:r>
        <w:rPr>
          <w:rFonts w:ascii="Arial" w:hAnsi="Arial" w:cs="Arial"/>
          <w:sz w:val="24"/>
          <w:szCs w:val="24"/>
        </w:rPr>
        <w:t>4</w:t>
      </w:r>
      <w:r w:rsidRPr="007B0581">
        <w:rPr>
          <w:rFonts w:ascii="Arial" w:hAnsi="Arial" w:cs="Arial"/>
          <w:sz w:val="24"/>
          <w:szCs w:val="24"/>
        </w:rPr>
        <w:t xml:space="preserve">, </w:t>
      </w:r>
      <w:r w:rsidRPr="00771CDD">
        <w:rPr>
          <w:rFonts w:ascii="Arial" w:hAnsi="Arial" w:cs="Arial"/>
          <w:sz w:val="24"/>
          <w:szCs w:val="24"/>
        </w:rPr>
        <w:t>132 fracciones</w:t>
      </w:r>
      <w:r w:rsidRPr="007B0581">
        <w:rPr>
          <w:rFonts w:ascii="Arial" w:hAnsi="Arial" w:cs="Arial"/>
          <w:sz w:val="24"/>
          <w:szCs w:val="24"/>
        </w:rPr>
        <w:t xml:space="preserve"> I y II, 133 </w:t>
      </w:r>
      <w:r w:rsidRPr="00CF6BC3">
        <w:rPr>
          <w:rFonts w:ascii="Arial" w:hAnsi="Arial" w:cs="Arial"/>
          <w:sz w:val="24"/>
          <w:szCs w:val="24"/>
        </w:rPr>
        <w:t>fracción III,</w:t>
      </w:r>
      <w:r w:rsidRPr="007B0581">
        <w:rPr>
          <w:rFonts w:ascii="Arial" w:hAnsi="Arial" w:cs="Arial"/>
          <w:sz w:val="24"/>
          <w:szCs w:val="24"/>
        </w:rPr>
        <w:t xml:space="preserve"> 146 y 147 de la Ley de Procedimiento y Justicia Administrativa para el Estado de Oaxaca. </w:t>
      </w:r>
    </w:p>
    <w:p w:rsidR="00792355" w:rsidRPr="007B0581" w:rsidRDefault="00792355" w:rsidP="00792355">
      <w:pPr>
        <w:spacing w:line="360" w:lineRule="auto"/>
        <w:jc w:val="both"/>
        <w:rPr>
          <w:rFonts w:ascii="Arial" w:hAnsi="Arial" w:cs="Arial"/>
          <w:sz w:val="24"/>
          <w:szCs w:val="24"/>
        </w:rPr>
      </w:pPr>
      <w:r w:rsidRPr="007B0581">
        <w:rPr>
          <w:rFonts w:ascii="Arial" w:hAnsi="Arial" w:cs="Arial"/>
          <w:sz w:val="24"/>
          <w:szCs w:val="24"/>
        </w:rPr>
        <w:t xml:space="preserve"> </w:t>
      </w:r>
    </w:p>
    <w:p w:rsidR="00792355" w:rsidRDefault="00792355" w:rsidP="00792355">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La personalidad jurídica de la parte</w:t>
      </w:r>
      <w:r>
        <w:rPr>
          <w:rFonts w:ascii="Arial" w:hAnsi="Arial" w:cs="Arial"/>
          <w:sz w:val="24"/>
          <w:szCs w:val="24"/>
        </w:rPr>
        <w:t xml:space="preserve"> actora</w:t>
      </w:r>
      <w:r w:rsidRPr="007B0581">
        <w:rPr>
          <w:rFonts w:ascii="Arial" w:hAnsi="Arial" w:cs="Arial"/>
          <w:sz w:val="24"/>
          <w:szCs w:val="24"/>
        </w:rPr>
        <w:t xml:space="preserve"> quedó acreditada en autos, en virtud que promueve por su propio derecho</w:t>
      </w:r>
      <w:r>
        <w:rPr>
          <w:rFonts w:ascii="Arial" w:hAnsi="Arial" w:cs="Arial"/>
          <w:sz w:val="24"/>
          <w:szCs w:val="24"/>
        </w:rPr>
        <w:t>, no así la de la autoridad demandada</w:t>
      </w:r>
      <w:r w:rsidRPr="007B0581">
        <w:rPr>
          <w:rFonts w:ascii="Arial" w:hAnsi="Arial" w:cs="Arial"/>
          <w:snapToGrid w:val="0"/>
          <w:sz w:val="24"/>
          <w:szCs w:val="24"/>
        </w:rPr>
        <w:t xml:space="preserve">. </w:t>
      </w:r>
      <w:r w:rsidRPr="007B0581">
        <w:rPr>
          <w:rFonts w:ascii="Arial" w:hAnsi="Arial" w:cs="Arial"/>
          <w:sz w:val="24"/>
          <w:szCs w:val="24"/>
        </w:rPr>
        <w:t xml:space="preserve"> </w:t>
      </w:r>
    </w:p>
    <w:p w:rsidR="00792355" w:rsidRPr="007B0581" w:rsidRDefault="00792355" w:rsidP="00792355">
      <w:pPr>
        <w:spacing w:line="360" w:lineRule="auto"/>
        <w:ind w:right="51" w:firstLine="709"/>
        <w:jc w:val="both"/>
        <w:rPr>
          <w:rFonts w:ascii="Arial" w:hAnsi="Arial" w:cs="Arial"/>
          <w:sz w:val="24"/>
          <w:szCs w:val="24"/>
        </w:rPr>
      </w:pPr>
    </w:p>
    <w:p w:rsidR="00792355" w:rsidRDefault="00792355" w:rsidP="00792355">
      <w:pPr>
        <w:autoSpaceDE w:val="0"/>
        <w:autoSpaceDN w:val="0"/>
        <w:adjustRightInd w:val="0"/>
        <w:spacing w:line="360" w:lineRule="auto"/>
        <w:jc w:val="both"/>
        <w:rPr>
          <w:rFonts w:ascii="Arial" w:hAnsi="Arial" w:cs="Arial"/>
          <w:sz w:val="24"/>
          <w:szCs w:val="24"/>
        </w:rPr>
      </w:pPr>
      <w:r w:rsidRPr="007B0581">
        <w:rPr>
          <w:rFonts w:cs="Arial"/>
          <w:sz w:val="24"/>
          <w:szCs w:val="24"/>
        </w:rPr>
        <w:tab/>
      </w:r>
      <w:r w:rsidRPr="00D10895">
        <w:rPr>
          <w:rFonts w:ascii="Arial" w:hAnsi="Arial" w:cs="Arial"/>
          <w:b/>
          <w:sz w:val="24"/>
          <w:szCs w:val="24"/>
        </w:rPr>
        <w:t>TERCE</w:t>
      </w:r>
      <w:r w:rsidRPr="002E79F8">
        <w:rPr>
          <w:rFonts w:ascii="Arial" w:hAnsi="Arial" w:cs="Arial"/>
          <w:b/>
          <w:sz w:val="24"/>
          <w:szCs w:val="24"/>
        </w:rPr>
        <w:t>RO. -</w:t>
      </w:r>
      <w:r w:rsidRPr="002E79F8">
        <w:rPr>
          <w:rFonts w:ascii="Arial" w:hAnsi="Arial" w:cs="Arial"/>
          <w:sz w:val="24"/>
          <w:szCs w:val="24"/>
        </w:rPr>
        <w:t xml:space="preserve"> </w:t>
      </w:r>
      <w:r w:rsidRPr="00A142EC">
        <w:rPr>
          <w:rFonts w:ascii="Arial" w:hAnsi="Arial" w:cs="Arial"/>
          <w:sz w:val="24"/>
          <w:szCs w:val="24"/>
        </w:rPr>
        <w:t xml:space="preserve">Previo al estudio de fondo del asunto, y por cuestión de método y técnica judicial, esta Sala procede a analizar la causal de improcedencia invocada por </w:t>
      </w:r>
      <w:r>
        <w:rPr>
          <w:rFonts w:ascii="Arial" w:hAnsi="Arial" w:cs="Arial"/>
          <w:sz w:val="24"/>
          <w:szCs w:val="24"/>
        </w:rPr>
        <w:t>el actor</w:t>
      </w:r>
      <w:r w:rsidRPr="00A142EC">
        <w:rPr>
          <w:rFonts w:ascii="Arial" w:hAnsi="Arial" w:cs="Arial"/>
          <w:sz w:val="24"/>
          <w:szCs w:val="24"/>
        </w:rPr>
        <w:t>,</w:t>
      </w:r>
      <w:r>
        <w:rPr>
          <w:rFonts w:ascii="Arial" w:hAnsi="Arial" w:cs="Arial"/>
          <w:sz w:val="24"/>
          <w:szCs w:val="24"/>
        </w:rPr>
        <w:t xml:space="preserve"> consistente en falta de competencia de la autoridad demandada para conocer y resolver el procedimiento administrativo de responsabilidad iniciado en su contra.</w:t>
      </w:r>
    </w:p>
    <w:p w:rsidR="00792355" w:rsidRDefault="00792355" w:rsidP="00792355">
      <w:pPr>
        <w:autoSpaceDE w:val="0"/>
        <w:autoSpaceDN w:val="0"/>
        <w:adjustRightInd w:val="0"/>
        <w:spacing w:line="360" w:lineRule="auto"/>
        <w:ind w:firstLine="708"/>
        <w:jc w:val="both"/>
        <w:rPr>
          <w:rFonts w:ascii="Arial" w:hAnsi="Arial" w:cs="Arial"/>
          <w:sz w:val="24"/>
          <w:szCs w:val="24"/>
        </w:rPr>
      </w:pPr>
      <w:r>
        <w:rPr>
          <w:rFonts w:ascii="Arial" w:hAnsi="Arial" w:cs="Arial"/>
          <w:sz w:val="24"/>
          <w:szCs w:val="24"/>
        </w:rPr>
        <w:lastRenderedPageBreak/>
        <w:t xml:space="preserve">En atención a lo anterior se advierte que la autoridad demandada Fiscal General del Estado de Oaxaca, fundó su competencia para emitir el acto impugnado en los artículos 21 y 123 apartado B, fracción XIII, Segundo Párrafo de la Constitución Política de los Estados Unidos Mexicanos, 3, 6 y 20, párrafo primero en relación con el sexto transitorio segundo párrafo de la Ley Orgánica de la Fiscalía General del Estado, 3, párrafo primero y segundo y 5, fracción I del Reglamento de la Ley Orgánica de la Fiscalía General del Estado, que establecen lo siguiente: </w:t>
      </w:r>
    </w:p>
    <w:p w:rsidR="00792355" w:rsidRDefault="00792355" w:rsidP="00792355">
      <w:pPr>
        <w:pStyle w:val="Sangradetextonormal2"/>
        <w:tabs>
          <w:tab w:val="left" w:pos="2041"/>
        </w:tabs>
        <w:spacing w:line="360" w:lineRule="auto"/>
        <w:ind w:right="51" w:firstLine="0"/>
        <w:jc w:val="both"/>
        <w:rPr>
          <w:rFonts w:ascii="Arial" w:hAnsi="Arial" w:cs="Arial"/>
          <w:sz w:val="24"/>
          <w:szCs w:val="24"/>
        </w:rPr>
      </w:pPr>
    </w:p>
    <w:p w:rsidR="00792355" w:rsidRDefault="00792355" w:rsidP="00792355">
      <w:pPr>
        <w:pStyle w:val="Sangradetextonormal2"/>
        <w:tabs>
          <w:tab w:val="left" w:pos="2041"/>
        </w:tabs>
        <w:spacing w:line="360" w:lineRule="auto"/>
        <w:ind w:right="51" w:firstLine="0"/>
        <w:jc w:val="both"/>
        <w:rPr>
          <w:rFonts w:ascii="Arial" w:hAnsi="Arial" w:cs="Arial"/>
          <w:sz w:val="24"/>
          <w:szCs w:val="24"/>
        </w:rPr>
      </w:pPr>
      <w:r>
        <w:rPr>
          <w:rFonts w:ascii="Arial" w:hAnsi="Arial" w:cs="Arial"/>
          <w:sz w:val="24"/>
          <w:szCs w:val="24"/>
        </w:rPr>
        <w:t>Ley Orgánica de la Fiscalía General del Estado.</w:t>
      </w:r>
    </w:p>
    <w:p w:rsidR="00792355" w:rsidRDefault="00792355" w:rsidP="00792355">
      <w:pPr>
        <w:pStyle w:val="Sangradetextonormal2"/>
        <w:tabs>
          <w:tab w:val="left" w:pos="2041"/>
        </w:tabs>
        <w:spacing w:line="360" w:lineRule="auto"/>
        <w:ind w:right="51" w:firstLine="0"/>
        <w:jc w:val="both"/>
        <w:rPr>
          <w:rFonts w:ascii="Arial" w:hAnsi="Arial" w:cs="Arial"/>
          <w:sz w:val="24"/>
          <w:szCs w:val="24"/>
        </w:rPr>
      </w:pPr>
    </w:p>
    <w:p w:rsidR="00792355" w:rsidRDefault="00792355" w:rsidP="00792355">
      <w:pPr>
        <w:pStyle w:val="Sangradetextonormal2"/>
        <w:tabs>
          <w:tab w:val="left" w:pos="567"/>
        </w:tabs>
        <w:spacing w:line="360" w:lineRule="auto"/>
        <w:ind w:right="51" w:firstLine="0"/>
        <w:jc w:val="both"/>
        <w:rPr>
          <w:rFonts w:ascii="Arial" w:hAnsi="Arial" w:cs="Arial"/>
          <w:i/>
          <w:sz w:val="24"/>
          <w:szCs w:val="24"/>
        </w:rPr>
      </w:pPr>
      <w:r w:rsidRPr="00FE781A">
        <w:rPr>
          <w:rFonts w:ascii="Arial" w:hAnsi="Arial" w:cs="Arial"/>
          <w:i/>
          <w:sz w:val="24"/>
          <w:szCs w:val="24"/>
        </w:rPr>
        <w:t xml:space="preserve">“Artículo 3. La Fiscalía General es la institución en la cual reside el Ministerio Público, dotada de autonomía constitucional, administrativa, presupuestal, financiera y operativa con personalidad jurídica y patrimonio propios, determinando sus prioridades de acuerdo con sus requerimientos y necesidades; ejercerá sus facultades respondiendo a la satisfacción del interés público. </w:t>
      </w:r>
    </w:p>
    <w:p w:rsidR="00792355" w:rsidRPr="00FE781A" w:rsidRDefault="00792355" w:rsidP="00792355">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t>El Ministerio Público es el órgano público autónomo, único e indivisible, con independencia técnica, que ejerce sus atribuciones, facultades y funciones con pleno respeto a los derechos humanos y se rige por los principios de buena fe, autonomía, certeza, legalidad, objetividad, pluriculturalidad, imparcialidad, eficacia, honradez y profesionalismo; ejerce la dirección de la investigación y persecución de los delitos del orden común ante los tribunales y, para el efecto, solicitará medidas cautelares; buscará y presentará datos y elementos de prueba que acrediten la participación de los imputados en los hechos que las leyes señalen como delito; dirigirá las actuaciones de las policías; procurará que los juicios en materia penal se sigan con regularidad para que la impartición de justicia sea pronta y expedita; pedirá la imposición de las penas; e intervendrá en todos los asuntos que la ley determine. El Ministerio Público tiene a su cargo ejercer la representación y defensa de los intereses de la sociedad en general y, de conformidad con las disposiciones aplicables, de la víctima u ofendido del delito.</w:t>
      </w:r>
    </w:p>
    <w:p w:rsidR="00792355" w:rsidRDefault="00792355" w:rsidP="00792355">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t>Para la investigación de los delitos, competencia del Ministerio Público, las policías actuarán en los términos señalados en el artículo 21 de la Constitución Política de los Estados Unidos Mexicanos, bajo su conducción y mando.</w:t>
      </w:r>
    </w:p>
    <w:p w:rsidR="00792355" w:rsidRPr="00FE781A" w:rsidRDefault="00792355" w:rsidP="00792355">
      <w:pPr>
        <w:pStyle w:val="Sangradetextonormal2"/>
        <w:tabs>
          <w:tab w:val="left" w:pos="2041"/>
        </w:tabs>
        <w:spacing w:line="360" w:lineRule="auto"/>
        <w:ind w:right="51"/>
        <w:jc w:val="both"/>
        <w:rPr>
          <w:rFonts w:ascii="Arial" w:hAnsi="Arial" w:cs="Arial"/>
          <w:i/>
          <w:sz w:val="24"/>
          <w:szCs w:val="24"/>
        </w:rPr>
      </w:pPr>
    </w:p>
    <w:p w:rsidR="00792355" w:rsidRPr="00FE781A" w:rsidRDefault="00792355" w:rsidP="00792355">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t>Artículo 6. La titularidad de la Fiscalía General del Estado corresponde al Fiscal General, quien preside la Institución del Ministerio Público y le compete el ejercicio originario de las facultades, atribuciones y funciones que le otorgan a la Fiscalía General y al Ministerio Público, la Constitución Federal, la Constitución Estatal, esta Ley Orgánica y las demás disposiciones aplicables.</w:t>
      </w:r>
    </w:p>
    <w:p w:rsidR="00792355" w:rsidRPr="00FE781A" w:rsidRDefault="00792355" w:rsidP="00792355">
      <w:pPr>
        <w:pStyle w:val="Sangradetextonormal2"/>
        <w:tabs>
          <w:tab w:val="left" w:pos="2041"/>
        </w:tabs>
        <w:spacing w:line="360" w:lineRule="auto"/>
        <w:ind w:right="51"/>
        <w:jc w:val="both"/>
        <w:rPr>
          <w:rFonts w:ascii="Arial" w:hAnsi="Arial" w:cs="Arial"/>
          <w:i/>
          <w:sz w:val="24"/>
          <w:szCs w:val="24"/>
        </w:rPr>
      </w:pPr>
    </w:p>
    <w:p w:rsidR="00792355" w:rsidRDefault="00792355" w:rsidP="00792355">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lastRenderedPageBreak/>
        <w:t>SEXTO TRANSITORIO…Los asuntos, procedimientos penales y de responsabilidad administrativa, que se encuentren en trámite ante la Procuraduría General de Justicia del Estado de Oaxaca, se substanciarán y resolverán ante la Fiscalía General del Estado de Oaxaca, de conformidad con las disposiciones vigentes al momento de su inicio.</w:t>
      </w:r>
    </w:p>
    <w:p w:rsidR="00792355" w:rsidRDefault="00792355" w:rsidP="00792355">
      <w:pPr>
        <w:pStyle w:val="Sangradetextonormal2"/>
        <w:tabs>
          <w:tab w:val="left" w:pos="2041"/>
        </w:tabs>
        <w:spacing w:line="360" w:lineRule="auto"/>
        <w:ind w:right="51"/>
        <w:jc w:val="both"/>
        <w:rPr>
          <w:rFonts w:ascii="Arial" w:hAnsi="Arial" w:cs="Arial"/>
          <w:i/>
          <w:sz w:val="24"/>
          <w:szCs w:val="24"/>
        </w:rPr>
      </w:pPr>
    </w:p>
    <w:p w:rsidR="00792355" w:rsidRPr="00FE781A" w:rsidRDefault="00792355" w:rsidP="00792355">
      <w:pPr>
        <w:pStyle w:val="Sangradetextonormal2"/>
        <w:tabs>
          <w:tab w:val="left" w:pos="2041"/>
        </w:tabs>
        <w:spacing w:line="360" w:lineRule="auto"/>
        <w:ind w:right="51"/>
        <w:jc w:val="both"/>
        <w:rPr>
          <w:rFonts w:ascii="Arial" w:hAnsi="Arial" w:cs="Arial"/>
          <w:i/>
          <w:sz w:val="24"/>
          <w:szCs w:val="24"/>
        </w:rPr>
      </w:pPr>
      <w:r>
        <w:rPr>
          <w:rFonts w:ascii="Arial" w:hAnsi="Arial" w:cs="Arial"/>
          <w:sz w:val="24"/>
          <w:szCs w:val="24"/>
        </w:rPr>
        <w:t>Reglamento de la Ley Orgánica de la Fiscalía General del Estado.</w:t>
      </w:r>
    </w:p>
    <w:p w:rsidR="00792355" w:rsidRPr="00FE781A" w:rsidRDefault="00792355" w:rsidP="00792355">
      <w:pPr>
        <w:pStyle w:val="Sangradetextonormal2"/>
        <w:tabs>
          <w:tab w:val="left" w:pos="2041"/>
        </w:tabs>
        <w:spacing w:line="360" w:lineRule="auto"/>
        <w:ind w:right="51"/>
        <w:jc w:val="both"/>
        <w:rPr>
          <w:rFonts w:ascii="Arial" w:hAnsi="Arial" w:cs="Arial"/>
          <w:i/>
          <w:sz w:val="24"/>
          <w:szCs w:val="24"/>
        </w:rPr>
      </w:pPr>
      <w:r w:rsidRPr="00FE781A">
        <w:rPr>
          <w:rFonts w:ascii="Arial" w:hAnsi="Arial" w:cs="Arial"/>
          <w:i/>
          <w:sz w:val="24"/>
          <w:szCs w:val="24"/>
        </w:rPr>
        <w:t>ARTÍCULO 3. El Fiscal General es el Titular de la Fiscalía General y estará a cargo de la Institución del Ministerio Público, en términos del artículo 6 de la Ley Orgánica y las demás disposiciones aplicables.</w:t>
      </w:r>
    </w:p>
    <w:p w:rsidR="00792355" w:rsidRDefault="00792355" w:rsidP="00792355">
      <w:pPr>
        <w:pStyle w:val="Sangradetextonormal2"/>
        <w:tabs>
          <w:tab w:val="left" w:pos="2041"/>
        </w:tabs>
        <w:spacing w:line="360" w:lineRule="auto"/>
        <w:ind w:right="51"/>
        <w:jc w:val="both"/>
        <w:rPr>
          <w:rFonts w:ascii="Arial" w:hAnsi="Arial" w:cs="Arial"/>
          <w:sz w:val="24"/>
          <w:szCs w:val="24"/>
        </w:rPr>
      </w:pPr>
      <w:r w:rsidRPr="00FE781A">
        <w:rPr>
          <w:rFonts w:ascii="Arial" w:hAnsi="Arial" w:cs="Arial"/>
          <w:i/>
          <w:sz w:val="24"/>
          <w:szCs w:val="24"/>
        </w:rPr>
        <w:t>La representación, trámite y resolución de los asuntos competencia de la Fiscalía General corresponden originalmente al Fiscal General…”</w:t>
      </w:r>
      <w:r>
        <w:rPr>
          <w:rFonts w:ascii="Arial" w:hAnsi="Arial" w:cs="Arial"/>
          <w:sz w:val="24"/>
          <w:szCs w:val="24"/>
        </w:rPr>
        <w:t xml:space="preserve"> </w:t>
      </w:r>
    </w:p>
    <w:p w:rsidR="00792355" w:rsidRDefault="00792355" w:rsidP="00792355">
      <w:pPr>
        <w:pStyle w:val="Sangradetextonormal2"/>
        <w:tabs>
          <w:tab w:val="left" w:pos="2041"/>
        </w:tabs>
        <w:spacing w:line="360" w:lineRule="auto"/>
        <w:ind w:right="51"/>
        <w:jc w:val="both"/>
        <w:rPr>
          <w:rFonts w:ascii="Arial" w:hAnsi="Arial" w:cs="Arial"/>
          <w:sz w:val="24"/>
          <w:szCs w:val="24"/>
        </w:rPr>
      </w:pPr>
    </w:p>
    <w:p w:rsidR="00792355" w:rsidRDefault="00792355" w:rsidP="00792355">
      <w:pPr>
        <w:pStyle w:val="Sangradetextonormal2"/>
        <w:tabs>
          <w:tab w:val="left" w:pos="567"/>
        </w:tabs>
        <w:spacing w:line="360" w:lineRule="auto"/>
        <w:ind w:right="51" w:firstLine="0"/>
        <w:jc w:val="both"/>
        <w:rPr>
          <w:rFonts w:ascii="Arial" w:hAnsi="Arial" w:cs="Arial"/>
          <w:sz w:val="24"/>
          <w:szCs w:val="24"/>
        </w:rPr>
      </w:pPr>
      <w:r>
        <w:rPr>
          <w:rFonts w:ascii="Arial" w:hAnsi="Arial" w:cs="Arial"/>
          <w:sz w:val="24"/>
          <w:szCs w:val="24"/>
        </w:rPr>
        <w:tab/>
        <w:t xml:space="preserve">De la lectura a los artículos transcritos anteriormente, se observa que efectivamente el Titular de la Fiscalía General del Estado de Oaxaca, es primigeniamente el competente para conocer, substanciar y resolver los asuntos competencia de ese órgano, entre ellos el procedimiento de responsabilidad que se le atribuye al actor en virtud de que, como correctamente se citaron los preceptos anteriores, mientras no se haya expedido el plan de implementación </w:t>
      </w:r>
      <w:r w:rsidRPr="00CC2361">
        <w:rPr>
          <w:rFonts w:ascii="Arial" w:hAnsi="Arial" w:cs="Arial"/>
          <w:sz w:val="24"/>
          <w:szCs w:val="24"/>
        </w:rPr>
        <w:t>gradu</w:t>
      </w:r>
      <w:r>
        <w:rPr>
          <w:rFonts w:ascii="Arial" w:hAnsi="Arial" w:cs="Arial"/>
          <w:sz w:val="24"/>
          <w:szCs w:val="24"/>
        </w:rPr>
        <w:t xml:space="preserve">al de todos los aspectos previstos en el Reglamento del Servicio Civil de Carrera de la Fiscalía General del Estado hasta alcanzar su realización total, en el que también se regulará el procedimiento a seguir ante la Comisión a que se refiere el Titulo </w:t>
      </w:r>
      <w:r w:rsidRPr="00CC2361">
        <w:rPr>
          <w:rFonts w:ascii="Arial" w:hAnsi="Arial" w:cs="Arial"/>
          <w:sz w:val="24"/>
          <w:szCs w:val="24"/>
        </w:rPr>
        <w:t>Cuarto, capítulo III de</w:t>
      </w:r>
      <w:r>
        <w:rPr>
          <w:rFonts w:ascii="Arial" w:hAnsi="Arial" w:cs="Arial"/>
          <w:sz w:val="24"/>
          <w:szCs w:val="24"/>
        </w:rPr>
        <w:t xml:space="preserve"> dicho reglamento, conocerá la Visitaduría el desahogo y sustanciación del procedimiento administrativo, para finalmente resolver el titular de la Fiscalía General del Estado como aconteció en el presente asunto, por lo que, en virtud que hasta la fecha de emisión de la resolución correspondiente, no se ha emitido el plan de implementación gradual, por lo que resulta correcto que se siga el procedimiento ante la Visitaduría como lo indica el tercer párrafo del artículo SÉPTIMO transitorio del Reglam</w:t>
      </w:r>
      <w:r w:rsidRPr="00CC2361">
        <w:rPr>
          <w:rFonts w:ascii="Arial" w:hAnsi="Arial" w:cs="Arial"/>
          <w:sz w:val="24"/>
          <w:szCs w:val="24"/>
        </w:rPr>
        <w:t>ento</w:t>
      </w:r>
      <w:r>
        <w:rPr>
          <w:rFonts w:ascii="Arial" w:hAnsi="Arial" w:cs="Arial"/>
          <w:sz w:val="24"/>
          <w:szCs w:val="24"/>
        </w:rPr>
        <w:t xml:space="preserve"> del Servicio Civil de Carrera de la Fiscalía General del Estado.</w:t>
      </w:r>
    </w:p>
    <w:p w:rsidR="00792355" w:rsidRDefault="00792355" w:rsidP="00792355">
      <w:pPr>
        <w:pStyle w:val="Sangradetextonormal2"/>
        <w:tabs>
          <w:tab w:val="left" w:pos="567"/>
        </w:tabs>
        <w:spacing w:line="360" w:lineRule="auto"/>
        <w:ind w:right="51" w:firstLine="0"/>
        <w:jc w:val="both"/>
        <w:rPr>
          <w:rFonts w:ascii="Arial" w:hAnsi="Arial" w:cs="Arial"/>
          <w:sz w:val="24"/>
          <w:szCs w:val="24"/>
        </w:rPr>
      </w:pPr>
    </w:p>
    <w:p w:rsidR="00792355" w:rsidRDefault="00792355" w:rsidP="00792355">
      <w:pPr>
        <w:pStyle w:val="Sangradetextonormal2"/>
        <w:tabs>
          <w:tab w:val="left" w:pos="2041"/>
        </w:tabs>
        <w:spacing w:line="360" w:lineRule="auto"/>
        <w:ind w:right="51" w:firstLine="0"/>
        <w:jc w:val="both"/>
        <w:rPr>
          <w:rFonts w:ascii="Arial" w:hAnsi="Arial" w:cs="Arial"/>
          <w:sz w:val="24"/>
          <w:szCs w:val="24"/>
        </w:rPr>
      </w:pPr>
      <w:r>
        <w:rPr>
          <w:rFonts w:ascii="Arial" w:hAnsi="Arial" w:cs="Arial"/>
          <w:sz w:val="24"/>
          <w:szCs w:val="24"/>
        </w:rPr>
        <w:t xml:space="preserve">   Sirve de sustento a lo anterior, la jurisprudencia con número de registro 205463, del Semanario Judicial de la Federación y su Gaceta, número 77, Mayo de 1994, visible en la página 12, Octava Época, de rubro y texto siguiente: </w:t>
      </w:r>
      <w:r w:rsidRPr="00294DA7">
        <w:rPr>
          <w:rFonts w:ascii="Arial" w:hAnsi="Arial" w:cs="Arial"/>
          <w:b/>
          <w:i/>
          <w:iCs/>
          <w:sz w:val="24"/>
          <w:szCs w:val="24"/>
        </w:rPr>
        <w:t>“COMPETENCIA. SU FUNDAMENTACION ES REQUISITO ESENCIAL DEL ACTO DE AUTORIDAD.</w:t>
      </w:r>
      <w:r>
        <w:rPr>
          <w:rFonts w:ascii="Arial" w:hAnsi="Arial" w:cs="Arial"/>
          <w:b/>
          <w:sz w:val="24"/>
          <w:szCs w:val="24"/>
        </w:rPr>
        <w:t xml:space="preserve"> </w:t>
      </w:r>
      <w:r w:rsidRPr="00CF6BC3">
        <w:rPr>
          <w:rFonts w:ascii="Arial" w:hAnsi="Arial" w:cs="Arial"/>
          <w:i/>
          <w:iCs/>
          <w:color w:val="212529"/>
          <w:sz w:val="24"/>
          <w:szCs w:val="24"/>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w:t>
      </w:r>
      <w:r w:rsidRPr="00CF6BC3">
        <w:rPr>
          <w:rFonts w:ascii="Arial" w:hAnsi="Arial" w:cs="Arial"/>
          <w:i/>
          <w:iCs/>
          <w:color w:val="212529"/>
          <w:sz w:val="24"/>
          <w:szCs w:val="24"/>
        </w:rPr>
        <w:lastRenderedPageBreak/>
        <w:t>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r>
        <w:rPr>
          <w:rFonts w:ascii="Arial" w:hAnsi="Arial" w:cs="Arial"/>
          <w:i/>
          <w:iCs/>
          <w:color w:val="212529"/>
          <w:sz w:val="24"/>
          <w:szCs w:val="24"/>
        </w:rPr>
        <w:t>”</w:t>
      </w:r>
      <w:r w:rsidRPr="00B573F7">
        <w:rPr>
          <w:rFonts w:ascii="Arial" w:hAnsi="Arial" w:cs="Arial"/>
          <w:sz w:val="24"/>
          <w:szCs w:val="24"/>
        </w:rPr>
        <w:t xml:space="preserve">. </w:t>
      </w:r>
    </w:p>
    <w:p w:rsidR="00792355" w:rsidRDefault="00792355" w:rsidP="00792355">
      <w:pPr>
        <w:pStyle w:val="Sangradetextonormal2"/>
        <w:tabs>
          <w:tab w:val="left" w:pos="2041"/>
        </w:tabs>
        <w:spacing w:line="360" w:lineRule="auto"/>
        <w:ind w:right="51" w:firstLine="0"/>
        <w:jc w:val="both"/>
        <w:rPr>
          <w:rFonts w:ascii="Arial" w:hAnsi="Arial" w:cs="Arial"/>
          <w:sz w:val="24"/>
          <w:szCs w:val="24"/>
        </w:rPr>
      </w:pPr>
    </w:p>
    <w:p w:rsidR="00792355" w:rsidRDefault="00792355" w:rsidP="00792355">
      <w:pPr>
        <w:pStyle w:val="Sangradetextonormal2"/>
        <w:tabs>
          <w:tab w:val="left" w:pos="567"/>
        </w:tabs>
        <w:spacing w:line="360" w:lineRule="auto"/>
        <w:ind w:right="51" w:firstLine="0"/>
        <w:jc w:val="both"/>
        <w:rPr>
          <w:rFonts w:ascii="Arial" w:hAnsi="Arial" w:cs="Arial"/>
          <w:sz w:val="24"/>
          <w:szCs w:val="24"/>
        </w:rPr>
      </w:pPr>
      <w:r w:rsidRPr="00C82537">
        <w:rPr>
          <w:rFonts w:ascii="Arial" w:hAnsi="Arial" w:cs="Arial"/>
          <w:sz w:val="24"/>
          <w:szCs w:val="24"/>
        </w:rPr>
        <w:tab/>
        <w:t>Por cuanto</w:t>
      </w:r>
      <w:r>
        <w:rPr>
          <w:rFonts w:ascii="Arial" w:hAnsi="Arial" w:cs="Arial"/>
          <w:sz w:val="24"/>
          <w:szCs w:val="24"/>
        </w:rPr>
        <w:t xml:space="preserve"> hace a lo manifestado por el actor en el sentido que la demandada sustanciara el procedimiento administrativo conforme a la Ley Orgánica de la Procuraduría General de Justicia del Estado de Oaxaca, dígasele al administrado que la ley que refiere se le aplicara se encontraba abrogada al momento que dio inicio el procedimiento administrativo de investigación en su contra, esto es, los efectos de dicha ley cesaron </w:t>
      </w:r>
      <w:r w:rsidRPr="00E76D9A">
        <w:rPr>
          <w:rFonts w:ascii="Arial" w:hAnsi="Arial" w:cs="Arial"/>
          <w:color w:val="222222"/>
          <w:sz w:val="24"/>
          <w:szCs w:val="24"/>
          <w:shd w:val="clear" w:color="auto" w:fill="FFFFFF"/>
        </w:rPr>
        <w:t>total</w:t>
      </w:r>
      <w:r>
        <w:rPr>
          <w:rFonts w:ascii="Arial" w:hAnsi="Arial" w:cs="Arial"/>
          <w:color w:val="222222"/>
          <w:sz w:val="24"/>
          <w:szCs w:val="24"/>
          <w:shd w:val="clear" w:color="auto" w:fill="FFFFFF"/>
        </w:rPr>
        <w:t xml:space="preserve">mente, de conformidad con lo establecido en </w:t>
      </w:r>
      <w:r>
        <w:rPr>
          <w:rFonts w:ascii="Arial" w:hAnsi="Arial" w:cs="Arial"/>
          <w:sz w:val="24"/>
          <w:szCs w:val="24"/>
        </w:rPr>
        <w:t>el artículo Tercero Transitorio de la Ley Orgánica de la Fiscalía del Estado de Oaxaca, que establece lo siguiente:</w:t>
      </w:r>
    </w:p>
    <w:p w:rsidR="00792355" w:rsidRDefault="00792355" w:rsidP="00792355">
      <w:pPr>
        <w:pStyle w:val="Sangradetextonormal2"/>
        <w:tabs>
          <w:tab w:val="left" w:pos="567"/>
        </w:tabs>
        <w:spacing w:line="360" w:lineRule="auto"/>
        <w:ind w:right="51" w:firstLine="0"/>
        <w:jc w:val="both"/>
        <w:rPr>
          <w:rFonts w:ascii="Arial" w:hAnsi="Arial" w:cs="Arial"/>
          <w:sz w:val="24"/>
          <w:szCs w:val="24"/>
        </w:rPr>
      </w:pPr>
    </w:p>
    <w:p w:rsidR="00792355" w:rsidRPr="00B573F7" w:rsidRDefault="00792355" w:rsidP="00792355">
      <w:pPr>
        <w:pStyle w:val="Sangradetextonormal2"/>
        <w:tabs>
          <w:tab w:val="left" w:pos="567"/>
        </w:tabs>
        <w:spacing w:line="360" w:lineRule="auto"/>
        <w:ind w:right="51"/>
        <w:jc w:val="both"/>
        <w:rPr>
          <w:rFonts w:ascii="Arial" w:hAnsi="Arial" w:cs="Arial"/>
          <w:bCs/>
          <w:sz w:val="24"/>
          <w:szCs w:val="24"/>
        </w:rPr>
      </w:pPr>
      <w:r w:rsidRPr="00330957">
        <w:rPr>
          <w:rFonts w:ascii="Arial" w:hAnsi="Arial" w:cs="Arial"/>
          <w:i/>
          <w:iCs/>
          <w:sz w:val="24"/>
          <w:szCs w:val="24"/>
        </w:rPr>
        <w:t>“TERCERO. Se abroga la Ley Orgánica de la Procuraduría General de Justicia del Estado de Oaxaca, expedida por Decreto número 641, de fecha 10 de agosto del 2011, publicada en el Periódico Oficial Extra del 20 de septiembre del 2011, y se derogan todas las disposiciones que se opongan al presente Decreto.”</w:t>
      </w:r>
      <w:r>
        <w:rPr>
          <w:rFonts w:ascii="Arial" w:hAnsi="Arial" w:cs="Arial"/>
          <w:i/>
          <w:iCs/>
          <w:sz w:val="24"/>
          <w:szCs w:val="24"/>
        </w:rPr>
        <w:t xml:space="preserve">. </w:t>
      </w:r>
      <w:r w:rsidRPr="00451F05">
        <w:rPr>
          <w:rFonts w:ascii="Arial" w:hAnsi="Arial" w:cs="Arial"/>
          <w:sz w:val="24"/>
          <w:szCs w:val="24"/>
        </w:rPr>
        <w:t>por lo</w:t>
      </w:r>
      <w:r>
        <w:rPr>
          <w:rFonts w:ascii="Arial" w:hAnsi="Arial" w:cs="Arial"/>
          <w:sz w:val="24"/>
          <w:szCs w:val="24"/>
        </w:rPr>
        <w:t xml:space="preserve"> anteriormente vertido la demandada Fiscal General del Estado de Oaxaca es competente para conocer, substanciar y resolver el procedimiento administrativo iniciado en contra del aquí actor. </w:t>
      </w:r>
      <w:r w:rsidRPr="00B573F7">
        <w:rPr>
          <w:rFonts w:ascii="Arial" w:hAnsi="Arial" w:cs="Arial"/>
          <w:sz w:val="24"/>
          <w:szCs w:val="24"/>
        </w:rPr>
        <w:t xml:space="preserve">En consecuencia, </w:t>
      </w:r>
      <w:r w:rsidRPr="00B573F7">
        <w:rPr>
          <w:rFonts w:ascii="Arial" w:hAnsi="Arial" w:cs="Arial"/>
          <w:b/>
          <w:bCs/>
          <w:sz w:val="24"/>
          <w:szCs w:val="24"/>
        </w:rPr>
        <w:t xml:space="preserve">NO SE SOBRESEE </w:t>
      </w:r>
      <w:r w:rsidRPr="00B573F7">
        <w:rPr>
          <w:rFonts w:ascii="Arial" w:hAnsi="Arial" w:cs="Arial"/>
          <w:sz w:val="24"/>
          <w:szCs w:val="24"/>
        </w:rPr>
        <w:t>el presente juicio.</w:t>
      </w:r>
    </w:p>
    <w:p w:rsidR="00792355" w:rsidRPr="007B0581" w:rsidRDefault="00792355" w:rsidP="00792355">
      <w:pPr>
        <w:pStyle w:val="corte4fondo"/>
        <w:ind w:right="51" w:firstLine="567"/>
        <w:rPr>
          <w:rFonts w:cs="Arial"/>
          <w:sz w:val="24"/>
          <w:szCs w:val="24"/>
        </w:rPr>
      </w:pPr>
    </w:p>
    <w:p w:rsidR="00792355" w:rsidRDefault="00792355" w:rsidP="00792355">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792355" w:rsidRPr="007B0581" w:rsidRDefault="00792355" w:rsidP="00792355">
      <w:pPr>
        <w:spacing w:line="360" w:lineRule="auto"/>
        <w:jc w:val="both"/>
        <w:rPr>
          <w:rFonts w:ascii="Arial" w:hAnsi="Arial" w:cs="Arial"/>
          <w:sz w:val="24"/>
          <w:szCs w:val="24"/>
        </w:rPr>
      </w:pPr>
    </w:p>
    <w:p w:rsidR="00792355" w:rsidRDefault="00792355" w:rsidP="00792355">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lastRenderedPageBreak/>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792355" w:rsidRPr="007B0581" w:rsidRDefault="00792355" w:rsidP="00792355">
      <w:pPr>
        <w:pStyle w:val="Textonotapie"/>
        <w:widowControl w:val="0"/>
        <w:spacing w:line="360" w:lineRule="auto"/>
        <w:ind w:firstLine="708"/>
        <w:jc w:val="both"/>
        <w:rPr>
          <w:rFonts w:ascii="Arial" w:hAnsi="Arial" w:cs="Arial"/>
          <w:sz w:val="24"/>
          <w:szCs w:val="24"/>
          <w:lang w:eastAsia="es-MX"/>
        </w:rPr>
      </w:pPr>
    </w:p>
    <w:p w:rsidR="00792355" w:rsidRDefault="00792355" w:rsidP="00792355">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792355" w:rsidRDefault="00792355" w:rsidP="00792355">
      <w:pPr>
        <w:pStyle w:val="Textonotapie"/>
        <w:widowControl w:val="0"/>
        <w:spacing w:line="360" w:lineRule="auto"/>
        <w:ind w:left="1701" w:right="1469"/>
        <w:jc w:val="both"/>
        <w:rPr>
          <w:rFonts w:ascii="Arial" w:hAnsi="Arial" w:cs="Arial"/>
          <w:b/>
          <w:sz w:val="24"/>
          <w:szCs w:val="24"/>
          <w:lang w:eastAsia="es-MX"/>
        </w:rPr>
      </w:pPr>
    </w:p>
    <w:p w:rsidR="00792355" w:rsidRDefault="00792355" w:rsidP="00792355">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r w:rsidRPr="007B0581">
        <w:rPr>
          <w:rFonts w:ascii="Arial" w:hAnsi="Arial" w:cs="Arial"/>
          <w:sz w:val="24"/>
          <w:szCs w:val="24"/>
        </w:rPr>
        <w:t xml:space="preserve">, </w:t>
      </w:r>
      <w:r w:rsidRPr="00A85393">
        <w:rPr>
          <w:rFonts w:ascii="Arial" w:hAnsi="Arial" w:cs="Arial"/>
          <w:sz w:val="24"/>
          <w:szCs w:val="24"/>
        </w:rPr>
        <w:t>demandó la nulidad</w:t>
      </w:r>
      <w:r>
        <w:rPr>
          <w:rFonts w:ascii="Arial" w:hAnsi="Arial" w:cs="Arial"/>
          <w:sz w:val="24"/>
          <w:szCs w:val="24"/>
        </w:rPr>
        <w:t xml:space="preserve"> en</w:t>
      </w:r>
      <w:r w:rsidRPr="00A85393">
        <w:rPr>
          <w:rFonts w:ascii="Arial" w:hAnsi="Arial" w:cs="Arial"/>
          <w:sz w:val="24"/>
          <w:szCs w:val="24"/>
        </w:rPr>
        <w:t xml:space="preserve"> contra</w:t>
      </w:r>
      <w:r>
        <w:rPr>
          <w:rFonts w:ascii="Arial" w:hAnsi="Arial" w:cs="Arial"/>
          <w:sz w:val="24"/>
          <w:szCs w:val="24"/>
        </w:rPr>
        <w:t xml:space="preserve"> de</w:t>
      </w:r>
      <w:r w:rsidRPr="00A85393">
        <w:rPr>
          <w:rFonts w:ascii="Arial" w:hAnsi="Arial" w:cs="Arial"/>
          <w:sz w:val="24"/>
          <w:szCs w:val="24"/>
        </w:rPr>
        <w:t xml:space="preserve"> la resolución </w:t>
      </w:r>
      <w:r>
        <w:rPr>
          <w:rFonts w:ascii="Arial" w:hAnsi="Arial" w:cs="Arial"/>
          <w:sz w:val="24"/>
          <w:szCs w:val="24"/>
        </w:rPr>
        <w:t xml:space="preserve">de veintiséis de octubre de dos mil veinte, emitida en el expediente administrativo </w:t>
      </w:r>
      <w:r>
        <w:rPr>
          <w:rFonts w:cs="Arial"/>
          <w:b/>
          <w:sz w:val="24"/>
          <w:szCs w:val="24"/>
        </w:rPr>
        <w:t>**********</w:t>
      </w:r>
      <w:r>
        <w:rPr>
          <w:rFonts w:cs="Arial"/>
          <w:b/>
          <w:sz w:val="24"/>
          <w:szCs w:val="24"/>
        </w:rPr>
        <w:t xml:space="preserve"> </w:t>
      </w:r>
      <w:r>
        <w:rPr>
          <w:rFonts w:ascii="Arial" w:hAnsi="Arial" w:cs="Arial"/>
          <w:sz w:val="24"/>
          <w:szCs w:val="24"/>
        </w:rPr>
        <w:t xml:space="preserve">por el Fiscal General del Estado de Oaxaca, por considerar que es ilegal en razón que se violó el artículo 14 de la Constitución Política de los Estados Unidos Mexicanos, en virtud que no se cumplieron las formalidades esenciales del procedimiento por lo que debe decretarse la nulidad de la resolución impugnada, asimismo se determine que la remoción del cargo que ostentaba fue injustificado y como consecuencia se ordene a la autoridad demandada al pago de indemnización, pago de las prestaciones a que tenía derecho y que dejaron de pagársele, pago de doce días de salario integrado, por concepto de prima de antigüedad por cada año laborado al servicio del Gobierno del Estado. </w:t>
      </w:r>
    </w:p>
    <w:p w:rsidR="00792355" w:rsidRDefault="00792355" w:rsidP="00792355">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 xml:space="preserve"> </w:t>
      </w:r>
    </w:p>
    <w:p w:rsidR="00792355" w:rsidRDefault="00792355" w:rsidP="00792355">
      <w:pPr>
        <w:spacing w:line="360" w:lineRule="auto"/>
        <w:ind w:firstLine="708"/>
        <w:jc w:val="both"/>
        <w:rPr>
          <w:rFonts w:ascii="Arial" w:hAnsi="Arial" w:cs="Arial"/>
          <w:sz w:val="24"/>
          <w:szCs w:val="24"/>
        </w:rPr>
      </w:pPr>
      <w:r w:rsidRPr="00A85393">
        <w:rPr>
          <w:rFonts w:ascii="Arial" w:hAnsi="Arial" w:cs="Arial"/>
          <w:sz w:val="24"/>
          <w:szCs w:val="24"/>
        </w:rPr>
        <w:t xml:space="preserve">Por su parte, la autoridad demandada, </w:t>
      </w:r>
      <w:r>
        <w:rPr>
          <w:rFonts w:ascii="Arial" w:hAnsi="Arial" w:cs="Arial"/>
          <w:sz w:val="24"/>
          <w:szCs w:val="24"/>
        </w:rPr>
        <w:t>no dio contestación a la demanda dentro del plazo concedido en proveído de quince de febrero de dos mil veintiuno.</w:t>
      </w:r>
    </w:p>
    <w:p w:rsidR="00792355" w:rsidRDefault="00792355" w:rsidP="00792355">
      <w:pPr>
        <w:spacing w:line="360" w:lineRule="auto"/>
        <w:ind w:firstLine="708"/>
        <w:jc w:val="both"/>
        <w:rPr>
          <w:rFonts w:ascii="Arial" w:hAnsi="Arial" w:cs="Arial"/>
          <w:sz w:val="24"/>
          <w:szCs w:val="24"/>
        </w:rPr>
      </w:pPr>
    </w:p>
    <w:p w:rsidR="00792355" w:rsidRDefault="00792355" w:rsidP="00792355">
      <w:pPr>
        <w:pStyle w:val="Sangradetextonormal2"/>
        <w:tabs>
          <w:tab w:val="left" w:pos="2041"/>
        </w:tabs>
        <w:spacing w:line="360" w:lineRule="auto"/>
        <w:ind w:right="51" w:firstLine="0"/>
        <w:jc w:val="both"/>
        <w:rPr>
          <w:rFonts w:ascii="Arial" w:hAnsi="Arial" w:cs="Arial"/>
          <w:sz w:val="24"/>
          <w:szCs w:val="24"/>
        </w:rPr>
      </w:pPr>
      <w:r>
        <w:rPr>
          <w:rFonts w:ascii="Arial" w:hAnsi="Arial" w:cs="Arial"/>
          <w:bCs/>
          <w:sz w:val="24"/>
          <w:szCs w:val="24"/>
        </w:rPr>
        <w:t xml:space="preserve">           </w:t>
      </w:r>
      <w:r w:rsidRPr="007B0581">
        <w:rPr>
          <w:rFonts w:ascii="Arial" w:hAnsi="Arial" w:cs="Arial"/>
          <w:color w:val="FF0000"/>
          <w:sz w:val="24"/>
          <w:szCs w:val="24"/>
        </w:rPr>
        <w:t xml:space="preserve"> </w:t>
      </w:r>
      <w:r w:rsidRPr="00F72EAE">
        <w:rPr>
          <w:rFonts w:ascii="Arial" w:hAnsi="Arial" w:cs="Arial"/>
          <w:sz w:val="24"/>
          <w:szCs w:val="24"/>
        </w:rPr>
        <w:t>Ahora bien</w:t>
      </w:r>
      <w:r w:rsidRPr="007B0581">
        <w:rPr>
          <w:rFonts w:ascii="Arial" w:hAnsi="Arial" w:cs="Arial"/>
          <w:sz w:val="24"/>
          <w:szCs w:val="24"/>
        </w:rPr>
        <w:t xml:space="preserve">, </w:t>
      </w:r>
      <w:r>
        <w:rPr>
          <w:rFonts w:ascii="Arial" w:hAnsi="Arial" w:cs="Arial"/>
          <w:sz w:val="24"/>
          <w:szCs w:val="24"/>
        </w:rPr>
        <w:t xml:space="preserve">del estudio de </w:t>
      </w:r>
      <w:r w:rsidRPr="0017483C">
        <w:rPr>
          <w:rFonts w:ascii="Arial" w:hAnsi="Arial" w:cs="Arial"/>
          <w:sz w:val="24"/>
          <w:szCs w:val="24"/>
        </w:rPr>
        <w:t>la resolución</w:t>
      </w:r>
      <w:r>
        <w:rPr>
          <w:rFonts w:ascii="Arial" w:hAnsi="Arial" w:cs="Arial"/>
          <w:sz w:val="24"/>
          <w:szCs w:val="24"/>
        </w:rPr>
        <w:t xml:space="preserve"> de veintiséis de octubre de dos mil veinte, dictada dentro del expediente administrativo número </w:t>
      </w:r>
      <w:r>
        <w:rPr>
          <w:rFonts w:cs="Arial"/>
          <w:b/>
          <w:sz w:val="24"/>
          <w:szCs w:val="24"/>
        </w:rPr>
        <w:t>**********</w:t>
      </w:r>
      <w:r>
        <w:rPr>
          <w:rFonts w:cs="Arial"/>
          <w:b/>
          <w:sz w:val="24"/>
          <w:szCs w:val="24"/>
        </w:rPr>
        <w:t xml:space="preserve"> </w:t>
      </w:r>
      <w:r>
        <w:rPr>
          <w:rFonts w:ascii="Arial" w:hAnsi="Arial" w:cs="Arial"/>
          <w:sz w:val="24"/>
          <w:szCs w:val="24"/>
        </w:rPr>
        <w:t xml:space="preserve">, mediante la cual, se ordenó de manera inmediata y definitiva la remoción del cargo de </w:t>
      </w:r>
      <w:r>
        <w:rPr>
          <w:rFonts w:cs="Arial"/>
          <w:b/>
          <w:sz w:val="24"/>
          <w:szCs w:val="24"/>
        </w:rPr>
        <w:t>**********</w:t>
      </w:r>
      <w:r>
        <w:rPr>
          <w:rFonts w:cs="Arial"/>
          <w:b/>
          <w:sz w:val="24"/>
          <w:szCs w:val="24"/>
        </w:rPr>
        <w:t xml:space="preserve"> </w:t>
      </w:r>
      <w:r>
        <w:rPr>
          <w:rFonts w:ascii="Arial" w:hAnsi="Arial" w:cs="Arial"/>
          <w:sz w:val="24"/>
          <w:szCs w:val="24"/>
        </w:rPr>
        <w:t xml:space="preserve">como Agente Estatal de Investigaciones de la Fiscalía General del Estado de Oaxaca, consecuentemente la conclusión del servicio civil de carrera de manera extraordinaria; </w:t>
      </w:r>
      <w:r w:rsidRPr="00F72EAE">
        <w:rPr>
          <w:rFonts w:ascii="Arial" w:hAnsi="Arial" w:cs="Arial"/>
          <w:sz w:val="24"/>
          <w:szCs w:val="24"/>
        </w:rPr>
        <w:t>se advierte</w:t>
      </w:r>
      <w:r>
        <w:rPr>
          <w:rFonts w:ascii="Arial" w:hAnsi="Arial" w:cs="Arial"/>
          <w:sz w:val="24"/>
          <w:szCs w:val="24"/>
        </w:rPr>
        <w:t xml:space="preserve"> que, si bien es cierto que en los resultandos de la resolución impugnada, la autoridad demandada Fiscal General del Estado de Oaxaca,  refirió que el procedimiento administrativo de investigación </w:t>
      </w:r>
      <w:r>
        <w:rPr>
          <w:rFonts w:cs="Arial"/>
          <w:b/>
          <w:sz w:val="24"/>
          <w:szCs w:val="24"/>
        </w:rPr>
        <w:t>**********</w:t>
      </w:r>
      <w:r>
        <w:rPr>
          <w:rFonts w:cs="Arial"/>
          <w:b/>
          <w:sz w:val="24"/>
          <w:szCs w:val="24"/>
        </w:rPr>
        <w:t xml:space="preserve"> </w:t>
      </w:r>
      <w:r>
        <w:rPr>
          <w:rFonts w:ascii="Arial" w:hAnsi="Arial" w:cs="Arial"/>
          <w:sz w:val="24"/>
          <w:szCs w:val="24"/>
        </w:rPr>
        <w:t xml:space="preserve">derivó del oficio </w:t>
      </w:r>
      <w:r>
        <w:rPr>
          <w:rFonts w:cs="Arial"/>
          <w:b/>
          <w:sz w:val="24"/>
          <w:szCs w:val="24"/>
        </w:rPr>
        <w:t>**********</w:t>
      </w:r>
      <w:r>
        <w:rPr>
          <w:rFonts w:cs="Arial"/>
          <w:b/>
          <w:sz w:val="24"/>
          <w:szCs w:val="24"/>
        </w:rPr>
        <w:t xml:space="preserve"> </w:t>
      </w:r>
      <w:bookmarkStart w:id="2" w:name="_GoBack"/>
      <w:bookmarkEnd w:id="2"/>
      <w:r>
        <w:rPr>
          <w:rFonts w:ascii="Arial" w:hAnsi="Arial" w:cs="Arial"/>
          <w:sz w:val="24"/>
          <w:szCs w:val="24"/>
        </w:rPr>
        <w:t xml:space="preserve">de dos de diciembre de dos mil diecinueve, signado por el Visitador General de la Fiscalía General del Estado de Oaxaca, por  probables infracciones al régimen disciplinario por parte del actor </w:t>
      </w:r>
      <w:r>
        <w:rPr>
          <w:rFonts w:cs="Arial"/>
          <w:b/>
          <w:sz w:val="24"/>
          <w:szCs w:val="24"/>
        </w:rPr>
        <w:t>**********</w:t>
      </w:r>
      <w:r>
        <w:rPr>
          <w:rFonts w:ascii="Arial" w:hAnsi="Arial" w:cs="Arial"/>
          <w:sz w:val="24"/>
          <w:szCs w:val="24"/>
        </w:rPr>
        <w:t xml:space="preserve">, así como que se llevó a cabo la </w:t>
      </w:r>
      <w:r>
        <w:rPr>
          <w:rFonts w:ascii="Arial" w:hAnsi="Arial" w:cs="Arial"/>
          <w:sz w:val="24"/>
          <w:szCs w:val="24"/>
        </w:rPr>
        <w:lastRenderedPageBreak/>
        <w:t xml:space="preserve">audiencia de ley en la que el administrado dio contestación a los hechos que se le atribuyeron, asimismo que presentó las pruebas que consideró pertinentes, motivo por el cual fue suspendida dicha audiencia y fue el veinticuatro de marzo de dos mil veinte que se continuó la misma donde formuló alegatos a su favor con lo que se dio cumplimiento a su garantía de audiencia, también lo es que, del estudio a los presentes autos no se observa prueba alguna fehaciente que corrobore que efectivamente se llevó a cabo el procedimiento administrativo conforme al artículo 84 de la Ley Orgánica de la Fiscalía General del Estado de Oaxaca, normatividad aplicada por la demandada, esto es, entre otras cosas no obra el oficio por el que el Visitador General de esa institución formulara queja debidamente fundada y motivada en contra del aquí actor, asimismo no existen agregadas a los presentes autos constancias de las diligencias que llevó a cabo para garantizar el derecho de audiencia del administrado con las que se corroborara que efectivamente se realizó el procedimiento administrativo conforme a derecho; por lo que al no obrar en autos probanza alguna que corrobore lo manifestado por la demandada en la resolución que se impugna, en consecuencia se tiene por cierto lo manifestado por el actor </w:t>
      </w:r>
      <w:r>
        <w:rPr>
          <w:rFonts w:cs="Arial"/>
          <w:b/>
          <w:sz w:val="24"/>
          <w:szCs w:val="24"/>
        </w:rPr>
        <w:t>**********</w:t>
      </w:r>
      <w:r>
        <w:rPr>
          <w:rFonts w:cs="Arial"/>
          <w:b/>
          <w:sz w:val="24"/>
          <w:szCs w:val="24"/>
        </w:rPr>
        <w:t xml:space="preserve"> </w:t>
      </w:r>
      <w:r>
        <w:rPr>
          <w:rFonts w:ascii="Arial" w:hAnsi="Arial" w:cs="Arial"/>
          <w:sz w:val="24"/>
          <w:szCs w:val="24"/>
        </w:rPr>
        <w:t xml:space="preserve">en el sentido que no se cumplió correctamente con las formalidades del </w:t>
      </w:r>
      <w:r w:rsidRPr="00F72EAE">
        <w:rPr>
          <w:rFonts w:ascii="Arial" w:hAnsi="Arial" w:cs="Arial"/>
          <w:sz w:val="24"/>
          <w:szCs w:val="24"/>
        </w:rPr>
        <w:t>procedimiento administrativo</w:t>
      </w:r>
      <w:r>
        <w:rPr>
          <w:rFonts w:ascii="Arial" w:hAnsi="Arial" w:cs="Arial"/>
          <w:sz w:val="24"/>
          <w:szCs w:val="24"/>
        </w:rPr>
        <w:t xml:space="preserve"> en su contra.</w:t>
      </w:r>
    </w:p>
    <w:p w:rsidR="00792355" w:rsidRDefault="00792355" w:rsidP="00792355">
      <w:pPr>
        <w:pStyle w:val="Sangradetextonormal2"/>
        <w:tabs>
          <w:tab w:val="left" w:pos="2041"/>
        </w:tabs>
        <w:spacing w:line="360" w:lineRule="auto"/>
        <w:ind w:right="51" w:firstLine="0"/>
        <w:jc w:val="both"/>
        <w:rPr>
          <w:rFonts w:ascii="Arial" w:hAnsi="Arial" w:cs="Arial"/>
          <w:sz w:val="24"/>
          <w:szCs w:val="24"/>
        </w:rPr>
      </w:pPr>
    </w:p>
    <w:p w:rsidR="00792355" w:rsidRDefault="00792355" w:rsidP="00792355">
      <w:pPr>
        <w:spacing w:line="360" w:lineRule="auto"/>
        <w:ind w:firstLine="709"/>
        <w:contextualSpacing/>
        <w:jc w:val="both"/>
        <w:rPr>
          <w:rFonts w:ascii="Arial" w:hAnsi="Arial" w:cs="Arial"/>
          <w:bCs/>
          <w:sz w:val="24"/>
          <w:szCs w:val="24"/>
        </w:rPr>
      </w:pPr>
      <w:r w:rsidRPr="00F72EAE">
        <w:rPr>
          <w:rFonts w:ascii="Arial" w:hAnsi="Arial" w:cs="Arial"/>
          <w:sz w:val="24"/>
          <w:szCs w:val="24"/>
        </w:rPr>
        <w:t>En razón</w:t>
      </w:r>
      <w:r>
        <w:rPr>
          <w:rFonts w:ascii="Arial" w:hAnsi="Arial" w:cs="Arial"/>
          <w:sz w:val="24"/>
          <w:szCs w:val="24"/>
        </w:rPr>
        <w:t xml:space="preserve">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w:t>
      </w:r>
      <w:r w:rsidRPr="00A84B6D">
        <w:rPr>
          <w:rFonts w:ascii="Arial" w:hAnsi="Arial" w:cs="Arial"/>
          <w:sz w:val="24"/>
          <w:szCs w:val="24"/>
        </w:rPr>
        <w:t>con fundamento en lo dispuesto por el artículo 208 fracci</w:t>
      </w:r>
      <w:r>
        <w:rPr>
          <w:rFonts w:ascii="Arial" w:hAnsi="Arial" w:cs="Arial"/>
          <w:sz w:val="24"/>
          <w:szCs w:val="24"/>
        </w:rPr>
        <w:t>ones II y</w:t>
      </w:r>
      <w:r w:rsidRPr="00A84B6D">
        <w:rPr>
          <w:rFonts w:ascii="Arial" w:hAnsi="Arial" w:cs="Arial"/>
          <w:sz w:val="24"/>
          <w:szCs w:val="24"/>
        </w:rPr>
        <w:t xml:space="preserve"> </w:t>
      </w:r>
      <w:r>
        <w:rPr>
          <w:rFonts w:ascii="Arial" w:hAnsi="Arial" w:cs="Arial"/>
          <w:sz w:val="24"/>
          <w:szCs w:val="24"/>
        </w:rPr>
        <w:t>II</w:t>
      </w:r>
      <w:r w:rsidRPr="00A84B6D">
        <w:rPr>
          <w:rFonts w:ascii="Arial" w:hAnsi="Arial" w:cs="Arial"/>
          <w:sz w:val="24"/>
          <w:szCs w:val="24"/>
        </w:rPr>
        <w:t>I, de la Ley de Procedimiento y Justicia Administrativa para el Estado de  Oaxaca</w:t>
      </w:r>
      <w:r>
        <w:rPr>
          <w:rFonts w:ascii="Arial" w:hAnsi="Arial" w:cs="Arial"/>
          <w:sz w:val="24"/>
          <w:szCs w:val="24"/>
        </w:rPr>
        <w:t xml:space="preserve">,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sidRPr="00F949F3">
        <w:rPr>
          <w:rFonts w:ascii="Arial" w:hAnsi="Arial" w:cs="Arial"/>
          <w:bCs/>
          <w:sz w:val="24"/>
          <w:szCs w:val="24"/>
        </w:rPr>
        <w:t>consistente e</w:t>
      </w:r>
      <w:r>
        <w:rPr>
          <w:rFonts w:ascii="Arial" w:hAnsi="Arial" w:cs="Arial"/>
          <w:bCs/>
          <w:sz w:val="24"/>
          <w:szCs w:val="24"/>
        </w:rPr>
        <w:t xml:space="preserve">n la </w:t>
      </w:r>
      <w:r w:rsidRPr="0017483C">
        <w:rPr>
          <w:rFonts w:ascii="Arial" w:hAnsi="Arial" w:cs="Arial"/>
          <w:sz w:val="24"/>
          <w:szCs w:val="24"/>
        </w:rPr>
        <w:t>resolución</w:t>
      </w:r>
      <w:r>
        <w:rPr>
          <w:rFonts w:ascii="Arial" w:hAnsi="Arial" w:cs="Arial"/>
          <w:sz w:val="24"/>
          <w:szCs w:val="24"/>
        </w:rPr>
        <w:t xml:space="preserve"> de veintiséis de octubre de dos mil veinte, dictada dentro del expediente administrativo número </w:t>
      </w:r>
      <w:r>
        <w:rPr>
          <w:rFonts w:cs="Arial"/>
          <w:b/>
          <w:sz w:val="24"/>
          <w:szCs w:val="24"/>
        </w:rPr>
        <w:t>**********</w:t>
      </w:r>
      <w:r>
        <w:rPr>
          <w:rFonts w:ascii="Arial" w:hAnsi="Arial" w:cs="Arial"/>
          <w:sz w:val="24"/>
          <w:szCs w:val="24"/>
        </w:rPr>
        <w:t xml:space="preserve">, mediante la cual, se ordenó de manera inmediata y definitiva la remoción del cargo del actor </w:t>
      </w:r>
      <w:r>
        <w:rPr>
          <w:rFonts w:cs="Arial"/>
          <w:b/>
          <w:sz w:val="24"/>
          <w:szCs w:val="24"/>
        </w:rPr>
        <w:t>**********</w:t>
      </w:r>
      <w:r>
        <w:rPr>
          <w:rFonts w:cs="Arial"/>
          <w:b/>
          <w:sz w:val="24"/>
          <w:szCs w:val="24"/>
        </w:rPr>
        <w:t xml:space="preserve"> </w:t>
      </w:r>
      <w:r>
        <w:rPr>
          <w:rFonts w:ascii="Arial" w:hAnsi="Arial" w:cs="Arial"/>
          <w:sz w:val="24"/>
          <w:szCs w:val="24"/>
        </w:rPr>
        <w:t>como Agente Estatal de Investigaciones de la Fiscalía General del Estado de Oaxaca,</w:t>
      </w:r>
      <w:r>
        <w:rPr>
          <w:rFonts w:ascii="Arial" w:hAnsi="Arial" w:cs="Arial"/>
          <w:bCs/>
          <w:sz w:val="24"/>
          <w:szCs w:val="24"/>
        </w:rPr>
        <w:t xml:space="preserve"> por parte del Fiscal General del Estado de Oaxaca, por las razones emitidas en el presente considerando.</w:t>
      </w:r>
    </w:p>
    <w:p w:rsidR="00792355" w:rsidRDefault="00792355" w:rsidP="00792355">
      <w:pPr>
        <w:spacing w:line="360" w:lineRule="auto"/>
        <w:ind w:firstLine="709"/>
        <w:contextualSpacing/>
        <w:jc w:val="both"/>
        <w:rPr>
          <w:rFonts w:ascii="Arial" w:hAnsi="Arial" w:cs="Arial"/>
          <w:bCs/>
          <w:sz w:val="24"/>
          <w:szCs w:val="24"/>
        </w:rPr>
      </w:pPr>
    </w:p>
    <w:p w:rsidR="00792355" w:rsidRDefault="00792355" w:rsidP="00792355">
      <w:pPr>
        <w:pStyle w:val="Sangradetextonormal2"/>
        <w:tabs>
          <w:tab w:val="left" w:pos="567"/>
        </w:tabs>
        <w:spacing w:line="360" w:lineRule="auto"/>
        <w:ind w:right="51" w:firstLine="0"/>
        <w:jc w:val="both"/>
        <w:rPr>
          <w:rFonts w:ascii="Arial" w:hAnsi="Arial" w:cs="Arial"/>
          <w:sz w:val="24"/>
          <w:szCs w:val="24"/>
        </w:rPr>
      </w:pPr>
      <w:r>
        <w:rPr>
          <w:rFonts w:ascii="Arial" w:hAnsi="Arial" w:cs="Arial"/>
          <w:sz w:val="24"/>
          <w:szCs w:val="24"/>
        </w:rPr>
        <w:tab/>
      </w:r>
      <w:r w:rsidRPr="00402608">
        <w:rPr>
          <w:rFonts w:ascii="Arial" w:hAnsi="Arial" w:cs="Arial"/>
          <w:sz w:val="24"/>
          <w:szCs w:val="24"/>
        </w:rPr>
        <w:t>Tomando en consideración que, al haberse declarado la nulidad del acto descrito en el párrafo</w:t>
      </w:r>
      <w:r>
        <w:rPr>
          <w:rFonts w:ascii="Arial" w:hAnsi="Arial" w:cs="Arial"/>
          <w:sz w:val="24"/>
          <w:szCs w:val="24"/>
        </w:rPr>
        <w:t xml:space="preserve"> próximo anterior, con fundamento en el artículo 123, apartado B, fracción XIII, de la Constitución Política de los Estados Unidos Mexicanos, esta juzgadora procede al pronunciamiento de las prestaciones que hace valer en su escrito inicial de demanda el actor en la que solicita el pago de prestaciones al que dice tiene derecho y que hace consistir en: INDEMNIZACIÓN CONSTITUCIONAL, SALARIOS CAÍDOS a partir de la primera quincena del mes de diciembre de dos mil diecinueve y PRIMA DE ANTIGÜEDAD POR CADA AÑO </w:t>
      </w:r>
      <w:r w:rsidRPr="0056329B">
        <w:rPr>
          <w:rFonts w:ascii="Arial" w:hAnsi="Arial" w:cs="Arial"/>
          <w:sz w:val="24"/>
          <w:szCs w:val="24"/>
        </w:rPr>
        <w:t xml:space="preserve">LABORADO, esto es, </w:t>
      </w:r>
      <w:r w:rsidRPr="0056329B">
        <w:rPr>
          <w:rFonts w:ascii="Arial" w:hAnsi="Arial" w:cs="Arial"/>
          <w:sz w:val="24"/>
          <w:szCs w:val="24"/>
        </w:rPr>
        <w:lastRenderedPageBreak/>
        <w:t>veintiséis años</w:t>
      </w:r>
      <w:r>
        <w:rPr>
          <w:rFonts w:ascii="Arial" w:hAnsi="Arial" w:cs="Arial"/>
          <w:sz w:val="24"/>
          <w:szCs w:val="24"/>
        </w:rPr>
        <w:t xml:space="preserve">; en atención a lo anterior, se dejan a salvo los derechos del actor para que en ejecución de sentencia presente planilla de pago, en el entendido que debe acreditar fehacientemente los montos que percibía por concepto de haberes quincenales y los años de servicio, esto es así en virtud que de autos no se advierten las citadas documentales que son indispensables para determinar el monto a resarcir. </w:t>
      </w:r>
    </w:p>
    <w:p w:rsidR="00792355" w:rsidRDefault="00792355" w:rsidP="00792355">
      <w:pPr>
        <w:pStyle w:val="Sangradetextonormal2"/>
        <w:tabs>
          <w:tab w:val="left" w:pos="2041"/>
        </w:tabs>
        <w:spacing w:line="360" w:lineRule="auto"/>
        <w:ind w:right="51" w:firstLine="0"/>
        <w:jc w:val="both"/>
        <w:rPr>
          <w:rFonts w:ascii="Arial" w:hAnsi="Arial" w:cs="Arial"/>
          <w:sz w:val="24"/>
          <w:szCs w:val="24"/>
        </w:rPr>
      </w:pPr>
    </w:p>
    <w:p w:rsidR="00792355" w:rsidRPr="007B0581" w:rsidRDefault="00792355" w:rsidP="00792355">
      <w:pPr>
        <w:spacing w:line="360" w:lineRule="auto"/>
        <w:ind w:right="-93" w:firstLine="567"/>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w:t>
      </w:r>
      <w:r w:rsidRPr="00BB5812">
        <w:rPr>
          <w:rFonts w:ascii="Arial" w:hAnsi="Arial" w:cs="Arial"/>
          <w:sz w:val="24"/>
          <w:szCs w:val="24"/>
        </w:rPr>
        <w:t>Como la parte actora en el presente juicio,</w:t>
      </w:r>
      <w:r>
        <w:rPr>
          <w:rFonts w:ascii="Arial" w:hAnsi="Arial" w:cs="Arial"/>
          <w:sz w:val="24"/>
          <w:szCs w:val="24"/>
        </w:rPr>
        <w:t xml:space="preserve"> </w:t>
      </w:r>
      <w:r w:rsidRPr="00BD3DB4">
        <w:rPr>
          <w:rFonts w:ascii="Arial" w:hAnsi="Arial" w:cs="Arial"/>
          <w:b/>
          <w:bCs/>
          <w:sz w:val="24"/>
          <w:szCs w:val="24"/>
        </w:rPr>
        <w:t>no</w:t>
      </w:r>
      <w:r>
        <w:rPr>
          <w:rFonts w:ascii="Arial" w:hAnsi="Arial" w:cs="Arial"/>
          <w:b/>
          <w:sz w:val="24"/>
          <w:szCs w:val="24"/>
        </w:rPr>
        <w:t xml:space="preserve"> se</w:t>
      </w:r>
      <w:r w:rsidRPr="00BB5812">
        <w:rPr>
          <w:rFonts w:ascii="Arial" w:hAnsi="Arial" w:cs="Arial"/>
          <w:b/>
          <w:sz w:val="24"/>
          <w:szCs w:val="24"/>
        </w:rPr>
        <w:t xml:space="preserve"> opuso a la publicación de sus datos personales</w:t>
      </w:r>
      <w:r w:rsidRPr="00BB5812">
        <w:rPr>
          <w:rFonts w:ascii="Arial" w:hAnsi="Arial" w:cs="Arial"/>
          <w:sz w:val="24"/>
          <w:szCs w:val="24"/>
        </w:rPr>
        <w:t xml:space="preserve"> y al encontrarse obligad</w:t>
      </w:r>
      <w:r>
        <w:rPr>
          <w:rFonts w:ascii="Arial" w:hAnsi="Arial" w:cs="Arial"/>
          <w:sz w:val="24"/>
          <w:szCs w:val="24"/>
        </w:rPr>
        <w:t>a</w:t>
      </w:r>
      <w:r w:rsidRPr="00BB5812">
        <w:rPr>
          <w:rFonts w:ascii="Arial" w:hAnsi="Arial" w:cs="Arial"/>
          <w:sz w:val="24"/>
          <w:szCs w:val="24"/>
        </w:rPr>
        <w:t xml:space="preserve"> est</w:t>
      </w:r>
      <w:r>
        <w:rPr>
          <w:rFonts w:ascii="Arial" w:hAnsi="Arial" w:cs="Arial"/>
          <w:sz w:val="24"/>
          <w:szCs w:val="24"/>
        </w:rPr>
        <w:t>a</w:t>
      </w:r>
      <w:r w:rsidRPr="00BB5812">
        <w:rPr>
          <w:rFonts w:ascii="Arial" w:hAnsi="Arial" w:cs="Arial"/>
          <w:sz w:val="24"/>
          <w:szCs w:val="24"/>
        </w:rPr>
        <w:t xml:space="preserve"> juzgador</w:t>
      </w:r>
      <w:r>
        <w:rPr>
          <w:rFonts w:ascii="Arial" w:hAnsi="Arial" w:cs="Arial"/>
          <w:sz w:val="24"/>
          <w:szCs w:val="24"/>
        </w:rPr>
        <w:t xml:space="preserve">a </w:t>
      </w:r>
      <w:r w:rsidRPr="00BB5812">
        <w:rPr>
          <w:rFonts w:ascii="Arial" w:hAnsi="Arial" w:cs="Arial"/>
          <w:sz w:val="24"/>
          <w:szCs w:val="24"/>
        </w:rPr>
        <w:t>a proteger dicha información</w:t>
      </w:r>
      <w:r w:rsidRPr="00BB5812">
        <w:rPr>
          <w:rFonts w:ascii="Arial" w:hAnsi="Arial" w:cs="Arial"/>
          <w:b/>
          <w:sz w:val="24"/>
          <w:szCs w:val="24"/>
        </w:rPr>
        <w:t xml:space="preserve"> </w:t>
      </w:r>
      <w:r w:rsidRPr="00BB5812">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BB5812">
        <w:rPr>
          <w:rFonts w:ascii="Arial" w:hAnsi="Arial" w:cs="Arial"/>
          <w:b/>
          <w:sz w:val="24"/>
          <w:szCs w:val="24"/>
        </w:rPr>
        <w:t xml:space="preserve">se ordena la publicación de la sentencia, </w:t>
      </w:r>
      <w:r w:rsidRPr="00BB5812">
        <w:rPr>
          <w:rFonts w:ascii="Arial" w:hAnsi="Arial" w:cs="Arial"/>
          <w:sz w:val="24"/>
          <w:szCs w:val="24"/>
        </w:rPr>
        <w:t>con la supresión de datos personales identificables, procurándose que no se impida conocer el criterio sostenido por este órgano jurisdiccional.</w:t>
      </w:r>
    </w:p>
    <w:p w:rsidR="00792355" w:rsidRPr="007B0581" w:rsidRDefault="00792355" w:rsidP="00792355">
      <w:pPr>
        <w:spacing w:line="360" w:lineRule="auto"/>
        <w:ind w:right="-93" w:firstLine="708"/>
        <w:jc w:val="both"/>
        <w:rPr>
          <w:rFonts w:ascii="Arial" w:eastAsia="Calibri" w:hAnsi="Arial" w:cs="Arial"/>
          <w:color w:val="000000"/>
          <w:sz w:val="24"/>
          <w:szCs w:val="24"/>
          <w:lang w:val="es-MX" w:eastAsia="en-US"/>
        </w:rPr>
      </w:pPr>
    </w:p>
    <w:p w:rsidR="00792355" w:rsidRPr="007B0581" w:rsidRDefault="00792355" w:rsidP="00792355">
      <w:pPr>
        <w:spacing w:line="360" w:lineRule="auto"/>
        <w:ind w:firstLine="567"/>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w:t>
      </w:r>
      <w:r w:rsidRPr="00734450">
        <w:rPr>
          <w:rFonts w:ascii="Arial" w:eastAsia="Calibri" w:hAnsi="Arial" w:cs="Arial"/>
          <w:color w:val="000000"/>
          <w:sz w:val="24"/>
          <w:szCs w:val="24"/>
          <w:lang w:val="es-MX" w:eastAsia="en-US"/>
        </w:rPr>
        <w:t>207, y 209</w:t>
      </w:r>
      <w:r w:rsidRPr="007B0581">
        <w:rPr>
          <w:rFonts w:ascii="Arial" w:eastAsia="Calibri" w:hAnsi="Arial" w:cs="Arial"/>
          <w:color w:val="000000"/>
          <w:sz w:val="24"/>
          <w:szCs w:val="24"/>
          <w:lang w:val="es-MX" w:eastAsia="en-US"/>
        </w:rPr>
        <w:t xml:space="preserve">, de la Ley de Procedimiento y Justicia Administrativa para el Estado de Oaxaca, se; </w:t>
      </w:r>
    </w:p>
    <w:p w:rsidR="00792355" w:rsidRPr="007B0581" w:rsidRDefault="00792355" w:rsidP="00792355">
      <w:pPr>
        <w:spacing w:line="360" w:lineRule="auto"/>
        <w:ind w:firstLine="708"/>
        <w:jc w:val="both"/>
        <w:rPr>
          <w:rFonts w:ascii="Arial" w:eastAsia="Calibri" w:hAnsi="Arial" w:cs="Arial"/>
          <w:color w:val="000000"/>
          <w:sz w:val="24"/>
          <w:szCs w:val="24"/>
          <w:lang w:val="es-MX" w:eastAsia="en-US"/>
        </w:rPr>
      </w:pPr>
    </w:p>
    <w:p w:rsidR="00792355" w:rsidRDefault="00792355" w:rsidP="00792355">
      <w:pPr>
        <w:tabs>
          <w:tab w:val="left" w:pos="3786"/>
        </w:tabs>
        <w:spacing w:line="360" w:lineRule="auto"/>
        <w:ind w:firstLine="708"/>
        <w:jc w:val="both"/>
        <w:rPr>
          <w:rFonts w:ascii="Arial" w:eastAsia="Calibri" w:hAnsi="Arial" w:cs="Arial"/>
          <w:color w:val="000000"/>
          <w:sz w:val="24"/>
          <w:szCs w:val="24"/>
          <w:lang w:val="es-MX" w:eastAsia="en-US"/>
        </w:rPr>
      </w:pPr>
    </w:p>
    <w:p w:rsidR="00792355" w:rsidRDefault="00792355" w:rsidP="00792355">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792355" w:rsidRDefault="00792355" w:rsidP="00792355">
      <w:pPr>
        <w:tabs>
          <w:tab w:val="left" w:pos="3786"/>
        </w:tabs>
        <w:spacing w:line="360" w:lineRule="auto"/>
        <w:ind w:firstLine="708"/>
        <w:jc w:val="both"/>
        <w:rPr>
          <w:rFonts w:ascii="Arial" w:hAnsi="Arial" w:cs="Arial"/>
          <w:b/>
          <w:sz w:val="24"/>
          <w:szCs w:val="24"/>
        </w:rPr>
      </w:pPr>
    </w:p>
    <w:p w:rsidR="00792355" w:rsidRDefault="00792355" w:rsidP="00792355">
      <w:pPr>
        <w:tabs>
          <w:tab w:val="left" w:pos="3786"/>
        </w:tabs>
        <w:spacing w:line="360" w:lineRule="auto"/>
        <w:ind w:firstLine="708"/>
        <w:jc w:val="both"/>
        <w:rPr>
          <w:rFonts w:ascii="Arial" w:hAnsi="Arial" w:cs="Arial"/>
          <w:b/>
          <w:sz w:val="24"/>
          <w:szCs w:val="24"/>
        </w:rPr>
      </w:pPr>
    </w:p>
    <w:p w:rsidR="00792355" w:rsidRPr="007B0581" w:rsidRDefault="00792355" w:rsidP="00792355">
      <w:pPr>
        <w:spacing w:line="360" w:lineRule="auto"/>
        <w:ind w:firstLine="567"/>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792355" w:rsidRPr="007B0581" w:rsidRDefault="00792355" w:rsidP="00792355">
      <w:pPr>
        <w:pStyle w:val="Textoindependiente"/>
        <w:ind w:firstLine="709"/>
        <w:contextualSpacing/>
        <w:jc w:val="both"/>
        <w:rPr>
          <w:rFonts w:ascii="Arial" w:hAnsi="Arial" w:cs="Arial"/>
          <w:b/>
          <w:sz w:val="24"/>
          <w:szCs w:val="24"/>
        </w:rPr>
      </w:pPr>
    </w:p>
    <w:p w:rsidR="00792355" w:rsidRDefault="00792355" w:rsidP="00792355">
      <w:pPr>
        <w:pStyle w:val="Textoindependiente"/>
        <w:spacing w:line="360" w:lineRule="auto"/>
        <w:ind w:firstLine="567"/>
        <w:jc w:val="both"/>
        <w:rPr>
          <w:rFonts w:ascii="Arial" w:eastAsia="Arial Unicode MS" w:hAnsi="Arial" w:cs="Arial"/>
          <w:kern w:val="1"/>
          <w:sz w:val="24"/>
          <w:szCs w:val="24"/>
          <w:lang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 parte</w:t>
      </w:r>
      <w:r>
        <w:rPr>
          <w:rFonts w:ascii="Arial" w:eastAsia="Arial Unicode MS" w:hAnsi="Arial" w:cs="Arial"/>
          <w:kern w:val="1"/>
          <w:sz w:val="24"/>
          <w:szCs w:val="24"/>
          <w:lang w:val="es-MX" w:eastAsia="ar-SA"/>
        </w:rPr>
        <w:t xml:space="preserve"> actora</w:t>
      </w:r>
      <w:r w:rsidRPr="007B0581">
        <w:rPr>
          <w:rFonts w:ascii="Arial" w:eastAsia="Arial Unicode MS" w:hAnsi="Arial" w:cs="Arial"/>
          <w:kern w:val="1"/>
          <w:sz w:val="24"/>
          <w:szCs w:val="24"/>
          <w:lang w:eastAsia="ar-SA"/>
        </w:rPr>
        <w:t xml:space="preserve"> quedó acreditada en autos.</w:t>
      </w:r>
    </w:p>
    <w:p w:rsidR="00792355" w:rsidRDefault="00792355" w:rsidP="00792355">
      <w:pPr>
        <w:pStyle w:val="Textoindependiente"/>
        <w:spacing w:line="360" w:lineRule="auto"/>
        <w:ind w:firstLine="567"/>
        <w:jc w:val="both"/>
        <w:rPr>
          <w:rFonts w:ascii="Arial" w:hAnsi="Arial" w:cs="Arial"/>
          <w:sz w:val="24"/>
          <w:szCs w:val="24"/>
        </w:rPr>
      </w:pPr>
      <w:r w:rsidRPr="007B0581">
        <w:rPr>
          <w:rFonts w:ascii="Arial" w:eastAsia="Arial Unicode MS" w:hAnsi="Arial" w:cs="Arial"/>
          <w:kern w:val="1"/>
          <w:sz w:val="24"/>
          <w:szCs w:val="24"/>
          <w:lang w:val="es-MX" w:eastAsia="ar-SA"/>
        </w:rPr>
        <w:t xml:space="preserve"> </w:t>
      </w:r>
      <w:r w:rsidRPr="001A3E64">
        <w:rPr>
          <w:rFonts w:ascii="Arial" w:hAnsi="Arial" w:cs="Arial"/>
          <w:b/>
          <w:sz w:val="24"/>
          <w:szCs w:val="24"/>
        </w:rPr>
        <w:t>TERCERO. -</w:t>
      </w:r>
      <w:r w:rsidRPr="001A3E64">
        <w:rPr>
          <w:rFonts w:ascii="Arial" w:hAnsi="Arial" w:cs="Arial"/>
          <w:b/>
          <w:sz w:val="24"/>
          <w:szCs w:val="24"/>
          <w:lang w:val="es-MX"/>
        </w:rPr>
        <w:t xml:space="preserve"> </w:t>
      </w:r>
      <w:r>
        <w:rPr>
          <w:rFonts w:ascii="Arial" w:hAnsi="Arial" w:cs="Arial"/>
          <w:sz w:val="24"/>
          <w:szCs w:val="24"/>
        </w:rPr>
        <w:t>No se configuró</w:t>
      </w:r>
      <w:r w:rsidRPr="00BC357D">
        <w:rPr>
          <w:rFonts w:ascii="Arial" w:hAnsi="Arial" w:cs="Arial"/>
          <w:sz w:val="24"/>
          <w:szCs w:val="24"/>
        </w:rPr>
        <w:t xml:space="preserve"> causal alguna de improcedencia.  En consecuencia, </w:t>
      </w:r>
      <w:r w:rsidRPr="00BC357D">
        <w:rPr>
          <w:rFonts w:ascii="Arial" w:hAnsi="Arial" w:cs="Arial"/>
          <w:b/>
          <w:bCs/>
          <w:sz w:val="24"/>
          <w:szCs w:val="24"/>
        </w:rPr>
        <w:t xml:space="preserve">NO SE SOBRESEE </w:t>
      </w:r>
      <w:r w:rsidRPr="00BC357D">
        <w:rPr>
          <w:rFonts w:ascii="Arial" w:hAnsi="Arial" w:cs="Arial"/>
          <w:sz w:val="24"/>
          <w:szCs w:val="24"/>
        </w:rPr>
        <w:t>el presente juicio.</w:t>
      </w:r>
    </w:p>
    <w:p w:rsidR="00792355" w:rsidRDefault="00792355" w:rsidP="00792355">
      <w:pPr>
        <w:spacing w:line="360" w:lineRule="auto"/>
        <w:ind w:right="51" w:firstLine="567"/>
        <w:contextualSpacing/>
        <w:jc w:val="both"/>
        <w:rPr>
          <w:rFonts w:ascii="Arial" w:hAnsi="Arial" w:cs="Arial"/>
          <w:sz w:val="24"/>
          <w:szCs w:val="24"/>
        </w:rPr>
      </w:pPr>
    </w:p>
    <w:p w:rsidR="00792355" w:rsidRDefault="00792355" w:rsidP="00792355">
      <w:pPr>
        <w:spacing w:line="360" w:lineRule="auto"/>
        <w:ind w:right="51" w:firstLine="567"/>
        <w:jc w:val="both"/>
        <w:rPr>
          <w:rFonts w:ascii="Arial" w:hAnsi="Arial" w:cs="Arial"/>
          <w:bCs/>
          <w:sz w:val="24"/>
          <w:szCs w:val="24"/>
        </w:rPr>
      </w:pPr>
      <w:r w:rsidRPr="007B0581">
        <w:rPr>
          <w:rFonts w:ascii="Arial" w:hAnsi="Arial" w:cs="Arial"/>
          <w:b/>
          <w:sz w:val="24"/>
          <w:szCs w:val="24"/>
          <w:lang w:val="es-MX"/>
        </w:rPr>
        <w:t xml:space="preserve">CUARTO. </w:t>
      </w:r>
      <w:r>
        <w:rPr>
          <w:rFonts w:ascii="Arial" w:hAnsi="Arial" w:cs="Arial"/>
          <w:b/>
          <w:sz w:val="24"/>
          <w:szCs w:val="24"/>
          <w:lang w:val="es-MX"/>
        </w:rPr>
        <w:t>-</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8930AE">
        <w:rPr>
          <w:rFonts w:ascii="Arial" w:hAnsi="Arial" w:cs="Arial"/>
          <w:sz w:val="24"/>
          <w:szCs w:val="24"/>
        </w:rPr>
        <w:t>de</w:t>
      </w:r>
      <w:r>
        <w:rPr>
          <w:rFonts w:ascii="Arial" w:hAnsi="Arial" w:cs="Arial"/>
          <w:sz w:val="24"/>
          <w:szCs w:val="24"/>
        </w:rPr>
        <w:t xml:space="preserve"> la resolución de veintiséis de octubre de dos mil veinte, emitida en el expediente administrativo </w:t>
      </w:r>
      <w:r>
        <w:rPr>
          <w:rFonts w:cs="Arial"/>
          <w:b/>
          <w:sz w:val="24"/>
          <w:szCs w:val="24"/>
        </w:rPr>
        <w:t>**********</w:t>
      </w:r>
      <w:r>
        <w:rPr>
          <w:rFonts w:cs="Arial"/>
          <w:b/>
          <w:sz w:val="24"/>
          <w:szCs w:val="24"/>
        </w:rPr>
        <w:t xml:space="preserve"> </w:t>
      </w:r>
      <w:r>
        <w:rPr>
          <w:rFonts w:ascii="Arial" w:hAnsi="Arial" w:cs="Arial"/>
          <w:sz w:val="24"/>
          <w:szCs w:val="24"/>
        </w:rPr>
        <w:t>por el Fiscal General del Estado de Oaxaca</w:t>
      </w:r>
      <w:r>
        <w:rPr>
          <w:rFonts w:ascii="Arial" w:hAnsi="Arial" w:cs="Arial"/>
          <w:bCs/>
          <w:sz w:val="24"/>
          <w:szCs w:val="24"/>
        </w:rPr>
        <w:t>, por las razones y</w:t>
      </w:r>
      <w:r w:rsidRPr="00BB5812">
        <w:rPr>
          <w:rFonts w:ascii="Arial" w:hAnsi="Arial" w:cs="Arial"/>
          <w:bCs/>
          <w:sz w:val="24"/>
          <w:szCs w:val="24"/>
        </w:rPr>
        <w:t xml:space="preserve"> </w:t>
      </w:r>
      <w:r>
        <w:rPr>
          <w:rFonts w:ascii="Arial" w:hAnsi="Arial" w:cs="Arial"/>
          <w:sz w:val="24"/>
          <w:szCs w:val="24"/>
        </w:rPr>
        <w:t xml:space="preserve">en los términos establecidos </w:t>
      </w:r>
      <w:r>
        <w:rPr>
          <w:rFonts w:ascii="Arial" w:hAnsi="Arial" w:cs="Arial"/>
          <w:bCs/>
          <w:sz w:val="24"/>
          <w:szCs w:val="24"/>
        </w:rPr>
        <w:t>en 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resolución.</w:t>
      </w:r>
    </w:p>
    <w:p w:rsidR="00792355" w:rsidRPr="007B0581" w:rsidRDefault="00792355" w:rsidP="00792355">
      <w:pPr>
        <w:spacing w:line="360" w:lineRule="auto"/>
        <w:ind w:right="51" w:firstLine="567"/>
        <w:jc w:val="both"/>
        <w:rPr>
          <w:rFonts w:ascii="Arial" w:hAnsi="Arial" w:cs="Arial"/>
          <w:sz w:val="24"/>
          <w:szCs w:val="24"/>
          <w:lang w:val="es-MX"/>
        </w:rPr>
      </w:pPr>
    </w:p>
    <w:p w:rsidR="00792355" w:rsidRDefault="00792355" w:rsidP="00792355">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lastRenderedPageBreak/>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792355" w:rsidRPr="007B0581" w:rsidRDefault="00792355" w:rsidP="00792355">
      <w:pPr>
        <w:spacing w:line="360" w:lineRule="auto"/>
        <w:ind w:right="51" w:firstLine="567"/>
        <w:jc w:val="both"/>
        <w:rPr>
          <w:rFonts w:ascii="Arial" w:eastAsia="Calibri" w:hAnsi="Arial" w:cs="Arial"/>
          <w:b/>
          <w:color w:val="000000"/>
          <w:sz w:val="24"/>
          <w:szCs w:val="24"/>
          <w:lang w:val="es-MX" w:eastAsia="en-US"/>
        </w:rPr>
      </w:pPr>
    </w:p>
    <w:p w:rsidR="00792355" w:rsidRDefault="00792355" w:rsidP="00792355">
      <w:pPr>
        <w:widowControl w:val="0"/>
        <w:spacing w:line="360" w:lineRule="auto"/>
        <w:ind w:firstLine="567"/>
        <w:jc w:val="both"/>
        <w:rPr>
          <w:rFonts w:ascii="Arial" w:hAnsi="Arial" w:cs="Arial"/>
          <w:sz w:val="24"/>
          <w:szCs w:val="24"/>
          <w:lang w:eastAsia="es-ES"/>
        </w:rPr>
      </w:pP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Hernández,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355" w:rsidRDefault="00792355" w:rsidP="00792355">
      <w:r>
        <w:separator/>
      </w:r>
    </w:p>
  </w:endnote>
  <w:endnote w:type="continuationSeparator" w:id="0">
    <w:p w:rsidR="00792355" w:rsidRDefault="00792355" w:rsidP="007923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792355">
        <w:pPr>
          <w:pStyle w:val="Piedepgina"/>
          <w:jc w:val="center"/>
        </w:pPr>
        <w:r>
          <w:fldChar w:fldCharType="begin"/>
        </w:r>
        <w:r>
          <w:instrText>PAGE   \* MERGEFORMAT</w:instrText>
        </w:r>
        <w:r>
          <w:fldChar w:fldCharType="separate"/>
        </w:r>
        <w:r>
          <w:rPr>
            <w:noProof/>
          </w:rPr>
          <w:t>9</w:t>
        </w:r>
        <w:r>
          <w:fldChar w:fldCharType="end"/>
        </w:r>
      </w:p>
    </w:sdtContent>
  </w:sdt>
  <w:p w:rsidR="009525A3" w:rsidRDefault="0079235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355" w:rsidRDefault="00792355" w:rsidP="00792355">
      <w:r>
        <w:separator/>
      </w:r>
    </w:p>
  </w:footnote>
  <w:footnote w:type="continuationSeparator" w:id="0">
    <w:p w:rsidR="00792355" w:rsidRDefault="00792355" w:rsidP="007923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792355" w:rsidP="00A73AD7">
    <w:pPr>
      <w:pStyle w:val="Encabezado"/>
      <w:jc w:val="right"/>
      <w:rPr>
        <w:rFonts w:ascii="Arial" w:hAnsi="Arial" w:cs="Arial"/>
      </w:rPr>
    </w:pPr>
    <w:r w:rsidRPr="00C973C3">
      <w:rPr>
        <w:rFonts w:eastAsia="Calibri"/>
        <w:noProof/>
        <w:lang w:val="es-MX"/>
      </w:rPr>
      <mc:AlternateContent>
        <mc:Choice Requires="wps">
          <w:drawing>
            <wp:anchor distT="45720" distB="45720" distL="114300" distR="114300" simplePos="0" relativeHeight="251663360" behindDoc="1" locked="0" layoutInCell="1" allowOverlap="1" wp14:anchorId="315DBFBF" wp14:editId="7491E059">
              <wp:simplePos x="0" y="0"/>
              <wp:positionH relativeFrom="leftMargin">
                <wp:posOffset>305386</wp:posOffset>
              </wp:positionH>
              <wp:positionV relativeFrom="paragraph">
                <wp:posOffset>4344328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92355" w:rsidRDefault="00792355" w:rsidP="0079235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5DBFBF" id="_x0000_t202" coordsize="21600,21600" o:spt="202" path="m,l,21600r21600,l21600,xe">
              <v:stroke joinstyle="miter"/>
              <v:path gradientshapeok="t" o:connecttype="rect"/>
            </v:shapetype>
            <v:shape id="Cuadro de texto 5" o:spid="_x0000_s1026" type="#_x0000_t202" style="position:absolute;left:0;text-align:left;margin-left:24.05pt;margin-top:342.0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5zLwIAAFgEAAAOAAAAZHJzL2Uyb0RvYy54bWysVNtu2zAMfR+wfxD0vtgJ4q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">
              <v:textbox>
                <w:txbxContent>
                  <w:p w:rsidR="00792355" w:rsidRDefault="00792355" w:rsidP="00792355">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6D4CDC0D" wp14:editId="38A2DF13">
          <wp:simplePos x="0" y="0"/>
          <wp:positionH relativeFrom="page">
            <wp:posOffset>2457450</wp:posOffset>
          </wp:positionH>
          <wp:positionV relativeFrom="paragraph">
            <wp:posOffset>4350385</wp:posOffset>
          </wp:positionV>
          <wp:extent cx="2428875" cy="2428875"/>
          <wp:effectExtent l="0" t="0" r="9525" b="9525"/>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w:t>
    </w:r>
    <w:r>
      <w:rPr>
        <w:rFonts w:ascii="Arial" w:hAnsi="Arial" w:cs="Arial"/>
      </w:rPr>
      <w:t>1</w:t>
    </w:r>
    <w:r>
      <w:rPr>
        <w:rFonts w:ascii="Arial" w:hAnsi="Arial" w:cs="Arial"/>
      </w:rPr>
      <w:t>80</w:t>
    </w:r>
    <w:r w:rsidRPr="00A73AD7">
      <w:rPr>
        <w:rFonts w:ascii="Arial" w:hAnsi="Arial" w:cs="Arial"/>
      </w:rPr>
      <w:t>/20</w:t>
    </w:r>
    <w:r>
      <w:rPr>
        <w:rFonts w:ascii="Arial" w:hAnsi="Arial" w:cs="Arial"/>
      </w:rPr>
      <w:t>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792355">
    <w:pPr>
      <w:pStyle w:val="Encabezado"/>
    </w:pPr>
    <w:r w:rsidRPr="00C973C3">
      <w:rPr>
        <w:rFonts w:eastAsia="Calibri"/>
        <w:noProof/>
        <w:lang w:val="es-MX"/>
      </w:rPr>
      <mc:AlternateContent>
        <mc:Choice Requires="wps">
          <w:drawing>
            <wp:anchor distT="45720" distB="45720" distL="114300" distR="114300" simplePos="0" relativeHeight="251665408" behindDoc="1" locked="0" layoutInCell="1" allowOverlap="1" wp14:anchorId="2B77B93F" wp14:editId="2B0A614E">
              <wp:simplePos x="0" y="0"/>
              <wp:positionH relativeFrom="leftMargin">
                <wp:posOffset>288388</wp:posOffset>
              </wp:positionH>
              <wp:positionV relativeFrom="paragraph">
                <wp:posOffset>4713800</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792355" w:rsidRDefault="00792355" w:rsidP="0079235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B77B93F" id="_x0000_t202" coordsize="21600,21600" o:spt="202" path="m,l,21600r21600,l21600,xe">
              <v:stroke joinstyle="miter"/>
              <v:path gradientshapeok="t" o:connecttype="rect"/>
            </v:shapetype>
            <v:shape id="Cuadro de texto 1" o:spid="_x0000_s1027" type="#_x0000_t202" style="position:absolute;margin-left:22.7pt;margin-top:371.1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nB4NAIAAF8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">
              <v:textbox>
                <w:txbxContent>
                  <w:p w:rsidR="00792355" w:rsidRDefault="00792355" w:rsidP="00792355">
                    <w:pPr>
                      <w:jc w:val="center"/>
                    </w:pPr>
                    <w:r>
                      <w:t>DATOS PERSONALES PROTEGIDOS POR EL ART.- 116 DE LA LGTAIP Y EL ART.- 61 DE LA LTAIPEO</w:t>
                    </w:r>
                  </w:p>
                </w:txbxContent>
              </v:textbox>
              <w10:wrap anchorx="margin"/>
            </v:shape>
          </w:pict>
        </mc:Fallback>
      </mc:AlternateContent>
    </w:r>
    <w:r>
      <w:rPr>
        <w:noProof/>
        <w:lang w:val="es-MX"/>
      </w:rPr>
      <w:drawing>
        <wp:anchor distT="0" distB="0" distL="114300" distR="114300" simplePos="0" relativeHeight="251661312" behindDoc="1" locked="0" layoutInCell="1" allowOverlap="1" wp14:anchorId="103945AF" wp14:editId="0032F7FC">
          <wp:simplePos x="0" y="0"/>
          <wp:positionH relativeFrom="margin">
            <wp:align>left</wp:align>
          </wp:positionH>
          <wp:positionV relativeFrom="paragraph">
            <wp:posOffset>626110</wp:posOffset>
          </wp:positionV>
          <wp:extent cx="838200" cy="838200"/>
          <wp:effectExtent l="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3E6034DF" wp14:editId="0BD91CF1">
          <wp:simplePos x="0" y="0"/>
          <wp:positionH relativeFrom="page">
            <wp:posOffset>3219450</wp:posOffset>
          </wp:positionH>
          <wp:positionV relativeFrom="paragraph">
            <wp:posOffset>4836160</wp:posOffset>
          </wp:positionV>
          <wp:extent cx="1781175" cy="1781175"/>
          <wp:effectExtent l="0" t="0" r="9525" b="952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355"/>
    <w:rsid w:val="00294EC6"/>
    <w:rsid w:val="004B1DB0"/>
    <w:rsid w:val="005223BF"/>
    <w:rsid w:val="00685BC3"/>
    <w:rsid w:val="00792355"/>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CE3A918F-72B1-4A1D-B510-E938FD652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355"/>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792355"/>
    <w:pPr>
      <w:spacing w:after="120"/>
    </w:pPr>
    <w:rPr>
      <w:lang w:val="x-none"/>
    </w:rPr>
  </w:style>
  <w:style w:type="character" w:customStyle="1" w:styleId="TextoindependienteCar">
    <w:name w:val="Texto independiente Car"/>
    <w:basedOn w:val="Fuentedeprrafopredeter"/>
    <w:link w:val="Textoindependiente"/>
    <w:uiPriority w:val="99"/>
    <w:rsid w:val="00792355"/>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792355"/>
    <w:pPr>
      <w:autoSpaceDE w:val="0"/>
      <w:autoSpaceDN w:val="0"/>
    </w:pPr>
    <w:rPr>
      <w:lang w:eastAsia="es-ES"/>
    </w:rPr>
  </w:style>
  <w:style w:type="character" w:customStyle="1" w:styleId="TextonotapieCar">
    <w:name w:val="Texto nota pie Car"/>
    <w:basedOn w:val="Fuentedeprrafopredeter"/>
    <w:link w:val="Textonotapie"/>
    <w:uiPriority w:val="99"/>
    <w:rsid w:val="00792355"/>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79235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792355"/>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792355"/>
    <w:pPr>
      <w:tabs>
        <w:tab w:val="center" w:pos="4419"/>
        <w:tab w:val="right" w:pos="8838"/>
      </w:tabs>
    </w:pPr>
  </w:style>
  <w:style w:type="character" w:customStyle="1" w:styleId="EncabezadoCar">
    <w:name w:val="Encabezado Car"/>
    <w:basedOn w:val="Fuentedeprrafopredeter"/>
    <w:link w:val="Encabezado"/>
    <w:uiPriority w:val="99"/>
    <w:rsid w:val="00792355"/>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792355"/>
    <w:pPr>
      <w:tabs>
        <w:tab w:val="center" w:pos="4419"/>
        <w:tab w:val="right" w:pos="8838"/>
      </w:tabs>
    </w:pPr>
  </w:style>
  <w:style w:type="character" w:customStyle="1" w:styleId="PiedepginaCar">
    <w:name w:val="Pie de página Car"/>
    <w:basedOn w:val="Fuentedeprrafopredeter"/>
    <w:link w:val="Piedepgina"/>
    <w:uiPriority w:val="99"/>
    <w:rsid w:val="00792355"/>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792355"/>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6EC"/>
    <w:rsid w:val="00F026E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B629C94062D947A095E2CC1B4F01B83F">
    <w:name w:val="B629C94062D947A095E2CC1B4F01B83F"/>
    <w:rsid w:val="00F02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3014</Words>
  <Characters>16580</Characters>
  <Application>Microsoft Office Word</Application>
  <DocSecurity>0</DocSecurity>
  <Lines>138</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19555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2023-07-13T23:01:00Z</dcterms:created>
  <dcterms:modified xsi:type="dcterms:W3CDTF">2023-07-13T23:07:00Z</dcterms:modified>
</cp:coreProperties>
</file>