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9AA" w:rsidRPr="00820495" w:rsidRDefault="00D629AA" w:rsidP="00D629AA"/>
    <w:p w:rsidR="00D629AA" w:rsidRDefault="00D629AA" w:rsidP="00D629AA">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BC60C9" w:rsidRPr="001872CB" w:rsidTr="00920909">
        <w:tc>
          <w:tcPr>
            <w:tcW w:w="2356" w:type="dxa"/>
          </w:tcPr>
          <w:p w:rsidR="00BC60C9" w:rsidRPr="00CC0405" w:rsidRDefault="00BC60C9" w:rsidP="00920909">
            <w:pPr>
              <w:rPr>
                <w:rFonts w:ascii="Arial" w:hAnsi="Arial" w:cs="Arial"/>
                <w:sz w:val="26"/>
                <w:szCs w:val="26"/>
                <w:lang w:val="es-ES"/>
              </w:rPr>
            </w:pPr>
          </w:p>
        </w:tc>
        <w:tc>
          <w:tcPr>
            <w:tcW w:w="7426" w:type="dxa"/>
          </w:tcPr>
          <w:p w:rsidR="00BC60C9" w:rsidRPr="001872CB" w:rsidRDefault="00BC60C9" w:rsidP="00920909">
            <w:pPr>
              <w:tabs>
                <w:tab w:val="left" w:pos="3103"/>
              </w:tabs>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BC60C9" w:rsidRPr="001872CB" w:rsidRDefault="00BC60C9" w:rsidP="00920909">
            <w:pPr>
              <w:tabs>
                <w:tab w:val="center" w:pos="4252"/>
                <w:tab w:val="right" w:pos="8504"/>
              </w:tabs>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BC60C9" w:rsidRPr="001872CB" w:rsidRDefault="00BC60C9" w:rsidP="00920909">
            <w:pPr>
              <w:tabs>
                <w:tab w:val="center" w:pos="4252"/>
                <w:tab w:val="right" w:pos="8504"/>
              </w:tabs>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RECURSO DE REVISIÓN:   </w:t>
            </w:r>
            <w:r w:rsidR="005F3943">
              <w:rPr>
                <w:rFonts w:ascii="Arial" w:eastAsia="PMingLiU" w:hAnsi="Arial" w:cs="Arial"/>
                <w:b/>
                <w:iCs/>
                <w:caps/>
                <w:sz w:val="26"/>
                <w:szCs w:val="26"/>
                <w:lang w:val="es-PE" w:eastAsia="zh-TW"/>
              </w:rPr>
              <w:t>0189/2019</w:t>
            </w:r>
            <w:r>
              <w:rPr>
                <w:rFonts w:ascii="Arial" w:eastAsia="PMingLiU" w:hAnsi="Arial" w:cs="Arial"/>
                <w:b/>
                <w:iCs/>
                <w:caps/>
                <w:sz w:val="26"/>
                <w:szCs w:val="26"/>
                <w:lang w:val="es-PE" w:eastAsia="zh-TW"/>
              </w:rPr>
              <w:t>.</w:t>
            </w:r>
          </w:p>
          <w:p w:rsidR="00BC60C9" w:rsidRPr="001872CB" w:rsidRDefault="00BC60C9" w:rsidP="00920909">
            <w:pPr>
              <w:tabs>
                <w:tab w:val="center" w:pos="4252"/>
                <w:tab w:val="right" w:pos="8504"/>
              </w:tabs>
              <w:ind w:right="51"/>
              <w:jc w:val="both"/>
              <w:rPr>
                <w:rFonts w:ascii="Arial" w:eastAsia="PMingLiU" w:hAnsi="Arial" w:cs="Arial"/>
                <w:b/>
                <w:iCs/>
                <w:caps/>
                <w:sz w:val="26"/>
                <w:szCs w:val="26"/>
                <w:lang w:val="es-PE" w:eastAsia="zh-TW"/>
              </w:rPr>
            </w:pPr>
          </w:p>
          <w:p w:rsidR="00BC60C9" w:rsidRPr="001872CB" w:rsidRDefault="00BC60C9" w:rsidP="00920909">
            <w:pPr>
              <w:tabs>
                <w:tab w:val="center" w:pos="4252"/>
                <w:tab w:val="right" w:pos="8504"/>
              </w:tabs>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005F3943">
              <w:rPr>
                <w:rFonts w:ascii="Arial" w:eastAsia="PMingLiU" w:hAnsi="Arial" w:cs="Arial"/>
                <w:b/>
                <w:iCs/>
                <w:caps/>
                <w:sz w:val="26"/>
                <w:szCs w:val="26"/>
                <w:lang w:val="es-PE" w:eastAsia="zh-TW"/>
              </w:rPr>
              <w:t xml:space="preserve"> 55</w:t>
            </w:r>
            <w:r>
              <w:rPr>
                <w:rFonts w:ascii="Arial" w:eastAsia="PMingLiU" w:hAnsi="Arial" w:cs="Arial"/>
                <w:b/>
                <w:iCs/>
                <w:caps/>
                <w:sz w:val="26"/>
                <w:szCs w:val="26"/>
                <w:lang w:val="es-PE" w:eastAsia="zh-TW"/>
              </w:rPr>
              <w:t>/2016 de la TERCERA</w:t>
            </w:r>
            <w:r w:rsidRPr="001872CB">
              <w:rPr>
                <w:rFonts w:ascii="Arial" w:eastAsia="PMingLiU" w:hAnsi="Arial" w:cs="Arial"/>
                <w:b/>
                <w:iCs/>
                <w:caps/>
                <w:sz w:val="26"/>
                <w:szCs w:val="26"/>
                <w:lang w:val="es-PE" w:eastAsia="zh-TW"/>
              </w:rPr>
              <w:t xml:space="preserve"> sala unitaria DE PRIMERA INSTANCIA.</w:t>
            </w:r>
          </w:p>
          <w:p w:rsidR="00BC60C9" w:rsidRPr="001872CB" w:rsidRDefault="00BC60C9" w:rsidP="00920909">
            <w:pPr>
              <w:tabs>
                <w:tab w:val="center" w:pos="4252"/>
                <w:tab w:val="right" w:pos="8504"/>
              </w:tabs>
              <w:ind w:left="1119" w:right="51" w:hanging="1119"/>
              <w:jc w:val="both"/>
              <w:rPr>
                <w:rFonts w:ascii="Arial" w:eastAsia="PMingLiU" w:hAnsi="Arial" w:cs="Arial"/>
                <w:b/>
                <w:iCs/>
                <w:caps/>
                <w:sz w:val="26"/>
                <w:szCs w:val="26"/>
                <w:lang w:val="es-PE" w:eastAsia="zh-TW"/>
              </w:rPr>
            </w:pPr>
          </w:p>
          <w:p w:rsidR="00BC60C9" w:rsidRPr="001872CB" w:rsidRDefault="00BC60C9" w:rsidP="00920909">
            <w:pPr>
              <w:tabs>
                <w:tab w:val="center" w:pos="4252"/>
                <w:tab w:val="right" w:pos="8504"/>
              </w:tabs>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ponente: magISTRADo </w:t>
            </w:r>
            <w:r w:rsidR="005F3943">
              <w:rPr>
                <w:rFonts w:ascii="Arial" w:eastAsia="PMingLiU" w:hAnsi="Arial" w:cs="Arial"/>
                <w:b/>
                <w:iCs/>
                <w:sz w:val="26"/>
                <w:szCs w:val="26"/>
                <w:lang w:val="es-PE" w:eastAsia="zh-TW"/>
              </w:rPr>
              <w:t>ABRAHAM SANTIAGO SORIANO.</w:t>
            </w:r>
          </w:p>
        </w:tc>
      </w:tr>
      <w:tr w:rsidR="00BC60C9" w:rsidRPr="001872CB" w:rsidTr="00920909">
        <w:tc>
          <w:tcPr>
            <w:tcW w:w="2356" w:type="dxa"/>
          </w:tcPr>
          <w:p w:rsidR="00BC60C9" w:rsidRPr="001872CB" w:rsidRDefault="00BC60C9" w:rsidP="00920909">
            <w:pPr>
              <w:rPr>
                <w:rFonts w:ascii="Arial" w:hAnsi="Arial" w:cs="Arial"/>
                <w:b/>
                <w:sz w:val="26"/>
                <w:szCs w:val="26"/>
                <w:lang w:val="es-ES"/>
              </w:rPr>
            </w:pPr>
          </w:p>
        </w:tc>
        <w:tc>
          <w:tcPr>
            <w:tcW w:w="7426" w:type="dxa"/>
          </w:tcPr>
          <w:p w:rsidR="00BC60C9" w:rsidRPr="001872CB" w:rsidRDefault="00BC60C9" w:rsidP="00920909">
            <w:pPr>
              <w:tabs>
                <w:tab w:val="left" w:pos="3103"/>
              </w:tabs>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BC60C9" w:rsidRPr="001872CB" w:rsidTr="00920909">
        <w:tc>
          <w:tcPr>
            <w:tcW w:w="2356" w:type="dxa"/>
          </w:tcPr>
          <w:p w:rsidR="00BC60C9" w:rsidRPr="001872CB" w:rsidRDefault="00BC60C9" w:rsidP="00920909">
            <w:pPr>
              <w:rPr>
                <w:rFonts w:ascii="Arial" w:hAnsi="Arial" w:cs="Arial"/>
                <w:b/>
                <w:sz w:val="26"/>
                <w:szCs w:val="26"/>
                <w:lang w:val="es-ES"/>
              </w:rPr>
            </w:pPr>
          </w:p>
        </w:tc>
        <w:tc>
          <w:tcPr>
            <w:tcW w:w="7426" w:type="dxa"/>
          </w:tcPr>
          <w:p w:rsidR="00BC60C9" w:rsidRPr="001872CB" w:rsidRDefault="00BC60C9" w:rsidP="00920909">
            <w:pPr>
              <w:tabs>
                <w:tab w:val="left" w:pos="3103"/>
              </w:tabs>
              <w:ind w:left="2961" w:hanging="2961"/>
              <w:jc w:val="both"/>
              <w:rPr>
                <w:rFonts w:ascii="Arial" w:hAnsi="Arial" w:cs="Arial"/>
                <w:b/>
                <w:i/>
                <w:iCs/>
                <w:caps/>
                <w:sz w:val="26"/>
                <w:szCs w:val="26"/>
                <w:lang w:val="es-ES"/>
              </w:rPr>
            </w:pPr>
          </w:p>
        </w:tc>
      </w:tr>
    </w:tbl>
    <w:p w:rsidR="00BC60C9" w:rsidRDefault="00BC60C9" w:rsidP="00BC60C9">
      <w:pPr>
        <w:spacing w:line="360" w:lineRule="auto"/>
        <w:jc w:val="both"/>
        <w:rPr>
          <w:rFonts w:ascii="Arial" w:hAnsi="Arial" w:cs="Arial"/>
          <w:b/>
          <w:sz w:val="26"/>
          <w:szCs w:val="26"/>
          <w:lang w:val="es-ES"/>
        </w:rPr>
      </w:pPr>
      <w:r w:rsidRPr="001872CB">
        <w:rPr>
          <w:rFonts w:ascii="Arial" w:hAnsi="Arial" w:cs="Arial"/>
          <w:b/>
          <w:sz w:val="26"/>
          <w:szCs w:val="26"/>
          <w:lang w:val="es-ES"/>
        </w:rPr>
        <w:t>OAXACA DE JUÁREZ, OAXACA</w:t>
      </w:r>
      <w:r w:rsidR="00A81995">
        <w:rPr>
          <w:rFonts w:ascii="Arial" w:hAnsi="Arial" w:cs="Arial"/>
          <w:b/>
          <w:sz w:val="26"/>
          <w:szCs w:val="26"/>
          <w:lang w:val="es-ES"/>
        </w:rPr>
        <w:t>,</w:t>
      </w:r>
      <w:r w:rsidRPr="001872CB">
        <w:rPr>
          <w:rFonts w:ascii="Arial" w:hAnsi="Arial" w:cs="Arial"/>
          <w:b/>
          <w:sz w:val="26"/>
          <w:szCs w:val="26"/>
          <w:lang w:val="es-ES"/>
        </w:rPr>
        <w:t xml:space="preserve"> </w:t>
      </w:r>
      <w:r w:rsidR="00A81995">
        <w:rPr>
          <w:rFonts w:ascii="Arial" w:hAnsi="Arial" w:cs="Arial"/>
          <w:b/>
          <w:sz w:val="26"/>
          <w:szCs w:val="26"/>
          <w:lang w:val="es-ES"/>
        </w:rPr>
        <w:t xml:space="preserve">CINCO </w:t>
      </w:r>
      <w:r w:rsidRPr="001872CB">
        <w:rPr>
          <w:rFonts w:ascii="Arial" w:hAnsi="Arial" w:cs="Arial"/>
          <w:b/>
          <w:sz w:val="26"/>
          <w:szCs w:val="26"/>
          <w:lang w:val="es-ES"/>
        </w:rPr>
        <w:t xml:space="preserve">DE </w:t>
      </w:r>
      <w:r w:rsidR="000C71EF">
        <w:rPr>
          <w:rFonts w:ascii="Arial" w:hAnsi="Arial" w:cs="Arial"/>
          <w:b/>
          <w:sz w:val="26"/>
          <w:szCs w:val="26"/>
          <w:lang w:val="es-ES"/>
        </w:rPr>
        <w:t>DICIEMBRE</w:t>
      </w:r>
      <w:r w:rsidR="005F3943">
        <w:rPr>
          <w:rFonts w:ascii="Arial" w:hAnsi="Arial" w:cs="Arial"/>
          <w:b/>
          <w:sz w:val="26"/>
          <w:szCs w:val="26"/>
          <w:lang w:val="es-ES"/>
        </w:rPr>
        <w:t xml:space="preserve"> DE DOS MIL DIECINUEVE.</w:t>
      </w:r>
    </w:p>
    <w:p w:rsidR="00D81BE8" w:rsidRPr="001872CB" w:rsidRDefault="00D81BE8" w:rsidP="00BC60C9">
      <w:pPr>
        <w:spacing w:line="360" w:lineRule="auto"/>
        <w:jc w:val="both"/>
        <w:rPr>
          <w:rFonts w:ascii="Arial" w:hAnsi="Arial" w:cs="Arial"/>
          <w:b/>
          <w:sz w:val="26"/>
          <w:szCs w:val="26"/>
          <w:lang w:val="es-ES"/>
        </w:rPr>
      </w:pPr>
    </w:p>
    <w:p w:rsidR="00D81BE8" w:rsidRDefault="00BC60C9" w:rsidP="00D81BE8">
      <w:pPr>
        <w:spacing w:line="360" w:lineRule="auto"/>
        <w:ind w:firstLine="708"/>
        <w:jc w:val="both"/>
        <w:rPr>
          <w:rFonts w:ascii="Arial" w:hAnsi="Arial" w:cs="Arial"/>
          <w:sz w:val="26"/>
          <w:szCs w:val="26"/>
          <w:lang w:val="es-ES"/>
        </w:rPr>
      </w:pPr>
      <w:r w:rsidRPr="00AC5004">
        <w:rPr>
          <w:rFonts w:ascii="Arial" w:eastAsia="Calibri" w:hAnsi="Arial" w:cs="Arial"/>
          <w:sz w:val="26"/>
          <w:szCs w:val="26"/>
        </w:rPr>
        <w:t xml:space="preserve">Por recibido el Cuaderno de Revisión </w:t>
      </w:r>
      <w:r w:rsidR="005F3943">
        <w:rPr>
          <w:rFonts w:ascii="Arial" w:eastAsia="Calibri" w:hAnsi="Arial" w:cs="Arial"/>
          <w:b/>
          <w:sz w:val="26"/>
          <w:szCs w:val="26"/>
        </w:rPr>
        <w:t>189/2019</w:t>
      </w:r>
      <w:r w:rsidRPr="00AC5004">
        <w:rPr>
          <w:rFonts w:ascii="Arial" w:eastAsia="Calibri" w:hAnsi="Arial" w:cs="Arial"/>
          <w:sz w:val="26"/>
          <w:szCs w:val="26"/>
        </w:rPr>
        <w:t xml:space="preserve">, que remite la Secretaría General de Acuerdos, con motivo del recurso de revisión interpuesto por </w:t>
      </w:r>
      <w:r w:rsidR="005F3943">
        <w:rPr>
          <w:rFonts w:ascii="Arial" w:hAnsi="Arial" w:cs="Arial"/>
          <w:b/>
          <w:bCs/>
          <w:color w:val="000000"/>
          <w:sz w:val="26"/>
          <w:szCs w:val="26"/>
        </w:rPr>
        <w:t>INDIRA ZURITA LARA</w:t>
      </w:r>
      <w:r w:rsidRPr="00AC5004">
        <w:rPr>
          <w:rFonts w:ascii="Arial" w:hAnsi="Arial" w:cs="Arial"/>
          <w:b/>
          <w:bCs/>
          <w:color w:val="000000"/>
          <w:sz w:val="26"/>
          <w:szCs w:val="26"/>
        </w:rPr>
        <w:t xml:space="preserve">, </w:t>
      </w:r>
      <w:r w:rsidR="005F3943">
        <w:rPr>
          <w:rFonts w:ascii="Arial" w:eastAsia="Calibri" w:hAnsi="Arial" w:cs="Arial"/>
          <w:b/>
          <w:sz w:val="26"/>
          <w:szCs w:val="26"/>
        </w:rPr>
        <w:t>en su carácter de SÍNDICA PRIMERA</w:t>
      </w:r>
      <w:r w:rsidRPr="00CC0405">
        <w:rPr>
          <w:rFonts w:ascii="Arial" w:eastAsia="Calibri" w:hAnsi="Arial" w:cs="Arial"/>
          <w:b/>
          <w:sz w:val="26"/>
          <w:szCs w:val="26"/>
        </w:rPr>
        <w:t xml:space="preserve"> DEL MUNICIPIO DE OAXACA DE JUÁREZ</w:t>
      </w:r>
      <w:r>
        <w:rPr>
          <w:rFonts w:ascii="Arial" w:eastAsia="Calibri" w:hAnsi="Arial" w:cs="Arial"/>
          <w:sz w:val="26"/>
          <w:szCs w:val="26"/>
        </w:rPr>
        <w:t xml:space="preserve">, en </w:t>
      </w:r>
      <w:r w:rsidRPr="00AC5004">
        <w:rPr>
          <w:rFonts w:ascii="Arial" w:eastAsia="Calibri" w:hAnsi="Arial" w:cs="Arial"/>
          <w:sz w:val="26"/>
          <w:szCs w:val="26"/>
        </w:rPr>
        <w:t>contra  de</w:t>
      </w:r>
      <w:r>
        <w:rPr>
          <w:rFonts w:ascii="Arial" w:eastAsia="Calibri" w:hAnsi="Arial" w:cs="Arial"/>
          <w:sz w:val="26"/>
          <w:szCs w:val="26"/>
        </w:rPr>
        <w:t xml:space="preserve"> la resolución</w:t>
      </w:r>
      <w:r w:rsidRPr="00AC5004">
        <w:rPr>
          <w:rFonts w:ascii="Arial" w:eastAsia="Calibri" w:hAnsi="Arial" w:cs="Arial"/>
          <w:sz w:val="26"/>
          <w:szCs w:val="26"/>
        </w:rPr>
        <w:t xml:space="preserve"> de </w:t>
      </w:r>
      <w:r w:rsidR="005F3943">
        <w:rPr>
          <w:rFonts w:ascii="Arial" w:eastAsia="Calibri" w:hAnsi="Arial" w:cs="Arial"/>
          <w:sz w:val="26"/>
          <w:szCs w:val="26"/>
        </w:rPr>
        <w:t>12 doce de mayo de 2019 dos mil diecinueve</w:t>
      </w:r>
      <w:r w:rsidRPr="00AC5004">
        <w:rPr>
          <w:rFonts w:ascii="Arial" w:eastAsia="Calibri" w:hAnsi="Arial" w:cs="Arial"/>
          <w:sz w:val="26"/>
          <w:szCs w:val="26"/>
        </w:rPr>
        <w:t xml:space="preserve">, dictada por la </w:t>
      </w:r>
      <w:r>
        <w:rPr>
          <w:rFonts w:ascii="Arial" w:eastAsia="Calibri" w:hAnsi="Arial" w:cs="Arial"/>
          <w:sz w:val="26"/>
          <w:szCs w:val="26"/>
        </w:rPr>
        <w:t>Magistrada de la Tercera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 xml:space="preserve">ribunal dentro del incidente de liquidación de sentencia derivado del juicio de nulidad número </w:t>
      </w:r>
      <w:r w:rsidR="005F3943">
        <w:rPr>
          <w:rFonts w:ascii="Arial" w:eastAsia="Calibri" w:hAnsi="Arial" w:cs="Arial"/>
          <w:b/>
          <w:sz w:val="26"/>
          <w:szCs w:val="26"/>
        </w:rPr>
        <w:t>55</w:t>
      </w:r>
      <w:r>
        <w:rPr>
          <w:rFonts w:ascii="Arial" w:eastAsia="Calibri" w:hAnsi="Arial" w:cs="Arial"/>
          <w:b/>
          <w:sz w:val="26"/>
          <w:szCs w:val="26"/>
        </w:rPr>
        <w:t>/2016</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promovido por </w:t>
      </w:r>
      <w:r w:rsidR="00420FF7">
        <w:rPr>
          <w:rFonts w:ascii="Arial"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en contra del</w:t>
      </w:r>
      <w:r>
        <w:rPr>
          <w:rFonts w:ascii="Arial" w:eastAsia="Calibri" w:hAnsi="Arial" w:cs="Arial"/>
          <w:b/>
          <w:sz w:val="26"/>
          <w:szCs w:val="26"/>
        </w:rPr>
        <w:t xml:space="preserve"> H</w:t>
      </w:r>
      <w:r w:rsidR="005F3943">
        <w:rPr>
          <w:rFonts w:ascii="Arial" w:eastAsia="Calibri" w:hAnsi="Arial" w:cs="Arial"/>
          <w:b/>
          <w:sz w:val="26"/>
          <w:szCs w:val="26"/>
        </w:rPr>
        <w:t>ONORABLE</w:t>
      </w:r>
      <w:r>
        <w:rPr>
          <w:rFonts w:ascii="Arial" w:eastAsia="Calibri" w:hAnsi="Arial" w:cs="Arial"/>
          <w:b/>
          <w:sz w:val="26"/>
          <w:szCs w:val="26"/>
        </w:rPr>
        <w:t xml:space="preserve"> AYUNTAMIENTO DEL MUNICI</w:t>
      </w:r>
      <w:r w:rsidR="005F3943">
        <w:rPr>
          <w:rFonts w:ascii="Arial" w:eastAsia="Calibri" w:hAnsi="Arial" w:cs="Arial"/>
          <w:b/>
          <w:sz w:val="26"/>
          <w:szCs w:val="26"/>
        </w:rPr>
        <w:t>PIO DE OAXACA DE JUÁREZ, OAXACA Y DEL COMISARIO GENERAL DE SEGURID</w:t>
      </w:r>
      <w:r w:rsidR="00C55693">
        <w:rPr>
          <w:rFonts w:ascii="Arial" w:eastAsia="Calibri" w:hAnsi="Arial" w:cs="Arial"/>
          <w:b/>
          <w:sz w:val="26"/>
          <w:szCs w:val="26"/>
        </w:rPr>
        <w:t>AD PÚBLICA Y VIALIDAD MUNICIPAL</w:t>
      </w:r>
      <w:r w:rsidR="005F3943">
        <w:rPr>
          <w:rFonts w:ascii="Arial" w:eastAsia="Calibri" w:hAnsi="Arial" w:cs="Arial"/>
          <w:b/>
          <w:sz w:val="26"/>
          <w:szCs w:val="26"/>
        </w:rPr>
        <w:t xml:space="preserve"> DEL CITADO AYUNTAMIENTO;</w:t>
      </w:r>
      <w:r w:rsidRPr="008878D1">
        <w:rPr>
          <w:rFonts w:ascii="Arial" w:hAnsi="Arial" w:cs="Arial"/>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7F4F2C">
        <w:rPr>
          <w:rFonts w:ascii="Arial" w:hAnsi="Arial" w:cs="Arial"/>
          <w:sz w:val="26"/>
          <w:szCs w:val="26"/>
        </w:rPr>
        <w:t xml:space="preserve"> vigente al inicio del juicio principal,</w:t>
      </w:r>
      <w:r w:rsidRPr="00372D3D">
        <w:rPr>
          <w:rFonts w:ascii="Arial" w:hAnsi="Arial" w:cs="Arial"/>
          <w:sz w:val="26"/>
          <w:szCs w:val="26"/>
        </w:rPr>
        <w:t xml:space="preserve"> se admite. En consecuencia, se procede a dictar resolu</w:t>
      </w:r>
      <w:r>
        <w:rPr>
          <w:rFonts w:ascii="Arial" w:hAnsi="Arial" w:cs="Arial"/>
          <w:sz w:val="26"/>
          <w:szCs w:val="26"/>
        </w:rPr>
        <w:t>ci</w:t>
      </w:r>
      <w:r w:rsidR="00D81BE8">
        <w:rPr>
          <w:rFonts w:ascii="Arial" w:hAnsi="Arial" w:cs="Arial"/>
          <w:sz w:val="26"/>
          <w:szCs w:val="26"/>
        </w:rPr>
        <w:t xml:space="preserve">ón en los siguientes términos: </w:t>
      </w:r>
    </w:p>
    <w:p w:rsidR="00D81BE8" w:rsidRPr="00D81BE8" w:rsidRDefault="00BC60C9" w:rsidP="00D81BE8">
      <w:pPr>
        <w:spacing w:line="360" w:lineRule="auto"/>
        <w:ind w:firstLine="708"/>
        <w:jc w:val="center"/>
        <w:rPr>
          <w:rFonts w:ascii="Arial" w:hAnsi="Arial" w:cs="Arial"/>
          <w:sz w:val="26"/>
          <w:szCs w:val="26"/>
          <w:lang w:val="es-ES"/>
        </w:rPr>
      </w:pPr>
      <w:r w:rsidRPr="001872CB">
        <w:rPr>
          <w:rFonts w:ascii="Arial" w:hAnsi="Arial" w:cs="Arial"/>
          <w:b/>
          <w:bCs/>
          <w:sz w:val="26"/>
          <w:szCs w:val="26"/>
          <w:lang w:val="es-ES"/>
        </w:rPr>
        <w:t>R E S U L T A N D O</w:t>
      </w:r>
    </w:p>
    <w:p w:rsidR="00D81BE8" w:rsidRDefault="00D81BE8" w:rsidP="00BC60C9">
      <w:pPr>
        <w:spacing w:line="360" w:lineRule="auto"/>
        <w:jc w:val="both"/>
        <w:rPr>
          <w:rFonts w:ascii="Arial" w:hAnsi="Arial" w:cs="Arial"/>
          <w:b/>
          <w:bCs/>
          <w:sz w:val="26"/>
          <w:szCs w:val="26"/>
          <w:lang w:val="es-ES"/>
        </w:rPr>
      </w:pPr>
    </w:p>
    <w:p w:rsidR="00D81BE8" w:rsidRDefault="00BC60C9" w:rsidP="00BC60C9">
      <w:pPr>
        <w:spacing w:line="360" w:lineRule="auto"/>
        <w:jc w:val="both"/>
        <w:rPr>
          <w:rFonts w:ascii="Arial" w:hAnsi="Arial" w:cs="Arial"/>
          <w:sz w:val="26"/>
          <w:szCs w:val="26"/>
          <w:lang w:val="es-ES"/>
        </w:rPr>
      </w:pPr>
      <w:r w:rsidRPr="001872CB">
        <w:rPr>
          <w:rFonts w:ascii="Arial" w:hAnsi="Arial" w:cs="Arial"/>
          <w:b/>
          <w:bCs/>
          <w:sz w:val="26"/>
          <w:szCs w:val="26"/>
          <w:lang w:val="es-ES"/>
        </w:rPr>
        <w:t xml:space="preserve"> </w:t>
      </w:r>
      <w:r w:rsidR="00D81BE8">
        <w:rPr>
          <w:rFonts w:ascii="Arial" w:hAnsi="Arial" w:cs="Arial"/>
          <w:b/>
          <w:bCs/>
          <w:sz w:val="26"/>
          <w:szCs w:val="26"/>
          <w:lang w:val="es-ES"/>
        </w:rPr>
        <w:tab/>
      </w:r>
      <w:r w:rsidRPr="001872CB">
        <w:rPr>
          <w:rFonts w:ascii="Arial" w:hAnsi="Arial" w:cs="Arial"/>
          <w:b/>
          <w:bCs/>
          <w:sz w:val="26"/>
          <w:szCs w:val="26"/>
          <w:lang w:val="es-ES"/>
        </w:rPr>
        <w:t xml:space="preserve">PRIMERO. </w:t>
      </w:r>
      <w:r w:rsidRPr="001872CB">
        <w:rPr>
          <w:rFonts w:ascii="Arial" w:hAnsi="Arial" w:cs="Arial"/>
          <w:sz w:val="26"/>
          <w:szCs w:val="26"/>
          <w:lang w:val="es-ES"/>
        </w:rPr>
        <w:t xml:space="preserve">Inconforme con la </w:t>
      </w:r>
      <w:r w:rsidR="005F3943">
        <w:rPr>
          <w:rFonts w:ascii="Arial" w:hAnsi="Arial" w:cs="Arial"/>
          <w:sz w:val="26"/>
          <w:szCs w:val="26"/>
          <w:lang w:val="es-ES"/>
        </w:rPr>
        <w:t>resolución de 12 doce</w:t>
      </w:r>
      <w:r>
        <w:rPr>
          <w:rFonts w:ascii="Arial" w:hAnsi="Arial" w:cs="Arial"/>
          <w:sz w:val="26"/>
          <w:szCs w:val="26"/>
          <w:lang w:val="es-ES"/>
        </w:rPr>
        <w:t xml:space="preserve"> mayo</w:t>
      </w:r>
      <w:r w:rsidRPr="001872CB">
        <w:rPr>
          <w:rFonts w:ascii="Arial" w:hAnsi="Arial" w:cs="Arial"/>
          <w:sz w:val="26"/>
          <w:szCs w:val="26"/>
          <w:lang w:val="es-ES"/>
        </w:rPr>
        <w:t xml:space="preserve"> de</w:t>
      </w:r>
      <w:r w:rsidR="005F3943">
        <w:rPr>
          <w:rFonts w:ascii="Arial" w:hAnsi="Arial" w:cs="Arial"/>
          <w:sz w:val="26"/>
          <w:szCs w:val="26"/>
          <w:lang w:val="es-ES"/>
        </w:rPr>
        <w:t xml:space="preserve"> 2019</w:t>
      </w:r>
      <w:r w:rsidRPr="001872CB">
        <w:rPr>
          <w:rFonts w:ascii="Arial" w:hAnsi="Arial" w:cs="Arial"/>
          <w:sz w:val="26"/>
          <w:szCs w:val="26"/>
          <w:lang w:val="es-ES"/>
        </w:rPr>
        <w:t xml:space="preserve"> </w:t>
      </w:r>
      <w:r w:rsidR="005F3943">
        <w:rPr>
          <w:rFonts w:ascii="Arial" w:hAnsi="Arial" w:cs="Arial"/>
          <w:sz w:val="26"/>
          <w:szCs w:val="26"/>
          <w:lang w:val="es-ES"/>
        </w:rPr>
        <w:t>dos mil diecinueve</w:t>
      </w:r>
      <w:r w:rsidRPr="001872CB">
        <w:rPr>
          <w:rFonts w:ascii="Arial" w:hAnsi="Arial" w:cs="Arial"/>
          <w:sz w:val="26"/>
          <w:szCs w:val="26"/>
          <w:lang w:val="es-ES"/>
        </w:rPr>
        <w:t>, dict</w:t>
      </w:r>
      <w:r>
        <w:rPr>
          <w:rFonts w:ascii="Arial" w:hAnsi="Arial" w:cs="Arial"/>
          <w:sz w:val="26"/>
          <w:szCs w:val="26"/>
          <w:lang w:val="es-ES"/>
        </w:rPr>
        <w:t>ada por la Magistrada de la Tercera</w:t>
      </w:r>
      <w:r w:rsidRPr="001872CB">
        <w:rPr>
          <w:rFonts w:ascii="Arial" w:hAnsi="Arial" w:cs="Arial"/>
          <w:sz w:val="26"/>
          <w:szCs w:val="26"/>
          <w:lang w:val="es-ES"/>
        </w:rPr>
        <w:t xml:space="preserve"> Sala Unitaria de Primer</w:t>
      </w:r>
      <w:r w:rsidR="00D11044">
        <w:rPr>
          <w:rFonts w:ascii="Arial" w:hAnsi="Arial" w:cs="Arial"/>
          <w:sz w:val="26"/>
          <w:szCs w:val="26"/>
          <w:lang w:val="es-ES"/>
        </w:rPr>
        <w:t>a Instancia de este Tribunal,</w:t>
      </w:r>
      <w:r w:rsidRPr="00910124">
        <w:rPr>
          <w:rFonts w:ascii="Arial" w:eastAsia="Calibri" w:hAnsi="Arial" w:cs="Arial"/>
          <w:b/>
          <w:sz w:val="26"/>
          <w:szCs w:val="26"/>
        </w:rPr>
        <w:t xml:space="preserve"> </w:t>
      </w:r>
      <w:r w:rsidR="005F3943">
        <w:rPr>
          <w:rFonts w:ascii="Arial" w:hAnsi="Arial" w:cs="Arial"/>
          <w:b/>
          <w:bCs/>
          <w:color w:val="000000"/>
          <w:sz w:val="26"/>
          <w:szCs w:val="26"/>
        </w:rPr>
        <w:t>INDIRA ZURITA LARA</w:t>
      </w:r>
      <w:r w:rsidRPr="00AC5004">
        <w:rPr>
          <w:rFonts w:ascii="Arial" w:hAnsi="Arial" w:cs="Arial"/>
          <w:b/>
          <w:bCs/>
          <w:color w:val="000000"/>
          <w:sz w:val="26"/>
          <w:szCs w:val="26"/>
        </w:rPr>
        <w:t xml:space="preserve">, </w:t>
      </w:r>
      <w:r w:rsidR="005F3943">
        <w:rPr>
          <w:rFonts w:ascii="Arial" w:eastAsia="Calibri" w:hAnsi="Arial" w:cs="Arial"/>
          <w:b/>
          <w:sz w:val="26"/>
          <w:szCs w:val="26"/>
        </w:rPr>
        <w:t>en su carácter de SÍNDICA PRIMERA</w:t>
      </w:r>
      <w:r w:rsidRPr="00CC0405">
        <w:rPr>
          <w:rFonts w:ascii="Arial" w:eastAsia="Calibri" w:hAnsi="Arial" w:cs="Arial"/>
          <w:b/>
          <w:sz w:val="26"/>
          <w:szCs w:val="26"/>
        </w:rPr>
        <w:t xml:space="preserve"> DEL MUNICIPIO DE OAXACA DE JUÁREZ</w:t>
      </w:r>
      <w:r w:rsidRPr="001872CB">
        <w:rPr>
          <w:rFonts w:ascii="Arial" w:hAnsi="Arial" w:cs="Arial"/>
          <w:b/>
          <w:sz w:val="26"/>
          <w:szCs w:val="26"/>
          <w:lang w:val="es-ES"/>
        </w:rPr>
        <w:t xml:space="preserve">, </w:t>
      </w:r>
      <w:r w:rsidRPr="001872CB">
        <w:rPr>
          <w:rFonts w:ascii="Arial" w:hAnsi="Arial" w:cs="Arial"/>
          <w:sz w:val="26"/>
          <w:szCs w:val="26"/>
          <w:lang w:val="es-ES"/>
        </w:rPr>
        <w:t>interpuso en</w:t>
      </w:r>
      <w:r w:rsidR="00D81BE8">
        <w:rPr>
          <w:rFonts w:ascii="Arial" w:hAnsi="Arial" w:cs="Arial"/>
          <w:sz w:val="26"/>
          <w:szCs w:val="26"/>
          <w:lang w:val="es-ES"/>
        </w:rPr>
        <w:t xml:space="preserve"> su contra recurso de revisión.</w:t>
      </w:r>
    </w:p>
    <w:p w:rsidR="00D81BE8" w:rsidRDefault="00D81BE8" w:rsidP="00BC60C9">
      <w:pPr>
        <w:spacing w:line="360" w:lineRule="auto"/>
        <w:jc w:val="both"/>
        <w:rPr>
          <w:rFonts w:ascii="Arial" w:hAnsi="Arial" w:cs="Arial"/>
          <w:sz w:val="26"/>
          <w:szCs w:val="26"/>
          <w:lang w:val="es-ES"/>
        </w:rPr>
      </w:pPr>
    </w:p>
    <w:p w:rsidR="00BC60C9" w:rsidRPr="001872CB" w:rsidRDefault="00BC60C9" w:rsidP="00D81BE8">
      <w:pPr>
        <w:spacing w:line="360" w:lineRule="auto"/>
        <w:ind w:firstLine="708"/>
        <w:jc w:val="both"/>
        <w:rPr>
          <w:rFonts w:ascii="Arial" w:hAnsi="Arial" w:cs="Arial"/>
          <w:b/>
          <w:sz w:val="26"/>
          <w:szCs w:val="26"/>
          <w:lang w:val="es-ES"/>
        </w:rPr>
      </w:pPr>
      <w:r w:rsidRPr="001872CB">
        <w:rPr>
          <w:rFonts w:ascii="Arial" w:hAnsi="Arial" w:cs="Arial"/>
          <w:sz w:val="26"/>
          <w:szCs w:val="26"/>
          <w:lang w:val="es-ES"/>
        </w:rPr>
        <w:t xml:space="preserve"> </w:t>
      </w:r>
      <w:r w:rsidRPr="001872CB">
        <w:rPr>
          <w:rFonts w:ascii="Arial" w:hAnsi="Arial" w:cs="Arial"/>
          <w:b/>
          <w:bCs/>
          <w:sz w:val="26"/>
          <w:szCs w:val="26"/>
        </w:rPr>
        <w:t xml:space="preserve">SEGUNDO. </w:t>
      </w:r>
      <w:r w:rsidRPr="001872CB">
        <w:rPr>
          <w:rFonts w:ascii="Arial" w:hAnsi="Arial" w:cs="Arial"/>
          <w:bCs/>
          <w:sz w:val="26"/>
          <w:szCs w:val="26"/>
          <w:lang w:val="es-ES"/>
        </w:rPr>
        <w:t xml:space="preserve">Los puntos de la </w:t>
      </w:r>
      <w:r>
        <w:rPr>
          <w:rFonts w:ascii="Arial" w:hAnsi="Arial" w:cs="Arial"/>
          <w:bCs/>
          <w:sz w:val="26"/>
          <w:szCs w:val="26"/>
          <w:lang w:val="es-ES"/>
        </w:rPr>
        <w:t>resolución</w:t>
      </w:r>
      <w:r w:rsidRPr="001872CB">
        <w:rPr>
          <w:rFonts w:ascii="Arial" w:hAnsi="Arial" w:cs="Arial"/>
          <w:bCs/>
          <w:sz w:val="26"/>
          <w:szCs w:val="26"/>
          <w:lang w:val="es-ES"/>
        </w:rPr>
        <w:t xml:space="preserve"> recurrida, son del tenor literal siguiente</w:t>
      </w:r>
      <w:r w:rsidR="00D81BE8">
        <w:rPr>
          <w:rFonts w:ascii="Arial" w:eastAsia="Calibri" w:hAnsi="Arial" w:cs="Arial"/>
          <w:sz w:val="26"/>
          <w:szCs w:val="26"/>
          <w:lang w:val="es-ES"/>
        </w:rPr>
        <w:t>:</w:t>
      </w:r>
    </w:p>
    <w:p w:rsidR="00BC60C9" w:rsidRPr="00A81995" w:rsidRDefault="00BC60C9" w:rsidP="00A63417">
      <w:pPr>
        <w:widowControl w:val="0"/>
        <w:tabs>
          <w:tab w:val="left" w:pos="7938"/>
        </w:tabs>
        <w:spacing w:line="360" w:lineRule="auto"/>
        <w:ind w:left="851" w:right="758"/>
        <w:jc w:val="both"/>
        <w:rPr>
          <w:rFonts w:ascii="Arial" w:eastAsia="Times New Roman" w:hAnsi="Arial" w:cs="Arial"/>
          <w:bCs/>
          <w:i/>
          <w:iCs/>
          <w:lang w:val="es-ES" w:eastAsia="es-ES"/>
        </w:rPr>
      </w:pPr>
      <w:r w:rsidRPr="00A81995">
        <w:rPr>
          <w:rFonts w:ascii="Arial" w:eastAsia="Times New Roman" w:hAnsi="Arial" w:cs="Arial"/>
          <w:b/>
          <w:bCs/>
          <w:iCs/>
          <w:lang w:val="es-ES" w:eastAsia="es-ES"/>
        </w:rPr>
        <w:t>“</w:t>
      </w:r>
      <w:r w:rsidRPr="00A81995">
        <w:rPr>
          <w:rFonts w:ascii="Arial" w:eastAsia="Times New Roman" w:hAnsi="Arial" w:cs="Arial"/>
          <w:b/>
          <w:bCs/>
          <w:i/>
          <w:iCs/>
          <w:lang w:val="es-ES" w:eastAsia="es-ES"/>
        </w:rPr>
        <w:t>PRIMERO</w:t>
      </w:r>
      <w:r w:rsidR="006A4BE2" w:rsidRPr="00A81995">
        <w:rPr>
          <w:rFonts w:ascii="Arial" w:eastAsia="Times New Roman" w:hAnsi="Arial" w:cs="Arial"/>
          <w:bCs/>
          <w:i/>
          <w:iCs/>
          <w:lang w:val="es-ES" w:eastAsia="es-ES"/>
        </w:rPr>
        <w:t>.</w:t>
      </w:r>
      <w:r w:rsidRPr="00A81995">
        <w:rPr>
          <w:rFonts w:ascii="Arial" w:eastAsia="Times New Roman" w:hAnsi="Arial" w:cs="Arial"/>
          <w:bCs/>
          <w:i/>
          <w:iCs/>
          <w:lang w:val="es-ES" w:eastAsia="es-ES"/>
        </w:rPr>
        <w:t xml:space="preserve"> Esta Tercera Sala Unitaria de Primera Instancia, del Tribunal de Justicia Administrativa del Estado, es competente para </w:t>
      </w:r>
      <w:r w:rsidRPr="00A81995">
        <w:rPr>
          <w:rFonts w:ascii="Arial" w:eastAsia="Times New Roman" w:hAnsi="Arial" w:cs="Arial"/>
          <w:bCs/>
          <w:i/>
          <w:iCs/>
          <w:lang w:val="es-ES" w:eastAsia="es-ES"/>
        </w:rPr>
        <w:lastRenderedPageBreak/>
        <w:t>resolver el incidente de liquidación</w:t>
      </w:r>
      <w:r w:rsidR="00D81BE8" w:rsidRPr="00A81995">
        <w:rPr>
          <w:rFonts w:ascii="Arial" w:eastAsia="Times New Roman" w:hAnsi="Arial" w:cs="Arial"/>
          <w:bCs/>
          <w:i/>
          <w:iCs/>
          <w:lang w:val="es-ES" w:eastAsia="es-ES"/>
        </w:rPr>
        <w:t>.</w:t>
      </w:r>
      <w:r w:rsidRPr="00A81995">
        <w:rPr>
          <w:rFonts w:ascii="Arial" w:eastAsia="Times New Roman" w:hAnsi="Arial" w:cs="Arial"/>
          <w:bCs/>
          <w:i/>
          <w:iCs/>
          <w:lang w:val="es-ES" w:eastAsia="es-ES"/>
        </w:rPr>
        <w:t xml:space="preserve"> </w:t>
      </w:r>
      <w:r w:rsidR="006A4BE2" w:rsidRPr="00A81995">
        <w:rPr>
          <w:rFonts w:ascii="Arial" w:eastAsia="Times New Roman" w:hAnsi="Arial" w:cs="Arial"/>
          <w:bCs/>
          <w:i/>
          <w:iCs/>
          <w:lang w:val="es-ES" w:eastAsia="es-ES"/>
        </w:rPr>
        <w:t xml:space="preserve">- - - - - - - - - - - - - - - - - - - - - - -- </w:t>
      </w:r>
    </w:p>
    <w:p w:rsidR="00BC60C9" w:rsidRPr="00A81995" w:rsidRDefault="00BC60C9" w:rsidP="00A63417">
      <w:pPr>
        <w:widowControl w:val="0"/>
        <w:tabs>
          <w:tab w:val="left" w:pos="7938"/>
        </w:tabs>
        <w:spacing w:line="360" w:lineRule="auto"/>
        <w:ind w:left="851" w:right="758"/>
        <w:jc w:val="both"/>
        <w:rPr>
          <w:rFonts w:ascii="Arial" w:eastAsia="Times New Roman" w:hAnsi="Arial" w:cs="Arial"/>
          <w:bCs/>
          <w:i/>
          <w:iCs/>
          <w:lang w:val="es-ES" w:eastAsia="es-ES"/>
        </w:rPr>
      </w:pPr>
      <w:r w:rsidRPr="00A81995">
        <w:rPr>
          <w:rFonts w:ascii="Arial" w:eastAsia="Times New Roman" w:hAnsi="Arial" w:cs="Arial"/>
          <w:bCs/>
          <w:i/>
          <w:iCs/>
          <w:lang w:val="es-ES" w:eastAsia="es-ES"/>
        </w:rPr>
        <w:t xml:space="preserve"> </w:t>
      </w:r>
      <w:r w:rsidRPr="00A81995">
        <w:rPr>
          <w:rFonts w:ascii="Arial" w:eastAsia="Times New Roman" w:hAnsi="Arial" w:cs="Arial"/>
          <w:b/>
          <w:bCs/>
          <w:i/>
          <w:iCs/>
          <w:lang w:val="es-ES" w:eastAsia="es-ES"/>
        </w:rPr>
        <w:t>SEGUNDO</w:t>
      </w:r>
      <w:r w:rsidRPr="00A81995">
        <w:rPr>
          <w:rFonts w:ascii="Arial" w:eastAsia="Times New Roman" w:hAnsi="Arial" w:cs="Arial"/>
          <w:bCs/>
          <w:i/>
          <w:iCs/>
          <w:lang w:val="es-ES" w:eastAsia="es-ES"/>
        </w:rPr>
        <w:t>.</w:t>
      </w:r>
      <w:r w:rsidR="006A4BE2" w:rsidRPr="00A81995">
        <w:rPr>
          <w:rFonts w:ascii="Arial" w:eastAsia="Times New Roman" w:hAnsi="Arial" w:cs="Arial"/>
          <w:bCs/>
          <w:i/>
          <w:iCs/>
          <w:lang w:val="es-ES" w:eastAsia="es-ES"/>
        </w:rPr>
        <w:t xml:space="preserve"> Se</w:t>
      </w:r>
      <w:r w:rsidRPr="00A81995">
        <w:rPr>
          <w:rFonts w:ascii="Arial" w:eastAsia="Times New Roman" w:hAnsi="Arial" w:cs="Arial"/>
          <w:bCs/>
          <w:i/>
          <w:iCs/>
          <w:lang w:val="es-ES" w:eastAsia="es-ES"/>
        </w:rPr>
        <w:t xml:space="preserve"> </w:t>
      </w:r>
      <w:r w:rsidR="005F3943" w:rsidRPr="00A81995">
        <w:rPr>
          <w:rFonts w:ascii="Arial" w:eastAsia="Times New Roman" w:hAnsi="Arial" w:cs="Arial"/>
          <w:bCs/>
          <w:i/>
          <w:iCs/>
          <w:lang w:val="es-ES" w:eastAsia="es-ES"/>
        </w:rPr>
        <w:t xml:space="preserve">actualiza la cantidad ordenada como </w:t>
      </w:r>
      <w:r w:rsidR="006A4BE2" w:rsidRPr="00A81995">
        <w:rPr>
          <w:rFonts w:ascii="Arial" w:eastAsia="Times New Roman" w:hAnsi="Arial" w:cs="Arial"/>
          <w:bCs/>
          <w:i/>
          <w:iCs/>
          <w:lang w:val="es-ES" w:eastAsia="es-ES"/>
        </w:rPr>
        <w:t>pago a</w:t>
      </w:r>
      <w:r w:rsidR="005F3943" w:rsidRPr="00A81995">
        <w:rPr>
          <w:rFonts w:ascii="Arial" w:eastAsia="Times New Roman" w:hAnsi="Arial" w:cs="Arial"/>
          <w:bCs/>
          <w:i/>
          <w:iCs/>
          <w:lang w:val="es-ES" w:eastAsia="es-ES"/>
        </w:rPr>
        <w:t xml:space="preserve"> favor de </w:t>
      </w:r>
      <w:r w:rsidR="00420FF7">
        <w:rPr>
          <w:rFonts w:ascii="Arial" w:hAnsi="Arial" w:cs="Arial"/>
          <w:b/>
          <w:sz w:val="26"/>
          <w:szCs w:val="26"/>
        </w:rPr>
        <w:t>**********</w:t>
      </w:r>
      <w:r w:rsidR="005F3943" w:rsidRPr="00A81995">
        <w:rPr>
          <w:rFonts w:ascii="Arial" w:eastAsia="Times New Roman" w:hAnsi="Arial" w:cs="Arial"/>
          <w:bCs/>
          <w:i/>
          <w:iCs/>
          <w:lang w:val="es-ES" w:eastAsia="es-ES"/>
        </w:rPr>
        <w:t xml:space="preserve"> por lo que se ordena a las autoridades demandadas, realicen el pago en términos de la </w:t>
      </w:r>
      <w:r w:rsidR="006A4BE2" w:rsidRPr="00A81995">
        <w:rPr>
          <w:rFonts w:ascii="Arial" w:eastAsia="Times New Roman" w:hAnsi="Arial" w:cs="Arial"/>
          <w:bCs/>
          <w:i/>
          <w:iCs/>
          <w:lang w:val="es-ES" w:eastAsia="es-ES"/>
        </w:rPr>
        <w:t>presente</w:t>
      </w:r>
      <w:r w:rsidR="005F3943" w:rsidRPr="00A81995">
        <w:rPr>
          <w:rFonts w:ascii="Arial" w:eastAsia="Times New Roman" w:hAnsi="Arial" w:cs="Arial"/>
          <w:bCs/>
          <w:i/>
          <w:iCs/>
          <w:lang w:val="es-ES" w:eastAsia="es-ES"/>
        </w:rPr>
        <w:t xml:space="preserve"> </w:t>
      </w:r>
      <w:r w:rsidR="006A4BE2" w:rsidRPr="00A81995">
        <w:rPr>
          <w:rFonts w:ascii="Arial" w:eastAsia="Times New Roman" w:hAnsi="Arial" w:cs="Arial"/>
          <w:bCs/>
          <w:i/>
          <w:iCs/>
          <w:lang w:val="es-ES" w:eastAsia="es-ES"/>
        </w:rPr>
        <w:t>resolución</w:t>
      </w:r>
      <w:r w:rsidR="005F3943" w:rsidRPr="00A81995">
        <w:rPr>
          <w:rFonts w:ascii="Arial" w:eastAsia="Times New Roman" w:hAnsi="Arial" w:cs="Arial"/>
          <w:bCs/>
          <w:i/>
          <w:iCs/>
          <w:lang w:val="es-ES" w:eastAsia="es-ES"/>
        </w:rPr>
        <w:t xml:space="preserve">. </w:t>
      </w:r>
      <w:r w:rsidR="006A4BE2" w:rsidRPr="00A81995">
        <w:rPr>
          <w:rFonts w:ascii="Arial" w:eastAsia="Times New Roman" w:hAnsi="Arial" w:cs="Arial"/>
          <w:bCs/>
          <w:i/>
          <w:iCs/>
          <w:lang w:val="es-ES" w:eastAsia="es-ES"/>
        </w:rPr>
        <w:t xml:space="preserve">- - - - - - - - - -  </w:t>
      </w:r>
    </w:p>
    <w:p w:rsidR="00BC60C9" w:rsidRPr="00A81995" w:rsidRDefault="00BC60C9" w:rsidP="00A63417">
      <w:pPr>
        <w:widowControl w:val="0"/>
        <w:tabs>
          <w:tab w:val="left" w:pos="7938"/>
        </w:tabs>
        <w:spacing w:line="360" w:lineRule="auto"/>
        <w:ind w:left="851" w:right="758"/>
        <w:jc w:val="both"/>
        <w:rPr>
          <w:rFonts w:ascii="Arial" w:eastAsia="Times New Roman" w:hAnsi="Arial" w:cs="Arial"/>
          <w:bCs/>
          <w:i/>
          <w:iCs/>
          <w:lang w:val="es-ES" w:eastAsia="es-ES"/>
        </w:rPr>
      </w:pPr>
      <w:r w:rsidRPr="00A81995">
        <w:rPr>
          <w:rFonts w:ascii="Arial" w:eastAsia="Times New Roman" w:hAnsi="Arial" w:cs="Arial"/>
          <w:b/>
          <w:bCs/>
          <w:i/>
          <w:iCs/>
          <w:lang w:val="es-ES" w:eastAsia="es-ES"/>
        </w:rPr>
        <w:t>TERCERO</w:t>
      </w:r>
      <w:r w:rsidRPr="00A81995">
        <w:rPr>
          <w:rFonts w:ascii="Arial" w:eastAsia="Times New Roman" w:hAnsi="Arial" w:cs="Arial"/>
          <w:bCs/>
          <w:i/>
          <w:iCs/>
          <w:lang w:val="es-ES" w:eastAsia="es-ES"/>
        </w:rPr>
        <w:t xml:space="preserve">.- </w:t>
      </w:r>
      <w:r w:rsidR="0050401C" w:rsidRPr="00A81995">
        <w:rPr>
          <w:rFonts w:ascii="Arial" w:eastAsia="Times New Roman" w:hAnsi="Arial" w:cs="Arial"/>
          <w:bCs/>
          <w:i/>
          <w:iCs/>
          <w:lang w:val="es-ES" w:eastAsia="es-ES"/>
        </w:rPr>
        <w:t xml:space="preserve">Se tuvo por recibido en la Oficialía de Partes Común, el oficio </w:t>
      </w:r>
      <w:r w:rsidR="00420FF7">
        <w:rPr>
          <w:rFonts w:ascii="Arial" w:hAnsi="Arial" w:cs="Arial"/>
          <w:b/>
          <w:sz w:val="26"/>
          <w:szCs w:val="26"/>
        </w:rPr>
        <w:t>**********</w:t>
      </w:r>
      <w:r w:rsidR="0050401C" w:rsidRPr="00A81995">
        <w:rPr>
          <w:rFonts w:ascii="Arial" w:eastAsia="Times New Roman" w:hAnsi="Arial" w:cs="Arial"/>
          <w:bCs/>
          <w:i/>
          <w:iCs/>
          <w:lang w:val="es-ES" w:eastAsia="es-ES"/>
        </w:rPr>
        <w:t xml:space="preserve">, emitido por la Directora de Contraloría Municipal de Oaxaca de Juárez, por el cual informa el estado que guarda el expediente de investigación </w:t>
      </w:r>
      <w:r w:rsidR="00420FF7">
        <w:rPr>
          <w:rFonts w:ascii="Arial" w:hAnsi="Arial" w:cs="Arial"/>
          <w:b/>
          <w:sz w:val="26"/>
          <w:szCs w:val="26"/>
        </w:rPr>
        <w:t>**********</w:t>
      </w:r>
      <w:r w:rsidR="0050401C" w:rsidRPr="00A81995">
        <w:rPr>
          <w:rFonts w:ascii="Arial" w:eastAsia="Times New Roman" w:hAnsi="Arial" w:cs="Arial"/>
          <w:bCs/>
          <w:i/>
          <w:iCs/>
          <w:lang w:val="es-ES" w:eastAsia="es-ES"/>
        </w:rPr>
        <w:t xml:space="preserve">.  </w:t>
      </w:r>
      <w:r w:rsidRPr="00A81995">
        <w:rPr>
          <w:rFonts w:ascii="Arial" w:eastAsia="Times New Roman" w:hAnsi="Arial" w:cs="Arial"/>
          <w:bCs/>
          <w:i/>
          <w:iCs/>
          <w:lang w:val="es-ES" w:eastAsia="es-ES"/>
        </w:rPr>
        <w:t>Agréguese a los autos</w:t>
      </w:r>
      <w:r w:rsidR="0050401C" w:rsidRPr="00A81995">
        <w:rPr>
          <w:rFonts w:ascii="Arial" w:eastAsia="Times New Roman" w:hAnsi="Arial" w:cs="Arial"/>
          <w:bCs/>
          <w:i/>
          <w:iCs/>
          <w:lang w:val="es-ES" w:eastAsia="es-ES"/>
        </w:rPr>
        <w:t xml:space="preserve"> para los efectos legales correspondientes.</w:t>
      </w:r>
      <w:r w:rsidR="00420FF7">
        <w:rPr>
          <w:rFonts w:ascii="Arial" w:eastAsia="Times New Roman" w:hAnsi="Arial" w:cs="Arial"/>
          <w:bCs/>
          <w:i/>
          <w:iCs/>
          <w:lang w:val="es-ES" w:eastAsia="es-ES"/>
        </w:rPr>
        <w:t>- - - - - - - - - - - - - - - - - - - - - - -</w:t>
      </w:r>
    </w:p>
    <w:p w:rsidR="00BC60C9" w:rsidRPr="00A81995" w:rsidRDefault="00BC60C9" w:rsidP="00A63417">
      <w:pPr>
        <w:widowControl w:val="0"/>
        <w:tabs>
          <w:tab w:val="left" w:pos="7938"/>
        </w:tabs>
        <w:spacing w:line="360" w:lineRule="auto"/>
        <w:ind w:left="851" w:right="758"/>
        <w:jc w:val="both"/>
        <w:rPr>
          <w:rFonts w:ascii="Arial" w:eastAsia="Times New Roman" w:hAnsi="Arial" w:cs="Arial"/>
          <w:bCs/>
          <w:i/>
          <w:iCs/>
          <w:lang w:val="es-ES" w:eastAsia="es-ES"/>
        </w:rPr>
      </w:pPr>
      <w:r w:rsidRPr="00A81995">
        <w:rPr>
          <w:rFonts w:ascii="Arial" w:eastAsia="Times New Roman" w:hAnsi="Arial" w:cs="Arial"/>
          <w:b/>
          <w:bCs/>
          <w:i/>
          <w:iCs/>
          <w:lang w:val="es-ES" w:eastAsia="es-ES"/>
        </w:rPr>
        <w:t>CUARTO</w:t>
      </w:r>
      <w:r w:rsidRPr="00A81995">
        <w:rPr>
          <w:rFonts w:ascii="Arial" w:eastAsia="Times New Roman" w:hAnsi="Arial" w:cs="Arial"/>
          <w:bCs/>
          <w:i/>
          <w:iCs/>
          <w:lang w:val="es-ES" w:eastAsia="es-ES"/>
        </w:rPr>
        <w:t xml:space="preserve">.- Conforme a lo dispuesto en el artículo 142 fracción I y 143 </w:t>
      </w:r>
      <w:proofErr w:type="gramStart"/>
      <w:r w:rsidRPr="00A81995">
        <w:rPr>
          <w:rFonts w:ascii="Arial" w:eastAsia="Times New Roman" w:hAnsi="Arial" w:cs="Arial"/>
          <w:bCs/>
          <w:i/>
          <w:iCs/>
          <w:lang w:val="es-ES" w:eastAsia="es-ES"/>
        </w:rPr>
        <w:t>fracción</w:t>
      </w:r>
      <w:proofErr w:type="gramEnd"/>
      <w:r w:rsidRPr="00A81995">
        <w:rPr>
          <w:rFonts w:ascii="Arial" w:eastAsia="Times New Roman" w:hAnsi="Arial" w:cs="Arial"/>
          <w:bCs/>
          <w:i/>
          <w:iCs/>
          <w:lang w:val="es-ES" w:eastAsia="es-ES"/>
        </w:rPr>
        <w:t xml:space="preserve"> I y II de la Ley de Justicia Administrativa para </w:t>
      </w:r>
      <w:r w:rsidR="0050401C" w:rsidRPr="00A81995">
        <w:rPr>
          <w:rFonts w:ascii="Arial" w:eastAsia="Times New Roman" w:hAnsi="Arial" w:cs="Arial"/>
          <w:bCs/>
          <w:i/>
          <w:iCs/>
          <w:lang w:val="es-ES" w:eastAsia="es-ES"/>
        </w:rPr>
        <w:t>el Estado</w:t>
      </w:r>
      <w:r w:rsidRPr="00A81995">
        <w:rPr>
          <w:rFonts w:ascii="Arial" w:eastAsia="Times New Roman" w:hAnsi="Arial" w:cs="Arial"/>
          <w:bCs/>
          <w:i/>
          <w:iCs/>
          <w:lang w:val="es-ES" w:eastAsia="es-ES"/>
        </w:rPr>
        <w:t xml:space="preserve"> (ley vigente al inicio del presente juicio), </w:t>
      </w:r>
      <w:r w:rsidRPr="00A81995">
        <w:rPr>
          <w:rFonts w:ascii="Arial" w:eastAsia="Times New Roman" w:hAnsi="Arial" w:cs="Arial"/>
          <w:b/>
          <w:bCs/>
          <w:i/>
          <w:iCs/>
          <w:lang w:val="es-ES" w:eastAsia="es-ES"/>
        </w:rPr>
        <w:t>NOTIFÍQUESE PERSONALMENTE A LA PARTE ACTORA Y POR OFICIO A LAS AUTORIDADES DEMANDADAS</w:t>
      </w:r>
      <w:r w:rsidR="00D81BE8" w:rsidRPr="00A81995">
        <w:rPr>
          <w:rFonts w:ascii="Arial" w:eastAsia="Times New Roman" w:hAnsi="Arial" w:cs="Arial"/>
          <w:bCs/>
          <w:i/>
          <w:iCs/>
          <w:lang w:val="es-ES" w:eastAsia="es-ES"/>
        </w:rPr>
        <w:t>.</w:t>
      </w:r>
    </w:p>
    <w:p w:rsidR="00D81BE8" w:rsidRPr="007859A4" w:rsidRDefault="00D81BE8" w:rsidP="00A63417">
      <w:pPr>
        <w:widowControl w:val="0"/>
        <w:tabs>
          <w:tab w:val="left" w:pos="7938"/>
        </w:tabs>
        <w:spacing w:line="360" w:lineRule="auto"/>
        <w:ind w:left="851" w:right="758"/>
        <w:jc w:val="both"/>
        <w:rPr>
          <w:rFonts w:ascii="Arial" w:eastAsia="Times New Roman" w:hAnsi="Arial" w:cs="Arial"/>
          <w:bCs/>
          <w:i/>
          <w:iCs/>
          <w:lang w:val="es-ES" w:eastAsia="es-ES"/>
        </w:rPr>
      </w:pPr>
    </w:p>
    <w:p w:rsidR="00D81BE8" w:rsidRDefault="00BC60C9" w:rsidP="00D81BE8">
      <w:pPr>
        <w:widowControl w:val="0"/>
        <w:tabs>
          <w:tab w:val="left" w:pos="7938"/>
          <w:tab w:val="left" w:pos="8222"/>
        </w:tabs>
        <w:spacing w:line="360" w:lineRule="auto"/>
        <w:ind w:right="49"/>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D81BE8" w:rsidRDefault="00D81BE8" w:rsidP="00BC60C9">
      <w:pPr>
        <w:widowControl w:val="0"/>
        <w:tabs>
          <w:tab w:val="left" w:pos="7938"/>
          <w:tab w:val="left" w:pos="8222"/>
        </w:tabs>
        <w:spacing w:line="360" w:lineRule="auto"/>
        <w:ind w:right="49"/>
        <w:jc w:val="both"/>
        <w:rPr>
          <w:rFonts w:ascii="Arial" w:eastAsia="Times New Roman" w:hAnsi="Arial" w:cs="Arial"/>
          <w:b/>
          <w:bCs/>
          <w:sz w:val="26"/>
          <w:szCs w:val="26"/>
          <w:lang w:val="es-ES" w:eastAsia="es-ES"/>
        </w:rPr>
      </w:pPr>
    </w:p>
    <w:p w:rsidR="00D81BE8" w:rsidRDefault="00D81BE8" w:rsidP="00BC60C9">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rPr>
        <w:t xml:space="preserve">        </w:t>
      </w:r>
      <w:r w:rsidR="00BC60C9" w:rsidRPr="001872CB">
        <w:rPr>
          <w:rFonts w:ascii="Arial" w:hAnsi="Arial" w:cs="Arial"/>
          <w:b/>
          <w:bCs/>
          <w:iCs/>
          <w:sz w:val="26"/>
          <w:szCs w:val="26"/>
        </w:rPr>
        <w:t xml:space="preserve">PRIMERO. </w:t>
      </w:r>
      <w:r w:rsidR="007F4F2C" w:rsidRPr="0073338E">
        <w:rPr>
          <w:rFonts w:ascii="Arial" w:hAnsi="Arial" w:cs="Arial"/>
          <w:bCs/>
          <w:iCs/>
          <w:sz w:val="26"/>
          <w:szCs w:val="26"/>
        </w:rPr>
        <w:t xml:space="preserve">Esta Sala Superior es competente para conocer del </w:t>
      </w:r>
      <w:bookmarkStart w:id="0" w:name="_GoBack"/>
      <w:bookmarkEnd w:id="0"/>
      <w:r w:rsidR="007F4F2C" w:rsidRPr="0073338E">
        <w:rPr>
          <w:rFonts w:ascii="Arial" w:hAnsi="Arial" w:cs="Arial"/>
          <w:bCs/>
          <w:iCs/>
          <w:sz w:val="26"/>
          <w:szCs w:val="26"/>
        </w:rPr>
        <w:t xml:space="preserve">presente asunto, </w:t>
      </w:r>
      <w:r w:rsidR="007F4F2C" w:rsidRPr="0073338E">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w:t>
      </w:r>
      <w:r w:rsidR="007F4F2C">
        <w:rPr>
          <w:rFonts w:ascii="Arial" w:hAnsi="Arial" w:cs="Arial"/>
          <w:bCs/>
          <w:iCs/>
          <w:sz w:val="26"/>
          <w:szCs w:val="26"/>
          <w:lang w:eastAsia="es-ES"/>
        </w:rPr>
        <w:t xml:space="preserve">ado Libre y Soberano de Oaxaca, </w:t>
      </w:r>
      <w:r w:rsidR="007F4F2C" w:rsidRPr="0073338E">
        <w:rPr>
          <w:rFonts w:ascii="Arial" w:hAnsi="Arial" w:cs="Arial"/>
          <w:bCs/>
          <w:iCs/>
          <w:sz w:val="26"/>
          <w:szCs w:val="26"/>
          <w:lang w:eastAsia="es-ES"/>
        </w:rPr>
        <w:t xml:space="preserve">publicado </w:t>
      </w:r>
      <w:r w:rsidR="007F4F2C" w:rsidRPr="00F66D81">
        <w:rPr>
          <w:rFonts w:ascii="Arial" w:hAnsi="Arial" w:cs="Arial"/>
          <w:bCs/>
          <w:iCs/>
          <w:sz w:val="26"/>
          <w:szCs w:val="26"/>
          <w:lang w:eastAsia="es-ES"/>
        </w:rPr>
        <w:t>en el Extra del Periódico Oficial del Gobierno del Estado el 16 dieciséis de enero de 2018 dos mil dieciocho,</w:t>
      </w:r>
      <w:r w:rsidR="00B106AB" w:rsidRPr="00B106AB">
        <w:rPr>
          <w:rFonts w:ascii="Arial" w:hAnsi="Arial" w:cs="Arial"/>
          <w:bCs/>
          <w:iCs/>
          <w:sz w:val="26"/>
          <w:szCs w:val="26"/>
        </w:rPr>
        <w:t xml:space="preserve"> </w:t>
      </w:r>
      <w:r w:rsidR="00B106AB">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7 siete de noviembre de 2019 dos mil diecinueve; </w:t>
      </w:r>
      <w:r w:rsidR="007F4F2C" w:rsidRPr="00F66D81">
        <w:rPr>
          <w:rFonts w:ascii="Arial" w:hAnsi="Arial" w:cs="Arial"/>
          <w:bCs/>
          <w:iCs/>
          <w:sz w:val="26"/>
          <w:szCs w:val="26"/>
          <w:lang w:eastAsia="es-ES"/>
        </w:rPr>
        <w:t xml:space="preserve"> </w:t>
      </w:r>
      <w:r w:rsidR="007F4F2C" w:rsidRPr="00F66D81">
        <w:rPr>
          <w:rFonts w:ascii="Arial" w:hAnsi="Arial" w:cs="Arial"/>
          <w:bCs/>
          <w:iCs/>
          <w:sz w:val="26"/>
          <w:szCs w:val="26"/>
        </w:rPr>
        <w:t>86, 88, 92, 93, fracción I, 94, 201, 206 y 208, de la Ley de Justicia Administrativa para el Estado de O</w:t>
      </w:r>
      <w:r w:rsidR="007F4F2C">
        <w:rPr>
          <w:rFonts w:ascii="Arial" w:hAnsi="Arial" w:cs="Arial"/>
          <w:bCs/>
          <w:iCs/>
          <w:sz w:val="26"/>
          <w:szCs w:val="26"/>
        </w:rPr>
        <w:t xml:space="preserve">axaca, vigente hasta el veinte </w:t>
      </w:r>
      <w:r w:rsidR="007F4F2C" w:rsidRPr="00F66D81">
        <w:rPr>
          <w:rFonts w:ascii="Arial" w:hAnsi="Arial" w:cs="Arial"/>
          <w:bCs/>
          <w:iCs/>
          <w:sz w:val="26"/>
          <w:szCs w:val="26"/>
        </w:rPr>
        <w:t>de octubre de dos mil diecisiete</w:t>
      </w:r>
      <w:r w:rsidR="007F4F2C" w:rsidRPr="00983363">
        <w:rPr>
          <w:rFonts w:ascii="Arial" w:hAnsi="Arial" w:cs="Arial"/>
          <w:bCs/>
          <w:iCs/>
          <w:sz w:val="26"/>
          <w:szCs w:val="26"/>
        </w:rPr>
        <w:t>,</w:t>
      </w:r>
      <w:r w:rsidR="007F4F2C" w:rsidRPr="006E349D">
        <w:rPr>
          <w:rFonts w:ascii="Arial" w:hAnsi="Arial" w:cs="Arial"/>
          <w:bCs/>
          <w:iCs/>
          <w:sz w:val="26"/>
          <w:szCs w:val="26"/>
        </w:rPr>
        <w:t xml:space="preserve"> </w:t>
      </w:r>
      <w:r w:rsidR="00BC60C9" w:rsidRPr="001872CB">
        <w:rPr>
          <w:rFonts w:ascii="Arial" w:hAnsi="Arial" w:cs="Arial"/>
          <w:bCs/>
          <w:iCs/>
          <w:sz w:val="26"/>
          <w:szCs w:val="26"/>
        </w:rPr>
        <w:t xml:space="preserve">dado que se trata de un Recurso de Revisión interpuesto </w:t>
      </w:r>
      <w:r w:rsidR="00BC60C9">
        <w:rPr>
          <w:rFonts w:ascii="Arial" w:hAnsi="Arial" w:cs="Arial"/>
          <w:bCs/>
          <w:iCs/>
          <w:sz w:val="26"/>
          <w:szCs w:val="26"/>
        </w:rPr>
        <w:t xml:space="preserve">en </w:t>
      </w:r>
      <w:r w:rsidR="00954C56">
        <w:rPr>
          <w:rFonts w:ascii="Arial" w:hAnsi="Arial" w:cs="Arial"/>
          <w:bCs/>
          <w:iCs/>
          <w:sz w:val="26"/>
          <w:szCs w:val="26"/>
        </w:rPr>
        <w:t>contra de la resolución de 12 doce</w:t>
      </w:r>
      <w:r w:rsidR="00BC60C9">
        <w:rPr>
          <w:rFonts w:ascii="Arial" w:hAnsi="Arial" w:cs="Arial"/>
          <w:bCs/>
          <w:iCs/>
          <w:sz w:val="26"/>
          <w:szCs w:val="26"/>
        </w:rPr>
        <w:t xml:space="preserve"> de mayo</w:t>
      </w:r>
      <w:r w:rsidR="00BC60C9" w:rsidRPr="001872CB">
        <w:rPr>
          <w:rFonts w:ascii="Arial" w:hAnsi="Arial" w:cs="Arial"/>
          <w:bCs/>
          <w:iCs/>
          <w:sz w:val="26"/>
          <w:szCs w:val="26"/>
        </w:rPr>
        <w:t xml:space="preserve"> </w:t>
      </w:r>
      <w:r w:rsidR="007F4F2C">
        <w:rPr>
          <w:rFonts w:ascii="Arial" w:hAnsi="Arial" w:cs="Arial"/>
          <w:bCs/>
          <w:iCs/>
          <w:sz w:val="26"/>
          <w:szCs w:val="26"/>
        </w:rPr>
        <w:t>de</w:t>
      </w:r>
      <w:r w:rsidR="00954C56">
        <w:rPr>
          <w:rFonts w:ascii="Arial" w:hAnsi="Arial" w:cs="Arial"/>
          <w:bCs/>
          <w:iCs/>
          <w:sz w:val="26"/>
          <w:szCs w:val="26"/>
        </w:rPr>
        <w:t xml:space="preserve"> 2019 dos mil diecinueve</w:t>
      </w:r>
      <w:r w:rsidR="00BC60C9" w:rsidRPr="001872CB">
        <w:rPr>
          <w:rFonts w:ascii="Arial" w:hAnsi="Arial" w:cs="Arial"/>
          <w:bCs/>
          <w:iCs/>
          <w:sz w:val="26"/>
          <w:szCs w:val="26"/>
        </w:rPr>
        <w:t>, dict</w:t>
      </w:r>
      <w:r w:rsidR="00954C56">
        <w:rPr>
          <w:rFonts w:ascii="Arial" w:hAnsi="Arial" w:cs="Arial"/>
          <w:bCs/>
          <w:iCs/>
          <w:sz w:val="26"/>
          <w:szCs w:val="26"/>
        </w:rPr>
        <w:t>ada por la Magistrada</w:t>
      </w:r>
      <w:r w:rsidR="00BC60C9">
        <w:rPr>
          <w:rFonts w:ascii="Arial" w:hAnsi="Arial" w:cs="Arial"/>
          <w:bCs/>
          <w:iCs/>
          <w:sz w:val="26"/>
          <w:szCs w:val="26"/>
        </w:rPr>
        <w:t xml:space="preserve"> de la Tercera</w:t>
      </w:r>
      <w:r w:rsidR="00BC60C9" w:rsidRPr="001872CB">
        <w:rPr>
          <w:rFonts w:ascii="Arial" w:hAnsi="Arial" w:cs="Arial"/>
          <w:bCs/>
          <w:iCs/>
          <w:sz w:val="26"/>
          <w:szCs w:val="26"/>
        </w:rPr>
        <w:t xml:space="preserve"> Sala Unitaria de Primera Instancia, en el </w:t>
      </w:r>
      <w:r w:rsidR="00BC60C9">
        <w:rPr>
          <w:rFonts w:ascii="Arial" w:hAnsi="Arial" w:cs="Arial"/>
          <w:bCs/>
          <w:iCs/>
          <w:sz w:val="26"/>
          <w:szCs w:val="26"/>
        </w:rPr>
        <w:t xml:space="preserve">incidente de liquidación de sentencia derivado del </w:t>
      </w:r>
      <w:r w:rsidR="00BC60C9" w:rsidRPr="001872CB">
        <w:rPr>
          <w:rFonts w:ascii="Arial" w:hAnsi="Arial" w:cs="Arial"/>
          <w:bCs/>
          <w:iCs/>
          <w:sz w:val="26"/>
          <w:szCs w:val="26"/>
        </w:rPr>
        <w:t xml:space="preserve">expediente </w:t>
      </w:r>
      <w:r w:rsidR="00954C56">
        <w:rPr>
          <w:rFonts w:ascii="Arial" w:hAnsi="Arial" w:cs="Arial"/>
          <w:b/>
          <w:bCs/>
          <w:iCs/>
          <w:sz w:val="26"/>
          <w:szCs w:val="26"/>
        </w:rPr>
        <w:t>55</w:t>
      </w:r>
      <w:r w:rsidR="00BC60C9">
        <w:rPr>
          <w:rFonts w:ascii="Arial" w:hAnsi="Arial" w:cs="Arial"/>
          <w:b/>
          <w:bCs/>
          <w:iCs/>
          <w:sz w:val="26"/>
          <w:szCs w:val="26"/>
        </w:rPr>
        <w:t>/2016</w:t>
      </w:r>
      <w:r>
        <w:rPr>
          <w:rFonts w:ascii="Arial" w:hAnsi="Arial" w:cs="Arial"/>
          <w:bCs/>
          <w:iCs/>
          <w:sz w:val="26"/>
          <w:szCs w:val="26"/>
        </w:rPr>
        <w:t>.</w:t>
      </w:r>
    </w:p>
    <w:p w:rsidR="00D81BE8" w:rsidRDefault="00D81BE8" w:rsidP="00BC60C9">
      <w:pPr>
        <w:widowControl w:val="0"/>
        <w:tabs>
          <w:tab w:val="left" w:pos="7938"/>
          <w:tab w:val="left" w:pos="8222"/>
        </w:tabs>
        <w:spacing w:line="360" w:lineRule="auto"/>
        <w:ind w:right="49"/>
        <w:jc w:val="both"/>
        <w:rPr>
          <w:rFonts w:ascii="Arial" w:hAnsi="Arial" w:cs="Arial"/>
          <w:bCs/>
          <w:iCs/>
          <w:sz w:val="26"/>
          <w:szCs w:val="26"/>
        </w:rPr>
      </w:pPr>
    </w:p>
    <w:p w:rsidR="00BC60C9" w:rsidRDefault="00D81BE8" w:rsidP="00BC60C9">
      <w:pPr>
        <w:widowControl w:val="0"/>
        <w:tabs>
          <w:tab w:val="left" w:pos="7938"/>
          <w:tab w:val="left" w:pos="8222"/>
        </w:tabs>
        <w:spacing w:line="360" w:lineRule="auto"/>
        <w:ind w:right="49"/>
        <w:jc w:val="both"/>
        <w:rPr>
          <w:rFonts w:ascii="Arial" w:hAnsi="Arial" w:cs="Arial"/>
          <w:bCs/>
          <w:color w:val="000000"/>
          <w:sz w:val="26"/>
          <w:szCs w:val="26"/>
        </w:rPr>
      </w:pPr>
      <w:r>
        <w:rPr>
          <w:rFonts w:ascii="Arial" w:hAnsi="Arial" w:cs="Arial"/>
          <w:bCs/>
          <w:iCs/>
          <w:sz w:val="26"/>
          <w:szCs w:val="26"/>
        </w:rPr>
        <w:t xml:space="preserve">      </w:t>
      </w:r>
      <w:r w:rsidR="00BC60C9" w:rsidRPr="001872CB">
        <w:rPr>
          <w:rFonts w:ascii="Arial" w:hAnsi="Arial" w:cs="Arial"/>
          <w:bCs/>
          <w:iCs/>
          <w:sz w:val="26"/>
          <w:szCs w:val="26"/>
        </w:rPr>
        <w:t xml:space="preserve"> </w:t>
      </w:r>
      <w:r w:rsidR="00BC60C9" w:rsidRPr="001872CB">
        <w:rPr>
          <w:rFonts w:ascii="Arial" w:hAnsi="Arial" w:cs="Arial"/>
          <w:b/>
          <w:bCs/>
          <w:sz w:val="26"/>
          <w:szCs w:val="26"/>
          <w:lang w:val="es-ES"/>
        </w:rPr>
        <w:t>SEGUNDO.</w:t>
      </w:r>
      <w:r w:rsidR="00BC60C9" w:rsidRPr="001872CB">
        <w:rPr>
          <w:rFonts w:ascii="Arial" w:hAnsi="Arial" w:cs="Arial"/>
          <w:b/>
          <w:bCs/>
          <w:sz w:val="26"/>
          <w:szCs w:val="26"/>
        </w:rPr>
        <w:t xml:space="preserve"> </w:t>
      </w:r>
      <w:r w:rsidR="00D11044">
        <w:rPr>
          <w:rFonts w:ascii="Arial" w:hAnsi="Arial" w:cs="Arial"/>
          <w:bCs/>
          <w:color w:val="000000"/>
          <w:sz w:val="26"/>
          <w:szCs w:val="26"/>
        </w:rPr>
        <w:t>Los</w:t>
      </w:r>
      <w:r w:rsidR="00BC60C9" w:rsidRPr="001872CB">
        <w:rPr>
          <w:rFonts w:ascii="Arial" w:hAnsi="Arial" w:cs="Arial"/>
          <w:bCs/>
          <w:color w:val="000000"/>
          <w:sz w:val="26"/>
          <w:szCs w:val="26"/>
        </w:rPr>
        <w:t xml:space="preserve"> agravio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hecho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valer se encuentra</w:t>
      </w:r>
      <w:r w:rsidR="00D11044">
        <w:rPr>
          <w:rFonts w:ascii="Arial" w:hAnsi="Arial" w:cs="Arial"/>
          <w:bCs/>
          <w:color w:val="000000"/>
          <w:sz w:val="26"/>
          <w:szCs w:val="26"/>
        </w:rPr>
        <w:t>n</w:t>
      </w:r>
      <w:r w:rsidR="00BC60C9" w:rsidRPr="001872CB">
        <w:rPr>
          <w:rFonts w:ascii="Arial" w:hAnsi="Arial" w:cs="Arial"/>
          <w:bCs/>
          <w:color w:val="000000"/>
          <w:sz w:val="26"/>
          <w:szCs w:val="26"/>
        </w:rPr>
        <w:t xml:space="preserve"> expuesto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en el escrito del recurrente, por lo que no existe necesidad de transcribirlo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virtud a que ello no implica transgresión a derecho alguno, como tampoco se vulnera disposición expresa que imponga tal obligación. Se invoca en apoyo, la Tesis, con número de registro 254280, publicada en la Gaceta del Semanario Judicial de la Federación, Volumen 81, Sexta </w:t>
      </w:r>
      <w:r w:rsidR="00BC60C9" w:rsidRPr="001872CB">
        <w:rPr>
          <w:rFonts w:ascii="Arial" w:hAnsi="Arial" w:cs="Arial"/>
          <w:bCs/>
          <w:color w:val="000000"/>
          <w:sz w:val="26"/>
          <w:szCs w:val="26"/>
        </w:rPr>
        <w:lastRenderedPageBreak/>
        <w:t xml:space="preserve">Parte, Séptima  Época, pagina 23, bajo el </w:t>
      </w:r>
      <w:r>
        <w:rPr>
          <w:rFonts w:ascii="Arial" w:hAnsi="Arial" w:cs="Arial"/>
          <w:bCs/>
          <w:color w:val="000000"/>
          <w:sz w:val="26"/>
          <w:szCs w:val="26"/>
        </w:rPr>
        <w:t xml:space="preserve">rubro y texto siguiente: </w:t>
      </w:r>
      <w:r w:rsidR="00BC60C9" w:rsidRPr="001872CB">
        <w:rPr>
          <w:rFonts w:ascii="Arial" w:hAnsi="Arial" w:cs="Arial"/>
          <w:bCs/>
          <w:color w:val="000000"/>
          <w:sz w:val="26"/>
          <w:szCs w:val="26"/>
        </w:rPr>
        <w:t xml:space="preserve"> </w:t>
      </w:r>
    </w:p>
    <w:p w:rsidR="00D11044" w:rsidRPr="001872CB" w:rsidRDefault="00D11044" w:rsidP="00BC60C9">
      <w:pPr>
        <w:widowControl w:val="0"/>
        <w:tabs>
          <w:tab w:val="left" w:pos="7938"/>
          <w:tab w:val="left" w:pos="8222"/>
        </w:tabs>
        <w:spacing w:line="360" w:lineRule="auto"/>
        <w:ind w:right="49"/>
        <w:jc w:val="both"/>
        <w:rPr>
          <w:rFonts w:ascii="Arial" w:eastAsia="Times New Roman" w:hAnsi="Arial" w:cs="Arial"/>
          <w:bCs/>
          <w:iCs/>
          <w:lang w:val="es-ES" w:eastAsia="es-ES"/>
        </w:rPr>
      </w:pPr>
    </w:p>
    <w:p w:rsidR="00BC60C9" w:rsidRDefault="00BC60C9" w:rsidP="00B106AB">
      <w:pPr>
        <w:spacing w:line="276" w:lineRule="auto"/>
        <w:ind w:left="567" w:right="618"/>
        <w:jc w:val="both"/>
        <w:rPr>
          <w:rFonts w:ascii="Arial" w:hAnsi="Arial" w:cs="Arial"/>
          <w:bCs/>
          <w:i/>
          <w:color w:val="000000"/>
        </w:rPr>
      </w:pPr>
      <w:r w:rsidRPr="00FF636F">
        <w:rPr>
          <w:rFonts w:ascii="Arial" w:hAnsi="Arial" w:cs="Arial"/>
          <w:b/>
          <w:bCs/>
          <w:i/>
          <w:color w:val="000000"/>
        </w:rPr>
        <w:t>“CONCEPTOS DE VIOLACIÓN. NO ES OBLIGATORIO TRANSCRIBIRLOS EN LA SENTENCIA</w:t>
      </w:r>
      <w:r w:rsidRPr="00FF636F">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w:t>
      </w:r>
      <w:r w:rsidR="00D81BE8">
        <w:rPr>
          <w:rFonts w:ascii="Arial" w:hAnsi="Arial" w:cs="Arial"/>
          <w:bCs/>
          <w:i/>
          <w:color w:val="000000"/>
        </w:rPr>
        <w:t xml:space="preserve">ando no transcritos.(sic)”. </w:t>
      </w:r>
    </w:p>
    <w:p w:rsidR="00D81BE8" w:rsidRPr="00FF636F" w:rsidRDefault="00D81BE8" w:rsidP="00B425AF">
      <w:pPr>
        <w:spacing w:line="360" w:lineRule="auto"/>
        <w:ind w:left="567" w:right="618"/>
        <w:jc w:val="both"/>
        <w:rPr>
          <w:rFonts w:ascii="Arial" w:hAnsi="Arial" w:cs="Arial"/>
          <w:i/>
          <w:color w:val="000000"/>
          <w:sz w:val="20"/>
          <w:szCs w:val="20"/>
        </w:rPr>
      </w:pPr>
    </w:p>
    <w:p w:rsidR="00435849" w:rsidRDefault="00BC60C9" w:rsidP="007F4F2C">
      <w:pPr>
        <w:pStyle w:val="Sinespaciado"/>
        <w:spacing w:after="120" w:line="360" w:lineRule="auto"/>
        <w:ind w:firstLine="567"/>
        <w:jc w:val="both"/>
        <w:rPr>
          <w:rFonts w:ascii="Arial" w:eastAsia="Calibri" w:hAnsi="Arial" w:cs="Arial"/>
          <w:bCs/>
          <w:sz w:val="26"/>
          <w:szCs w:val="26"/>
        </w:rPr>
      </w:pPr>
      <w:r w:rsidRPr="001872CB">
        <w:rPr>
          <w:rFonts w:ascii="Arial" w:eastAsia="Calibri" w:hAnsi="Arial" w:cs="Arial"/>
          <w:b/>
          <w:bCs/>
          <w:sz w:val="26"/>
          <w:szCs w:val="26"/>
        </w:rPr>
        <w:t xml:space="preserve">TERCERO. </w:t>
      </w:r>
      <w:r w:rsidRPr="001872CB">
        <w:rPr>
          <w:rFonts w:ascii="Arial" w:eastAsia="Calibri" w:hAnsi="Arial" w:cs="Arial"/>
          <w:bCs/>
          <w:sz w:val="26"/>
          <w:szCs w:val="26"/>
        </w:rPr>
        <w:t xml:space="preserve">Manifiesta </w:t>
      </w:r>
      <w:r>
        <w:rPr>
          <w:rFonts w:ascii="Arial" w:eastAsia="Calibri" w:hAnsi="Arial" w:cs="Arial"/>
          <w:bCs/>
          <w:sz w:val="26"/>
          <w:szCs w:val="26"/>
        </w:rPr>
        <w:t xml:space="preserve">el recurrente en su </w:t>
      </w:r>
      <w:r w:rsidRPr="007B6D7B">
        <w:rPr>
          <w:rFonts w:ascii="Arial" w:eastAsia="Calibri" w:hAnsi="Arial" w:cs="Arial"/>
          <w:b/>
          <w:bCs/>
          <w:sz w:val="26"/>
          <w:szCs w:val="26"/>
        </w:rPr>
        <w:t>primer agravio</w:t>
      </w:r>
      <w:r>
        <w:rPr>
          <w:rFonts w:ascii="Arial" w:eastAsia="Calibri" w:hAnsi="Arial" w:cs="Arial"/>
          <w:bCs/>
          <w:sz w:val="26"/>
          <w:szCs w:val="26"/>
        </w:rPr>
        <w:t xml:space="preserve"> que la resolución de fecha </w:t>
      </w:r>
      <w:r w:rsidR="00435849">
        <w:rPr>
          <w:rFonts w:ascii="Arial" w:eastAsia="Calibri" w:hAnsi="Arial" w:cs="Arial"/>
          <w:bCs/>
          <w:sz w:val="26"/>
          <w:szCs w:val="26"/>
        </w:rPr>
        <w:t>12 doce de mayo de 2019 dos mil diecinueve</w:t>
      </w:r>
      <w:r>
        <w:rPr>
          <w:rFonts w:ascii="Arial" w:eastAsia="Calibri" w:hAnsi="Arial" w:cs="Arial"/>
          <w:bCs/>
          <w:sz w:val="26"/>
          <w:szCs w:val="26"/>
        </w:rPr>
        <w:t xml:space="preserve">, se contrapone a los principios de certeza y seguridad jurídica contemplados en los artículos 14 y 16 de la Constitución Federal; esto es así, virtud </w:t>
      </w:r>
      <w:r w:rsidR="00435849">
        <w:rPr>
          <w:rFonts w:ascii="Arial" w:eastAsia="Calibri" w:hAnsi="Arial" w:cs="Arial"/>
          <w:bCs/>
          <w:sz w:val="26"/>
          <w:szCs w:val="26"/>
        </w:rPr>
        <w:t xml:space="preserve">que sin fundar y motivar se condena a la autoridad que representa a pagar salarios caídos. </w:t>
      </w:r>
    </w:p>
    <w:p w:rsidR="00435849" w:rsidRDefault="00435849" w:rsidP="007F4F2C">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 Debiéndose cubrir las prestaciones que tenía derecho únicamente al día en que ocurrió la revocación de su nombrami</w:t>
      </w:r>
      <w:r w:rsidR="00F01CFA">
        <w:rPr>
          <w:rFonts w:ascii="Arial" w:eastAsia="Calibri" w:hAnsi="Arial" w:cs="Arial"/>
          <w:bCs/>
          <w:sz w:val="26"/>
          <w:szCs w:val="26"/>
        </w:rPr>
        <w:t>ento, baja y cese de funciones</w:t>
      </w:r>
      <w:r>
        <w:rPr>
          <w:rFonts w:ascii="Arial" w:eastAsia="Calibri" w:hAnsi="Arial" w:cs="Arial"/>
          <w:bCs/>
          <w:sz w:val="26"/>
          <w:szCs w:val="26"/>
        </w:rPr>
        <w:t>, sin que ello implique que deban cubrirse salarios caídos o vencidos, que no son otra cosa que la remuneración ordinaria diaria que el servidor público dejó de percibir por la prestación de sus servicios; puesto que la Ley invocada por la resolutora de Primera Instancia no lo establece expresamente, por lo que no se justifica el pago de salarios caídos.</w:t>
      </w:r>
    </w:p>
    <w:p w:rsidR="00C37750" w:rsidRDefault="00433A41" w:rsidP="00433A41">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 xml:space="preserve">    Continua alegando que no existen prestaciones generadas hasta el cumplimiento de la sentencia dictada por la Sala Superior, por lo que no se está en presencia de una reincorporación al servicio, la cual prohíbe expresamente la Constitución Pol</w:t>
      </w:r>
      <w:r w:rsidR="000C71EF">
        <w:rPr>
          <w:rFonts w:ascii="Arial" w:eastAsia="Calibri" w:hAnsi="Arial" w:cs="Arial"/>
          <w:bCs/>
          <w:sz w:val="26"/>
          <w:szCs w:val="26"/>
        </w:rPr>
        <w:t>ítica de los Estados Unidos Mexicanos</w:t>
      </w:r>
      <w:r>
        <w:rPr>
          <w:rFonts w:ascii="Arial" w:eastAsia="Calibri" w:hAnsi="Arial" w:cs="Arial"/>
          <w:bCs/>
          <w:sz w:val="26"/>
          <w:szCs w:val="26"/>
        </w:rPr>
        <w:t xml:space="preserve"> en el artículo 123, tratándose de policías, lo que eventualmente obligaría al pago de salarios caídos al producirse la continuación de la relación jurídico administrativa entre el Municipio de Oaxaca de Juárez y el actor como miembro del cuerpo policial o de seguridad jurídica, por lo que únicamente procede la indemnización.</w:t>
      </w:r>
      <w:r w:rsidR="00F01CFA">
        <w:rPr>
          <w:rFonts w:ascii="Arial" w:eastAsia="Calibri" w:hAnsi="Arial" w:cs="Arial"/>
          <w:bCs/>
          <w:sz w:val="26"/>
          <w:szCs w:val="26"/>
        </w:rPr>
        <w:t xml:space="preserve"> Invocando diversas tesis jurisprudencias para sustentar sus argumentos.</w:t>
      </w:r>
    </w:p>
    <w:p w:rsidR="00433A41" w:rsidRPr="00C37750" w:rsidRDefault="009455A9" w:rsidP="00C37750">
      <w:pPr>
        <w:pStyle w:val="Sinespaciado"/>
        <w:spacing w:after="120" w:line="360" w:lineRule="auto"/>
        <w:ind w:firstLine="567"/>
        <w:jc w:val="both"/>
        <w:rPr>
          <w:rFonts w:ascii="Arial" w:hAnsi="Arial" w:cs="Arial"/>
          <w:bCs/>
          <w:iCs/>
          <w:sz w:val="26"/>
          <w:szCs w:val="26"/>
        </w:rPr>
      </w:pPr>
      <w:r>
        <w:rPr>
          <w:rFonts w:ascii="Arial" w:eastAsia="Calibri" w:hAnsi="Arial" w:cs="Arial"/>
          <w:bCs/>
          <w:sz w:val="26"/>
          <w:szCs w:val="26"/>
        </w:rPr>
        <w:t>Argumenta</w:t>
      </w:r>
      <w:r w:rsidR="00C37750">
        <w:rPr>
          <w:rFonts w:ascii="Arial" w:eastAsia="Calibri" w:hAnsi="Arial" w:cs="Arial"/>
          <w:bCs/>
          <w:sz w:val="26"/>
          <w:szCs w:val="26"/>
        </w:rPr>
        <w:t xml:space="preserve"> </w:t>
      </w:r>
      <w:r w:rsidR="00B73497">
        <w:rPr>
          <w:rFonts w:ascii="Arial" w:eastAsia="Calibri" w:hAnsi="Arial" w:cs="Arial"/>
          <w:bCs/>
          <w:sz w:val="26"/>
          <w:szCs w:val="26"/>
        </w:rPr>
        <w:t xml:space="preserve">la recurrente </w:t>
      </w:r>
      <w:r w:rsidR="00C37750">
        <w:rPr>
          <w:rFonts w:ascii="Arial" w:eastAsia="Calibri" w:hAnsi="Arial" w:cs="Arial"/>
          <w:bCs/>
          <w:sz w:val="26"/>
          <w:szCs w:val="26"/>
        </w:rPr>
        <w:t xml:space="preserve">en su </w:t>
      </w:r>
      <w:r w:rsidR="00C37750" w:rsidRPr="00C37750">
        <w:rPr>
          <w:rFonts w:ascii="Arial" w:eastAsia="Calibri" w:hAnsi="Arial" w:cs="Arial"/>
          <w:b/>
          <w:bCs/>
          <w:sz w:val="26"/>
          <w:szCs w:val="26"/>
        </w:rPr>
        <w:t>segundo agravio</w:t>
      </w:r>
      <w:r w:rsidR="00C37750">
        <w:rPr>
          <w:rFonts w:ascii="Arial" w:eastAsia="Calibri" w:hAnsi="Arial" w:cs="Arial"/>
          <w:bCs/>
          <w:sz w:val="26"/>
          <w:szCs w:val="26"/>
        </w:rPr>
        <w:t xml:space="preserve">, que la resolución de fecha 12 doce de mayo de 2019 dos mil diecinueve, se contrapone a los principios de certeza y seguridad jurídica contemplados en los artículos 14 y 16 de la Constitución Federal; esto es así, virtud que carece de la debida fundamentación y motivación que debe contener todo acto de autoridad porque la </w:t>
      </w:r>
      <w:r w:rsidR="00C37750" w:rsidRPr="001872CB">
        <w:rPr>
          <w:rFonts w:ascii="Arial" w:hAnsi="Arial" w:cs="Arial"/>
          <w:bCs/>
          <w:iCs/>
          <w:sz w:val="26"/>
          <w:szCs w:val="26"/>
        </w:rPr>
        <w:t xml:space="preserve">Ley de Justicia Administrativa para el </w:t>
      </w:r>
      <w:r w:rsidR="00C37750" w:rsidRPr="001872CB">
        <w:rPr>
          <w:rFonts w:ascii="Arial" w:hAnsi="Arial" w:cs="Arial"/>
          <w:bCs/>
          <w:iCs/>
          <w:sz w:val="26"/>
          <w:szCs w:val="26"/>
        </w:rPr>
        <w:lastRenderedPageBreak/>
        <w:t>Estado de Oaxaca,</w:t>
      </w:r>
      <w:r w:rsidR="00C37750">
        <w:rPr>
          <w:rFonts w:ascii="Arial" w:hAnsi="Arial" w:cs="Arial"/>
          <w:bCs/>
          <w:iCs/>
          <w:sz w:val="26"/>
          <w:szCs w:val="26"/>
        </w:rPr>
        <w:t xml:space="preserve"> de ninguna forma prevé el incidente de liquidación de sentencia, como lo expone la autoridad resolutora.</w:t>
      </w:r>
    </w:p>
    <w:p w:rsidR="00D81BE8" w:rsidRDefault="00C37750" w:rsidP="007F4F2C">
      <w:pPr>
        <w:pStyle w:val="Sinespaciado"/>
        <w:spacing w:after="120" w:line="360" w:lineRule="auto"/>
        <w:ind w:firstLine="567"/>
        <w:jc w:val="both"/>
        <w:rPr>
          <w:rFonts w:ascii="Arial" w:hAnsi="Arial" w:cs="Arial"/>
          <w:bCs/>
          <w:iCs/>
          <w:sz w:val="26"/>
          <w:szCs w:val="26"/>
        </w:rPr>
      </w:pPr>
      <w:r>
        <w:rPr>
          <w:rFonts w:ascii="Arial" w:hAnsi="Arial" w:cs="Arial"/>
          <w:bCs/>
          <w:iCs/>
          <w:sz w:val="26"/>
          <w:szCs w:val="26"/>
        </w:rPr>
        <w:t>Indica que</w:t>
      </w:r>
      <w:r w:rsidR="00BC60C9">
        <w:rPr>
          <w:rFonts w:ascii="Arial" w:hAnsi="Arial" w:cs="Arial"/>
          <w:bCs/>
          <w:iCs/>
          <w:sz w:val="26"/>
          <w:szCs w:val="26"/>
        </w:rPr>
        <w:t xml:space="preserve"> la Magistrada de Primera Instancia, establece en el considerando primero</w:t>
      </w:r>
      <w:r>
        <w:rPr>
          <w:rFonts w:ascii="Arial" w:hAnsi="Arial" w:cs="Arial"/>
          <w:bCs/>
          <w:iCs/>
          <w:sz w:val="26"/>
          <w:szCs w:val="26"/>
        </w:rPr>
        <w:t xml:space="preserve"> de dicha resolución</w:t>
      </w:r>
      <w:r w:rsidR="00BC60C9">
        <w:rPr>
          <w:rFonts w:ascii="Arial" w:hAnsi="Arial" w:cs="Arial"/>
          <w:bCs/>
          <w:iCs/>
          <w:sz w:val="26"/>
          <w:szCs w:val="26"/>
        </w:rPr>
        <w:t xml:space="preserve">, que es competente para conocer y resolver el presente incidente de liquidación con fundamento en lo dispuesto por el artículo 17 de la Constitución Política de los Estado Unidos Mexicanos, respecto de la tutela judicial a favor de los administrados, artículo 116 de </w:t>
      </w:r>
      <w:r w:rsidR="00BC60C9" w:rsidRPr="00B80401">
        <w:rPr>
          <w:rFonts w:ascii="Arial" w:hAnsi="Arial" w:cs="Arial"/>
          <w:bCs/>
          <w:iCs/>
          <w:sz w:val="26"/>
          <w:szCs w:val="26"/>
        </w:rPr>
        <w:t>la Ley de Justicia Administrativa para el Estado de Oaxaca (</w:t>
      </w:r>
      <w:r w:rsidR="00BC60C9">
        <w:rPr>
          <w:rFonts w:ascii="Arial" w:hAnsi="Arial" w:cs="Arial"/>
          <w:bCs/>
          <w:iCs/>
          <w:sz w:val="26"/>
          <w:szCs w:val="26"/>
        </w:rPr>
        <w:t xml:space="preserve">norma vigente al inicio del presente juicio), así como 404 y 501 del Código de Procedimientos Civiles para el Estado, de aplicación supletoria. </w:t>
      </w:r>
    </w:p>
    <w:p w:rsidR="00D81BE8" w:rsidRDefault="00BC60C9" w:rsidP="007F4F2C">
      <w:pPr>
        <w:pStyle w:val="Sinespaciado"/>
        <w:spacing w:after="120" w:line="360" w:lineRule="auto"/>
        <w:ind w:firstLine="567"/>
        <w:jc w:val="both"/>
        <w:rPr>
          <w:rFonts w:ascii="Arial" w:hAnsi="Arial" w:cs="Arial"/>
          <w:bCs/>
          <w:iCs/>
          <w:sz w:val="26"/>
          <w:szCs w:val="26"/>
        </w:rPr>
      </w:pPr>
      <w:r>
        <w:rPr>
          <w:rFonts w:ascii="Arial" w:hAnsi="Arial" w:cs="Arial"/>
          <w:bCs/>
          <w:iCs/>
          <w:sz w:val="26"/>
          <w:szCs w:val="26"/>
        </w:rPr>
        <w:t>Sin embar</w:t>
      </w:r>
      <w:r w:rsidR="00C37750">
        <w:rPr>
          <w:rFonts w:ascii="Arial" w:hAnsi="Arial" w:cs="Arial"/>
          <w:bCs/>
          <w:iCs/>
          <w:sz w:val="26"/>
          <w:szCs w:val="26"/>
        </w:rPr>
        <w:t>go, manifiesta que la resolutora de Primera Instancia</w:t>
      </w:r>
      <w:r>
        <w:rPr>
          <w:rFonts w:ascii="Arial" w:hAnsi="Arial" w:cs="Arial"/>
          <w:bCs/>
          <w:iCs/>
          <w:sz w:val="26"/>
          <w:szCs w:val="26"/>
        </w:rPr>
        <w:t xml:space="preserve"> es omisa en señalar su competencia de acuerdo a la Constitución Local y Leyes Secundarias; es decir, la resolución que pone fin al incidente de liquidación de sentencia, está basada en solo opiniones sin sustento y argumentos jurídicos. Además el términ</w:t>
      </w:r>
      <w:r w:rsidR="00C37750">
        <w:rPr>
          <w:rFonts w:ascii="Arial" w:hAnsi="Arial" w:cs="Arial"/>
          <w:bCs/>
          <w:iCs/>
          <w:sz w:val="26"/>
          <w:szCs w:val="26"/>
        </w:rPr>
        <w:t>o utilizado por</w:t>
      </w:r>
      <w:r>
        <w:rPr>
          <w:rFonts w:ascii="Arial" w:hAnsi="Arial" w:cs="Arial"/>
          <w:bCs/>
          <w:iCs/>
          <w:sz w:val="26"/>
          <w:szCs w:val="26"/>
        </w:rPr>
        <w:t xml:space="preserve"> la Tercera Sala Unitaria, como es “</w:t>
      </w:r>
      <w:r w:rsidR="00C37750">
        <w:rPr>
          <w:rFonts w:ascii="Arial" w:hAnsi="Arial" w:cs="Arial"/>
          <w:bCs/>
          <w:iCs/>
          <w:sz w:val="26"/>
          <w:szCs w:val="26"/>
        </w:rPr>
        <w:t>INCIDENTE DE LIQUIDACIÓN DE SENTENCIA</w:t>
      </w:r>
      <w:r>
        <w:rPr>
          <w:rFonts w:ascii="Arial" w:hAnsi="Arial" w:cs="Arial"/>
          <w:bCs/>
          <w:iCs/>
          <w:sz w:val="26"/>
          <w:szCs w:val="26"/>
        </w:rPr>
        <w:t xml:space="preserve">”, no está regulado por la </w:t>
      </w:r>
      <w:r w:rsidRPr="00BA1886">
        <w:rPr>
          <w:rFonts w:ascii="Arial" w:hAnsi="Arial" w:cs="Arial"/>
          <w:bCs/>
          <w:iCs/>
          <w:sz w:val="26"/>
          <w:szCs w:val="26"/>
        </w:rPr>
        <w:t>Ley de Justicia Adminis</w:t>
      </w:r>
      <w:r>
        <w:rPr>
          <w:rFonts w:ascii="Arial" w:hAnsi="Arial" w:cs="Arial"/>
          <w:bCs/>
          <w:iCs/>
          <w:sz w:val="26"/>
          <w:szCs w:val="26"/>
        </w:rPr>
        <w:t xml:space="preserve">trativa, con lo que se evidencia la ilegalidad del acto combatido, de tal manera que al no tener competencia la autoridad resolutora, ni sustento jurídico, lo procedente es </w:t>
      </w:r>
      <w:r w:rsidR="00C37750">
        <w:rPr>
          <w:rFonts w:ascii="Arial" w:hAnsi="Arial" w:cs="Arial"/>
          <w:bCs/>
          <w:iCs/>
          <w:sz w:val="26"/>
          <w:szCs w:val="26"/>
        </w:rPr>
        <w:t>revocar la</w:t>
      </w:r>
      <w:r>
        <w:rPr>
          <w:rFonts w:ascii="Arial" w:hAnsi="Arial" w:cs="Arial"/>
          <w:bCs/>
          <w:iCs/>
          <w:sz w:val="26"/>
          <w:szCs w:val="26"/>
        </w:rPr>
        <w:t xml:space="preserve"> resolución recurrida</w:t>
      </w:r>
      <w:r w:rsidR="00D81BE8">
        <w:rPr>
          <w:rFonts w:ascii="Arial" w:hAnsi="Arial" w:cs="Arial"/>
          <w:bCs/>
          <w:iCs/>
          <w:sz w:val="26"/>
          <w:szCs w:val="26"/>
        </w:rPr>
        <w:t>.</w:t>
      </w:r>
    </w:p>
    <w:p w:rsidR="00D81BE8" w:rsidRDefault="00A43BC3" w:rsidP="007F4F2C">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00BC60C9">
        <w:rPr>
          <w:rFonts w:ascii="Arial" w:eastAsia="Calibri" w:hAnsi="Arial" w:cs="Arial"/>
          <w:bCs/>
          <w:sz w:val="26"/>
          <w:szCs w:val="26"/>
        </w:rPr>
        <w:t xml:space="preserve">Asimismo, señala en su </w:t>
      </w:r>
      <w:r w:rsidR="00C37750">
        <w:rPr>
          <w:rFonts w:ascii="Arial" w:eastAsia="Calibri" w:hAnsi="Arial" w:cs="Arial"/>
          <w:b/>
          <w:bCs/>
          <w:sz w:val="26"/>
          <w:szCs w:val="26"/>
        </w:rPr>
        <w:t>tercer</w:t>
      </w:r>
      <w:r w:rsidR="00BC60C9" w:rsidRPr="007B6D7B">
        <w:rPr>
          <w:rFonts w:ascii="Arial" w:eastAsia="Calibri" w:hAnsi="Arial" w:cs="Arial"/>
          <w:b/>
          <w:bCs/>
          <w:sz w:val="26"/>
          <w:szCs w:val="26"/>
        </w:rPr>
        <w:t xml:space="preserve"> agravio</w:t>
      </w:r>
      <w:r w:rsidR="00BC60C9">
        <w:rPr>
          <w:rFonts w:ascii="Arial" w:eastAsia="Calibri" w:hAnsi="Arial" w:cs="Arial"/>
          <w:bCs/>
          <w:sz w:val="26"/>
          <w:szCs w:val="26"/>
        </w:rPr>
        <w:t xml:space="preserve"> que la resolución recurrida es un acto ilegal, que deja a la autoridad que representa en total estado de indefensión, porque resuelve sin señalar los preceptos jurídicos aplicados que contemplan los rubros a los que se refiere, como son: </w:t>
      </w:r>
      <w:r w:rsidR="00980CF1">
        <w:rPr>
          <w:rFonts w:ascii="Arial" w:eastAsia="Calibri" w:hAnsi="Arial" w:cs="Arial"/>
          <w:bCs/>
          <w:sz w:val="26"/>
          <w:szCs w:val="26"/>
        </w:rPr>
        <w:t xml:space="preserve">aguinaldo, canasta navideña, </w:t>
      </w:r>
      <w:r w:rsidR="00BC60C9">
        <w:rPr>
          <w:rFonts w:ascii="Arial" w:eastAsia="Calibri" w:hAnsi="Arial" w:cs="Arial"/>
          <w:bCs/>
          <w:sz w:val="26"/>
          <w:szCs w:val="26"/>
        </w:rPr>
        <w:t xml:space="preserve">indemnización constitucional, </w:t>
      </w:r>
      <w:r w:rsidR="00980CF1">
        <w:rPr>
          <w:rFonts w:ascii="Arial" w:eastAsia="Calibri" w:hAnsi="Arial" w:cs="Arial"/>
          <w:bCs/>
          <w:sz w:val="26"/>
          <w:szCs w:val="26"/>
        </w:rPr>
        <w:t>remuneración ordinaria diaria</w:t>
      </w:r>
      <w:r w:rsidR="00BC60C9">
        <w:rPr>
          <w:rFonts w:ascii="Arial" w:eastAsia="Calibri" w:hAnsi="Arial" w:cs="Arial"/>
          <w:bCs/>
          <w:sz w:val="26"/>
          <w:szCs w:val="26"/>
        </w:rPr>
        <w:t>; y mucho menos expone los motivos por los cuales calcula la percepción diaria</w:t>
      </w:r>
      <w:r w:rsidR="00980CF1">
        <w:rPr>
          <w:rFonts w:ascii="Arial" w:eastAsia="Calibri" w:hAnsi="Arial" w:cs="Arial"/>
          <w:bCs/>
          <w:sz w:val="26"/>
          <w:szCs w:val="26"/>
        </w:rPr>
        <w:t>.</w:t>
      </w:r>
    </w:p>
    <w:p w:rsidR="00D81BE8" w:rsidRDefault="00BC60C9" w:rsidP="00D81BE8">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 Por último, en su </w:t>
      </w:r>
      <w:r w:rsidR="007C6411">
        <w:rPr>
          <w:rFonts w:ascii="Arial" w:eastAsia="Calibri" w:hAnsi="Arial" w:cs="Arial"/>
          <w:b/>
          <w:bCs/>
          <w:sz w:val="26"/>
          <w:szCs w:val="26"/>
        </w:rPr>
        <w:t>agravio cuarto</w:t>
      </w:r>
      <w:r>
        <w:rPr>
          <w:rFonts w:ascii="Arial" w:eastAsia="Calibri" w:hAnsi="Arial" w:cs="Arial"/>
          <w:bCs/>
          <w:sz w:val="26"/>
          <w:szCs w:val="26"/>
        </w:rPr>
        <w:t>, manifies</w:t>
      </w:r>
      <w:r w:rsidR="007C6411">
        <w:rPr>
          <w:rFonts w:ascii="Arial" w:eastAsia="Calibri" w:hAnsi="Arial" w:cs="Arial"/>
          <w:bCs/>
          <w:sz w:val="26"/>
          <w:szCs w:val="26"/>
        </w:rPr>
        <w:t>ta que la resolución de fecha 12 doce de mayo de 2019 dos mil diecinueve</w:t>
      </w:r>
      <w:r>
        <w:rPr>
          <w:rFonts w:ascii="Arial" w:eastAsia="Calibri" w:hAnsi="Arial" w:cs="Arial"/>
          <w:bCs/>
          <w:sz w:val="26"/>
          <w:szCs w:val="26"/>
        </w:rPr>
        <w:t xml:space="preserve">, se introducen términos como </w:t>
      </w:r>
      <w:r w:rsidR="007C6411">
        <w:rPr>
          <w:rFonts w:ascii="Arial" w:eastAsia="Calibri" w:hAnsi="Arial" w:cs="Arial"/>
          <w:bCs/>
          <w:sz w:val="26"/>
          <w:szCs w:val="26"/>
        </w:rPr>
        <w:t xml:space="preserve">aguinaldo, canasta navideña, </w:t>
      </w:r>
      <w:r>
        <w:rPr>
          <w:rFonts w:ascii="Arial" w:eastAsia="Calibri" w:hAnsi="Arial" w:cs="Arial"/>
          <w:bCs/>
          <w:sz w:val="26"/>
          <w:szCs w:val="26"/>
        </w:rPr>
        <w:t>indemnización constituci</w:t>
      </w:r>
      <w:r w:rsidR="007C6411">
        <w:rPr>
          <w:rFonts w:ascii="Arial" w:eastAsia="Calibri" w:hAnsi="Arial" w:cs="Arial"/>
          <w:bCs/>
          <w:sz w:val="26"/>
          <w:szCs w:val="26"/>
        </w:rPr>
        <w:t>onal, remuneración ordinaria diaria</w:t>
      </w:r>
      <w:r>
        <w:rPr>
          <w:rFonts w:ascii="Arial" w:eastAsia="Calibri" w:hAnsi="Arial" w:cs="Arial"/>
          <w:bCs/>
          <w:sz w:val="26"/>
          <w:szCs w:val="26"/>
        </w:rPr>
        <w:t>, los cuales no se encuentran regulados por la Ley de Justicia Administrativa para el Estado de Oaxaca; por tanto, indica que son contrarios al procedimiento administrativo</w:t>
      </w:r>
      <w:r w:rsidR="007C6411">
        <w:rPr>
          <w:rFonts w:ascii="Arial" w:eastAsia="Calibri" w:hAnsi="Arial" w:cs="Arial"/>
          <w:bCs/>
          <w:sz w:val="26"/>
          <w:szCs w:val="26"/>
        </w:rPr>
        <w:t xml:space="preserve"> y, se está ante una absoluta ilegalidad en el actuar de la resolutora de Primera Instancia, porque violó en perjuicio de la autoridad que representa lo dispuesto en los articulo 14 y 16 de la Constitución </w:t>
      </w:r>
      <w:r w:rsidR="007C6411">
        <w:rPr>
          <w:rFonts w:ascii="Arial" w:eastAsia="Calibri" w:hAnsi="Arial" w:cs="Arial"/>
          <w:bCs/>
          <w:sz w:val="26"/>
          <w:szCs w:val="26"/>
        </w:rPr>
        <w:lastRenderedPageBreak/>
        <w:t>Política de los Estados Unidos Mexicanos, al no fundar y motivar su actuar</w:t>
      </w:r>
    </w:p>
    <w:p w:rsidR="00BC60C9" w:rsidRDefault="007C6411" w:rsidP="00745B5F">
      <w:pPr>
        <w:pStyle w:val="Sinespaciado"/>
        <w:spacing w:after="120" w:line="360" w:lineRule="auto"/>
        <w:ind w:firstLine="567"/>
        <w:jc w:val="both"/>
        <w:rPr>
          <w:rFonts w:ascii="Arial" w:hAnsi="Arial" w:cs="Arial"/>
          <w:bCs/>
          <w:color w:val="000000"/>
          <w:sz w:val="26"/>
          <w:szCs w:val="26"/>
          <w:lang w:val="es-MX"/>
        </w:rPr>
      </w:pPr>
      <w:r>
        <w:rPr>
          <w:rFonts w:ascii="Arial" w:eastAsia="Calibri" w:hAnsi="Arial" w:cs="Arial"/>
          <w:bCs/>
          <w:sz w:val="26"/>
          <w:szCs w:val="26"/>
        </w:rPr>
        <w:t>Ahora</w:t>
      </w:r>
      <w:r w:rsidR="00606AA0">
        <w:rPr>
          <w:rFonts w:ascii="Arial" w:eastAsia="Calibri" w:hAnsi="Arial" w:cs="Arial"/>
          <w:bCs/>
          <w:sz w:val="26"/>
          <w:szCs w:val="26"/>
        </w:rPr>
        <w:t xml:space="preserve">, se inicia con el </w:t>
      </w:r>
      <w:r w:rsidR="00774CC9">
        <w:rPr>
          <w:rFonts w:ascii="Arial" w:eastAsia="Calibri" w:hAnsi="Arial" w:cs="Arial"/>
          <w:bCs/>
          <w:sz w:val="26"/>
          <w:szCs w:val="26"/>
        </w:rPr>
        <w:t>estudio de</w:t>
      </w:r>
      <w:r w:rsidR="009873A7">
        <w:rPr>
          <w:rFonts w:ascii="Arial" w:hAnsi="Arial" w:cs="Arial"/>
          <w:bCs/>
          <w:color w:val="000000"/>
          <w:sz w:val="26"/>
          <w:szCs w:val="26"/>
          <w:lang w:val="es-MX"/>
        </w:rPr>
        <w:t xml:space="preserve"> las constancias</w:t>
      </w:r>
      <w:r w:rsidR="00BC60C9">
        <w:rPr>
          <w:rFonts w:ascii="Arial" w:hAnsi="Arial" w:cs="Arial"/>
          <w:bCs/>
          <w:color w:val="000000"/>
          <w:sz w:val="26"/>
          <w:szCs w:val="26"/>
          <w:lang w:val="es-MX"/>
        </w:rPr>
        <w:t xml:space="preserve"> enviadas por la primera instancia</w:t>
      </w:r>
      <w:r>
        <w:rPr>
          <w:rFonts w:ascii="Arial" w:hAnsi="Arial" w:cs="Arial"/>
          <w:bCs/>
          <w:color w:val="000000"/>
          <w:sz w:val="26"/>
          <w:szCs w:val="26"/>
          <w:lang w:val="es-MX"/>
        </w:rPr>
        <w:t xml:space="preserve"> y las que le fueron solicitadas a través de la Secretaría General de Acuerdos de este Tribunal</w:t>
      </w:r>
      <w:r w:rsidR="00BC60C9">
        <w:rPr>
          <w:rFonts w:ascii="Arial" w:hAnsi="Arial" w:cs="Arial"/>
          <w:bCs/>
          <w:color w:val="000000"/>
          <w:sz w:val="26"/>
          <w:szCs w:val="26"/>
          <w:lang w:val="es-MX"/>
        </w:rPr>
        <w:t xml:space="preserve"> para resolver el presente recurso de revisión </w:t>
      </w:r>
      <w:r w:rsidR="00774CC9">
        <w:rPr>
          <w:rFonts w:ascii="Arial" w:hAnsi="Arial" w:cs="Arial"/>
          <w:bCs/>
          <w:color w:val="000000"/>
          <w:sz w:val="26"/>
          <w:szCs w:val="26"/>
          <w:lang w:val="es-MX"/>
        </w:rPr>
        <w:t xml:space="preserve">interpuesto en contra del incidente de </w:t>
      </w:r>
      <w:r w:rsidR="00AA1E67">
        <w:rPr>
          <w:rFonts w:ascii="Arial" w:hAnsi="Arial" w:cs="Arial"/>
          <w:bCs/>
          <w:color w:val="000000"/>
          <w:sz w:val="26"/>
          <w:szCs w:val="26"/>
          <w:lang w:val="es-MX"/>
        </w:rPr>
        <w:t>liquidación</w:t>
      </w:r>
      <w:r>
        <w:rPr>
          <w:rFonts w:ascii="Arial" w:hAnsi="Arial" w:cs="Arial"/>
          <w:bCs/>
          <w:color w:val="000000"/>
          <w:sz w:val="26"/>
          <w:szCs w:val="26"/>
          <w:lang w:val="es-MX"/>
        </w:rPr>
        <w:t xml:space="preserve"> derivado del expediente 55</w:t>
      </w:r>
      <w:r w:rsidR="00BC60C9">
        <w:rPr>
          <w:rFonts w:ascii="Arial" w:hAnsi="Arial" w:cs="Arial"/>
          <w:bCs/>
          <w:color w:val="000000"/>
          <w:sz w:val="26"/>
          <w:szCs w:val="26"/>
          <w:lang w:val="es-MX"/>
        </w:rPr>
        <w:t xml:space="preserve">/2016, mismas </w:t>
      </w:r>
      <w:r w:rsidR="00BC60C9" w:rsidRPr="00C35A46">
        <w:rPr>
          <w:rFonts w:ascii="Arial" w:hAnsi="Arial" w:cs="Arial"/>
          <w:bCs/>
          <w:color w:val="000000"/>
          <w:sz w:val="26"/>
          <w:szCs w:val="26"/>
          <w:lang w:val="es-MX"/>
        </w:rPr>
        <w:t>que tienen pleno valor probatorio en términos del artículo 173, fracción I de la Ley de Justicia Administrativa para el Estado de Oaxaca</w:t>
      </w:r>
      <w:r w:rsidR="00BC60C9">
        <w:rPr>
          <w:rFonts w:ascii="Arial" w:hAnsi="Arial" w:cs="Arial"/>
          <w:bCs/>
          <w:color w:val="000000"/>
          <w:sz w:val="26"/>
          <w:szCs w:val="26"/>
          <w:lang w:val="es-MX"/>
        </w:rPr>
        <w:t>,</w:t>
      </w:r>
      <w:r w:rsidR="007F4F2C">
        <w:rPr>
          <w:rFonts w:ascii="Arial" w:hAnsi="Arial" w:cs="Arial"/>
          <w:bCs/>
          <w:color w:val="000000"/>
          <w:sz w:val="26"/>
          <w:szCs w:val="26"/>
          <w:lang w:val="es-MX"/>
        </w:rPr>
        <w:t xml:space="preserve"> vigente hasta el veinte de octubre de dos mil diecisiete,</w:t>
      </w:r>
      <w:r w:rsidR="00BC60C9" w:rsidRPr="00C35A46">
        <w:rPr>
          <w:rFonts w:ascii="Arial" w:hAnsi="Arial" w:cs="Arial"/>
          <w:bCs/>
          <w:color w:val="000000"/>
          <w:sz w:val="26"/>
          <w:szCs w:val="26"/>
          <w:lang w:val="es-MX"/>
        </w:rPr>
        <w:t xml:space="preserve"> por tr</w:t>
      </w:r>
      <w:r w:rsidR="00B95917">
        <w:rPr>
          <w:rFonts w:ascii="Arial" w:hAnsi="Arial" w:cs="Arial"/>
          <w:bCs/>
          <w:color w:val="000000"/>
          <w:sz w:val="26"/>
          <w:szCs w:val="26"/>
          <w:lang w:val="es-MX"/>
        </w:rPr>
        <w:t>atarse de actos contenidos en documentos púbicos</w:t>
      </w:r>
      <w:r w:rsidR="00BC60C9">
        <w:rPr>
          <w:rFonts w:ascii="Arial" w:hAnsi="Arial" w:cs="Arial"/>
          <w:bCs/>
          <w:color w:val="000000"/>
          <w:sz w:val="26"/>
          <w:szCs w:val="26"/>
          <w:lang w:val="es-MX"/>
        </w:rPr>
        <w:t>,</w:t>
      </w:r>
      <w:r w:rsidR="00BC60C9" w:rsidRPr="00C35A46">
        <w:rPr>
          <w:rFonts w:ascii="Arial" w:hAnsi="Arial" w:cs="Arial"/>
          <w:bCs/>
          <w:color w:val="000000"/>
          <w:sz w:val="26"/>
          <w:szCs w:val="26"/>
          <w:lang w:val="es-MX"/>
        </w:rPr>
        <w:t xml:space="preserve"> </w:t>
      </w:r>
      <w:r w:rsidR="007A27FF">
        <w:rPr>
          <w:rFonts w:ascii="Arial" w:hAnsi="Arial" w:cs="Arial"/>
          <w:bCs/>
          <w:color w:val="000000"/>
          <w:sz w:val="26"/>
          <w:szCs w:val="26"/>
          <w:lang w:val="es-MX"/>
        </w:rPr>
        <w:t>de las que se advierten que</w:t>
      </w:r>
      <w:r w:rsidR="00D81BE8">
        <w:rPr>
          <w:rFonts w:ascii="Arial" w:hAnsi="Arial" w:cs="Arial"/>
          <w:bCs/>
          <w:color w:val="000000"/>
          <w:sz w:val="26"/>
          <w:szCs w:val="26"/>
          <w:lang w:val="es-MX"/>
        </w:rPr>
        <w:t>:</w:t>
      </w:r>
    </w:p>
    <w:p w:rsidR="007A039F" w:rsidRPr="0014220A" w:rsidRDefault="0014220A" w:rsidP="0014220A">
      <w:pPr>
        <w:pStyle w:val="Sinespaciado"/>
        <w:spacing w:line="360" w:lineRule="auto"/>
        <w:jc w:val="both"/>
        <w:rPr>
          <w:rFonts w:ascii="Arial" w:hAnsi="Arial" w:cs="Arial"/>
          <w:bCs/>
          <w:color w:val="000000"/>
          <w:sz w:val="24"/>
          <w:szCs w:val="24"/>
          <w:lang w:val="es-MX"/>
        </w:rPr>
      </w:pPr>
      <w:r w:rsidRPr="0014220A">
        <w:rPr>
          <w:rFonts w:ascii="Arial" w:hAnsi="Arial" w:cs="Arial"/>
          <w:b/>
          <w:bCs/>
          <w:color w:val="000000"/>
          <w:sz w:val="24"/>
          <w:szCs w:val="24"/>
          <w:lang w:val="es-MX"/>
        </w:rPr>
        <w:t>1)</w:t>
      </w:r>
      <w:r>
        <w:rPr>
          <w:rFonts w:ascii="Arial" w:hAnsi="Arial" w:cs="Arial"/>
          <w:b/>
          <w:bCs/>
          <w:color w:val="000000"/>
          <w:sz w:val="24"/>
          <w:szCs w:val="24"/>
          <w:lang w:val="es-MX"/>
        </w:rPr>
        <w:t xml:space="preserve"> </w:t>
      </w:r>
      <w:r w:rsidR="007C6411" w:rsidRPr="0014220A">
        <w:rPr>
          <w:rFonts w:ascii="Arial" w:hAnsi="Arial" w:cs="Arial"/>
          <w:bCs/>
          <w:color w:val="000000"/>
          <w:sz w:val="24"/>
          <w:szCs w:val="24"/>
          <w:lang w:val="es-MX"/>
        </w:rPr>
        <w:t xml:space="preserve">Con fecha 12 doce de junio de 2015 dos mil quince la Sala Superior </w:t>
      </w:r>
      <w:r w:rsidR="007A039F" w:rsidRPr="0014220A">
        <w:rPr>
          <w:rFonts w:ascii="Arial" w:hAnsi="Arial" w:cs="Arial"/>
          <w:bCs/>
          <w:color w:val="000000"/>
          <w:sz w:val="24"/>
          <w:szCs w:val="24"/>
          <w:lang w:val="es-MX"/>
        </w:rPr>
        <w:t xml:space="preserve">del otrora Tribunal de lo Contencioso Administrativo del Poder Judicial del Estado de Oaxaca dictó resolución en cumplimiento a la sentencia de juicio de amparo directo número 24/2015, de fecha 22 veintidós de mayo de 2015 dos mil quince dictada por el Tribunal Colegiado en Materias Civil y Administrativa del Décimo Tercer Circuito, en la que se concedió el Amparo y Protección de la Justicia Federal; resolución de la Sala de Alzada que en su parte esencial  se desprende que </w:t>
      </w:r>
      <w:r w:rsidR="007533FE" w:rsidRPr="0014220A">
        <w:rPr>
          <w:rFonts w:ascii="Arial" w:hAnsi="Arial" w:cs="Arial"/>
          <w:bCs/>
          <w:color w:val="000000"/>
          <w:sz w:val="24"/>
          <w:szCs w:val="24"/>
          <w:lang w:val="es-MX"/>
        </w:rPr>
        <w:t xml:space="preserve">modificó la sentencia de Primera Instancia de fecha 30 treinta de abril de 2014 dos mil catorce, </w:t>
      </w:r>
      <w:r w:rsidR="007A039F" w:rsidRPr="0014220A">
        <w:rPr>
          <w:rFonts w:ascii="Arial" w:hAnsi="Arial" w:cs="Arial"/>
          <w:bCs/>
          <w:color w:val="000000"/>
          <w:sz w:val="24"/>
          <w:szCs w:val="24"/>
          <w:lang w:val="es-MX"/>
        </w:rPr>
        <w:t>conden</w:t>
      </w:r>
      <w:r w:rsidR="007533FE" w:rsidRPr="0014220A">
        <w:rPr>
          <w:rFonts w:ascii="Arial" w:hAnsi="Arial" w:cs="Arial"/>
          <w:bCs/>
          <w:color w:val="000000"/>
          <w:sz w:val="24"/>
          <w:szCs w:val="24"/>
          <w:lang w:val="es-MX"/>
        </w:rPr>
        <w:t>ando</w:t>
      </w:r>
      <w:r w:rsidR="007A039F" w:rsidRPr="0014220A">
        <w:rPr>
          <w:rFonts w:ascii="Arial" w:hAnsi="Arial" w:cs="Arial"/>
          <w:bCs/>
          <w:color w:val="000000"/>
          <w:sz w:val="24"/>
          <w:szCs w:val="24"/>
          <w:lang w:val="es-MX"/>
        </w:rPr>
        <w:t xml:space="preserve"> al Honorable Ayuntamiento del Municipio de Oaxaca de Juárez al pago de las prestaciones correspondientes</w:t>
      </w:r>
      <w:r w:rsidR="007533FE" w:rsidRPr="0014220A">
        <w:rPr>
          <w:rFonts w:ascii="Arial" w:hAnsi="Arial" w:cs="Arial"/>
          <w:bCs/>
          <w:color w:val="000000"/>
          <w:sz w:val="24"/>
          <w:szCs w:val="24"/>
          <w:lang w:val="es-MX"/>
        </w:rPr>
        <w:t xml:space="preserve"> y realizó su</w:t>
      </w:r>
      <w:r w:rsidR="007A039F" w:rsidRPr="0014220A">
        <w:rPr>
          <w:rFonts w:ascii="Arial" w:hAnsi="Arial" w:cs="Arial"/>
          <w:bCs/>
          <w:color w:val="000000"/>
          <w:sz w:val="24"/>
          <w:szCs w:val="24"/>
          <w:lang w:val="es-MX"/>
        </w:rPr>
        <w:t xml:space="preserve"> cuantificación.</w:t>
      </w:r>
    </w:p>
    <w:p w:rsidR="007C6411" w:rsidRPr="0014220A" w:rsidRDefault="0014220A" w:rsidP="0014220A">
      <w:pPr>
        <w:pStyle w:val="Sinespaciado"/>
        <w:spacing w:line="360" w:lineRule="auto"/>
        <w:jc w:val="both"/>
        <w:rPr>
          <w:rFonts w:ascii="Arial" w:hAnsi="Arial" w:cs="Arial"/>
          <w:bCs/>
          <w:color w:val="000000"/>
          <w:sz w:val="24"/>
          <w:szCs w:val="24"/>
          <w:lang w:val="es-MX"/>
        </w:rPr>
      </w:pPr>
      <w:r w:rsidRPr="0014220A">
        <w:rPr>
          <w:rFonts w:ascii="Arial" w:hAnsi="Arial" w:cs="Arial"/>
          <w:b/>
          <w:bCs/>
          <w:color w:val="000000"/>
          <w:sz w:val="24"/>
          <w:szCs w:val="24"/>
          <w:lang w:val="es-MX"/>
        </w:rPr>
        <w:t>2)</w:t>
      </w:r>
      <w:r>
        <w:rPr>
          <w:rFonts w:ascii="Arial" w:hAnsi="Arial" w:cs="Arial"/>
          <w:bCs/>
          <w:color w:val="000000"/>
          <w:sz w:val="24"/>
          <w:szCs w:val="24"/>
          <w:lang w:val="es-MX"/>
        </w:rPr>
        <w:t xml:space="preserve"> </w:t>
      </w:r>
      <w:r w:rsidR="00230545" w:rsidRPr="0014220A">
        <w:rPr>
          <w:rFonts w:ascii="Arial" w:hAnsi="Arial" w:cs="Arial"/>
          <w:bCs/>
          <w:color w:val="000000"/>
          <w:sz w:val="24"/>
          <w:szCs w:val="24"/>
          <w:lang w:val="es-MX"/>
        </w:rPr>
        <w:t>Con fecha 25 veinticinco de octubre</w:t>
      </w:r>
      <w:r w:rsidR="005C2648" w:rsidRPr="0014220A">
        <w:rPr>
          <w:rFonts w:ascii="Arial" w:hAnsi="Arial" w:cs="Arial"/>
          <w:bCs/>
          <w:color w:val="000000"/>
          <w:sz w:val="24"/>
          <w:szCs w:val="24"/>
          <w:lang w:val="es-MX"/>
        </w:rPr>
        <w:t xml:space="preserve"> de 2017 dos mil diecisiete la Sala Superior del otrora Tribunal de lo Contencioso Administrativo y de Cuentas del Poder Judicial del Estado de Oaxaca</w:t>
      </w:r>
      <w:r w:rsidR="00DA38C4" w:rsidRPr="0014220A">
        <w:rPr>
          <w:rFonts w:ascii="Arial" w:hAnsi="Arial" w:cs="Arial"/>
          <w:bCs/>
          <w:color w:val="000000"/>
          <w:sz w:val="24"/>
          <w:szCs w:val="24"/>
          <w:lang w:val="es-MX"/>
        </w:rPr>
        <w:t xml:space="preserve">, dictó resolución en cumplimiento a la sentencia de amparo </w:t>
      </w:r>
      <w:r w:rsidR="00230545" w:rsidRPr="0014220A">
        <w:rPr>
          <w:rFonts w:ascii="Arial" w:hAnsi="Arial" w:cs="Arial"/>
          <w:bCs/>
          <w:color w:val="000000"/>
          <w:sz w:val="24"/>
          <w:szCs w:val="24"/>
          <w:lang w:val="es-MX"/>
        </w:rPr>
        <w:t xml:space="preserve">del expediente 608/2017 </w:t>
      </w:r>
      <w:r w:rsidR="00DA38C4" w:rsidRPr="0014220A">
        <w:rPr>
          <w:rFonts w:ascii="Arial" w:hAnsi="Arial" w:cs="Arial"/>
          <w:bCs/>
          <w:color w:val="000000"/>
          <w:sz w:val="24"/>
          <w:szCs w:val="24"/>
          <w:lang w:val="es-MX"/>
        </w:rPr>
        <w:t xml:space="preserve">dictada por el </w:t>
      </w:r>
      <w:r w:rsidR="00230545" w:rsidRPr="0014220A">
        <w:rPr>
          <w:rFonts w:ascii="Arial" w:hAnsi="Arial" w:cs="Arial"/>
          <w:bCs/>
          <w:color w:val="000000"/>
          <w:sz w:val="24"/>
          <w:szCs w:val="24"/>
          <w:lang w:val="es-MX"/>
        </w:rPr>
        <w:t>Primer Tribunal Colegiado  de Circuito  del Centro Auxiliar de la Quinta Región, con sede en Culiacán Sinaloa,</w:t>
      </w:r>
      <w:r w:rsidR="00DA38C4" w:rsidRPr="0014220A">
        <w:rPr>
          <w:rFonts w:ascii="Arial" w:hAnsi="Arial" w:cs="Arial"/>
          <w:bCs/>
          <w:color w:val="000000"/>
          <w:sz w:val="24"/>
          <w:szCs w:val="24"/>
          <w:lang w:val="es-MX"/>
        </w:rPr>
        <w:t xml:space="preserve"> con</w:t>
      </w:r>
      <w:r w:rsidR="00230545" w:rsidRPr="0014220A">
        <w:rPr>
          <w:rFonts w:ascii="Arial" w:hAnsi="Arial" w:cs="Arial"/>
          <w:bCs/>
          <w:color w:val="000000"/>
          <w:sz w:val="24"/>
          <w:szCs w:val="24"/>
          <w:lang w:val="es-MX"/>
        </w:rPr>
        <w:t xml:space="preserve"> fecha 28 veintiocho de septiembre</w:t>
      </w:r>
      <w:r w:rsidR="00DA38C4" w:rsidRPr="0014220A">
        <w:rPr>
          <w:rFonts w:ascii="Arial" w:hAnsi="Arial" w:cs="Arial"/>
          <w:bCs/>
          <w:color w:val="000000"/>
          <w:sz w:val="24"/>
          <w:szCs w:val="24"/>
          <w:lang w:val="es-MX"/>
        </w:rPr>
        <w:t xml:space="preserve"> de 2017 dos mil diecisiete; juicio de </w:t>
      </w:r>
      <w:r w:rsidR="00230545" w:rsidRPr="0014220A">
        <w:rPr>
          <w:rFonts w:ascii="Arial" w:hAnsi="Arial" w:cs="Arial"/>
          <w:bCs/>
          <w:color w:val="000000"/>
          <w:sz w:val="24"/>
          <w:szCs w:val="24"/>
          <w:lang w:val="es-MX"/>
        </w:rPr>
        <w:t>amparo</w:t>
      </w:r>
      <w:r w:rsidR="00DA38C4" w:rsidRPr="0014220A">
        <w:rPr>
          <w:rFonts w:ascii="Arial" w:hAnsi="Arial" w:cs="Arial"/>
          <w:bCs/>
          <w:color w:val="000000"/>
          <w:sz w:val="24"/>
          <w:szCs w:val="24"/>
          <w:lang w:val="es-MX"/>
        </w:rPr>
        <w:t xml:space="preserve"> interpuesto por el ciudadano </w:t>
      </w:r>
      <w:r w:rsidR="00420FF7">
        <w:rPr>
          <w:rFonts w:ascii="Arial" w:hAnsi="Arial" w:cs="Arial"/>
          <w:b/>
          <w:sz w:val="26"/>
          <w:szCs w:val="26"/>
        </w:rPr>
        <w:t xml:space="preserve">********** </w:t>
      </w:r>
      <w:r w:rsidR="00DA38C4" w:rsidRPr="0014220A">
        <w:rPr>
          <w:rFonts w:ascii="Arial" w:hAnsi="Arial" w:cs="Arial"/>
          <w:bCs/>
          <w:color w:val="000000"/>
          <w:sz w:val="24"/>
          <w:szCs w:val="24"/>
          <w:lang w:val="es-MX"/>
        </w:rPr>
        <w:t xml:space="preserve">en contra de la resolución de Sala Superior de </w:t>
      </w:r>
      <w:r w:rsidR="00230545" w:rsidRPr="0014220A">
        <w:rPr>
          <w:rFonts w:ascii="Arial" w:hAnsi="Arial" w:cs="Arial"/>
          <w:bCs/>
          <w:color w:val="000000"/>
          <w:sz w:val="24"/>
          <w:szCs w:val="24"/>
          <w:lang w:val="es-MX"/>
        </w:rPr>
        <w:t>fecha 20 veinte de febrero de 2017 dos mil diecisiete</w:t>
      </w:r>
      <w:r w:rsidR="00DA38C4" w:rsidRPr="0014220A">
        <w:rPr>
          <w:rFonts w:ascii="Arial" w:hAnsi="Arial" w:cs="Arial"/>
          <w:bCs/>
          <w:color w:val="000000"/>
          <w:sz w:val="24"/>
          <w:szCs w:val="24"/>
          <w:lang w:val="es-MX"/>
        </w:rPr>
        <w:t>, en la que desechó por improcedente el recurso de revisión intentado en contra de la resolución de 2 dos de mayo de 2016 dos mil dieciséis, en la que la Sala de Primera Instancia resolvió planilla de liquidación.</w:t>
      </w:r>
    </w:p>
    <w:p w:rsidR="00DA38C4" w:rsidRPr="0014220A" w:rsidRDefault="0014220A" w:rsidP="0014220A">
      <w:pPr>
        <w:pStyle w:val="Sinespaciado"/>
        <w:spacing w:line="360" w:lineRule="auto"/>
        <w:jc w:val="both"/>
        <w:rPr>
          <w:rFonts w:ascii="Arial" w:hAnsi="Arial" w:cs="Arial"/>
          <w:bCs/>
          <w:color w:val="000000"/>
          <w:sz w:val="24"/>
          <w:szCs w:val="24"/>
          <w:lang w:val="es-MX"/>
        </w:rPr>
      </w:pPr>
      <w:r w:rsidRPr="0014220A">
        <w:rPr>
          <w:rFonts w:ascii="Arial" w:hAnsi="Arial" w:cs="Arial"/>
          <w:b/>
          <w:bCs/>
          <w:color w:val="000000"/>
          <w:sz w:val="24"/>
          <w:szCs w:val="24"/>
          <w:lang w:val="es-MX"/>
        </w:rPr>
        <w:t>3)</w:t>
      </w:r>
      <w:r>
        <w:rPr>
          <w:rFonts w:ascii="Arial" w:hAnsi="Arial" w:cs="Arial"/>
          <w:bCs/>
          <w:color w:val="000000"/>
          <w:sz w:val="24"/>
          <w:szCs w:val="24"/>
          <w:lang w:val="es-MX"/>
        </w:rPr>
        <w:t xml:space="preserve"> </w:t>
      </w:r>
      <w:r w:rsidR="00716107" w:rsidRPr="0014220A">
        <w:rPr>
          <w:rFonts w:ascii="Arial" w:hAnsi="Arial" w:cs="Arial"/>
          <w:bCs/>
          <w:color w:val="000000"/>
          <w:sz w:val="24"/>
          <w:szCs w:val="24"/>
          <w:lang w:val="es-MX"/>
        </w:rPr>
        <w:t>La citada resolución de amparo dictada por el Primer Tribunal Colegiado  de Circuito  del Centro Auxiliar de la Quinta Región, con sede en Culiacán Sinaloa, concedió el Amparo y Protección de la Justicia Federal al ahí quejoso, en la que en la parte esencial de la misma determinó que si procede el recurso de revisión previsto en el artículo 206, fracción V, de la Ley de Justicia Administrativa para el Estado de Oaxaca, en contra de la resolución de 2 dos</w:t>
      </w:r>
      <w:r w:rsidR="007533FE" w:rsidRPr="0014220A">
        <w:rPr>
          <w:rFonts w:ascii="Arial" w:hAnsi="Arial" w:cs="Arial"/>
          <w:bCs/>
          <w:color w:val="000000"/>
          <w:sz w:val="24"/>
          <w:szCs w:val="24"/>
          <w:lang w:val="es-MX"/>
        </w:rPr>
        <w:t xml:space="preserve"> de mayo de 2016 dos mil dieciséis</w:t>
      </w:r>
      <w:r w:rsidR="00716107" w:rsidRPr="0014220A">
        <w:rPr>
          <w:rFonts w:ascii="Arial" w:hAnsi="Arial" w:cs="Arial"/>
          <w:bCs/>
          <w:color w:val="000000"/>
          <w:sz w:val="24"/>
          <w:szCs w:val="24"/>
          <w:lang w:val="es-MX"/>
        </w:rPr>
        <w:t xml:space="preserve"> </w:t>
      </w:r>
      <w:r w:rsidR="007533FE" w:rsidRPr="0014220A">
        <w:rPr>
          <w:rFonts w:ascii="Arial" w:hAnsi="Arial" w:cs="Arial"/>
          <w:bCs/>
          <w:color w:val="000000"/>
          <w:sz w:val="24"/>
          <w:szCs w:val="24"/>
          <w:lang w:val="es-MX"/>
        </w:rPr>
        <w:t>de planilla</w:t>
      </w:r>
      <w:r w:rsidR="00716107" w:rsidRPr="0014220A">
        <w:rPr>
          <w:rFonts w:ascii="Arial" w:hAnsi="Arial" w:cs="Arial"/>
          <w:bCs/>
          <w:color w:val="000000"/>
          <w:sz w:val="24"/>
          <w:szCs w:val="24"/>
          <w:lang w:val="es-MX"/>
        </w:rPr>
        <w:t xml:space="preserve"> de liquidación</w:t>
      </w:r>
      <w:r w:rsidR="007533FE" w:rsidRPr="0014220A">
        <w:rPr>
          <w:rFonts w:ascii="Arial" w:hAnsi="Arial" w:cs="Arial"/>
          <w:bCs/>
          <w:color w:val="000000"/>
          <w:sz w:val="24"/>
          <w:szCs w:val="24"/>
          <w:lang w:val="es-MX"/>
        </w:rPr>
        <w:t>, emitida por la Sala de Primera Instancia.</w:t>
      </w:r>
    </w:p>
    <w:p w:rsidR="00C14542" w:rsidRPr="0014220A" w:rsidRDefault="0014220A" w:rsidP="0014220A">
      <w:pPr>
        <w:pStyle w:val="Sinespaciado"/>
        <w:spacing w:line="360" w:lineRule="auto"/>
        <w:jc w:val="both"/>
        <w:rPr>
          <w:rFonts w:ascii="Arial" w:hAnsi="Arial" w:cs="Arial"/>
          <w:bCs/>
          <w:color w:val="000000"/>
          <w:sz w:val="24"/>
          <w:szCs w:val="24"/>
          <w:lang w:val="es-MX"/>
        </w:rPr>
      </w:pPr>
      <w:r w:rsidRPr="0014220A">
        <w:rPr>
          <w:rFonts w:ascii="Arial" w:hAnsi="Arial" w:cs="Arial"/>
          <w:b/>
          <w:bCs/>
          <w:color w:val="000000"/>
          <w:sz w:val="24"/>
          <w:szCs w:val="24"/>
          <w:lang w:val="es-MX"/>
        </w:rPr>
        <w:lastRenderedPageBreak/>
        <w:t>4)</w:t>
      </w:r>
      <w:r>
        <w:rPr>
          <w:rFonts w:ascii="Arial" w:hAnsi="Arial" w:cs="Arial"/>
          <w:bCs/>
          <w:color w:val="000000"/>
          <w:sz w:val="24"/>
          <w:szCs w:val="24"/>
          <w:lang w:val="es-MX"/>
        </w:rPr>
        <w:t xml:space="preserve"> </w:t>
      </w:r>
      <w:r w:rsidR="00C14542" w:rsidRPr="0014220A">
        <w:rPr>
          <w:rFonts w:ascii="Arial" w:hAnsi="Arial" w:cs="Arial"/>
          <w:bCs/>
          <w:color w:val="000000"/>
          <w:sz w:val="24"/>
          <w:szCs w:val="24"/>
          <w:lang w:val="es-MX"/>
        </w:rPr>
        <w:t>Resolución de alzada que ordenó requerir a la autoridad demandada Ayuntamiento de Oaxaca de Jurez, para que dentro del término de veinticuatro horas diera cumplimiento  a la diversa resolución de 12 doce de junio de 2015 dos mil quince emitida por la Sala Superior del otrora Tribunal de lo Contencioso Administrativo y de Cuentas del Poder Judicial del Estado.</w:t>
      </w:r>
    </w:p>
    <w:p w:rsidR="00D81BE8" w:rsidRPr="0014220A" w:rsidRDefault="0014220A" w:rsidP="0014220A">
      <w:pPr>
        <w:pStyle w:val="Sinespaciado"/>
        <w:spacing w:line="360" w:lineRule="auto"/>
        <w:jc w:val="both"/>
        <w:rPr>
          <w:rFonts w:ascii="Arial" w:hAnsi="Arial" w:cs="Arial"/>
          <w:bCs/>
          <w:color w:val="000000"/>
          <w:sz w:val="24"/>
          <w:szCs w:val="24"/>
          <w:lang w:val="es-MX"/>
        </w:rPr>
      </w:pPr>
      <w:r w:rsidRPr="0014220A">
        <w:rPr>
          <w:rFonts w:ascii="Arial" w:hAnsi="Arial" w:cs="Arial"/>
          <w:b/>
          <w:bCs/>
          <w:color w:val="000000"/>
          <w:sz w:val="24"/>
          <w:szCs w:val="24"/>
          <w:lang w:val="es-MX"/>
        </w:rPr>
        <w:t>5)</w:t>
      </w:r>
      <w:r>
        <w:rPr>
          <w:rFonts w:ascii="Arial" w:hAnsi="Arial" w:cs="Arial"/>
          <w:bCs/>
          <w:color w:val="000000"/>
          <w:sz w:val="24"/>
          <w:szCs w:val="24"/>
          <w:lang w:val="es-MX"/>
        </w:rPr>
        <w:t xml:space="preserve"> </w:t>
      </w:r>
      <w:r w:rsidR="007E0535" w:rsidRPr="0014220A">
        <w:rPr>
          <w:rFonts w:ascii="Arial" w:hAnsi="Arial" w:cs="Arial"/>
          <w:bCs/>
          <w:color w:val="000000"/>
          <w:sz w:val="24"/>
          <w:szCs w:val="24"/>
          <w:lang w:val="es-MX"/>
        </w:rPr>
        <w:t>Con fecha 12 doce de mayo de 2019 dos mil diecinueve la Tercera Sala Unitaria de Primera Instancia del ahora denominado Tribunal de Justicia Administrativa del Estado de Oaxaca dictó resolución en incidente de liquidación de sentencia</w:t>
      </w:r>
      <w:r w:rsidR="00745B5F" w:rsidRPr="0014220A">
        <w:rPr>
          <w:rFonts w:ascii="Arial" w:hAnsi="Arial" w:cs="Arial"/>
          <w:bCs/>
          <w:color w:val="000000"/>
          <w:sz w:val="24"/>
          <w:szCs w:val="24"/>
          <w:lang w:val="es-MX"/>
        </w:rPr>
        <w:t>, en la que actualizó a esa fecha las cantidades a pagar por la autoridad demandada.</w:t>
      </w:r>
    </w:p>
    <w:p w:rsidR="00787CC3" w:rsidRPr="004C7C4C" w:rsidRDefault="001A2597" w:rsidP="004C7C4C">
      <w:pPr>
        <w:pStyle w:val="Sinespaciado"/>
        <w:spacing w:line="360" w:lineRule="auto"/>
        <w:ind w:left="1065"/>
        <w:jc w:val="both"/>
        <w:rPr>
          <w:rFonts w:ascii="Arial" w:hAnsi="Arial" w:cs="Arial"/>
          <w:bCs/>
          <w:i/>
          <w:color w:val="000000"/>
          <w:sz w:val="24"/>
          <w:szCs w:val="24"/>
          <w:lang w:val="es-MX"/>
        </w:rPr>
      </w:pPr>
      <w:r>
        <w:rPr>
          <w:rFonts w:ascii="Arial" w:hAnsi="Arial" w:cs="Arial"/>
          <w:bCs/>
          <w:i/>
          <w:color w:val="000000"/>
          <w:sz w:val="24"/>
          <w:szCs w:val="24"/>
          <w:lang w:val="es-MX"/>
        </w:rPr>
        <w:t xml:space="preserve"> </w:t>
      </w:r>
      <w:r w:rsidR="00670EC4" w:rsidRPr="003041AA">
        <w:rPr>
          <w:rFonts w:ascii="Arial" w:hAnsi="Arial" w:cs="Arial"/>
          <w:bCs/>
          <w:i/>
          <w:color w:val="000000"/>
          <w:sz w:val="24"/>
          <w:szCs w:val="24"/>
          <w:lang w:val="es-MX"/>
        </w:rPr>
        <w:t xml:space="preserve"> </w:t>
      </w:r>
    </w:p>
    <w:p w:rsidR="004C7C4C" w:rsidRDefault="00787CC3" w:rsidP="004C7C4C">
      <w:pPr>
        <w:pStyle w:val="Sinespaciado"/>
        <w:spacing w:after="120" w:line="360" w:lineRule="auto"/>
        <w:jc w:val="both"/>
        <w:rPr>
          <w:rFonts w:ascii="Arial" w:hAnsi="Arial" w:cs="Arial"/>
          <w:bCs/>
          <w:color w:val="000000"/>
          <w:sz w:val="26"/>
          <w:szCs w:val="26"/>
          <w:lang w:val="es-MX"/>
        </w:rPr>
      </w:pPr>
      <w:r>
        <w:rPr>
          <w:rFonts w:ascii="Arial" w:hAnsi="Arial" w:cs="Arial"/>
          <w:b/>
          <w:bCs/>
          <w:color w:val="000000"/>
          <w:sz w:val="26"/>
          <w:szCs w:val="26"/>
          <w:lang w:val="es-MX"/>
        </w:rPr>
        <w:t xml:space="preserve">       </w:t>
      </w:r>
      <w:r w:rsidR="00956344">
        <w:rPr>
          <w:rFonts w:ascii="Arial" w:hAnsi="Arial" w:cs="Arial"/>
          <w:b/>
          <w:bCs/>
          <w:color w:val="000000"/>
          <w:sz w:val="26"/>
          <w:szCs w:val="26"/>
          <w:lang w:val="es-MX"/>
        </w:rPr>
        <w:t xml:space="preserve"> </w:t>
      </w:r>
      <w:r w:rsidR="004C7C4C">
        <w:rPr>
          <w:rFonts w:ascii="Arial" w:hAnsi="Arial" w:cs="Arial"/>
          <w:bCs/>
          <w:color w:val="000000"/>
          <w:sz w:val="26"/>
          <w:szCs w:val="26"/>
          <w:lang w:val="es-MX"/>
        </w:rPr>
        <w:t>Asimismo</w:t>
      </w:r>
      <w:r w:rsidR="006264F1">
        <w:rPr>
          <w:rFonts w:ascii="Arial" w:hAnsi="Arial" w:cs="Arial"/>
          <w:bCs/>
          <w:color w:val="000000"/>
          <w:sz w:val="26"/>
          <w:szCs w:val="26"/>
          <w:lang w:val="es-MX"/>
        </w:rPr>
        <w:t xml:space="preserve">, </w:t>
      </w:r>
      <w:r w:rsidR="009210A6">
        <w:rPr>
          <w:rFonts w:ascii="Arial" w:hAnsi="Arial" w:cs="Arial"/>
          <w:bCs/>
          <w:color w:val="000000"/>
          <w:sz w:val="26"/>
          <w:szCs w:val="26"/>
          <w:lang w:val="es-MX"/>
        </w:rPr>
        <w:t xml:space="preserve">se advierte </w:t>
      </w:r>
      <w:r w:rsidR="00B0359E">
        <w:rPr>
          <w:rFonts w:ascii="Arial" w:hAnsi="Arial" w:cs="Arial"/>
          <w:bCs/>
          <w:color w:val="000000"/>
          <w:sz w:val="26"/>
          <w:szCs w:val="26"/>
          <w:lang w:val="es-MX"/>
        </w:rPr>
        <w:t>que</w:t>
      </w:r>
      <w:r w:rsidR="00DD44CF">
        <w:rPr>
          <w:rFonts w:ascii="Arial" w:hAnsi="Arial" w:cs="Arial"/>
          <w:bCs/>
          <w:color w:val="000000"/>
          <w:sz w:val="26"/>
          <w:szCs w:val="26"/>
          <w:lang w:val="es-MX"/>
        </w:rPr>
        <w:t xml:space="preserve"> la resolutora</w:t>
      </w:r>
      <w:r w:rsidR="006264F1">
        <w:rPr>
          <w:rFonts w:ascii="Arial" w:hAnsi="Arial" w:cs="Arial"/>
          <w:bCs/>
          <w:color w:val="000000"/>
          <w:sz w:val="26"/>
          <w:szCs w:val="26"/>
          <w:lang w:val="es-MX"/>
        </w:rPr>
        <w:t xml:space="preserve"> de primera instancia para resolver el “INCIDENTE DE LIQUIDACIÓN”</w:t>
      </w:r>
      <w:r w:rsidR="005659FA">
        <w:rPr>
          <w:rFonts w:ascii="Arial" w:hAnsi="Arial" w:cs="Arial"/>
          <w:bCs/>
          <w:color w:val="000000"/>
          <w:sz w:val="26"/>
          <w:szCs w:val="26"/>
          <w:lang w:val="es-MX"/>
        </w:rPr>
        <w:t xml:space="preserve"> –visible de foja 75 a 81 del cuaderno de antecedentes remitido a esta Sala Superior-,</w:t>
      </w:r>
      <w:r w:rsidR="002C50B3">
        <w:rPr>
          <w:rFonts w:ascii="Arial" w:hAnsi="Arial" w:cs="Arial"/>
          <w:bCs/>
          <w:color w:val="000000"/>
          <w:sz w:val="26"/>
          <w:szCs w:val="26"/>
          <w:lang w:val="es-MX"/>
        </w:rPr>
        <w:t xml:space="preserve"> </w:t>
      </w:r>
      <w:r w:rsidR="0014220A">
        <w:rPr>
          <w:rFonts w:ascii="Arial" w:hAnsi="Arial" w:cs="Arial"/>
          <w:bCs/>
          <w:color w:val="000000"/>
          <w:sz w:val="26"/>
          <w:szCs w:val="26"/>
          <w:lang w:val="es-MX"/>
        </w:rPr>
        <w:t>expresó</w:t>
      </w:r>
      <w:r w:rsidR="002C50B3">
        <w:rPr>
          <w:rFonts w:ascii="Arial" w:hAnsi="Arial" w:cs="Arial"/>
          <w:bCs/>
          <w:color w:val="000000"/>
          <w:sz w:val="26"/>
          <w:szCs w:val="26"/>
          <w:lang w:val="es-MX"/>
        </w:rPr>
        <w:t>: “</w:t>
      </w:r>
      <w:r w:rsidR="002C50B3" w:rsidRPr="00E95A03">
        <w:rPr>
          <w:rFonts w:ascii="Arial" w:hAnsi="Arial" w:cs="Arial"/>
          <w:bCs/>
          <w:i/>
          <w:color w:val="000000"/>
          <w:sz w:val="24"/>
          <w:szCs w:val="24"/>
          <w:lang w:val="es-MX"/>
        </w:rPr>
        <w:t>VISTOS para resolver el incidente de liquidación de sentencia, en términos de la dispuesto por el artículo</w:t>
      </w:r>
      <w:r w:rsidR="006264F1" w:rsidRPr="00E95A03">
        <w:rPr>
          <w:rFonts w:ascii="Arial" w:hAnsi="Arial" w:cs="Arial"/>
          <w:bCs/>
          <w:i/>
          <w:color w:val="000000"/>
          <w:sz w:val="24"/>
          <w:szCs w:val="24"/>
          <w:lang w:val="es-MX"/>
        </w:rPr>
        <w:t xml:space="preserve"> 17 de la </w:t>
      </w:r>
      <w:r w:rsidR="002C50B3" w:rsidRPr="00E95A03">
        <w:rPr>
          <w:rFonts w:ascii="Arial" w:hAnsi="Arial" w:cs="Arial"/>
          <w:bCs/>
          <w:i/>
          <w:color w:val="000000"/>
          <w:sz w:val="24"/>
          <w:szCs w:val="24"/>
          <w:lang w:val="es-MX"/>
        </w:rPr>
        <w:t>Constitución</w:t>
      </w:r>
      <w:r w:rsidR="006264F1" w:rsidRPr="00E95A03">
        <w:rPr>
          <w:rFonts w:ascii="Arial" w:hAnsi="Arial" w:cs="Arial"/>
          <w:bCs/>
          <w:i/>
          <w:color w:val="000000"/>
          <w:sz w:val="24"/>
          <w:szCs w:val="24"/>
          <w:lang w:val="es-MX"/>
        </w:rPr>
        <w:t xml:space="preserve"> </w:t>
      </w:r>
      <w:r w:rsidR="002C50B3" w:rsidRPr="00E95A03">
        <w:rPr>
          <w:rFonts w:ascii="Arial" w:hAnsi="Arial" w:cs="Arial"/>
          <w:bCs/>
          <w:i/>
          <w:color w:val="000000"/>
          <w:sz w:val="24"/>
          <w:szCs w:val="24"/>
          <w:lang w:val="es-MX"/>
        </w:rPr>
        <w:t>Política de los Estados Unidos Mexicanos</w:t>
      </w:r>
      <w:r w:rsidR="006264F1" w:rsidRPr="00E95A03">
        <w:rPr>
          <w:rFonts w:ascii="Arial" w:hAnsi="Arial" w:cs="Arial"/>
          <w:bCs/>
          <w:i/>
          <w:color w:val="000000"/>
          <w:sz w:val="24"/>
          <w:szCs w:val="24"/>
          <w:lang w:val="es-MX"/>
        </w:rPr>
        <w:t>, 116 de la Ley de Justicia Administrativa para el Estado de</w:t>
      </w:r>
      <w:r w:rsidR="002C50B3" w:rsidRPr="00E95A03">
        <w:rPr>
          <w:rFonts w:ascii="Arial" w:hAnsi="Arial" w:cs="Arial"/>
          <w:bCs/>
          <w:i/>
          <w:color w:val="000000"/>
          <w:sz w:val="24"/>
          <w:szCs w:val="24"/>
          <w:lang w:val="es-MX"/>
        </w:rPr>
        <w:t xml:space="preserve"> Oaxaca, vigente al inicio del presente juicio, así como en 404 y 501 del Código de Procedimiento Civiles para el Estado, de aplicación supletoria a la ley citada</w:t>
      </w:r>
      <w:r w:rsidR="002C50B3" w:rsidRPr="00E95A03">
        <w:rPr>
          <w:rFonts w:ascii="Arial" w:hAnsi="Arial" w:cs="Arial"/>
          <w:bCs/>
          <w:color w:val="000000"/>
          <w:sz w:val="24"/>
          <w:szCs w:val="24"/>
          <w:lang w:val="es-MX"/>
        </w:rPr>
        <w:t>”</w:t>
      </w:r>
      <w:r w:rsidR="004C7C4C">
        <w:rPr>
          <w:rFonts w:ascii="Arial" w:hAnsi="Arial" w:cs="Arial"/>
          <w:bCs/>
          <w:color w:val="000000"/>
          <w:sz w:val="26"/>
          <w:szCs w:val="26"/>
          <w:lang w:val="es-MX"/>
        </w:rPr>
        <w:t>.</w:t>
      </w:r>
    </w:p>
    <w:p w:rsidR="004C7C4C" w:rsidRPr="004C7C4C" w:rsidRDefault="004C7C4C" w:rsidP="004C7C4C">
      <w:pPr>
        <w:spacing w:line="360" w:lineRule="auto"/>
        <w:jc w:val="both"/>
      </w:pPr>
      <w:r>
        <w:rPr>
          <w:rFonts w:ascii="Arial" w:hAnsi="Arial" w:cs="Arial"/>
          <w:bCs/>
          <w:color w:val="000000"/>
          <w:sz w:val="24"/>
          <w:szCs w:val="24"/>
        </w:rPr>
        <w:t xml:space="preserve">      </w:t>
      </w:r>
      <w:r>
        <w:rPr>
          <w:rFonts w:ascii="Arial" w:hAnsi="Arial" w:cs="Arial"/>
          <w:bCs/>
          <w:color w:val="000000"/>
          <w:sz w:val="26"/>
          <w:szCs w:val="26"/>
        </w:rPr>
        <w:t xml:space="preserve">De todo </w:t>
      </w:r>
      <w:r w:rsidR="00E806A0">
        <w:rPr>
          <w:rFonts w:ascii="Arial" w:hAnsi="Arial" w:cs="Arial"/>
          <w:bCs/>
          <w:color w:val="000000"/>
          <w:sz w:val="26"/>
          <w:szCs w:val="26"/>
        </w:rPr>
        <w:t xml:space="preserve">lo </w:t>
      </w:r>
      <w:r>
        <w:rPr>
          <w:rFonts w:ascii="Arial" w:hAnsi="Arial" w:cs="Arial"/>
          <w:bCs/>
          <w:color w:val="000000"/>
          <w:sz w:val="26"/>
          <w:szCs w:val="26"/>
        </w:rPr>
        <w:t xml:space="preserve">anteriormente </w:t>
      </w:r>
      <w:r w:rsidRPr="00A92020">
        <w:rPr>
          <w:rFonts w:ascii="Arial" w:hAnsi="Arial" w:cs="Arial"/>
          <w:bCs/>
          <w:color w:val="000000"/>
          <w:sz w:val="26"/>
          <w:szCs w:val="26"/>
        </w:rPr>
        <w:t xml:space="preserve">expuesto, </w:t>
      </w:r>
      <w:r w:rsidRPr="00FF21A5">
        <w:rPr>
          <w:rFonts w:ascii="Arial" w:hAnsi="Arial" w:cs="Arial"/>
          <w:b/>
          <w:bCs/>
          <w:color w:val="000000"/>
          <w:sz w:val="26"/>
          <w:szCs w:val="26"/>
        </w:rPr>
        <w:t>resultan</w:t>
      </w:r>
      <w:r w:rsidRPr="00A92020">
        <w:rPr>
          <w:rFonts w:ascii="Arial" w:hAnsi="Arial" w:cs="Arial"/>
          <w:bCs/>
          <w:color w:val="000000"/>
          <w:sz w:val="26"/>
          <w:szCs w:val="26"/>
        </w:rPr>
        <w:t xml:space="preserve"> </w:t>
      </w:r>
      <w:r>
        <w:rPr>
          <w:rFonts w:ascii="Arial" w:hAnsi="Arial" w:cs="Arial"/>
          <w:b/>
          <w:bCs/>
          <w:color w:val="000000"/>
          <w:sz w:val="26"/>
          <w:szCs w:val="26"/>
        </w:rPr>
        <w:t xml:space="preserve">por una parte </w:t>
      </w:r>
      <w:r w:rsidRPr="00DD44CF">
        <w:rPr>
          <w:rFonts w:ascii="Arial" w:hAnsi="Arial" w:cs="Arial"/>
          <w:b/>
          <w:bCs/>
          <w:color w:val="000000"/>
          <w:sz w:val="26"/>
          <w:szCs w:val="26"/>
          <w:u w:val="single"/>
        </w:rPr>
        <w:t>infundados</w:t>
      </w:r>
      <w:r>
        <w:rPr>
          <w:rFonts w:ascii="Arial" w:hAnsi="Arial" w:cs="Arial"/>
          <w:bCs/>
          <w:color w:val="000000"/>
          <w:sz w:val="26"/>
          <w:szCs w:val="26"/>
        </w:rPr>
        <w:t xml:space="preserve"> y </w:t>
      </w:r>
      <w:r w:rsidRPr="00DD44CF">
        <w:rPr>
          <w:rFonts w:ascii="Arial" w:hAnsi="Arial" w:cs="Arial"/>
          <w:b/>
          <w:bCs/>
          <w:color w:val="000000"/>
          <w:sz w:val="26"/>
          <w:szCs w:val="26"/>
        </w:rPr>
        <w:t xml:space="preserve">por </w:t>
      </w:r>
      <w:proofErr w:type="gramStart"/>
      <w:r w:rsidRPr="00DD44CF">
        <w:rPr>
          <w:rFonts w:ascii="Arial" w:hAnsi="Arial" w:cs="Arial"/>
          <w:b/>
          <w:bCs/>
          <w:color w:val="000000"/>
          <w:sz w:val="26"/>
          <w:szCs w:val="26"/>
        </w:rPr>
        <w:t xml:space="preserve">otra </w:t>
      </w:r>
      <w:r w:rsidRPr="00DD44CF">
        <w:rPr>
          <w:rFonts w:ascii="Arial" w:hAnsi="Arial" w:cs="Arial"/>
          <w:b/>
          <w:bCs/>
          <w:color w:val="000000"/>
          <w:sz w:val="26"/>
          <w:szCs w:val="26"/>
          <w:u w:val="single"/>
        </w:rPr>
        <w:t>inatendibles</w:t>
      </w:r>
      <w:proofErr w:type="gramEnd"/>
      <w:r>
        <w:rPr>
          <w:rFonts w:ascii="Arial" w:hAnsi="Arial" w:cs="Arial"/>
          <w:b/>
          <w:bCs/>
          <w:color w:val="000000"/>
          <w:sz w:val="26"/>
          <w:szCs w:val="26"/>
        </w:rPr>
        <w:t xml:space="preserve"> los agravios esgrimidos por la autoridad recurrente.</w:t>
      </w:r>
    </w:p>
    <w:p w:rsidR="006264F1" w:rsidRDefault="004C7C4C" w:rsidP="004C7C4C">
      <w:pPr>
        <w:pStyle w:val="Sinespaciado"/>
        <w:spacing w:after="12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    Esto es así, porque </w:t>
      </w:r>
      <w:r w:rsidR="002C50B3">
        <w:rPr>
          <w:rFonts w:ascii="Arial" w:hAnsi="Arial" w:cs="Arial"/>
          <w:bCs/>
          <w:color w:val="000000"/>
          <w:sz w:val="26"/>
          <w:szCs w:val="26"/>
          <w:lang w:val="es-MX"/>
        </w:rPr>
        <w:t>contrario a lo manifestado por la autoridad recurrente en su segundo agravio</w:t>
      </w:r>
      <w:r>
        <w:rPr>
          <w:rFonts w:ascii="Arial" w:hAnsi="Arial" w:cs="Arial"/>
          <w:bCs/>
          <w:color w:val="000000"/>
          <w:sz w:val="26"/>
          <w:szCs w:val="26"/>
          <w:lang w:val="es-MX"/>
        </w:rPr>
        <w:t>,</w:t>
      </w:r>
      <w:r w:rsidR="002C50B3">
        <w:rPr>
          <w:rFonts w:ascii="Arial" w:hAnsi="Arial" w:cs="Arial"/>
          <w:bCs/>
          <w:color w:val="000000"/>
          <w:sz w:val="26"/>
          <w:szCs w:val="26"/>
          <w:lang w:val="es-MX"/>
        </w:rPr>
        <w:t xml:space="preserve"> al concatenar principalmente los artículos </w:t>
      </w:r>
      <w:r w:rsidR="002C50B3" w:rsidRPr="002C50B3">
        <w:rPr>
          <w:rFonts w:ascii="Arial" w:hAnsi="Arial" w:cs="Arial"/>
          <w:bCs/>
          <w:color w:val="000000"/>
          <w:sz w:val="26"/>
          <w:szCs w:val="26"/>
          <w:lang w:val="es-MX"/>
        </w:rPr>
        <w:t>116</w:t>
      </w:r>
      <w:r w:rsidR="002C50B3">
        <w:rPr>
          <w:rStyle w:val="Refdenotaalpie"/>
          <w:rFonts w:ascii="Arial" w:hAnsi="Arial" w:cs="Arial"/>
          <w:bCs/>
          <w:color w:val="000000"/>
          <w:sz w:val="26"/>
          <w:szCs w:val="26"/>
          <w:lang w:val="es-MX"/>
        </w:rPr>
        <w:footnoteReference w:id="1"/>
      </w:r>
      <w:r w:rsidR="002C50B3" w:rsidRPr="002C50B3">
        <w:rPr>
          <w:rFonts w:ascii="Arial" w:hAnsi="Arial" w:cs="Arial"/>
          <w:bCs/>
          <w:color w:val="000000"/>
          <w:sz w:val="26"/>
          <w:szCs w:val="26"/>
          <w:lang w:val="es-MX"/>
        </w:rPr>
        <w:t xml:space="preserve"> de la Ley de Justicia Administrativa para el Estado de Oaxaca, vigente al inicio del presente juicio, as</w:t>
      </w:r>
      <w:r w:rsidR="002C50B3">
        <w:rPr>
          <w:rFonts w:ascii="Arial" w:hAnsi="Arial" w:cs="Arial"/>
          <w:bCs/>
          <w:color w:val="000000"/>
          <w:sz w:val="26"/>
          <w:szCs w:val="26"/>
          <w:lang w:val="es-MX"/>
        </w:rPr>
        <w:t>í como el</w:t>
      </w:r>
      <w:r w:rsidR="002C50B3" w:rsidRPr="002C50B3">
        <w:rPr>
          <w:rFonts w:ascii="Arial" w:hAnsi="Arial" w:cs="Arial"/>
          <w:bCs/>
          <w:color w:val="000000"/>
          <w:sz w:val="26"/>
          <w:szCs w:val="26"/>
          <w:lang w:val="es-MX"/>
        </w:rPr>
        <w:t xml:space="preserve"> 404</w:t>
      </w:r>
      <w:r w:rsidR="00B22502">
        <w:rPr>
          <w:rStyle w:val="Refdenotaalpie"/>
          <w:rFonts w:ascii="Arial" w:hAnsi="Arial" w:cs="Arial"/>
          <w:bCs/>
          <w:color w:val="000000"/>
          <w:sz w:val="26"/>
          <w:szCs w:val="26"/>
          <w:lang w:val="es-MX"/>
        </w:rPr>
        <w:footnoteReference w:id="2"/>
      </w:r>
      <w:r w:rsidR="002C50B3" w:rsidRPr="002C50B3">
        <w:rPr>
          <w:rFonts w:ascii="Arial" w:hAnsi="Arial" w:cs="Arial"/>
          <w:bCs/>
          <w:color w:val="000000"/>
          <w:sz w:val="26"/>
          <w:szCs w:val="26"/>
          <w:lang w:val="es-MX"/>
        </w:rPr>
        <w:t xml:space="preserve"> y 501</w:t>
      </w:r>
      <w:r w:rsidR="00B22502">
        <w:rPr>
          <w:rStyle w:val="Refdenotaalpie"/>
          <w:rFonts w:ascii="Arial" w:hAnsi="Arial" w:cs="Arial"/>
          <w:bCs/>
          <w:color w:val="000000"/>
          <w:sz w:val="26"/>
          <w:szCs w:val="26"/>
          <w:lang w:val="es-MX"/>
        </w:rPr>
        <w:footnoteReference w:id="3"/>
      </w:r>
      <w:r w:rsidR="002C50B3" w:rsidRPr="002C50B3">
        <w:rPr>
          <w:rFonts w:ascii="Arial" w:hAnsi="Arial" w:cs="Arial"/>
          <w:bCs/>
          <w:color w:val="000000"/>
          <w:sz w:val="26"/>
          <w:szCs w:val="26"/>
          <w:lang w:val="es-MX"/>
        </w:rPr>
        <w:t xml:space="preserve"> del Código de Procedimiento Civiles para el Estado</w:t>
      </w:r>
      <w:r w:rsidR="00727638">
        <w:rPr>
          <w:rFonts w:ascii="Arial" w:hAnsi="Arial" w:cs="Arial"/>
          <w:bCs/>
          <w:color w:val="000000"/>
          <w:sz w:val="26"/>
          <w:szCs w:val="26"/>
          <w:lang w:val="es-MX"/>
        </w:rPr>
        <w:t xml:space="preserve">, </w:t>
      </w:r>
      <w:r w:rsidR="00E95A03">
        <w:rPr>
          <w:rFonts w:ascii="Arial" w:hAnsi="Arial" w:cs="Arial"/>
          <w:bCs/>
          <w:color w:val="000000"/>
          <w:sz w:val="26"/>
          <w:szCs w:val="26"/>
          <w:lang w:val="es-MX"/>
        </w:rPr>
        <w:t>se especifica</w:t>
      </w:r>
      <w:r w:rsidR="00727638">
        <w:rPr>
          <w:rFonts w:ascii="Arial" w:hAnsi="Arial" w:cs="Arial"/>
          <w:bCs/>
          <w:color w:val="000000"/>
          <w:sz w:val="26"/>
          <w:szCs w:val="26"/>
          <w:lang w:val="es-MX"/>
        </w:rPr>
        <w:t xml:space="preserve"> con claridad que en caso </w:t>
      </w:r>
      <w:r w:rsidR="00E95A03">
        <w:rPr>
          <w:rFonts w:ascii="Arial" w:hAnsi="Arial" w:cs="Arial"/>
          <w:bCs/>
          <w:color w:val="000000"/>
          <w:sz w:val="26"/>
          <w:szCs w:val="26"/>
          <w:lang w:val="es-MX"/>
        </w:rPr>
        <w:t>de que a falta de disposición</w:t>
      </w:r>
      <w:r w:rsidR="00727638">
        <w:rPr>
          <w:rFonts w:ascii="Arial" w:hAnsi="Arial" w:cs="Arial"/>
          <w:bCs/>
          <w:color w:val="000000"/>
          <w:sz w:val="26"/>
          <w:szCs w:val="26"/>
          <w:lang w:val="es-MX"/>
        </w:rPr>
        <w:t xml:space="preserve"> expresa </w:t>
      </w:r>
      <w:r w:rsidR="00E95A03">
        <w:rPr>
          <w:rFonts w:ascii="Arial" w:hAnsi="Arial" w:cs="Arial"/>
          <w:bCs/>
          <w:color w:val="000000"/>
          <w:sz w:val="26"/>
          <w:szCs w:val="26"/>
          <w:lang w:val="es-MX"/>
        </w:rPr>
        <w:t xml:space="preserve">en la Ley que regula el juicio contencioso administrativo se aplicará supletoriamente el Código de Procedimientos Civiles para el Estado de Oaxaca, caso que </w:t>
      </w:r>
      <w:r w:rsidR="00E95A03">
        <w:rPr>
          <w:rFonts w:ascii="Arial" w:hAnsi="Arial" w:cs="Arial"/>
          <w:bCs/>
          <w:color w:val="000000"/>
          <w:sz w:val="26"/>
          <w:szCs w:val="26"/>
          <w:lang w:val="es-MX"/>
        </w:rPr>
        <w:lastRenderedPageBreak/>
        <w:t xml:space="preserve">aquí acontece, aplicándose entonces los preceptos legales invocados del </w:t>
      </w:r>
      <w:r>
        <w:rPr>
          <w:rFonts w:ascii="Arial" w:hAnsi="Arial" w:cs="Arial"/>
          <w:bCs/>
          <w:color w:val="000000"/>
          <w:sz w:val="26"/>
          <w:szCs w:val="26"/>
          <w:lang w:val="es-MX"/>
        </w:rPr>
        <w:t xml:space="preserve">citado </w:t>
      </w:r>
      <w:r w:rsidR="00DD44CF">
        <w:rPr>
          <w:rFonts w:ascii="Arial" w:hAnsi="Arial" w:cs="Arial"/>
          <w:bCs/>
          <w:color w:val="000000"/>
          <w:sz w:val="26"/>
          <w:szCs w:val="26"/>
          <w:lang w:val="es-MX"/>
        </w:rPr>
        <w:t>C</w:t>
      </w:r>
      <w:r w:rsidR="00E95A03">
        <w:rPr>
          <w:rFonts w:ascii="Arial" w:hAnsi="Arial" w:cs="Arial"/>
          <w:bCs/>
          <w:color w:val="000000"/>
          <w:sz w:val="26"/>
          <w:szCs w:val="26"/>
          <w:lang w:val="es-MX"/>
        </w:rPr>
        <w:t xml:space="preserve">ódigo, que prevén la sustanciación y resolución del incidente de liquidación; </w:t>
      </w:r>
      <w:r w:rsidR="00E95A03" w:rsidRPr="00E95A03">
        <w:rPr>
          <w:rFonts w:ascii="Arial" w:hAnsi="Arial" w:cs="Arial"/>
          <w:b/>
          <w:bCs/>
          <w:color w:val="000000"/>
          <w:sz w:val="26"/>
          <w:szCs w:val="26"/>
          <w:lang w:val="es-MX"/>
        </w:rPr>
        <w:t>de ahí lo infundado</w:t>
      </w:r>
      <w:r w:rsidR="00E95A03">
        <w:rPr>
          <w:rFonts w:ascii="Arial" w:hAnsi="Arial" w:cs="Arial"/>
          <w:bCs/>
          <w:color w:val="000000"/>
          <w:sz w:val="26"/>
          <w:szCs w:val="26"/>
          <w:lang w:val="es-MX"/>
        </w:rPr>
        <w:t xml:space="preserve"> </w:t>
      </w:r>
      <w:r w:rsidRPr="0014220A">
        <w:rPr>
          <w:rFonts w:ascii="Arial" w:hAnsi="Arial" w:cs="Arial"/>
          <w:b/>
          <w:bCs/>
          <w:color w:val="000000"/>
          <w:sz w:val="26"/>
          <w:szCs w:val="26"/>
          <w:lang w:val="es-MX"/>
        </w:rPr>
        <w:t>de su segundo agravio</w:t>
      </w:r>
      <w:r>
        <w:rPr>
          <w:rFonts w:ascii="Arial" w:hAnsi="Arial" w:cs="Arial"/>
          <w:bCs/>
          <w:color w:val="000000"/>
          <w:sz w:val="26"/>
          <w:szCs w:val="26"/>
          <w:lang w:val="es-MX"/>
        </w:rPr>
        <w:t>.</w:t>
      </w:r>
    </w:p>
    <w:p w:rsidR="00640741" w:rsidRDefault="004C7C4C" w:rsidP="00640741">
      <w:pPr>
        <w:pStyle w:val="Sinespaciado"/>
        <w:spacing w:line="360" w:lineRule="auto"/>
        <w:jc w:val="both"/>
        <w:rPr>
          <w:rFonts w:ascii="Arial" w:hAnsi="Arial" w:cs="Arial"/>
          <w:bCs/>
          <w:color w:val="000000"/>
          <w:sz w:val="26"/>
          <w:szCs w:val="26"/>
          <w:lang w:val="es-MX"/>
        </w:rPr>
      </w:pPr>
      <w:r>
        <w:rPr>
          <w:rFonts w:ascii="Arial" w:eastAsia="Calibri" w:hAnsi="Arial" w:cs="Arial"/>
          <w:sz w:val="26"/>
          <w:szCs w:val="26"/>
        </w:rPr>
        <w:t xml:space="preserve">     Por otra parte, cabe </w:t>
      </w:r>
      <w:r w:rsidR="0014220A">
        <w:rPr>
          <w:rFonts w:ascii="Arial" w:eastAsia="Calibri" w:hAnsi="Arial" w:cs="Arial"/>
          <w:sz w:val="26"/>
          <w:szCs w:val="26"/>
        </w:rPr>
        <w:t xml:space="preserve">destacar </w:t>
      </w:r>
      <w:r>
        <w:rPr>
          <w:rFonts w:ascii="Arial" w:eastAsia="Calibri" w:hAnsi="Arial" w:cs="Arial"/>
          <w:sz w:val="26"/>
          <w:szCs w:val="26"/>
        </w:rPr>
        <w:t>que</w:t>
      </w:r>
      <w:r w:rsidRPr="008E25B8">
        <w:rPr>
          <w:rFonts w:ascii="Arial" w:eastAsia="Calibri" w:hAnsi="Arial" w:cs="Arial"/>
          <w:sz w:val="26"/>
          <w:szCs w:val="26"/>
        </w:rPr>
        <w:t xml:space="preserve"> </w:t>
      </w:r>
      <w:r>
        <w:rPr>
          <w:rFonts w:ascii="Arial" w:eastAsia="Calibri" w:hAnsi="Arial" w:cs="Arial"/>
          <w:sz w:val="26"/>
          <w:szCs w:val="26"/>
        </w:rPr>
        <w:t>si bien es cierto la Ley de Justicia Administrativa para el Estado de Oaxaca vigente al inicio del juic</w:t>
      </w:r>
      <w:r w:rsidR="00ED0D2F">
        <w:rPr>
          <w:rFonts w:ascii="Arial" w:eastAsia="Calibri" w:hAnsi="Arial" w:cs="Arial"/>
          <w:sz w:val="26"/>
          <w:szCs w:val="26"/>
        </w:rPr>
        <w:t>i</w:t>
      </w:r>
      <w:r>
        <w:rPr>
          <w:rFonts w:ascii="Arial" w:eastAsia="Calibri" w:hAnsi="Arial" w:cs="Arial"/>
          <w:sz w:val="26"/>
          <w:szCs w:val="26"/>
        </w:rPr>
        <w:t xml:space="preserve">o natural, no prevé </w:t>
      </w:r>
      <w:r w:rsidR="000C71EF">
        <w:rPr>
          <w:rFonts w:ascii="Arial" w:eastAsia="Calibri" w:hAnsi="Arial" w:cs="Arial"/>
          <w:sz w:val="26"/>
          <w:szCs w:val="26"/>
        </w:rPr>
        <w:t xml:space="preserve">específicamente </w:t>
      </w:r>
      <w:r>
        <w:rPr>
          <w:rFonts w:ascii="Arial" w:eastAsia="Calibri" w:hAnsi="Arial" w:cs="Arial"/>
          <w:sz w:val="26"/>
          <w:szCs w:val="26"/>
        </w:rPr>
        <w:t xml:space="preserve">el incidente de liquidación de sentencia, también resulta cierto </w:t>
      </w:r>
      <w:r w:rsidRPr="00B73497">
        <w:rPr>
          <w:rFonts w:ascii="Arial" w:eastAsia="Calibri" w:hAnsi="Arial" w:cs="Arial"/>
          <w:sz w:val="26"/>
          <w:szCs w:val="26"/>
        </w:rPr>
        <w:t xml:space="preserve">que </w:t>
      </w:r>
      <w:r w:rsidRPr="00B73497">
        <w:rPr>
          <w:rFonts w:ascii="Arial" w:hAnsi="Arial" w:cs="Arial"/>
          <w:bCs/>
          <w:color w:val="000000"/>
          <w:sz w:val="26"/>
          <w:szCs w:val="26"/>
          <w:lang w:val="es-MX"/>
        </w:rPr>
        <w:t>el Primer Tribunal</w:t>
      </w:r>
      <w:r>
        <w:rPr>
          <w:rFonts w:ascii="Arial" w:hAnsi="Arial" w:cs="Arial"/>
          <w:bCs/>
          <w:i/>
          <w:color w:val="000000"/>
          <w:sz w:val="24"/>
          <w:szCs w:val="24"/>
          <w:lang w:val="es-MX"/>
        </w:rPr>
        <w:t xml:space="preserve"> </w:t>
      </w:r>
      <w:r>
        <w:rPr>
          <w:rFonts w:ascii="Arial" w:hAnsi="Arial" w:cs="Arial"/>
          <w:bCs/>
          <w:color w:val="000000"/>
          <w:sz w:val="26"/>
          <w:szCs w:val="26"/>
          <w:lang w:val="es-MX"/>
        </w:rPr>
        <w:t>Colegiado</w:t>
      </w:r>
      <w:r w:rsidRPr="00B73497">
        <w:rPr>
          <w:rFonts w:ascii="Arial" w:hAnsi="Arial" w:cs="Arial"/>
          <w:bCs/>
          <w:color w:val="000000"/>
          <w:sz w:val="26"/>
          <w:szCs w:val="26"/>
          <w:lang w:val="es-MX"/>
        </w:rPr>
        <w:t xml:space="preserve"> de Circuito  del Centro Auxiliar de la Quinta Región, con sede en Culiacán Sinaloa, </w:t>
      </w:r>
      <w:r>
        <w:rPr>
          <w:rFonts w:ascii="Arial" w:hAnsi="Arial" w:cs="Arial"/>
          <w:bCs/>
          <w:color w:val="000000"/>
          <w:sz w:val="26"/>
          <w:szCs w:val="26"/>
          <w:lang w:val="es-MX"/>
        </w:rPr>
        <w:t xml:space="preserve">ya </w:t>
      </w:r>
      <w:r w:rsidRPr="00B73497">
        <w:rPr>
          <w:rFonts w:ascii="Arial" w:hAnsi="Arial" w:cs="Arial"/>
          <w:bCs/>
          <w:color w:val="000000"/>
          <w:sz w:val="26"/>
          <w:szCs w:val="26"/>
          <w:lang w:val="es-MX"/>
        </w:rPr>
        <w:t>concedió el Amparo y Protección de la Justicia Federal</w:t>
      </w:r>
      <w:r>
        <w:rPr>
          <w:rFonts w:ascii="Arial" w:hAnsi="Arial" w:cs="Arial"/>
          <w:bCs/>
          <w:color w:val="000000"/>
          <w:sz w:val="26"/>
          <w:szCs w:val="26"/>
          <w:lang w:val="es-MX"/>
        </w:rPr>
        <w:t xml:space="preserve"> al ahí quejoso, que en la parte toral de su resolución determinó que sí</w:t>
      </w:r>
      <w:r w:rsidRPr="00B73497">
        <w:rPr>
          <w:rFonts w:ascii="Arial" w:hAnsi="Arial" w:cs="Arial"/>
          <w:bCs/>
          <w:color w:val="000000"/>
          <w:sz w:val="26"/>
          <w:szCs w:val="26"/>
          <w:lang w:val="es-MX"/>
        </w:rPr>
        <w:t xml:space="preserve"> procede el recurso de revisión previsto en el artículo 206, fracción V, de la Ley de Justicia Administrativa para el Estado de Oaxaca, en contra de la resolución de 2 dos de mayo de 2016 dos mil dieciséis de planilla de liquidación emitida por la Sala de Primera Instancia</w:t>
      </w:r>
      <w:r>
        <w:rPr>
          <w:rFonts w:ascii="Arial" w:hAnsi="Arial" w:cs="Arial"/>
          <w:bCs/>
          <w:color w:val="000000"/>
          <w:sz w:val="26"/>
          <w:szCs w:val="26"/>
          <w:lang w:val="es-MX"/>
        </w:rPr>
        <w:t>; la cual también se trata de una actualización de las cantidades liquidas condenadas a pagar al Honorable Ayuntamiento del Municipio de Oaxaca de Juárez.</w:t>
      </w:r>
      <w:r w:rsidR="00640741" w:rsidRPr="00640741">
        <w:rPr>
          <w:rFonts w:ascii="Arial" w:eastAsia="Calibri" w:hAnsi="Arial" w:cs="Arial"/>
          <w:bCs/>
          <w:sz w:val="26"/>
          <w:szCs w:val="26"/>
        </w:rPr>
        <w:t xml:space="preserve"> </w:t>
      </w:r>
    </w:p>
    <w:p w:rsidR="006264F1" w:rsidRDefault="006264F1" w:rsidP="00A453D4">
      <w:pPr>
        <w:pStyle w:val="Sinespaciado"/>
        <w:spacing w:line="360" w:lineRule="auto"/>
        <w:jc w:val="both"/>
        <w:rPr>
          <w:rFonts w:ascii="Arial" w:hAnsi="Arial" w:cs="Arial"/>
          <w:bCs/>
          <w:color w:val="000000"/>
          <w:sz w:val="26"/>
          <w:szCs w:val="26"/>
          <w:lang w:val="es-MX"/>
        </w:rPr>
      </w:pPr>
    </w:p>
    <w:p w:rsidR="00A453D4" w:rsidRDefault="00E95A03" w:rsidP="00A453D4">
      <w:pPr>
        <w:pStyle w:val="Sinespaciado"/>
        <w:spacing w:line="360" w:lineRule="auto"/>
        <w:jc w:val="both"/>
        <w:rPr>
          <w:rFonts w:ascii="Arial" w:hAnsi="Arial" w:cs="Arial"/>
          <w:bCs/>
          <w:color w:val="000000"/>
          <w:sz w:val="26"/>
          <w:szCs w:val="26"/>
          <w:lang w:val="es-MX"/>
        </w:rPr>
      </w:pPr>
      <w:r w:rsidRPr="00E95A03">
        <w:rPr>
          <w:rFonts w:ascii="Arial" w:hAnsi="Arial" w:cs="Arial"/>
          <w:b/>
          <w:bCs/>
          <w:color w:val="000000"/>
          <w:sz w:val="26"/>
          <w:szCs w:val="26"/>
          <w:lang w:val="es-MX"/>
        </w:rPr>
        <w:t xml:space="preserve">   </w:t>
      </w:r>
      <w:r w:rsidR="008F4484">
        <w:rPr>
          <w:rFonts w:ascii="Arial" w:hAnsi="Arial" w:cs="Arial"/>
          <w:b/>
          <w:bCs/>
          <w:color w:val="000000"/>
          <w:sz w:val="26"/>
          <w:szCs w:val="26"/>
          <w:lang w:val="es-MX"/>
        </w:rPr>
        <w:t xml:space="preserve"> </w:t>
      </w:r>
      <w:r w:rsidRPr="00E95A03">
        <w:rPr>
          <w:rFonts w:ascii="Arial" w:hAnsi="Arial" w:cs="Arial"/>
          <w:b/>
          <w:bCs/>
          <w:color w:val="000000"/>
          <w:sz w:val="26"/>
          <w:szCs w:val="26"/>
          <w:lang w:val="es-MX"/>
        </w:rPr>
        <w:t>Resultan inatendibles</w:t>
      </w:r>
      <w:r>
        <w:rPr>
          <w:rFonts w:ascii="Arial" w:hAnsi="Arial" w:cs="Arial"/>
          <w:bCs/>
          <w:color w:val="000000"/>
          <w:sz w:val="26"/>
          <w:szCs w:val="26"/>
          <w:lang w:val="es-MX"/>
        </w:rPr>
        <w:t xml:space="preserve"> </w:t>
      </w:r>
      <w:r w:rsidRPr="00E95A03">
        <w:rPr>
          <w:rFonts w:ascii="Arial" w:hAnsi="Arial" w:cs="Arial"/>
          <w:b/>
          <w:bCs/>
          <w:color w:val="000000"/>
          <w:sz w:val="26"/>
          <w:szCs w:val="26"/>
          <w:lang w:val="es-MX"/>
        </w:rPr>
        <w:t>los demás agravios formulados</w:t>
      </w:r>
      <w:r>
        <w:rPr>
          <w:rFonts w:ascii="Arial" w:hAnsi="Arial" w:cs="Arial"/>
          <w:bCs/>
          <w:color w:val="000000"/>
          <w:sz w:val="26"/>
          <w:szCs w:val="26"/>
          <w:lang w:val="es-MX"/>
        </w:rPr>
        <w:t xml:space="preserve"> por la </w:t>
      </w:r>
      <w:r w:rsidR="008F4484">
        <w:rPr>
          <w:rFonts w:ascii="Arial" w:hAnsi="Arial" w:cs="Arial"/>
          <w:bCs/>
          <w:color w:val="000000"/>
          <w:sz w:val="26"/>
          <w:szCs w:val="26"/>
          <w:lang w:val="es-MX"/>
        </w:rPr>
        <w:t>autoridad recurrente</w:t>
      </w:r>
      <w:r w:rsidR="002101C6">
        <w:rPr>
          <w:rFonts w:ascii="Arial" w:hAnsi="Arial" w:cs="Arial"/>
          <w:bCs/>
          <w:color w:val="000000"/>
          <w:sz w:val="26"/>
          <w:szCs w:val="26"/>
          <w:lang w:val="es-MX"/>
        </w:rPr>
        <w:t>;</w:t>
      </w:r>
      <w:r>
        <w:rPr>
          <w:rFonts w:ascii="Arial" w:hAnsi="Arial" w:cs="Arial"/>
          <w:bCs/>
          <w:color w:val="000000"/>
          <w:sz w:val="26"/>
          <w:szCs w:val="26"/>
          <w:lang w:val="es-MX"/>
        </w:rPr>
        <w:t xml:space="preserve"> ya que</w:t>
      </w:r>
      <w:r w:rsidR="00B0359E">
        <w:rPr>
          <w:rFonts w:ascii="Arial" w:hAnsi="Arial" w:cs="Arial"/>
          <w:bCs/>
          <w:color w:val="000000"/>
          <w:sz w:val="26"/>
          <w:szCs w:val="26"/>
          <w:lang w:val="es-MX"/>
        </w:rPr>
        <w:t xml:space="preserve"> </w:t>
      </w:r>
      <w:r w:rsidR="00A92020">
        <w:rPr>
          <w:rFonts w:ascii="Arial" w:hAnsi="Arial" w:cs="Arial"/>
          <w:bCs/>
          <w:color w:val="000000"/>
          <w:sz w:val="26"/>
          <w:szCs w:val="26"/>
          <w:lang w:val="es-MX"/>
        </w:rPr>
        <w:t>en ningún momento</w:t>
      </w:r>
      <w:r w:rsidR="00A453D4" w:rsidRPr="00A92020">
        <w:rPr>
          <w:rFonts w:ascii="Arial" w:hAnsi="Arial" w:cs="Arial"/>
          <w:bCs/>
          <w:color w:val="000000"/>
          <w:sz w:val="26"/>
          <w:szCs w:val="26"/>
          <w:lang w:val="es-MX"/>
        </w:rPr>
        <w:t xml:space="preserve"> </w:t>
      </w:r>
      <w:r w:rsidR="008F4484">
        <w:rPr>
          <w:rFonts w:ascii="Arial" w:hAnsi="Arial" w:cs="Arial"/>
          <w:bCs/>
          <w:color w:val="000000"/>
          <w:sz w:val="26"/>
          <w:szCs w:val="26"/>
          <w:lang w:val="es-MX"/>
        </w:rPr>
        <w:t xml:space="preserve">la resolutora de primera instancia </w:t>
      </w:r>
      <w:r w:rsidR="00A453D4" w:rsidRPr="00A92020">
        <w:rPr>
          <w:rFonts w:ascii="Arial" w:hAnsi="Arial" w:cs="Arial"/>
          <w:bCs/>
          <w:color w:val="000000"/>
          <w:sz w:val="26"/>
          <w:szCs w:val="26"/>
          <w:lang w:val="es-MX"/>
        </w:rPr>
        <w:t xml:space="preserve">condenó al Honorable Ayuntamiento del Municipio de Oaxaca de Juárez a pagar a la parte actora salarios caídos, vencidos o remuneración ordinaria diaria </w:t>
      </w:r>
      <w:r w:rsidR="00A92020">
        <w:rPr>
          <w:rFonts w:ascii="Arial" w:hAnsi="Arial" w:cs="Arial"/>
          <w:bCs/>
          <w:color w:val="000000"/>
          <w:sz w:val="26"/>
          <w:szCs w:val="26"/>
          <w:lang w:val="es-MX"/>
        </w:rPr>
        <w:t>como lo señala la recurrente,</w:t>
      </w:r>
      <w:r w:rsidR="008F4484">
        <w:rPr>
          <w:rFonts w:ascii="Arial" w:hAnsi="Arial" w:cs="Arial"/>
          <w:bCs/>
          <w:color w:val="000000"/>
          <w:sz w:val="26"/>
          <w:szCs w:val="26"/>
          <w:lang w:val="es-MX"/>
        </w:rPr>
        <w:t xml:space="preserve"> pues como ya se dijo</w:t>
      </w:r>
      <w:r w:rsidR="00A453D4" w:rsidRPr="00A92020">
        <w:rPr>
          <w:rFonts w:ascii="Arial" w:hAnsi="Arial" w:cs="Arial"/>
          <w:bCs/>
          <w:color w:val="000000"/>
          <w:sz w:val="26"/>
          <w:szCs w:val="26"/>
          <w:lang w:val="es-MX"/>
        </w:rPr>
        <w:t xml:space="preserve"> </w:t>
      </w:r>
      <w:r w:rsidR="00A92020">
        <w:rPr>
          <w:rFonts w:ascii="Arial" w:hAnsi="Arial" w:cs="Arial"/>
          <w:bCs/>
          <w:color w:val="000000"/>
          <w:sz w:val="26"/>
          <w:szCs w:val="26"/>
          <w:lang w:val="es-MX"/>
        </w:rPr>
        <w:t>c</w:t>
      </w:r>
      <w:r w:rsidR="00A453D4" w:rsidRPr="00A92020">
        <w:rPr>
          <w:rFonts w:ascii="Arial" w:hAnsi="Arial" w:cs="Arial"/>
          <w:bCs/>
          <w:color w:val="000000"/>
          <w:sz w:val="26"/>
          <w:szCs w:val="26"/>
          <w:lang w:val="es-MX"/>
        </w:rPr>
        <w:t>on fecha 12 doce de junio de 2015 dos mil quince la Sala Superior del otrora Tribunal de lo Contencioso Administrativo del Poder Judicial del Estado de Oaxaca dictó resolución</w:t>
      </w:r>
      <w:r w:rsidR="00A92020">
        <w:rPr>
          <w:rFonts w:ascii="Arial" w:hAnsi="Arial" w:cs="Arial"/>
          <w:bCs/>
          <w:color w:val="000000"/>
          <w:sz w:val="26"/>
          <w:szCs w:val="26"/>
          <w:lang w:val="es-MX"/>
        </w:rPr>
        <w:t xml:space="preserve"> </w:t>
      </w:r>
      <w:r w:rsidR="00A92020" w:rsidRPr="00A92020">
        <w:rPr>
          <w:rFonts w:ascii="Arial" w:hAnsi="Arial" w:cs="Arial"/>
          <w:bCs/>
          <w:color w:val="000000"/>
          <w:sz w:val="26"/>
          <w:szCs w:val="26"/>
          <w:lang w:val="es-MX"/>
        </w:rPr>
        <w:t>que modificó la sentencia de Primera Instancia de fecha 30 treinta de</w:t>
      </w:r>
      <w:r w:rsidR="00412DFE">
        <w:rPr>
          <w:rFonts w:ascii="Arial" w:hAnsi="Arial" w:cs="Arial"/>
          <w:bCs/>
          <w:color w:val="000000"/>
          <w:sz w:val="26"/>
          <w:szCs w:val="26"/>
          <w:lang w:val="es-MX"/>
        </w:rPr>
        <w:t xml:space="preserve"> abril de 2014 dos mil catorce, </w:t>
      </w:r>
      <w:r w:rsidR="00941F4E">
        <w:rPr>
          <w:rFonts w:ascii="Arial" w:hAnsi="Arial" w:cs="Arial"/>
          <w:bCs/>
          <w:color w:val="000000"/>
          <w:sz w:val="26"/>
          <w:szCs w:val="26"/>
          <w:lang w:val="es-MX"/>
        </w:rPr>
        <w:t>en la que efectuó</w:t>
      </w:r>
      <w:r w:rsidR="00A92020">
        <w:rPr>
          <w:rFonts w:ascii="Arial" w:hAnsi="Arial" w:cs="Arial"/>
          <w:bCs/>
          <w:color w:val="000000"/>
          <w:sz w:val="26"/>
          <w:szCs w:val="26"/>
          <w:lang w:val="es-MX"/>
        </w:rPr>
        <w:t xml:space="preserve"> la cuantificación de las prestaciones correspondientes y </w:t>
      </w:r>
      <w:r w:rsidR="00A92020" w:rsidRPr="008F4484">
        <w:rPr>
          <w:rFonts w:ascii="Arial" w:hAnsi="Arial" w:cs="Arial"/>
          <w:b/>
          <w:bCs/>
          <w:color w:val="000000"/>
          <w:sz w:val="26"/>
          <w:szCs w:val="26"/>
          <w:lang w:val="es-MX"/>
        </w:rPr>
        <w:t xml:space="preserve">condenó </w:t>
      </w:r>
      <w:r w:rsidR="00A92020" w:rsidRPr="00A92020">
        <w:rPr>
          <w:rFonts w:ascii="Arial" w:hAnsi="Arial" w:cs="Arial"/>
          <w:bCs/>
          <w:color w:val="000000"/>
          <w:sz w:val="26"/>
          <w:szCs w:val="26"/>
          <w:lang w:val="es-MX"/>
        </w:rPr>
        <w:t>al Honorable Ayuntamiento del Municipio de Oaxaca de Juárez al pago de las</w:t>
      </w:r>
      <w:r w:rsidR="00A92020">
        <w:rPr>
          <w:rFonts w:ascii="Arial" w:hAnsi="Arial" w:cs="Arial"/>
          <w:bCs/>
          <w:color w:val="000000"/>
          <w:sz w:val="26"/>
          <w:szCs w:val="26"/>
          <w:lang w:val="es-MX"/>
        </w:rPr>
        <w:t xml:space="preserve"> cantidades resultantes</w:t>
      </w:r>
      <w:r w:rsidR="00941F4E">
        <w:rPr>
          <w:rFonts w:ascii="Arial" w:hAnsi="Arial" w:cs="Arial"/>
          <w:bCs/>
          <w:color w:val="000000"/>
          <w:sz w:val="26"/>
          <w:szCs w:val="26"/>
          <w:lang w:val="es-MX"/>
        </w:rPr>
        <w:t>.</w:t>
      </w:r>
    </w:p>
    <w:p w:rsidR="00941F4E" w:rsidRDefault="00941F4E" w:rsidP="00A453D4">
      <w:pPr>
        <w:pStyle w:val="Sinespaciado"/>
        <w:spacing w:line="360" w:lineRule="auto"/>
        <w:jc w:val="both"/>
        <w:rPr>
          <w:rFonts w:ascii="Arial" w:hAnsi="Arial" w:cs="Arial"/>
          <w:bCs/>
          <w:color w:val="000000"/>
          <w:sz w:val="26"/>
          <w:szCs w:val="26"/>
          <w:lang w:val="es-MX"/>
        </w:rPr>
      </w:pPr>
    </w:p>
    <w:p w:rsidR="00107326" w:rsidRPr="008F4484" w:rsidRDefault="00941F4E" w:rsidP="006D01A0">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9B579E">
        <w:rPr>
          <w:rFonts w:ascii="Arial" w:hAnsi="Arial" w:cs="Arial"/>
          <w:bCs/>
          <w:color w:val="000000"/>
          <w:sz w:val="26"/>
          <w:szCs w:val="26"/>
          <w:lang w:val="es-MX"/>
        </w:rPr>
        <w:t xml:space="preserve">Siendo así, que la </w:t>
      </w:r>
      <w:r w:rsidR="002101C6">
        <w:rPr>
          <w:rFonts w:ascii="Arial" w:hAnsi="Arial" w:cs="Arial"/>
          <w:bCs/>
          <w:color w:val="000000"/>
          <w:sz w:val="26"/>
          <w:szCs w:val="26"/>
          <w:lang w:val="es-MX"/>
        </w:rPr>
        <w:t>referida resolución de fecha 12 doce de junio de 2015 dos mil quince dictada por la Sala Superior del otra Tribunal de lo Contencioso Administrativo del Poder Judicial del Estado,</w:t>
      </w:r>
      <w:r w:rsidR="009B579E">
        <w:rPr>
          <w:rFonts w:ascii="Arial" w:hAnsi="Arial" w:cs="Arial"/>
          <w:bCs/>
          <w:color w:val="000000"/>
          <w:sz w:val="26"/>
          <w:szCs w:val="26"/>
          <w:lang w:val="es-MX"/>
        </w:rPr>
        <w:t xml:space="preserve"> fue la que condenó el pago de la remuneración ordinaria diaria y demás prestaciones, la cual causó estado </w:t>
      </w:r>
      <w:r w:rsidR="004324D9">
        <w:rPr>
          <w:rFonts w:ascii="Arial" w:hAnsi="Arial" w:cs="Arial"/>
          <w:bCs/>
          <w:color w:val="000000"/>
          <w:sz w:val="26"/>
          <w:szCs w:val="26"/>
          <w:lang w:val="es-MX"/>
        </w:rPr>
        <w:t>y se</w:t>
      </w:r>
      <w:r w:rsidR="009B579E">
        <w:rPr>
          <w:rFonts w:ascii="Arial" w:hAnsi="Arial" w:cs="Arial"/>
          <w:bCs/>
          <w:color w:val="000000"/>
          <w:sz w:val="26"/>
          <w:szCs w:val="26"/>
          <w:lang w:val="es-MX"/>
        </w:rPr>
        <w:t xml:space="preserve"> ordenó su cumplimiento</w:t>
      </w:r>
      <w:r w:rsidR="008F4484">
        <w:rPr>
          <w:rFonts w:ascii="Arial" w:hAnsi="Arial" w:cs="Arial"/>
          <w:bCs/>
          <w:color w:val="000000"/>
          <w:sz w:val="26"/>
          <w:szCs w:val="26"/>
          <w:lang w:val="es-MX"/>
        </w:rPr>
        <w:t>,</w:t>
      </w:r>
      <w:r w:rsidR="00507171">
        <w:rPr>
          <w:rFonts w:ascii="Arial" w:hAnsi="Arial" w:cs="Arial"/>
          <w:bCs/>
          <w:color w:val="000000"/>
          <w:sz w:val="26"/>
          <w:szCs w:val="26"/>
          <w:lang w:val="es-MX"/>
        </w:rPr>
        <w:t xml:space="preserve"> </w:t>
      </w:r>
      <w:r w:rsidR="00167BEB">
        <w:rPr>
          <w:rFonts w:ascii="Arial" w:hAnsi="Arial" w:cs="Arial"/>
          <w:bCs/>
          <w:color w:val="000000"/>
          <w:sz w:val="26"/>
          <w:szCs w:val="26"/>
          <w:lang w:val="es-MX"/>
        </w:rPr>
        <w:t>dado</w:t>
      </w:r>
      <w:r w:rsidR="00507171">
        <w:rPr>
          <w:rFonts w:ascii="Arial" w:hAnsi="Arial" w:cs="Arial"/>
          <w:bCs/>
          <w:color w:val="000000"/>
          <w:sz w:val="26"/>
          <w:szCs w:val="26"/>
          <w:lang w:val="es-MX"/>
        </w:rPr>
        <w:t xml:space="preserve"> que</w:t>
      </w:r>
      <w:r w:rsidR="002101C6">
        <w:rPr>
          <w:rFonts w:ascii="Arial" w:hAnsi="Arial" w:cs="Arial"/>
          <w:bCs/>
          <w:color w:val="000000"/>
          <w:sz w:val="26"/>
          <w:szCs w:val="26"/>
          <w:lang w:val="es-MX"/>
        </w:rPr>
        <w:t xml:space="preserve"> por su naturaleza</w:t>
      </w:r>
      <w:r w:rsidR="00507171">
        <w:rPr>
          <w:rFonts w:ascii="Arial" w:hAnsi="Arial" w:cs="Arial"/>
          <w:bCs/>
          <w:color w:val="000000"/>
          <w:sz w:val="26"/>
          <w:szCs w:val="26"/>
          <w:lang w:val="es-MX"/>
        </w:rPr>
        <w:t xml:space="preserve"> no puede ser cuestionada ni </w:t>
      </w:r>
      <w:r w:rsidR="008E25B8">
        <w:rPr>
          <w:rFonts w:ascii="Arial" w:hAnsi="Arial" w:cs="Arial"/>
          <w:bCs/>
          <w:color w:val="000000"/>
          <w:sz w:val="26"/>
          <w:szCs w:val="26"/>
          <w:lang w:val="es-MX"/>
        </w:rPr>
        <w:t>modificada</w:t>
      </w:r>
      <w:r w:rsidR="0014220A">
        <w:rPr>
          <w:rFonts w:ascii="Arial" w:hAnsi="Arial" w:cs="Arial"/>
          <w:bCs/>
          <w:color w:val="000000"/>
          <w:sz w:val="26"/>
          <w:szCs w:val="26"/>
          <w:lang w:val="es-MX"/>
        </w:rPr>
        <w:t>,</w:t>
      </w:r>
      <w:r w:rsidR="00507171">
        <w:rPr>
          <w:rFonts w:ascii="Arial" w:hAnsi="Arial" w:cs="Arial"/>
          <w:bCs/>
          <w:color w:val="000000"/>
          <w:sz w:val="26"/>
          <w:szCs w:val="26"/>
          <w:lang w:val="es-MX"/>
        </w:rPr>
        <w:t xml:space="preserve"> dada la </w:t>
      </w:r>
      <w:r w:rsidR="008E25B8">
        <w:rPr>
          <w:rFonts w:ascii="Arial" w:hAnsi="Arial" w:cs="Arial"/>
          <w:bCs/>
          <w:color w:val="000000"/>
          <w:sz w:val="26"/>
          <w:szCs w:val="26"/>
          <w:lang w:val="es-MX"/>
        </w:rPr>
        <w:t xml:space="preserve">firmeza </w:t>
      </w:r>
      <w:r w:rsidR="002101C6">
        <w:rPr>
          <w:rFonts w:ascii="Arial" w:hAnsi="Arial" w:cs="Arial"/>
          <w:bCs/>
          <w:color w:val="000000"/>
          <w:sz w:val="26"/>
          <w:szCs w:val="26"/>
          <w:lang w:val="es-MX"/>
        </w:rPr>
        <w:t>de la sentencia</w:t>
      </w:r>
      <w:r w:rsidR="008F4484">
        <w:rPr>
          <w:rFonts w:ascii="Arial" w:hAnsi="Arial" w:cs="Arial"/>
          <w:bCs/>
          <w:color w:val="000000"/>
          <w:sz w:val="26"/>
          <w:szCs w:val="26"/>
          <w:lang w:val="es-MX"/>
        </w:rPr>
        <w:t>; consecuentemente</w:t>
      </w:r>
      <w:r w:rsidR="008E25B8">
        <w:rPr>
          <w:rFonts w:ascii="Arial" w:hAnsi="Arial" w:cs="Arial"/>
          <w:bCs/>
          <w:color w:val="000000"/>
          <w:sz w:val="26"/>
          <w:szCs w:val="26"/>
          <w:lang w:val="es-MX"/>
        </w:rPr>
        <w:t>, la</w:t>
      </w:r>
      <w:r w:rsidR="004324D9">
        <w:rPr>
          <w:rFonts w:ascii="Arial" w:hAnsi="Arial" w:cs="Arial"/>
          <w:bCs/>
          <w:color w:val="000000"/>
          <w:sz w:val="26"/>
          <w:szCs w:val="26"/>
          <w:lang w:val="es-MX"/>
        </w:rPr>
        <w:t xml:space="preserve"> resolución de fecha 12 doce de mayo de 2019 dos mil diecinueve dictada por la Tercera Sala Unitaria de Primera Instancia</w:t>
      </w:r>
      <w:r w:rsidR="001957CC">
        <w:rPr>
          <w:rFonts w:ascii="Arial" w:eastAsia="Calibri" w:hAnsi="Arial" w:cs="Arial"/>
          <w:sz w:val="26"/>
          <w:szCs w:val="26"/>
        </w:rPr>
        <w:t xml:space="preserve"> </w:t>
      </w:r>
      <w:r w:rsidR="00093DB6">
        <w:rPr>
          <w:rFonts w:ascii="Arial" w:eastAsia="Calibri" w:hAnsi="Arial" w:cs="Arial"/>
          <w:sz w:val="26"/>
          <w:szCs w:val="26"/>
        </w:rPr>
        <w:t>fue</w:t>
      </w:r>
      <w:r w:rsidR="008F4484">
        <w:rPr>
          <w:rFonts w:ascii="Arial" w:eastAsia="Calibri" w:hAnsi="Arial" w:cs="Arial"/>
          <w:sz w:val="26"/>
          <w:szCs w:val="26"/>
        </w:rPr>
        <w:t xml:space="preserve"> solamente</w:t>
      </w:r>
      <w:r w:rsidR="006D01A0" w:rsidRPr="008E25B8">
        <w:rPr>
          <w:rFonts w:ascii="Arial" w:eastAsia="Calibri" w:hAnsi="Arial" w:cs="Arial"/>
          <w:sz w:val="26"/>
          <w:szCs w:val="26"/>
        </w:rPr>
        <w:t xml:space="preserve"> </w:t>
      </w:r>
      <w:r w:rsidR="00302F18" w:rsidRPr="008E25B8">
        <w:rPr>
          <w:rFonts w:ascii="Arial" w:eastAsia="Calibri" w:hAnsi="Arial" w:cs="Arial"/>
          <w:sz w:val="26"/>
          <w:szCs w:val="26"/>
        </w:rPr>
        <w:t>la</w:t>
      </w:r>
      <w:r w:rsidR="00302F18" w:rsidRPr="008E25B8">
        <w:rPr>
          <w:rFonts w:ascii="Arial" w:eastAsia="Calibri" w:hAnsi="Arial" w:cs="Arial"/>
          <w:b/>
          <w:sz w:val="26"/>
          <w:szCs w:val="26"/>
        </w:rPr>
        <w:t xml:space="preserve"> ac</w:t>
      </w:r>
      <w:r w:rsidR="00167BEB">
        <w:rPr>
          <w:rFonts w:ascii="Arial" w:eastAsia="Calibri" w:hAnsi="Arial" w:cs="Arial"/>
          <w:b/>
          <w:sz w:val="26"/>
          <w:szCs w:val="26"/>
        </w:rPr>
        <w:t xml:space="preserve">tualización de las </w:t>
      </w:r>
      <w:r w:rsidR="00167BEB">
        <w:rPr>
          <w:rFonts w:ascii="Arial" w:eastAsia="Calibri" w:hAnsi="Arial" w:cs="Arial"/>
          <w:b/>
          <w:sz w:val="26"/>
          <w:szCs w:val="26"/>
        </w:rPr>
        <w:lastRenderedPageBreak/>
        <w:t>cantidades lí</w:t>
      </w:r>
      <w:r w:rsidR="00302F18" w:rsidRPr="008E25B8">
        <w:rPr>
          <w:rFonts w:ascii="Arial" w:eastAsia="Calibri" w:hAnsi="Arial" w:cs="Arial"/>
          <w:b/>
          <w:sz w:val="26"/>
          <w:szCs w:val="26"/>
        </w:rPr>
        <w:t>quidas</w:t>
      </w:r>
      <w:r w:rsidR="00107326">
        <w:rPr>
          <w:rFonts w:ascii="Arial" w:eastAsia="Calibri" w:hAnsi="Arial" w:cs="Arial"/>
          <w:b/>
          <w:i/>
          <w:sz w:val="26"/>
          <w:szCs w:val="26"/>
        </w:rPr>
        <w:t xml:space="preserve"> </w:t>
      </w:r>
      <w:r w:rsidR="00107326" w:rsidRPr="00107326">
        <w:rPr>
          <w:rFonts w:ascii="Arial" w:eastAsia="Calibri" w:hAnsi="Arial" w:cs="Arial"/>
          <w:sz w:val="26"/>
          <w:szCs w:val="26"/>
        </w:rPr>
        <w:t xml:space="preserve">condenadas en la citada </w:t>
      </w:r>
      <w:r w:rsidR="008E25B8" w:rsidRPr="00107326">
        <w:rPr>
          <w:rFonts w:ascii="Arial" w:eastAsia="Calibri" w:hAnsi="Arial" w:cs="Arial"/>
          <w:sz w:val="26"/>
          <w:szCs w:val="26"/>
        </w:rPr>
        <w:t>resolución</w:t>
      </w:r>
      <w:r w:rsidR="008E25B8" w:rsidRPr="00107326">
        <w:rPr>
          <w:rFonts w:ascii="Arial" w:eastAsia="Calibri" w:hAnsi="Arial" w:cs="Arial"/>
          <w:i/>
          <w:sz w:val="26"/>
          <w:szCs w:val="26"/>
        </w:rPr>
        <w:t xml:space="preserve"> </w:t>
      </w:r>
      <w:r w:rsidR="008E25B8" w:rsidRPr="008E25B8">
        <w:rPr>
          <w:rFonts w:ascii="Arial" w:eastAsia="Calibri" w:hAnsi="Arial" w:cs="Arial"/>
          <w:sz w:val="26"/>
          <w:szCs w:val="26"/>
        </w:rPr>
        <w:t>de</w:t>
      </w:r>
      <w:r w:rsidR="006D01A0" w:rsidRPr="006D01A0">
        <w:rPr>
          <w:rFonts w:ascii="Arial" w:eastAsia="Calibri" w:hAnsi="Arial" w:cs="Arial"/>
          <w:sz w:val="26"/>
          <w:szCs w:val="26"/>
        </w:rPr>
        <w:t xml:space="preserve"> fecha 12 doce de junio de 2015 dos mil quince </w:t>
      </w:r>
      <w:r w:rsidR="00107326">
        <w:rPr>
          <w:rFonts w:ascii="Arial" w:eastAsia="Calibri" w:hAnsi="Arial" w:cs="Arial"/>
          <w:sz w:val="26"/>
          <w:szCs w:val="26"/>
        </w:rPr>
        <w:t xml:space="preserve">emitida </w:t>
      </w:r>
      <w:r w:rsidR="006D01A0" w:rsidRPr="006D01A0">
        <w:rPr>
          <w:rFonts w:ascii="Arial" w:eastAsia="Calibri" w:hAnsi="Arial" w:cs="Arial"/>
          <w:sz w:val="26"/>
          <w:szCs w:val="26"/>
        </w:rPr>
        <w:t>por la</w:t>
      </w:r>
      <w:r w:rsidR="006D01A0">
        <w:rPr>
          <w:rFonts w:ascii="Arial" w:eastAsia="Calibri" w:hAnsi="Arial" w:cs="Arial"/>
          <w:i/>
          <w:sz w:val="26"/>
          <w:szCs w:val="26"/>
        </w:rPr>
        <w:t xml:space="preserve"> </w:t>
      </w:r>
      <w:r w:rsidR="006D01A0" w:rsidRPr="00A92020">
        <w:rPr>
          <w:rFonts w:ascii="Arial" w:hAnsi="Arial" w:cs="Arial"/>
          <w:bCs/>
          <w:color w:val="000000"/>
          <w:sz w:val="26"/>
          <w:szCs w:val="26"/>
          <w:lang w:val="es-MX"/>
        </w:rPr>
        <w:t>Sala Superior del otrora Tribunal de lo Contencioso Administrativo del Poder Judicial del Estado de Oaxaca</w:t>
      </w:r>
      <w:r w:rsidR="008F4484">
        <w:rPr>
          <w:rFonts w:ascii="Arial" w:eastAsia="Calibri" w:hAnsi="Arial" w:cs="Arial"/>
          <w:sz w:val="26"/>
          <w:szCs w:val="26"/>
        </w:rPr>
        <w:t>.</w:t>
      </w:r>
    </w:p>
    <w:p w:rsidR="00107326" w:rsidRPr="00107326" w:rsidRDefault="00107326" w:rsidP="006D01A0">
      <w:pPr>
        <w:pStyle w:val="Sinespaciado"/>
        <w:spacing w:line="360" w:lineRule="auto"/>
        <w:jc w:val="both"/>
        <w:rPr>
          <w:rFonts w:ascii="Arial" w:hAnsi="Arial" w:cs="Arial"/>
          <w:bCs/>
          <w:color w:val="000000"/>
          <w:sz w:val="26"/>
          <w:szCs w:val="26"/>
          <w:lang w:val="es-MX"/>
        </w:rPr>
      </w:pPr>
      <w:r w:rsidRPr="00107326">
        <w:rPr>
          <w:rFonts w:ascii="Arial" w:eastAsia="Calibri" w:hAnsi="Arial" w:cs="Arial"/>
          <w:b/>
          <w:i/>
          <w:sz w:val="26"/>
          <w:szCs w:val="26"/>
        </w:rPr>
        <w:t xml:space="preserve">      </w:t>
      </w:r>
    </w:p>
    <w:p w:rsidR="00D81BE8" w:rsidRPr="00167BEB" w:rsidRDefault="00167BEB" w:rsidP="00167BEB">
      <w:pPr>
        <w:spacing w:line="360" w:lineRule="auto"/>
        <w:jc w:val="both"/>
      </w:pPr>
      <w:r>
        <w:rPr>
          <w:rFonts w:ascii="Arial" w:eastAsia="Calibri" w:hAnsi="Arial" w:cs="Arial"/>
          <w:bCs/>
          <w:sz w:val="26"/>
          <w:szCs w:val="26"/>
        </w:rPr>
        <w:t xml:space="preserve">    </w:t>
      </w:r>
      <w:r w:rsidR="008F4484">
        <w:rPr>
          <w:rFonts w:ascii="Arial" w:eastAsia="Calibri" w:hAnsi="Arial" w:cs="Arial"/>
          <w:bCs/>
          <w:sz w:val="26"/>
          <w:szCs w:val="26"/>
        </w:rPr>
        <w:t>Además, es importante mencionar que también resultan inatendibles dichos agravios</w:t>
      </w:r>
      <w:r w:rsidR="00640741">
        <w:rPr>
          <w:rFonts w:ascii="Arial" w:hAnsi="Arial" w:cs="Arial"/>
          <w:bCs/>
          <w:color w:val="000000"/>
          <w:sz w:val="26"/>
          <w:szCs w:val="26"/>
        </w:rPr>
        <w:t>, por</w:t>
      </w:r>
      <w:r>
        <w:rPr>
          <w:rFonts w:ascii="Arial" w:hAnsi="Arial" w:cs="Arial"/>
          <w:bCs/>
          <w:color w:val="000000"/>
          <w:sz w:val="26"/>
          <w:szCs w:val="26"/>
        </w:rPr>
        <w:t>que no destruye</w:t>
      </w:r>
      <w:r w:rsidR="008F4484">
        <w:rPr>
          <w:rFonts w:ascii="Arial" w:hAnsi="Arial" w:cs="Arial"/>
          <w:bCs/>
          <w:color w:val="000000"/>
          <w:sz w:val="26"/>
          <w:szCs w:val="26"/>
        </w:rPr>
        <w:t>n</w:t>
      </w:r>
      <w:r w:rsidR="002E6D2E">
        <w:rPr>
          <w:rFonts w:ascii="Arial" w:eastAsia="Calibri" w:hAnsi="Arial" w:cs="Arial"/>
          <w:bCs/>
          <w:sz w:val="26"/>
          <w:szCs w:val="26"/>
        </w:rPr>
        <w:t xml:space="preserve"> eficazmente las verdaderas consideraciones vertidas por la primera instancia para cuantificar la actualización</w:t>
      </w:r>
      <w:r w:rsidR="00AC1D19">
        <w:rPr>
          <w:rFonts w:ascii="Arial" w:eastAsia="Calibri" w:hAnsi="Arial" w:cs="Arial"/>
          <w:bCs/>
          <w:sz w:val="26"/>
          <w:szCs w:val="26"/>
        </w:rPr>
        <w:t xml:space="preserve"> </w:t>
      </w:r>
      <w:r w:rsidR="002E6D2E">
        <w:rPr>
          <w:rFonts w:ascii="Arial" w:eastAsia="Calibri" w:hAnsi="Arial" w:cs="Arial"/>
          <w:bCs/>
          <w:sz w:val="26"/>
          <w:szCs w:val="26"/>
        </w:rPr>
        <w:t xml:space="preserve">de las prestaciones a que fue condenado a pagar el Honorable Ayuntamiento Constitucional del Municipio de Oaxaca de Juárez, Oaxaca, mediante resolución </w:t>
      </w:r>
      <w:r w:rsidR="00FE3977" w:rsidRPr="008E25B8">
        <w:rPr>
          <w:rFonts w:ascii="Arial" w:eastAsia="Calibri" w:hAnsi="Arial" w:cs="Arial"/>
          <w:sz w:val="26"/>
          <w:szCs w:val="26"/>
        </w:rPr>
        <w:t>de</w:t>
      </w:r>
      <w:r w:rsidR="00FE3977" w:rsidRPr="006D01A0">
        <w:rPr>
          <w:rFonts w:ascii="Arial" w:eastAsia="Calibri" w:hAnsi="Arial" w:cs="Arial"/>
          <w:sz w:val="26"/>
          <w:szCs w:val="26"/>
        </w:rPr>
        <w:t xml:space="preserve"> fecha 12 doce de junio de 2015 dos mil quince </w:t>
      </w:r>
      <w:r w:rsidR="00FE3977">
        <w:rPr>
          <w:rFonts w:ascii="Arial" w:eastAsia="Calibri" w:hAnsi="Arial" w:cs="Arial"/>
          <w:sz w:val="26"/>
          <w:szCs w:val="26"/>
        </w:rPr>
        <w:t xml:space="preserve">emitida </w:t>
      </w:r>
      <w:r w:rsidR="00FE3977" w:rsidRPr="006D01A0">
        <w:rPr>
          <w:rFonts w:ascii="Arial" w:eastAsia="Calibri" w:hAnsi="Arial" w:cs="Arial"/>
          <w:sz w:val="26"/>
          <w:szCs w:val="26"/>
        </w:rPr>
        <w:t>por la</w:t>
      </w:r>
      <w:r w:rsidR="00FE3977">
        <w:rPr>
          <w:rFonts w:ascii="Arial" w:eastAsia="Calibri" w:hAnsi="Arial" w:cs="Arial"/>
          <w:i/>
          <w:sz w:val="26"/>
          <w:szCs w:val="26"/>
        </w:rPr>
        <w:t xml:space="preserve"> </w:t>
      </w:r>
      <w:r w:rsidR="00FE3977" w:rsidRPr="00A92020">
        <w:rPr>
          <w:rFonts w:ascii="Arial" w:hAnsi="Arial" w:cs="Arial"/>
          <w:bCs/>
          <w:color w:val="000000"/>
          <w:sz w:val="26"/>
          <w:szCs w:val="26"/>
        </w:rPr>
        <w:t>Sala Superior del otrora Tribunal de lo Contencioso Administrativo del Poder Judicial del Estado de Oaxaca</w:t>
      </w:r>
      <w:r w:rsidR="00FE3977">
        <w:rPr>
          <w:rFonts w:ascii="Arial" w:eastAsia="Calibri" w:hAnsi="Arial" w:cs="Arial"/>
          <w:bCs/>
          <w:sz w:val="26"/>
          <w:szCs w:val="26"/>
        </w:rPr>
        <w:t>.</w:t>
      </w:r>
      <w:r w:rsidR="00AC1D19">
        <w:rPr>
          <w:rFonts w:ascii="Arial" w:eastAsia="Calibri" w:hAnsi="Arial" w:cs="Arial"/>
          <w:bCs/>
          <w:sz w:val="26"/>
          <w:szCs w:val="26"/>
        </w:rPr>
        <w:t xml:space="preserve"> </w:t>
      </w:r>
      <w:r w:rsidR="00640741">
        <w:rPr>
          <w:rFonts w:ascii="Arial" w:eastAsia="Calibri" w:hAnsi="Arial" w:cs="Arial"/>
          <w:bCs/>
          <w:sz w:val="26"/>
          <w:szCs w:val="26"/>
        </w:rPr>
        <w:t xml:space="preserve">      </w:t>
      </w:r>
      <w:r w:rsidR="00AC1D19">
        <w:rPr>
          <w:rFonts w:ascii="Arial" w:eastAsia="Calibri" w:hAnsi="Arial" w:cs="Arial"/>
          <w:bCs/>
          <w:sz w:val="26"/>
          <w:szCs w:val="26"/>
        </w:rPr>
        <w:t>–Visible de foja 2 a 20 del cuaderno de antecedentes remitido a esta Sala Superior-</w:t>
      </w:r>
    </w:p>
    <w:p w:rsidR="00D81BE8" w:rsidRPr="00D81BE8" w:rsidRDefault="00823350" w:rsidP="00D81BE8">
      <w:pPr>
        <w:pStyle w:val="Sinespaciado"/>
        <w:spacing w:after="120" w:line="360" w:lineRule="auto"/>
        <w:ind w:firstLine="705"/>
        <w:jc w:val="both"/>
        <w:rPr>
          <w:rFonts w:ascii="Arial" w:eastAsia="Times New Roman" w:hAnsi="Arial"/>
          <w:color w:val="000000" w:themeColor="text1"/>
          <w:sz w:val="26"/>
          <w:szCs w:val="26"/>
          <w:lang w:val="es-MX"/>
        </w:rPr>
      </w:pPr>
      <w:r>
        <w:rPr>
          <w:rFonts w:ascii="Arial" w:eastAsia="Calibri" w:hAnsi="Arial" w:cs="Arial"/>
          <w:bCs/>
          <w:sz w:val="26"/>
          <w:szCs w:val="26"/>
        </w:rPr>
        <w:t>Estas consideraciones encuentran sustento en</w:t>
      </w:r>
      <w:r w:rsidRPr="002B506D">
        <w:rPr>
          <w:rFonts w:ascii="Arial" w:hAnsi="Arial" w:cs="Arial"/>
          <w:bCs/>
          <w:color w:val="000000" w:themeColor="text1"/>
          <w:sz w:val="26"/>
          <w:szCs w:val="26"/>
          <w:lang w:val="es-MX"/>
        </w:rPr>
        <w:t xml:space="preserve"> la jurisprudencia </w:t>
      </w:r>
      <w:r w:rsidR="006D500F">
        <w:rPr>
          <w:rFonts w:ascii="Arial" w:eastAsia="Times New Roman" w:hAnsi="Arial"/>
          <w:color w:val="000000" w:themeColor="text1"/>
          <w:sz w:val="26"/>
          <w:szCs w:val="26"/>
          <w:lang w:val="es-MX"/>
        </w:rPr>
        <w:t xml:space="preserve">VI.A. J/8, de los </w:t>
      </w:r>
      <w:r w:rsidRPr="002B506D">
        <w:rPr>
          <w:rFonts w:ascii="Arial" w:eastAsia="Times New Roman" w:hAnsi="Arial"/>
          <w:color w:val="000000" w:themeColor="text1"/>
          <w:sz w:val="26"/>
          <w:szCs w:val="26"/>
          <w:lang w:val="es-MX"/>
        </w:rPr>
        <w:t>Tribunal</w:t>
      </w:r>
      <w:r w:rsidR="006D500F">
        <w:rPr>
          <w:rFonts w:ascii="Arial" w:eastAsia="Times New Roman" w:hAnsi="Arial"/>
          <w:color w:val="000000" w:themeColor="text1"/>
          <w:sz w:val="26"/>
          <w:szCs w:val="26"/>
          <w:lang w:val="es-MX"/>
        </w:rPr>
        <w:t>es</w:t>
      </w:r>
      <w:r w:rsidRPr="002B506D">
        <w:rPr>
          <w:rFonts w:ascii="Arial" w:eastAsia="Times New Roman" w:hAnsi="Arial"/>
          <w:color w:val="000000" w:themeColor="text1"/>
          <w:sz w:val="26"/>
          <w:szCs w:val="26"/>
          <w:lang w:val="es-MX"/>
        </w:rPr>
        <w:t xml:space="preserve"> Colegiado</w:t>
      </w:r>
      <w:r w:rsidR="006D500F">
        <w:rPr>
          <w:rFonts w:ascii="Arial" w:eastAsia="Times New Roman" w:hAnsi="Arial"/>
          <w:color w:val="000000" w:themeColor="text1"/>
          <w:sz w:val="26"/>
          <w:szCs w:val="26"/>
          <w:lang w:val="es-MX"/>
        </w:rPr>
        <w:t>s de</w:t>
      </w:r>
      <w:r w:rsidRPr="002B506D">
        <w:rPr>
          <w:rFonts w:ascii="Arial" w:eastAsia="Times New Roman" w:hAnsi="Arial"/>
          <w:color w:val="000000" w:themeColor="text1"/>
          <w:sz w:val="26"/>
          <w:szCs w:val="26"/>
          <w:lang w:val="es-MX"/>
        </w:rPr>
        <w:t xml:space="preserve"> Circuito, publicada en la Gaceta del Sema</w:t>
      </w:r>
      <w:r>
        <w:rPr>
          <w:rFonts w:ascii="Arial" w:eastAsia="Times New Roman" w:hAnsi="Arial"/>
          <w:color w:val="000000" w:themeColor="text1"/>
          <w:sz w:val="26"/>
          <w:szCs w:val="26"/>
          <w:lang w:val="es-MX"/>
        </w:rPr>
        <w:t xml:space="preserve">nario Judicial de la Federación, </w:t>
      </w:r>
      <w:r w:rsidR="006D500F">
        <w:rPr>
          <w:rFonts w:ascii="Arial" w:eastAsia="Times New Roman" w:hAnsi="Arial"/>
          <w:color w:val="000000" w:themeColor="text1"/>
          <w:sz w:val="26"/>
          <w:szCs w:val="26"/>
          <w:lang w:val="es-MX"/>
        </w:rPr>
        <w:t xml:space="preserve">Tomo XII, Agosto de 2000, visible a página 1022, </w:t>
      </w:r>
      <w:r w:rsidRPr="002B506D">
        <w:rPr>
          <w:rFonts w:ascii="Arial" w:eastAsia="Times New Roman" w:hAnsi="Arial"/>
          <w:color w:val="000000" w:themeColor="text1"/>
          <w:sz w:val="26"/>
          <w:szCs w:val="26"/>
          <w:lang w:val="es-MX"/>
        </w:rPr>
        <w:t xml:space="preserve">en la </w:t>
      </w:r>
      <w:r w:rsidR="006D500F">
        <w:rPr>
          <w:rFonts w:ascii="Arial" w:eastAsia="Times New Roman" w:hAnsi="Arial"/>
          <w:color w:val="000000" w:themeColor="text1"/>
          <w:sz w:val="26"/>
          <w:szCs w:val="26"/>
          <w:lang w:val="es-MX"/>
        </w:rPr>
        <w:t>Novena</w:t>
      </w:r>
      <w:r w:rsidRPr="002B506D">
        <w:rPr>
          <w:rFonts w:ascii="Arial" w:eastAsia="Times New Roman" w:hAnsi="Arial"/>
          <w:color w:val="000000" w:themeColor="text1"/>
          <w:sz w:val="26"/>
          <w:szCs w:val="26"/>
          <w:lang w:val="es-MX"/>
        </w:rPr>
        <w:t xml:space="preserve"> </w:t>
      </w:r>
      <w:r>
        <w:rPr>
          <w:rFonts w:ascii="Arial" w:eastAsia="Times New Roman" w:hAnsi="Arial"/>
          <w:color w:val="000000" w:themeColor="text1"/>
          <w:sz w:val="26"/>
          <w:szCs w:val="26"/>
          <w:lang w:val="es-MX"/>
        </w:rPr>
        <w:t>É</w:t>
      </w:r>
      <w:r w:rsidR="006D500F">
        <w:rPr>
          <w:rFonts w:ascii="Arial" w:eastAsia="Times New Roman" w:hAnsi="Arial"/>
          <w:color w:val="000000" w:themeColor="text1"/>
          <w:sz w:val="26"/>
          <w:szCs w:val="26"/>
          <w:lang w:val="es-MX"/>
        </w:rPr>
        <w:t>poca, Materias Administrativa, Común</w:t>
      </w:r>
      <w:r w:rsidRPr="002B506D">
        <w:rPr>
          <w:rFonts w:ascii="Arial" w:eastAsia="Times New Roman" w:hAnsi="Arial"/>
          <w:color w:val="000000" w:themeColor="text1"/>
          <w:sz w:val="26"/>
          <w:szCs w:val="26"/>
          <w:lang w:val="es-MX"/>
        </w:rPr>
        <w:t>, cuyo rubro y texto son el siguiente:</w:t>
      </w:r>
    </w:p>
    <w:p w:rsidR="00357444" w:rsidRPr="00A81995" w:rsidRDefault="006D500F" w:rsidP="00C06579">
      <w:pPr>
        <w:ind w:left="567" w:right="333"/>
        <w:jc w:val="both"/>
        <w:rPr>
          <w:rFonts w:ascii="Arial" w:eastAsia="Times New Roman" w:hAnsi="Arial" w:cs="Arial"/>
          <w:b/>
          <w:bCs/>
          <w:color w:val="000000"/>
          <w:sz w:val="24"/>
          <w:szCs w:val="26"/>
          <w:lang w:eastAsia="es-MX"/>
        </w:rPr>
      </w:pPr>
      <w:r w:rsidRPr="00A81995">
        <w:rPr>
          <w:rFonts w:ascii="Arial" w:eastAsia="Times New Roman" w:hAnsi="Arial" w:cs="Arial"/>
          <w:b/>
          <w:i/>
          <w:color w:val="000000" w:themeColor="text1"/>
          <w:sz w:val="20"/>
        </w:rPr>
        <w:t>“</w:t>
      </w:r>
      <w:r w:rsidR="00C06579" w:rsidRPr="00A81995">
        <w:rPr>
          <w:rFonts w:ascii="Arial" w:eastAsia="Times New Roman" w:hAnsi="Arial" w:cs="Arial"/>
          <w:b/>
          <w:bCs/>
          <w:i/>
          <w:color w:val="000000"/>
          <w:szCs w:val="24"/>
          <w:lang w:eastAsia="es-MX"/>
        </w:rPr>
        <w:t xml:space="preserve">AGRAVIOS EN LA REVISIÓN, SON INATENDIBLES LOS QUE YA FUERON OBJETO DE ANÁLISIS EN UNA EJECUTORIA ANTERIOR. </w:t>
      </w:r>
      <w:r w:rsidR="00C06579" w:rsidRPr="00A81995">
        <w:rPr>
          <w:rFonts w:ascii="Arial" w:eastAsia="Times New Roman" w:hAnsi="Arial" w:cs="Arial"/>
          <w:i/>
          <w:color w:val="000000"/>
          <w:szCs w:val="24"/>
          <w:lang w:eastAsia="es-MX"/>
        </w:rPr>
        <w:t>No pueden ser materia de la sentencia respectiva los argumentos que fueron expuestos en un diverso y anterior recurso de revisión, si los mismos ya fueron analizados por la potestad federal</w:t>
      </w:r>
      <w:r w:rsidR="00823350" w:rsidRPr="00A81995">
        <w:rPr>
          <w:rFonts w:ascii="Arial" w:eastAsia="Times New Roman" w:hAnsi="Arial" w:cs="Arial"/>
          <w:i/>
          <w:color w:val="000000" w:themeColor="text1"/>
          <w:szCs w:val="24"/>
        </w:rPr>
        <w:t>.”</w:t>
      </w:r>
    </w:p>
    <w:p w:rsidR="009455A9" w:rsidRDefault="009455A9" w:rsidP="004103A6">
      <w:pPr>
        <w:spacing w:line="360" w:lineRule="auto"/>
        <w:ind w:left="851" w:right="709"/>
        <w:jc w:val="both"/>
        <w:rPr>
          <w:rFonts w:ascii="Arial" w:eastAsia="Times New Roman" w:hAnsi="Arial"/>
          <w:i/>
          <w:color w:val="000000" w:themeColor="text1"/>
        </w:rPr>
      </w:pPr>
    </w:p>
    <w:p w:rsidR="009455A9" w:rsidRPr="0051369F" w:rsidRDefault="009455A9" w:rsidP="00C06579">
      <w:pPr>
        <w:spacing w:before="240" w:line="360" w:lineRule="auto"/>
        <w:ind w:firstLine="708"/>
        <w:jc w:val="both"/>
        <w:rPr>
          <w:rFonts w:ascii="Arial" w:hAnsi="Arial" w:cs="Arial"/>
          <w:bCs/>
          <w:color w:val="000000"/>
          <w:sz w:val="26"/>
          <w:szCs w:val="26"/>
        </w:rPr>
      </w:pPr>
      <w:r>
        <w:rPr>
          <w:rFonts w:ascii="Arial" w:eastAsia="Calibri" w:hAnsi="Arial" w:cs="Arial"/>
          <w:bCs/>
          <w:sz w:val="26"/>
          <w:szCs w:val="26"/>
        </w:rPr>
        <w:t>También tiene aplicaci</w:t>
      </w:r>
      <w:r w:rsidR="006D500F">
        <w:rPr>
          <w:rFonts w:ascii="Arial" w:eastAsia="Calibri" w:hAnsi="Arial" w:cs="Arial"/>
          <w:bCs/>
          <w:sz w:val="26"/>
          <w:szCs w:val="26"/>
        </w:rPr>
        <w:t>ón la Jurisprudencia 696, de los Tribunales Colegiados de Circuito,</w:t>
      </w:r>
      <w:r>
        <w:rPr>
          <w:rFonts w:ascii="Arial" w:eastAsia="Calibri" w:hAnsi="Arial" w:cs="Arial"/>
          <w:bCs/>
          <w:sz w:val="26"/>
          <w:szCs w:val="26"/>
        </w:rPr>
        <w:t xml:space="preserve"> publicada en el Semanario Judicial de la </w:t>
      </w:r>
      <w:r w:rsidR="006D500F">
        <w:rPr>
          <w:rFonts w:ascii="Arial" w:eastAsia="Calibri" w:hAnsi="Arial" w:cs="Arial"/>
          <w:bCs/>
          <w:sz w:val="26"/>
          <w:szCs w:val="26"/>
        </w:rPr>
        <w:t>Federación y su Gaceta, Apéndice de 1995, Tomo VI, Parte TCC, visible a página 468, Octava</w:t>
      </w:r>
      <w:r>
        <w:rPr>
          <w:rFonts w:ascii="Arial" w:eastAsia="Calibri" w:hAnsi="Arial" w:cs="Arial"/>
          <w:bCs/>
          <w:sz w:val="26"/>
          <w:szCs w:val="26"/>
        </w:rPr>
        <w:t xml:space="preserve"> </w:t>
      </w:r>
      <w:r w:rsidRPr="00550202">
        <w:rPr>
          <w:rFonts w:ascii="Arial" w:hAnsi="Arial" w:cs="Arial"/>
          <w:bCs/>
          <w:color w:val="000000"/>
          <w:sz w:val="26"/>
          <w:szCs w:val="26"/>
        </w:rPr>
        <w:t>Época, Materia Común, baj</w:t>
      </w:r>
      <w:r>
        <w:rPr>
          <w:rFonts w:ascii="Arial" w:hAnsi="Arial" w:cs="Arial"/>
          <w:bCs/>
          <w:color w:val="000000"/>
          <w:sz w:val="26"/>
          <w:szCs w:val="26"/>
        </w:rPr>
        <w:t xml:space="preserve">o el rubro y texto siguientes: </w:t>
      </w:r>
    </w:p>
    <w:p w:rsidR="00114A79" w:rsidRPr="00A81995" w:rsidRDefault="006D500F" w:rsidP="00C06579">
      <w:pPr>
        <w:ind w:left="567" w:right="333"/>
        <w:jc w:val="both"/>
        <w:rPr>
          <w:rFonts w:ascii="Arial" w:eastAsia="Times New Roman" w:hAnsi="Arial" w:cs="Arial"/>
          <w:b/>
          <w:bCs/>
          <w:i/>
          <w:color w:val="000000"/>
          <w:szCs w:val="24"/>
          <w:lang w:eastAsia="es-MX"/>
        </w:rPr>
      </w:pPr>
      <w:r w:rsidRPr="00A81995">
        <w:rPr>
          <w:rFonts w:ascii="Arial" w:eastAsia="Times New Roman" w:hAnsi="Arial" w:cs="Arial"/>
          <w:b/>
          <w:bCs/>
          <w:i/>
          <w:color w:val="000000"/>
          <w:szCs w:val="24"/>
          <w:lang w:eastAsia="es-MX"/>
        </w:rPr>
        <w:t>“</w:t>
      </w:r>
      <w:r w:rsidR="00C06579" w:rsidRPr="00A81995">
        <w:rPr>
          <w:rFonts w:ascii="Arial" w:eastAsia="Times New Roman" w:hAnsi="Arial" w:cs="Arial"/>
          <w:b/>
          <w:bCs/>
          <w:i/>
          <w:color w:val="000000"/>
          <w:szCs w:val="24"/>
          <w:lang w:eastAsia="es-MX"/>
        </w:rPr>
        <w:t xml:space="preserve">CONCEPTOS DE VIOLACION INATENDIBLES CUANDO ATACAN LA EJECUTORIA PRONUNCIADA POR UN TRIBUNAL COLEGIADO DE CIRCUITO. </w:t>
      </w:r>
      <w:r w:rsidR="00C06579" w:rsidRPr="00A81995">
        <w:rPr>
          <w:rFonts w:ascii="Arial" w:eastAsia="Times New Roman" w:hAnsi="Arial" w:cs="Arial"/>
          <w:i/>
          <w:color w:val="000000"/>
          <w:szCs w:val="24"/>
          <w:lang w:eastAsia="es-MX"/>
        </w:rPr>
        <w:t>Si en la ejecutoria pronunciada en el juicio de amparo, el Tribunal Colegiado de Circuito ya se pronunció sobre determinado punto, los conceptos de violación formulados en una nueva demanda de amparo que ataquen la decisión que al respecto se haya sustentado, resultan inatendibles, pues esta decisión no puede ser cuestionada ni modificada dada la firmeza de las sentencias que pronuncie aquella potestad federal al conocer de los juicios de garantías.</w:t>
      </w:r>
      <w:r w:rsidR="009455A9" w:rsidRPr="00A81995">
        <w:rPr>
          <w:rFonts w:ascii="Arial" w:eastAsia="Times New Roman" w:hAnsi="Arial" w:cs="Arial"/>
          <w:i/>
          <w:color w:val="000000"/>
          <w:szCs w:val="24"/>
          <w:lang w:eastAsia="es-MX"/>
        </w:rPr>
        <w:t>”.</w:t>
      </w:r>
    </w:p>
    <w:p w:rsidR="00EF4A6F" w:rsidRPr="00A81995" w:rsidRDefault="00EF4A6F" w:rsidP="009455A9">
      <w:pPr>
        <w:tabs>
          <w:tab w:val="left" w:pos="2410"/>
        </w:tabs>
        <w:spacing w:line="360" w:lineRule="auto"/>
        <w:ind w:left="709" w:right="900"/>
        <w:jc w:val="both"/>
        <w:rPr>
          <w:rFonts w:ascii="Arial" w:eastAsia="Times New Roman" w:hAnsi="Arial" w:cs="Arial"/>
          <w:b/>
          <w:bCs/>
          <w:i/>
          <w:color w:val="000000"/>
          <w:sz w:val="20"/>
          <w:lang w:eastAsia="es-MX"/>
        </w:rPr>
      </w:pPr>
    </w:p>
    <w:p w:rsidR="00D81BE8" w:rsidRDefault="00295F89" w:rsidP="00357444">
      <w:pPr>
        <w:pStyle w:val="Sinespaciado"/>
        <w:spacing w:line="360" w:lineRule="auto"/>
        <w:ind w:right="49" w:firstLine="708"/>
        <w:jc w:val="both"/>
        <w:rPr>
          <w:rFonts w:ascii="Arial" w:hAnsi="Arial" w:cs="Arial"/>
          <w:sz w:val="26"/>
          <w:szCs w:val="26"/>
          <w:lang w:val="es-MX"/>
        </w:rPr>
      </w:pPr>
      <w:r>
        <w:rPr>
          <w:rFonts w:ascii="Arial" w:hAnsi="Arial" w:cs="Arial"/>
          <w:sz w:val="26"/>
          <w:szCs w:val="26"/>
        </w:rPr>
        <w:t xml:space="preserve">Ante lo </w:t>
      </w:r>
      <w:r w:rsidR="00AC1D19" w:rsidRPr="00AC1D19">
        <w:rPr>
          <w:rFonts w:ascii="Arial" w:hAnsi="Arial" w:cs="Arial"/>
          <w:b/>
          <w:sz w:val="26"/>
          <w:szCs w:val="26"/>
        </w:rPr>
        <w:t xml:space="preserve">infundados </w:t>
      </w:r>
      <w:r w:rsidR="00AC1D19">
        <w:rPr>
          <w:rFonts w:ascii="Arial" w:hAnsi="Arial" w:cs="Arial"/>
          <w:sz w:val="26"/>
          <w:szCs w:val="26"/>
        </w:rPr>
        <w:t xml:space="preserve">e </w:t>
      </w:r>
      <w:r w:rsidR="006D500F">
        <w:rPr>
          <w:rFonts w:ascii="Arial" w:hAnsi="Arial" w:cs="Arial"/>
          <w:b/>
          <w:sz w:val="26"/>
          <w:szCs w:val="26"/>
        </w:rPr>
        <w:t>inatendible</w:t>
      </w:r>
      <w:r w:rsidR="00AC1D19">
        <w:rPr>
          <w:rFonts w:ascii="Arial" w:hAnsi="Arial" w:cs="Arial"/>
          <w:b/>
          <w:sz w:val="26"/>
          <w:szCs w:val="26"/>
        </w:rPr>
        <w:t>s</w:t>
      </w:r>
      <w:r w:rsidR="006D500F">
        <w:rPr>
          <w:rFonts w:ascii="Arial" w:hAnsi="Arial" w:cs="Arial"/>
          <w:b/>
          <w:sz w:val="26"/>
          <w:szCs w:val="26"/>
        </w:rPr>
        <w:t xml:space="preserve"> </w:t>
      </w:r>
      <w:r>
        <w:rPr>
          <w:rFonts w:ascii="Arial" w:hAnsi="Arial" w:cs="Arial"/>
          <w:sz w:val="26"/>
          <w:szCs w:val="26"/>
        </w:rPr>
        <w:t xml:space="preserve">de los agravios expuestos </w:t>
      </w:r>
      <w:r w:rsidR="00622FF5">
        <w:rPr>
          <w:rFonts w:ascii="Arial" w:hAnsi="Arial" w:cs="Arial"/>
          <w:sz w:val="26"/>
          <w:szCs w:val="26"/>
        </w:rPr>
        <w:t xml:space="preserve">por la autoridad recurrente, procede a </w:t>
      </w:r>
      <w:r w:rsidR="006D500F">
        <w:rPr>
          <w:rFonts w:ascii="Arial" w:hAnsi="Arial" w:cs="Arial"/>
          <w:b/>
          <w:sz w:val="26"/>
          <w:szCs w:val="26"/>
        </w:rPr>
        <w:t>CONFIRMAR</w:t>
      </w:r>
      <w:r w:rsidR="00622FF5">
        <w:rPr>
          <w:rFonts w:ascii="Arial" w:hAnsi="Arial" w:cs="Arial"/>
          <w:b/>
          <w:sz w:val="26"/>
          <w:szCs w:val="26"/>
        </w:rPr>
        <w:t xml:space="preserve"> </w:t>
      </w:r>
      <w:r w:rsidR="00622FF5">
        <w:rPr>
          <w:rFonts w:ascii="Arial" w:hAnsi="Arial" w:cs="Arial"/>
          <w:sz w:val="26"/>
          <w:szCs w:val="26"/>
        </w:rPr>
        <w:t xml:space="preserve">la resolución dictada </w:t>
      </w:r>
      <w:r w:rsidR="006D500F">
        <w:rPr>
          <w:rFonts w:ascii="Arial" w:hAnsi="Arial" w:cs="Arial"/>
          <w:sz w:val="26"/>
          <w:szCs w:val="26"/>
        </w:rPr>
        <w:t xml:space="preserve">por la Tercera Sala Unitaria de Primera Instancia de este Tribunal </w:t>
      </w:r>
      <w:r w:rsidR="00622FF5">
        <w:rPr>
          <w:rFonts w:ascii="Arial" w:hAnsi="Arial" w:cs="Arial"/>
          <w:sz w:val="26"/>
          <w:szCs w:val="26"/>
        </w:rPr>
        <w:t xml:space="preserve">el </w:t>
      </w:r>
      <w:r w:rsidR="003179C3">
        <w:rPr>
          <w:rFonts w:ascii="Arial" w:eastAsia="Calibri" w:hAnsi="Arial" w:cs="Arial"/>
          <w:sz w:val="26"/>
          <w:szCs w:val="26"/>
        </w:rPr>
        <w:t>12 doce de mayo de 2019 dos mil diecinueve</w:t>
      </w:r>
      <w:r>
        <w:rPr>
          <w:rFonts w:ascii="Arial" w:hAnsi="Arial" w:cs="Arial"/>
          <w:sz w:val="26"/>
          <w:szCs w:val="26"/>
        </w:rPr>
        <w:t>; en consecuencia,</w:t>
      </w:r>
      <w:r>
        <w:rPr>
          <w:rFonts w:ascii="Arial" w:eastAsia="Calibri" w:hAnsi="Arial" w:cs="Arial"/>
          <w:sz w:val="26"/>
          <w:szCs w:val="26"/>
        </w:rPr>
        <w:t xml:space="preserve"> con </w:t>
      </w:r>
      <w:r>
        <w:rPr>
          <w:rFonts w:ascii="Arial" w:eastAsia="Calibri" w:hAnsi="Arial" w:cs="Arial"/>
          <w:sz w:val="26"/>
          <w:szCs w:val="26"/>
        </w:rPr>
        <w:lastRenderedPageBreak/>
        <w:t xml:space="preserve">fundamento en los artículos </w:t>
      </w:r>
      <w:r>
        <w:rPr>
          <w:rFonts w:ascii="Arial" w:hAnsi="Arial" w:cs="Arial"/>
          <w:sz w:val="26"/>
          <w:szCs w:val="26"/>
        </w:rPr>
        <w:t xml:space="preserve">207 y 208 de la Ley de Justicia Administrativa para el Estado, </w:t>
      </w:r>
      <w:r w:rsidR="00357444">
        <w:rPr>
          <w:rFonts w:ascii="Arial" w:hAnsi="Arial" w:cs="Arial"/>
          <w:sz w:val="26"/>
          <w:szCs w:val="26"/>
        </w:rPr>
        <w:t xml:space="preserve">vigente hasta el veinte de octubre de dos mil diecisiete, </w:t>
      </w:r>
      <w:r>
        <w:rPr>
          <w:rFonts w:ascii="Arial" w:hAnsi="Arial" w:cs="Arial"/>
          <w:sz w:val="26"/>
          <w:szCs w:val="26"/>
        </w:rPr>
        <w:t>se</w:t>
      </w:r>
      <w:r w:rsidR="00D81BE8">
        <w:rPr>
          <w:rFonts w:ascii="Arial" w:hAnsi="Arial" w:cs="Arial"/>
          <w:sz w:val="26"/>
          <w:szCs w:val="26"/>
          <w:lang w:val="es-MX"/>
        </w:rPr>
        <w:t>:</w:t>
      </w:r>
    </w:p>
    <w:p w:rsidR="00D81BE8" w:rsidRDefault="00D81BE8" w:rsidP="00845625">
      <w:pPr>
        <w:pStyle w:val="Sinespaciado"/>
        <w:spacing w:line="360" w:lineRule="auto"/>
        <w:ind w:right="49"/>
        <w:jc w:val="both"/>
        <w:rPr>
          <w:rFonts w:ascii="Arial" w:hAnsi="Arial" w:cs="Arial"/>
          <w:sz w:val="26"/>
          <w:szCs w:val="26"/>
          <w:lang w:val="es-MX"/>
        </w:rPr>
      </w:pPr>
      <w:r>
        <w:rPr>
          <w:rFonts w:ascii="Arial" w:hAnsi="Arial" w:cs="Arial"/>
          <w:sz w:val="26"/>
          <w:szCs w:val="26"/>
          <w:lang w:val="es-MX"/>
        </w:rPr>
        <w:t xml:space="preserve"> </w:t>
      </w:r>
    </w:p>
    <w:p w:rsidR="00D81BE8" w:rsidRDefault="00094BEF" w:rsidP="00D81BE8">
      <w:pPr>
        <w:pStyle w:val="Sinespaciado"/>
        <w:spacing w:line="360" w:lineRule="auto"/>
        <w:ind w:right="49"/>
        <w:jc w:val="center"/>
        <w:rPr>
          <w:rFonts w:ascii="Arial" w:hAnsi="Arial" w:cs="Arial"/>
          <w:b/>
          <w:color w:val="000000"/>
          <w:sz w:val="26"/>
          <w:szCs w:val="26"/>
        </w:rPr>
      </w:pPr>
      <w:r w:rsidRPr="000313E8">
        <w:rPr>
          <w:rFonts w:ascii="Arial" w:hAnsi="Arial" w:cs="Arial"/>
          <w:b/>
          <w:color w:val="000000"/>
          <w:sz w:val="26"/>
          <w:szCs w:val="26"/>
        </w:rPr>
        <w:t>R E S U E L V E</w:t>
      </w:r>
    </w:p>
    <w:p w:rsidR="00D81BE8" w:rsidRDefault="00D81BE8" w:rsidP="00845625">
      <w:pPr>
        <w:pStyle w:val="Sinespaciado"/>
        <w:spacing w:line="360" w:lineRule="auto"/>
        <w:ind w:right="49"/>
        <w:jc w:val="both"/>
        <w:rPr>
          <w:rFonts w:ascii="Arial" w:hAnsi="Arial" w:cs="Arial"/>
          <w:b/>
          <w:color w:val="000000"/>
          <w:sz w:val="26"/>
          <w:szCs w:val="26"/>
        </w:rPr>
      </w:pPr>
    </w:p>
    <w:p w:rsidR="00D81BE8" w:rsidRDefault="00094BEF" w:rsidP="00D81BE8">
      <w:pPr>
        <w:pStyle w:val="Sinespaciado"/>
        <w:spacing w:line="360" w:lineRule="auto"/>
        <w:ind w:right="49" w:firstLine="708"/>
        <w:jc w:val="both"/>
        <w:rPr>
          <w:rFonts w:ascii="Arial" w:hAnsi="Arial" w:cs="Arial"/>
          <w:color w:val="000000"/>
          <w:sz w:val="26"/>
          <w:szCs w:val="26"/>
          <w:lang w:val="es-MX"/>
        </w:rPr>
      </w:pPr>
      <w:r w:rsidRPr="000313E8">
        <w:rPr>
          <w:rFonts w:ascii="Arial" w:hAnsi="Arial" w:cs="Arial"/>
          <w:b/>
          <w:color w:val="000000"/>
          <w:sz w:val="26"/>
          <w:szCs w:val="26"/>
        </w:rPr>
        <w:t>PRIMERO</w:t>
      </w:r>
      <w:r w:rsidRPr="000313E8">
        <w:rPr>
          <w:rFonts w:ascii="Arial" w:hAnsi="Arial" w:cs="Arial"/>
          <w:color w:val="000000"/>
          <w:sz w:val="26"/>
          <w:szCs w:val="26"/>
        </w:rPr>
        <w:t xml:space="preserve">. </w:t>
      </w:r>
      <w:r w:rsidRPr="000313E8">
        <w:rPr>
          <w:rFonts w:ascii="Arial" w:hAnsi="Arial" w:cs="Arial"/>
          <w:color w:val="000000"/>
          <w:sz w:val="26"/>
          <w:szCs w:val="26"/>
          <w:lang w:val="es-MX"/>
        </w:rPr>
        <w:t xml:space="preserve">Se </w:t>
      </w:r>
      <w:r w:rsidR="00757C79">
        <w:rPr>
          <w:rFonts w:ascii="Arial" w:hAnsi="Arial" w:cs="Arial"/>
          <w:b/>
          <w:color w:val="000000"/>
          <w:sz w:val="26"/>
          <w:szCs w:val="26"/>
          <w:lang w:val="es-MX"/>
        </w:rPr>
        <w:t>CONFIRMA</w:t>
      </w:r>
      <w:r w:rsidRPr="000313E8">
        <w:rPr>
          <w:rFonts w:ascii="Arial" w:hAnsi="Arial" w:cs="Arial"/>
          <w:sz w:val="26"/>
          <w:szCs w:val="26"/>
          <w:lang w:val="es-MX"/>
        </w:rPr>
        <w:t xml:space="preserve"> </w:t>
      </w:r>
      <w:r w:rsidRPr="000313E8">
        <w:rPr>
          <w:rFonts w:ascii="Arial" w:eastAsia="Calibri" w:hAnsi="Arial" w:cs="Arial"/>
          <w:sz w:val="26"/>
          <w:szCs w:val="26"/>
        </w:rPr>
        <w:t>la resolución</w:t>
      </w:r>
      <w:r w:rsidR="00295F89">
        <w:rPr>
          <w:rFonts w:ascii="Arial" w:eastAsia="Calibri" w:hAnsi="Arial" w:cs="Arial"/>
          <w:sz w:val="26"/>
          <w:szCs w:val="26"/>
        </w:rPr>
        <w:t xml:space="preserve"> recurrida</w:t>
      </w:r>
      <w:r w:rsidRPr="000313E8">
        <w:rPr>
          <w:rFonts w:ascii="Arial" w:eastAsia="Calibri" w:hAnsi="Arial" w:cs="Arial"/>
          <w:sz w:val="26"/>
          <w:szCs w:val="26"/>
        </w:rPr>
        <w:t xml:space="preserve">, </w:t>
      </w:r>
      <w:r w:rsidR="00D11044">
        <w:rPr>
          <w:rFonts w:ascii="Arial" w:eastAsia="Calibri" w:hAnsi="Arial" w:cs="Arial"/>
          <w:sz w:val="26"/>
          <w:szCs w:val="26"/>
        </w:rPr>
        <w:t>en los términos expuest</w:t>
      </w:r>
      <w:r w:rsidR="003179C3">
        <w:rPr>
          <w:rFonts w:ascii="Arial" w:eastAsia="Calibri" w:hAnsi="Arial" w:cs="Arial"/>
          <w:sz w:val="26"/>
          <w:szCs w:val="26"/>
        </w:rPr>
        <w:t>os en</w:t>
      </w:r>
      <w:r w:rsidR="00D11044">
        <w:rPr>
          <w:rFonts w:ascii="Arial" w:eastAsia="Calibri" w:hAnsi="Arial" w:cs="Arial"/>
          <w:sz w:val="26"/>
          <w:szCs w:val="26"/>
        </w:rPr>
        <w:t xml:space="preserve"> esta resolución</w:t>
      </w:r>
      <w:r w:rsidR="00D81BE8">
        <w:rPr>
          <w:rFonts w:ascii="Arial" w:hAnsi="Arial" w:cs="Arial"/>
          <w:color w:val="000000"/>
          <w:sz w:val="26"/>
          <w:szCs w:val="26"/>
          <w:lang w:val="es-MX"/>
        </w:rPr>
        <w:t>.</w:t>
      </w:r>
    </w:p>
    <w:p w:rsidR="00D81BE8" w:rsidRDefault="00D81BE8" w:rsidP="00D81BE8">
      <w:pPr>
        <w:pStyle w:val="Sinespaciado"/>
        <w:spacing w:line="360" w:lineRule="auto"/>
        <w:ind w:right="49" w:firstLine="708"/>
        <w:jc w:val="both"/>
        <w:rPr>
          <w:rFonts w:ascii="Arial" w:eastAsia="Calibri" w:hAnsi="Arial" w:cs="Arial"/>
          <w:b/>
          <w:bCs/>
          <w:sz w:val="26"/>
          <w:szCs w:val="26"/>
        </w:rPr>
      </w:pPr>
    </w:p>
    <w:p w:rsidR="00D81BE8" w:rsidRDefault="00BC60C9" w:rsidP="00D81BE8">
      <w:pPr>
        <w:pStyle w:val="Sinespaciado"/>
        <w:spacing w:line="360" w:lineRule="auto"/>
        <w:ind w:right="49" w:firstLine="708"/>
        <w:jc w:val="both"/>
        <w:rPr>
          <w:rFonts w:ascii="Arial" w:eastAsia="Calibri" w:hAnsi="Arial" w:cs="Arial"/>
          <w:bCs/>
          <w:sz w:val="26"/>
          <w:szCs w:val="26"/>
        </w:rPr>
      </w:pPr>
      <w:r w:rsidRPr="001872CB">
        <w:rPr>
          <w:rFonts w:ascii="Arial" w:eastAsia="Calibri" w:hAnsi="Arial" w:cs="Arial"/>
          <w:b/>
          <w:bCs/>
          <w:sz w:val="26"/>
          <w:szCs w:val="26"/>
        </w:rPr>
        <w:t>SEGUNDO.</w:t>
      </w:r>
      <w:r w:rsidRPr="001872CB">
        <w:rPr>
          <w:rFonts w:ascii="Arial" w:eastAsia="Calibri" w:hAnsi="Arial" w:cs="Arial"/>
          <w:bCs/>
          <w:sz w:val="26"/>
          <w:szCs w:val="26"/>
        </w:rPr>
        <w:t xml:space="preserve"> </w:t>
      </w:r>
      <w:r w:rsidRPr="001872CB">
        <w:rPr>
          <w:rFonts w:ascii="Arial" w:eastAsia="Calibri" w:hAnsi="Arial" w:cs="Arial"/>
          <w:b/>
          <w:bCs/>
          <w:sz w:val="26"/>
          <w:szCs w:val="26"/>
        </w:rPr>
        <w:t>NOTIFÍQUESE Y CÚMPLASE;</w:t>
      </w:r>
      <w:r w:rsidRPr="001872CB">
        <w:rPr>
          <w:rFonts w:ascii="Arial" w:eastAsia="Calibri" w:hAnsi="Arial" w:cs="Arial"/>
          <w:bCs/>
          <w:sz w:val="26"/>
          <w:szCs w:val="26"/>
        </w:rPr>
        <w:t xml:space="preserve"> </w:t>
      </w:r>
      <w:r w:rsidR="00530FA8" w:rsidRPr="00372D3D">
        <w:rPr>
          <w:rFonts w:ascii="Arial" w:eastAsia="Calibri" w:hAnsi="Arial" w:cs="Arial"/>
          <w:sz w:val="26"/>
          <w:szCs w:val="26"/>
        </w:rPr>
        <w:t xml:space="preserve">remítase copia certificada de la presente resolución a la </w:t>
      </w:r>
      <w:r w:rsidR="00530FA8">
        <w:rPr>
          <w:rFonts w:ascii="Arial" w:eastAsia="Calibri" w:hAnsi="Arial" w:cs="Arial"/>
          <w:sz w:val="26"/>
          <w:szCs w:val="26"/>
        </w:rPr>
        <w:t xml:space="preserve">Tercera </w:t>
      </w:r>
      <w:r w:rsidR="00530FA8" w:rsidRPr="00372D3D">
        <w:rPr>
          <w:rFonts w:ascii="Arial" w:eastAsia="Calibri" w:hAnsi="Arial" w:cs="Arial"/>
          <w:sz w:val="26"/>
          <w:szCs w:val="26"/>
        </w:rPr>
        <w:t>Sala de Primera Instancia de este Tribunal y en su oportunidad archívese el presente cuaderno de revisión como asunto concluido</w:t>
      </w:r>
      <w:r w:rsidR="00D81BE8">
        <w:rPr>
          <w:rFonts w:ascii="Arial" w:eastAsia="Calibri" w:hAnsi="Arial" w:cs="Arial"/>
          <w:bCs/>
          <w:sz w:val="26"/>
          <w:szCs w:val="26"/>
        </w:rPr>
        <w:t>.</w:t>
      </w:r>
    </w:p>
    <w:p w:rsidR="00A81995" w:rsidRDefault="00A81995" w:rsidP="00A81995">
      <w:pPr>
        <w:tabs>
          <w:tab w:val="left" w:pos="1680"/>
          <w:tab w:val="center" w:pos="4277"/>
        </w:tabs>
        <w:spacing w:line="360" w:lineRule="auto"/>
        <w:ind w:firstLine="567"/>
        <w:jc w:val="both"/>
        <w:rPr>
          <w:rFonts w:ascii="Arial" w:hAnsi="Arial" w:cs="Arial"/>
          <w:sz w:val="26"/>
          <w:szCs w:val="26"/>
        </w:rPr>
      </w:pPr>
      <w:r w:rsidRPr="00563965">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A81995" w:rsidRDefault="00A81995" w:rsidP="00A81995">
      <w:pPr>
        <w:pStyle w:val="corte4fondo"/>
        <w:tabs>
          <w:tab w:val="left" w:pos="0"/>
        </w:tabs>
        <w:ind w:right="51"/>
        <w:rPr>
          <w:sz w:val="26"/>
          <w:szCs w:val="26"/>
        </w:rPr>
      </w:pPr>
    </w:p>
    <w:p w:rsidR="00A81995" w:rsidRDefault="00A81995" w:rsidP="00A81995">
      <w:pPr>
        <w:pStyle w:val="corte4fondo"/>
        <w:tabs>
          <w:tab w:val="left" w:pos="0"/>
        </w:tabs>
        <w:ind w:right="51"/>
        <w:rPr>
          <w:sz w:val="26"/>
          <w:szCs w:val="26"/>
        </w:rPr>
      </w:pPr>
    </w:p>
    <w:p w:rsidR="00A81995" w:rsidRDefault="00A81995" w:rsidP="00A81995">
      <w:pPr>
        <w:pStyle w:val="corte4fondo"/>
        <w:tabs>
          <w:tab w:val="left" w:pos="0"/>
        </w:tabs>
        <w:ind w:right="51"/>
        <w:rPr>
          <w:sz w:val="26"/>
          <w:szCs w:val="26"/>
        </w:rPr>
      </w:pPr>
    </w:p>
    <w:p w:rsidR="00A81995" w:rsidRDefault="00A81995" w:rsidP="00A81995">
      <w:pPr>
        <w:pStyle w:val="corte4fondo"/>
        <w:tabs>
          <w:tab w:val="left" w:pos="0"/>
        </w:tabs>
        <w:ind w:right="51"/>
        <w:rPr>
          <w:sz w:val="26"/>
          <w:szCs w:val="26"/>
        </w:rPr>
      </w:pPr>
    </w:p>
    <w:p w:rsidR="00A81995" w:rsidRDefault="00A81995" w:rsidP="00A81995">
      <w:pPr>
        <w:pStyle w:val="corte4fondo"/>
        <w:tabs>
          <w:tab w:val="left" w:pos="0"/>
        </w:tabs>
        <w:ind w:right="51"/>
        <w:rPr>
          <w:sz w:val="26"/>
          <w:szCs w:val="26"/>
        </w:rPr>
      </w:pPr>
    </w:p>
    <w:p w:rsidR="00A81995" w:rsidRDefault="00A81995" w:rsidP="00A81995">
      <w:pPr>
        <w:jc w:val="center"/>
        <w:rPr>
          <w:rFonts w:ascii="Arial" w:hAnsi="Arial" w:cs="Arial"/>
          <w:sz w:val="26"/>
          <w:szCs w:val="26"/>
        </w:rPr>
      </w:pPr>
      <w:r>
        <w:rPr>
          <w:rFonts w:ascii="Arial" w:hAnsi="Arial" w:cs="Arial"/>
          <w:sz w:val="26"/>
          <w:szCs w:val="26"/>
        </w:rPr>
        <w:t>MAGISTRADA MARÍA ELENA VILLA DE JARQUÍN</w:t>
      </w:r>
    </w:p>
    <w:p w:rsidR="00A81995" w:rsidRDefault="00A81995" w:rsidP="00A81995">
      <w:pPr>
        <w:jc w:val="center"/>
        <w:rPr>
          <w:rFonts w:ascii="Arial" w:hAnsi="Arial" w:cs="Arial"/>
          <w:sz w:val="26"/>
          <w:szCs w:val="26"/>
        </w:rPr>
      </w:pPr>
      <w:r>
        <w:rPr>
          <w:rFonts w:ascii="Arial" w:hAnsi="Arial" w:cs="Arial"/>
          <w:sz w:val="26"/>
          <w:szCs w:val="26"/>
        </w:rPr>
        <w:t>PRESIDENTA</w:t>
      </w:r>
    </w:p>
    <w:p w:rsidR="00A81995" w:rsidRPr="00563965" w:rsidRDefault="00A81995" w:rsidP="00A81995">
      <w:pPr>
        <w:tabs>
          <w:tab w:val="left" w:pos="1680"/>
          <w:tab w:val="center" w:pos="4277"/>
        </w:tabs>
        <w:spacing w:line="360" w:lineRule="auto"/>
        <w:ind w:firstLine="567"/>
        <w:jc w:val="both"/>
        <w:rPr>
          <w:rFonts w:ascii="Arial" w:hAnsi="Arial" w:cs="Arial"/>
          <w:sz w:val="26"/>
          <w:szCs w:val="26"/>
        </w:rPr>
      </w:pPr>
    </w:p>
    <w:p w:rsidR="00A81995" w:rsidRDefault="00A81995" w:rsidP="00A81995">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w:t>
      </w:r>
    </w:p>
    <w:p w:rsidR="00A81995" w:rsidRDefault="00A81995" w:rsidP="00A81995">
      <w:pPr>
        <w:spacing w:line="360" w:lineRule="auto"/>
        <w:ind w:firstLine="567"/>
        <w:jc w:val="both"/>
        <w:rPr>
          <w:rFonts w:ascii="Arial" w:hAnsi="Arial" w:cs="Arial"/>
          <w:b/>
          <w:sz w:val="14"/>
          <w:szCs w:val="26"/>
        </w:rPr>
      </w:pPr>
    </w:p>
    <w:p w:rsidR="00A81995" w:rsidRDefault="00A81995" w:rsidP="00A81995">
      <w:pPr>
        <w:spacing w:line="360" w:lineRule="auto"/>
        <w:jc w:val="center"/>
        <w:rPr>
          <w:rFonts w:ascii="Arial" w:eastAsia="Times New Roman" w:hAnsi="Arial" w:cs="Arial"/>
          <w:sz w:val="26"/>
          <w:szCs w:val="26"/>
          <w:lang w:eastAsia="es-MX"/>
        </w:rPr>
      </w:pPr>
    </w:p>
    <w:p w:rsidR="00A81995" w:rsidRDefault="00A81995" w:rsidP="00A81995">
      <w:pPr>
        <w:spacing w:line="360" w:lineRule="auto"/>
        <w:jc w:val="center"/>
        <w:rPr>
          <w:rFonts w:ascii="Arial" w:eastAsia="Times New Roman" w:hAnsi="Arial" w:cs="Arial"/>
          <w:sz w:val="26"/>
          <w:szCs w:val="26"/>
          <w:lang w:eastAsia="es-MX"/>
        </w:rPr>
      </w:pPr>
    </w:p>
    <w:p w:rsidR="00A81995" w:rsidRDefault="00A81995" w:rsidP="00A81995">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A81995" w:rsidRDefault="00A81995" w:rsidP="00A81995">
      <w:pPr>
        <w:jc w:val="center"/>
        <w:rPr>
          <w:rFonts w:ascii="Arial" w:hAnsi="Arial" w:cs="Arial"/>
          <w:sz w:val="26"/>
          <w:szCs w:val="26"/>
        </w:rPr>
      </w:pPr>
    </w:p>
    <w:p w:rsidR="00A81995" w:rsidRDefault="00A81995" w:rsidP="00A81995">
      <w:pPr>
        <w:jc w:val="center"/>
        <w:rPr>
          <w:rFonts w:ascii="Arial" w:hAnsi="Arial" w:cs="Arial"/>
          <w:sz w:val="26"/>
          <w:szCs w:val="26"/>
        </w:rPr>
      </w:pPr>
    </w:p>
    <w:p w:rsidR="00A81995" w:rsidRDefault="00A81995" w:rsidP="00A81995">
      <w:pPr>
        <w:jc w:val="center"/>
        <w:rPr>
          <w:rFonts w:ascii="Arial" w:hAnsi="Arial" w:cs="Arial"/>
          <w:sz w:val="26"/>
          <w:szCs w:val="26"/>
        </w:rPr>
      </w:pPr>
    </w:p>
    <w:p w:rsidR="00A81995" w:rsidRDefault="00A81995" w:rsidP="00A81995">
      <w:pPr>
        <w:jc w:val="center"/>
        <w:rPr>
          <w:rFonts w:ascii="Arial" w:hAnsi="Arial" w:cs="Arial"/>
          <w:sz w:val="26"/>
          <w:szCs w:val="26"/>
        </w:rPr>
      </w:pPr>
    </w:p>
    <w:p w:rsidR="00A81995" w:rsidRDefault="00A81995" w:rsidP="00A81995">
      <w:pPr>
        <w:jc w:val="center"/>
        <w:rPr>
          <w:rFonts w:ascii="Arial" w:hAnsi="Arial" w:cs="Arial"/>
          <w:sz w:val="26"/>
          <w:szCs w:val="26"/>
        </w:rPr>
      </w:pPr>
    </w:p>
    <w:p w:rsidR="00A81995" w:rsidRDefault="00A81995" w:rsidP="00A81995">
      <w:pPr>
        <w:jc w:val="center"/>
        <w:rPr>
          <w:rFonts w:ascii="Arial" w:hAnsi="Arial" w:cs="Arial"/>
          <w:sz w:val="26"/>
          <w:szCs w:val="26"/>
        </w:rPr>
      </w:pPr>
    </w:p>
    <w:p w:rsidR="00A81995" w:rsidRDefault="00A81995" w:rsidP="00A81995">
      <w:pPr>
        <w:jc w:val="center"/>
        <w:rPr>
          <w:rFonts w:ascii="Arial" w:hAnsi="Arial" w:cs="Arial"/>
          <w:sz w:val="26"/>
          <w:szCs w:val="26"/>
        </w:rPr>
      </w:pPr>
      <w:r>
        <w:rPr>
          <w:rFonts w:ascii="Arial" w:hAnsi="Arial" w:cs="Arial"/>
          <w:sz w:val="26"/>
          <w:szCs w:val="26"/>
        </w:rPr>
        <w:t>MAGISTRADO RAÚL PALOMARES PALOMINO</w:t>
      </w:r>
    </w:p>
    <w:p w:rsidR="00A81995" w:rsidRDefault="00A81995" w:rsidP="00A81995">
      <w:pPr>
        <w:tabs>
          <w:tab w:val="left" w:pos="1680"/>
          <w:tab w:val="center" w:pos="4277"/>
        </w:tabs>
        <w:spacing w:line="360" w:lineRule="auto"/>
        <w:jc w:val="center"/>
        <w:rPr>
          <w:rFonts w:ascii="Arial" w:hAnsi="Arial" w:cs="Arial"/>
          <w:sz w:val="26"/>
          <w:szCs w:val="26"/>
        </w:rPr>
      </w:pPr>
    </w:p>
    <w:p w:rsidR="00A81995" w:rsidRDefault="00A81995" w:rsidP="00A81995">
      <w:pPr>
        <w:tabs>
          <w:tab w:val="left" w:pos="1680"/>
          <w:tab w:val="center" w:pos="4277"/>
        </w:tabs>
        <w:spacing w:line="360" w:lineRule="auto"/>
        <w:jc w:val="center"/>
        <w:rPr>
          <w:rFonts w:ascii="Arial" w:hAnsi="Arial" w:cs="Arial"/>
          <w:sz w:val="26"/>
          <w:szCs w:val="26"/>
        </w:rPr>
      </w:pPr>
    </w:p>
    <w:p w:rsidR="00A81995" w:rsidRDefault="00A81995" w:rsidP="00A81995">
      <w:pPr>
        <w:tabs>
          <w:tab w:val="left" w:pos="1680"/>
          <w:tab w:val="center" w:pos="4277"/>
        </w:tabs>
        <w:spacing w:line="360" w:lineRule="auto"/>
        <w:jc w:val="center"/>
        <w:rPr>
          <w:rFonts w:ascii="Arial" w:hAnsi="Arial" w:cs="Arial"/>
          <w:sz w:val="26"/>
          <w:szCs w:val="26"/>
        </w:rPr>
      </w:pPr>
    </w:p>
    <w:p w:rsidR="00A81995" w:rsidRDefault="00A81995" w:rsidP="00A81995">
      <w:pPr>
        <w:tabs>
          <w:tab w:val="left" w:pos="1680"/>
          <w:tab w:val="center" w:pos="4277"/>
        </w:tabs>
        <w:spacing w:line="360" w:lineRule="auto"/>
        <w:jc w:val="center"/>
        <w:rPr>
          <w:rFonts w:ascii="Arial" w:hAnsi="Arial" w:cs="Arial"/>
          <w:sz w:val="26"/>
          <w:szCs w:val="26"/>
        </w:rPr>
      </w:pPr>
    </w:p>
    <w:p w:rsidR="00A81995" w:rsidRDefault="00A81995" w:rsidP="00A81995">
      <w:pPr>
        <w:tabs>
          <w:tab w:val="left" w:pos="1680"/>
          <w:tab w:val="center" w:pos="4277"/>
        </w:tabs>
        <w:spacing w:line="360" w:lineRule="auto"/>
        <w:jc w:val="center"/>
        <w:rPr>
          <w:rFonts w:ascii="Arial" w:hAnsi="Arial" w:cs="Arial"/>
          <w:b/>
          <w:sz w:val="14"/>
          <w:szCs w:val="26"/>
        </w:rPr>
      </w:pPr>
      <w:r>
        <w:rPr>
          <w:rFonts w:ascii="Arial" w:hAnsi="Arial" w:cs="Arial"/>
          <w:b/>
          <w:sz w:val="14"/>
          <w:szCs w:val="26"/>
        </w:rPr>
        <w:t>LAS PRESENTES FIRMAS CORRESPONDEN AL RECURSO DE REVISIÓN 189/2019</w:t>
      </w:r>
    </w:p>
    <w:p w:rsidR="00A81995" w:rsidRDefault="00A81995" w:rsidP="00A81995">
      <w:pPr>
        <w:tabs>
          <w:tab w:val="left" w:pos="1680"/>
          <w:tab w:val="center" w:pos="4277"/>
        </w:tabs>
        <w:spacing w:line="360" w:lineRule="auto"/>
        <w:jc w:val="center"/>
        <w:rPr>
          <w:rFonts w:ascii="Arial" w:hAnsi="Arial" w:cs="Arial"/>
          <w:b/>
          <w:sz w:val="14"/>
          <w:szCs w:val="26"/>
        </w:rPr>
      </w:pPr>
    </w:p>
    <w:p w:rsidR="00A81995" w:rsidRDefault="00A81995" w:rsidP="00A81995">
      <w:pPr>
        <w:tabs>
          <w:tab w:val="left" w:pos="1680"/>
          <w:tab w:val="center" w:pos="4277"/>
        </w:tabs>
        <w:spacing w:line="360" w:lineRule="auto"/>
        <w:jc w:val="center"/>
        <w:rPr>
          <w:rFonts w:ascii="Arial" w:hAnsi="Arial" w:cs="Arial"/>
          <w:b/>
          <w:sz w:val="14"/>
          <w:szCs w:val="26"/>
        </w:rPr>
      </w:pPr>
    </w:p>
    <w:p w:rsidR="00A81995" w:rsidRDefault="00A81995" w:rsidP="00A81995">
      <w:pPr>
        <w:tabs>
          <w:tab w:val="left" w:pos="1680"/>
          <w:tab w:val="center" w:pos="4277"/>
        </w:tabs>
        <w:spacing w:line="360" w:lineRule="auto"/>
        <w:jc w:val="center"/>
        <w:rPr>
          <w:rFonts w:ascii="Arial" w:hAnsi="Arial" w:cs="Arial"/>
          <w:b/>
          <w:sz w:val="14"/>
          <w:szCs w:val="26"/>
        </w:rPr>
      </w:pPr>
    </w:p>
    <w:p w:rsidR="00A81995" w:rsidRDefault="00A81995" w:rsidP="00A81995">
      <w:pPr>
        <w:tabs>
          <w:tab w:val="left" w:pos="1680"/>
          <w:tab w:val="center" w:pos="4277"/>
        </w:tabs>
        <w:spacing w:line="360" w:lineRule="auto"/>
        <w:jc w:val="center"/>
        <w:rPr>
          <w:rFonts w:ascii="Arial" w:hAnsi="Arial" w:cs="Arial"/>
          <w:b/>
          <w:sz w:val="14"/>
          <w:szCs w:val="26"/>
        </w:rPr>
      </w:pPr>
    </w:p>
    <w:p w:rsidR="00A81995" w:rsidRDefault="00A81995" w:rsidP="00A81995">
      <w:pPr>
        <w:tabs>
          <w:tab w:val="left" w:pos="1680"/>
          <w:tab w:val="center" w:pos="4277"/>
        </w:tabs>
        <w:spacing w:line="360" w:lineRule="auto"/>
        <w:jc w:val="center"/>
        <w:rPr>
          <w:rFonts w:ascii="Arial" w:hAnsi="Arial" w:cs="Arial"/>
          <w:b/>
          <w:sz w:val="14"/>
          <w:szCs w:val="26"/>
        </w:rPr>
      </w:pPr>
    </w:p>
    <w:p w:rsidR="00A81995" w:rsidRDefault="00A81995" w:rsidP="00A81995">
      <w:pPr>
        <w:tabs>
          <w:tab w:val="left" w:pos="1680"/>
          <w:tab w:val="center" w:pos="4277"/>
        </w:tabs>
        <w:spacing w:line="360" w:lineRule="auto"/>
        <w:jc w:val="center"/>
        <w:rPr>
          <w:rFonts w:ascii="Arial" w:hAnsi="Arial" w:cs="Arial"/>
          <w:b/>
          <w:sz w:val="14"/>
          <w:szCs w:val="26"/>
        </w:rPr>
      </w:pPr>
    </w:p>
    <w:p w:rsidR="00A81995" w:rsidRDefault="00A81995" w:rsidP="00A81995">
      <w:pPr>
        <w:tabs>
          <w:tab w:val="left" w:pos="1680"/>
          <w:tab w:val="center" w:pos="4277"/>
        </w:tabs>
        <w:spacing w:line="360" w:lineRule="auto"/>
        <w:jc w:val="center"/>
        <w:rPr>
          <w:rFonts w:ascii="Arial" w:hAnsi="Arial" w:cs="Arial"/>
          <w:b/>
          <w:sz w:val="14"/>
          <w:szCs w:val="26"/>
        </w:rPr>
      </w:pPr>
    </w:p>
    <w:p w:rsidR="00A81995" w:rsidRDefault="00A81995" w:rsidP="00A81995">
      <w:pPr>
        <w:tabs>
          <w:tab w:val="left" w:pos="1680"/>
          <w:tab w:val="center" w:pos="4277"/>
        </w:tabs>
        <w:spacing w:line="360" w:lineRule="auto"/>
        <w:jc w:val="center"/>
        <w:rPr>
          <w:rFonts w:ascii="Arial" w:hAnsi="Arial" w:cs="Arial"/>
          <w:sz w:val="26"/>
          <w:szCs w:val="26"/>
        </w:rPr>
      </w:pPr>
    </w:p>
    <w:p w:rsidR="00A81995" w:rsidRDefault="00A81995" w:rsidP="00A8199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A81995" w:rsidRDefault="00A81995" w:rsidP="00A81995">
      <w:pPr>
        <w:tabs>
          <w:tab w:val="left" w:pos="1680"/>
          <w:tab w:val="center" w:pos="4277"/>
        </w:tabs>
        <w:spacing w:line="360" w:lineRule="auto"/>
        <w:rPr>
          <w:rFonts w:ascii="Arial" w:hAnsi="Arial" w:cs="Arial"/>
          <w:sz w:val="26"/>
          <w:szCs w:val="26"/>
        </w:rPr>
      </w:pPr>
    </w:p>
    <w:p w:rsidR="00A81995" w:rsidRDefault="00A81995" w:rsidP="00A81995">
      <w:pPr>
        <w:spacing w:line="360" w:lineRule="auto"/>
        <w:ind w:firstLine="567"/>
        <w:jc w:val="both"/>
        <w:rPr>
          <w:rFonts w:ascii="Arial" w:hAnsi="Arial" w:cs="Arial"/>
          <w:b/>
          <w:sz w:val="14"/>
          <w:szCs w:val="26"/>
        </w:rPr>
      </w:pPr>
      <w:r>
        <w:rPr>
          <w:rFonts w:ascii="Arial" w:hAnsi="Arial" w:cs="Arial"/>
          <w:b/>
          <w:sz w:val="14"/>
          <w:szCs w:val="26"/>
        </w:rPr>
        <w:t xml:space="preserve">           </w:t>
      </w:r>
    </w:p>
    <w:p w:rsidR="00A81995" w:rsidRDefault="00A81995" w:rsidP="00A81995">
      <w:pPr>
        <w:spacing w:line="360" w:lineRule="auto"/>
        <w:ind w:firstLine="567"/>
        <w:jc w:val="both"/>
        <w:rPr>
          <w:rFonts w:ascii="Arial" w:eastAsia="Times New Roman" w:hAnsi="Arial" w:cs="Arial"/>
          <w:sz w:val="26"/>
          <w:szCs w:val="26"/>
          <w:lang w:eastAsia="es-MX"/>
        </w:rPr>
      </w:pPr>
    </w:p>
    <w:p w:rsidR="00A81995" w:rsidRDefault="00A81995" w:rsidP="00A81995">
      <w:pPr>
        <w:tabs>
          <w:tab w:val="left" w:pos="1680"/>
          <w:tab w:val="center" w:pos="4277"/>
        </w:tabs>
        <w:spacing w:line="360" w:lineRule="auto"/>
        <w:jc w:val="center"/>
        <w:rPr>
          <w:rFonts w:ascii="Arial" w:hAnsi="Arial" w:cs="Arial"/>
          <w:sz w:val="26"/>
          <w:szCs w:val="26"/>
        </w:rPr>
      </w:pPr>
    </w:p>
    <w:p w:rsidR="00A81995" w:rsidRDefault="00A81995" w:rsidP="00A81995">
      <w:pPr>
        <w:tabs>
          <w:tab w:val="left" w:pos="1680"/>
          <w:tab w:val="center" w:pos="4277"/>
        </w:tabs>
        <w:spacing w:line="360" w:lineRule="auto"/>
        <w:jc w:val="center"/>
        <w:rPr>
          <w:rFonts w:ascii="Arial" w:hAnsi="Arial" w:cs="Arial"/>
          <w:sz w:val="26"/>
          <w:szCs w:val="26"/>
        </w:rPr>
      </w:pPr>
    </w:p>
    <w:p w:rsidR="00A81995" w:rsidRDefault="00A81995" w:rsidP="00A8199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A81995" w:rsidRDefault="00A81995" w:rsidP="00A81995">
      <w:pPr>
        <w:pStyle w:val="Sinespaciado"/>
        <w:jc w:val="center"/>
        <w:rPr>
          <w:rFonts w:ascii="Arial" w:hAnsi="Arial" w:cs="Arial"/>
          <w:sz w:val="26"/>
          <w:szCs w:val="26"/>
        </w:rPr>
      </w:pPr>
    </w:p>
    <w:p w:rsidR="00A81995" w:rsidRDefault="00A81995" w:rsidP="00A81995">
      <w:pPr>
        <w:pStyle w:val="Sinespaciado"/>
        <w:jc w:val="center"/>
        <w:rPr>
          <w:rFonts w:ascii="Arial" w:hAnsi="Arial" w:cs="Arial"/>
          <w:sz w:val="26"/>
          <w:szCs w:val="26"/>
        </w:rPr>
      </w:pPr>
    </w:p>
    <w:p w:rsidR="00A81995" w:rsidRDefault="00A81995" w:rsidP="00A81995">
      <w:pPr>
        <w:pStyle w:val="Sinespaciado"/>
        <w:jc w:val="center"/>
        <w:rPr>
          <w:rFonts w:ascii="Arial" w:hAnsi="Arial" w:cs="Arial"/>
          <w:sz w:val="26"/>
          <w:szCs w:val="26"/>
        </w:rPr>
      </w:pPr>
    </w:p>
    <w:p w:rsidR="00A81995" w:rsidRDefault="00A81995" w:rsidP="00A81995">
      <w:pPr>
        <w:pStyle w:val="Sinespaciado"/>
        <w:jc w:val="center"/>
        <w:rPr>
          <w:rFonts w:ascii="Arial" w:hAnsi="Arial" w:cs="Arial"/>
          <w:sz w:val="26"/>
          <w:szCs w:val="26"/>
        </w:rPr>
      </w:pPr>
    </w:p>
    <w:p w:rsidR="00A81995" w:rsidRDefault="00A81995" w:rsidP="00A81995">
      <w:pPr>
        <w:pStyle w:val="Sinespaciado"/>
        <w:jc w:val="center"/>
        <w:rPr>
          <w:rFonts w:ascii="Arial" w:hAnsi="Arial" w:cs="Arial"/>
          <w:sz w:val="26"/>
          <w:szCs w:val="26"/>
        </w:rPr>
      </w:pPr>
    </w:p>
    <w:p w:rsidR="00A81995" w:rsidRDefault="00A81995" w:rsidP="00A81995">
      <w:pPr>
        <w:pStyle w:val="Sinespaciado"/>
        <w:jc w:val="center"/>
        <w:rPr>
          <w:rFonts w:ascii="Arial" w:hAnsi="Arial" w:cs="Arial"/>
          <w:sz w:val="26"/>
          <w:szCs w:val="26"/>
        </w:rPr>
      </w:pPr>
    </w:p>
    <w:p w:rsidR="00A81995" w:rsidRDefault="00A81995" w:rsidP="00A81995">
      <w:pPr>
        <w:pStyle w:val="Sinespaciado"/>
        <w:jc w:val="center"/>
        <w:rPr>
          <w:rFonts w:ascii="Arial" w:hAnsi="Arial" w:cs="Arial"/>
          <w:sz w:val="26"/>
          <w:szCs w:val="26"/>
        </w:rPr>
      </w:pPr>
      <w:r>
        <w:rPr>
          <w:rFonts w:ascii="Arial" w:hAnsi="Arial" w:cs="Arial"/>
          <w:sz w:val="26"/>
          <w:szCs w:val="26"/>
        </w:rPr>
        <w:t>LICENCIADA FELICITAS DÍAZ VÁZQUEZ</w:t>
      </w:r>
    </w:p>
    <w:p w:rsidR="00A81995" w:rsidRDefault="00A81995" w:rsidP="00A81995">
      <w:pPr>
        <w:pStyle w:val="Sinespaciado"/>
        <w:jc w:val="center"/>
        <w:rPr>
          <w:rFonts w:ascii="Arial" w:hAnsi="Arial" w:cs="Arial"/>
          <w:sz w:val="26"/>
          <w:szCs w:val="26"/>
        </w:rPr>
      </w:pPr>
      <w:r>
        <w:rPr>
          <w:rFonts w:ascii="Arial" w:hAnsi="Arial" w:cs="Arial"/>
          <w:sz w:val="26"/>
          <w:szCs w:val="26"/>
        </w:rPr>
        <w:t>SECRETARIA GENERAL DE ACUERDOS</w:t>
      </w:r>
    </w:p>
    <w:p w:rsidR="00A81995" w:rsidRPr="00A16A59" w:rsidRDefault="00A81995" w:rsidP="00A81995">
      <w:pPr>
        <w:spacing w:before="240" w:line="360" w:lineRule="auto"/>
        <w:ind w:firstLine="708"/>
        <w:jc w:val="both"/>
        <w:rPr>
          <w:rFonts w:ascii="Arial" w:hAnsi="Arial" w:cs="Arial"/>
          <w:b/>
          <w:color w:val="1F497D"/>
          <w:sz w:val="18"/>
          <w:szCs w:val="18"/>
        </w:rPr>
      </w:pPr>
    </w:p>
    <w:p w:rsidR="00D81BE8" w:rsidRDefault="00D81BE8" w:rsidP="00D81BE8">
      <w:pPr>
        <w:pStyle w:val="Sinespaciado"/>
        <w:spacing w:line="360" w:lineRule="auto"/>
        <w:ind w:right="49" w:firstLine="708"/>
        <w:jc w:val="both"/>
        <w:rPr>
          <w:rFonts w:ascii="Arial" w:eastAsia="Calibri" w:hAnsi="Arial" w:cs="Arial"/>
          <w:bCs/>
          <w:sz w:val="26"/>
          <w:szCs w:val="26"/>
        </w:rPr>
      </w:pPr>
    </w:p>
    <w:sectPr w:rsidR="00D81BE8" w:rsidSect="00A81995">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7C8" w:rsidRDefault="000147C8">
      <w:r>
        <w:separator/>
      </w:r>
    </w:p>
  </w:endnote>
  <w:endnote w:type="continuationSeparator" w:id="0">
    <w:p w:rsidR="000147C8" w:rsidRDefault="00014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7C8" w:rsidRDefault="000147C8">
      <w:r>
        <w:separator/>
      </w:r>
    </w:p>
  </w:footnote>
  <w:footnote w:type="continuationSeparator" w:id="0">
    <w:p w:rsidR="000147C8" w:rsidRDefault="000147C8">
      <w:r>
        <w:continuationSeparator/>
      </w:r>
    </w:p>
  </w:footnote>
  <w:footnote w:id="1">
    <w:p w:rsidR="002C50B3" w:rsidRDefault="002C50B3" w:rsidP="00B22502">
      <w:pPr>
        <w:pStyle w:val="Textonotapie"/>
        <w:jc w:val="both"/>
      </w:pPr>
      <w:r>
        <w:rPr>
          <w:rStyle w:val="Refdenotaalpie"/>
        </w:rPr>
        <w:footnoteRef/>
      </w:r>
      <w:r>
        <w:t xml:space="preserve"> “</w:t>
      </w:r>
      <w:r w:rsidRPr="00B22502">
        <w:rPr>
          <w:b/>
        </w:rPr>
        <w:t>ARTICULO 116.-</w:t>
      </w:r>
      <w:r>
        <w:t xml:space="preserve"> Los juicios de lo Contencioso </w:t>
      </w:r>
      <w:r w:rsidR="00B22502">
        <w:t>administrativo</w:t>
      </w:r>
      <w:r>
        <w:t xml:space="preserve"> y </w:t>
      </w:r>
      <w:r w:rsidR="00B22502">
        <w:t>fiscal</w:t>
      </w:r>
      <w:r>
        <w:t xml:space="preserve"> que se promuevan ante el Tribunal, se substanciarán y resolverán con arreglo a las </w:t>
      </w:r>
      <w:r w:rsidR="00B22502">
        <w:t>disposiciones</w:t>
      </w:r>
      <w:r>
        <w:t xml:space="preserve"> de esta Ley. A falta de </w:t>
      </w:r>
      <w:r w:rsidR="00B22502">
        <w:t>disposición</w:t>
      </w:r>
      <w:r>
        <w:t xml:space="preserve"> expresa, se aplicarán </w:t>
      </w:r>
      <w:r w:rsidR="00B22502">
        <w:t>supletoriamente</w:t>
      </w:r>
      <w:r>
        <w:t xml:space="preserve"> el </w:t>
      </w:r>
      <w:r w:rsidR="00B22502">
        <w:t>Código</w:t>
      </w:r>
      <w:r>
        <w:t xml:space="preserve"> de </w:t>
      </w:r>
      <w:r w:rsidR="00B22502">
        <w:t>Procedimiento</w:t>
      </w:r>
      <w:r>
        <w:t xml:space="preserve"> Civiles para el Estado de Oaxaca así como el </w:t>
      </w:r>
      <w:r w:rsidR="00B22502">
        <w:t>Código</w:t>
      </w:r>
      <w:r>
        <w:t xml:space="preserve"> </w:t>
      </w:r>
      <w:r w:rsidR="00B22502">
        <w:t>Fiscal</w:t>
      </w:r>
      <w:r>
        <w:t xml:space="preserve"> del </w:t>
      </w:r>
      <w:r w:rsidR="00B22502">
        <w:t>Estado</w:t>
      </w:r>
      <w:r>
        <w:t xml:space="preserve"> o Municipal, en los que no sea contrarios y resulten </w:t>
      </w:r>
      <w:r w:rsidR="00B22502">
        <w:t>aplicables. (…)”.</w:t>
      </w:r>
    </w:p>
  </w:footnote>
  <w:footnote w:id="2">
    <w:p w:rsidR="00B22502" w:rsidRDefault="00B22502" w:rsidP="00B22502">
      <w:pPr>
        <w:pStyle w:val="Textonotapie"/>
        <w:jc w:val="both"/>
      </w:pPr>
      <w:r>
        <w:rPr>
          <w:rStyle w:val="Refdenotaalpie"/>
        </w:rPr>
        <w:footnoteRef/>
      </w:r>
      <w:r>
        <w:t xml:space="preserve"> “</w:t>
      </w:r>
      <w:r w:rsidRPr="00B22502">
        <w:rPr>
          <w:b/>
        </w:rPr>
        <w:t>Artículo 404.-</w:t>
      </w:r>
      <w:r>
        <w:t xml:space="preserve"> Los incidentes que surjan en los juicios, con excepción de los de acumulación y de conexidad, cualquiera que sea su naturaleza, se substanciaran con un escrito de cada parte. Si se promueve prueba deberá ofrecerse con los criterios respectivos con todos los elementos necesarios para su desahogo, fijándose los puntos sobre que deba versar; el plazo probatorio no excederá de cinco días y concluido se citará para la audiencia de alegatos, con efectos de citación para sentencia. Dicha audiencia se verificará a más tardar dentro de los tres días siguientes y en ella se dictará la resolución que corresponda. Lo previsto con anterioridad no será aplicable para la tramitación de los incidentes en el juicio sumario hipotecario, que se estará a lo ordenado en las reglas específicas”.</w:t>
      </w:r>
    </w:p>
  </w:footnote>
  <w:footnote w:id="3">
    <w:p w:rsidR="00B22502" w:rsidRDefault="00B22502" w:rsidP="00B22502">
      <w:pPr>
        <w:pStyle w:val="Textonotapie"/>
        <w:jc w:val="both"/>
      </w:pPr>
      <w:r>
        <w:rPr>
          <w:rStyle w:val="Refdenotaalpie"/>
        </w:rPr>
        <w:footnoteRef/>
      </w:r>
      <w:r>
        <w:t xml:space="preserve"> “</w:t>
      </w:r>
      <w:r w:rsidRPr="00B22502">
        <w:rPr>
          <w:b/>
        </w:rPr>
        <w:t xml:space="preserve">Artículo 501.- </w:t>
      </w:r>
      <w:r>
        <w:t>Si la sentencia no contiene cantidad liquida, la parte a cuyo favor se pronunció al promover la ejecución presentará su liquidación, se tramitará en forma de incidente en los términos del artículo 404 de éste Código. La resolución que se dicte en estos incidentes no admitirá recurso alguno.”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920909" w:rsidRDefault="00920909">
        <w:pPr>
          <w:pStyle w:val="Encabezado"/>
          <w:jc w:val="center"/>
        </w:pPr>
        <w:r>
          <w:fldChar w:fldCharType="begin"/>
        </w:r>
        <w:r>
          <w:instrText>PAGE   \* MERGEFORMAT</w:instrText>
        </w:r>
        <w:r>
          <w:fldChar w:fldCharType="separate"/>
        </w:r>
        <w:r w:rsidR="009C2350">
          <w:rPr>
            <w:noProof/>
          </w:rPr>
          <w:t>2</w:t>
        </w:r>
        <w:r>
          <w:fldChar w:fldCharType="end"/>
        </w:r>
      </w:p>
    </w:sdtContent>
  </w:sdt>
  <w:p w:rsidR="00920909" w:rsidRDefault="009C2350">
    <w:pPr>
      <w:pStyle w:val="Encabezado"/>
    </w:pPr>
    <w:r>
      <w:rPr>
        <w:noProof/>
        <w:lang w:val="es-MX" w:eastAsia="es-MX"/>
      </w:rPr>
      <w:drawing>
        <wp:anchor distT="0" distB="0" distL="114300" distR="114300" simplePos="0" relativeHeight="251664384" behindDoc="0" locked="0" layoutInCell="1" allowOverlap="1" wp14:anchorId="3F246DE0" wp14:editId="7397F0F4">
          <wp:simplePos x="0" y="0"/>
          <wp:positionH relativeFrom="column">
            <wp:posOffset>5705475</wp:posOffset>
          </wp:positionH>
          <wp:positionV relativeFrom="paragraph">
            <wp:posOffset>5329555</wp:posOffset>
          </wp:positionV>
          <wp:extent cx="923925" cy="885825"/>
          <wp:effectExtent l="0" t="0" r="9525" b="9525"/>
          <wp:wrapThrough wrapText="bothSides">
            <wp:wrapPolygon edited="0">
              <wp:start x="0" y="0"/>
              <wp:lineTo x="0" y="21368"/>
              <wp:lineTo x="21377" y="21368"/>
              <wp:lineTo x="21377" y="0"/>
              <wp:lineTo x="0" y="0"/>
            </wp:wrapPolygon>
          </wp:wrapThrough>
          <wp:docPr id="1"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0909" w:rsidRDefault="00920909" w:rsidP="00920909">
        <w:pPr>
          <w:pStyle w:val="Encabezado"/>
          <w:jc w:val="center"/>
          <w:rPr>
            <w:noProof/>
          </w:rPr>
        </w:pPr>
        <w:r>
          <w:fldChar w:fldCharType="begin"/>
        </w:r>
        <w:r>
          <w:instrText xml:space="preserve"> PAGE   \* MERGEFORMAT </w:instrText>
        </w:r>
        <w:r>
          <w:fldChar w:fldCharType="separate"/>
        </w:r>
        <w:r w:rsidR="009C2350">
          <w:rPr>
            <w:noProof/>
          </w:rPr>
          <w:t>3</w:t>
        </w:r>
        <w:r>
          <w:rPr>
            <w:noProof/>
          </w:rPr>
          <w:fldChar w:fldCharType="end"/>
        </w:r>
      </w:p>
    </w:sdtContent>
  </w:sdt>
  <w:p w:rsidR="00920909" w:rsidRDefault="009C2350" w:rsidP="00920909">
    <w:pPr>
      <w:pStyle w:val="Encabezado"/>
      <w:jc w:val="center"/>
    </w:pPr>
    <w:r>
      <w:rPr>
        <w:noProof/>
        <w:lang w:val="es-MX" w:eastAsia="es-MX"/>
      </w:rPr>
      <w:drawing>
        <wp:anchor distT="0" distB="0" distL="114300" distR="114300" simplePos="0" relativeHeight="251662336" behindDoc="0" locked="0" layoutInCell="1" allowOverlap="1" wp14:anchorId="706B2B1F" wp14:editId="5A624549">
          <wp:simplePos x="0" y="0"/>
          <wp:positionH relativeFrom="column">
            <wp:posOffset>-1323975</wp:posOffset>
          </wp:positionH>
          <wp:positionV relativeFrom="paragraph">
            <wp:posOffset>3386455</wp:posOffset>
          </wp:positionV>
          <wp:extent cx="923925" cy="885825"/>
          <wp:effectExtent l="0" t="0" r="9525" b="9525"/>
          <wp:wrapThrough wrapText="bothSides">
            <wp:wrapPolygon edited="0">
              <wp:start x="0" y="0"/>
              <wp:lineTo x="0" y="21368"/>
              <wp:lineTo x="21377" y="21368"/>
              <wp:lineTo x="21377" y="0"/>
              <wp:lineTo x="0" y="0"/>
            </wp:wrapPolygon>
          </wp:wrapThrough>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920909">
      <w:rPr>
        <w:noProof/>
        <w:lang w:val="es-MX" w:eastAsia="es-MX"/>
      </w:rPr>
      <w:drawing>
        <wp:anchor distT="0" distB="0" distL="114300" distR="114300" simplePos="0" relativeHeight="251660288" behindDoc="1" locked="0" layoutInCell="1" allowOverlap="1" wp14:anchorId="6FA279FB" wp14:editId="472E7A55">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920909" w:rsidRPr="003E6AD7">
      <w:rPr>
        <w:noProof/>
        <w:lang w:val="es-MX" w:eastAsia="es-MX"/>
      </w:rPr>
      <w:drawing>
        <wp:anchor distT="0" distB="0" distL="114300" distR="114300" simplePos="0" relativeHeight="251659264" behindDoc="0" locked="0" layoutInCell="1" allowOverlap="1" wp14:anchorId="5D17FB4C" wp14:editId="7C108C70">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549949E6"/>
    <w:multiLevelType w:val="hybridMultilevel"/>
    <w:tmpl w:val="FE187AE2"/>
    <w:lvl w:ilvl="0" w:tplc="95C6641C">
      <w:start w:val="1"/>
      <w:numFmt w:val="decimal"/>
      <w:lvlText w:val="%1)"/>
      <w:lvlJc w:val="left"/>
      <w:pPr>
        <w:ind w:left="1065" w:hanging="360"/>
      </w:pPr>
      <w:rPr>
        <w:rFonts w:hint="default"/>
        <w:b/>
        <w:i w:val="0"/>
        <w:sz w:val="26"/>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9AA"/>
    <w:rsid w:val="00012557"/>
    <w:rsid w:val="000147C8"/>
    <w:rsid w:val="000229E6"/>
    <w:rsid w:val="00032441"/>
    <w:rsid w:val="00034A4A"/>
    <w:rsid w:val="00041A27"/>
    <w:rsid w:val="00045DC9"/>
    <w:rsid w:val="00061935"/>
    <w:rsid w:val="00064D73"/>
    <w:rsid w:val="00066063"/>
    <w:rsid w:val="00066D2C"/>
    <w:rsid w:val="00077A11"/>
    <w:rsid w:val="000844D3"/>
    <w:rsid w:val="00092C14"/>
    <w:rsid w:val="00093DB6"/>
    <w:rsid w:val="00094BEF"/>
    <w:rsid w:val="000960F9"/>
    <w:rsid w:val="000A4EC8"/>
    <w:rsid w:val="000C71EF"/>
    <w:rsid w:val="0010651E"/>
    <w:rsid w:val="00107326"/>
    <w:rsid w:val="001127F4"/>
    <w:rsid w:val="00114A79"/>
    <w:rsid w:val="00141DF6"/>
    <w:rsid w:val="0014220A"/>
    <w:rsid w:val="001565A3"/>
    <w:rsid w:val="00167BEB"/>
    <w:rsid w:val="00176879"/>
    <w:rsid w:val="00193D4E"/>
    <w:rsid w:val="001957CC"/>
    <w:rsid w:val="001A2597"/>
    <w:rsid w:val="001A57F6"/>
    <w:rsid w:val="001D7942"/>
    <w:rsid w:val="001E4D8B"/>
    <w:rsid w:val="002101C6"/>
    <w:rsid w:val="00216A0B"/>
    <w:rsid w:val="002220CF"/>
    <w:rsid w:val="00230545"/>
    <w:rsid w:val="0025762C"/>
    <w:rsid w:val="002657C3"/>
    <w:rsid w:val="00274D97"/>
    <w:rsid w:val="00286967"/>
    <w:rsid w:val="00287B6A"/>
    <w:rsid w:val="00295F89"/>
    <w:rsid w:val="002B03B9"/>
    <w:rsid w:val="002B3381"/>
    <w:rsid w:val="002C50B3"/>
    <w:rsid w:val="002E0692"/>
    <w:rsid w:val="002E6D2E"/>
    <w:rsid w:val="002F57EC"/>
    <w:rsid w:val="0030044B"/>
    <w:rsid w:val="003016CA"/>
    <w:rsid w:val="00302F18"/>
    <w:rsid w:val="003041AA"/>
    <w:rsid w:val="003075DC"/>
    <w:rsid w:val="003179C3"/>
    <w:rsid w:val="003350F7"/>
    <w:rsid w:val="00357444"/>
    <w:rsid w:val="00364F51"/>
    <w:rsid w:val="00375B7A"/>
    <w:rsid w:val="003A47E9"/>
    <w:rsid w:val="003B5053"/>
    <w:rsid w:val="003B78F9"/>
    <w:rsid w:val="003C78ED"/>
    <w:rsid w:val="003E18BB"/>
    <w:rsid w:val="003E3F3F"/>
    <w:rsid w:val="003F4910"/>
    <w:rsid w:val="004103A6"/>
    <w:rsid w:val="00412DFE"/>
    <w:rsid w:val="00420FF7"/>
    <w:rsid w:val="004273BE"/>
    <w:rsid w:val="0043188E"/>
    <w:rsid w:val="004324D9"/>
    <w:rsid w:val="00433360"/>
    <w:rsid w:val="00433A41"/>
    <w:rsid w:val="00433C58"/>
    <w:rsid w:val="00435849"/>
    <w:rsid w:val="004374C0"/>
    <w:rsid w:val="00456A08"/>
    <w:rsid w:val="00481903"/>
    <w:rsid w:val="004A7DE3"/>
    <w:rsid w:val="004C7C4C"/>
    <w:rsid w:val="004D0E6B"/>
    <w:rsid w:val="004D16E0"/>
    <w:rsid w:val="00502FD0"/>
    <w:rsid w:val="0050401C"/>
    <w:rsid w:val="00507171"/>
    <w:rsid w:val="00525A7D"/>
    <w:rsid w:val="00530FA8"/>
    <w:rsid w:val="005659FA"/>
    <w:rsid w:val="00566785"/>
    <w:rsid w:val="005B2EDE"/>
    <w:rsid w:val="005B5E83"/>
    <w:rsid w:val="005C2648"/>
    <w:rsid w:val="005F3943"/>
    <w:rsid w:val="00603930"/>
    <w:rsid w:val="00606AA0"/>
    <w:rsid w:val="00622FF5"/>
    <w:rsid w:val="006264F1"/>
    <w:rsid w:val="00633156"/>
    <w:rsid w:val="00640741"/>
    <w:rsid w:val="00670EC4"/>
    <w:rsid w:val="0067262E"/>
    <w:rsid w:val="006A4BE2"/>
    <w:rsid w:val="006A70CE"/>
    <w:rsid w:val="006B55A4"/>
    <w:rsid w:val="006B72AD"/>
    <w:rsid w:val="006D01A0"/>
    <w:rsid w:val="006D500F"/>
    <w:rsid w:val="00716107"/>
    <w:rsid w:val="00727638"/>
    <w:rsid w:val="00742DFE"/>
    <w:rsid w:val="00745B5F"/>
    <w:rsid w:val="00750D11"/>
    <w:rsid w:val="007533FE"/>
    <w:rsid w:val="00757C79"/>
    <w:rsid w:val="00774CC9"/>
    <w:rsid w:val="00787CC3"/>
    <w:rsid w:val="00790722"/>
    <w:rsid w:val="007A039F"/>
    <w:rsid w:val="007A27FF"/>
    <w:rsid w:val="007A7306"/>
    <w:rsid w:val="007C6411"/>
    <w:rsid w:val="007D1B39"/>
    <w:rsid w:val="007D1DE4"/>
    <w:rsid w:val="007E0535"/>
    <w:rsid w:val="007F4F2C"/>
    <w:rsid w:val="00821A85"/>
    <w:rsid w:val="00823350"/>
    <w:rsid w:val="00835791"/>
    <w:rsid w:val="008365DF"/>
    <w:rsid w:val="00845625"/>
    <w:rsid w:val="008548BD"/>
    <w:rsid w:val="00857497"/>
    <w:rsid w:val="0086252E"/>
    <w:rsid w:val="008705EC"/>
    <w:rsid w:val="00874334"/>
    <w:rsid w:val="008954C8"/>
    <w:rsid w:val="008C4271"/>
    <w:rsid w:val="008E25B8"/>
    <w:rsid w:val="008E7260"/>
    <w:rsid w:val="008F4484"/>
    <w:rsid w:val="00911059"/>
    <w:rsid w:val="00913C0A"/>
    <w:rsid w:val="00920909"/>
    <w:rsid w:val="009210A6"/>
    <w:rsid w:val="00923AF7"/>
    <w:rsid w:val="00941F4E"/>
    <w:rsid w:val="009455A9"/>
    <w:rsid w:val="00954C56"/>
    <w:rsid w:val="00956344"/>
    <w:rsid w:val="00957685"/>
    <w:rsid w:val="00980CF1"/>
    <w:rsid w:val="009873A7"/>
    <w:rsid w:val="00987604"/>
    <w:rsid w:val="009951D1"/>
    <w:rsid w:val="009B579E"/>
    <w:rsid w:val="009C2350"/>
    <w:rsid w:val="009E0E8B"/>
    <w:rsid w:val="00A1233D"/>
    <w:rsid w:val="00A165FE"/>
    <w:rsid w:val="00A279E6"/>
    <w:rsid w:val="00A43BC3"/>
    <w:rsid w:val="00A453D4"/>
    <w:rsid w:val="00A568A3"/>
    <w:rsid w:val="00A63417"/>
    <w:rsid w:val="00A65D8C"/>
    <w:rsid w:val="00A71408"/>
    <w:rsid w:val="00A81995"/>
    <w:rsid w:val="00A92020"/>
    <w:rsid w:val="00A96E43"/>
    <w:rsid w:val="00AA1E67"/>
    <w:rsid w:val="00AA30E0"/>
    <w:rsid w:val="00AC1D19"/>
    <w:rsid w:val="00AC29E6"/>
    <w:rsid w:val="00AD1289"/>
    <w:rsid w:val="00AE2F17"/>
    <w:rsid w:val="00AE442E"/>
    <w:rsid w:val="00B0359E"/>
    <w:rsid w:val="00B06ABD"/>
    <w:rsid w:val="00B106AB"/>
    <w:rsid w:val="00B1506B"/>
    <w:rsid w:val="00B158BE"/>
    <w:rsid w:val="00B21D2B"/>
    <w:rsid w:val="00B22502"/>
    <w:rsid w:val="00B361D7"/>
    <w:rsid w:val="00B425AF"/>
    <w:rsid w:val="00B4306C"/>
    <w:rsid w:val="00B43116"/>
    <w:rsid w:val="00B60D05"/>
    <w:rsid w:val="00B724D7"/>
    <w:rsid w:val="00B73497"/>
    <w:rsid w:val="00B95917"/>
    <w:rsid w:val="00BA1C3A"/>
    <w:rsid w:val="00BC60C9"/>
    <w:rsid w:val="00BD5E95"/>
    <w:rsid w:val="00BE23E7"/>
    <w:rsid w:val="00C06579"/>
    <w:rsid w:val="00C14542"/>
    <w:rsid w:val="00C211C8"/>
    <w:rsid w:val="00C33783"/>
    <w:rsid w:val="00C37750"/>
    <w:rsid w:val="00C37FB3"/>
    <w:rsid w:val="00C45C2C"/>
    <w:rsid w:val="00C52D1F"/>
    <w:rsid w:val="00C52E40"/>
    <w:rsid w:val="00C55693"/>
    <w:rsid w:val="00C752E8"/>
    <w:rsid w:val="00C97743"/>
    <w:rsid w:val="00CA6E22"/>
    <w:rsid w:val="00CB2DD6"/>
    <w:rsid w:val="00CD3E6D"/>
    <w:rsid w:val="00CF0650"/>
    <w:rsid w:val="00D02D74"/>
    <w:rsid w:val="00D11044"/>
    <w:rsid w:val="00D11D38"/>
    <w:rsid w:val="00D5044B"/>
    <w:rsid w:val="00D536F5"/>
    <w:rsid w:val="00D629AA"/>
    <w:rsid w:val="00D6650A"/>
    <w:rsid w:val="00D81BE8"/>
    <w:rsid w:val="00D83BC1"/>
    <w:rsid w:val="00D86970"/>
    <w:rsid w:val="00DA1BEB"/>
    <w:rsid w:val="00DA1F34"/>
    <w:rsid w:val="00DA38C4"/>
    <w:rsid w:val="00DD44CF"/>
    <w:rsid w:val="00DD6483"/>
    <w:rsid w:val="00DF783D"/>
    <w:rsid w:val="00E23F75"/>
    <w:rsid w:val="00E4037D"/>
    <w:rsid w:val="00E45FC4"/>
    <w:rsid w:val="00E806A0"/>
    <w:rsid w:val="00E83A8D"/>
    <w:rsid w:val="00E95A03"/>
    <w:rsid w:val="00EA4A96"/>
    <w:rsid w:val="00EA5432"/>
    <w:rsid w:val="00EA7206"/>
    <w:rsid w:val="00EB6404"/>
    <w:rsid w:val="00EC27F5"/>
    <w:rsid w:val="00ED0D2F"/>
    <w:rsid w:val="00ED458F"/>
    <w:rsid w:val="00EE0A0A"/>
    <w:rsid w:val="00EE1FD0"/>
    <w:rsid w:val="00EF4A6F"/>
    <w:rsid w:val="00F01CFA"/>
    <w:rsid w:val="00F12F89"/>
    <w:rsid w:val="00F163D6"/>
    <w:rsid w:val="00F2055D"/>
    <w:rsid w:val="00F24176"/>
    <w:rsid w:val="00F24E8C"/>
    <w:rsid w:val="00F25154"/>
    <w:rsid w:val="00F2780A"/>
    <w:rsid w:val="00F30107"/>
    <w:rsid w:val="00F335E1"/>
    <w:rsid w:val="00F34AB8"/>
    <w:rsid w:val="00F354FE"/>
    <w:rsid w:val="00F51B8B"/>
    <w:rsid w:val="00F61D6B"/>
    <w:rsid w:val="00F7247E"/>
    <w:rsid w:val="00FA0B7E"/>
    <w:rsid w:val="00FA5633"/>
    <w:rsid w:val="00FC65A7"/>
    <w:rsid w:val="00FC746F"/>
    <w:rsid w:val="00FD3805"/>
    <w:rsid w:val="00FE3977"/>
    <w:rsid w:val="00FE6AF5"/>
    <w:rsid w:val="00FF21A5"/>
    <w:rsid w:val="00FF63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7075E4-69BC-49F2-B391-12A33002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9AA"/>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629AA"/>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629AA"/>
    <w:rPr>
      <w:rFonts w:ascii="Times New Roman" w:eastAsia="PMingLiU" w:hAnsi="Times New Roman" w:cs="Times New Roman"/>
      <w:sz w:val="24"/>
      <w:szCs w:val="24"/>
      <w:lang w:val="es-ES" w:eastAsia="zh-TW"/>
    </w:rPr>
  </w:style>
  <w:style w:type="paragraph" w:styleId="Sinespaciado">
    <w:name w:val="No Spacing"/>
    <w:uiPriority w:val="1"/>
    <w:qFormat/>
    <w:rsid w:val="00D629AA"/>
    <w:pPr>
      <w:spacing w:after="0" w:line="240" w:lineRule="auto"/>
    </w:pPr>
    <w:rPr>
      <w:lang w:val="es-ES"/>
    </w:rPr>
  </w:style>
  <w:style w:type="character" w:customStyle="1" w:styleId="articulo-texto">
    <w:name w:val="articulo-texto"/>
    <w:basedOn w:val="Fuentedeprrafopredeter"/>
    <w:rsid w:val="00061935"/>
  </w:style>
  <w:style w:type="paragraph" w:styleId="Textodeglobo">
    <w:name w:val="Balloon Text"/>
    <w:basedOn w:val="Normal"/>
    <w:link w:val="TextodegloboCar"/>
    <w:uiPriority w:val="99"/>
    <w:semiHidden/>
    <w:unhideWhenUsed/>
    <w:rsid w:val="006039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3930"/>
    <w:rPr>
      <w:rFonts w:ascii="Segoe UI" w:hAnsi="Segoe UI" w:cs="Segoe UI"/>
      <w:sz w:val="18"/>
      <w:szCs w:val="18"/>
    </w:rPr>
  </w:style>
  <w:style w:type="paragraph" w:styleId="Piedepgina">
    <w:name w:val="footer"/>
    <w:basedOn w:val="Normal"/>
    <w:link w:val="PiedepginaCar"/>
    <w:uiPriority w:val="99"/>
    <w:unhideWhenUsed/>
    <w:rsid w:val="00C52E40"/>
    <w:pPr>
      <w:tabs>
        <w:tab w:val="center" w:pos="4419"/>
        <w:tab w:val="right" w:pos="8838"/>
      </w:tabs>
    </w:pPr>
  </w:style>
  <w:style w:type="character" w:customStyle="1" w:styleId="PiedepginaCar">
    <w:name w:val="Pie de página Car"/>
    <w:basedOn w:val="Fuentedeprrafopredeter"/>
    <w:link w:val="Piedepgina"/>
    <w:uiPriority w:val="99"/>
    <w:rsid w:val="00C52E40"/>
  </w:style>
  <w:style w:type="paragraph" w:styleId="Textonotapie">
    <w:name w:val="footnote text"/>
    <w:basedOn w:val="Normal"/>
    <w:link w:val="TextonotapieCar"/>
    <w:uiPriority w:val="99"/>
    <w:semiHidden/>
    <w:unhideWhenUsed/>
    <w:rsid w:val="002C50B3"/>
    <w:rPr>
      <w:sz w:val="20"/>
      <w:szCs w:val="20"/>
    </w:rPr>
  </w:style>
  <w:style w:type="character" w:customStyle="1" w:styleId="TextonotapieCar">
    <w:name w:val="Texto nota pie Car"/>
    <w:basedOn w:val="Fuentedeprrafopredeter"/>
    <w:link w:val="Textonotapie"/>
    <w:uiPriority w:val="99"/>
    <w:semiHidden/>
    <w:rsid w:val="002C50B3"/>
    <w:rPr>
      <w:sz w:val="20"/>
      <w:szCs w:val="20"/>
    </w:rPr>
  </w:style>
  <w:style w:type="character" w:styleId="Refdenotaalpie">
    <w:name w:val="footnote reference"/>
    <w:basedOn w:val="Fuentedeprrafopredeter"/>
    <w:uiPriority w:val="99"/>
    <w:semiHidden/>
    <w:unhideWhenUsed/>
    <w:rsid w:val="002C50B3"/>
    <w:rPr>
      <w:vertAlign w:val="superscript"/>
    </w:rPr>
  </w:style>
  <w:style w:type="paragraph" w:customStyle="1" w:styleId="corte4fondo">
    <w:name w:val="corte4 fondo"/>
    <w:basedOn w:val="Normal"/>
    <w:link w:val="corte4fondoCar"/>
    <w:qFormat/>
    <w:rsid w:val="00A81995"/>
    <w:pPr>
      <w:spacing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A81995"/>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29681">
      <w:bodyDiv w:val="1"/>
      <w:marLeft w:val="0"/>
      <w:marRight w:val="0"/>
      <w:marTop w:val="0"/>
      <w:marBottom w:val="0"/>
      <w:divBdr>
        <w:top w:val="none" w:sz="0" w:space="0" w:color="auto"/>
        <w:left w:val="none" w:sz="0" w:space="0" w:color="auto"/>
        <w:bottom w:val="none" w:sz="0" w:space="0" w:color="auto"/>
        <w:right w:val="none" w:sz="0" w:space="0" w:color="auto"/>
      </w:divBdr>
      <w:divsChild>
        <w:div w:id="557859237">
          <w:marLeft w:val="0"/>
          <w:marRight w:val="0"/>
          <w:marTop w:val="0"/>
          <w:marBottom w:val="0"/>
          <w:divBdr>
            <w:top w:val="none" w:sz="0" w:space="0" w:color="auto"/>
            <w:left w:val="none" w:sz="0" w:space="0" w:color="auto"/>
            <w:bottom w:val="none" w:sz="0" w:space="0" w:color="auto"/>
            <w:right w:val="none" w:sz="0" w:space="0" w:color="auto"/>
          </w:divBdr>
        </w:div>
      </w:divsChild>
    </w:div>
    <w:div w:id="233662413">
      <w:bodyDiv w:val="1"/>
      <w:marLeft w:val="0"/>
      <w:marRight w:val="0"/>
      <w:marTop w:val="0"/>
      <w:marBottom w:val="0"/>
      <w:divBdr>
        <w:top w:val="none" w:sz="0" w:space="0" w:color="auto"/>
        <w:left w:val="none" w:sz="0" w:space="0" w:color="auto"/>
        <w:bottom w:val="none" w:sz="0" w:space="0" w:color="auto"/>
        <w:right w:val="none" w:sz="0" w:space="0" w:color="auto"/>
      </w:divBdr>
      <w:divsChild>
        <w:div w:id="1345941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3BD72-6A3D-4978-B4AC-160DD4BE3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10</Pages>
  <Words>3173</Words>
  <Characters>17454</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20</cp:revision>
  <cp:lastPrinted>2019-12-09T21:38:00Z</cp:lastPrinted>
  <dcterms:created xsi:type="dcterms:W3CDTF">2019-11-22T20:31:00Z</dcterms:created>
  <dcterms:modified xsi:type="dcterms:W3CDTF">2020-01-15T18:06:00Z</dcterms:modified>
</cp:coreProperties>
</file>