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197" w:type="dxa"/>
        <w:tblInd w:w="2734" w:type="dxa"/>
        <w:tblLayout w:type="fixed"/>
        <w:tblLook w:val="0400" w:firstRow="0" w:lastRow="0" w:firstColumn="0" w:lastColumn="0" w:noHBand="0" w:noVBand="1"/>
      </w:tblPr>
      <w:tblGrid>
        <w:gridCol w:w="2511"/>
        <w:gridCol w:w="3530"/>
        <w:gridCol w:w="156"/>
      </w:tblGrid>
      <w:tr w:rsidR="00B5425E" w:rsidTr="00755425">
        <w:trPr>
          <w:gridAfter w:val="1"/>
          <w:wAfter w:w="156" w:type="dxa"/>
          <w:trHeight w:val="568"/>
        </w:trPr>
        <w:tc>
          <w:tcPr>
            <w:tcW w:w="6041" w:type="dxa"/>
            <w:gridSpan w:val="2"/>
          </w:tcPr>
          <w:p w:rsidR="00B5425E" w:rsidRDefault="00D14D86" w:rsidP="00755425">
            <w:pPr>
              <w:pBdr>
                <w:top w:val="nil"/>
                <w:left w:val="nil"/>
                <w:bottom w:val="nil"/>
                <w:right w:val="nil"/>
                <w:between w:val="nil"/>
              </w:pBdr>
              <w:tabs>
                <w:tab w:val="center" w:pos="4419"/>
                <w:tab w:val="right" w:pos="8838"/>
              </w:tabs>
              <w:spacing w:after="0" w:line="240" w:lineRule="auto"/>
              <w:jc w:val="both"/>
              <w:rPr>
                <w:rFonts w:ascii="Arial" w:eastAsia="Arial" w:hAnsi="Arial" w:cs="Arial"/>
                <w:b/>
                <w:color w:val="000000"/>
              </w:rPr>
            </w:pPr>
            <w:r>
              <w:rPr>
                <w:rFonts w:ascii="Arial" w:eastAsia="Arial" w:hAnsi="Arial" w:cs="Arial"/>
                <w:b/>
                <w:color w:val="000000"/>
              </w:rPr>
              <w:t xml:space="preserve">CUARTA SALA UNITARIA DE PRIMERA INSTANCIA DEL TRIBUNAL DE JUSTICIA ADMINISTRATIVA DEL ESTADO DE OAXACA </w:t>
            </w:r>
          </w:p>
          <w:p w:rsidR="00B5425E" w:rsidRDefault="00B5425E" w:rsidP="00755425">
            <w:pPr>
              <w:tabs>
                <w:tab w:val="center" w:pos="4419"/>
                <w:tab w:val="right" w:pos="8838"/>
              </w:tabs>
              <w:spacing w:after="0"/>
              <w:ind w:right="51"/>
              <w:jc w:val="both"/>
              <w:rPr>
                <w:rFonts w:ascii="Arial" w:eastAsia="Arial" w:hAnsi="Arial" w:cs="Arial"/>
              </w:rPr>
            </w:pPr>
          </w:p>
        </w:tc>
      </w:tr>
      <w:tr w:rsidR="00B5425E" w:rsidTr="00755425">
        <w:trPr>
          <w:trHeight w:val="22"/>
        </w:trPr>
        <w:tc>
          <w:tcPr>
            <w:tcW w:w="2511" w:type="dxa"/>
          </w:tcPr>
          <w:p w:rsidR="00B5425E" w:rsidRPr="003349E0" w:rsidRDefault="00D14D86" w:rsidP="00755425">
            <w:pPr>
              <w:tabs>
                <w:tab w:val="center" w:pos="4419"/>
                <w:tab w:val="right" w:pos="8838"/>
              </w:tabs>
              <w:spacing w:after="0" w:line="240" w:lineRule="auto"/>
              <w:ind w:right="-565"/>
              <w:jc w:val="both"/>
              <w:rPr>
                <w:rFonts w:ascii="Arial" w:eastAsia="Arial" w:hAnsi="Arial" w:cs="Arial"/>
                <w:b/>
              </w:rPr>
            </w:pPr>
            <w:r w:rsidRPr="003349E0">
              <w:rPr>
                <w:rFonts w:ascii="Arial" w:eastAsia="Arial" w:hAnsi="Arial" w:cs="Arial"/>
                <w:b/>
                <w:smallCaps/>
              </w:rPr>
              <w:t>JUICIO DE NULIDAD:</w:t>
            </w:r>
          </w:p>
        </w:tc>
        <w:tc>
          <w:tcPr>
            <w:tcW w:w="3686" w:type="dxa"/>
            <w:gridSpan w:val="2"/>
          </w:tcPr>
          <w:p w:rsidR="00B5425E" w:rsidRDefault="003349E0" w:rsidP="00755425">
            <w:pPr>
              <w:tabs>
                <w:tab w:val="right" w:pos="8838"/>
              </w:tabs>
              <w:spacing w:after="0" w:line="240" w:lineRule="auto"/>
              <w:ind w:left="-115"/>
              <w:jc w:val="both"/>
              <w:rPr>
                <w:rFonts w:ascii="Arial" w:eastAsia="Arial" w:hAnsi="Arial" w:cs="Arial"/>
                <w:smallCaps/>
              </w:rPr>
            </w:pPr>
            <w:r>
              <w:rPr>
                <w:rFonts w:ascii="Arial" w:eastAsia="Arial" w:hAnsi="Arial" w:cs="Arial"/>
                <w:smallCaps/>
              </w:rPr>
              <w:t>0020</w:t>
            </w:r>
            <w:r w:rsidR="00D14D86">
              <w:rPr>
                <w:rFonts w:ascii="Arial" w:eastAsia="Arial" w:hAnsi="Arial" w:cs="Arial"/>
                <w:smallCaps/>
              </w:rPr>
              <w:t>/20</w:t>
            </w:r>
            <w:r>
              <w:rPr>
                <w:rFonts w:ascii="Arial" w:eastAsia="Arial" w:hAnsi="Arial" w:cs="Arial"/>
                <w:smallCaps/>
              </w:rPr>
              <w:t>19</w:t>
            </w:r>
          </w:p>
          <w:p w:rsidR="00B5425E" w:rsidRDefault="00B5425E" w:rsidP="00755425">
            <w:pPr>
              <w:tabs>
                <w:tab w:val="right" w:pos="8838"/>
              </w:tabs>
              <w:spacing w:after="0" w:line="240" w:lineRule="auto"/>
              <w:ind w:left="-115"/>
              <w:jc w:val="both"/>
              <w:rPr>
                <w:rFonts w:ascii="Arial" w:eastAsia="Arial" w:hAnsi="Arial" w:cs="Arial"/>
                <w:smallCaps/>
              </w:rPr>
            </w:pPr>
          </w:p>
        </w:tc>
      </w:tr>
      <w:tr w:rsidR="00B5425E" w:rsidTr="00755425">
        <w:trPr>
          <w:trHeight w:val="80"/>
        </w:trPr>
        <w:tc>
          <w:tcPr>
            <w:tcW w:w="2511" w:type="dxa"/>
          </w:tcPr>
          <w:p w:rsidR="00B5425E" w:rsidRDefault="00D14D86" w:rsidP="00755425">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ACTOR:</w:t>
            </w:r>
          </w:p>
        </w:tc>
        <w:tc>
          <w:tcPr>
            <w:tcW w:w="3686" w:type="dxa"/>
            <w:gridSpan w:val="2"/>
          </w:tcPr>
          <w:p w:rsidR="00B5425E" w:rsidRDefault="00431EE4" w:rsidP="00755425">
            <w:pPr>
              <w:spacing w:after="0" w:line="240" w:lineRule="auto"/>
              <w:ind w:left="-115" w:right="51"/>
              <w:jc w:val="both"/>
              <w:rPr>
                <w:rFonts w:ascii="Arial" w:eastAsia="Arial" w:hAnsi="Arial" w:cs="Arial"/>
                <w:smallCaps/>
              </w:rPr>
            </w:pPr>
            <w:r>
              <w:rPr>
                <w:rFonts w:ascii="Arial" w:hAnsi="Arial" w:cs="Arial"/>
                <w:sz w:val="24"/>
                <w:szCs w:val="24"/>
              </w:rPr>
              <w:t>**********</w:t>
            </w:r>
            <w:r w:rsidR="00D14D86">
              <w:rPr>
                <w:rFonts w:ascii="Arial" w:eastAsia="Arial" w:hAnsi="Arial" w:cs="Arial"/>
                <w:smallCaps/>
              </w:rPr>
              <w:t xml:space="preserve"> </w:t>
            </w:r>
          </w:p>
        </w:tc>
      </w:tr>
      <w:tr w:rsidR="00B5425E" w:rsidTr="00755425">
        <w:trPr>
          <w:trHeight w:val="13"/>
        </w:trPr>
        <w:tc>
          <w:tcPr>
            <w:tcW w:w="2511" w:type="dxa"/>
          </w:tcPr>
          <w:p w:rsidR="00B5425E" w:rsidRDefault="00B5425E" w:rsidP="00755425">
            <w:pPr>
              <w:tabs>
                <w:tab w:val="center" w:pos="4419"/>
                <w:tab w:val="right" w:pos="8838"/>
              </w:tabs>
              <w:spacing w:after="0" w:line="240" w:lineRule="auto"/>
              <w:ind w:right="-565"/>
              <w:jc w:val="both"/>
              <w:rPr>
                <w:rFonts w:ascii="Arial" w:eastAsia="Arial" w:hAnsi="Arial" w:cs="Arial"/>
                <w:smallCaps/>
              </w:rPr>
            </w:pPr>
          </w:p>
          <w:p w:rsidR="00B5425E" w:rsidRDefault="00D14D86" w:rsidP="00755425">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DEMANDADO</w:t>
            </w:r>
            <w:r>
              <w:rPr>
                <w:rFonts w:ascii="Arial" w:eastAsia="Arial" w:hAnsi="Arial" w:cs="Arial"/>
                <w:smallCaps/>
              </w:rPr>
              <w:t>:</w:t>
            </w: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Pr="000E37F5" w:rsidRDefault="000E37F5" w:rsidP="00755425">
            <w:pPr>
              <w:tabs>
                <w:tab w:val="center" w:pos="4419"/>
                <w:tab w:val="right" w:pos="8838"/>
              </w:tabs>
              <w:spacing w:after="0" w:line="240" w:lineRule="auto"/>
              <w:ind w:right="-565"/>
              <w:jc w:val="both"/>
              <w:rPr>
                <w:rFonts w:ascii="Arial" w:eastAsia="Arial" w:hAnsi="Arial" w:cs="Arial"/>
                <w:b/>
                <w:smallCaps/>
              </w:rPr>
            </w:pPr>
            <w:r w:rsidRPr="000E37F5">
              <w:rPr>
                <w:rFonts w:ascii="Arial" w:eastAsia="Arial" w:hAnsi="Arial" w:cs="Arial"/>
                <w:b/>
                <w:smallCaps/>
              </w:rPr>
              <w:t>MAGISTRADA:</w:t>
            </w: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p w:rsidR="000E37F5" w:rsidRPr="000E37F5" w:rsidRDefault="000E37F5" w:rsidP="00755425">
            <w:pPr>
              <w:tabs>
                <w:tab w:val="center" w:pos="4419"/>
                <w:tab w:val="right" w:pos="8838"/>
              </w:tabs>
              <w:spacing w:after="0" w:line="240" w:lineRule="auto"/>
              <w:ind w:right="-565"/>
              <w:jc w:val="both"/>
              <w:rPr>
                <w:rFonts w:ascii="Arial" w:eastAsia="Arial" w:hAnsi="Arial" w:cs="Arial"/>
                <w:b/>
                <w:smallCaps/>
              </w:rPr>
            </w:pPr>
            <w:r w:rsidRPr="000E37F5">
              <w:rPr>
                <w:rFonts w:ascii="Arial" w:eastAsia="Arial" w:hAnsi="Arial" w:cs="Arial"/>
                <w:b/>
                <w:smallCaps/>
              </w:rPr>
              <w:t>SECRETARIA:</w:t>
            </w:r>
          </w:p>
          <w:p w:rsidR="000E37F5" w:rsidRDefault="000E37F5" w:rsidP="00755425">
            <w:pPr>
              <w:tabs>
                <w:tab w:val="center" w:pos="4419"/>
                <w:tab w:val="right" w:pos="8838"/>
              </w:tabs>
              <w:spacing w:after="0" w:line="240" w:lineRule="auto"/>
              <w:ind w:right="-565"/>
              <w:jc w:val="both"/>
              <w:rPr>
                <w:rFonts w:ascii="Arial" w:eastAsia="Arial" w:hAnsi="Arial" w:cs="Arial"/>
                <w:smallCaps/>
              </w:rPr>
            </w:pPr>
          </w:p>
        </w:tc>
        <w:tc>
          <w:tcPr>
            <w:tcW w:w="3686" w:type="dxa"/>
            <w:gridSpan w:val="2"/>
          </w:tcPr>
          <w:p w:rsidR="00B5425E" w:rsidRDefault="00B5425E" w:rsidP="00755425">
            <w:pPr>
              <w:spacing w:after="0" w:line="240" w:lineRule="auto"/>
              <w:ind w:left="-115" w:right="51"/>
              <w:jc w:val="both"/>
              <w:rPr>
                <w:rFonts w:ascii="Arial" w:eastAsia="Arial" w:hAnsi="Arial" w:cs="Arial"/>
                <w:smallCaps/>
              </w:rPr>
            </w:pPr>
          </w:p>
          <w:p w:rsidR="00B5425E" w:rsidRDefault="00D14D86" w:rsidP="00755425">
            <w:pPr>
              <w:spacing w:after="0" w:line="240" w:lineRule="auto"/>
              <w:ind w:left="-115" w:right="51"/>
              <w:jc w:val="both"/>
              <w:rPr>
                <w:rFonts w:ascii="Arial" w:eastAsia="Arial" w:hAnsi="Arial" w:cs="Arial"/>
                <w:smallCaps/>
              </w:rPr>
            </w:pPr>
            <w:r>
              <w:rPr>
                <w:rFonts w:ascii="Arial" w:eastAsia="Arial" w:hAnsi="Arial" w:cs="Arial"/>
                <w:smallCaps/>
              </w:rPr>
              <w:t>DIRECTORA DE</w:t>
            </w:r>
            <w:r w:rsidR="003349E0">
              <w:rPr>
                <w:rFonts w:ascii="Arial" w:eastAsia="Arial" w:hAnsi="Arial" w:cs="Arial"/>
                <w:smallCaps/>
              </w:rPr>
              <w:t xml:space="preserve"> LO CONTENCIOSO DE LA PROCURADURIA FISCAL </w:t>
            </w:r>
            <w:r>
              <w:rPr>
                <w:rFonts w:ascii="Arial" w:eastAsia="Arial" w:hAnsi="Arial" w:cs="Arial"/>
                <w:smallCaps/>
              </w:rPr>
              <w:t>DE LA SECRETARÍA DE FINANZAS DEL PODER EJECUTIVO DEL ESTADO</w:t>
            </w:r>
            <w:r w:rsidR="000E37F5">
              <w:rPr>
                <w:rFonts w:ascii="Arial" w:eastAsia="Arial" w:hAnsi="Arial" w:cs="Arial"/>
                <w:smallCaps/>
              </w:rPr>
              <w:t xml:space="preserve"> DE OAXACA</w:t>
            </w:r>
          </w:p>
          <w:p w:rsidR="000E37F5" w:rsidRDefault="000E37F5" w:rsidP="00755425">
            <w:pPr>
              <w:spacing w:after="0" w:line="240" w:lineRule="auto"/>
              <w:ind w:left="-115" w:right="51"/>
              <w:jc w:val="both"/>
              <w:rPr>
                <w:rFonts w:ascii="Arial" w:eastAsia="Arial" w:hAnsi="Arial" w:cs="Arial"/>
                <w:smallCaps/>
              </w:rPr>
            </w:pPr>
          </w:p>
          <w:p w:rsidR="000E37F5" w:rsidRDefault="000E37F5" w:rsidP="00755425">
            <w:pPr>
              <w:spacing w:after="0" w:line="240" w:lineRule="auto"/>
              <w:ind w:left="-115" w:right="51"/>
              <w:jc w:val="both"/>
              <w:rPr>
                <w:rFonts w:ascii="Arial" w:eastAsia="Arial" w:hAnsi="Arial" w:cs="Arial"/>
                <w:smallCaps/>
              </w:rPr>
            </w:pPr>
            <w:r>
              <w:rPr>
                <w:rFonts w:ascii="Arial" w:eastAsia="Arial" w:hAnsi="Arial" w:cs="Arial"/>
                <w:smallCaps/>
              </w:rPr>
              <w:t>LIC. ALEJANDRA GEORGINA VILLACAÑA ABASCAL</w:t>
            </w:r>
          </w:p>
          <w:p w:rsidR="000E37F5" w:rsidRDefault="000E37F5" w:rsidP="00755425">
            <w:pPr>
              <w:spacing w:after="0" w:line="240" w:lineRule="auto"/>
              <w:ind w:left="-115" w:right="51"/>
              <w:jc w:val="both"/>
              <w:rPr>
                <w:rFonts w:ascii="Arial" w:eastAsia="Arial" w:hAnsi="Arial" w:cs="Arial"/>
                <w:smallCaps/>
              </w:rPr>
            </w:pPr>
          </w:p>
          <w:p w:rsidR="000E37F5" w:rsidRDefault="000E37F5" w:rsidP="00755425">
            <w:pPr>
              <w:spacing w:after="0" w:line="240" w:lineRule="auto"/>
              <w:ind w:left="-115" w:right="51"/>
              <w:jc w:val="both"/>
              <w:rPr>
                <w:rFonts w:ascii="Arial" w:eastAsia="Arial" w:hAnsi="Arial" w:cs="Arial"/>
                <w:smallCaps/>
              </w:rPr>
            </w:pPr>
            <w:r>
              <w:rPr>
                <w:rFonts w:ascii="Arial" w:eastAsia="Arial" w:hAnsi="Arial" w:cs="Arial"/>
                <w:smallCaps/>
              </w:rPr>
              <w:t>LIC. MONSERRAT GARCÍA VILLACAÑA ABASCAL</w:t>
            </w:r>
          </w:p>
        </w:tc>
      </w:tr>
    </w:tbl>
    <w:p w:rsidR="00B93886" w:rsidRDefault="00B93886" w:rsidP="00B93886">
      <w:pPr>
        <w:spacing w:after="0" w:line="240" w:lineRule="auto"/>
        <w:jc w:val="both"/>
        <w:rPr>
          <w:rFonts w:ascii="Arial" w:eastAsia="Arial" w:hAnsi="Arial" w:cs="Arial"/>
          <w:b/>
          <w:sz w:val="24"/>
          <w:szCs w:val="24"/>
        </w:rPr>
      </w:pPr>
    </w:p>
    <w:p w:rsidR="00B5425E" w:rsidRDefault="00D14D86">
      <w:pPr>
        <w:spacing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FA00BF">
        <w:rPr>
          <w:rFonts w:ascii="Arial" w:eastAsia="Arial" w:hAnsi="Arial" w:cs="Arial"/>
          <w:b/>
          <w:sz w:val="24"/>
          <w:szCs w:val="24"/>
        </w:rPr>
        <w:t xml:space="preserve">A DIECIOCHO DE ENERO </w:t>
      </w:r>
      <w:r>
        <w:rPr>
          <w:rFonts w:ascii="Arial" w:eastAsia="Arial" w:hAnsi="Arial" w:cs="Arial"/>
          <w:b/>
          <w:sz w:val="24"/>
          <w:szCs w:val="24"/>
        </w:rPr>
        <w:t>DE DOS MIL VEINTI</w:t>
      </w:r>
      <w:r w:rsidR="007E13B8">
        <w:rPr>
          <w:rFonts w:ascii="Arial" w:eastAsia="Arial" w:hAnsi="Arial" w:cs="Arial"/>
          <w:b/>
          <w:sz w:val="24"/>
          <w:szCs w:val="24"/>
        </w:rPr>
        <w:t>TRÉS</w:t>
      </w:r>
      <w:r>
        <w:rPr>
          <w:rFonts w:ascii="Arial" w:eastAsia="Arial" w:hAnsi="Arial" w:cs="Arial"/>
          <w:b/>
          <w:sz w:val="24"/>
          <w:szCs w:val="24"/>
        </w:rPr>
        <w:t xml:space="preserve">. </w:t>
      </w:r>
      <w:r w:rsidR="00FA00BF">
        <w:rPr>
          <w:rFonts w:ascii="Arial" w:eastAsia="Arial" w:hAnsi="Arial" w:cs="Arial"/>
          <w:b/>
          <w:sz w:val="24"/>
          <w:szCs w:val="24"/>
        </w:rPr>
        <w:t>- - - - - - - - - - - - - - - - - - - - - - - - - - - - - - - - - - - - - - - - - - - - - - - - - - -</w:t>
      </w:r>
    </w:p>
    <w:p w:rsidR="00B5425E" w:rsidRDefault="00D14D86" w:rsidP="00574525">
      <w:pPr>
        <w:spacing w:line="360" w:lineRule="auto"/>
        <w:ind w:firstLine="567"/>
        <w:jc w:val="both"/>
        <w:rPr>
          <w:rFonts w:ascii="Arial" w:eastAsia="Arial" w:hAnsi="Arial" w:cs="Arial"/>
          <w:sz w:val="24"/>
          <w:szCs w:val="24"/>
        </w:rPr>
      </w:pPr>
      <w:r>
        <w:rPr>
          <w:rFonts w:ascii="Arial" w:eastAsia="Arial" w:hAnsi="Arial" w:cs="Arial"/>
          <w:b/>
          <w:sz w:val="24"/>
          <w:szCs w:val="24"/>
        </w:rPr>
        <w:t>VISTOS</w:t>
      </w:r>
      <w:r>
        <w:rPr>
          <w:rFonts w:ascii="Arial" w:eastAsia="Arial" w:hAnsi="Arial" w:cs="Arial"/>
          <w:sz w:val="24"/>
          <w:szCs w:val="24"/>
        </w:rPr>
        <w:t xml:space="preserve">, para resolver los autos del juicio de nulidad número </w:t>
      </w:r>
      <w:r>
        <w:rPr>
          <w:rFonts w:ascii="Arial" w:eastAsia="Arial" w:hAnsi="Arial" w:cs="Arial"/>
          <w:b/>
          <w:sz w:val="24"/>
          <w:szCs w:val="24"/>
        </w:rPr>
        <w:t>00</w:t>
      </w:r>
      <w:r w:rsidR="003349E0">
        <w:rPr>
          <w:rFonts w:ascii="Arial" w:eastAsia="Arial" w:hAnsi="Arial" w:cs="Arial"/>
          <w:b/>
          <w:sz w:val="24"/>
          <w:szCs w:val="24"/>
        </w:rPr>
        <w:t>20/2019</w:t>
      </w:r>
      <w:r>
        <w:rPr>
          <w:rFonts w:ascii="Arial" w:eastAsia="Arial" w:hAnsi="Arial" w:cs="Arial"/>
          <w:sz w:val="24"/>
          <w:szCs w:val="24"/>
        </w:rPr>
        <w:t xml:space="preserve">, promovido por </w:t>
      </w:r>
      <w:r w:rsidR="00431EE4">
        <w:rPr>
          <w:rFonts w:ascii="Arial" w:hAnsi="Arial" w:cs="Arial"/>
          <w:sz w:val="24"/>
          <w:szCs w:val="24"/>
        </w:rPr>
        <w:t>**********</w:t>
      </w:r>
      <w:r>
        <w:rPr>
          <w:rFonts w:ascii="Arial" w:eastAsia="Arial" w:hAnsi="Arial" w:cs="Arial"/>
          <w:sz w:val="24"/>
          <w:szCs w:val="24"/>
        </w:rPr>
        <w:t xml:space="preserve">, en contra de: </w:t>
      </w:r>
      <w:r>
        <w:rPr>
          <w:rFonts w:ascii="Arial" w:eastAsia="Arial" w:hAnsi="Arial" w:cs="Arial"/>
          <w:b/>
          <w:sz w:val="24"/>
          <w:szCs w:val="24"/>
        </w:rPr>
        <w:t xml:space="preserve">a) </w:t>
      </w:r>
      <w:r>
        <w:rPr>
          <w:rFonts w:ascii="Arial" w:eastAsia="Arial" w:hAnsi="Arial" w:cs="Arial"/>
          <w:sz w:val="24"/>
          <w:szCs w:val="24"/>
        </w:rPr>
        <w:t xml:space="preserve">la resolución </w:t>
      </w:r>
      <w:r w:rsidR="003349E0">
        <w:rPr>
          <w:rFonts w:ascii="Arial" w:eastAsia="Arial" w:hAnsi="Arial" w:cs="Arial"/>
          <w:sz w:val="24"/>
          <w:szCs w:val="24"/>
        </w:rPr>
        <w:t xml:space="preserve">de tres </w:t>
      </w:r>
      <w:r w:rsidR="00574525">
        <w:rPr>
          <w:rFonts w:ascii="Arial" w:eastAsia="Arial" w:hAnsi="Arial" w:cs="Arial"/>
          <w:sz w:val="24"/>
          <w:szCs w:val="24"/>
        </w:rPr>
        <w:t xml:space="preserve">de diciembre de dos mil dieciocho con número de oficio </w:t>
      </w:r>
      <w:r w:rsidR="00431EE4">
        <w:rPr>
          <w:rFonts w:ascii="Arial" w:hAnsi="Arial" w:cs="Arial"/>
          <w:sz w:val="24"/>
          <w:szCs w:val="24"/>
        </w:rPr>
        <w:t>**********</w:t>
      </w:r>
      <w:r w:rsidR="00574525">
        <w:rPr>
          <w:rFonts w:ascii="Arial" w:eastAsia="Arial" w:hAnsi="Arial" w:cs="Arial"/>
          <w:b/>
          <w:sz w:val="24"/>
          <w:szCs w:val="24"/>
        </w:rPr>
        <w:t xml:space="preserve">, </w:t>
      </w:r>
      <w:r w:rsidR="00574525">
        <w:rPr>
          <w:rFonts w:ascii="Arial" w:eastAsia="Arial" w:hAnsi="Arial" w:cs="Arial"/>
          <w:sz w:val="24"/>
          <w:szCs w:val="24"/>
        </w:rPr>
        <w:t xml:space="preserve">dictada en el expediente administrativo </w:t>
      </w:r>
      <w:r w:rsidR="00431EE4">
        <w:rPr>
          <w:rFonts w:ascii="Arial" w:hAnsi="Arial" w:cs="Arial"/>
          <w:sz w:val="24"/>
          <w:szCs w:val="24"/>
        </w:rPr>
        <w:t>**********</w:t>
      </w:r>
      <w:r>
        <w:rPr>
          <w:rFonts w:ascii="Arial" w:eastAsia="Arial" w:hAnsi="Arial" w:cs="Arial"/>
          <w:sz w:val="24"/>
          <w:szCs w:val="24"/>
        </w:rPr>
        <w:t xml:space="preserve">, por </w:t>
      </w:r>
      <w:r w:rsidR="00574525">
        <w:rPr>
          <w:rFonts w:ascii="Arial" w:eastAsia="Arial" w:hAnsi="Arial" w:cs="Arial"/>
          <w:sz w:val="24"/>
          <w:szCs w:val="24"/>
        </w:rPr>
        <w:t>la</w:t>
      </w:r>
      <w:r>
        <w:rPr>
          <w:rFonts w:ascii="Arial" w:eastAsia="Arial" w:hAnsi="Arial" w:cs="Arial"/>
          <w:sz w:val="24"/>
          <w:szCs w:val="24"/>
        </w:rPr>
        <w:t xml:space="preserve"> </w:t>
      </w:r>
      <w:r w:rsidR="00574525">
        <w:rPr>
          <w:rFonts w:ascii="Arial" w:eastAsia="Arial" w:hAnsi="Arial" w:cs="Arial"/>
          <w:b/>
          <w:sz w:val="24"/>
          <w:szCs w:val="24"/>
        </w:rPr>
        <w:t>DIRECTORA DE LO CONTENCIOSO DE LA PROCURADURÍA FISCAL DE LA SECERTARÍA</w:t>
      </w:r>
      <w:r>
        <w:rPr>
          <w:rFonts w:ascii="Arial" w:eastAsia="Arial" w:hAnsi="Arial" w:cs="Arial"/>
          <w:b/>
          <w:sz w:val="24"/>
          <w:szCs w:val="24"/>
        </w:rPr>
        <w:t xml:space="preserve"> DE FINANZAS DEL PODER EJECUTIVO DEL ESTADO</w:t>
      </w:r>
      <w:r>
        <w:rPr>
          <w:rFonts w:ascii="Arial" w:eastAsia="Arial" w:hAnsi="Arial" w:cs="Arial"/>
          <w:sz w:val="24"/>
          <w:szCs w:val="24"/>
        </w:rPr>
        <w:t xml:space="preserve">; y </w:t>
      </w:r>
      <w:r>
        <w:rPr>
          <w:rFonts w:ascii="Arial" w:eastAsia="Arial" w:hAnsi="Arial" w:cs="Arial"/>
          <w:b/>
          <w:sz w:val="24"/>
          <w:szCs w:val="24"/>
        </w:rPr>
        <w:t xml:space="preserve">b) </w:t>
      </w:r>
      <w:r>
        <w:rPr>
          <w:rFonts w:ascii="Arial" w:eastAsia="Arial" w:hAnsi="Arial" w:cs="Arial"/>
          <w:sz w:val="24"/>
          <w:szCs w:val="24"/>
        </w:rPr>
        <w:t xml:space="preserve">la multa por infracción relacionada con la presentación de declaraciones del impuesto sobre erogaciones por remuneraciones al trabajo personal, contenida en el oficio con número de control </w:t>
      </w:r>
      <w:r w:rsidR="00431EE4">
        <w:rPr>
          <w:rFonts w:ascii="Arial" w:hAnsi="Arial" w:cs="Arial"/>
          <w:sz w:val="24"/>
          <w:szCs w:val="24"/>
        </w:rPr>
        <w:t>**********</w:t>
      </w:r>
      <w:r>
        <w:rPr>
          <w:rFonts w:ascii="Arial" w:eastAsia="Arial" w:hAnsi="Arial" w:cs="Arial"/>
          <w:b/>
          <w:sz w:val="24"/>
          <w:szCs w:val="24"/>
        </w:rPr>
        <w:t xml:space="preserve"> </w:t>
      </w:r>
      <w:r>
        <w:rPr>
          <w:rFonts w:ascii="Arial" w:eastAsia="Arial" w:hAnsi="Arial" w:cs="Arial"/>
          <w:sz w:val="24"/>
          <w:szCs w:val="24"/>
        </w:rPr>
        <w:t xml:space="preserve">de </w:t>
      </w:r>
      <w:r w:rsidR="00E764AE">
        <w:rPr>
          <w:rFonts w:ascii="Arial" w:eastAsia="Arial" w:hAnsi="Arial" w:cs="Arial"/>
          <w:sz w:val="24"/>
          <w:szCs w:val="24"/>
        </w:rPr>
        <w:t>veintisiete</w:t>
      </w:r>
      <w:r>
        <w:rPr>
          <w:rFonts w:ascii="Arial" w:eastAsia="Arial" w:hAnsi="Arial" w:cs="Arial"/>
          <w:sz w:val="24"/>
          <w:szCs w:val="24"/>
        </w:rPr>
        <w:t xml:space="preserve"> de </w:t>
      </w:r>
      <w:r w:rsidR="00E764AE">
        <w:rPr>
          <w:rFonts w:ascii="Arial" w:eastAsia="Arial" w:hAnsi="Arial" w:cs="Arial"/>
          <w:sz w:val="24"/>
          <w:szCs w:val="24"/>
        </w:rPr>
        <w:t>julio</w:t>
      </w:r>
      <w:r>
        <w:rPr>
          <w:rFonts w:ascii="Arial" w:eastAsia="Arial" w:hAnsi="Arial" w:cs="Arial"/>
          <w:sz w:val="24"/>
          <w:szCs w:val="24"/>
        </w:rPr>
        <w:t xml:space="preserve"> de dos mil </w:t>
      </w:r>
      <w:r w:rsidR="00E764AE">
        <w:rPr>
          <w:rFonts w:ascii="Arial" w:eastAsia="Arial" w:hAnsi="Arial" w:cs="Arial"/>
          <w:sz w:val="24"/>
          <w:szCs w:val="24"/>
        </w:rPr>
        <w:t>di</w:t>
      </w:r>
      <w:r w:rsidR="00535C7D">
        <w:rPr>
          <w:rFonts w:ascii="Arial" w:eastAsia="Arial" w:hAnsi="Arial" w:cs="Arial"/>
          <w:sz w:val="24"/>
          <w:szCs w:val="24"/>
        </w:rPr>
        <w:t>ec</w:t>
      </w:r>
      <w:r w:rsidR="00E764AE">
        <w:rPr>
          <w:rFonts w:ascii="Arial" w:eastAsia="Arial" w:hAnsi="Arial" w:cs="Arial"/>
          <w:sz w:val="24"/>
          <w:szCs w:val="24"/>
        </w:rPr>
        <w:t>iocho</w:t>
      </w:r>
      <w:r>
        <w:rPr>
          <w:rFonts w:ascii="Arial" w:eastAsia="Arial" w:hAnsi="Arial" w:cs="Arial"/>
          <w:sz w:val="24"/>
          <w:szCs w:val="24"/>
        </w:rPr>
        <w:t xml:space="preserve">, emitido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 xml:space="preserve">.- - - </w:t>
      </w:r>
    </w:p>
    <w:p w:rsidR="00B5425E" w:rsidRDefault="00D14D86">
      <w:pPr>
        <w:widowControl w:val="0"/>
        <w:spacing w:line="360" w:lineRule="auto"/>
        <w:ind w:right="51"/>
        <w:jc w:val="center"/>
        <w:rPr>
          <w:rFonts w:ascii="Arial" w:eastAsia="Arial" w:hAnsi="Arial" w:cs="Arial"/>
          <w:b/>
          <w:sz w:val="24"/>
          <w:szCs w:val="24"/>
        </w:rPr>
      </w:pPr>
      <w:r>
        <w:rPr>
          <w:rFonts w:ascii="Arial" w:eastAsia="Arial" w:hAnsi="Arial" w:cs="Arial"/>
          <w:b/>
          <w:sz w:val="24"/>
          <w:szCs w:val="24"/>
        </w:rPr>
        <w:t>R E S U L T A N D O:</w:t>
      </w:r>
    </w:p>
    <w:p w:rsidR="00535C7D" w:rsidRPr="00535C7D" w:rsidRDefault="00D14D86" w:rsidP="00535C7D">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PRIMERO. </w:t>
      </w:r>
      <w:r w:rsidR="00535C7D">
        <w:rPr>
          <w:rFonts w:ascii="Arial" w:eastAsia="Arial" w:hAnsi="Arial" w:cs="Arial"/>
          <w:sz w:val="24"/>
          <w:szCs w:val="24"/>
        </w:rPr>
        <w:t xml:space="preserve">Por auto de ocho de marzo de dos mil dieciocho, </w:t>
      </w:r>
      <w:r w:rsidR="00535C7D">
        <w:rPr>
          <w:rFonts w:ascii="Arial" w:eastAsia="Arial" w:hAnsi="Arial" w:cs="Arial"/>
          <w:b/>
          <w:sz w:val="24"/>
          <w:szCs w:val="24"/>
        </w:rPr>
        <w:t xml:space="preserve">se </w:t>
      </w:r>
      <w:r w:rsidR="007E13B8">
        <w:rPr>
          <w:rFonts w:ascii="Arial" w:eastAsia="Arial" w:hAnsi="Arial" w:cs="Arial"/>
          <w:b/>
          <w:sz w:val="24"/>
          <w:szCs w:val="24"/>
        </w:rPr>
        <w:t>reservó</w:t>
      </w:r>
      <w:r w:rsidR="00535C7D">
        <w:rPr>
          <w:rFonts w:ascii="Arial" w:eastAsia="Arial" w:hAnsi="Arial" w:cs="Arial"/>
          <w:b/>
          <w:sz w:val="24"/>
          <w:szCs w:val="24"/>
        </w:rPr>
        <w:t xml:space="preserve"> la admisión </w:t>
      </w:r>
      <w:r w:rsidR="00535C7D">
        <w:rPr>
          <w:rFonts w:ascii="Arial" w:eastAsia="Arial" w:hAnsi="Arial" w:cs="Arial"/>
          <w:sz w:val="24"/>
          <w:szCs w:val="24"/>
        </w:rPr>
        <w:t xml:space="preserve">de la demanda, ya que se advirtió un acto primigenio y se requirió a la parte actora </w:t>
      </w:r>
      <w:r w:rsidR="0057579C">
        <w:rPr>
          <w:rFonts w:ascii="Arial" w:hAnsi="Arial" w:cs="Arial"/>
          <w:sz w:val="24"/>
          <w:szCs w:val="24"/>
        </w:rPr>
        <w:t>**********</w:t>
      </w:r>
      <w:r w:rsidR="00535C7D">
        <w:rPr>
          <w:rFonts w:ascii="Arial" w:eastAsia="Arial" w:hAnsi="Arial" w:cs="Arial"/>
          <w:sz w:val="24"/>
          <w:szCs w:val="24"/>
        </w:rPr>
        <w:t>, para que cumpliera con las prevenciones hechas</w:t>
      </w:r>
      <w:r w:rsidR="007E13B8">
        <w:rPr>
          <w:rFonts w:ascii="Arial" w:eastAsia="Arial" w:hAnsi="Arial" w:cs="Arial"/>
          <w:sz w:val="24"/>
          <w:szCs w:val="24"/>
        </w:rPr>
        <w:t>,</w:t>
      </w:r>
      <w:r w:rsidR="00535C7D">
        <w:rPr>
          <w:rFonts w:ascii="Arial" w:eastAsia="Arial" w:hAnsi="Arial" w:cs="Arial"/>
          <w:sz w:val="24"/>
          <w:szCs w:val="24"/>
        </w:rPr>
        <w:t xml:space="preserve"> c</w:t>
      </w:r>
      <w:r w:rsidR="007E13B8">
        <w:rPr>
          <w:rFonts w:ascii="Arial" w:eastAsia="Arial" w:hAnsi="Arial" w:cs="Arial"/>
          <w:sz w:val="24"/>
          <w:szCs w:val="24"/>
        </w:rPr>
        <w:t xml:space="preserve">on el apercibimiento legal que </w:t>
      </w:r>
      <w:r w:rsidR="00535C7D">
        <w:rPr>
          <w:rFonts w:ascii="Arial" w:eastAsia="Arial" w:hAnsi="Arial" w:cs="Arial"/>
          <w:sz w:val="24"/>
          <w:szCs w:val="24"/>
        </w:rPr>
        <w:t>para el caso de no hacerlo se desecharía su demanda (fojas 37 y 38).</w:t>
      </w:r>
    </w:p>
    <w:p w:rsidR="00B5425E" w:rsidRDefault="00535C7D">
      <w:pPr>
        <w:spacing w:line="360" w:lineRule="auto"/>
        <w:ind w:right="51" w:firstLine="567"/>
        <w:jc w:val="both"/>
        <w:rPr>
          <w:rFonts w:ascii="Arial" w:eastAsia="Arial" w:hAnsi="Arial" w:cs="Arial"/>
          <w:b/>
          <w:sz w:val="24"/>
          <w:szCs w:val="24"/>
        </w:rPr>
      </w:pPr>
      <w:r>
        <w:rPr>
          <w:rFonts w:ascii="Arial" w:eastAsia="Arial" w:hAnsi="Arial" w:cs="Arial"/>
          <w:b/>
          <w:sz w:val="24"/>
          <w:szCs w:val="24"/>
        </w:rPr>
        <w:t xml:space="preserve">SEGUNDO. </w:t>
      </w:r>
      <w:r>
        <w:rPr>
          <w:rFonts w:ascii="Arial" w:eastAsia="Arial" w:hAnsi="Arial" w:cs="Arial"/>
          <w:sz w:val="24"/>
          <w:szCs w:val="24"/>
        </w:rPr>
        <w:t>Mediante</w:t>
      </w:r>
      <w:r w:rsidR="00FB47F8">
        <w:rPr>
          <w:rFonts w:ascii="Arial" w:eastAsia="Arial" w:hAnsi="Arial" w:cs="Arial"/>
          <w:sz w:val="24"/>
          <w:szCs w:val="24"/>
        </w:rPr>
        <w:t xml:space="preserve"> auto de veinticuatro de septiembre de dos mil diecinueve</w:t>
      </w:r>
      <w:r w:rsidR="00D14D86">
        <w:rPr>
          <w:rFonts w:ascii="Arial" w:eastAsia="Arial" w:hAnsi="Arial" w:cs="Arial"/>
          <w:sz w:val="24"/>
          <w:szCs w:val="24"/>
        </w:rPr>
        <w:t xml:space="preserve">, se </w:t>
      </w:r>
      <w:r w:rsidR="00D14D86">
        <w:rPr>
          <w:rFonts w:ascii="Arial" w:eastAsia="Arial" w:hAnsi="Arial" w:cs="Arial"/>
          <w:b/>
          <w:sz w:val="24"/>
          <w:szCs w:val="24"/>
        </w:rPr>
        <w:t xml:space="preserve">admitió </w:t>
      </w:r>
      <w:r w:rsidR="00D14D86">
        <w:rPr>
          <w:rFonts w:ascii="Arial" w:eastAsia="Arial" w:hAnsi="Arial" w:cs="Arial"/>
          <w:sz w:val="24"/>
          <w:szCs w:val="24"/>
        </w:rPr>
        <w:t xml:space="preserve">a trámite la demanda de nulidad, interpuesta por </w:t>
      </w:r>
      <w:r w:rsidR="0057579C">
        <w:rPr>
          <w:rFonts w:ascii="Arial" w:hAnsi="Arial" w:cs="Arial"/>
          <w:sz w:val="24"/>
          <w:szCs w:val="24"/>
        </w:rPr>
        <w:t>**********</w:t>
      </w:r>
      <w:r w:rsidR="00D14D86">
        <w:rPr>
          <w:rFonts w:ascii="Arial" w:eastAsia="Arial" w:hAnsi="Arial" w:cs="Arial"/>
          <w:sz w:val="24"/>
          <w:szCs w:val="24"/>
        </w:rPr>
        <w:t xml:space="preserve">, ordenándose notificar, emplazar y correr traslado a la </w:t>
      </w:r>
      <w:r w:rsidR="00D14D86">
        <w:rPr>
          <w:rFonts w:ascii="Arial" w:eastAsia="Arial" w:hAnsi="Arial" w:cs="Arial"/>
          <w:b/>
          <w:sz w:val="24"/>
          <w:szCs w:val="24"/>
        </w:rPr>
        <w:t>autoridad demandada</w:t>
      </w:r>
      <w:r w:rsidR="00D14D86">
        <w:rPr>
          <w:rFonts w:ascii="Arial" w:eastAsia="Arial" w:hAnsi="Arial" w:cs="Arial"/>
          <w:sz w:val="24"/>
          <w:szCs w:val="24"/>
        </w:rPr>
        <w:t xml:space="preserve">, para que dentro del término de ley la contestara, </w:t>
      </w:r>
      <w:r w:rsidR="00D14D86">
        <w:rPr>
          <w:rFonts w:ascii="Arial" w:eastAsia="Arial" w:hAnsi="Arial" w:cs="Arial"/>
          <w:b/>
          <w:sz w:val="24"/>
          <w:szCs w:val="24"/>
        </w:rPr>
        <w:t>apercibida</w:t>
      </w:r>
      <w:r w:rsidR="00D14D86">
        <w:rPr>
          <w:rFonts w:ascii="Arial" w:eastAsia="Arial" w:hAnsi="Arial" w:cs="Arial"/>
          <w:sz w:val="24"/>
          <w:szCs w:val="24"/>
        </w:rPr>
        <w:t xml:space="preserve"> que para el caso de no hacerlo se declararía </w:t>
      </w:r>
      <w:r w:rsidR="0057579C">
        <w:rPr>
          <w:rFonts w:ascii="Arial" w:eastAsia="Arial" w:hAnsi="Arial" w:cs="Arial"/>
          <w:sz w:val="24"/>
          <w:szCs w:val="24"/>
        </w:rPr>
        <w:t>precluído</w:t>
      </w:r>
      <w:r w:rsidR="00D14D86">
        <w:rPr>
          <w:rFonts w:ascii="Arial" w:eastAsia="Arial" w:hAnsi="Arial" w:cs="Arial"/>
          <w:sz w:val="24"/>
          <w:szCs w:val="24"/>
        </w:rPr>
        <w:t xml:space="preserve"> su derecho y se le tendría contestando la demanda en sentido afirmativo, sal</w:t>
      </w:r>
      <w:r w:rsidR="00FB47F8">
        <w:rPr>
          <w:rFonts w:ascii="Arial" w:eastAsia="Arial" w:hAnsi="Arial" w:cs="Arial"/>
          <w:sz w:val="24"/>
          <w:szCs w:val="24"/>
        </w:rPr>
        <w:t>vo prueba en contrario (fojas 43 y 44</w:t>
      </w:r>
      <w:r w:rsidR="00D14D86">
        <w:rPr>
          <w:rFonts w:ascii="Arial" w:eastAsia="Arial" w:hAnsi="Arial" w:cs="Arial"/>
          <w:sz w:val="24"/>
          <w:szCs w:val="24"/>
        </w:rPr>
        <w:t>).</w:t>
      </w:r>
    </w:p>
    <w:p w:rsidR="00B5425E" w:rsidRDefault="00FF3DEB">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TERCERO. </w:t>
      </w:r>
      <w:r w:rsidR="00FB47F8">
        <w:rPr>
          <w:rFonts w:ascii="Arial" w:eastAsia="Arial" w:hAnsi="Arial" w:cs="Arial"/>
          <w:sz w:val="24"/>
          <w:szCs w:val="24"/>
        </w:rPr>
        <w:t>Por acuerdo de cuatro de diciembre de dos mil diecinueve</w:t>
      </w:r>
      <w:r w:rsidR="00D14D86">
        <w:rPr>
          <w:rFonts w:ascii="Arial" w:eastAsia="Arial" w:hAnsi="Arial" w:cs="Arial"/>
          <w:sz w:val="24"/>
          <w:szCs w:val="24"/>
        </w:rPr>
        <w:t xml:space="preserve">, se tuvo a la </w:t>
      </w:r>
      <w:r w:rsidR="00D14D86">
        <w:rPr>
          <w:rFonts w:ascii="Arial" w:eastAsia="Arial" w:hAnsi="Arial" w:cs="Arial"/>
          <w:b/>
          <w:sz w:val="24"/>
          <w:szCs w:val="24"/>
        </w:rPr>
        <w:t>autoridad demandada</w:t>
      </w:r>
      <w:r w:rsidR="00D14D86">
        <w:rPr>
          <w:rFonts w:ascii="Arial" w:eastAsia="Arial" w:hAnsi="Arial" w:cs="Arial"/>
          <w:sz w:val="24"/>
          <w:szCs w:val="24"/>
        </w:rPr>
        <w:t xml:space="preserve"> </w:t>
      </w:r>
      <w:r w:rsidR="00D14D86">
        <w:rPr>
          <w:rFonts w:ascii="Arial" w:eastAsia="Arial" w:hAnsi="Arial" w:cs="Arial"/>
          <w:b/>
          <w:sz w:val="24"/>
          <w:szCs w:val="24"/>
        </w:rPr>
        <w:t>contestando la demanda de nulidad</w:t>
      </w:r>
      <w:r w:rsidR="00D14D86">
        <w:rPr>
          <w:rFonts w:ascii="Arial" w:eastAsia="Arial" w:hAnsi="Arial" w:cs="Arial"/>
          <w:sz w:val="24"/>
          <w:szCs w:val="24"/>
        </w:rPr>
        <w:t xml:space="preserve">, haciendo valer </w:t>
      </w:r>
      <w:r w:rsidR="00D14D86">
        <w:rPr>
          <w:rFonts w:ascii="Arial" w:eastAsia="Arial" w:hAnsi="Arial" w:cs="Arial"/>
          <w:sz w:val="24"/>
          <w:szCs w:val="24"/>
        </w:rPr>
        <w:lastRenderedPageBreak/>
        <w:t xml:space="preserve">sus excepciones y defensas, por ofrecidas y admitidas sus pruebas, ordenándose correr traslado a la parte actora; señalándose día y hora para la celebración </w:t>
      </w:r>
      <w:r>
        <w:rPr>
          <w:rFonts w:ascii="Arial" w:eastAsia="Arial" w:hAnsi="Arial" w:cs="Arial"/>
          <w:sz w:val="24"/>
          <w:szCs w:val="24"/>
        </w:rPr>
        <w:t>de la Audiencia de Ley (fojas 94 y</w:t>
      </w:r>
      <w:r w:rsidR="006D6364">
        <w:rPr>
          <w:rFonts w:ascii="Arial" w:eastAsia="Arial" w:hAnsi="Arial" w:cs="Arial"/>
          <w:sz w:val="24"/>
          <w:szCs w:val="24"/>
        </w:rPr>
        <w:t xml:space="preserve"> 95</w:t>
      </w:r>
      <w:r w:rsidR="00D14D86">
        <w:rPr>
          <w:rFonts w:ascii="Arial" w:eastAsia="Arial" w:hAnsi="Arial" w:cs="Arial"/>
          <w:sz w:val="24"/>
          <w:szCs w:val="24"/>
        </w:rPr>
        <w:t>).</w:t>
      </w:r>
    </w:p>
    <w:p w:rsidR="008C49B4" w:rsidRDefault="00FF3DEB" w:rsidP="00FF3DEB">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CUARTO. </w:t>
      </w:r>
      <w:r w:rsidR="008C49B4" w:rsidRPr="00FF3DEB">
        <w:rPr>
          <w:rFonts w:ascii="Arial" w:eastAsia="Arial" w:hAnsi="Arial" w:cs="Arial"/>
          <w:sz w:val="24"/>
          <w:szCs w:val="24"/>
        </w:rPr>
        <w:t>El</w:t>
      </w:r>
      <w:r w:rsidR="008C49B4" w:rsidRPr="008C49B4">
        <w:rPr>
          <w:rFonts w:ascii="Arial" w:eastAsia="Arial" w:hAnsi="Arial" w:cs="Arial"/>
          <w:b/>
          <w:sz w:val="24"/>
          <w:szCs w:val="24"/>
        </w:rPr>
        <w:t xml:space="preserve"> </w:t>
      </w:r>
      <w:r>
        <w:rPr>
          <w:rFonts w:ascii="Arial" w:eastAsia="Arial" w:hAnsi="Arial" w:cs="Arial"/>
          <w:sz w:val="24"/>
          <w:szCs w:val="24"/>
        </w:rPr>
        <w:t>veinte</w:t>
      </w:r>
      <w:r w:rsidR="008C49B4" w:rsidRPr="00FF3DEB">
        <w:rPr>
          <w:rFonts w:ascii="Arial" w:eastAsia="Arial" w:hAnsi="Arial" w:cs="Arial"/>
          <w:sz w:val="24"/>
          <w:szCs w:val="24"/>
        </w:rPr>
        <w:t xml:space="preserve"> de </w:t>
      </w:r>
      <w:r>
        <w:rPr>
          <w:rFonts w:ascii="Arial" w:eastAsia="Arial" w:hAnsi="Arial" w:cs="Arial"/>
          <w:sz w:val="24"/>
          <w:szCs w:val="24"/>
        </w:rPr>
        <w:t>enero</w:t>
      </w:r>
      <w:r w:rsidR="008C49B4" w:rsidRPr="00FF3DEB">
        <w:rPr>
          <w:rFonts w:ascii="Arial" w:eastAsia="Arial" w:hAnsi="Arial" w:cs="Arial"/>
          <w:sz w:val="24"/>
          <w:szCs w:val="24"/>
        </w:rPr>
        <w:t xml:space="preserve"> de </w:t>
      </w:r>
      <w:r w:rsidR="00523D4D">
        <w:rPr>
          <w:rFonts w:ascii="Arial" w:eastAsia="Arial" w:hAnsi="Arial" w:cs="Arial"/>
          <w:sz w:val="24"/>
          <w:szCs w:val="24"/>
        </w:rPr>
        <w:t>dos mil veinte</w:t>
      </w:r>
      <w:r w:rsidR="008C49B4" w:rsidRPr="00FF3DEB">
        <w:rPr>
          <w:rFonts w:ascii="Arial" w:eastAsia="Arial" w:hAnsi="Arial" w:cs="Arial"/>
          <w:sz w:val="24"/>
          <w:szCs w:val="24"/>
        </w:rPr>
        <w:t>, se declaró abierta la audiencia</w:t>
      </w:r>
      <w:r>
        <w:rPr>
          <w:rFonts w:ascii="Arial" w:eastAsia="Arial" w:hAnsi="Arial" w:cs="Arial"/>
          <w:sz w:val="24"/>
          <w:szCs w:val="24"/>
        </w:rPr>
        <w:t xml:space="preserve"> </w:t>
      </w:r>
      <w:r w:rsidR="008C49B4" w:rsidRPr="00FF3DEB">
        <w:rPr>
          <w:rFonts w:ascii="Arial" w:eastAsia="Arial" w:hAnsi="Arial" w:cs="Arial"/>
          <w:sz w:val="24"/>
          <w:szCs w:val="24"/>
        </w:rPr>
        <w:t>de Ley, en la que no comparecieron las partes, ni persona alguna que legalmente</w:t>
      </w:r>
      <w:r>
        <w:rPr>
          <w:rFonts w:ascii="Arial" w:eastAsia="Arial" w:hAnsi="Arial" w:cs="Arial"/>
          <w:sz w:val="24"/>
          <w:szCs w:val="24"/>
        </w:rPr>
        <w:t xml:space="preserve"> </w:t>
      </w:r>
      <w:r w:rsidR="008C49B4" w:rsidRPr="00FF3DEB">
        <w:rPr>
          <w:rFonts w:ascii="Arial" w:eastAsia="Arial" w:hAnsi="Arial" w:cs="Arial"/>
          <w:sz w:val="24"/>
          <w:szCs w:val="24"/>
        </w:rPr>
        <w:t>las representara, la autorizada legal de la parte actora formuló alegatos, no así la</w:t>
      </w:r>
      <w:r>
        <w:rPr>
          <w:rFonts w:ascii="Arial" w:eastAsia="Arial" w:hAnsi="Arial" w:cs="Arial"/>
          <w:sz w:val="24"/>
          <w:szCs w:val="24"/>
        </w:rPr>
        <w:t xml:space="preserve"> </w:t>
      </w:r>
      <w:r w:rsidR="008C49B4" w:rsidRPr="00FF3DEB">
        <w:rPr>
          <w:rFonts w:ascii="Arial" w:eastAsia="Arial" w:hAnsi="Arial" w:cs="Arial"/>
          <w:sz w:val="24"/>
          <w:szCs w:val="24"/>
        </w:rPr>
        <w:t xml:space="preserve">autoridad demandada; por lo que se citó a las partes para oír sentencia, </w:t>
      </w:r>
      <w:r w:rsidR="001C695B">
        <w:rPr>
          <w:rFonts w:ascii="Arial" w:eastAsia="Arial" w:hAnsi="Arial" w:cs="Arial"/>
          <w:sz w:val="24"/>
          <w:szCs w:val="24"/>
        </w:rPr>
        <w:t>(foja 108 y 109).</w:t>
      </w:r>
    </w:p>
    <w:p w:rsidR="001C695B" w:rsidRDefault="001C695B" w:rsidP="00FF3DEB">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QUINTO. </w:t>
      </w:r>
      <w:r w:rsidR="007E13B8">
        <w:rPr>
          <w:rFonts w:ascii="Arial" w:eastAsia="Arial" w:hAnsi="Arial" w:cs="Arial"/>
          <w:sz w:val="24"/>
          <w:szCs w:val="24"/>
        </w:rPr>
        <w:t>El</w:t>
      </w:r>
      <w:r>
        <w:rPr>
          <w:rFonts w:ascii="Arial" w:eastAsia="Arial" w:hAnsi="Arial" w:cs="Arial"/>
          <w:sz w:val="24"/>
          <w:szCs w:val="24"/>
        </w:rPr>
        <w:t xml:space="preserve"> veinticuatro de enero de dos mil veinte</w:t>
      </w:r>
      <w:r w:rsidR="007E13B8">
        <w:rPr>
          <w:rFonts w:ascii="Arial" w:eastAsia="Arial" w:hAnsi="Arial" w:cs="Arial"/>
          <w:sz w:val="24"/>
          <w:szCs w:val="24"/>
        </w:rPr>
        <w:t>,</w:t>
      </w:r>
      <w:r>
        <w:rPr>
          <w:rFonts w:ascii="Arial" w:eastAsia="Arial" w:hAnsi="Arial" w:cs="Arial"/>
          <w:sz w:val="24"/>
          <w:szCs w:val="24"/>
        </w:rPr>
        <w:t xml:space="preserve"> se dictó</w:t>
      </w:r>
      <w:r w:rsidR="007E13B8">
        <w:rPr>
          <w:rFonts w:ascii="Arial" w:eastAsia="Arial" w:hAnsi="Arial" w:cs="Arial"/>
          <w:sz w:val="24"/>
          <w:szCs w:val="24"/>
        </w:rPr>
        <w:t xml:space="preserve"> la sentencia definitiva en la </w:t>
      </w:r>
      <w:r w:rsidR="00375743">
        <w:rPr>
          <w:rFonts w:ascii="Arial" w:eastAsia="Arial" w:hAnsi="Arial" w:cs="Arial"/>
          <w:sz w:val="24"/>
          <w:szCs w:val="24"/>
        </w:rPr>
        <w:t xml:space="preserve">cual se determinó </w:t>
      </w:r>
      <w:r w:rsidR="00375743">
        <w:rPr>
          <w:rFonts w:ascii="Arial" w:eastAsia="Arial" w:hAnsi="Arial" w:cs="Arial"/>
          <w:b/>
          <w:sz w:val="24"/>
          <w:szCs w:val="24"/>
        </w:rPr>
        <w:t xml:space="preserve">sobreseer </w:t>
      </w:r>
      <w:r w:rsidR="00800B6F">
        <w:rPr>
          <w:rFonts w:ascii="Arial" w:eastAsia="Arial" w:hAnsi="Arial" w:cs="Arial"/>
          <w:sz w:val="24"/>
          <w:szCs w:val="24"/>
        </w:rPr>
        <w:t>el juicio</w:t>
      </w:r>
      <w:r w:rsidR="007E13B8">
        <w:rPr>
          <w:rFonts w:ascii="Arial" w:eastAsia="Arial" w:hAnsi="Arial" w:cs="Arial"/>
          <w:sz w:val="24"/>
          <w:szCs w:val="24"/>
        </w:rPr>
        <w:t xml:space="preserve"> de nulidad</w:t>
      </w:r>
      <w:r w:rsidR="00800B6F">
        <w:rPr>
          <w:rFonts w:ascii="Arial" w:eastAsia="Arial" w:hAnsi="Arial" w:cs="Arial"/>
          <w:sz w:val="24"/>
          <w:szCs w:val="24"/>
        </w:rPr>
        <w:t xml:space="preserve"> (fojas 110 a 112).</w:t>
      </w:r>
    </w:p>
    <w:p w:rsidR="00375743" w:rsidRDefault="00375743" w:rsidP="00FF3DEB">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SEXTO. </w:t>
      </w:r>
      <w:r w:rsidR="00800B6F">
        <w:rPr>
          <w:rFonts w:ascii="Arial" w:eastAsia="Arial" w:hAnsi="Arial" w:cs="Arial"/>
          <w:sz w:val="24"/>
          <w:szCs w:val="24"/>
        </w:rPr>
        <w:t xml:space="preserve"> Por auto de tres de marzo de dos mil veinte, la parte actora interpuso recurso de revisión, en contra de la sentencia de veinticuatro de enero de dos mil veinte (foja 121).</w:t>
      </w:r>
    </w:p>
    <w:p w:rsidR="00800B6F" w:rsidRDefault="00800B6F" w:rsidP="00FF3DEB">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SEPTIMO. </w:t>
      </w:r>
      <w:r>
        <w:rPr>
          <w:rFonts w:ascii="Arial" w:eastAsia="Arial" w:hAnsi="Arial" w:cs="Arial"/>
          <w:sz w:val="24"/>
          <w:szCs w:val="24"/>
        </w:rPr>
        <w:t xml:space="preserve">El veintisiete de mayo de dos mil veintiuno, fue emitida la resolución dentro del recurso de revisión </w:t>
      </w:r>
      <w:r w:rsidR="00966299">
        <w:rPr>
          <w:rFonts w:ascii="Arial" w:hAnsi="Arial" w:cs="Arial"/>
          <w:sz w:val="24"/>
          <w:szCs w:val="24"/>
        </w:rPr>
        <w:t>**********</w:t>
      </w:r>
      <w:r>
        <w:rPr>
          <w:rFonts w:ascii="Arial" w:eastAsia="Arial" w:hAnsi="Arial" w:cs="Arial"/>
          <w:sz w:val="24"/>
          <w:szCs w:val="24"/>
        </w:rPr>
        <w:t>, en la cual los Magistrados integrantes de la Sala Superior de este Tribunal determinaron revocar la sentencia de fecha veinticuatro de enero de dos mil veinte, y ordenaron remitir los autos a esta sala unitaria</w:t>
      </w:r>
      <w:r w:rsidR="007E13B8">
        <w:rPr>
          <w:rFonts w:ascii="Arial" w:eastAsia="Arial" w:hAnsi="Arial" w:cs="Arial"/>
          <w:sz w:val="24"/>
          <w:szCs w:val="24"/>
        </w:rPr>
        <w:t>,</w:t>
      </w:r>
      <w:r>
        <w:rPr>
          <w:rFonts w:ascii="Arial" w:eastAsia="Arial" w:hAnsi="Arial" w:cs="Arial"/>
          <w:sz w:val="24"/>
          <w:szCs w:val="24"/>
        </w:rPr>
        <w:t xml:space="preserve"> para que este Juzgadora resolviera el asunto con plenitud de jurisdicción </w:t>
      </w:r>
      <w:r w:rsidR="00616B43">
        <w:rPr>
          <w:rFonts w:ascii="Arial" w:eastAsia="Arial" w:hAnsi="Arial" w:cs="Arial"/>
          <w:sz w:val="24"/>
          <w:szCs w:val="24"/>
        </w:rPr>
        <w:t>(fojas 131 a 136).</w:t>
      </w:r>
      <w:r w:rsidR="00966299">
        <w:rPr>
          <w:rFonts w:ascii="Arial" w:eastAsia="Arial" w:hAnsi="Arial" w:cs="Arial"/>
          <w:sz w:val="24"/>
          <w:szCs w:val="24"/>
        </w:rPr>
        <w:t xml:space="preserve"> </w:t>
      </w:r>
    </w:p>
    <w:p w:rsidR="00616B43" w:rsidRDefault="00616B43" w:rsidP="00FF3DEB">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OCTAVO. </w:t>
      </w:r>
      <w:r>
        <w:rPr>
          <w:rFonts w:ascii="Arial" w:eastAsia="Arial" w:hAnsi="Arial" w:cs="Arial"/>
          <w:sz w:val="24"/>
          <w:szCs w:val="24"/>
        </w:rPr>
        <w:t xml:space="preserve">Mediante acuerdo de veintiocho de octubre de dos mil veintiuno, se recibió en esta sala unitaria el oficio número </w:t>
      </w:r>
      <w:r>
        <w:rPr>
          <w:rFonts w:ascii="Arial" w:eastAsia="Arial" w:hAnsi="Arial" w:cs="Arial"/>
          <w:b/>
          <w:sz w:val="24"/>
          <w:szCs w:val="24"/>
        </w:rPr>
        <w:t>TJAO/SGA/2470/2021</w:t>
      </w:r>
      <w:r>
        <w:rPr>
          <w:rFonts w:ascii="Arial" w:eastAsia="Arial" w:hAnsi="Arial" w:cs="Arial"/>
          <w:sz w:val="24"/>
          <w:szCs w:val="24"/>
        </w:rPr>
        <w:t xml:space="preserve"> por medio del cual la Secretaria General de Acuerdos de este Tribunal remitió copias certificadas de la resolución de veintisi</w:t>
      </w:r>
      <w:r w:rsidR="00CF3E87">
        <w:rPr>
          <w:rFonts w:ascii="Arial" w:eastAsia="Arial" w:hAnsi="Arial" w:cs="Arial"/>
          <w:sz w:val="24"/>
          <w:szCs w:val="24"/>
        </w:rPr>
        <w:t>ete de mayo de dos mil veinte</w:t>
      </w:r>
      <w:r>
        <w:rPr>
          <w:rFonts w:ascii="Arial" w:eastAsia="Arial" w:hAnsi="Arial" w:cs="Arial"/>
          <w:sz w:val="24"/>
          <w:szCs w:val="24"/>
        </w:rPr>
        <w:t xml:space="preserve"> emitida en el recurso de revisión </w:t>
      </w:r>
      <w:r w:rsidR="00966299">
        <w:rPr>
          <w:rFonts w:ascii="Arial" w:hAnsi="Arial" w:cs="Arial"/>
          <w:sz w:val="24"/>
          <w:szCs w:val="24"/>
        </w:rPr>
        <w:t>**********</w:t>
      </w:r>
      <w:r>
        <w:rPr>
          <w:rFonts w:ascii="Arial" w:eastAsia="Arial" w:hAnsi="Arial" w:cs="Arial"/>
          <w:sz w:val="24"/>
          <w:szCs w:val="24"/>
        </w:rPr>
        <w:t>. Por lo que se ordenó turnar el presente juicio de nulidad para la emisión de la sentencia correspondiente. (</w:t>
      </w:r>
      <w:proofErr w:type="gramStart"/>
      <w:r>
        <w:rPr>
          <w:rFonts w:ascii="Arial" w:eastAsia="Arial" w:hAnsi="Arial" w:cs="Arial"/>
          <w:sz w:val="24"/>
          <w:szCs w:val="24"/>
        </w:rPr>
        <w:t>foja</w:t>
      </w:r>
      <w:proofErr w:type="gramEnd"/>
      <w:r>
        <w:rPr>
          <w:rFonts w:ascii="Arial" w:eastAsia="Arial" w:hAnsi="Arial" w:cs="Arial"/>
          <w:sz w:val="24"/>
          <w:szCs w:val="24"/>
        </w:rPr>
        <w:t xml:space="preserve"> 137).</w:t>
      </w:r>
    </w:p>
    <w:p w:rsidR="001C695B" w:rsidRPr="00FF3DEB" w:rsidRDefault="00616B43" w:rsidP="007E13B8">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NOVENO. </w:t>
      </w:r>
      <w:r>
        <w:rPr>
          <w:rFonts w:ascii="Arial" w:eastAsia="Arial" w:hAnsi="Arial" w:cs="Arial"/>
          <w:sz w:val="24"/>
          <w:szCs w:val="24"/>
        </w:rPr>
        <w:t>Por auto de ocho de diciembre de dos mil veintiuno se le hizo del conocimiento a las partes la designación de la licenciada Alejandra Georgina Villacaña Abascal</w:t>
      </w:r>
      <w:r w:rsidR="007E13B8">
        <w:rPr>
          <w:rFonts w:ascii="Arial" w:eastAsia="Arial" w:hAnsi="Arial" w:cs="Arial"/>
          <w:sz w:val="24"/>
          <w:szCs w:val="24"/>
        </w:rPr>
        <w:t xml:space="preserve"> como Magistrada titular de la Cuarta Sala U</w:t>
      </w:r>
      <w:r>
        <w:rPr>
          <w:rFonts w:ascii="Arial" w:eastAsia="Arial" w:hAnsi="Arial" w:cs="Arial"/>
          <w:sz w:val="24"/>
          <w:szCs w:val="24"/>
        </w:rPr>
        <w:t>nitaria</w:t>
      </w:r>
      <w:r w:rsidR="007E13B8">
        <w:rPr>
          <w:rFonts w:ascii="Arial" w:eastAsia="Arial" w:hAnsi="Arial" w:cs="Arial"/>
          <w:sz w:val="24"/>
          <w:szCs w:val="24"/>
        </w:rPr>
        <w:t xml:space="preserve"> de Primera I</w:t>
      </w:r>
      <w:r>
        <w:rPr>
          <w:rFonts w:ascii="Arial" w:eastAsia="Arial" w:hAnsi="Arial" w:cs="Arial"/>
          <w:sz w:val="24"/>
          <w:szCs w:val="24"/>
        </w:rPr>
        <w:t>nstancia, por lo que se ordenó dar vista a las partes para que dentro del plazo de tres días hábiles manifestaran lo que a su derecho conviniera. Así mismo</w:t>
      </w:r>
      <w:r w:rsidR="007E13B8">
        <w:rPr>
          <w:rFonts w:ascii="Arial" w:eastAsia="Arial" w:hAnsi="Arial" w:cs="Arial"/>
          <w:sz w:val="24"/>
          <w:szCs w:val="24"/>
        </w:rPr>
        <w:t>,</w:t>
      </w:r>
      <w:r>
        <w:rPr>
          <w:rFonts w:ascii="Arial" w:eastAsia="Arial" w:hAnsi="Arial" w:cs="Arial"/>
          <w:sz w:val="24"/>
          <w:szCs w:val="24"/>
        </w:rPr>
        <w:t xml:space="preserve"> se ordenó</w:t>
      </w:r>
      <w:r w:rsidR="00A1735C">
        <w:rPr>
          <w:rFonts w:ascii="Arial" w:eastAsia="Arial" w:hAnsi="Arial" w:cs="Arial"/>
          <w:sz w:val="24"/>
          <w:szCs w:val="24"/>
        </w:rPr>
        <w:t xml:space="preserve"> </w:t>
      </w:r>
      <w:r>
        <w:rPr>
          <w:rFonts w:ascii="Arial" w:eastAsia="Arial" w:hAnsi="Arial" w:cs="Arial"/>
          <w:sz w:val="24"/>
          <w:szCs w:val="24"/>
        </w:rPr>
        <w:t xml:space="preserve"> que una vez notificada a las partes se turnara el presente asunto para el dictado de la resolución correspondiente, misma que ahora se dicta (foja 146).</w:t>
      </w:r>
    </w:p>
    <w:p w:rsidR="00B5425E" w:rsidRDefault="00D14D86">
      <w:pPr>
        <w:spacing w:line="360" w:lineRule="auto"/>
        <w:ind w:right="51"/>
        <w:jc w:val="center"/>
        <w:rPr>
          <w:rFonts w:ascii="Arial" w:eastAsia="Arial" w:hAnsi="Arial" w:cs="Arial"/>
          <w:b/>
          <w:sz w:val="24"/>
          <w:szCs w:val="24"/>
        </w:rPr>
      </w:pPr>
      <w:r>
        <w:rPr>
          <w:rFonts w:ascii="Arial" w:eastAsia="Arial" w:hAnsi="Arial" w:cs="Arial"/>
          <w:b/>
          <w:sz w:val="24"/>
          <w:szCs w:val="24"/>
        </w:rPr>
        <w:t>C O N S I D E R A N D O:</w:t>
      </w:r>
    </w:p>
    <w:p w:rsidR="00B5425E" w:rsidRDefault="00D14D86">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PRIMERO. Competencia. </w:t>
      </w:r>
      <w:r>
        <w:rPr>
          <w:rFonts w:ascii="Arial" w:eastAsia="Arial" w:hAnsi="Arial" w:cs="Arial"/>
          <w:color w:val="000000"/>
          <w:sz w:val="24"/>
          <w:szCs w:val="24"/>
        </w:rPr>
        <w:t xml:space="preserve">Esta Cuarta Sala Unitaria de Primera Instancia del Tribunal de Justicia Administrativa del Estado, </w:t>
      </w:r>
      <w:r>
        <w:rPr>
          <w:rFonts w:ascii="Arial" w:eastAsia="Arial" w:hAnsi="Arial" w:cs="Arial"/>
          <w:b/>
          <w:color w:val="000000"/>
          <w:sz w:val="24"/>
          <w:szCs w:val="24"/>
        </w:rPr>
        <w:t>es competente</w:t>
      </w:r>
      <w:r>
        <w:rPr>
          <w:rFonts w:ascii="Arial" w:eastAsia="Arial" w:hAnsi="Arial" w:cs="Arial"/>
          <w:color w:val="000000"/>
          <w:sz w:val="24"/>
          <w:szCs w:val="24"/>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la Constitución Política del Estado Libre y </w:t>
      </w:r>
      <w:r>
        <w:rPr>
          <w:rFonts w:ascii="Arial" w:eastAsia="Arial" w:hAnsi="Arial" w:cs="Arial"/>
          <w:color w:val="000000"/>
          <w:sz w:val="24"/>
          <w:szCs w:val="24"/>
        </w:rPr>
        <w:lastRenderedPageBreak/>
        <w:t>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5425E" w:rsidRDefault="00D14D86">
      <w:pPr>
        <w:spacing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La personalidad de la </w:t>
      </w:r>
      <w:r>
        <w:rPr>
          <w:rFonts w:ascii="Arial" w:eastAsia="Arial" w:hAnsi="Arial" w:cs="Arial"/>
          <w:b/>
          <w:sz w:val="24"/>
          <w:szCs w:val="24"/>
        </w:rPr>
        <w:t xml:space="preserve">parte actora </w:t>
      </w:r>
      <w:r>
        <w:rPr>
          <w:rFonts w:ascii="Arial" w:eastAsia="Arial" w:hAnsi="Arial" w:cs="Arial"/>
          <w:sz w:val="24"/>
          <w:szCs w:val="24"/>
        </w:rPr>
        <w:t>quedó acreditada en términos del artículo 148 de la Ley de Procedimiento y Justicia Administrativa para el Estado de Oaxaca, ya que promueve por su propio derecho; por su parte la</w:t>
      </w:r>
      <w:r>
        <w:rPr>
          <w:rFonts w:ascii="Arial" w:eastAsia="Arial" w:hAnsi="Arial" w:cs="Arial"/>
          <w:b/>
          <w:sz w:val="24"/>
          <w:szCs w:val="24"/>
        </w:rPr>
        <w:t xml:space="preserve"> autoridad demandada </w:t>
      </w:r>
      <w:r>
        <w:rPr>
          <w:rFonts w:ascii="Arial" w:eastAsia="Arial" w:hAnsi="Arial" w:cs="Arial"/>
          <w:sz w:val="24"/>
          <w:szCs w:val="24"/>
        </w:rPr>
        <w:t>por conducto del Director de lo Contencioso de la</w:t>
      </w:r>
      <w:r>
        <w:rPr>
          <w:rFonts w:ascii="Arial" w:eastAsia="Arial" w:hAnsi="Arial" w:cs="Arial"/>
          <w:b/>
          <w:sz w:val="24"/>
          <w:szCs w:val="24"/>
        </w:rPr>
        <w:t xml:space="preserve"> </w:t>
      </w:r>
      <w:r>
        <w:rPr>
          <w:rFonts w:ascii="Arial" w:eastAsia="Arial" w:hAnsi="Arial" w:cs="Arial"/>
          <w:sz w:val="24"/>
          <w:szCs w:val="24"/>
        </w:rPr>
        <w:t>Procuraduría Fiscal de la Subsecretaría de Ingresos de la Secretaría de Finanzas del Poder Ejecutivo del Estado, lo acreditó en términos de lo dispuesto por el artículo 151 de la Ley citada.</w:t>
      </w:r>
    </w:p>
    <w:p w:rsidR="00B5425E" w:rsidRDefault="00D14D86">
      <w:pPr>
        <w:spacing w:line="360" w:lineRule="auto"/>
        <w:ind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Por ser</w:t>
      </w:r>
      <w:r>
        <w:rPr>
          <w:rFonts w:ascii="Arial" w:eastAsia="Arial" w:hAnsi="Arial" w:cs="Arial"/>
          <w:b/>
          <w:sz w:val="24"/>
          <w:szCs w:val="24"/>
        </w:rPr>
        <w:t xml:space="preserve"> </w:t>
      </w:r>
      <w:r>
        <w:rPr>
          <w:rFonts w:ascii="Arial" w:eastAsia="Arial" w:hAnsi="Arial" w:cs="Arial"/>
          <w:sz w:val="24"/>
          <w:szCs w:val="24"/>
        </w:rPr>
        <w:t>de orden público y de estudio preferente a cualquier otra cuestión, mismas que pueden ser estudiadas de oficio o a petición de parte, ya que, de actualizarse las hipótesis normativas, ello impide la resolución de fondo del asunto y deberá decretarse su sobreseimiento, en términos de los artículos 161 y 162, de la Ley de Procedimiento y Justicia Administrativa para el Estado.</w:t>
      </w:r>
    </w:p>
    <w:p w:rsidR="007E13B8" w:rsidRPr="007E13B8" w:rsidRDefault="007E13B8">
      <w:pPr>
        <w:spacing w:line="360" w:lineRule="auto"/>
        <w:ind w:firstLine="567"/>
        <w:jc w:val="both"/>
        <w:rPr>
          <w:rFonts w:ascii="Arial" w:eastAsia="Arial" w:hAnsi="Arial" w:cs="Arial"/>
          <w:sz w:val="24"/>
          <w:szCs w:val="24"/>
        </w:rPr>
      </w:pPr>
      <w:r>
        <w:rPr>
          <w:rFonts w:ascii="Arial" w:eastAsia="Arial" w:hAnsi="Arial" w:cs="Arial"/>
          <w:sz w:val="24"/>
          <w:szCs w:val="24"/>
        </w:rPr>
        <w:t xml:space="preserve">Respecto a la causal de improcedencia invocada por la entonces Directora de lo Contencioso de la Secretaría de Finanzas del Estado de Oaxaca, es innecesario su análisis en virtud de que dicha causal fue objeto de estudio en la resolución de veinte de mayo de dos mil veintiuno, emitida en el recurso de revisión </w:t>
      </w:r>
      <w:r w:rsidR="00966299">
        <w:rPr>
          <w:rFonts w:ascii="Arial" w:hAnsi="Arial" w:cs="Arial"/>
          <w:sz w:val="24"/>
          <w:szCs w:val="24"/>
        </w:rPr>
        <w:t>**********</w:t>
      </w:r>
      <w:r>
        <w:rPr>
          <w:rFonts w:ascii="Arial" w:eastAsia="Arial" w:hAnsi="Arial" w:cs="Arial"/>
          <w:sz w:val="24"/>
          <w:szCs w:val="24"/>
        </w:rPr>
        <w:t>.</w:t>
      </w:r>
    </w:p>
    <w:p w:rsidR="00B5425E" w:rsidRDefault="007E13B8">
      <w:pPr>
        <w:spacing w:line="360" w:lineRule="auto"/>
        <w:ind w:firstLine="567"/>
        <w:jc w:val="both"/>
        <w:rPr>
          <w:rFonts w:ascii="Arial" w:eastAsia="Arial" w:hAnsi="Arial" w:cs="Arial"/>
          <w:b/>
          <w:sz w:val="24"/>
          <w:szCs w:val="24"/>
        </w:rPr>
      </w:pPr>
      <w:r>
        <w:rPr>
          <w:rFonts w:ascii="Arial" w:eastAsia="Arial" w:hAnsi="Arial" w:cs="Arial"/>
          <w:sz w:val="24"/>
          <w:szCs w:val="24"/>
        </w:rPr>
        <w:t xml:space="preserve">Por lo tanto, esta </w:t>
      </w:r>
      <w:r w:rsidR="00D14D86">
        <w:rPr>
          <w:rFonts w:ascii="Arial" w:eastAsia="Arial" w:hAnsi="Arial" w:cs="Arial"/>
          <w:sz w:val="24"/>
          <w:szCs w:val="24"/>
        </w:rPr>
        <w:t>Juzgador</w:t>
      </w:r>
      <w:r>
        <w:rPr>
          <w:rFonts w:ascii="Arial" w:eastAsia="Arial" w:hAnsi="Arial" w:cs="Arial"/>
          <w:sz w:val="24"/>
          <w:szCs w:val="24"/>
        </w:rPr>
        <w:t>a</w:t>
      </w:r>
      <w:r w:rsidR="00D14D86">
        <w:rPr>
          <w:rFonts w:ascii="Arial" w:eastAsia="Arial" w:hAnsi="Arial" w:cs="Arial"/>
          <w:sz w:val="24"/>
          <w:szCs w:val="24"/>
        </w:rPr>
        <w:t xml:space="preserve"> de autos advierte, que no se actualiza causal alguna de improcedencia y sobreseimiento, por lo que </w:t>
      </w:r>
      <w:r w:rsidR="00D14D86">
        <w:rPr>
          <w:rFonts w:ascii="Arial" w:eastAsia="Arial" w:hAnsi="Arial" w:cs="Arial"/>
          <w:b/>
          <w:sz w:val="24"/>
          <w:szCs w:val="24"/>
        </w:rPr>
        <w:t>NO SE SOBRESEE EL JUICIO.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CUARTO</w:t>
      </w:r>
      <w:r>
        <w:rPr>
          <w:rFonts w:ascii="Arial" w:eastAsia="Arial" w:hAnsi="Arial" w:cs="Arial"/>
          <w:color w:val="000000"/>
          <w:sz w:val="24"/>
          <w:szCs w:val="24"/>
        </w:rPr>
        <w:t xml:space="preserve">. </w:t>
      </w:r>
      <w:r>
        <w:rPr>
          <w:rFonts w:ascii="Arial" w:eastAsia="Arial" w:hAnsi="Arial" w:cs="Arial"/>
          <w:b/>
          <w:color w:val="000000"/>
          <w:sz w:val="24"/>
          <w:szCs w:val="24"/>
        </w:rPr>
        <w:t xml:space="preserve">Fijación de los puntos controvertidos. </w:t>
      </w:r>
      <w:r>
        <w:rPr>
          <w:rFonts w:ascii="Arial" w:eastAsia="Arial" w:hAnsi="Arial" w:cs="Arial"/>
          <w:color w:val="000000"/>
          <w:sz w:val="24"/>
          <w:szCs w:val="24"/>
        </w:rPr>
        <w:t>De conformidad con lo establecido en el artículo 207 fracción I de la Ley la Materia, al m</w:t>
      </w:r>
      <w:r w:rsidR="007E13B8">
        <w:rPr>
          <w:rFonts w:ascii="Arial" w:eastAsia="Arial" w:hAnsi="Arial" w:cs="Arial"/>
          <w:color w:val="000000"/>
          <w:sz w:val="24"/>
          <w:szCs w:val="24"/>
        </w:rPr>
        <w:t xml:space="preserve">omento de dictarse sentencia la persona </w:t>
      </w:r>
      <w:r>
        <w:rPr>
          <w:rFonts w:ascii="Arial" w:eastAsia="Arial" w:hAnsi="Arial" w:cs="Arial"/>
          <w:color w:val="000000"/>
          <w:sz w:val="24"/>
          <w:szCs w:val="24"/>
        </w:rPr>
        <w:t>Juzgador</w:t>
      </w:r>
      <w:r w:rsidR="007E13B8">
        <w:rPr>
          <w:rFonts w:ascii="Arial" w:eastAsia="Arial" w:hAnsi="Arial" w:cs="Arial"/>
          <w:color w:val="000000"/>
          <w:sz w:val="24"/>
          <w:szCs w:val="24"/>
        </w:rPr>
        <w:t>a</w:t>
      </w:r>
      <w:r>
        <w:rPr>
          <w:rFonts w:ascii="Arial" w:eastAsia="Arial" w:hAnsi="Arial" w:cs="Arial"/>
          <w:color w:val="000000"/>
          <w:sz w:val="24"/>
          <w:szCs w:val="24"/>
        </w:rPr>
        <w:t xml:space="preserve"> deberá hacer una fijación clara y precisa de los puntos controvertidos por las partes.</w:t>
      </w:r>
    </w:p>
    <w:p w:rsidR="00BE3CB9" w:rsidRDefault="00D14D86" w:rsidP="00D14D86">
      <w:pPr>
        <w:pBdr>
          <w:top w:val="nil"/>
          <w:left w:val="nil"/>
          <w:bottom w:val="nil"/>
          <w:right w:val="nil"/>
          <w:between w:val="nil"/>
        </w:pBd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En ese sentido, el actor </w:t>
      </w:r>
      <w:r w:rsidR="00966299">
        <w:rPr>
          <w:rFonts w:ascii="Arial" w:hAnsi="Arial" w:cs="Arial"/>
          <w:sz w:val="24"/>
          <w:szCs w:val="24"/>
        </w:rPr>
        <w:t xml:space="preserve">********** </w:t>
      </w:r>
      <w:r>
        <w:rPr>
          <w:rFonts w:ascii="Arial" w:eastAsia="Arial" w:hAnsi="Arial" w:cs="Arial"/>
          <w:color w:val="000000"/>
          <w:sz w:val="24"/>
          <w:szCs w:val="24"/>
        </w:rPr>
        <w:t>demandó la nulidad de</w:t>
      </w:r>
      <w:r w:rsidR="00BE3CB9">
        <w:rPr>
          <w:rFonts w:ascii="Arial" w:eastAsia="Arial" w:hAnsi="Arial" w:cs="Arial"/>
          <w:color w:val="000000"/>
          <w:sz w:val="24"/>
          <w:szCs w:val="24"/>
        </w:rPr>
        <w:t xml:space="preserve"> la </w:t>
      </w:r>
      <w:r>
        <w:rPr>
          <w:rFonts w:ascii="Arial" w:eastAsia="Arial" w:hAnsi="Arial" w:cs="Arial"/>
          <w:color w:val="000000"/>
          <w:sz w:val="24"/>
          <w:szCs w:val="24"/>
        </w:rPr>
        <w:t xml:space="preserve"> </w:t>
      </w:r>
      <w:r w:rsidR="00BE3CB9">
        <w:rPr>
          <w:rFonts w:ascii="Arial" w:eastAsia="Arial" w:hAnsi="Arial" w:cs="Arial"/>
          <w:color w:val="000000"/>
          <w:sz w:val="24"/>
          <w:szCs w:val="24"/>
        </w:rPr>
        <w:t xml:space="preserve">resolución contenida en el oficio número </w:t>
      </w:r>
      <w:r w:rsidR="00966299">
        <w:rPr>
          <w:rFonts w:ascii="Arial" w:hAnsi="Arial" w:cs="Arial"/>
          <w:sz w:val="24"/>
          <w:szCs w:val="24"/>
        </w:rPr>
        <w:t xml:space="preserve">********** </w:t>
      </w:r>
      <w:r w:rsidR="00BE3CB9">
        <w:rPr>
          <w:rFonts w:ascii="Arial" w:eastAsia="Arial" w:hAnsi="Arial" w:cs="Arial"/>
          <w:color w:val="000000"/>
          <w:sz w:val="24"/>
          <w:szCs w:val="24"/>
        </w:rPr>
        <w:t xml:space="preserve">de tres de diciembre de dos mil dieciocho, dictada en el expediente </w:t>
      </w:r>
      <w:r w:rsidR="00966299">
        <w:rPr>
          <w:rFonts w:ascii="Arial" w:hAnsi="Arial" w:cs="Arial"/>
          <w:sz w:val="24"/>
          <w:szCs w:val="24"/>
        </w:rPr>
        <w:t xml:space="preserve">********** </w:t>
      </w:r>
      <w:r w:rsidR="00BE3CB9">
        <w:rPr>
          <w:rFonts w:ascii="Arial" w:eastAsia="Arial" w:hAnsi="Arial" w:cs="Arial"/>
          <w:color w:val="000000"/>
          <w:sz w:val="24"/>
          <w:szCs w:val="24"/>
        </w:rPr>
        <w:t xml:space="preserve">por el Director de lo Contencioso de la Procuraduría Fiscal de la Secretaría de Finanzas del Estado; en la cual se confirmó la multa por infracción relacionada con la presentación de declaraciones del Impuesto sobre Erogaciones por Remuneraciones al Trabajo Personal con número de control </w:t>
      </w:r>
      <w:r w:rsidR="00966299">
        <w:rPr>
          <w:rFonts w:ascii="Arial" w:hAnsi="Arial" w:cs="Arial"/>
          <w:sz w:val="24"/>
          <w:szCs w:val="24"/>
        </w:rPr>
        <w:t>**********</w:t>
      </w:r>
      <w:r w:rsidR="00BE3CB9">
        <w:rPr>
          <w:rFonts w:ascii="Arial" w:eastAsia="Arial" w:hAnsi="Arial" w:cs="Arial"/>
          <w:b/>
          <w:color w:val="000000"/>
          <w:sz w:val="24"/>
          <w:szCs w:val="24"/>
        </w:rPr>
        <w:t xml:space="preserve"> </w:t>
      </w:r>
      <w:r w:rsidR="00BE3CB9">
        <w:rPr>
          <w:rFonts w:ascii="Arial" w:eastAsia="Arial" w:hAnsi="Arial" w:cs="Arial"/>
          <w:color w:val="000000"/>
          <w:sz w:val="24"/>
          <w:szCs w:val="24"/>
        </w:rPr>
        <w:t xml:space="preserve">de diecinueve de febrero de dos mil diecinueve, emitido por la </w:t>
      </w:r>
      <w:r w:rsidR="00BE3CB9">
        <w:rPr>
          <w:rFonts w:ascii="Arial" w:eastAsia="Arial" w:hAnsi="Arial" w:cs="Arial"/>
          <w:b/>
          <w:color w:val="000000"/>
          <w:sz w:val="24"/>
          <w:szCs w:val="24"/>
        </w:rPr>
        <w:lastRenderedPageBreak/>
        <w:t>Directora de Ingresos y Recaudación de la Secretaría de Finanzas del Poder Ejecutivo del Estado de Oaxaca.</w:t>
      </w:r>
    </w:p>
    <w:p w:rsidR="00B5425E" w:rsidRPr="00694454" w:rsidRDefault="000D6248" w:rsidP="00694454">
      <w:pPr>
        <w:pBdr>
          <w:top w:val="nil"/>
          <w:left w:val="nil"/>
          <w:bottom w:val="nil"/>
          <w:right w:val="nil"/>
          <w:between w:val="nil"/>
        </w:pBdr>
        <w:spacing w:after="240" w:line="360" w:lineRule="auto"/>
        <w:ind w:right="-1" w:firstLine="567"/>
        <w:jc w:val="both"/>
        <w:rPr>
          <w:rFonts w:ascii="Arial" w:eastAsia="Arial" w:hAnsi="Arial" w:cs="Arial"/>
          <w:sz w:val="24"/>
          <w:szCs w:val="24"/>
        </w:rPr>
      </w:pPr>
      <w:r>
        <w:rPr>
          <w:rFonts w:ascii="Arial" w:eastAsia="Arial" w:hAnsi="Arial" w:cs="Arial"/>
          <w:sz w:val="24"/>
          <w:szCs w:val="24"/>
        </w:rPr>
        <w:t xml:space="preserve">Asimismo, </w:t>
      </w:r>
      <w:r w:rsidR="00694454">
        <w:rPr>
          <w:rFonts w:ascii="Arial" w:eastAsia="Arial" w:hAnsi="Arial" w:cs="Arial"/>
          <w:sz w:val="24"/>
          <w:szCs w:val="24"/>
        </w:rPr>
        <w:t xml:space="preserve">mediante escrito recibido en la Oficialía de Partes Común de Primera Instancia de este Tribunal, el veintiuno de junio de dos mil diecinueve, el actor indicó que también impugnaba </w:t>
      </w:r>
      <w:r w:rsidR="00D14D86">
        <w:rPr>
          <w:rFonts w:ascii="Arial" w:eastAsia="Arial" w:hAnsi="Arial" w:cs="Arial"/>
          <w:color w:val="000000"/>
          <w:sz w:val="24"/>
          <w:szCs w:val="24"/>
        </w:rPr>
        <w:t xml:space="preserve">la multa por infracción relacionada con la presentación de declaraciones del impuesto sobre erogaciones por remuneraciones al trabajo personal, contenida en el oficio con número de control </w:t>
      </w:r>
      <w:r w:rsidR="00966299">
        <w:rPr>
          <w:rFonts w:ascii="Arial" w:hAnsi="Arial" w:cs="Arial"/>
          <w:sz w:val="24"/>
          <w:szCs w:val="24"/>
        </w:rPr>
        <w:t>**********</w:t>
      </w:r>
      <w:r w:rsidR="00D14D86">
        <w:rPr>
          <w:rFonts w:ascii="Arial" w:eastAsia="Arial" w:hAnsi="Arial" w:cs="Arial"/>
          <w:b/>
          <w:color w:val="000000"/>
          <w:sz w:val="24"/>
          <w:szCs w:val="24"/>
        </w:rPr>
        <w:t xml:space="preserve"> </w:t>
      </w:r>
      <w:r w:rsidR="00D14D86">
        <w:rPr>
          <w:rFonts w:ascii="Arial" w:eastAsia="Arial" w:hAnsi="Arial" w:cs="Arial"/>
          <w:color w:val="000000"/>
          <w:sz w:val="24"/>
          <w:szCs w:val="24"/>
        </w:rPr>
        <w:t xml:space="preserve">de diecinueve de febrero de dos mil diecinueve, emitido por la </w:t>
      </w:r>
      <w:r w:rsidR="00D14D86">
        <w:rPr>
          <w:rFonts w:ascii="Arial" w:eastAsia="Arial" w:hAnsi="Arial" w:cs="Arial"/>
          <w:b/>
          <w:color w:val="000000"/>
          <w:sz w:val="24"/>
          <w:szCs w:val="24"/>
        </w:rPr>
        <w:t>Directora de Ingresos y Recaudación de la Secretaría de Finanzas del Poder Ejecutivo del Estado de Oaxaca</w:t>
      </w:r>
      <w:r w:rsidR="00061AC5">
        <w:rPr>
          <w:rFonts w:ascii="Arial" w:eastAsia="Arial" w:hAnsi="Arial" w:cs="Arial"/>
          <w:color w:val="000000"/>
          <w:sz w:val="24"/>
          <w:szCs w:val="24"/>
        </w:rPr>
        <w:t>.</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por conducto del Director de lo Contencioso de la Procuraduría Fiscal dependiente de la Subsecretaría de Ingresos de la Secretaría de Finanzas del Poder Ejecutivo del Estado, </w:t>
      </w:r>
      <w:r>
        <w:rPr>
          <w:rFonts w:ascii="Arial" w:eastAsia="Arial" w:hAnsi="Arial" w:cs="Arial"/>
          <w:b/>
          <w:color w:val="000000"/>
          <w:sz w:val="24"/>
          <w:szCs w:val="24"/>
        </w:rPr>
        <w:t>en su contestación de demanda</w:t>
      </w:r>
      <w:r>
        <w:rPr>
          <w:rFonts w:ascii="Arial" w:eastAsia="Arial" w:hAnsi="Arial" w:cs="Arial"/>
          <w:color w:val="000000"/>
          <w:sz w:val="24"/>
          <w:szCs w:val="24"/>
        </w:rPr>
        <w:t>,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QUINTO.</w:t>
      </w:r>
      <w:r>
        <w:rPr>
          <w:rFonts w:ascii="Arial" w:eastAsia="Arial" w:hAnsi="Arial" w:cs="Arial"/>
          <w:color w:val="000000"/>
          <w:sz w:val="24"/>
          <w:szCs w:val="24"/>
        </w:rPr>
        <w:t xml:space="preserve"> </w:t>
      </w:r>
      <w:r>
        <w:rPr>
          <w:rFonts w:ascii="Arial" w:eastAsia="Arial" w:hAnsi="Arial" w:cs="Arial"/>
          <w:b/>
          <w:color w:val="000000"/>
          <w:sz w:val="24"/>
          <w:szCs w:val="24"/>
        </w:rPr>
        <w:t>Análisis del fondo del asunto</w:t>
      </w:r>
      <w:r>
        <w:rPr>
          <w:rFonts w:ascii="Arial" w:eastAsia="Arial" w:hAnsi="Arial" w:cs="Arial"/>
          <w:color w:val="000000"/>
          <w:sz w:val="24"/>
          <w:szCs w:val="24"/>
        </w:rPr>
        <w:t xml:space="preserve">. Por razón del principio de </w:t>
      </w:r>
      <w:r>
        <w:rPr>
          <w:rFonts w:ascii="Arial" w:eastAsia="Arial" w:hAnsi="Arial" w:cs="Arial"/>
          <w:b/>
          <w:color w:val="000000"/>
          <w:sz w:val="24"/>
          <w:szCs w:val="24"/>
        </w:rPr>
        <w:t xml:space="preserve">Litis abierta, </w:t>
      </w:r>
      <w:r>
        <w:rPr>
          <w:rFonts w:ascii="Arial" w:eastAsia="Arial" w:hAnsi="Arial" w:cs="Arial"/>
          <w:color w:val="000000"/>
          <w:sz w:val="24"/>
          <w:szCs w:val="24"/>
        </w:rPr>
        <w:t xml:space="preserve">se analiza primeramente la multa por infracción relacionada con la presentación de declaraciones del impuesto sobre erogaciones por remuneraciones al trabajo personal, contenida en el oficio con número de control </w:t>
      </w:r>
      <w:r w:rsidR="00966299">
        <w:rPr>
          <w:rFonts w:ascii="Arial" w:hAnsi="Arial" w:cs="Arial"/>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w:t>
      </w:r>
      <w:r w:rsidR="00CB07EE">
        <w:rPr>
          <w:rFonts w:ascii="Arial" w:eastAsia="Arial" w:hAnsi="Arial" w:cs="Arial"/>
          <w:color w:val="000000"/>
          <w:sz w:val="24"/>
          <w:szCs w:val="24"/>
        </w:rPr>
        <w:t>veintisiete de julio de dos mil dieciocho</w:t>
      </w:r>
      <w:r>
        <w:rPr>
          <w:rFonts w:ascii="Arial" w:eastAsia="Arial" w:hAnsi="Arial" w:cs="Arial"/>
          <w:color w:val="000000"/>
          <w:sz w:val="24"/>
          <w:szCs w:val="24"/>
        </w:rPr>
        <w:t xml:space="preserve">, emitido por la </w:t>
      </w:r>
      <w:r>
        <w:rPr>
          <w:rFonts w:ascii="Arial" w:eastAsia="Arial" w:hAnsi="Arial" w:cs="Arial"/>
          <w:b/>
          <w:color w:val="000000"/>
          <w:sz w:val="24"/>
          <w:szCs w:val="24"/>
        </w:rPr>
        <w:t>Directora de Ingresos y Recaudación de la Secretaría de Finanzas del Poder Ejecutivo del Estado;</w:t>
      </w:r>
      <w:r>
        <w:rPr>
          <w:rFonts w:ascii="Arial" w:eastAsia="Arial" w:hAnsi="Arial" w:cs="Arial"/>
          <w:color w:val="000000"/>
          <w:sz w:val="24"/>
          <w:szCs w:val="24"/>
        </w:rPr>
        <w:t xml:space="preserve"> y</w:t>
      </w:r>
      <w:r>
        <w:rPr>
          <w:rFonts w:ascii="Arial" w:eastAsia="Arial" w:hAnsi="Arial" w:cs="Arial"/>
          <w:b/>
          <w:color w:val="000000"/>
          <w:sz w:val="24"/>
          <w:szCs w:val="24"/>
        </w:rPr>
        <w:t xml:space="preserve"> </w:t>
      </w:r>
      <w:r>
        <w:rPr>
          <w:rFonts w:ascii="Arial" w:eastAsia="Arial" w:hAnsi="Arial" w:cs="Arial"/>
          <w:color w:val="000000"/>
          <w:sz w:val="24"/>
          <w:szCs w:val="24"/>
        </w:rPr>
        <w:t xml:space="preserve">posteriormente el oficio número </w:t>
      </w:r>
      <w:r w:rsidR="00966299">
        <w:rPr>
          <w:rFonts w:ascii="Arial" w:hAnsi="Arial" w:cs="Arial"/>
          <w:sz w:val="24"/>
          <w:szCs w:val="24"/>
        </w:rPr>
        <w:t>**********</w:t>
      </w:r>
      <w:r>
        <w:rPr>
          <w:rFonts w:ascii="Arial" w:eastAsia="Arial" w:hAnsi="Arial" w:cs="Arial"/>
          <w:color w:val="000000"/>
          <w:sz w:val="24"/>
          <w:szCs w:val="24"/>
        </w:rPr>
        <w:t xml:space="preserve">, que contiene la resolución de </w:t>
      </w:r>
      <w:r w:rsidR="00CB07EE">
        <w:rPr>
          <w:rFonts w:ascii="Arial" w:eastAsia="Arial" w:hAnsi="Arial" w:cs="Arial"/>
          <w:color w:val="000000"/>
          <w:sz w:val="24"/>
          <w:szCs w:val="24"/>
        </w:rPr>
        <w:t>tres de diciembre de dos mil dieciocho</w:t>
      </w:r>
      <w:r>
        <w:rPr>
          <w:rFonts w:ascii="Arial" w:eastAsia="Arial" w:hAnsi="Arial" w:cs="Arial"/>
          <w:color w:val="000000"/>
          <w:sz w:val="24"/>
          <w:szCs w:val="24"/>
        </w:rPr>
        <w:t xml:space="preserve">, dictada en el expediente </w:t>
      </w:r>
      <w:r w:rsidR="00966299">
        <w:rPr>
          <w:rFonts w:ascii="Arial" w:hAnsi="Arial" w:cs="Arial"/>
          <w:sz w:val="24"/>
          <w:szCs w:val="24"/>
        </w:rPr>
        <w:t xml:space="preserve">********** </w:t>
      </w:r>
      <w:r>
        <w:rPr>
          <w:rFonts w:ascii="Arial" w:eastAsia="Arial" w:hAnsi="Arial" w:cs="Arial"/>
          <w:color w:val="000000"/>
          <w:sz w:val="24"/>
          <w:szCs w:val="24"/>
        </w:rPr>
        <w:t xml:space="preserve">por el </w:t>
      </w:r>
      <w:r>
        <w:rPr>
          <w:rFonts w:ascii="Arial" w:eastAsia="Arial" w:hAnsi="Arial" w:cs="Arial"/>
          <w:b/>
          <w:color w:val="000000"/>
          <w:sz w:val="24"/>
          <w:szCs w:val="24"/>
        </w:rPr>
        <w:t>Director de lo Contencioso de la Procuraduría Fiscal dependiente de la Subsecretaría de Ingresos de la Secretaría de Finanzas del Estado</w:t>
      </w:r>
      <w:r>
        <w:rPr>
          <w:rFonts w:ascii="Arial" w:eastAsia="Arial" w:hAnsi="Arial" w:cs="Arial"/>
          <w:color w:val="000000"/>
          <w:sz w:val="24"/>
          <w:szCs w:val="24"/>
        </w:rPr>
        <w:t>.</w:t>
      </w:r>
    </w:p>
    <w:p w:rsidR="00B5425E" w:rsidRDefault="00D14D86" w:rsidP="00D14D86">
      <w:pPr>
        <w:spacing w:after="240" w:line="360" w:lineRule="auto"/>
        <w:ind w:right="-1" w:firstLine="709"/>
        <w:jc w:val="both"/>
        <w:rPr>
          <w:rFonts w:ascii="Arial" w:eastAsia="Arial" w:hAnsi="Arial" w:cs="Arial"/>
          <w:sz w:val="24"/>
          <w:szCs w:val="24"/>
        </w:rPr>
      </w:pPr>
      <w:r>
        <w:rPr>
          <w:rFonts w:ascii="Arial" w:eastAsia="Arial" w:hAnsi="Arial" w:cs="Arial"/>
          <w:sz w:val="24"/>
          <w:szCs w:val="24"/>
        </w:rPr>
        <w:t>Resulta ilustrativa la Jurisprudencia con número de registro 184472, de la Suprema Corte de Justicia de la Nación, Novena Época, Instancia Segunda Sala, con rubro y texto siguiente:</w:t>
      </w:r>
    </w:p>
    <w:p w:rsidR="00B5425E" w:rsidRDefault="00D14D86" w:rsidP="003068DA">
      <w:pPr>
        <w:spacing w:after="240" w:line="240" w:lineRule="auto"/>
        <w:ind w:left="567" w:right="425"/>
        <w:jc w:val="both"/>
        <w:rPr>
          <w:rFonts w:ascii="Arial" w:eastAsia="Arial" w:hAnsi="Arial" w:cs="Arial"/>
          <w:i/>
        </w:rPr>
      </w:pPr>
      <w:r>
        <w:rPr>
          <w:rFonts w:ascii="Arial" w:eastAsia="Arial" w:hAnsi="Arial" w:cs="Arial"/>
          <w:b/>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w:t>
      </w:r>
      <w:r>
        <w:rPr>
          <w:rFonts w:ascii="Arial" w:eastAsia="Arial" w:hAnsi="Arial" w:cs="Arial"/>
          <w:i/>
        </w:rPr>
        <w:lastRenderedPageBreak/>
        <w:t>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rsidR="003068DA" w:rsidRDefault="003068DA" w:rsidP="00D14D86">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p>
    <w:p w:rsidR="00B5425E" w:rsidRDefault="00D14D86" w:rsidP="00D14D86">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anterior, procede al análisis de la multa por infracción relacionada con la presentación de declaraciones del impuesto sobre erogaciones por remuneraciones al trabajo personal, contenida en el oficio con número de control </w:t>
      </w:r>
      <w:r w:rsidR="00966299">
        <w:rPr>
          <w:rFonts w:ascii="Arial" w:hAnsi="Arial" w:cs="Arial"/>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w:t>
      </w:r>
      <w:r w:rsidR="00CB07EE">
        <w:rPr>
          <w:rFonts w:ascii="Arial" w:eastAsia="Arial" w:hAnsi="Arial" w:cs="Arial"/>
          <w:color w:val="000000"/>
          <w:sz w:val="24"/>
          <w:szCs w:val="24"/>
        </w:rPr>
        <w:t>veintisiete de julio de dos mil dieciocho, a la que se le otorga</w:t>
      </w:r>
      <w:r>
        <w:rPr>
          <w:rFonts w:ascii="Arial" w:eastAsia="Arial" w:hAnsi="Arial" w:cs="Arial"/>
          <w:color w:val="000000"/>
          <w:sz w:val="24"/>
          <w:szCs w:val="24"/>
        </w:rPr>
        <w:t xml:space="preserve"> pleno valor probatorio, en términos de la fracción I del artículo 203 de la ley de la materia, por haber sido emitido por servidor público en ejercicio de sus funciones, de donde se advierte que la autoridad demandada en la parte que interesa textualmente señaló:</w:t>
      </w:r>
    </w:p>
    <w:p w:rsidR="00B5425E" w:rsidRDefault="00B5425E" w:rsidP="00D14D86">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p>
    <w:p w:rsidR="00B5425E" w:rsidRDefault="00CB07EE" w:rsidP="00D14D86">
      <w:pPr>
        <w:spacing w:after="0" w:line="276" w:lineRule="auto"/>
        <w:ind w:left="567" w:right="-1"/>
        <w:jc w:val="both"/>
        <w:rPr>
          <w:rFonts w:ascii="Arial" w:eastAsia="Arial" w:hAnsi="Arial" w:cs="Arial"/>
          <w:i/>
          <w:sz w:val="24"/>
          <w:szCs w:val="24"/>
        </w:rPr>
      </w:pPr>
      <w:r>
        <w:rPr>
          <w:rFonts w:ascii="Arial" w:eastAsia="Arial" w:hAnsi="Arial" w:cs="Arial"/>
          <w:i/>
          <w:sz w:val="24"/>
          <w:szCs w:val="24"/>
        </w:rPr>
        <w:t>“Considerando que con fecha 15 de febrero</w:t>
      </w:r>
      <w:r w:rsidR="00D14D86">
        <w:rPr>
          <w:rFonts w:ascii="Arial" w:eastAsia="Arial" w:hAnsi="Arial" w:cs="Arial"/>
          <w:i/>
          <w:sz w:val="24"/>
          <w:szCs w:val="24"/>
        </w:rPr>
        <w:t xml:space="preserve"> de 2017,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Secretaría de Finanzas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w:t>
      </w:r>
      <w:r w:rsidR="001823EF">
        <w:rPr>
          <w:rFonts w:ascii="Arial" w:eastAsia="Arial" w:hAnsi="Arial" w:cs="Arial"/>
          <w:i/>
          <w:sz w:val="24"/>
          <w:szCs w:val="24"/>
        </w:rPr>
        <w:t xml:space="preserve"> partir del 1 de febrero de 2018</w:t>
      </w:r>
      <w:r w:rsidR="00D14D86">
        <w:rPr>
          <w:rFonts w:ascii="Arial" w:eastAsia="Arial" w:hAnsi="Arial" w:cs="Arial"/>
          <w:i/>
          <w:sz w:val="24"/>
          <w:szCs w:val="24"/>
        </w:rPr>
        <w:t>, por considerar que no existen agravantes ni antecedentes del contribuyente, en consecuencia se impone la multa citada en los términos siguientes:</w:t>
      </w:r>
    </w:p>
    <w:p w:rsidR="00B5425E" w:rsidRDefault="00B5425E" w:rsidP="00D14D86">
      <w:pPr>
        <w:spacing w:after="0" w:line="276" w:lineRule="auto"/>
        <w:ind w:left="567" w:right="-1"/>
        <w:jc w:val="both"/>
        <w:rPr>
          <w:rFonts w:ascii="Arial" w:eastAsia="Arial" w:hAnsi="Arial" w:cs="Arial"/>
          <w:i/>
          <w:sz w:val="24"/>
          <w:szCs w:val="24"/>
        </w:rPr>
      </w:pPr>
    </w:p>
    <w:tbl>
      <w:tblPr>
        <w:tblStyle w:val="a0"/>
        <w:tblW w:w="89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2854"/>
        <w:gridCol w:w="1590"/>
        <w:gridCol w:w="1866"/>
      </w:tblGrid>
      <w:tr w:rsidR="00B5425E">
        <w:tc>
          <w:tcPr>
            <w:tcW w:w="2610"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INFRACCIÓN</w:t>
            </w:r>
          </w:p>
        </w:tc>
        <w:tc>
          <w:tcPr>
            <w:tcW w:w="2854"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SANCIÓN</w:t>
            </w:r>
          </w:p>
        </w:tc>
        <w:tc>
          <w:tcPr>
            <w:tcW w:w="1590" w:type="dxa"/>
            <w:vAlign w:val="center"/>
          </w:tcPr>
          <w:p w:rsidR="00B5425E" w:rsidRDefault="00D14D86"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UMA VIGENTE</w:t>
            </w:r>
          </w:p>
        </w:tc>
        <w:tc>
          <w:tcPr>
            <w:tcW w:w="1866" w:type="dxa"/>
            <w:vAlign w:val="center"/>
          </w:tcPr>
          <w:p w:rsidR="00B5425E" w:rsidRDefault="00D14D86"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MULTA A PAGAR</w:t>
            </w:r>
          </w:p>
        </w:tc>
      </w:tr>
      <w:tr w:rsidR="00B5425E">
        <w:tc>
          <w:tcPr>
            <w:tcW w:w="2610"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Artículo 269 fracción I del</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Código Fiscal para el</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estado de Oaxaca vigente</w:t>
            </w:r>
          </w:p>
        </w:tc>
        <w:tc>
          <w:tcPr>
            <w:tcW w:w="2854"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50 UMA</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Artículo 269 fracción I del</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Código Fiscal para el estado</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de Oaxaca vigente</w:t>
            </w:r>
          </w:p>
        </w:tc>
        <w:tc>
          <w:tcPr>
            <w:tcW w:w="1590" w:type="dxa"/>
            <w:vAlign w:val="center"/>
          </w:tcPr>
          <w:p w:rsidR="00B5425E" w:rsidRDefault="001823EF"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$80.60</w:t>
            </w:r>
          </w:p>
        </w:tc>
        <w:tc>
          <w:tcPr>
            <w:tcW w:w="1866" w:type="dxa"/>
            <w:vAlign w:val="center"/>
          </w:tcPr>
          <w:p w:rsidR="00B5425E" w:rsidRDefault="001823EF"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$4,030.00</w:t>
            </w:r>
          </w:p>
        </w:tc>
      </w:tr>
    </w:tbl>
    <w:p w:rsidR="00B5425E" w:rsidRDefault="00B5425E" w:rsidP="00D14D86">
      <w:pPr>
        <w:spacing w:after="0" w:line="360" w:lineRule="auto"/>
        <w:ind w:right="-1"/>
        <w:jc w:val="both"/>
        <w:rPr>
          <w:rFonts w:ascii="Arial" w:eastAsia="Arial" w:hAnsi="Arial" w:cs="Arial"/>
          <w:sz w:val="24"/>
          <w:szCs w:val="24"/>
        </w:rPr>
      </w:pPr>
    </w:p>
    <w:p w:rsidR="00B5425E" w:rsidRDefault="00D14D86" w:rsidP="00D14D86">
      <w:pPr>
        <w:spacing w:line="360" w:lineRule="auto"/>
        <w:ind w:right="-1" w:firstLine="567"/>
        <w:jc w:val="both"/>
        <w:rPr>
          <w:rFonts w:ascii="Arial" w:eastAsia="Arial" w:hAnsi="Arial" w:cs="Arial"/>
          <w:b/>
          <w:sz w:val="24"/>
          <w:szCs w:val="24"/>
        </w:rPr>
      </w:pPr>
      <w:r>
        <w:rPr>
          <w:rFonts w:ascii="Arial" w:eastAsia="Arial" w:hAnsi="Arial" w:cs="Arial"/>
          <w:sz w:val="24"/>
          <w:szCs w:val="24"/>
        </w:rPr>
        <w:t>Por lo que, se transcribe el artículo 269 fracción I del Código Fiscal para el Estado de Oaxaca, que a la letra dice:</w:t>
      </w:r>
    </w:p>
    <w:p w:rsidR="00B5425E" w:rsidRDefault="00D14D86" w:rsidP="0053309B">
      <w:pPr>
        <w:spacing w:after="0" w:line="276" w:lineRule="auto"/>
        <w:ind w:left="567" w:right="-1"/>
        <w:jc w:val="both"/>
        <w:rPr>
          <w:rFonts w:ascii="Arial" w:eastAsia="Arial" w:hAnsi="Arial" w:cs="Arial"/>
          <w:i/>
        </w:rPr>
      </w:pPr>
      <w:r>
        <w:rPr>
          <w:rFonts w:ascii="Arial" w:eastAsia="Arial" w:hAnsi="Arial" w:cs="Arial"/>
          <w:b/>
          <w:i/>
        </w:rPr>
        <w:t xml:space="preserve">“…ARTÍCULO 269. </w:t>
      </w:r>
      <w:r>
        <w:rPr>
          <w:rFonts w:ascii="Arial" w:eastAsia="Arial" w:hAnsi="Arial" w:cs="Arial"/>
          <w:i/>
        </w:rPr>
        <w:t>Son infracciones relacionadas con la obligación de pago de las contribuciones, así como de presentación de declaraciones, solicitudes, documentación, avisos, información o expedir constancias:</w:t>
      </w:r>
    </w:p>
    <w:p w:rsidR="00B5425E" w:rsidRDefault="00D14D86" w:rsidP="00D14D86">
      <w:pPr>
        <w:spacing w:after="0" w:line="276" w:lineRule="auto"/>
        <w:ind w:left="567" w:right="-1" w:firstLine="567"/>
        <w:jc w:val="both"/>
        <w:rPr>
          <w:rFonts w:ascii="Arial" w:eastAsia="Arial" w:hAnsi="Arial" w:cs="Arial"/>
          <w:i/>
        </w:rPr>
      </w:pPr>
      <w:r>
        <w:rPr>
          <w:rFonts w:ascii="Arial" w:eastAsia="Arial" w:hAnsi="Arial" w:cs="Arial"/>
          <w:i/>
        </w:rPr>
        <w:t xml:space="preserve">I. No presentar las declaraciones, las solicitudes, los avisos o las constancias que exijan las disposiciones fiscales, o no hacerlo a través de los medios electrónicos </w:t>
      </w:r>
      <w:r>
        <w:rPr>
          <w:rFonts w:ascii="Arial" w:eastAsia="Arial" w:hAnsi="Arial" w:cs="Arial"/>
          <w:i/>
        </w:rPr>
        <w:lastRenderedPageBreak/>
        <w:t>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53309B" w:rsidRDefault="0053309B" w:rsidP="0053309B">
      <w:pPr>
        <w:spacing w:after="0" w:line="276" w:lineRule="auto"/>
        <w:ind w:left="567" w:right="-1"/>
        <w:jc w:val="both"/>
        <w:rPr>
          <w:rFonts w:ascii="Arial" w:eastAsia="Arial" w:hAnsi="Arial" w:cs="Arial"/>
          <w:i/>
        </w:rPr>
      </w:pP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966299">
        <w:rPr>
          <w:rFonts w:ascii="Arial" w:hAnsi="Arial" w:cs="Arial"/>
          <w:sz w:val="24"/>
          <w:szCs w:val="24"/>
        </w:rPr>
        <w:t>**********</w:t>
      </w:r>
      <w:r>
        <w:rPr>
          <w:rFonts w:ascii="Arial" w:eastAsia="Arial" w:hAnsi="Arial" w:cs="Arial"/>
          <w:sz w:val="24"/>
          <w:szCs w:val="24"/>
        </w:rPr>
        <w:t xml:space="preserve"> de </w:t>
      </w:r>
      <w:r w:rsidR="001823EF">
        <w:rPr>
          <w:rFonts w:ascii="Arial" w:eastAsia="Arial" w:hAnsi="Arial" w:cs="Arial"/>
          <w:sz w:val="24"/>
          <w:szCs w:val="24"/>
        </w:rPr>
        <w:t>veintisiete de julio de dos mil dieciocho</w:t>
      </w:r>
      <w:r>
        <w:rPr>
          <w:rFonts w:ascii="Arial" w:eastAsia="Arial" w:hAnsi="Arial" w:cs="Arial"/>
          <w:sz w:val="24"/>
          <w:szCs w:val="24"/>
        </w:rPr>
        <w:t xml:space="preserve">, no señala en qué consiste el impuesto sobre Erogaciones por Remuneración al Trabajo Personal; tampoco señala las actividades que realiza la parte actora, para que encuadre en la hipótesis de sujeto obligado al pago del citado impuesto. </w:t>
      </w:r>
    </w:p>
    <w:p w:rsidR="00AC7E1D"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persona física </w:t>
      </w:r>
      <w:r w:rsidR="00966299">
        <w:rPr>
          <w:rFonts w:ascii="Arial" w:hAnsi="Arial" w:cs="Arial"/>
          <w:sz w:val="24"/>
          <w:szCs w:val="24"/>
        </w:rPr>
        <w:t>**********</w:t>
      </w:r>
      <w:r>
        <w:rPr>
          <w:rFonts w:ascii="Arial" w:eastAsia="Arial" w:hAnsi="Arial" w:cs="Arial"/>
          <w:sz w:val="24"/>
          <w:szCs w:val="24"/>
        </w:rPr>
        <w:t>, es sujeto obligado al pago del citado impuesto, al haber presentado formulario múltiple de Registro Estatal de Contribuyente, no constituye argumento lógico-jurídico para señalar que la actora realiza actividades que la obligaran a pagar el impuesto</w:t>
      </w:r>
      <w:r w:rsidR="00AC7E1D">
        <w:rPr>
          <w:rFonts w:ascii="Arial" w:eastAsia="Arial" w:hAnsi="Arial" w:cs="Arial"/>
          <w:sz w:val="24"/>
          <w:szCs w:val="24"/>
        </w:rPr>
        <w:t>.</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Esto es, que la </w:t>
      </w:r>
      <w:r>
        <w:rPr>
          <w:rFonts w:ascii="Arial" w:eastAsia="Arial" w:hAnsi="Arial" w:cs="Arial"/>
          <w:b/>
          <w:sz w:val="24"/>
          <w:szCs w:val="24"/>
        </w:rPr>
        <w:t>autoridad demandada</w:t>
      </w:r>
      <w:r>
        <w:rPr>
          <w:rFonts w:ascii="Arial" w:eastAsia="Arial" w:hAnsi="Arial" w:cs="Arial"/>
          <w:sz w:val="24"/>
          <w:szCs w:val="24"/>
        </w:rPr>
        <w:t xml:space="preserve"> debió </w:t>
      </w:r>
      <w:r>
        <w:rPr>
          <w:rFonts w:ascii="Arial" w:eastAsia="Arial" w:hAnsi="Arial" w:cs="Arial"/>
          <w:b/>
          <w:sz w:val="24"/>
          <w:szCs w:val="24"/>
        </w:rPr>
        <w:t>fundar y motivar</w:t>
      </w:r>
      <w:r>
        <w:rPr>
          <w:rFonts w:ascii="Arial" w:eastAsia="Arial" w:hAnsi="Arial" w:cs="Arial"/>
          <w:sz w:val="24"/>
          <w:szCs w:val="24"/>
        </w:rPr>
        <w:t xml:space="preserve"> el acto administrativo para no dejar al administrado en estado de indefensión al ignorar las causas que llevaron a la autoridad a emitirlo,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actor están sujetas al pago del impuesto sobre Erogaciones por Remuneración al Trabajo Personal. </w:t>
      </w:r>
    </w:p>
    <w:p w:rsidR="00B5425E" w:rsidRDefault="00D14D86" w:rsidP="00D14D86">
      <w:pPr>
        <w:spacing w:after="240" w:line="360" w:lineRule="auto"/>
        <w:ind w:right="-1" w:firstLine="567"/>
        <w:jc w:val="both"/>
        <w:rPr>
          <w:rFonts w:ascii="Arial" w:eastAsia="Arial" w:hAnsi="Arial" w:cs="Arial"/>
          <w:sz w:val="24"/>
          <w:szCs w:val="24"/>
        </w:rPr>
      </w:pPr>
      <w:r>
        <w:rPr>
          <w:rFonts w:ascii="Arial" w:eastAsia="Arial" w:hAnsi="Arial" w:cs="Arial"/>
          <w:sz w:val="24"/>
          <w:szCs w:val="24"/>
        </w:rPr>
        <w:t>Ya que, si bien es cierto, la autoridad impone una sanción fundamentándose en el artículo 269 fracción I 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t xml:space="preserve"> </w:t>
      </w:r>
      <w:r>
        <w:rPr>
          <w:rFonts w:ascii="Arial" w:eastAsia="Arial" w:hAnsi="Arial" w:cs="Arial"/>
          <w:sz w:val="24"/>
          <w:szCs w:val="24"/>
        </w:rPr>
        <w:t xml:space="preserve">de manera que </w:t>
      </w:r>
      <w:r>
        <w:rPr>
          <w:rFonts w:ascii="Arial" w:eastAsia="Arial" w:hAnsi="Arial" w:cs="Arial"/>
          <w:sz w:val="24"/>
          <w:szCs w:val="24"/>
        </w:rPr>
        <w:lastRenderedPageBreak/>
        <w:t>sea evidente y muy claro para el afectado poder cuestionar y controvertir el mérito de la decisión, permitiéndole una real y auténtica defensa;  tal como lo exige, la Jurisprudencia de la Novena Época, con número de Registro: 1012278, Fuente: Apéndice de 2011, Tomo I. Constitucional 3. Derechos Fundamentales Segunda Parte - TCC Sexta Sección - Fundamentación y motivación, Materia(s): Común, Tesis:</w:t>
      </w:r>
      <w:r>
        <w:rPr>
          <w:rFonts w:ascii="Arial" w:eastAsia="Arial" w:hAnsi="Arial" w:cs="Arial"/>
          <w:sz w:val="24"/>
          <w:szCs w:val="24"/>
        </w:rPr>
        <w:tab/>
        <w:t>991, Página:</w:t>
      </w:r>
      <w:r>
        <w:rPr>
          <w:rFonts w:ascii="Arial" w:eastAsia="Arial" w:hAnsi="Arial" w:cs="Arial"/>
          <w:sz w:val="24"/>
          <w:szCs w:val="24"/>
        </w:rPr>
        <w:tab/>
        <w:t>2323, con el rubro y texto siguiente:</w:t>
      </w:r>
    </w:p>
    <w:p w:rsidR="00B5425E" w:rsidRDefault="00AC7E1D" w:rsidP="00AC7E1D">
      <w:pPr>
        <w:spacing w:after="240" w:line="276" w:lineRule="auto"/>
        <w:ind w:left="567" w:right="425"/>
        <w:jc w:val="both"/>
        <w:rPr>
          <w:rFonts w:ascii="Arial" w:eastAsia="Arial" w:hAnsi="Arial" w:cs="Arial"/>
          <w:b/>
          <w:i/>
        </w:rPr>
      </w:pPr>
      <w:r>
        <w:rPr>
          <w:rFonts w:ascii="Arial" w:eastAsia="Arial" w:hAnsi="Arial" w:cs="Arial"/>
          <w:b/>
          <w:i/>
        </w:rPr>
        <w:t>“</w:t>
      </w:r>
      <w:r w:rsidR="00D14D86">
        <w:rPr>
          <w:rFonts w:ascii="Arial" w:eastAsia="Arial" w:hAnsi="Arial" w:cs="Arial"/>
          <w:b/>
          <w:i/>
        </w:rPr>
        <w:t xml:space="preserve">FUNDAMENTACIÓN Y MOTIVACIÓN. EL ASPECTO FORMAL DE LA GARANTÍA Y SU FINALIDAD SE TRADUCEN EN EXPLICAR, JUSTIFICAR, POSIBILITAR LA DEFENSA Y COMUNICAR LA DECISIÓN.  </w:t>
      </w:r>
      <w:r w:rsidR="00D14D86">
        <w:rPr>
          <w:rFonts w:ascii="Arial" w:eastAsia="Arial" w:hAnsi="Arial" w:cs="Arial"/>
          <w:i/>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B5425E" w:rsidRDefault="00D14D86" w:rsidP="00D14D86">
      <w:pPr>
        <w:spacing w:line="360" w:lineRule="auto"/>
        <w:ind w:right="-1" w:firstLine="567"/>
        <w:jc w:val="both"/>
        <w:rPr>
          <w:rFonts w:ascii="Arial" w:eastAsia="Arial" w:hAnsi="Arial" w:cs="Arial"/>
          <w:b/>
          <w:sz w:val="24"/>
          <w:szCs w:val="24"/>
        </w:rPr>
      </w:pPr>
      <w:r>
        <w:rPr>
          <w:rFonts w:ascii="Arial" w:eastAsia="Arial" w:hAnsi="Arial" w:cs="Arial"/>
          <w:b/>
          <w:sz w:val="24"/>
          <w:szCs w:val="24"/>
        </w:rPr>
        <w:t>En consecuencia</w:t>
      </w:r>
      <w:r>
        <w:rPr>
          <w:rFonts w:ascii="Arial" w:eastAsia="Arial" w:hAnsi="Arial" w:cs="Arial"/>
          <w:sz w:val="24"/>
          <w:szCs w:val="24"/>
        </w:rPr>
        <w:t xml:space="preserve">, se declara </w:t>
      </w:r>
      <w:r>
        <w:rPr>
          <w:rFonts w:ascii="Arial" w:eastAsia="Arial" w:hAnsi="Arial" w:cs="Arial"/>
          <w:b/>
          <w:sz w:val="24"/>
          <w:szCs w:val="24"/>
        </w:rPr>
        <w:t xml:space="preserve">LA NULIDAD LISA Y LLANA </w:t>
      </w:r>
      <w:r>
        <w:rPr>
          <w:rFonts w:ascii="Arial" w:eastAsia="Arial" w:hAnsi="Arial" w:cs="Arial"/>
          <w:sz w:val="24"/>
          <w:szCs w:val="24"/>
        </w:rPr>
        <w:t xml:space="preserve">de la Multa por Infracción relacionada con la presentación de declaraciones del impuesto sobre erogaciones por remuneraciones al trabajo personal, con número de control </w:t>
      </w:r>
      <w:r w:rsidR="00966299">
        <w:rPr>
          <w:rFonts w:ascii="Arial" w:hAnsi="Arial" w:cs="Arial"/>
          <w:sz w:val="24"/>
          <w:szCs w:val="24"/>
        </w:rPr>
        <w:t>**********</w:t>
      </w:r>
      <w:r>
        <w:rPr>
          <w:rFonts w:ascii="Arial" w:eastAsia="Arial" w:hAnsi="Arial" w:cs="Arial"/>
          <w:sz w:val="24"/>
          <w:szCs w:val="24"/>
        </w:rPr>
        <w:t xml:space="preserve"> de </w:t>
      </w:r>
      <w:r w:rsidR="001823EF">
        <w:rPr>
          <w:rFonts w:ascii="Arial" w:eastAsia="Arial" w:hAnsi="Arial" w:cs="Arial"/>
          <w:sz w:val="24"/>
          <w:szCs w:val="24"/>
        </w:rPr>
        <w:t>veintisiete de julio de dos mil dieciocho</w:t>
      </w:r>
      <w:r>
        <w:rPr>
          <w:rFonts w:ascii="Arial" w:eastAsia="Arial" w:hAnsi="Arial" w:cs="Arial"/>
          <w:sz w:val="24"/>
          <w:szCs w:val="24"/>
        </w:rPr>
        <w:t xml:space="preserve">, emitida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se ordena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a la </w:t>
      </w:r>
      <w:r>
        <w:rPr>
          <w:rFonts w:ascii="Arial" w:eastAsia="Arial" w:hAnsi="Arial" w:cs="Arial"/>
          <w:b/>
          <w:color w:val="000000"/>
          <w:sz w:val="24"/>
          <w:szCs w:val="24"/>
        </w:rPr>
        <w:t>cancelación</w:t>
      </w:r>
      <w:r>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Ahora bien,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pretensión principal de la parte actora. </w:t>
      </w:r>
    </w:p>
    <w:p w:rsidR="00B5425E" w:rsidRDefault="00D14D86" w:rsidP="00D14D86">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Tiene exacta aplicación la Jurisprudencia Registro No. 174.974, Materia Administrativa, Novena Época, Instancia: Tribunales Colegiados de Circuito, Fuente: </w:t>
      </w:r>
      <w:r>
        <w:rPr>
          <w:rFonts w:ascii="Arial" w:eastAsia="Arial" w:hAnsi="Arial" w:cs="Arial"/>
          <w:sz w:val="24"/>
          <w:szCs w:val="24"/>
        </w:rPr>
        <w:lastRenderedPageBreak/>
        <w:t>Semanario Judicial de la Federación y su Gaceta, Mayo 2006, página 1646, bajo el siguiente rubro y texto:</w:t>
      </w:r>
    </w:p>
    <w:p w:rsidR="00AC7E1D" w:rsidRDefault="00AC7E1D" w:rsidP="00D14D86">
      <w:pPr>
        <w:spacing w:after="0" w:line="276" w:lineRule="auto"/>
        <w:ind w:left="567" w:right="-1"/>
        <w:jc w:val="both"/>
        <w:rPr>
          <w:rFonts w:ascii="Arial" w:eastAsia="Arial" w:hAnsi="Arial" w:cs="Arial"/>
          <w:b/>
          <w:i/>
        </w:rPr>
      </w:pPr>
    </w:p>
    <w:p w:rsidR="00B5425E" w:rsidRDefault="00D14D86" w:rsidP="00AC7E1D">
      <w:pPr>
        <w:spacing w:after="0" w:line="276" w:lineRule="auto"/>
        <w:ind w:left="567" w:right="425"/>
        <w:jc w:val="both"/>
        <w:rPr>
          <w:rFonts w:ascii="Arial" w:eastAsia="Arial" w:hAnsi="Arial" w:cs="Arial"/>
          <w:i/>
        </w:rPr>
      </w:pPr>
      <w:r>
        <w:rPr>
          <w:rFonts w:ascii="Arial" w:eastAsia="Arial" w:hAnsi="Arial" w:cs="Arial"/>
          <w:b/>
          <w:i/>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Arial" w:hAnsi="Arial" w:cs="Arial"/>
          <w:i/>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ascii="Arial" w:eastAsia="Arial" w:hAnsi="Arial" w:cs="Arial"/>
          <w:b/>
          <w:i/>
        </w:rPr>
        <w:t xml:space="preserve"> </w:t>
      </w:r>
      <w:r>
        <w:rPr>
          <w:rFonts w:ascii="Arial" w:eastAsia="Arial" w:hAnsi="Arial" w:cs="Arial"/>
          <w:i/>
        </w:rPr>
        <w:t>actor, y sólo en el evento de estimarlos infundados, se</w:t>
      </w:r>
      <w:r>
        <w:rPr>
          <w:rFonts w:ascii="Arial" w:eastAsia="Arial" w:hAnsi="Arial" w:cs="Arial"/>
          <w:b/>
          <w:i/>
        </w:rPr>
        <w:t xml:space="preserve"> </w:t>
      </w:r>
      <w:r>
        <w:rPr>
          <w:rFonts w:ascii="Arial" w:eastAsia="Arial" w:hAnsi="Arial" w:cs="Arial"/>
          <w:i/>
        </w:rPr>
        <w:t>pronuncie sobre los conceptos de impugnación que lleven a una declaratoria de nulidad para efectos, bien sea de la llamada comúnmente "del tercer tipo", por versar sobre el ejercicio de facultades discrecionales o, en su caso, para otros efectos”.</w:t>
      </w:r>
    </w:p>
    <w:p w:rsidR="00B5425E" w:rsidRDefault="00B5425E" w:rsidP="00D14D86">
      <w:pPr>
        <w:spacing w:after="0" w:line="360" w:lineRule="auto"/>
        <w:ind w:right="-1" w:firstLine="567"/>
        <w:jc w:val="both"/>
        <w:rPr>
          <w:rFonts w:ascii="Arial" w:eastAsia="Arial" w:hAnsi="Arial" w:cs="Arial"/>
          <w:sz w:val="24"/>
          <w:szCs w:val="24"/>
        </w:rPr>
      </w:pPr>
    </w:p>
    <w:p w:rsidR="00B5425E" w:rsidRDefault="00D14D86" w:rsidP="00AC7E1D">
      <w:pPr>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SEXTO. </w:t>
      </w:r>
      <w:r>
        <w:rPr>
          <w:rFonts w:ascii="Arial" w:eastAsia="Arial" w:hAnsi="Arial" w:cs="Arial"/>
          <w:sz w:val="24"/>
          <w:szCs w:val="24"/>
        </w:rPr>
        <w:t xml:space="preserve">Luego, al declararse la Nulidad Lisa y Llana de la Multa por Infracción relacionada con la presentación de declaraciones del impuesto sobre erogaciones por remuneraciones al trabajo personal, con número de control </w:t>
      </w:r>
      <w:r w:rsidR="00966299">
        <w:rPr>
          <w:rFonts w:ascii="Arial" w:hAnsi="Arial" w:cs="Arial"/>
          <w:sz w:val="24"/>
          <w:szCs w:val="24"/>
        </w:rPr>
        <w:t xml:space="preserve">********** </w:t>
      </w:r>
      <w:r>
        <w:rPr>
          <w:rFonts w:ascii="Arial" w:eastAsia="Arial" w:hAnsi="Arial" w:cs="Arial"/>
          <w:sz w:val="24"/>
          <w:szCs w:val="24"/>
        </w:rPr>
        <w:t xml:space="preserve">de </w:t>
      </w:r>
      <w:r w:rsidR="001823EF">
        <w:rPr>
          <w:rFonts w:ascii="Arial" w:eastAsia="Arial" w:hAnsi="Arial" w:cs="Arial"/>
          <w:sz w:val="24"/>
          <w:szCs w:val="24"/>
        </w:rPr>
        <w:t>veintisiete de julio de dos mil dieciocho</w:t>
      </w:r>
      <w:r>
        <w:rPr>
          <w:rFonts w:ascii="Arial" w:eastAsia="Arial" w:hAnsi="Arial" w:cs="Arial"/>
          <w:sz w:val="24"/>
          <w:szCs w:val="24"/>
        </w:rPr>
        <w:t xml:space="preserve">, procede a declarar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966299">
        <w:rPr>
          <w:rFonts w:ascii="Arial" w:hAnsi="Arial" w:cs="Arial"/>
          <w:sz w:val="24"/>
          <w:szCs w:val="24"/>
        </w:rPr>
        <w:t>**********</w:t>
      </w:r>
      <w:r>
        <w:rPr>
          <w:rFonts w:ascii="Arial" w:eastAsia="Arial" w:hAnsi="Arial" w:cs="Arial"/>
          <w:sz w:val="24"/>
          <w:szCs w:val="24"/>
        </w:rPr>
        <w:t xml:space="preserve">, que contiene la resolución de </w:t>
      </w:r>
      <w:r w:rsidR="001823EF">
        <w:rPr>
          <w:rFonts w:ascii="Arial" w:eastAsia="Arial" w:hAnsi="Arial" w:cs="Arial"/>
          <w:sz w:val="24"/>
          <w:szCs w:val="24"/>
        </w:rPr>
        <w:t>tres de diciembre de dos mil dieciocho</w:t>
      </w:r>
      <w:r>
        <w:rPr>
          <w:rFonts w:ascii="Arial" w:eastAsia="Arial" w:hAnsi="Arial" w:cs="Arial"/>
          <w:sz w:val="24"/>
          <w:szCs w:val="24"/>
        </w:rPr>
        <w:t xml:space="preserve">, dictada en el expediente </w:t>
      </w:r>
      <w:r w:rsidR="00966299">
        <w:rPr>
          <w:rFonts w:ascii="Arial" w:hAnsi="Arial" w:cs="Arial"/>
          <w:sz w:val="24"/>
          <w:szCs w:val="24"/>
        </w:rPr>
        <w:t xml:space="preserve">********** </w:t>
      </w:r>
      <w:r>
        <w:rPr>
          <w:rFonts w:ascii="Arial" w:eastAsia="Arial" w:hAnsi="Arial" w:cs="Arial"/>
          <w:sz w:val="24"/>
          <w:szCs w:val="24"/>
        </w:rPr>
        <w:t xml:space="preserve">por el </w:t>
      </w:r>
      <w:r>
        <w:rPr>
          <w:rFonts w:ascii="Arial" w:eastAsia="Arial" w:hAnsi="Arial" w:cs="Arial"/>
          <w:b/>
          <w:sz w:val="24"/>
          <w:szCs w:val="24"/>
        </w:rPr>
        <w:t>Director de lo Contencioso de la Procuraduría Fiscal dependiente de la Subsecretaría de Ingresos de la Secretaría de Finanzas del Estado</w:t>
      </w:r>
      <w:r w:rsidR="00AC7E1D">
        <w:rPr>
          <w:rFonts w:ascii="Arial" w:eastAsia="Arial" w:hAnsi="Arial" w:cs="Arial"/>
          <w:sz w:val="24"/>
          <w:szCs w:val="24"/>
        </w:rPr>
        <w:t xml:space="preserve">, por provenir </w:t>
      </w:r>
      <w:r>
        <w:rPr>
          <w:rFonts w:ascii="Arial" w:eastAsia="Arial" w:hAnsi="Arial" w:cs="Arial"/>
          <w:sz w:val="24"/>
          <w:szCs w:val="24"/>
        </w:rPr>
        <w:t>de un acto viciado y este Tribunal no debe darle valor legal alguno.</w:t>
      </w:r>
      <w:r>
        <w:rPr>
          <w:rFonts w:ascii="Arial" w:eastAsia="Arial" w:hAnsi="Arial" w:cs="Arial"/>
          <w:color w:val="000000"/>
          <w:sz w:val="24"/>
          <w:szCs w:val="24"/>
        </w:rPr>
        <w:t xml:space="preserve"> </w:t>
      </w:r>
    </w:p>
    <w:p w:rsidR="00B5425E" w:rsidRDefault="00D14D86" w:rsidP="00D14D86">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B5425E" w:rsidRDefault="00D14D86" w:rsidP="00AC7E1D">
      <w:pPr>
        <w:spacing w:after="0" w:line="276" w:lineRule="auto"/>
        <w:ind w:left="567" w:right="425"/>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5425E" w:rsidRDefault="00B5425E" w:rsidP="00D14D86">
      <w:pPr>
        <w:spacing w:after="0" w:line="360" w:lineRule="auto"/>
        <w:ind w:right="-1"/>
        <w:jc w:val="both"/>
        <w:rPr>
          <w:rFonts w:ascii="Arial" w:eastAsia="Arial" w:hAnsi="Arial" w:cs="Arial"/>
          <w:sz w:val="24"/>
          <w:szCs w:val="24"/>
        </w:rPr>
      </w:pPr>
    </w:p>
    <w:p w:rsidR="00B5425E" w:rsidRDefault="00D14D86" w:rsidP="00D14D86">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rsidR="00B5425E" w:rsidRDefault="00D14D86" w:rsidP="00D14D86">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rsidR="00B5425E" w:rsidRDefault="00D14D86" w:rsidP="00D14D86">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w:t>
      </w:r>
      <w:r w:rsidR="001823EF">
        <w:rPr>
          <w:rFonts w:ascii="Arial" w:eastAsia="Arial" w:hAnsi="Arial" w:cs="Arial"/>
          <w:sz w:val="24"/>
          <w:szCs w:val="24"/>
        </w:rPr>
        <w:t>Esta Cuarta Sala Unitaria es</w:t>
      </w:r>
      <w:r>
        <w:rPr>
          <w:rFonts w:ascii="Arial" w:eastAsia="Arial" w:hAnsi="Arial" w:cs="Arial"/>
          <w:sz w:val="24"/>
          <w:szCs w:val="24"/>
        </w:rPr>
        <w:t xml:space="preserv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 - - - - - - - - </w:t>
      </w:r>
    </w:p>
    <w:p w:rsidR="00B5425E" w:rsidRDefault="00D14D86" w:rsidP="00D14D86">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lastRenderedPageBreak/>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 </w:t>
      </w:r>
    </w:p>
    <w:p w:rsidR="00B5425E" w:rsidRDefault="00D14D86" w:rsidP="00D14D86">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 - - - </w:t>
      </w:r>
    </w:p>
    <w:p w:rsidR="00B5425E" w:rsidRDefault="00D14D86" w:rsidP="00D14D86">
      <w:pPr>
        <w:spacing w:line="360" w:lineRule="auto"/>
        <w:ind w:right="-1" w:firstLine="567"/>
        <w:jc w:val="both"/>
        <w:rPr>
          <w:rFonts w:ascii="Arial" w:eastAsia="Arial" w:hAnsi="Arial" w:cs="Arial"/>
          <w:b/>
          <w:sz w:val="24"/>
          <w:szCs w:val="24"/>
        </w:rPr>
      </w:pPr>
      <w:r>
        <w:rPr>
          <w:rFonts w:ascii="Arial" w:eastAsia="Arial" w:hAnsi="Arial" w:cs="Arial"/>
          <w:b/>
          <w:color w:val="000000"/>
          <w:sz w:val="24"/>
          <w:szCs w:val="24"/>
        </w:rPr>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 la Multa por Infracción relacionada con la presentación de declaraciones del impuesto sobre erogaciones por remuneraciones al trabajo personal, con número de control </w:t>
      </w:r>
      <w:r w:rsidR="00966299">
        <w:rPr>
          <w:rFonts w:ascii="Arial" w:hAnsi="Arial" w:cs="Arial"/>
          <w:sz w:val="24"/>
          <w:szCs w:val="24"/>
        </w:rPr>
        <w:t>**********</w:t>
      </w:r>
      <w:r>
        <w:rPr>
          <w:rFonts w:ascii="Arial" w:eastAsia="Arial" w:hAnsi="Arial" w:cs="Arial"/>
          <w:sz w:val="24"/>
          <w:szCs w:val="24"/>
        </w:rPr>
        <w:t xml:space="preserve"> de </w:t>
      </w:r>
      <w:r w:rsidR="003045B1">
        <w:rPr>
          <w:rFonts w:ascii="Arial" w:eastAsia="Arial" w:hAnsi="Arial" w:cs="Arial"/>
          <w:sz w:val="24"/>
          <w:szCs w:val="24"/>
        </w:rPr>
        <w:t>veintisiete de julio de dos mil dieciocho</w:t>
      </w:r>
      <w:r>
        <w:rPr>
          <w:rFonts w:ascii="Arial" w:eastAsia="Arial" w:hAnsi="Arial" w:cs="Arial"/>
          <w:sz w:val="24"/>
          <w:szCs w:val="24"/>
        </w:rPr>
        <w:t xml:space="preserve">, emitida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w:t>
      </w:r>
      <w:r>
        <w:rPr>
          <w:rFonts w:ascii="Arial" w:eastAsia="Arial" w:hAnsi="Arial" w:cs="Arial"/>
          <w:b/>
          <w:sz w:val="24"/>
          <w:szCs w:val="24"/>
        </w:rPr>
        <w:t xml:space="preserve"> </w:t>
      </w:r>
      <w:r>
        <w:rPr>
          <w:rFonts w:ascii="Arial" w:eastAsia="Arial" w:hAnsi="Arial" w:cs="Arial"/>
          <w:color w:val="000000"/>
          <w:sz w:val="24"/>
          <w:szCs w:val="24"/>
        </w:rPr>
        <w:t xml:space="preserve">como quedo precisado en el considerando </w:t>
      </w:r>
      <w:r>
        <w:rPr>
          <w:rFonts w:ascii="Arial" w:eastAsia="Arial" w:hAnsi="Arial" w:cs="Arial"/>
          <w:b/>
          <w:color w:val="000000"/>
          <w:sz w:val="24"/>
          <w:szCs w:val="24"/>
        </w:rPr>
        <w:t>quinto</w:t>
      </w:r>
      <w:r>
        <w:rPr>
          <w:rFonts w:ascii="Arial" w:eastAsia="Arial" w:hAnsi="Arial" w:cs="Arial"/>
          <w:color w:val="000000"/>
          <w:sz w:val="24"/>
          <w:szCs w:val="24"/>
        </w:rPr>
        <w:t xml:space="preserve"> de esta sentencia.</w:t>
      </w:r>
      <w:r w:rsidR="003045B1">
        <w:rPr>
          <w:rFonts w:ascii="Arial" w:eastAsia="Arial" w:hAnsi="Arial" w:cs="Arial"/>
          <w:color w:val="000000"/>
          <w:sz w:val="24"/>
          <w:szCs w:val="24"/>
        </w:rPr>
        <w:t xml:space="preserve"> </w:t>
      </w:r>
      <w:r>
        <w:rPr>
          <w:rFonts w:ascii="Arial" w:eastAsia="Arial" w:hAnsi="Arial" w:cs="Arial"/>
          <w:sz w:val="24"/>
          <w:szCs w:val="24"/>
        </w:rPr>
        <w:t>- - - - - - - - - - -</w:t>
      </w:r>
      <w:r w:rsidR="003045B1">
        <w:rPr>
          <w:rFonts w:ascii="Arial" w:eastAsia="Arial" w:hAnsi="Arial" w:cs="Arial"/>
          <w:sz w:val="24"/>
          <w:szCs w:val="24"/>
        </w:rPr>
        <w:t xml:space="preserve"> - - - - </w:t>
      </w:r>
    </w:p>
    <w:p w:rsidR="00B5425E" w:rsidRDefault="00D14D86" w:rsidP="00D14D86">
      <w:pPr>
        <w:spacing w:line="360" w:lineRule="auto"/>
        <w:ind w:right="-1" w:firstLine="708"/>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966299">
        <w:rPr>
          <w:rFonts w:ascii="Arial" w:hAnsi="Arial" w:cs="Arial"/>
          <w:sz w:val="24"/>
          <w:szCs w:val="24"/>
        </w:rPr>
        <w:t>**********</w:t>
      </w:r>
      <w:r w:rsidR="00C92E2B">
        <w:rPr>
          <w:rFonts w:ascii="Arial" w:eastAsia="Arial" w:hAnsi="Arial" w:cs="Arial"/>
          <w:sz w:val="24"/>
          <w:szCs w:val="24"/>
        </w:rPr>
        <w:t xml:space="preserve">, que contiene la resolución de tres de diciembre de dos mil dieciocho, dictada en el expediente </w:t>
      </w:r>
      <w:r w:rsidR="00966299">
        <w:rPr>
          <w:rFonts w:ascii="Arial" w:hAnsi="Arial" w:cs="Arial"/>
          <w:sz w:val="24"/>
          <w:szCs w:val="24"/>
        </w:rPr>
        <w:t>**********</w:t>
      </w:r>
      <w:r w:rsidR="00C92E2B">
        <w:rPr>
          <w:rFonts w:ascii="Arial" w:eastAsia="Arial" w:hAnsi="Arial" w:cs="Arial"/>
          <w:sz w:val="24"/>
          <w:szCs w:val="24"/>
        </w:rPr>
        <w:t xml:space="preserve"> por el </w:t>
      </w:r>
      <w:r w:rsidR="00C92E2B">
        <w:rPr>
          <w:rFonts w:ascii="Arial" w:eastAsia="Arial" w:hAnsi="Arial" w:cs="Arial"/>
          <w:b/>
          <w:sz w:val="24"/>
          <w:szCs w:val="24"/>
        </w:rPr>
        <w:t>Director de lo Contencioso de la Procuraduría Fiscal dependiente de la Subsecretaría de Ingresos de la Secretaría de Finanzas del Estado</w:t>
      </w:r>
      <w:r>
        <w:rPr>
          <w:rFonts w:ascii="Arial" w:eastAsia="Arial" w:hAnsi="Arial" w:cs="Arial"/>
          <w:sz w:val="24"/>
          <w:szCs w:val="24"/>
        </w:rPr>
        <w:t>, al provenir de un acto viciado, como quedó establecido en el considerando sexto de esta sentencia</w:t>
      </w:r>
      <w:r>
        <w:rPr>
          <w:rFonts w:ascii="Arial" w:eastAsia="Arial" w:hAnsi="Arial" w:cs="Arial"/>
          <w:color w:val="000000"/>
          <w:sz w:val="24"/>
          <w:szCs w:val="24"/>
        </w:rPr>
        <w:t xml:space="preserve">. - - - - - - - - - - - </w:t>
      </w:r>
    </w:p>
    <w:p w:rsidR="00B5425E" w:rsidRDefault="00D14D86" w:rsidP="00D14D86">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SEXTO. NOTIFÍQUESE PERSONALMENTE A LA PARTE ACTORA Y MEDIANTE OFICIO A LA AUTORIDAD DEMANDADA</w:t>
      </w:r>
      <w:r>
        <w:rPr>
          <w:rFonts w:ascii="Arial" w:eastAsia="Arial" w:hAnsi="Arial" w:cs="Arial"/>
          <w:sz w:val="24"/>
          <w:szCs w:val="24"/>
        </w:rPr>
        <w:t xml:space="preserve">, con fundamento en los artículos 170,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 - - - - - - - - - - - - - - - - - - - - - - - - </w:t>
      </w:r>
    </w:p>
    <w:p w:rsidR="00AC7E1D" w:rsidRDefault="00AC7E1D" w:rsidP="00AC7E1D">
      <w:pPr>
        <w:pStyle w:val="Textoindependienteprimerasangra"/>
        <w:spacing w:line="360" w:lineRule="auto"/>
        <w:ind w:firstLine="567"/>
        <w:jc w:val="both"/>
        <w:rPr>
          <w:rFonts w:ascii="Arial" w:eastAsia="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quien actúa legalmente con la Licenciada Monserrat García Altamirano, Secretaria de Acuerdos de esta Sala, quien autoriza y da fe, hasta el día de hoy que las labores de esta Sala lo p</w:t>
      </w:r>
      <w:r w:rsidR="00966299">
        <w:rPr>
          <w:rFonts w:ascii="Arial" w:hAnsi="Arial" w:cs="Arial"/>
          <w:sz w:val="24"/>
          <w:szCs w:val="24"/>
        </w:rPr>
        <w:t>ermitieron. - - - - - - - - - -</w:t>
      </w:r>
    </w:p>
    <w:sectPr w:rsidR="00AC7E1D">
      <w:headerReference w:type="even" r:id="rId8"/>
      <w:headerReference w:type="default" r:id="rId9"/>
      <w:footerReference w:type="even" r:id="rId10"/>
      <w:footerReference w:type="default" r:id="rId11"/>
      <w:headerReference w:type="first" r:id="rId12"/>
      <w:footerReference w:type="first" r:id="rId13"/>
      <w:pgSz w:w="12240" w:h="20160"/>
      <w:pgMar w:top="1276" w:right="1325" w:bottom="1418"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BAB" w:rsidRDefault="00770BAB">
      <w:pPr>
        <w:spacing w:after="0" w:line="240" w:lineRule="auto"/>
      </w:pPr>
      <w:r>
        <w:separator/>
      </w:r>
    </w:p>
  </w:endnote>
  <w:endnote w:type="continuationSeparator" w:id="0">
    <w:p w:rsidR="00770BAB" w:rsidRDefault="0077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69F" w:rsidRDefault="00EB269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69F" w:rsidRDefault="00EB269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69F" w:rsidRDefault="00EB26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BAB" w:rsidRDefault="00770BAB">
      <w:pPr>
        <w:spacing w:after="0" w:line="240" w:lineRule="auto"/>
      </w:pPr>
      <w:r>
        <w:separator/>
      </w:r>
    </w:p>
  </w:footnote>
  <w:footnote w:type="continuationSeparator" w:id="0">
    <w:p w:rsidR="00770BAB" w:rsidRDefault="00770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69F" w:rsidRDefault="00EB269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5E" w:rsidRDefault="00EB269F" w:rsidP="000E37F5">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71F9C391" wp14:editId="15D08CC9">
              <wp:simplePos x="0" y="0"/>
              <wp:positionH relativeFrom="column">
                <wp:posOffset>-1001395</wp:posOffset>
              </wp:positionH>
              <wp:positionV relativeFrom="paragraph">
                <wp:posOffset>4860925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rsidR="00EB269F" w:rsidRDefault="00EB269F" w:rsidP="00EB269F">
                          <w:pPr>
                            <w:jc w:val="both"/>
                            <w:rPr>
                              <w:sz w:val="20"/>
                              <w:szCs w:val="20"/>
                            </w:rPr>
                          </w:pPr>
                          <w:bookmarkStart w:id="0" w:name="_GoBack"/>
                          <w:r>
                            <w:rPr>
                              <w:rFonts w:ascii="Arial" w:hAnsi="Arial" w:cs="Arial"/>
                              <w:sz w:val="20"/>
                              <w:szCs w:val="20"/>
                            </w:rPr>
                            <w:t>Datos protegidos por el artículo 116 de la LGTAIP y el Artículo 61 de la LTAIPBGO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F9C391" id="_x0000_t202" coordsize="21600,21600" o:spt="202" path="m,l,21600r21600,l21600,xe">
              <v:stroke joinstyle="miter"/>
              <v:path gradientshapeok="t" o:connecttype="rect"/>
            </v:shapetype>
            <v:shape id="Cuadro de texto 4" o:spid="_x0000_s1026" type="#_x0000_t202" style="position:absolute;left:0;text-align:left;margin-left:-78.85pt;margin-top:382.7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qKAIAAEwEAAAOAAAAZHJzL2Uyb0RvYy54bWysVNuO0zAQfUfiHyy/06Q3aKOmq6VLEdJy&#10;kRY+YGo7jYXjCbbbpHz9jp1uK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">
              <v:textbox>
                <w:txbxContent>
                  <w:p w:rsidR="00EB269F" w:rsidRDefault="00EB269F" w:rsidP="00EB269F">
                    <w:pPr>
                      <w:jc w:val="both"/>
                      <w:rPr>
                        <w:sz w:val="20"/>
                        <w:szCs w:val="20"/>
                      </w:rPr>
                    </w:pPr>
                    <w:bookmarkStart w:id="1" w:name="_GoBack"/>
                    <w:r>
                      <w:rPr>
                        <w:rFonts w:ascii="Arial" w:hAnsi="Arial" w:cs="Arial"/>
                        <w:sz w:val="20"/>
                        <w:szCs w:val="20"/>
                      </w:rPr>
                      <w:t>Datos protegidos por el artículo 116 de la LGTAIP y el Artículo 61 de la LTAIPBGO</w:t>
                    </w:r>
                    <w:bookmarkEnd w:id="1"/>
                  </w:p>
                </w:txbxContent>
              </v:textbox>
            </v:shape>
          </w:pict>
        </mc:Fallback>
      </mc:AlternateContent>
    </w:r>
    <w:r w:rsidR="00D14D86">
      <w:rPr>
        <w:color w:val="000000"/>
      </w:rPr>
      <w:fldChar w:fldCharType="begin"/>
    </w:r>
    <w:r w:rsidR="00D14D86">
      <w:rPr>
        <w:color w:val="000000"/>
      </w:rPr>
      <w:instrText>PAGE</w:instrText>
    </w:r>
    <w:r w:rsidR="00D14D86">
      <w:rPr>
        <w:color w:val="000000"/>
      </w:rPr>
      <w:fldChar w:fldCharType="separate"/>
    </w:r>
    <w:r>
      <w:rPr>
        <w:noProof/>
        <w:color w:val="000000"/>
      </w:rPr>
      <w:t>1</w:t>
    </w:r>
    <w:r w:rsidR="00D14D86">
      <w:rPr>
        <w:color w:val="00000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69F" w:rsidRDefault="00EB269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61AC5"/>
    <w:rsid w:val="00091B7D"/>
    <w:rsid w:val="000D6248"/>
    <w:rsid w:val="000E37F5"/>
    <w:rsid w:val="00144CAD"/>
    <w:rsid w:val="001823EF"/>
    <w:rsid w:val="001C695B"/>
    <w:rsid w:val="002C114A"/>
    <w:rsid w:val="003045B1"/>
    <w:rsid w:val="003068DA"/>
    <w:rsid w:val="003349E0"/>
    <w:rsid w:val="003637CA"/>
    <w:rsid w:val="00375743"/>
    <w:rsid w:val="00400879"/>
    <w:rsid w:val="00431EE4"/>
    <w:rsid w:val="004C5C18"/>
    <w:rsid w:val="00523D4D"/>
    <w:rsid w:val="0053309B"/>
    <w:rsid w:val="00535C7D"/>
    <w:rsid w:val="00574525"/>
    <w:rsid w:val="0057579C"/>
    <w:rsid w:val="00616B43"/>
    <w:rsid w:val="00686985"/>
    <w:rsid w:val="00694454"/>
    <w:rsid w:val="006D6364"/>
    <w:rsid w:val="00755425"/>
    <w:rsid w:val="00770BAB"/>
    <w:rsid w:val="007E13B8"/>
    <w:rsid w:val="00800B6F"/>
    <w:rsid w:val="00847C36"/>
    <w:rsid w:val="008C49B4"/>
    <w:rsid w:val="00966299"/>
    <w:rsid w:val="00A1735C"/>
    <w:rsid w:val="00A72871"/>
    <w:rsid w:val="00AC7E1D"/>
    <w:rsid w:val="00B5425E"/>
    <w:rsid w:val="00B93886"/>
    <w:rsid w:val="00BE3CB9"/>
    <w:rsid w:val="00C871A6"/>
    <w:rsid w:val="00C92E2B"/>
    <w:rsid w:val="00CB07EE"/>
    <w:rsid w:val="00CF3E87"/>
    <w:rsid w:val="00D14D86"/>
    <w:rsid w:val="00E54A6D"/>
    <w:rsid w:val="00E764AE"/>
    <w:rsid w:val="00EA2DB6"/>
    <w:rsid w:val="00EB269F"/>
    <w:rsid w:val="00EF4923"/>
    <w:rsid w:val="00FA00BF"/>
    <w:rsid w:val="00FB47F8"/>
    <w:rsid w:val="00FF3D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964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15FB1A-AC35-488D-98F9-A30A35A42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9</Pages>
  <Words>4108</Words>
  <Characters>22594</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31</cp:revision>
  <dcterms:created xsi:type="dcterms:W3CDTF">2020-05-06T17:35:00Z</dcterms:created>
  <dcterms:modified xsi:type="dcterms:W3CDTF">2023-04-11T15:58:00Z</dcterms:modified>
</cp:coreProperties>
</file>