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16E4D" w:rsidRPr="007F56B9" w14:paraId="3E6A0440" w14:textId="77777777" w:rsidTr="00D23405">
        <w:tc>
          <w:tcPr>
            <w:tcW w:w="2356" w:type="dxa"/>
          </w:tcPr>
          <w:p w14:paraId="3BCA4E8B" w14:textId="3923C891" w:rsidR="006D1DB2" w:rsidRPr="00516E4D" w:rsidRDefault="00FF21E2" w:rsidP="006D1DB2">
            <w:pPr>
              <w:spacing w:after="0" w:line="240" w:lineRule="auto"/>
              <w:rPr>
                <w:rFonts w:ascii="Arial" w:eastAsiaTheme="minorHAnsi" w:hAnsi="Arial" w:cs="Arial"/>
                <w:b/>
                <w:color w:val="000000" w:themeColor="text1"/>
                <w:sz w:val="26"/>
                <w:szCs w:val="26"/>
                <w:lang w:val="es-ES" w:eastAsia="en-US"/>
              </w:rPr>
            </w:pPr>
            <w:r>
              <w:rPr>
                <w:rFonts w:ascii="Arial" w:eastAsiaTheme="minorHAnsi" w:hAnsi="Arial" w:cs="Arial"/>
                <w:b/>
                <w:color w:val="000000" w:themeColor="text1"/>
                <w:sz w:val="26"/>
                <w:szCs w:val="26"/>
                <w:lang w:val="es-ES" w:eastAsia="en-US"/>
              </w:rPr>
              <w:t xml:space="preserve"> </w:t>
            </w:r>
          </w:p>
        </w:tc>
        <w:tc>
          <w:tcPr>
            <w:tcW w:w="7426" w:type="dxa"/>
          </w:tcPr>
          <w:p w14:paraId="5B33FDAA" w14:textId="77777777" w:rsidR="006D1DB2" w:rsidRPr="007F56B9" w:rsidRDefault="006D1DB2" w:rsidP="006D1DB2">
            <w:pPr>
              <w:tabs>
                <w:tab w:val="left" w:pos="3103"/>
              </w:tabs>
              <w:spacing w:after="0" w:line="240" w:lineRule="auto"/>
              <w:ind w:left="1119" w:right="709" w:hanging="1119"/>
              <w:jc w:val="both"/>
              <w:rPr>
                <w:rFonts w:ascii="Arial" w:eastAsiaTheme="minorHAnsi" w:hAnsi="Arial" w:cs="Arial"/>
                <w:b/>
                <w:iCs/>
                <w:caps/>
                <w:color w:val="000000" w:themeColor="text1"/>
                <w:sz w:val="26"/>
                <w:szCs w:val="26"/>
                <w:lang w:eastAsia="en-US"/>
              </w:rPr>
            </w:pPr>
            <w:r w:rsidRPr="00516E4D">
              <w:rPr>
                <w:rFonts w:ascii="Arial" w:eastAsiaTheme="minorHAnsi" w:hAnsi="Arial" w:cs="Arial"/>
                <w:b/>
                <w:i/>
                <w:iCs/>
                <w:caps/>
                <w:color w:val="000000" w:themeColor="text1"/>
                <w:sz w:val="26"/>
                <w:szCs w:val="26"/>
                <w:lang w:val="es-ES" w:eastAsia="en-US"/>
              </w:rPr>
              <w:t xml:space="preserve">               </w:t>
            </w:r>
            <w:r w:rsidRPr="007F56B9">
              <w:rPr>
                <w:rFonts w:ascii="Arial" w:eastAsiaTheme="minorHAnsi" w:hAnsi="Arial" w:cs="Arial"/>
                <w:b/>
                <w:iCs/>
                <w:caps/>
                <w:color w:val="000000" w:themeColor="text1"/>
                <w:sz w:val="26"/>
                <w:szCs w:val="26"/>
                <w:lang w:val="es-ES" w:eastAsia="en-US"/>
              </w:rPr>
              <w:t>SALA SUPERIOR DEL TRIBUNAL DE justicia administrativa DEL ESTADO de oaxaca.</w:t>
            </w:r>
          </w:p>
          <w:p w14:paraId="7497546C" w14:textId="77777777" w:rsidR="006D1DB2" w:rsidRPr="007F56B9"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7F56B9">
              <w:rPr>
                <w:rFonts w:ascii="Arial" w:eastAsia="PMingLiU" w:hAnsi="Arial" w:cs="Arial"/>
                <w:b/>
                <w:iCs/>
                <w:caps/>
                <w:color w:val="000000" w:themeColor="text1"/>
                <w:sz w:val="26"/>
                <w:szCs w:val="26"/>
                <w:lang w:val="es-PE" w:eastAsia="zh-TW"/>
              </w:rPr>
              <w:t xml:space="preserve">               </w:t>
            </w:r>
          </w:p>
          <w:p w14:paraId="6C8EA220" w14:textId="06715A31" w:rsidR="006D1DB2" w:rsidRPr="007F56B9" w:rsidRDefault="006D1DB2"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7F56B9">
              <w:rPr>
                <w:rFonts w:ascii="Arial" w:eastAsia="PMingLiU" w:hAnsi="Arial" w:cs="Arial"/>
                <w:b/>
                <w:iCs/>
                <w:caps/>
                <w:color w:val="000000" w:themeColor="text1"/>
                <w:sz w:val="26"/>
                <w:szCs w:val="26"/>
                <w:lang w:val="es-PE" w:eastAsia="zh-TW"/>
              </w:rPr>
              <w:t xml:space="preserve">               RECURSO DE REVISIÓN: </w:t>
            </w:r>
            <w:r w:rsidR="00CD42C6" w:rsidRPr="007F56B9">
              <w:rPr>
                <w:rFonts w:ascii="Arial" w:eastAsia="PMingLiU" w:hAnsi="Arial" w:cs="Arial"/>
                <w:b/>
                <w:iCs/>
                <w:caps/>
                <w:color w:val="000000" w:themeColor="text1"/>
                <w:sz w:val="26"/>
                <w:szCs w:val="26"/>
                <w:lang w:val="es-PE" w:eastAsia="zh-TW"/>
              </w:rPr>
              <w:t>0203</w:t>
            </w:r>
            <w:r w:rsidRPr="007F56B9">
              <w:rPr>
                <w:rFonts w:ascii="Arial" w:eastAsia="PMingLiU" w:hAnsi="Arial" w:cs="Arial"/>
                <w:b/>
                <w:iCs/>
                <w:caps/>
                <w:color w:val="000000" w:themeColor="text1"/>
                <w:sz w:val="26"/>
                <w:szCs w:val="26"/>
                <w:lang w:val="es-PE" w:eastAsia="zh-TW"/>
              </w:rPr>
              <w:t>/2020.</w:t>
            </w:r>
          </w:p>
          <w:p w14:paraId="36EE9F3C" w14:textId="278EC428" w:rsidR="006D1DB2" w:rsidRPr="007F56B9" w:rsidRDefault="003D182D" w:rsidP="006D1DB2">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sidRPr="007F56B9">
              <w:rPr>
                <w:rFonts w:ascii="Arial" w:eastAsia="PMingLiU" w:hAnsi="Arial" w:cs="Arial"/>
                <w:b/>
                <w:iCs/>
                <w:caps/>
                <w:color w:val="000000" w:themeColor="text1"/>
                <w:sz w:val="26"/>
                <w:szCs w:val="26"/>
                <w:lang w:val="es-PE" w:eastAsia="zh-TW"/>
              </w:rPr>
              <w:t xml:space="preserve"> </w:t>
            </w:r>
          </w:p>
          <w:p w14:paraId="7B5F9324" w14:textId="6C2FBCF9" w:rsidR="006D1DB2" w:rsidRPr="007F56B9" w:rsidRDefault="006D1DB2" w:rsidP="006D1DB2">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r w:rsidRPr="007F56B9">
              <w:rPr>
                <w:rFonts w:ascii="Arial" w:eastAsia="PMingLiU" w:hAnsi="Arial" w:cs="Arial"/>
                <w:b/>
                <w:iCs/>
                <w:caps/>
                <w:color w:val="000000" w:themeColor="text1"/>
                <w:sz w:val="26"/>
                <w:szCs w:val="26"/>
                <w:lang w:val="es-PE" w:eastAsia="zh-TW"/>
              </w:rPr>
              <w:t xml:space="preserve">                EXPEDIENTE</w:t>
            </w:r>
            <w:r w:rsidRPr="007F56B9">
              <w:rPr>
                <w:rFonts w:ascii="Arial" w:eastAsia="PMingLiU" w:hAnsi="Arial" w:cs="Arial"/>
                <w:b/>
                <w:iCs/>
                <w:caps/>
                <w:color w:val="000000" w:themeColor="text1"/>
                <w:sz w:val="26"/>
                <w:szCs w:val="26"/>
                <w:lang w:val="es-ES" w:eastAsia="zh-TW"/>
              </w:rPr>
              <w:t>:</w:t>
            </w:r>
            <w:r w:rsidRPr="007F56B9">
              <w:rPr>
                <w:rFonts w:ascii="Arial" w:eastAsia="PMingLiU" w:hAnsi="Arial" w:cs="Arial"/>
                <w:b/>
                <w:iCs/>
                <w:caps/>
                <w:color w:val="000000" w:themeColor="text1"/>
                <w:sz w:val="26"/>
                <w:szCs w:val="26"/>
                <w:lang w:val="es-PE" w:eastAsia="zh-TW"/>
              </w:rPr>
              <w:t xml:space="preserve"> </w:t>
            </w:r>
            <w:r w:rsidR="00CD42C6" w:rsidRPr="007F56B9">
              <w:rPr>
                <w:rFonts w:ascii="Arial" w:eastAsia="PMingLiU" w:hAnsi="Arial" w:cs="Arial"/>
                <w:b/>
                <w:iCs/>
                <w:caps/>
                <w:color w:val="000000" w:themeColor="text1"/>
                <w:sz w:val="26"/>
                <w:szCs w:val="26"/>
                <w:lang w:val="es-PE" w:eastAsia="zh-TW"/>
              </w:rPr>
              <w:t>0494</w:t>
            </w:r>
            <w:r w:rsidR="00965007" w:rsidRPr="007F56B9">
              <w:rPr>
                <w:rFonts w:ascii="Arial" w:eastAsia="PMingLiU" w:hAnsi="Arial" w:cs="Arial"/>
                <w:b/>
                <w:iCs/>
                <w:caps/>
                <w:color w:val="000000" w:themeColor="text1"/>
                <w:sz w:val="26"/>
                <w:szCs w:val="26"/>
                <w:lang w:val="es-PE" w:eastAsia="zh-TW"/>
              </w:rPr>
              <w:t>/2016</w:t>
            </w:r>
            <w:r w:rsidR="004E4392" w:rsidRPr="007F56B9">
              <w:rPr>
                <w:rFonts w:ascii="Arial" w:eastAsia="PMingLiU" w:hAnsi="Arial" w:cs="Arial"/>
                <w:b/>
                <w:iCs/>
                <w:caps/>
                <w:color w:val="000000" w:themeColor="text1"/>
                <w:sz w:val="26"/>
                <w:szCs w:val="26"/>
                <w:lang w:val="es-PE" w:eastAsia="zh-TW"/>
              </w:rPr>
              <w:t xml:space="preserve">  </w:t>
            </w:r>
            <w:r w:rsidR="0069649D" w:rsidRPr="007F56B9">
              <w:rPr>
                <w:rFonts w:ascii="Arial" w:eastAsia="PMingLiU" w:hAnsi="Arial" w:cs="Arial"/>
                <w:b/>
                <w:iCs/>
                <w:caps/>
                <w:color w:val="000000" w:themeColor="text1"/>
                <w:sz w:val="26"/>
                <w:szCs w:val="26"/>
                <w:lang w:val="es-PE" w:eastAsia="zh-TW"/>
              </w:rPr>
              <w:t xml:space="preserve"> de la </w:t>
            </w:r>
            <w:r w:rsidR="00CD42C6" w:rsidRPr="007F56B9">
              <w:rPr>
                <w:rFonts w:ascii="Arial" w:eastAsia="PMingLiU" w:hAnsi="Arial" w:cs="Arial"/>
                <w:b/>
                <w:iCs/>
                <w:caps/>
                <w:color w:val="000000" w:themeColor="text1"/>
                <w:sz w:val="26"/>
                <w:szCs w:val="26"/>
                <w:lang w:val="es-PE" w:eastAsia="zh-TW"/>
              </w:rPr>
              <w:t>QUINTA</w:t>
            </w:r>
            <w:r w:rsidR="0069649D" w:rsidRPr="007F56B9">
              <w:rPr>
                <w:rFonts w:ascii="Arial" w:eastAsia="PMingLiU" w:hAnsi="Arial" w:cs="Arial"/>
                <w:b/>
                <w:iCs/>
                <w:caps/>
                <w:color w:val="000000" w:themeColor="text1"/>
                <w:sz w:val="26"/>
                <w:szCs w:val="26"/>
                <w:lang w:val="es-PE" w:eastAsia="zh-TW"/>
              </w:rPr>
              <w:t xml:space="preserve"> sala unitaria de primera instancia</w:t>
            </w:r>
            <w:r w:rsidR="00CD42C6" w:rsidRPr="007F56B9">
              <w:rPr>
                <w:rFonts w:ascii="Arial" w:eastAsia="PMingLiU" w:hAnsi="Arial" w:cs="Arial"/>
                <w:b/>
                <w:iCs/>
                <w:caps/>
                <w:color w:val="000000" w:themeColor="text1"/>
                <w:sz w:val="26"/>
                <w:szCs w:val="26"/>
                <w:lang w:val="es-PE" w:eastAsia="zh-TW"/>
              </w:rPr>
              <w:t>.</w:t>
            </w:r>
          </w:p>
          <w:p w14:paraId="1C9CBDD2" w14:textId="77777777" w:rsidR="006D1DB2" w:rsidRPr="007F56B9" w:rsidRDefault="006D1DB2" w:rsidP="006D1DB2">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p>
          <w:p w14:paraId="442AF0F0" w14:textId="16FBF840" w:rsidR="006D1DB2" w:rsidRPr="007F56B9" w:rsidRDefault="006D1DB2" w:rsidP="006D1DB2">
            <w:pPr>
              <w:tabs>
                <w:tab w:val="center" w:pos="4252"/>
                <w:tab w:val="right" w:pos="8504"/>
              </w:tabs>
              <w:spacing w:after="0" w:line="240" w:lineRule="auto"/>
              <w:ind w:left="1119" w:right="709" w:hanging="1134"/>
              <w:jc w:val="both"/>
              <w:rPr>
                <w:rFonts w:ascii="Arial" w:eastAsia="PMingLiU" w:hAnsi="Arial" w:cs="Arial"/>
                <w:b/>
                <w:iCs/>
                <w:caps/>
                <w:color w:val="000000" w:themeColor="text1"/>
                <w:sz w:val="26"/>
                <w:szCs w:val="26"/>
                <w:lang w:val="es-PE" w:eastAsia="zh-TW"/>
              </w:rPr>
            </w:pPr>
            <w:r w:rsidRPr="007F56B9">
              <w:rPr>
                <w:rFonts w:ascii="Arial" w:eastAsia="PMingLiU" w:hAnsi="Arial" w:cs="Arial"/>
                <w:b/>
                <w:iCs/>
                <w:caps/>
                <w:color w:val="000000" w:themeColor="text1"/>
                <w:sz w:val="26"/>
                <w:szCs w:val="26"/>
                <w:lang w:val="es-PE" w:eastAsia="zh-TW"/>
              </w:rPr>
              <w:t xml:space="preserve">                ponente: MAGISTRADO ABRAHAM SANTIAGO SORIANO.</w:t>
            </w:r>
          </w:p>
        </w:tc>
      </w:tr>
      <w:tr w:rsidR="00516E4D" w:rsidRPr="007F56B9" w14:paraId="19A33175" w14:textId="77777777" w:rsidTr="00D23405">
        <w:tc>
          <w:tcPr>
            <w:tcW w:w="2356" w:type="dxa"/>
          </w:tcPr>
          <w:p w14:paraId="0431D5A8" w14:textId="77777777" w:rsidR="006D1DB2" w:rsidRPr="007F56B9"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06DE4FAC" w14:textId="77777777" w:rsidR="006D1DB2" w:rsidRPr="007F56B9" w:rsidRDefault="006D1DB2" w:rsidP="006D1DB2">
            <w:pPr>
              <w:tabs>
                <w:tab w:val="left" w:pos="3103"/>
              </w:tabs>
              <w:spacing w:after="0" w:line="240" w:lineRule="auto"/>
              <w:ind w:left="2961" w:hanging="2961"/>
              <w:jc w:val="both"/>
              <w:rPr>
                <w:rFonts w:ascii="Arial" w:eastAsiaTheme="minorHAnsi" w:hAnsi="Arial" w:cs="Arial"/>
                <w:b/>
                <w:iCs/>
                <w:caps/>
                <w:color w:val="000000" w:themeColor="text1"/>
                <w:sz w:val="26"/>
                <w:szCs w:val="26"/>
                <w:lang w:val="es-ES" w:eastAsia="en-US"/>
              </w:rPr>
            </w:pPr>
            <w:r w:rsidRPr="007F56B9">
              <w:rPr>
                <w:rFonts w:ascii="Arial" w:eastAsiaTheme="minorHAnsi" w:hAnsi="Arial" w:cs="Arial"/>
                <w:b/>
                <w:i/>
                <w:iCs/>
                <w:caps/>
                <w:color w:val="000000" w:themeColor="text1"/>
                <w:sz w:val="26"/>
                <w:szCs w:val="26"/>
                <w:lang w:val="es-ES" w:eastAsia="en-US"/>
              </w:rPr>
              <w:t xml:space="preserve">                                   </w:t>
            </w:r>
          </w:p>
        </w:tc>
      </w:tr>
      <w:tr w:rsidR="00516E4D" w:rsidRPr="007F56B9" w14:paraId="2E221892" w14:textId="77777777" w:rsidTr="00D23405">
        <w:tc>
          <w:tcPr>
            <w:tcW w:w="2356" w:type="dxa"/>
          </w:tcPr>
          <w:p w14:paraId="24AD2348" w14:textId="77777777" w:rsidR="006D1DB2" w:rsidRPr="007F56B9" w:rsidRDefault="006D1DB2" w:rsidP="006D1DB2">
            <w:pPr>
              <w:spacing w:after="0" w:line="240" w:lineRule="auto"/>
              <w:rPr>
                <w:rFonts w:ascii="Arial" w:eastAsiaTheme="minorHAnsi" w:hAnsi="Arial" w:cs="Arial"/>
                <w:b/>
                <w:color w:val="000000" w:themeColor="text1"/>
                <w:sz w:val="26"/>
                <w:szCs w:val="26"/>
                <w:lang w:val="es-ES" w:eastAsia="en-US"/>
              </w:rPr>
            </w:pPr>
          </w:p>
        </w:tc>
        <w:tc>
          <w:tcPr>
            <w:tcW w:w="7426" w:type="dxa"/>
          </w:tcPr>
          <w:p w14:paraId="212F4977" w14:textId="77777777" w:rsidR="006D1DB2" w:rsidRPr="007F56B9" w:rsidRDefault="006D1DB2" w:rsidP="006D1DB2">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6D1577AC" w14:textId="61D406BD" w:rsidR="006D1DB2" w:rsidRDefault="006D1DB2" w:rsidP="00CF5AD1">
      <w:pPr>
        <w:spacing w:after="0" w:line="360" w:lineRule="auto"/>
        <w:jc w:val="both"/>
        <w:rPr>
          <w:rFonts w:ascii="Arial" w:eastAsiaTheme="minorHAnsi" w:hAnsi="Arial" w:cs="Arial"/>
          <w:color w:val="000000" w:themeColor="text1"/>
          <w:sz w:val="26"/>
          <w:szCs w:val="26"/>
          <w:lang w:val="es-ES" w:eastAsia="en-US"/>
        </w:rPr>
      </w:pPr>
      <w:r w:rsidRPr="007F56B9">
        <w:rPr>
          <w:rFonts w:ascii="Arial" w:eastAsiaTheme="minorHAnsi" w:hAnsi="Arial" w:cs="Arial"/>
          <w:b/>
          <w:color w:val="000000" w:themeColor="text1"/>
          <w:sz w:val="26"/>
          <w:szCs w:val="26"/>
          <w:lang w:val="es-ES" w:eastAsia="en-US"/>
        </w:rPr>
        <w:t>OAXACA DE JUÁREZ, OAXACA</w:t>
      </w:r>
      <w:r w:rsidR="005C161B" w:rsidRPr="007F56B9">
        <w:rPr>
          <w:rFonts w:ascii="Arial" w:eastAsiaTheme="minorHAnsi" w:hAnsi="Arial" w:cs="Arial"/>
          <w:b/>
          <w:color w:val="000000" w:themeColor="text1"/>
          <w:sz w:val="26"/>
          <w:szCs w:val="26"/>
          <w:lang w:val="es-ES" w:eastAsia="en-US"/>
        </w:rPr>
        <w:t xml:space="preserve">, A </w:t>
      </w:r>
      <w:r w:rsidR="003C4D85">
        <w:rPr>
          <w:rFonts w:ascii="Arial" w:eastAsiaTheme="minorHAnsi" w:hAnsi="Arial" w:cs="Arial"/>
          <w:b/>
          <w:color w:val="000000" w:themeColor="text1"/>
          <w:sz w:val="26"/>
          <w:szCs w:val="26"/>
          <w:lang w:val="es-ES" w:eastAsia="en-US"/>
        </w:rPr>
        <w:t xml:space="preserve">28 </w:t>
      </w:r>
      <w:r w:rsidR="007F56B9">
        <w:rPr>
          <w:rFonts w:ascii="Arial" w:eastAsiaTheme="minorHAnsi" w:hAnsi="Arial" w:cs="Arial"/>
          <w:b/>
          <w:color w:val="000000" w:themeColor="text1"/>
          <w:sz w:val="26"/>
          <w:szCs w:val="26"/>
          <w:lang w:val="es-ES" w:eastAsia="en-US"/>
        </w:rPr>
        <w:t>VEINTIOCHO</w:t>
      </w:r>
      <w:r w:rsidR="006927E4" w:rsidRPr="007F56B9">
        <w:rPr>
          <w:rFonts w:ascii="Arial" w:eastAsiaTheme="minorHAnsi" w:hAnsi="Arial" w:cs="Arial"/>
          <w:b/>
          <w:color w:val="000000" w:themeColor="text1"/>
          <w:sz w:val="26"/>
          <w:szCs w:val="26"/>
          <w:lang w:val="es-ES" w:eastAsia="en-US"/>
        </w:rPr>
        <w:t xml:space="preserve"> DE </w:t>
      </w:r>
      <w:r w:rsidR="007F56B9">
        <w:rPr>
          <w:rFonts w:ascii="Arial" w:eastAsiaTheme="minorHAnsi" w:hAnsi="Arial" w:cs="Arial"/>
          <w:b/>
          <w:color w:val="000000" w:themeColor="text1"/>
          <w:sz w:val="26"/>
          <w:szCs w:val="26"/>
          <w:lang w:val="es-ES" w:eastAsia="en-US"/>
        </w:rPr>
        <w:t>OCTUBRE</w:t>
      </w:r>
      <w:r w:rsidRPr="007F56B9">
        <w:rPr>
          <w:rFonts w:ascii="Arial" w:eastAsiaTheme="minorHAnsi" w:hAnsi="Arial" w:cs="Arial"/>
          <w:b/>
          <w:color w:val="000000" w:themeColor="text1"/>
          <w:sz w:val="26"/>
          <w:szCs w:val="26"/>
          <w:lang w:val="es-ES" w:eastAsia="en-US"/>
        </w:rPr>
        <w:t xml:space="preserve"> DE </w:t>
      </w:r>
      <w:r w:rsidR="003C4D85">
        <w:rPr>
          <w:rFonts w:ascii="Arial" w:eastAsiaTheme="minorHAnsi" w:hAnsi="Arial" w:cs="Arial"/>
          <w:b/>
          <w:color w:val="000000" w:themeColor="text1"/>
          <w:sz w:val="26"/>
          <w:szCs w:val="26"/>
          <w:lang w:val="es-ES" w:eastAsia="en-US"/>
        </w:rPr>
        <w:t xml:space="preserve">2021 </w:t>
      </w:r>
      <w:r w:rsidRPr="007F56B9">
        <w:rPr>
          <w:rFonts w:ascii="Arial" w:eastAsiaTheme="minorHAnsi" w:hAnsi="Arial" w:cs="Arial"/>
          <w:b/>
          <w:color w:val="000000" w:themeColor="text1"/>
          <w:sz w:val="26"/>
          <w:szCs w:val="26"/>
          <w:lang w:val="es-ES" w:eastAsia="en-US"/>
        </w:rPr>
        <w:t>DOS MIL VEINT</w:t>
      </w:r>
      <w:r w:rsidR="00712009" w:rsidRPr="007F56B9">
        <w:rPr>
          <w:rFonts w:ascii="Arial" w:eastAsiaTheme="minorHAnsi" w:hAnsi="Arial" w:cs="Arial"/>
          <w:b/>
          <w:color w:val="000000" w:themeColor="text1"/>
          <w:sz w:val="26"/>
          <w:szCs w:val="26"/>
          <w:lang w:val="es-ES" w:eastAsia="en-US"/>
        </w:rPr>
        <w:t>IUNO.</w:t>
      </w:r>
      <w:r w:rsidR="00691229" w:rsidRPr="007F56B9">
        <w:rPr>
          <w:rFonts w:ascii="Arial" w:eastAsiaTheme="minorHAnsi" w:hAnsi="Arial" w:cs="Arial"/>
          <w:b/>
          <w:color w:val="000000" w:themeColor="text1"/>
          <w:sz w:val="26"/>
          <w:szCs w:val="26"/>
          <w:lang w:val="es-ES" w:eastAsia="en-US"/>
        </w:rPr>
        <w:t xml:space="preserve"> </w:t>
      </w:r>
      <w:r w:rsidR="00565BED" w:rsidRPr="007F56B9">
        <w:rPr>
          <w:rFonts w:ascii="Arial" w:eastAsiaTheme="minorHAnsi" w:hAnsi="Arial" w:cs="Arial"/>
          <w:color w:val="000000" w:themeColor="text1"/>
          <w:sz w:val="26"/>
          <w:szCs w:val="26"/>
          <w:lang w:val="es-ES" w:eastAsia="en-US"/>
        </w:rPr>
        <w:t xml:space="preserve">- - - - - - - - - - - - - - - - - - - - - - - - </w:t>
      </w:r>
      <w:r w:rsidR="00CF5AD1">
        <w:rPr>
          <w:rFonts w:ascii="Arial" w:eastAsiaTheme="minorHAnsi" w:hAnsi="Arial" w:cs="Arial"/>
          <w:color w:val="000000" w:themeColor="text1"/>
          <w:sz w:val="26"/>
          <w:szCs w:val="26"/>
          <w:lang w:val="es-ES" w:eastAsia="en-US"/>
        </w:rPr>
        <w:t xml:space="preserve">- - - - </w:t>
      </w:r>
    </w:p>
    <w:p w14:paraId="53026187" w14:textId="77777777" w:rsidR="00F4130C" w:rsidRPr="007F56B9" w:rsidRDefault="00F4130C" w:rsidP="00F4130C">
      <w:pPr>
        <w:pStyle w:val="Sinespaciado"/>
        <w:rPr>
          <w:rFonts w:eastAsiaTheme="minorHAnsi"/>
          <w:lang w:eastAsia="en-US"/>
        </w:rPr>
      </w:pPr>
    </w:p>
    <w:p w14:paraId="186DA888" w14:textId="314E3D25" w:rsidR="006927E4" w:rsidRDefault="006D1DB2" w:rsidP="006B51C3">
      <w:pPr>
        <w:spacing w:after="0" w:line="360" w:lineRule="auto"/>
        <w:ind w:firstLine="708"/>
        <w:jc w:val="both"/>
        <w:rPr>
          <w:rFonts w:ascii="Arial" w:eastAsiaTheme="minorHAnsi" w:hAnsi="Arial" w:cs="Arial"/>
          <w:color w:val="000000" w:themeColor="text1"/>
          <w:sz w:val="26"/>
          <w:szCs w:val="26"/>
          <w:lang w:eastAsia="en-US"/>
        </w:rPr>
      </w:pPr>
      <w:r w:rsidRPr="007F56B9">
        <w:rPr>
          <w:rFonts w:ascii="Arial" w:eastAsia="Calibri" w:hAnsi="Arial" w:cs="Arial"/>
          <w:color w:val="000000" w:themeColor="text1"/>
          <w:sz w:val="26"/>
          <w:szCs w:val="26"/>
          <w:lang w:eastAsia="en-US"/>
        </w:rPr>
        <w:t xml:space="preserve">Por recibido el Cuaderno de Revisión </w:t>
      </w:r>
      <w:r w:rsidR="00CD42C6" w:rsidRPr="007F56B9">
        <w:rPr>
          <w:rFonts w:ascii="Arial" w:eastAsia="PMingLiU" w:hAnsi="Arial" w:cs="Arial"/>
          <w:b/>
          <w:iCs/>
          <w:caps/>
          <w:color w:val="000000" w:themeColor="text1"/>
          <w:sz w:val="26"/>
          <w:szCs w:val="26"/>
          <w:lang w:val="es-PE" w:eastAsia="zh-TW"/>
        </w:rPr>
        <w:t>0203</w:t>
      </w:r>
      <w:r w:rsidRPr="007F56B9">
        <w:rPr>
          <w:rFonts w:ascii="Arial" w:eastAsia="PMingLiU" w:hAnsi="Arial" w:cs="Arial"/>
          <w:b/>
          <w:iCs/>
          <w:caps/>
          <w:color w:val="000000" w:themeColor="text1"/>
          <w:sz w:val="26"/>
          <w:szCs w:val="26"/>
          <w:lang w:val="es-PE" w:eastAsia="zh-TW"/>
        </w:rPr>
        <w:t xml:space="preserve">/2020 </w:t>
      </w:r>
      <w:r w:rsidRPr="007F56B9">
        <w:rPr>
          <w:rFonts w:ascii="Arial" w:eastAsia="Calibri" w:hAnsi="Arial" w:cs="Arial"/>
          <w:color w:val="000000" w:themeColor="text1"/>
          <w:sz w:val="26"/>
          <w:szCs w:val="26"/>
          <w:lang w:eastAsia="en-US"/>
        </w:rPr>
        <w:t xml:space="preserve">que remite la Secretaría General de Acuerdos, con motivo del recurso de revisión interpuesto por </w:t>
      </w:r>
      <w:r w:rsidR="00AE1837" w:rsidRPr="007F56B9">
        <w:rPr>
          <w:rFonts w:ascii="Arial" w:eastAsia="Calibri" w:hAnsi="Arial" w:cs="Arial"/>
          <w:b/>
          <w:bCs/>
          <w:color w:val="000000" w:themeColor="text1"/>
          <w:sz w:val="26"/>
          <w:szCs w:val="26"/>
          <w:lang w:eastAsia="en-US"/>
        </w:rPr>
        <w:t>MAIRA CORTÉS REYNA</w:t>
      </w:r>
      <w:r w:rsidR="00AE1837" w:rsidRPr="007F56B9">
        <w:rPr>
          <w:rFonts w:ascii="Arial" w:eastAsia="Calibri" w:hAnsi="Arial" w:cs="Arial"/>
          <w:color w:val="000000" w:themeColor="text1"/>
          <w:sz w:val="26"/>
          <w:szCs w:val="26"/>
          <w:lang w:eastAsia="en-US"/>
        </w:rPr>
        <w:t xml:space="preserve">, </w:t>
      </w:r>
      <w:r w:rsidR="006927E4" w:rsidRPr="007F56B9">
        <w:rPr>
          <w:rFonts w:ascii="Arial" w:eastAsia="Calibri" w:hAnsi="Arial" w:cs="Arial"/>
          <w:b/>
          <w:color w:val="000000" w:themeColor="text1"/>
          <w:sz w:val="26"/>
          <w:szCs w:val="26"/>
          <w:lang w:eastAsia="en-US"/>
        </w:rPr>
        <w:t>DIRECTOR</w:t>
      </w:r>
      <w:r w:rsidR="00CD42C6" w:rsidRPr="007F56B9">
        <w:rPr>
          <w:rFonts w:ascii="Arial" w:eastAsia="Calibri" w:hAnsi="Arial" w:cs="Arial"/>
          <w:b/>
          <w:color w:val="000000" w:themeColor="text1"/>
          <w:sz w:val="26"/>
          <w:szCs w:val="26"/>
          <w:lang w:eastAsia="en-US"/>
        </w:rPr>
        <w:t>A</w:t>
      </w:r>
      <w:r w:rsidR="006927E4" w:rsidRPr="007F56B9">
        <w:rPr>
          <w:rFonts w:ascii="Arial" w:eastAsia="Calibri" w:hAnsi="Arial" w:cs="Arial"/>
          <w:b/>
          <w:color w:val="000000" w:themeColor="text1"/>
          <w:sz w:val="26"/>
          <w:szCs w:val="26"/>
          <w:lang w:eastAsia="en-US"/>
        </w:rPr>
        <w:t xml:space="preserve"> JURÍDIC</w:t>
      </w:r>
      <w:r w:rsidR="00CD42C6" w:rsidRPr="007F56B9">
        <w:rPr>
          <w:rFonts w:ascii="Arial" w:eastAsia="Calibri" w:hAnsi="Arial" w:cs="Arial"/>
          <w:b/>
          <w:color w:val="000000" w:themeColor="text1"/>
          <w:sz w:val="26"/>
          <w:szCs w:val="26"/>
          <w:lang w:eastAsia="en-US"/>
        </w:rPr>
        <w:t xml:space="preserve">A </w:t>
      </w:r>
      <w:r w:rsidR="006927E4" w:rsidRPr="007F56B9">
        <w:rPr>
          <w:rFonts w:ascii="Arial" w:eastAsia="Calibri" w:hAnsi="Arial" w:cs="Arial"/>
          <w:b/>
          <w:color w:val="000000" w:themeColor="text1"/>
          <w:sz w:val="26"/>
          <w:szCs w:val="26"/>
          <w:lang w:eastAsia="en-US"/>
        </w:rPr>
        <w:t>DE LA SECRETARÍA DE LA CONTRALORÍA Y TRANSPARENCIA GUBERNAMENTAL DEL ESTADO DE OAXACA</w:t>
      </w:r>
      <w:r w:rsidR="006927E4" w:rsidRPr="007F56B9">
        <w:rPr>
          <w:rFonts w:ascii="Arial" w:eastAsiaTheme="minorHAnsi" w:hAnsi="Arial" w:cs="Arial"/>
          <w:b/>
          <w:bCs/>
          <w:color w:val="000000" w:themeColor="text1"/>
          <w:sz w:val="26"/>
          <w:szCs w:val="26"/>
          <w:lang w:eastAsia="en-US"/>
        </w:rPr>
        <w:t>,</w:t>
      </w:r>
      <w:r w:rsidRPr="007F56B9">
        <w:rPr>
          <w:rFonts w:ascii="Arial" w:eastAsiaTheme="minorHAnsi" w:hAnsi="Arial" w:cs="Arial"/>
          <w:b/>
          <w:bCs/>
          <w:color w:val="000000" w:themeColor="text1"/>
          <w:sz w:val="26"/>
          <w:szCs w:val="26"/>
          <w:lang w:eastAsia="en-US"/>
        </w:rPr>
        <w:t xml:space="preserve"> </w:t>
      </w:r>
      <w:r w:rsidRPr="007F56B9">
        <w:rPr>
          <w:rFonts w:ascii="Arial" w:eastAsia="Calibri" w:hAnsi="Arial" w:cs="Arial"/>
          <w:color w:val="000000" w:themeColor="text1"/>
          <w:sz w:val="26"/>
          <w:szCs w:val="26"/>
          <w:lang w:eastAsia="en-US"/>
        </w:rPr>
        <w:t>en contra de la sentencia de fecha</w:t>
      </w:r>
      <w:r w:rsidR="007652E3">
        <w:rPr>
          <w:rFonts w:ascii="Arial" w:eastAsia="Calibri" w:hAnsi="Arial" w:cs="Arial"/>
          <w:color w:val="000000" w:themeColor="text1"/>
          <w:sz w:val="26"/>
          <w:szCs w:val="26"/>
          <w:lang w:eastAsia="en-US"/>
        </w:rPr>
        <w:t xml:space="preserve"> 07</w:t>
      </w:r>
      <w:r w:rsidRPr="007F56B9">
        <w:rPr>
          <w:rFonts w:ascii="Arial" w:eastAsia="Calibri" w:hAnsi="Arial" w:cs="Arial"/>
          <w:color w:val="000000" w:themeColor="text1"/>
          <w:sz w:val="26"/>
          <w:szCs w:val="26"/>
          <w:lang w:eastAsia="en-US"/>
        </w:rPr>
        <w:t xml:space="preserve"> </w:t>
      </w:r>
      <w:r w:rsidR="00CD42C6" w:rsidRPr="007F56B9">
        <w:rPr>
          <w:rFonts w:ascii="Arial" w:eastAsia="Calibri" w:hAnsi="Arial" w:cs="Arial"/>
          <w:color w:val="000000" w:themeColor="text1"/>
          <w:sz w:val="26"/>
          <w:szCs w:val="26"/>
          <w:lang w:eastAsia="en-US"/>
        </w:rPr>
        <w:t xml:space="preserve">siete de septiembre de </w:t>
      </w:r>
      <w:r w:rsidR="007652E3">
        <w:rPr>
          <w:rFonts w:ascii="Arial" w:eastAsia="Calibri" w:hAnsi="Arial" w:cs="Arial"/>
          <w:color w:val="000000" w:themeColor="text1"/>
          <w:sz w:val="26"/>
          <w:szCs w:val="26"/>
          <w:lang w:eastAsia="en-US"/>
        </w:rPr>
        <w:t xml:space="preserve">2020 </w:t>
      </w:r>
      <w:r w:rsidR="006927E4" w:rsidRPr="007F56B9">
        <w:rPr>
          <w:rFonts w:ascii="Arial" w:eastAsia="Calibri" w:hAnsi="Arial" w:cs="Arial"/>
          <w:color w:val="000000" w:themeColor="text1"/>
          <w:sz w:val="26"/>
          <w:szCs w:val="26"/>
          <w:lang w:eastAsia="en-US"/>
        </w:rPr>
        <w:t xml:space="preserve">dos mil </w:t>
      </w:r>
      <w:r w:rsidR="00CD42C6" w:rsidRPr="007F56B9">
        <w:rPr>
          <w:rFonts w:ascii="Arial" w:eastAsia="Calibri" w:hAnsi="Arial" w:cs="Arial"/>
          <w:color w:val="000000" w:themeColor="text1"/>
          <w:sz w:val="26"/>
          <w:szCs w:val="26"/>
          <w:lang w:eastAsia="en-US"/>
        </w:rPr>
        <w:t>veint</w:t>
      </w:r>
      <w:r w:rsidR="006927E4" w:rsidRPr="007F56B9">
        <w:rPr>
          <w:rFonts w:ascii="Arial" w:eastAsia="Calibri" w:hAnsi="Arial" w:cs="Arial"/>
          <w:color w:val="000000" w:themeColor="text1"/>
          <w:sz w:val="26"/>
          <w:szCs w:val="26"/>
          <w:lang w:eastAsia="en-US"/>
        </w:rPr>
        <w:t>e</w:t>
      </w:r>
      <w:r w:rsidRPr="007F56B9">
        <w:rPr>
          <w:rFonts w:ascii="Arial" w:eastAsia="Calibri" w:hAnsi="Arial" w:cs="Arial"/>
          <w:color w:val="000000" w:themeColor="text1"/>
          <w:sz w:val="26"/>
          <w:szCs w:val="26"/>
          <w:lang w:eastAsia="en-US"/>
        </w:rPr>
        <w:t xml:space="preserve">, </w:t>
      </w:r>
      <w:r w:rsidR="0069649D" w:rsidRPr="007F56B9">
        <w:rPr>
          <w:rFonts w:ascii="Arial" w:hAnsi="Arial" w:cs="Arial"/>
          <w:color w:val="000000" w:themeColor="text1"/>
          <w:sz w:val="26"/>
          <w:szCs w:val="26"/>
        </w:rPr>
        <w:t>dictada</w:t>
      </w:r>
      <w:r w:rsidR="0069649D" w:rsidRPr="007F56B9">
        <w:rPr>
          <w:rFonts w:ascii="Arial" w:hAnsi="Arial" w:cs="Arial"/>
          <w:bCs/>
          <w:color w:val="000000" w:themeColor="text1"/>
          <w:sz w:val="26"/>
          <w:szCs w:val="26"/>
        </w:rPr>
        <w:t xml:space="preserve"> por la </w:t>
      </w:r>
      <w:r w:rsidR="00521670" w:rsidRPr="007F56B9">
        <w:rPr>
          <w:rFonts w:ascii="Arial" w:hAnsi="Arial" w:cs="Arial"/>
          <w:bCs/>
          <w:color w:val="000000" w:themeColor="text1"/>
          <w:sz w:val="26"/>
          <w:szCs w:val="26"/>
        </w:rPr>
        <w:t>Quinta</w:t>
      </w:r>
      <w:r w:rsidR="0069649D" w:rsidRPr="007F56B9">
        <w:rPr>
          <w:rFonts w:ascii="Arial" w:hAnsi="Arial" w:cs="Arial"/>
          <w:bCs/>
          <w:color w:val="000000" w:themeColor="text1"/>
          <w:sz w:val="26"/>
          <w:szCs w:val="26"/>
        </w:rPr>
        <w:t xml:space="preserve"> Sala Unitaria de Primera Instancia</w:t>
      </w:r>
      <w:r w:rsidR="00565BED" w:rsidRPr="007F56B9">
        <w:rPr>
          <w:rFonts w:ascii="Arial" w:hAnsi="Arial" w:cs="Arial"/>
          <w:bCs/>
          <w:color w:val="000000" w:themeColor="text1"/>
          <w:sz w:val="26"/>
          <w:szCs w:val="26"/>
        </w:rPr>
        <w:t xml:space="preserve"> de este Tribunal</w:t>
      </w:r>
      <w:r w:rsidR="0069649D" w:rsidRPr="007F56B9">
        <w:rPr>
          <w:rFonts w:ascii="Arial" w:eastAsia="Calibri" w:hAnsi="Arial" w:cs="Arial"/>
          <w:color w:val="000000" w:themeColor="text1"/>
          <w:sz w:val="26"/>
          <w:szCs w:val="26"/>
          <w:lang w:eastAsia="en-US"/>
        </w:rPr>
        <w:t>;</w:t>
      </w:r>
      <w:r w:rsidRPr="007F56B9">
        <w:rPr>
          <w:rFonts w:ascii="Arial" w:eastAsia="Calibri" w:hAnsi="Arial" w:cs="Arial"/>
          <w:b/>
          <w:color w:val="000000" w:themeColor="text1"/>
          <w:sz w:val="26"/>
          <w:szCs w:val="26"/>
          <w:lang w:eastAsia="en-US"/>
        </w:rPr>
        <w:t xml:space="preserve"> </w:t>
      </w:r>
      <w:r w:rsidRPr="007F56B9">
        <w:rPr>
          <w:rFonts w:ascii="Arial" w:eastAsia="Calibri" w:hAnsi="Arial" w:cs="Arial"/>
          <w:color w:val="000000" w:themeColor="text1"/>
          <w:sz w:val="26"/>
          <w:szCs w:val="26"/>
          <w:lang w:eastAsia="en-US"/>
        </w:rPr>
        <w:t xml:space="preserve">relativo al juicio promovido por </w:t>
      </w:r>
      <w:r w:rsidR="00CD42C6" w:rsidRPr="007F56B9">
        <w:rPr>
          <w:rFonts w:ascii="Arial" w:eastAsia="Calibri" w:hAnsi="Arial" w:cs="Arial"/>
          <w:b/>
          <w:color w:val="000000" w:themeColor="text1"/>
          <w:sz w:val="26"/>
          <w:szCs w:val="26"/>
          <w:lang w:eastAsia="en-US"/>
        </w:rPr>
        <w:t>RUBÉN LÓPEZ CRUZ</w:t>
      </w:r>
      <w:r w:rsidRPr="007F56B9">
        <w:rPr>
          <w:rFonts w:ascii="Arial" w:eastAsia="Calibri" w:hAnsi="Arial" w:cs="Arial"/>
          <w:b/>
          <w:color w:val="000000" w:themeColor="text1"/>
          <w:sz w:val="26"/>
          <w:szCs w:val="26"/>
          <w:lang w:eastAsia="en-US"/>
        </w:rPr>
        <w:t xml:space="preserve"> </w:t>
      </w:r>
      <w:r w:rsidRPr="007F56B9">
        <w:rPr>
          <w:rFonts w:ascii="Arial" w:eastAsia="Calibri" w:hAnsi="Arial" w:cs="Arial"/>
          <w:color w:val="000000" w:themeColor="text1"/>
          <w:sz w:val="26"/>
          <w:szCs w:val="26"/>
          <w:lang w:eastAsia="en-US"/>
        </w:rPr>
        <w:t>en contra de</w:t>
      </w:r>
      <w:r w:rsidR="00565BED" w:rsidRPr="007F56B9">
        <w:rPr>
          <w:rFonts w:ascii="Arial" w:eastAsia="Calibri" w:hAnsi="Arial" w:cs="Arial"/>
          <w:color w:val="000000" w:themeColor="text1"/>
          <w:sz w:val="26"/>
          <w:szCs w:val="26"/>
          <w:lang w:eastAsia="en-US"/>
        </w:rPr>
        <w:t xml:space="preserve">l </w:t>
      </w:r>
      <w:r w:rsidR="00565BED" w:rsidRPr="007F56B9">
        <w:rPr>
          <w:rFonts w:ascii="Arial" w:eastAsia="Calibri" w:hAnsi="Arial" w:cs="Arial"/>
          <w:b/>
          <w:color w:val="000000" w:themeColor="text1"/>
          <w:sz w:val="26"/>
          <w:szCs w:val="26"/>
          <w:lang w:eastAsia="en-US"/>
        </w:rPr>
        <w:t>JEFE DE LA</w:t>
      </w:r>
      <w:r w:rsidR="00CD42C6" w:rsidRPr="007F56B9">
        <w:rPr>
          <w:rFonts w:ascii="Arial" w:eastAsia="Calibri" w:hAnsi="Arial" w:cs="Arial"/>
          <w:b/>
          <w:color w:val="000000" w:themeColor="text1"/>
          <w:sz w:val="26"/>
          <w:szCs w:val="26"/>
          <w:lang w:eastAsia="en-US"/>
        </w:rPr>
        <w:t xml:space="preserve"> UNIDAD AUXILIAR Y DE RECURSOS DE LA SUBSECRETARÍA DE RESPONSABILIDADES Y TRANSPARENCIA</w:t>
      </w:r>
      <w:r w:rsidR="00565BED" w:rsidRPr="007F56B9">
        <w:rPr>
          <w:rFonts w:ascii="Arial" w:eastAsia="Calibri" w:hAnsi="Arial" w:cs="Arial"/>
          <w:b/>
          <w:color w:val="000000" w:themeColor="text1"/>
          <w:sz w:val="26"/>
          <w:szCs w:val="26"/>
          <w:lang w:eastAsia="en-US"/>
        </w:rPr>
        <w:t>,</w:t>
      </w:r>
      <w:r w:rsidR="00CD42C6" w:rsidRPr="007F56B9">
        <w:rPr>
          <w:rFonts w:ascii="Arial" w:eastAsia="Calibri" w:hAnsi="Arial" w:cs="Arial"/>
          <w:b/>
          <w:color w:val="000000" w:themeColor="text1"/>
          <w:sz w:val="26"/>
          <w:szCs w:val="26"/>
          <w:lang w:eastAsia="en-US"/>
        </w:rPr>
        <w:t xml:space="preserve"> DE LA </w:t>
      </w:r>
      <w:r w:rsidR="006927E4" w:rsidRPr="007F56B9">
        <w:rPr>
          <w:rFonts w:ascii="Arial" w:eastAsia="Calibri" w:hAnsi="Arial" w:cs="Arial"/>
          <w:b/>
          <w:color w:val="000000" w:themeColor="text1"/>
          <w:sz w:val="26"/>
          <w:szCs w:val="26"/>
          <w:lang w:eastAsia="en-US"/>
        </w:rPr>
        <w:t>SECRETARÍA DE LA CONTRALORÍA Y TRANSPARENCIA GUBERNAMENTAL DEL</w:t>
      </w:r>
      <w:r w:rsidR="00CD42C6" w:rsidRPr="007F56B9">
        <w:rPr>
          <w:rFonts w:ascii="Arial" w:eastAsia="Calibri" w:hAnsi="Arial" w:cs="Arial"/>
          <w:b/>
          <w:color w:val="000000" w:themeColor="text1"/>
          <w:sz w:val="26"/>
          <w:szCs w:val="26"/>
          <w:lang w:eastAsia="en-US"/>
        </w:rPr>
        <w:t xml:space="preserve"> PODER EJECUTIVO DEL</w:t>
      </w:r>
      <w:r w:rsidR="006927E4" w:rsidRPr="007F56B9">
        <w:rPr>
          <w:rFonts w:ascii="Arial" w:eastAsia="Calibri" w:hAnsi="Arial" w:cs="Arial"/>
          <w:b/>
          <w:color w:val="000000" w:themeColor="text1"/>
          <w:sz w:val="26"/>
          <w:szCs w:val="26"/>
          <w:lang w:eastAsia="en-US"/>
        </w:rPr>
        <w:t xml:space="preserve"> ESTADO DE OAXACA</w:t>
      </w:r>
      <w:r w:rsidR="00565BED" w:rsidRPr="007F56B9">
        <w:rPr>
          <w:rFonts w:ascii="Arial" w:eastAsia="Calibri" w:hAnsi="Arial" w:cs="Arial"/>
          <w:color w:val="000000" w:themeColor="text1"/>
          <w:sz w:val="26"/>
          <w:szCs w:val="26"/>
          <w:lang w:eastAsia="en-US"/>
        </w:rPr>
        <w:t>;</w:t>
      </w:r>
      <w:r w:rsidR="006927E4" w:rsidRPr="007F56B9">
        <w:rPr>
          <w:rFonts w:ascii="Arial" w:eastAsia="Calibri" w:hAnsi="Arial" w:cs="Arial"/>
          <w:b/>
          <w:color w:val="000000" w:themeColor="text1"/>
          <w:sz w:val="26"/>
          <w:szCs w:val="26"/>
          <w:lang w:eastAsia="en-US"/>
        </w:rPr>
        <w:t xml:space="preserve"> </w:t>
      </w:r>
      <w:r w:rsidR="00565BED" w:rsidRPr="007F56B9">
        <w:rPr>
          <w:rFonts w:ascii="Arial" w:eastAsia="Calibri" w:hAnsi="Arial" w:cs="Arial"/>
          <w:bCs/>
          <w:color w:val="000000" w:themeColor="text1"/>
          <w:sz w:val="26"/>
          <w:szCs w:val="26"/>
          <w:lang w:eastAsia="en-US"/>
        </w:rPr>
        <w:t>e</w:t>
      </w:r>
      <w:r w:rsidR="006927E4" w:rsidRPr="007F56B9">
        <w:rPr>
          <w:rFonts w:ascii="Arial" w:eastAsia="Calibri" w:hAnsi="Arial" w:cs="Arial"/>
          <w:bCs/>
          <w:color w:val="000000" w:themeColor="text1"/>
          <w:sz w:val="26"/>
          <w:szCs w:val="26"/>
          <w:lang w:eastAsia="en-US"/>
        </w:rPr>
        <w:t>n tal virtud,</w:t>
      </w:r>
      <w:r w:rsidRPr="007F56B9">
        <w:rPr>
          <w:rFonts w:ascii="Arial" w:eastAsiaTheme="minorHAnsi" w:hAnsi="Arial" w:cs="Arial"/>
          <w:color w:val="000000" w:themeColor="text1"/>
          <w:sz w:val="26"/>
          <w:szCs w:val="26"/>
          <w:lang w:eastAsia="en-US"/>
        </w:rPr>
        <w:t xml:space="preserve"> con fundamento en los artículos 2</w:t>
      </w:r>
      <w:r w:rsidR="006B51C3" w:rsidRPr="007F56B9">
        <w:rPr>
          <w:rFonts w:ascii="Arial" w:eastAsiaTheme="minorHAnsi" w:hAnsi="Arial" w:cs="Arial"/>
          <w:color w:val="000000" w:themeColor="text1"/>
          <w:sz w:val="26"/>
          <w:szCs w:val="26"/>
          <w:lang w:eastAsia="en-US"/>
        </w:rPr>
        <w:t>0</w:t>
      </w:r>
      <w:r w:rsidRPr="007F56B9">
        <w:rPr>
          <w:rFonts w:ascii="Arial" w:eastAsiaTheme="minorHAnsi" w:hAnsi="Arial" w:cs="Arial"/>
          <w:color w:val="000000" w:themeColor="text1"/>
          <w:sz w:val="26"/>
          <w:szCs w:val="26"/>
          <w:lang w:eastAsia="en-US"/>
        </w:rPr>
        <w:t>6 y 2</w:t>
      </w:r>
      <w:r w:rsidR="006B51C3" w:rsidRPr="007F56B9">
        <w:rPr>
          <w:rFonts w:ascii="Arial" w:eastAsiaTheme="minorHAnsi" w:hAnsi="Arial" w:cs="Arial"/>
          <w:color w:val="000000" w:themeColor="text1"/>
          <w:sz w:val="26"/>
          <w:szCs w:val="26"/>
          <w:lang w:eastAsia="en-US"/>
        </w:rPr>
        <w:t>0</w:t>
      </w:r>
      <w:r w:rsidRPr="007F56B9">
        <w:rPr>
          <w:rFonts w:ascii="Arial" w:eastAsiaTheme="minorHAnsi" w:hAnsi="Arial" w:cs="Arial"/>
          <w:color w:val="000000" w:themeColor="text1"/>
          <w:sz w:val="26"/>
          <w:szCs w:val="26"/>
          <w:lang w:eastAsia="en-US"/>
        </w:rPr>
        <w:t>7 de la Ley de</w:t>
      </w:r>
      <w:r w:rsidR="006B51C3" w:rsidRPr="007F56B9">
        <w:rPr>
          <w:rFonts w:ascii="Arial" w:eastAsiaTheme="minorHAnsi" w:hAnsi="Arial" w:cs="Arial"/>
          <w:color w:val="000000" w:themeColor="text1"/>
          <w:sz w:val="26"/>
          <w:szCs w:val="26"/>
          <w:lang w:eastAsia="en-US"/>
        </w:rPr>
        <w:t xml:space="preserve"> </w:t>
      </w:r>
      <w:r w:rsidRPr="007F56B9">
        <w:rPr>
          <w:rFonts w:ascii="Arial" w:eastAsiaTheme="minorHAnsi" w:hAnsi="Arial" w:cs="Arial"/>
          <w:color w:val="000000" w:themeColor="text1"/>
          <w:sz w:val="26"/>
          <w:szCs w:val="26"/>
          <w:lang w:eastAsia="en-US"/>
        </w:rPr>
        <w:t>Justicia Administrativa para el Estado de Oaxaca</w:t>
      </w:r>
      <w:r w:rsidR="006B51C3" w:rsidRPr="007F56B9">
        <w:rPr>
          <w:rFonts w:ascii="Arial" w:eastAsiaTheme="minorHAnsi" w:hAnsi="Arial" w:cs="Arial"/>
          <w:color w:val="000000" w:themeColor="text1"/>
          <w:sz w:val="26"/>
          <w:szCs w:val="26"/>
          <w:lang w:eastAsia="en-US"/>
        </w:rPr>
        <w:t xml:space="preserve"> aplicable al caso</w:t>
      </w:r>
      <w:r w:rsidRPr="007F56B9">
        <w:rPr>
          <w:rFonts w:ascii="Arial" w:eastAsiaTheme="minorHAnsi" w:hAnsi="Arial" w:cs="Arial"/>
          <w:color w:val="000000" w:themeColor="text1"/>
          <w:sz w:val="26"/>
          <w:szCs w:val="26"/>
          <w:lang w:eastAsia="en-US"/>
        </w:rPr>
        <w:t>, se admite.  En consecuencia, se procede a dictar resolución en los siguientes términos:</w:t>
      </w:r>
      <w:r w:rsidR="007652E3">
        <w:rPr>
          <w:rFonts w:ascii="Arial" w:eastAsiaTheme="minorHAnsi" w:hAnsi="Arial" w:cs="Arial"/>
          <w:color w:val="000000" w:themeColor="text1"/>
          <w:sz w:val="26"/>
          <w:szCs w:val="26"/>
          <w:lang w:eastAsia="en-US"/>
        </w:rPr>
        <w:t xml:space="preserve"> - - - - - - - - - - - - - - - - - - - - - - - - - - - - - - - - - - - - - </w:t>
      </w:r>
    </w:p>
    <w:p w14:paraId="218C70E9" w14:textId="77777777" w:rsidR="00DB717E" w:rsidRPr="007F56B9" w:rsidRDefault="00DB717E" w:rsidP="00DB717E">
      <w:pPr>
        <w:pStyle w:val="Sinespaciado"/>
        <w:rPr>
          <w:rFonts w:eastAsiaTheme="minorHAnsi"/>
          <w:lang w:eastAsia="en-US"/>
        </w:rPr>
      </w:pPr>
    </w:p>
    <w:p w14:paraId="47E50ECA" w14:textId="23D46487" w:rsidR="006D1DB2" w:rsidRDefault="006D1DB2" w:rsidP="006927E4">
      <w:pPr>
        <w:spacing w:after="0" w:line="360" w:lineRule="auto"/>
        <w:jc w:val="center"/>
        <w:rPr>
          <w:rFonts w:ascii="Arial" w:eastAsiaTheme="minorHAnsi" w:hAnsi="Arial" w:cs="Arial"/>
          <w:b/>
          <w:bCs/>
          <w:color w:val="000000" w:themeColor="text1"/>
          <w:sz w:val="26"/>
          <w:szCs w:val="26"/>
          <w:lang w:val="es-ES" w:eastAsia="en-US"/>
        </w:rPr>
      </w:pPr>
      <w:r w:rsidRPr="007F56B9">
        <w:rPr>
          <w:rFonts w:ascii="Arial" w:eastAsiaTheme="minorHAnsi" w:hAnsi="Arial" w:cs="Arial"/>
          <w:b/>
          <w:bCs/>
          <w:color w:val="000000" w:themeColor="text1"/>
          <w:sz w:val="26"/>
          <w:szCs w:val="26"/>
          <w:lang w:val="es-ES" w:eastAsia="en-US"/>
        </w:rPr>
        <w:t>R E S U L T A N D O</w:t>
      </w:r>
      <w:r w:rsidR="00565BED" w:rsidRPr="007F56B9">
        <w:rPr>
          <w:rFonts w:ascii="Arial" w:eastAsiaTheme="minorHAnsi" w:hAnsi="Arial" w:cs="Arial"/>
          <w:b/>
          <w:bCs/>
          <w:color w:val="000000" w:themeColor="text1"/>
          <w:sz w:val="26"/>
          <w:szCs w:val="26"/>
          <w:lang w:val="es-ES" w:eastAsia="en-US"/>
        </w:rPr>
        <w:t xml:space="preserve"> </w:t>
      </w:r>
    </w:p>
    <w:p w14:paraId="26214644" w14:textId="77777777" w:rsidR="00DB717E" w:rsidRPr="007F56B9" w:rsidRDefault="00DB717E" w:rsidP="00DB717E">
      <w:pPr>
        <w:pStyle w:val="Sinespaciado"/>
        <w:rPr>
          <w:rFonts w:eastAsiaTheme="minorHAnsi"/>
          <w:lang w:eastAsia="en-US"/>
        </w:rPr>
      </w:pPr>
    </w:p>
    <w:p w14:paraId="39752ABC" w14:textId="5398FC07" w:rsidR="006D1DB2" w:rsidRPr="007F56B9" w:rsidRDefault="006D1DB2" w:rsidP="00561E8A">
      <w:pPr>
        <w:spacing w:after="0" w:line="360" w:lineRule="auto"/>
        <w:ind w:firstLine="708"/>
        <w:jc w:val="both"/>
        <w:rPr>
          <w:rFonts w:ascii="Arial" w:eastAsiaTheme="minorHAnsi" w:hAnsi="Arial" w:cs="Arial"/>
          <w:color w:val="000000" w:themeColor="text1"/>
          <w:sz w:val="26"/>
          <w:szCs w:val="26"/>
          <w:lang w:val="es-ES" w:eastAsia="en-US"/>
        </w:rPr>
      </w:pPr>
      <w:r w:rsidRPr="007F56B9">
        <w:rPr>
          <w:rFonts w:ascii="Arial" w:eastAsiaTheme="minorHAnsi" w:hAnsi="Arial" w:cs="Arial"/>
          <w:b/>
          <w:bCs/>
          <w:color w:val="000000" w:themeColor="text1"/>
          <w:sz w:val="26"/>
          <w:szCs w:val="26"/>
          <w:lang w:val="es-ES" w:eastAsia="en-US"/>
        </w:rPr>
        <w:t xml:space="preserve">PRIMERO. </w:t>
      </w:r>
      <w:r w:rsidRPr="007F56B9">
        <w:rPr>
          <w:rFonts w:ascii="Arial" w:eastAsiaTheme="minorHAnsi" w:hAnsi="Arial" w:cs="Arial"/>
          <w:color w:val="000000" w:themeColor="text1"/>
          <w:sz w:val="26"/>
          <w:szCs w:val="26"/>
          <w:lang w:val="es-ES" w:eastAsia="en-US"/>
        </w:rPr>
        <w:t>Inconforme con la sentencia de</w:t>
      </w:r>
      <w:r w:rsidR="001125FC">
        <w:rPr>
          <w:rFonts w:ascii="Arial" w:eastAsiaTheme="minorHAnsi" w:hAnsi="Arial" w:cs="Arial"/>
          <w:color w:val="000000" w:themeColor="text1"/>
          <w:sz w:val="26"/>
          <w:szCs w:val="26"/>
          <w:lang w:val="es-ES" w:eastAsia="en-US"/>
        </w:rPr>
        <w:t xml:space="preserve"> 07</w:t>
      </w:r>
      <w:r w:rsidRPr="007F56B9">
        <w:rPr>
          <w:rFonts w:ascii="Arial" w:eastAsiaTheme="minorHAnsi" w:hAnsi="Arial" w:cs="Arial"/>
          <w:color w:val="000000" w:themeColor="text1"/>
          <w:sz w:val="26"/>
          <w:szCs w:val="26"/>
          <w:lang w:val="es-ES" w:eastAsia="en-US"/>
        </w:rPr>
        <w:t xml:space="preserve"> </w:t>
      </w:r>
      <w:r w:rsidR="00CD42C6" w:rsidRPr="007F56B9">
        <w:rPr>
          <w:rFonts w:ascii="Arial" w:eastAsia="Calibri" w:hAnsi="Arial" w:cs="Arial"/>
          <w:color w:val="000000" w:themeColor="text1"/>
          <w:sz w:val="26"/>
          <w:szCs w:val="26"/>
          <w:lang w:eastAsia="en-US"/>
        </w:rPr>
        <w:t xml:space="preserve">siete de septiembre </w:t>
      </w:r>
      <w:r w:rsidR="006927E4" w:rsidRPr="007F56B9">
        <w:rPr>
          <w:rFonts w:ascii="Arial" w:eastAsia="Calibri" w:hAnsi="Arial" w:cs="Arial"/>
          <w:color w:val="000000" w:themeColor="text1"/>
          <w:sz w:val="26"/>
          <w:szCs w:val="26"/>
          <w:lang w:eastAsia="en-US"/>
        </w:rPr>
        <w:t xml:space="preserve">de </w:t>
      </w:r>
      <w:r w:rsidR="001125FC">
        <w:rPr>
          <w:rFonts w:ascii="Arial" w:eastAsia="Calibri" w:hAnsi="Arial" w:cs="Arial"/>
          <w:color w:val="000000" w:themeColor="text1"/>
          <w:sz w:val="26"/>
          <w:szCs w:val="26"/>
          <w:lang w:eastAsia="en-US"/>
        </w:rPr>
        <w:t xml:space="preserve">2020 </w:t>
      </w:r>
      <w:r w:rsidR="006927E4" w:rsidRPr="007F56B9">
        <w:rPr>
          <w:rFonts w:ascii="Arial" w:eastAsia="Calibri" w:hAnsi="Arial" w:cs="Arial"/>
          <w:color w:val="000000" w:themeColor="text1"/>
          <w:sz w:val="26"/>
          <w:szCs w:val="26"/>
          <w:lang w:eastAsia="en-US"/>
        </w:rPr>
        <w:t xml:space="preserve">dos mil </w:t>
      </w:r>
      <w:r w:rsidR="00CD42C6" w:rsidRPr="007F56B9">
        <w:rPr>
          <w:rFonts w:ascii="Arial" w:eastAsia="Calibri" w:hAnsi="Arial" w:cs="Arial"/>
          <w:color w:val="000000" w:themeColor="text1"/>
          <w:sz w:val="26"/>
          <w:szCs w:val="26"/>
          <w:lang w:eastAsia="en-US"/>
        </w:rPr>
        <w:t>veint</w:t>
      </w:r>
      <w:r w:rsidR="006927E4" w:rsidRPr="007F56B9">
        <w:rPr>
          <w:rFonts w:ascii="Arial" w:eastAsia="Calibri" w:hAnsi="Arial" w:cs="Arial"/>
          <w:color w:val="000000" w:themeColor="text1"/>
          <w:sz w:val="26"/>
          <w:szCs w:val="26"/>
          <w:lang w:eastAsia="en-US"/>
        </w:rPr>
        <w:t>e</w:t>
      </w:r>
      <w:r w:rsidRPr="007F56B9">
        <w:rPr>
          <w:rFonts w:ascii="Arial" w:eastAsiaTheme="minorHAnsi" w:hAnsi="Arial" w:cs="Arial"/>
          <w:color w:val="000000" w:themeColor="text1"/>
          <w:sz w:val="26"/>
          <w:szCs w:val="26"/>
          <w:lang w:val="es-ES" w:eastAsia="en-US"/>
        </w:rPr>
        <w:t>, dictada por</w:t>
      </w:r>
      <w:r w:rsidR="006927E4" w:rsidRPr="007F56B9">
        <w:rPr>
          <w:rFonts w:ascii="Arial" w:eastAsia="Calibri" w:hAnsi="Arial" w:cs="Arial"/>
          <w:color w:val="000000" w:themeColor="text1"/>
          <w:sz w:val="26"/>
          <w:szCs w:val="26"/>
          <w:lang w:eastAsia="en-US"/>
        </w:rPr>
        <w:t xml:space="preserve"> la </w:t>
      </w:r>
      <w:r w:rsidR="008B0699" w:rsidRPr="007F56B9">
        <w:rPr>
          <w:rFonts w:ascii="Arial" w:eastAsia="Calibri" w:hAnsi="Arial" w:cs="Arial"/>
          <w:color w:val="000000" w:themeColor="text1"/>
          <w:sz w:val="26"/>
          <w:szCs w:val="26"/>
          <w:lang w:eastAsia="en-US"/>
        </w:rPr>
        <w:t>Quinta</w:t>
      </w:r>
      <w:r w:rsidR="006927E4" w:rsidRPr="007F56B9">
        <w:rPr>
          <w:rFonts w:ascii="Arial" w:eastAsia="Calibri" w:hAnsi="Arial" w:cs="Arial"/>
          <w:color w:val="000000" w:themeColor="text1"/>
          <w:sz w:val="26"/>
          <w:szCs w:val="26"/>
          <w:lang w:eastAsia="en-US"/>
        </w:rPr>
        <w:t xml:space="preserve"> </w:t>
      </w:r>
      <w:r w:rsidRPr="007F56B9">
        <w:rPr>
          <w:rFonts w:ascii="Arial" w:eastAsiaTheme="minorHAnsi" w:hAnsi="Arial" w:cs="Arial"/>
          <w:color w:val="000000" w:themeColor="text1"/>
          <w:sz w:val="26"/>
          <w:szCs w:val="26"/>
          <w:lang w:val="es-ES" w:eastAsia="en-US"/>
        </w:rPr>
        <w:t>Sala Unitaria de Primera Instancia de este Tribunal</w:t>
      </w:r>
      <w:r w:rsidR="00772E56" w:rsidRPr="007F56B9">
        <w:rPr>
          <w:rFonts w:ascii="Arial" w:eastAsiaTheme="minorHAnsi" w:hAnsi="Arial" w:cs="Arial"/>
          <w:color w:val="000000" w:themeColor="text1"/>
          <w:sz w:val="26"/>
          <w:szCs w:val="26"/>
          <w:lang w:eastAsia="en-US"/>
        </w:rPr>
        <w:t>,</w:t>
      </w:r>
      <w:r w:rsidR="00772E56" w:rsidRPr="007F56B9">
        <w:rPr>
          <w:rFonts w:ascii="Arial" w:eastAsiaTheme="minorHAnsi" w:hAnsi="Arial" w:cs="Arial"/>
          <w:b/>
          <w:bCs/>
          <w:color w:val="000000" w:themeColor="text1"/>
          <w:sz w:val="26"/>
          <w:szCs w:val="26"/>
          <w:lang w:eastAsia="en-US"/>
        </w:rPr>
        <w:t xml:space="preserve"> </w:t>
      </w:r>
      <w:r w:rsidR="00565BED" w:rsidRPr="007F56B9">
        <w:rPr>
          <w:rFonts w:ascii="Arial" w:eastAsia="Calibri" w:hAnsi="Arial" w:cs="Arial"/>
          <w:bCs/>
          <w:color w:val="000000" w:themeColor="text1"/>
          <w:sz w:val="26"/>
          <w:szCs w:val="26"/>
          <w:lang w:eastAsia="en-US"/>
        </w:rPr>
        <w:t>la</w:t>
      </w:r>
      <w:r w:rsidR="00565BED" w:rsidRPr="007F56B9">
        <w:rPr>
          <w:rFonts w:ascii="Arial" w:eastAsia="Calibri" w:hAnsi="Arial" w:cs="Arial"/>
          <w:b/>
          <w:bCs/>
          <w:color w:val="000000" w:themeColor="text1"/>
          <w:sz w:val="26"/>
          <w:szCs w:val="26"/>
          <w:lang w:eastAsia="en-US"/>
        </w:rPr>
        <w:t xml:space="preserve"> </w:t>
      </w:r>
      <w:r w:rsidR="00772E56" w:rsidRPr="007F56B9">
        <w:rPr>
          <w:rFonts w:ascii="Arial" w:eastAsia="Calibri" w:hAnsi="Arial" w:cs="Arial"/>
          <w:b/>
          <w:color w:val="000000" w:themeColor="text1"/>
          <w:sz w:val="26"/>
          <w:szCs w:val="26"/>
          <w:lang w:eastAsia="en-US"/>
        </w:rPr>
        <w:t>DIRECTORA JURÍDICA DE LA SECRETARÍA DE LA CONTRALORÍA Y TRANSPARENCIA GUBERNAMENTAL DEL ESTADO DE OAXACA</w:t>
      </w:r>
      <w:r w:rsidR="00772E56" w:rsidRPr="007F56B9">
        <w:rPr>
          <w:rFonts w:ascii="Arial" w:eastAsiaTheme="minorHAnsi" w:hAnsi="Arial" w:cs="Arial"/>
          <w:b/>
          <w:bCs/>
          <w:color w:val="000000" w:themeColor="text1"/>
          <w:sz w:val="26"/>
          <w:szCs w:val="26"/>
          <w:lang w:eastAsia="en-US"/>
        </w:rPr>
        <w:t xml:space="preserve">, </w:t>
      </w:r>
      <w:r w:rsidRPr="007F56B9">
        <w:rPr>
          <w:rFonts w:ascii="Arial" w:eastAsiaTheme="minorHAnsi" w:hAnsi="Arial" w:cs="Arial"/>
          <w:color w:val="000000" w:themeColor="text1"/>
          <w:sz w:val="26"/>
          <w:szCs w:val="26"/>
          <w:lang w:val="es-ES" w:eastAsia="en-US"/>
        </w:rPr>
        <w:t>interpuso en su contra recurso de revisión.</w:t>
      </w:r>
      <w:r w:rsidR="001125FC">
        <w:rPr>
          <w:rFonts w:ascii="Arial" w:eastAsiaTheme="minorHAnsi" w:hAnsi="Arial" w:cs="Arial"/>
          <w:color w:val="000000" w:themeColor="text1"/>
          <w:sz w:val="26"/>
          <w:szCs w:val="26"/>
          <w:lang w:val="es-ES" w:eastAsia="en-US"/>
        </w:rPr>
        <w:t xml:space="preserve"> - - - - - - - - - - - - - - - - - - - - - - - - - - - - - - - - -</w:t>
      </w:r>
    </w:p>
    <w:p w14:paraId="19F331A7" w14:textId="77777777" w:rsidR="006927E4" w:rsidRPr="007F56B9" w:rsidRDefault="006927E4" w:rsidP="00561E8A">
      <w:pPr>
        <w:spacing w:after="0" w:line="360" w:lineRule="auto"/>
        <w:ind w:firstLine="708"/>
        <w:jc w:val="both"/>
        <w:rPr>
          <w:rFonts w:ascii="Arial" w:eastAsiaTheme="minorHAnsi" w:hAnsi="Arial" w:cs="Arial"/>
          <w:color w:val="000000" w:themeColor="text1"/>
          <w:sz w:val="26"/>
          <w:szCs w:val="26"/>
          <w:lang w:val="es-ES" w:eastAsia="en-US"/>
        </w:rPr>
      </w:pPr>
    </w:p>
    <w:p w14:paraId="7F2B82EE" w14:textId="425F2AC7" w:rsidR="006D1DB2" w:rsidRDefault="006D1DB2" w:rsidP="00561E8A">
      <w:pPr>
        <w:spacing w:after="0" w:line="360" w:lineRule="auto"/>
        <w:ind w:firstLine="708"/>
        <w:jc w:val="both"/>
        <w:rPr>
          <w:rFonts w:ascii="Arial" w:eastAsiaTheme="minorHAnsi" w:hAnsi="Arial" w:cs="Arial"/>
          <w:color w:val="000000" w:themeColor="text1"/>
          <w:sz w:val="26"/>
          <w:szCs w:val="26"/>
          <w:lang w:eastAsia="en-US"/>
        </w:rPr>
      </w:pPr>
      <w:r w:rsidRPr="007F56B9">
        <w:rPr>
          <w:rFonts w:ascii="Arial" w:eastAsiaTheme="minorHAnsi" w:hAnsi="Arial" w:cs="Arial"/>
          <w:b/>
          <w:bCs/>
          <w:color w:val="000000" w:themeColor="text1"/>
          <w:sz w:val="26"/>
          <w:szCs w:val="26"/>
          <w:lang w:eastAsia="en-US"/>
        </w:rPr>
        <w:t xml:space="preserve">SEGUNDO. </w:t>
      </w:r>
      <w:r w:rsidRPr="007F56B9">
        <w:rPr>
          <w:rFonts w:ascii="Arial" w:eastAsiaTheme="minorHAnsi" w:hAnsi="Arial" w:cs="Arial"/>
          <w:color w:val="000000" w:themeColor="text1"/>
          <w:sz w:val="26"/>
          <w:szCs w:val="26"/>
          <w:lang w:eastAsia="en-US"/>
        </w:rPr>
        <w:t>Los puntos resolutivos de la sentencia recurrida, son los siguientes</w:t>
      </w:r>
      <w:r w:rsidR="006927E4" w:rsidRPr="007F56B9">
        <w:rPr>
          <w:rFonts w:ascii="Arial" w:eastAsiaTheme="minorHAnsi" w:hAnsi="Arial" w:cs="Arial"/>
          <w:color w:val="000000" w:themeColor="text1"/>
          <w:sz w:val="26"/>
          <w:szCs w:val="26"/>
          <w:lang w:eastAsia="en-US"/>
        </w:rPr>
        <w:t>:</w:t>
      </w:r>
      <w:r w:rsidR="00587B34">
        <w:rPr>
          <w:rFonts w:ascii="Arial" w:eastAsiaTheme="minorHAnsi" w:hAnsi="Arial" w:cs="Arial"/>
          <w:color w:val="000000" w:themeColor="text1"/>
          <w:sz w:val="26"/>
          <w:szCs w:val="26"/>
          <w:lang w:eastAsia="en-US"/>
        </w:rPr>
        <w:t xml:space="preserve"> - - - - - - - - - - - - - - - - - - - - - - - - - - - - - - - - - - - - - - - - - -</w:t>
      </w:r>
    </w:p>
    <w:p w14:paraId="57F8EEBB" w14:textId="77777777" w:rsidR="00587B34" w:rsidRPr="007F56B9" w:rsidRDefault="00587B34" w:rsidP="00561E8A">
      <w:pPr>
        <w:spacing w:after="0" w:line="360" w:lineRule="auto"/>
        <w:ind w:firstLine="708"/>
        <w:jc w:val="both"/>
        <w:rPr>
          <w:rFonts w:ascii="Arial" w:eastAsiaTheme="minorHAnsi" w:hAnsi="Arial" w:cs="Arial"/>
          <w:color w:val="000000" w:themeColor="text1"/>
          <w:sz w:val="26"/>
          <w:szCs w:val="26"/>
          <w:lang w:eastAsia="en-US"/>
        </w:rPr>
      </w:pPr>
    </w:p>
    <w:p w14:paraId="63EC85B0" w14:textId="22864EE6" w:rsidR="0056581A" w:rsidRPr="007F56B9" w:rsidRDefault="006D1DB2" w:rsidP="00565BED">
      <w:pPr>
        <w:spacing w:after="0"/>
        <w:ind w:left="1134" w:right="474"/>
        <w:jc w:val="both"/>
        <w:rPr>
          <w:rFonts w:ascii="Arial" w:eastAsia="Calibri" w:hAnsi="Arial" w:cs="Arial"/>
          <w:bCs/>
          <w:i/>
          <w:iCs/>
          <w:color w:val="000000" w:themeColor="text1"/>
          <w:sz w:val="24"/>
          <w:szCs w:val="24"/>
          <w:lang w:eastAsia="en-US"/>
        </w:rPr>
      </w:pPr>
      <w:r w:rsidRPr="007F56B9">
        <w:rPr>
          <w:rFonts w:ascii="Arial" w:eastAsia="Calibri" w:hAnsi="Arial" w:cs="Arial"/>
          <w:bCs/>
          <w:i/>
          <w:iCs/>
          <w:color w:val="000000" w:themeColor="text1"/>
          <w:sz w:val="24"/>
          <w:szCs w:val="24"/>
          <w:lang w:eastAsia="en-US"/>
        </w:rPr>
        <w:t>“</w:t>
      </w:r>
      <w:r w:rsidR="00A20C8D" w:rsidRPr="007F56B9">
        <w:rPr>
          <w:rFonts w:ascii="Arial" w:eastAsia="Calibri" w:hAnsi="Arial" w:cs="Arial"/>
          <w:b/>
          <w:bCs/>
          <w:i/>
          <w:iCs/>
          <w:color w:val="000000" w:themeColor="text1"/>
          <w:sz w:val="24"/>
          <w:szCs w:val="24"/>
          <w:lang w:eastAsia="en-US"/>
        </w:rPr>
        <w:t>PRIMERO. -</w:t>
      </w:r>
      <w:r w:rsidRPr="007F56B9">
        <w:rPr>
          <w:rFonts w:ascii="Arial" w:eastAsia="Calibri" w:hAnsi="Arial" w:cs="Arial"/>
          <w:b/>
          <w:bCs/>
          <w:i/>
          <w:iCs/>
          <w:color w:val="000000" w:themeColor="text1"/>
          <w:sz w:val="24"/>
          <w:szCs w:val="24"/>
          <w:lang w:eastAsia="en-US"/>
        </w:rPr>
        <w:t xml:space="preserve"> </w:t>
      </w:r>
      <w:r w:rsidR="00691229" w:rsidRPr="007F56B9">
        <w:rPr>
          <w:rFonts w:ascii="Arial" w:eastAsia="Calibri" w:hAnsi="Arial" w:cs="Arial"/>
          <w:bCs/>
          <w:i/>
          <w:iCs/>
          <w:color w:val="000000" w:themeColor="text1"/>
          <w:sz w:val="24"/>
          <w:szCs w:val="24"/>
          <w:lang w:eastAsia="en-US"/>
        </w:rPr>
        <w:t xml:space="preserve">Esta </w:t>
      </w:r>
      <w:r w:rsidR="008B0699" w:rsidRPr="007F56B9">
        <w:rPr>
          <w:rFonts w:ascii="Arial" w:eastAsia="Calibri" w:hAnsi="Arial" w:cs="Arial"/>
          <w:bCs/>
          <w:i/>
          <w:iCs/>
          <w:color w:val="000000" w:themeColor="text1"/>
          <w:sz w:val="24"/>
          <w:szCs w:val="24"/>
          <w:lang w:eastAsia="en-US"/>
        </w:rPr>
        <w:t>Quinta</w:t>
      </w:r>
      <w:r w:rsidR="00691229" w:rsidRPr="007F56B9">
        <w:rPr>
          <w:rFonts w:ascii="Arial" w:eastAsia="Calibri" w:hAnsi="Arial" w:cs="Arial"/>
          <w:bCs/>
          <w:i/>
          <w:iCs/>
          <w:color w:val="000000" w:themeColor="text1"/>
          <w:sz w:val="24"/>
          <w:szCs w:val="24"/>
          <w:lang w:eastAsia="en-US"/>
        </w:rPr>
        <w:t xml:space="preserve"> Sala Unitaria</w:t>
      </w:r>
      <w:r w:rsidR="00A20C8D" w:rsidRPr="007F56B9">
        <w:rPr>
          <w:rFonts w:ascii="Arial" w:eastAsia="Calibri" w:hAnsi="Arial" w:cs="Arial"/>
          <w:bCs/>
          <w:i/>
          <w:iCs/>
          <w:color w:val="000000" w:themeColor="text1"/>
          <w:sz w:val="24"/>
          <w:szCs w:val="24"/>
          <w:lang w:eastAsia="en-US"/>
        </w:rPr>
        <w:t xml:space="preserve"> </w:t>
      </w:r>
      <w:r w:rsidR="008B0699" w:rsidRPr="007F56B9">
        <w:rPr>
          <w:rFonts w:ascii="Arial" w:eastAsia="Calibri" w:hAnsi="Arial" w:cs="Arial"/>
          <w:bCs/>
          <w:i/>
          <w:iCs/>
          <w:color w:val="000000" w:themeColor="text1"/>
          <w:sz w:val="24"/>
          <w:szCs w:val="24"/>
          <w:lang w:eastAsia="en-US"/>
        </w:rPr>
        <w:t xml:space="preserve">del </w:t>
      </w:r>
      <w:r w:rsidR="00A20C8D" w:rsidRPr="007F56B9">
        <w:rPr>
          <w:rFonts w:ascii="Arial" w:eastAsia="Calibri" w:hAnsi="Arial" w:cs="Arial"/>
          <w:bCs/>
          <w:i/>
          <w:iCs/>
          <w:color w:val="000000" w:themeColor="text1"/>
          <w:sz w:val="24"/>
          <w:szCs w:val="24"/>
          <w:lang w:eastAsia="en-US"/>
        </w:rPr>
        <w:t xml:space="preserve">Tribunal de Justicia Administrativa del Estado de Oaxaca, es competente para conocer y resolver el presente </w:t>
      </w:r>
      <w:r w:rsidR="008B0699" w:rsidRPr="007F56B9">
        <w:rPr>
          <w:rFonts w:ascii="Arial" w:eastAsia="Calibri" w:hAnsi="Arial" w:cs="Arial"/>
          <w:bCs/>
          <w:i/>
          <w:iCs/>
          <w:color w:val="000000" w:themeColor="text1"/>
          <w:sz w:val="24"/>
          <w:szCs w:val="24"/>
          <w:lang w:eastAsia="en-US"/>
        </w:rPr>
        <w:t>j</w:t>
      </w:r>
      <w:r w:rsidR="00A20C8D" w:rsidRPr="007F56B9">
        <w:rPr>
          <w:rFonts w:ascii="Arial" w:eastAsia="Calibri" w:hAnsi="Arial" w:cs="Arial"/>
          <w:bCs/>
          <w:i/>
          <w:iCs/>
          <w:color w:val="000000" w:themeColor="text1"/>
          <w:sz w:val="24"/>
          <w:szCs w:val="24"/>
          <w:lang w:eastAsia="en-US"/>
        </w:rPr>
        <w:t>uicio</w:t>
      </w:r>
      <w:r w:rsidR="008B0699" w:rsidRPr="007F56B9">
        <w:rPr>
          <w:rFonts w:ascii="Arial" w:eastAsia="Calibri" w:hAnsi="Arial" w:cs="Arial"/>
          <w:bCs/>
          <w:i/>
          <w:iCs/>
          <w:color w:val="000000" w:themeColor="text1"/>
          <w:sz w:val="24"/>
          <w:szCs w:val="24"/>
          <w:lang w:eastAsia="en-US"/>
        </w:rPr>
        <w:t>.</w:t>
      </w:r>
      <w:r w:rsidR="00691229" w:rsidRPr="007F56B9">
        <w:rPr>
          <w:rFonts w:ascii="Arial" w:eastAsia="Calibri" w:hAnsi="Arial" w:cs="Arial"/>
          <w:bCs/>
          <w:i/>
          <w:iCs/>
          <w:color w:val="000000" w:themeColor="text1"/>
          <w:sz w:val="24"/>
          <w:szCs w:val="24"/>
          <w:lang w:eastAsia="en-US"/>
        </w:rPr>
        <w:t xml:space="preserve"> </w:t>
      </w:r>
      <w:r w:rsidR="00A20C8D" w:rsidRPr="007F56B9">
        <w:rPr>
          <w:rFonts w:ascii="Arial" w:eastAsia="Calibri" w:hAnsi="Arial" w:cs="Arial"/>
          <w:bCs/>
          <w:i/>
          <w:iCs/>
          <w:color w:val="000000" w:themeColor="text1"/>
          <w:sz w:val="24"/>
          <w:szCs w:val="24"/>
          <w:lang w:eastAsia="en-US"/>
        </w:rPr>
        <w:t xml:space="preserve">- - - </w:t>
      </w:r>
      <w:r w:rsidR="00565BED" w:rsidRPr="007F56B9">
        <w:rPr>
          <w:rFonts w:ascii="Arial" w:eastAsia="Calibri" w:hAnsi="Arial" w:cs="Arial"/>
          <w:bCs/>
          <w:i/>
          <w:iCs/>
          <w:color w:val="000000" w:themeColor="text1"/>
          <w:sz w:val="24"/>
          <w:szCs w:val="24"/>
          <w:lang w:eastAsia="en-US"/>
        </w:rPr>
        <w:t>- - - - - - - - - - - - - - -</w:t>
      </w:r>
    </w:p>
    <w:p w14:paraId="53703DE8" w14:textId="16CA24A5" w:rsidR="00A20C8D" w:rsidRPr="007F56B9" w:rsidRDefault="00A20C8D" w:rsidP="00565BED">
      <w:pPr>
        <w:spacing w:after="0"/>
        <w:ind w:left="1134" w:right="474"/>
        <w:jc w:val="both"/>
        <w:rPr>
          <w:rFonts w:ascii="Arial" w:eastAsia="Calibri" w:hAnsi="Arial" w:cs="Arial"/>
          <w:bCs/>
          <w:i/>
          <w:iCs/>
          <w:color w:val="000000" w:themeColor="text1"/>
          <w:sz w:val="24"/>
          <w:szCs w:val="24"/>
          <w:lang w:eastAsia="en-US"/>
        </w:rPr>
      </w:pPr>
      <w:r w:rsidRPr="007F56B9">
        <w:rPr>
          <w:rFonts w:ascii="Arial" w:eastAsia="Calibri" w:hAnsi="Arial" w:cs="Arial"/>
          <w:bCs/>
          <w:i/>
          <w:iCs/>
          <w:color w:val="000000" w:themeColor="text1"/>
          <w:sz w:val="24"/>
          <w:szCs w:val="24"/>
          <w:lang w:eastAsia="en-US"/>
        </w:rPr>
        <w:t xml:space="preserve"> </w:t>
      </w:r>
    </w:p>
    <w:p w14:paraId="1994BCA8" w14:textId="5B3FD525" w:rsidR="0056581A" w:rsidRPr="007F56B9" w:rsidRDefault="006D1DB2" w:rsidP="00565BED">
      <w:pPr>
        <w:spacing w:after="0"/>
        <w:ind w:left="1134" w:right="474"/>
        <w:jc w:val="both"/>
        <w:rPr>
          <w:rFonts w:ascii="Arial" w:eastAsia="Calibri" w:hAnsi="Arial" w:cs="Arial"/>
          <w:bCs/>
          <w:i/>
          <w:iCs/>
          <w:color w:val="000000" w:themeColor="text1"/>
          <w:sz w:val="24"/>
          <w:szCs w:val="24"/>
          <w:lang w:eastAsia="en-US"/>
        </w:rPr>
      </w:pPr>
      <w:r w:rsidRPr="007F56B9">
        <w:rPr>
          <w:rFonts w:ascii="Arial" w:eastAsia="Calibri" w:hAnsi="Arial" w:cs="Arial"/>
          <w:bCs/>
          <w:i/>
          <w:iCs/>
          <w:color w:val="000000" w:themeColor="text1"/>
          <w:sz w:val="24"/>
          <w:szCs w:val="24"/>
          <w:lang w:eastAsia="en-US"/>
        </w:rPr>
        <w:t xml:space="preserve"> </w:t>
      </w:r>
      <w:r w:rsidR="00A20C8D" w:rsidRPr="007F56B9">
        <w:rPr>
          <w:rFonts w:ascii="Arial" w:eastAsia="Calibri" w:hAnsi="Arial" w:cs="Arial"/>
          <w:b/>
          <w:bCs/>
          <w:i/>
          <w:iCs/>
          <w:color w:val="000000" w:themeColor="text1"/>
          <w:sz w:val="24"/>
          <w:szCs w:val="24"/>
          <w:lang w:eastAsia="en-US"/>
        </w:rPr>
        <w:t>SEGUNDO.</w:t>
      </w:r>
      <w:r w:rsidR="00E92B12" w:rsidRPr="007F56B9">
        <w:rPr>
          <w:rFonts w:ascii="Arial" w:eastAsia="Calibri" w:hAnsi="Arial" w:cs="Arial"/>
          <w:b/>
          <w:bCs/>
          <w:i/>
          <w:iCs/>
          <w:color w:val="000000" w:themeColor="text1"/>
          <w:sz w:val="24"/>
          <w:szCs w:val="24"/>
          <w:lang w:eastAsia="en-US"/>
        </w:rPr>
        <w:t xml:space="preserve">- </w:t>
      </w:r>
      <w:r w:rsidR="008B0699" w:rsidRPr="007F56B9">
        <w:rPr>
          <w:rFonts w:ascii="Arial" w:eastAsia="Calibri" w:hAnsi="Arial" w:cs="Arial"/>
          <w:bCs/>
          <w:i/>
          <w:iCs/>
          <w:color w:val="000000" w:themeColor="text1"/>
          <w:sz w:val="24"/>
          <w:szCs w:val="24"/>
          <w:lang w:eastAsia="en-US"/>
        </w:rPr>
        <w:t xml:space="preserve">La personalidad de las partes quedó debidamente acreditada en </w:t>
      </w:r>
      <w:r w:rsidR="00E92B12" w:rsidRPr="007F56B9">
        <w:rPr>
          <w:rFonts w:ascii="Arial" w:eastAsia="Calibri" w:hAnsi="Arial" w:cs="Arial"/>
          <w:bCs/>
          <w:i/>
          <w:iCs/>
          <w:color w:val="000000" w:themeColor="text1"/>
          <w:sz w:val="24"/>
          <w:szCs w:val="24"/>
          <w:lang w:eastAsia="en-US"/>
        </w:rPr>
        <w:t>autos. -</w:t>
      </w:r>
      <w:r w:rsidR="008B0699" w:rsidRPr="007F56B9">
        <w:rPr>
          <w:rFonts w:ascii="Arial" w:eastAsia="Calibri" w:hAnsi="Arial" w:cs="Arial"/>
          <w:bCs/>
          <w:i/>
          <w:iCs/>
          <w:color w:val="000000" w:themeColor="text1"/>
          <w:sz w:val="24"/>
          <w:szCs w:val="24"/>
          <w:lang w:eastAsia="en-US"/>
        </w:rPr>
        <w:t xml:space="preserve"> - - - - - - - - - - - - - - - - - </w:t>
      </w:r>
      <w:r w:rsidR="00565BED" w:rsidRPr="007F56B9">
        <w:rPr>
          <w:rFonts w:ascii="Arial" w:eastAsia="Calibri" w:hAnsi="Arial" w:cs="Arial"/>
          <w:bCs/>
          <w:i/>
          <w:iCs/>
          <w:color w:val="000000" w:themeColor="text1"/>
          <w:sz w:val="24"/>
          <w:szCs w:val="24"/>
          <w:lang w:eastAsia="en-US"/>
        </w:rPr>
        <w:t xml:space="preserve"> - -</w:t>
      </w:r>
    </w:p>
    <w:p w14:paraId="434AF154" w14:textId="33216061" w:rsidR="006D1DB2" w:rsidRPr="007F56B9" w:rsidRDefault="006D1DB2" w:rsidP="00565BED">
      <w:pPr>
        <w:spacing w:after="0"/>
        <w:ind w:left="1134" w:right="474"/>
        <w:jc w:val="both"/>
        <w:rPr>
          <w:rFonts w:ascii="Arial" w:eastAsia="Calibri" w:hAnsi="Arial" w:cs="Arial"/>
          <w:bCs/>
          <w:i/>
          <w:iCs/>
          <w:color w:val="000000" w:themeColor="text1"/>
          <w:sz w:val="24"/>
          <w:szCs w:val="24"/>
          <w:lang w:eastAsia="en-US"/>
        </w:rPr>
      </w:pPr>
    </w:p>
    <w:p w14:paraId="7F48647F" w14:textId="77957E30" w:rsidR="0056581A" w:rsidRPr="007F56B9" w:rsidRDefault="006D1DB2" w:rsidP="00565BED">
      <w:pPr>
        <w:spacing w:after="0"/>
        <w:ind w:left="1134" w:right="474"/>
        <w:jc w:val="both"/>
        <w:rPr>
          <w:rFonts w:ascii="Arial" w:eastAsia="Calibri" w:hAnsi="Arial" w:cs="Arial"/>
          <w:bCs/>
          <w:i/>
          <w:iCs/>
          <w:color w:val="000000" w:themeColor="text1"/>
          <w:sz w:val="24"/>
          <w:szCs w:val="24"/>
          <w:lang w:eastAsia="en-US"/>
        </w:rPr>
      </w:pPr>
      <w:r w:rsidRPr="007F56B9">
        <w:rPr>
          <w:rFonts w:ascii="Arial" w:eastAsia="Calibri" w:hAnsi="Arial" w:cs="Arial"/>
          <w:b/>
          <w:bCs/>
          <w:i/>
          <w:iCs/>
          <w:color w:val="000000" w:themeColor="text1"/>
          <w:sz w:val="24"/>
          <w:szCs w:val="24"/>
          <w:lang w:eastAsia="en-US"/>
        </w:rPr>
        <w:t>TERCERO.-</w:t>
      </w:r>
      <w:r w:rsidR="008B0699" w:rsidRPr="007F56B9">
        <w:rPr>
          <w:rFonts w:ascii="Arial" w:eastAsia="Calibri" w:hAnsi="Arial" w:cs="Arial"/>
          <w:bCs/>
          <w:i/>
          <w:iCs/>
          <w:color w:val="000000" w:themeColor="text1"/>
          <w:sz w:val="24"/>
          <w:szCs w:val="24"/>
          <w:lang w:eastAsia="en-US"/>
        </w:rPr>
        <w:t xml:space="preserve"> Este Juzgador advierte que, en el presente juicio se advierte que no se actualizan ninguna causal de improcedencia o </w:t>
      </w:r>
      <w:r w:rsidR="00E92B12" w:rsidRPr="007F56B9">
        <w:rPr>
          <w:rFonts w:ascii="Arial" w:eastAsia="Calibri" w:hAnsi="Arial" w:cs="Arial"/>
          <w:bCs/>
          <w:i/>
          <w:iCs/>
          <w:color w:val="000000" w:themeColor="text1"/>
          <w:sz w:val="24"/>
          <w:szCs w:val="24"/>
          <w:lang w:eastAsia="en-US"/>
        </w:rPr>
        <w:t>sobreseimiento</w:t>
      </w:r>
      <w:r w:rsidR="008B0699" w:rsidRPr="007F56B9">
        <w:rPr>
          <w:rFonts w:ascii="Arial" w:eastAsia="Calibri" w:hAnsi="Arial" w:cs="Arial"/>
          <w:bCs/>
          <w:i/>
          <w:iCs/>
          <w:color w:val="000000" w:themeColor="text1"/>
          <w:sz w:val="24"/>
          <w:szCs w:val="24"/>
          <w:lang w:eastAsia="en-US"/>
        </w:rPr>
        <w:t xml:space="preserve"> contenidas en los artículos 131 y 132 de la Ley de Justicia Administrativa para el Estado de Oaxaca</w:t>
      </w:r>
      <w:r w:rsidR="00E92B12" w:rsidRPr="007F56B9">
        <w:rPr>
          <w:rFonts w:ascii="Arial" w:eastAsia="Calibri" w:hAnsi="Arial" w:cs="Arial"/>
          <w:bCs/>
          <w:i/>
          <w:iCs/>
          <w:color w:val="000000" w:themeColor="text1"/>
          <w:sz w:val="24"/>
          <w:szCs w:val="24"/>
          <w:lang w:eastAsia="en-US"/>
        </w:rPr>
        <w:t xml:space="preserve">, por lo que </w:t>
      </w:r>
      <w:r w:rsidR="00E92B12" w:rsidRPr="007F56B9">
        <w:rPr>
          <w:rFonts w:ascii="Arial" w:eastAsia="Calibri" w:hAnsi="Arial" w:cs="Arial"/>
          <w:b/>
          <w:i/>
          <w:iCs/>
          <w:color w:val="000000" w:themeColor="text1"/>
          <w:sz w:val="24"/>
          <w:szCs w:val="24"/>
          <w:lang w:eastAsia="en-US"/>
        </w:rPr>
        <w:t>NO SE SOBRESEE</w:t>
      </w:r>
      <w:r w:rsidR="00E92B12" w:rsidRPr="007F56B9">
        <w:rPr>
          <w:rFonts w:ascii="Arial" w:eastAsia="Calibri" w:hAnsi="Arial" w:cs="Arial"/>
          <w:bCs/>
          <w:i/>
          <w:iCs/>
          <w:color w:val="000000" w:themeColor="text1"/>
          <w:sz w:val="24"/>
          <w:szCs w:val="24"/>
          <w:lang w:eastAsia="en-US"/>
        </w:rPr>
        <w:t xml:space="preserve"> el presente juicio. </w:t>
      </w:r>
      <w:r w:rsidRPr="007F56B9">
        <w:rPr>
          <w:rFonts w:ascii="Arial" w:eastAsia="Calibri" w:hAnsi="Arial" w:cs="Arial"/>
          <w:bCs/>
          <w:i/>
          <w:iCs/>
          <w:color w:val="000000" w:themeColor="text1"/>
          <w:sz w:val="24"/>
          <w:szCs w:val="24"/>
          <w:lang w:eastAsia="en-US"/>
        </w:rPr>
        <w:t xml:space="preserve">- </w:t>
      </w:r>
    </w:p>
    <w:p w14:paraId="62C1F946" w14:textId="77777777" w:rsidR="0056581A" w:rsidRPr="007F56B9" w:rsidRDefault="0056581A" w:rsidP="00565BED">
      <w:pPr>
        <w:spacing w:after="0"/>
        <w:ind w:left="1134" w:right="474"/>
        <w:jc w:val="both"/>
        <w:rPr>
          <w:rFonts w:ascii="Arial" w:eastAsia="Calibri" w:hAnsi="Arial" w:cs="Arial"/>
          <w:bCs/>
          <w:i/>
          <w:iCs/>
          <w:color w:val="000000" w:themeColor="text1"/>
          <w:sz w:val="24"/>
          <w:szCs w:val="24"/>
          <w:lang w:eastAsia="en-US"/>
        </w:rPr>
      </w:pPr>
    </w:p>
    <w:p w14:paraId="2D18E993" w14:textId="13B6E499" w:rsidR="006D1DB2" w:rsidRPr="007F56B9" w:rsidRDefault="006D1DB2" w:rsidP="00565BED">
      <w:pPr>
        <w:spacing w:after="0"/>
        <w:ind w:left="1134" w:right="474"/>
        <w:jc w:val="both"/>
        <w:rPr>
          <w:rFonts w:ascii="Arial" w:eastAsia="Calibri" w:hAnsi="Arial" w:cs="Arial"/>
          <w:bCs/>
          <w:i/>
          <w:iCs/>
          <w:color w:val="000000" w:themeColor="text1"/>
          <w:sz w:val="24"/>
          <w:szCs w:val="24"/>
          <w:lang w:eastAsia="en-US"/>
        </w:rPr>
      </w:pPr>
      <w:r w:rsidRPr="007F56B9">
        <w:rPr>
          <w:rFonts w:ascii="Arial" w:eastAsia="Calibri" w:hAnsi="Arial" w:cs="Arial"/>
          <w:b/>
          <w:bCs/>
          <w:i/>
          <w:iCs/>
          <w:color w:val="000000" w:themeColor="text1"/>
          <w:sz w:val="24"/>
          <w:szCs w:val="24"/>
          <w:lang w:eastAsia="en-US"/>
        </w:rPr>
        <w:t>CUARTO.</w:t>
      </w:r>
      <w:r w:rsidR="00E92B12" w:rsidRPr="007F56B9">
        <w:rPr>
          <w:rFonts w:ascii="Arial" w:eastAsia="Calibri" w:hAnsi="Arial" w:cs="Arial"/>
          <w:b/>
          <w:bCs/>
          <w:i/>
          <w:iCs/>
          <w:color w:val="000000" w:themeColor="text1"/>
          <w:sz w:val="24"/>
          <w:szCs w:val="24"/>
          <w:lang w:eastAsia="en-US"/>
        </w:rPr>
        <w:t xml:space="preserve"> </w:t>
      </w:r>
      <w:r w:rsidRPr="007F56B9">
        <w:rPr>
          <w:rFonts w:ascii="Arial" w:eastAsia="Calibri" w:hAnsi="Arial" w:cs="Arial"/>
          <w:b/>
          <w:bCs/>
          <w:i/>
          <w:iCs/>
          <w:color w:val="000000" w:themeColor="text1"/>
          <w:sz w:val="24"/>
          <w:szCs w:val="24"/>
          <w:lang w:eastAsia="en-US"/>
        </w:rPr>
        <w:t>-</w:t>
      </w:r>
      <w:r w:rsidR="00E92B12" w:rsidRPr="007F56B9">
        <w:rPr>
          <w:rFonts w:ascii="Arial" w:eastAsia="Calibri" w:hAnsi="Arial" w:cs="Arial"/>
          <w:i/>
          <w:iCs/>
          <w:color w:val="000000" w:themeColor="text1"/>
          <w:sz w:val="24"/>
          <w:szCs w:val="24"/>
          <w:lang w:eastAsia="en-US"/>
        </w:rPr>
        <w:t xml:space="preserve">Se declara la </w:t>
      </w:r>
      <w:r w:rsidR="00E92B12" w:rsidRPr="007F56B9">
        <w:rPr>
          <w:rFonts w:ascii="Arial" w:eastAsia="Calibri" w:hAnsi="Arial" w:cs="Arial"/>
          <w:b/>
          <w:bCs/>
          <w:i/>
          <w:iCs/>
          <w:color w:val="000000" w:themeColor="text1"/>
          <w:sz w:val="24"/>
          <w:szCs w:val="24"/>
          <w:lang w:eastAsia="en-US"/>
        </w:rPr>
        <w:t>NULIDAD LISA Y LLANA</w:t>
      </w:r>
      <w:r w:rsidR="00E92B12" w:rsidRPr="007F56B9">
        <w:rPr>
          <w:rFonts w:ascii="Arial" w:eastAsia="Calibri" w:hAnsi="Arial" w:cs="Arial"/>
          <w:i/>
          <w:iCs/>
          <w:color w:val="000000" w:themeColor="text1"/>
          <w:sz w:val="24"/>
          <w:szCs w:val="24"/>
          <w:lang w:eastAsia="en-US"/>
        </w:rPr>
        <w:t xml:space="preserve"> del acuerdo de ejecutoria de diecinueve de octubre de dos mil dieciséis (19/10/2016), contenido en el oficio número SCTG/SRT/DRSP/RA-A/1137/2016 datado el veintisiete de octubre del dos mil dieciséis (27/10/2016), signado por el</w:t>
      </w:r>
      <w:r w:rsidR="001E22E5" w:rsidRPr="007F56B9">
        <w:rPr>
          <w:rFonts w:ascii="Arial" w:eastAsia="Calibri" w:hAnsi="Arial" w:cs="Arial"/>
          <w:i/>
          <w:iCs/>
          <w:color w:val="000000" w:themeColor="text1"/>
          <w:sz w:val="24"/>
          <w:szCs w:val="24"/>
          <w:lang w:eastAsia="en-US"/>
        </w:rPr>
        <w:t xml:space="preserve"> </w:t>
      </w:r>
      <w:r w:rsidR="00E92B12" w:rsidRPr="007F56B9">
        <w:rPr>
          <w:rFonts w:ascii="Arial" w:eastAsia="Calibri" w:hAnsi="Arial" w:cs="Arial"/>
          <w:i/>
          <w:iCs/>
          <w:color w:val="000000" w:themeColor="text1"/>
          <w:sz w:val="24"/>
          <w:szCs w:val="24"/>
          <w:lang w:eastAsia="en-US"/>
        </w:rPr>
        <w:t>Jefe del Departamento de Responsabilidades Administrativas ‘’A’’ de la S</w:t>
      </w:r>
      <w:r w:rsidR="006810CE" w:rsidRPr="007F56B9">
        <w:rPr>
          <w:rFonts w:ascii="Arial" w:eastAsia="Calibri" w:hAnsi="Arial" w:cs="Arial"/>
          <w:i/>
          <w:iCs/>
          <w:color w:val="000000" w:themeColor="text1"/>
          <w:sz w:val="24"/>
          <w:szCs w:val="24"/>
          <w:lang w:eastAsia="en-US"/>
        </w:rPr>
        <w:t>ubs</w:t>
      </w:r>
      <w:r w:rsidR="00E92B12" w:rsidRPr="007F56B9">
        <w:rPr>
          <w:rFonts w:ascii="Arial" w:eastAsia="Calibri" w:hAnsi="Arial" w:cs="Arial"/>
          <w:i/>
          <w:iCs/>
          <w:color w:val="000000" w:themeColor="text1"/>
          <w:sz w:val="24"/>
          <w:szCs w:val="24"/>
          <w:lang w:eastAsia="en-US"/>
        </w:rPr>
        <w:t>ecretaría de</w:t>
      </w:r>
      <w:r w:rsidR="006810CE" w:rsidRPr="007F56B9">
        <w:rPr>
          <w:rFonts w:ascii="Arial" w:eastAsia="Calibri" w:hAnsi="Arial" w:cs="Arial"/>
          <w:i/>
          <w:iCs/>
          <w:color w:val="000000" w:themeColor="text1"/>
          <w:sz w:val="24"/>
          <w:szCs w:val="24"/>
          <w:lang w:eastAsia="en-US"/>
        </w:rPr>
        <w:t xml:space="preserve"> Responsabilidades y Transparencia de la Secretaría de </w:t>
      </w:r>
      <w:r w:rsidR="00E92B12" w:rsidRPr="007F56B9">
        <w:rPr>
          <w:rFonts w:ascii="Arial" w:eastAsia="Calibri" w:hAnsi="Arial" w:cs="Arial"/>
          <w:i/>
          <w:iCs/>
          <w:color w:val="000000" w:themeColor="text1"/>
          <w:sz w:val="24"/>
          <w:szCs w:val="24"/>
          <w:lang w:eastAsia="en-US"/>
        </w:rPr>
        <w:t>la Contraloría y Transparencia Gubernamental, por las razones vertidas en el Considerando Cuarto de esta sentencia</w:t>
      </w:r>
      <w:r w:rsidRPr="007F56B9">
        <w:rPr>
          <w:rFonts w:ascii="Arial" w:eastAsia="Calibri" w:hAnsi="Arial" w:cs="Arial"/>
          <w:bCs/>
          <w:i/>
          <w:iCs/>
          <w:color w:val="000000" w:themeColor="text1"/>
          <w:sz w:val="24"/>
          <w:szCs w:val="24"/>
          <w:lang w:eastAsia="en-US"/>
        </w:rPr>
        <w:t>.</w:t>
      </w:r>
      <w:r w:rsidR="006810CE" w:rsidRPr="007F56B9">
        <w:rPr>
          <w:rFonts w:ascii="Arial" w:eastAsia="Calibri" w:hAnsi="Arial" w:cs="Arial"/>
          <w:bCs/>
          <w:i/>
          <w:iCs/>
          <w:color w:val="000000" w:themeColor="text1"/>
          <w:sz w:val="24"/>
          <w:szCs w:val="24"/>
          <w:lang w:eastAsia="en-US"/>
        </w:rPr>
        <w:t xml:space="preserve"> - - - - - - - - - - - - - - - - - - - - - - - - - - - - - - - - - - </w:t>
      </w:r>
      <w:r w:rsidR="00565BED" w:rsidRPr="007F56B9">
        <w:rPr>
          <w:rFonts w:ascii="Arial" w:eastAsia="Calibri" w:hAnsi="Arial" w:cs="Arial"/>
          <w:bCs/>
          <w:i/>
          <w:iCs/>
          <w:color w:val="000000" w:themeColor="text1"/>
          <w:sz w:val="24"/>
          <w:szCs w:val="24"/>
          <w:lang w:eastAsia="en-US"/>
        </w:rPr>
        <w:t>- - - -</w:t>
      </w:r>
    </w:p>
    <w:p w14:paraId="600FB0B7" w14:textId="77777777" w:rsidR="006810CE" w:rsidRPr="007F56B9" w:rsidRDefault="006810CE" w:rsidP="00565BED">
      <w:pPr>
        <w:spacing w:after="0"/>
        <w:ind w:left="1134" w:right="474"/>
        <w:jc w:val="both"/>
        <w:rPr>
          <w:rFonts w:ascii="Arial" w:eastAsia="Calibri" w:hAnsi="Arial" w:cs="Arial"/>
          <w:bCs/>
          <w:i/>
          <w:iCs/>
          <w:color w:val="000000" w:themeColor="text1"/>
          <w:sz w:val="24"/>
          <w:szCs w:val="24"/>
          <w:lang w:eastAsia="en-US"/>
        </w:rPr>
      </w:pPr>
    </w:p>
    <w:p w14:paraId="5D7A02B5" w14:textId="0E69E18E" w:rsidR="00E92B12" w:rsidRPr="007F56B9" w:rsidRDefault="00E92B12" w:rsidP="00565BED">
      <w:pPr>
        <w:spacing w:after="0"/>
        <w:ind w:left="1134" w:right="474"/>
        <w:jc w:val="both"/>
        <w:rPr>
          <w:rFonts w:ascii="Arial" w:eastAsia="Calibri" w:hAnsi="Arial" w:cs="Arial"/>
          <w:bCs/>
          <w:i/>
          <w:iCs/>
          <w:color w:val="000000" w:themeColor="text1"/>
          <w:sz w:val="24"/>
          <w:szCs w:val="24"/>
          <w:lang w:eastAsia="en-US"/>
        </w:rPr>
      </w:pPr>
      <w:r w:rsidRPr="007F56B9">
        <w:rPr>
          <w:rFonts w:ascii="Arial" w:eastAsia="Calibri" w:hAnsi="Arial" w:cs="Arial"/>
          <w:b/>
          <w:i/>
          <w:iCs/>
          <w:color w:val="000000" w:themeColor="text1"/>
          <w:sz w:val="24"/>
          <w:szCs w:val="24"/>
          <w:lang w:eastAsia="en-US"/>
        </w:rPr>
        <w:t>QUINTO.-</w:t>
      </w:r>
      <w:r w:rsidRPr="007F56B9">
        <w:rPr>
          <w:rFonts w:ascii="Arial" w:eastAsia="Calibri" w:hAnsi="Arial" w:cs="Arial"/>
          <w:bCs/>
          <w:i/>
          <w:iCs/>
          <w:color w:val="000000" w:themeColor="text1"/>
          <w:sz w:val="24"/>
          <w:szCs w:val="24"/>
          <w:lang w:eastAsia="en-US"/>
        </w:rPr>
        <w:t xml:space="preserve"> Se declara la </w:t>
      </w:r>
      <w:r w:rsidRPr="007F56B9">
        <w:rPr>
          <w:rFonts w:ascii="Arial" w:eastAsia="Calibri" w:hAnsi="Arial" w:cs="Arial"/>
          <w:b/>
          <w:i/>
          <w:iCs/>
          <w:color w:val="000000" w:themeColor="text1"/>
          <w:sz w:val="24"/>
          <w:szCs w:val="24"/>
          <w:lang w:eastAsia="en-US"/>
        </w:rPr>
        <w:t>NULIDAD</w:t>
      </w:r>
      <w:r w:rsidRPr="007F56B9">
        <w:rPr>
          <w:rFonts w:ascii="Arial" w:eastAsia="Calibri" w:hAnsi="Arial" w:cs="Arial"/>
          <w:bCs/>
          <w:i/>
          <w:iCs/>
          <w:color w:val="000000" w:themeColor="text1"/>
          <w:sz w:val="24"/>
          <w:szCs w:val="24"/>
          <w:lang w:eastAsia="en-US"/>
        </w:rPr>
        <w:t xml:space="preserve"> de la resolución de veintinueve de julio de dos mil dieciséis, emitida en el Recurso de Revocación 08/2016 por el </w:t>
      </w:r>
      <w:r w:rsidRPr="007F56B9">
        <w:rPr>
          <w:rFonts w:ascii="Arial" w:eastAsia="Calibri" w:hAnsi="Arial" w:cs="Arial"/>
          <w:b/>
          <w:i/>
          <w:iCs/>
          <w:color w:val="000000" w:themeColor="text1"/>
          <w:sz w:val="24"/>
          <w:szCs w:val="24"/>
          <w:lang w:eastAsia="en-US"/>
        </w:rPr>
        <w:t xml:space="preserve">JEFE DE LA UNIDAD AUXILIAR Y DE RECURSOS DE LA SUBSECRETARÍA DE RESPONSABILIDADES Y TRANSPARENCIA, </w:t>
      </w:r>
      <w:r w:rsidRPr="007F56B9">
        <w:rPr>
          <w:rFonts w:ascii="Arial" w:eastAsia="Calibri" w:hAnsi="Arial" w:cs="Arial"/>
          <w:bCs/>
          <w:i/>
          <w:iCs/>
          <w:color w:val="000000" w:themeColor="text1"/>
          <w:sz w:val="24"/>
          <w:szCs w:val="24"/>
          <w:lang w:eastAsia="en-US"/>
        </w:rPr>
        <w:t>para los efectos precisados en el Considerando Quinto del presente fallo.</w:t>
      </w:r>
      <w:r w:rsidR="006810CE" w:rsidRPr="007F56B9">
        <w:rPr>
          <w:rFonts w:ascii="Arial" w:eastAsia="Calibri" w:hAnsi="Arial" w:cs="Arial"/>
          <w:bCs/>
          <w:i/>
          <w:iCs/>
          <w:color w:val="000000" w:themeColor="text1"/>
          <w:sz w:val="24"/>
          <w:szCs w:val="24"/>
          <w:lang w:eastAsia="en-US"/>
        </w:rPr>
        <w:t xml:space="preserve"> - - - - - - - - - - - - -</w:t>
      </w:r>
      <w:r w:rsidR="00565BED" w:rsidRPr="007F56B9">
        <w:rPr>
          <w:rFonts w:ascii="Arial" w:eastAsia="Calibri" w:hAnsi="Arial" w:cs="Arial"/>
          <w:bCs/>
          <w:i/>
          <w:iCs/>
          <w:color w:val="000000" w:themeColor="text1"/>
          <w:sz w:val="24"/>
          <w:szCs w:val="24"/>
          <w:lang w:eastAsia="en-US"/>
        </w:rPr>
        <w:t xml:space="preserve"> - - - - - - - - - - - - - - - - - - - - - - - - - - - - -</w:t>
      </w:r>
    </w:p>
    <w:p w14:paraId="0018D5AC" w14:textId="53C9D0EB" w:rsidR="00E92B12" w:rsidRPr="007F56B9" w:rsidRDefault="00E92B12" w:rsidP="00565BED">
      <w:pPr>
        <w:spacing w:after="0"/>
        <w:ind w:left="1134" w:right="474"/>
        <w:jc w:val="both"/>
        <w:rPr>
          <w:rFonts w:ascii="Arial" w:eastAsia="Calibri" w:hAnsi="Arial" w:cs="Arial"/>
          <w:bCs/>
          <w:i/>
          <w:iCs/>
          <w:color w:val="000000" w:themeColor="text1"/>
          <w:sz w:val="24"/>
          <w:szCs w:val="24"/>
          <w:lang w:eastAsia="en-US"/>
        </w:rPr>
      </w:pPr>
    </w:p>
    <w:p w14:paraId="0060B260" w14:textId="1064E003" w:rsidR="00E92B12" w:rsidRPr="007F56B9" w:rsidRDefault="00E92B12" w:rsidP="00565BED">
      <w:pPr>
        <w:spacing w:after="0"/>
        <w:ind w:left="1134" w:right="474"/>
        <w:jc w:val="both"/>
        <w:rPr>
          <w:rFonts w:ascii="Arial" w:eastAsia="Calibri" w:hAnsi="Arial" w:cs="Arial"/>
          <w:bCs/>
          <w:i/>
          <w:iCs/>
          <w:color w:val="000000" w:themeColor="text1"/>
          <w:sz w:val="24"/>
          <w:szCs w:val="24"/>
          <w:lang w:eastAsia="en-US"/>
        </w:rPr>
      </w:pPr>
      <w:r w:rsidRPr="007F56B9">
        <w:rPr>
          <w:rFonts w:ascii="Arial" w:eastAsia="Calibri" w:hAnsi="Arial" w:cs="Arial"/>
          <w:b/>
          <w:i/>
          <w:iCs/>
          <w:color w:val="000000" w:themeColor="text1"/>
          <w:sz w:val="24"/>
          <w:szCs w:val="24"/>
          <w:lang w:eastAsia="en-US"/>
        </w:rPr>
        <w:t>SEXTO.-</w:t>
      </w:r>
      <w:r w:rsidRPr="007F56B9">
        <w:rPr>
          <w:rFonts w:ascii="Arial" w:eastAsia="Calibri" w:hAnsi="Arial" w:cs="Arial"/>
          <w:bCs/>
          <w:i/>
          <w:iCs/>
          <w:color w:val="000000" w:themeColor="text1"/>
          <w:sz w:val="24"/>
          <w:szCs w:val="24"/>
          <w:lang w:eastAsia="en-US"/>
        </w:rPr>
        <w:t xml:space="preserve"> NOTIFÍQUESE personalmente a la parte actora y por oficio a las autoridades demandadas</w:t>
      </w:r>
      <w:r w:rsidR="001E22E5" w:rsidRPr="007F56B9">
        <w:rPr>
          <w:rFonts w:ascii="Arial" w:eastAsia="Calibri" w:hAnsi="Arial" w:cs="Arial"/>
          <w:bCs/>
          <w:i/>
          <w:iCs/>
          <w:color w:val="000000" w:themeColor="text1"/>
          <w:sz w:val="24"/>
          <w:szCs w:val="24"/>
          <w:lang w:eastAsia="en-US"/>
        </w:rPr>
        <w:t xml:space="preserve">, de conformidad con lo establecido en los artículos 140, 142 y 143 de la Ley de Justicia Administrativa para el Estado de Oaxaca, vigente al veinte de octubre de dos mil diecisiete (20/10/2017). </w:t>
      </w:r>
      <w:r w:rsidR="001E22E5" w:rsidRPr="007F56B9">
        <w:rPr>
          <w:rFonts w:ascii="Arial" w:eastAsia="Calibri" w:hAnsi="Arial" w:cs="Arial"/>
          <w:b/>
          <w:i/>
          <w:iCs/>
          <w:color w:val="000000" w:themeColor="text1"/>
          <w:sz w:val="24"/>
          <w:szCs w:val="24"/>
          <w:lang w:eastAsia="en-US"/>
        </w:rPr>
        <w:t>CÚMPLASE</w:t>
      </w:r>
      <w:r w:rsidR="001E22E5" w:rsidRPr="007F56B9">
        <w:rPr>
          <w:rFonts w:ascii="Arial" w:eastAsia="Calibri" w:hAnsi="Arial" w:cs="Arial"/>
          <w:bCs/>
          <w:i/>
          <w:iCs/>
          <w:color w:val="000000" w:themeColor="text1"/>
          <w:sz w:val="24"/>
          <w:szCs w:val="24"/>
          <w:lang w:eastAsia="en-US"/>
        </w:rPr>
        <w:t>.’’</w:t>
      </w:r>
      <w:r w:rsidR="006810CE" w:rsidRPr="007F56B9">
        <w:rPr>
          <w:rFonts w:ascii="Arial" w:eastAsia="Calibri" w:hAnsi="Arial" w:cs="Arial"/>
          <w:bCs/>
          <w:i/>
          <w:iCs/>
          <w:color w:val="000000" w:themeColor="text1"/>
          <w:sz w:val="24"/>
          <w:szCs w:val="24"/>
          <w:lang w:eastAsia="en-US"/>
        </w:rPr>
        <w:t xml:space="preserve"> - - - - </w:t>
      </w:r>
    </w:p>
    <w:p w14:paraId="780EC69C" w14:textId="77777777" w:rsidR="00A20C8D" w:rsidRPr="007F56B9" w:rsidRDefault="00A20C8D" w:rsidP="00565BED">
      <w:pPr>
        <w:spacing w:after="0" w:line="360" w:lineRule="auto"/>
        <w:rPr>
          <w:rFonts w:ascii="Arial" w:eastAsia="Times New Roman" w:hAnsi="Arial" w:cs="Arial"/>
          <w:b/>
          <w:bCs/>
          <w:color w:val="000000" w:themeColor="text1"/>
          <w:sz w:val="26"/>
          <w:szCs w:val="26"/>
          <w:lang w:val="es-ES" w:eastAsia="es-ES"/>
        </w:rPr>
      </w:pPr>
    </w:p>
    <w:p w14:paraId="09D9EBE3" w14:textId="3B36F2C5" w:rsidR="00561E8A" w:rsidRPr="007F56B9" w:rsidRDefault="0069649D" w:rsidP="00A20C8D">
      <w:pPr>
        <w:spacing w:after="0" w:line="360" w:lineRule="auto"/>
        <w:ind w:left="72"/>
        <w:jc w:val="center"/>
        <w:rPr>
          <w:rFonts w:ascii="Arial" w:eastAsia="Times New Roman" w:hAnsi="Arial" w:cs="Arial"/>
          <w:b/>
          <w:bCs/>
          <w:color w:val="000000" w:themeColor="text1"/>
          <w:sz w:val="26"/>
          <w:szCs w:val="26"/>
          <w:lang w:val="es-ES" w:eastAsia="es-ES"/>
        </w:rPr>
      </w:pPr>
      <w:r w:rsidRPr="007F56B9">
        <w:rPr>
          <w:rFonts w:ascii="Arial" w:eastAsia="Times New Roman" w:hAnsi="Arial" w:cs="Arial"/>
          <w:b/>
          <w:bCs/>
          <w:color w:val="000000" w:themeColor="text1"/>
          <w:sz w:val="26"/>
          <w:szCs w:val="26"/>
          <w:lang w:val="es-ES" w:eastAsia="es-ES"/>
        </w:rPr>
        <w:t xml:space="preserve"> </w:t>
      </w:r>
      <w:r w:rsidR="006D1DB2" w:rsidRPr="007F56B9">
        <w:rPr>
          <w:rFonts w:ascii="Arial" w:eastAsia="Times New Roman" w:hAnsi="Arial" w:cs="Arial"/>
          <w:b/>
          <w:bCs/>
          <w:color w:val="000000" w:themeColor="text1"/>
          <w:sz w:val="26"/>
          <w:szCs w:val="26"/>
          <w:lang w:val="es-ES" w:eastAsia="es-ES"/>
        </w:rPr>
        <w:t>C O N S I D E R A N D O</w:t>
      </w:r>
      <w:r w:rsidR="00565BED" w:rsidRPr="007F56B9">
        <w:rPr>
          <w:rFonts w:ascii="Arial" w:eastAsia="Times New Roman" w:hAnsi="Arial" w:cs="Arial"/>
          <w:b/>
          <w:bCs/>
          <w:color w:val="000000" w:themeColor="text1"/>
          <w:sz w:val="26"/>
          <w:szCs w:val="26"/>
          <w:lang w:val="es-ES" w:eastAsia="es-ES"/>
        </w:rPr>
        <w:t xml:space="preserve"> S</w:t>
      </w:r>
    </w:p>
    <w:p w14:paraId="460C51B9" w14:textId="77777777" w:rsidR="00565BED" w:rsidRPr="007F56B9" w:rsidRDefault="00565BED" w:rsidP="00A20C8D">
      <w:pPr>
        <w:spacing w:after="0" w:line="360" w:lineRule="auto"/>
        <w:ind w:left="72"/>
        <w:jc w:val="center"/>
        <w:rPr>
          <w:rFonts w:ascii="Arial" w:eastAsia="Times New Roman" w:hAnsi="Arial" w:cs="Arial"/>
          <w:b/>
          <w:bCs/>
          <w:color w:val="000000" w:themeColor="text1"/>
          <w:sz w:val="26"/>
          <w:szCs w:val="26"/>
          <w:lang w:val="es-ES" w:eastAsia="es-ES"/>
        </w:rPr>
      </w:pPr>
    </w:p>
    <w:p w14:paraId="1917FC0C" w14:textId="6CA6142F" w:rsidR="00561E8A" w:rsidRPr="007F56B9" w:rsidRDefault="00561E8A" w:rsidP="00561E8A">
      <w:pPr>
        <w:spacing w:after="0" w:line="360" w:lineRule="auto"/>
        <w:ind w:left="74"/>
        <w:jc w:val="both"/>
        <w:rPr>
          <w:rFonts w:ascii="Arial" w:hAnsi="Arial" w:cs="Arial"/>
          <w:color w:val="000000" w:themeColor="text1"/>
          <w:sz w:val="26"/>
          <w:szCs w:val="26"/>
        </w:rPr>
      </w:pPr>
      <w:r w:rsidRPr="007F56B9">
        <w:rPr>
          <w:rFonts w:ascii="Arial" w:eastAsia="Times New Roman" w:hAnsi="Arial" w:cs="Arial"/>
          <w:b/>
          <w:bCs/>
          <w:color w:val="000000" w:themeColor="text1"/>
          <w:sz w:val="26"/>
          <w:szCs w:val="26"/>
          <w:lang w:val="es-ES" w:eastAsia="es-ES"/>
        </w:rPr>
        <w:tab/>
      </w:r>
      <w:r w:rsidR="006D1DB2" w:rsidRPr="007F56B9">
        <w:rPr>
          <w:rFonts w:ascii="Arial" w:eastAsiaTheme="minorHAnsi" w:hAnsi="Arial" w:cs="Arial"/>
          <w:b/>
          <w:bCs/>
          <w:iCs/>
          <w:color w:val="000000" w:themeColor="text1"/>
          <w:sz w:val="26"/>
          <w:szCs w:val="26"/>
          <w:lang w:eastAsia="en-US"/>
        </w:rPr>
        <w:t xml:space="preserve">PRIMERO. </w:t>
      </w:r>
      <w:r w:rsidR="0069649D" w:rsidRPr="007F56B9">
        <w:rPr>
          <w:rFonts w:ascii="Arial" w:hAnsi="Arial" w:cs="Arial"/>
          <w:bCs/>
          <w:iCs/>
          <w:color w:val="000000" w:themeColor="text1"/>
          <w:sz w:val="26"/>
          <w:szCs w:val="26"/>
        </w:rPr>
        <w:t>Esta Sala Superior es competente para conocer del presente asunto, de conformidad con lo dispuesto por los artículos 114</w:t>
      </w:r>
      <w:r w:rsidR="006B51C3" w:rsidRPr="007F56B9">
        <w:rPr>
          <w:rFonts w:ascii="Arial" w:hAnsi="Arial" w:cs="Arial"/>
          <w:bCs/>
          <w:iCs/>
          <w:color w:val="000000" w:themeColor="text1"/>
          <w:sz w:val="26"/>
          <w:szCs w:val="26"/>
        </w:rPr>
        <w:t>,</w:t>
      </w:r>
      <w:r w:rsidR="0069649D" w:rsidRPr="007F56B9">
        <w:rPr>
          <w:rFonts w:ascii="Arial" w:hAnsi="Arial" w:cs="Arial"/>
          <w:bCs/>
          <w:iCs/>
          <w:color w:val="000000" w:themeColor="text1"/>
          <w:sz w:val="26"/>
          <w:szCs w:val="26"/>
        </w:rPr>
        <w:t xml:space="preserve"> </w:t>
      </w:r>
      <w:r w:rsidR="00A375E6" w:rsidRPr="007F56B9">
        <w:rPr>
          <w:rFonts w:ascii="Arial" w:hAnsi="Arial" w:cs="Arial"/>
          <w:bCs/>
          <w:iCs/>
          <w:color w:val="000000" w:themeColor="text1"/>
          <w:sz w:val="26"/>
          <w:szCs w:val="26"/>
        </w:rPr>
        <w:t>QUÁTER</w:t>
      </w:r>
      <w:r w:rsidR="006B51C3" w:rsidRPr="007F56B9">
        <w:rPr>
          <w:rFonts w:ascii="Arial" w:hAnsi="Arial" w:cs="Arial"/>
          <w:bCs/>
          <w:iCs/>
          <w:color w:val="000000" w:themeColor="text1"/>
          <w:sz w:val="26"/>
          <w:szCs w:val="26"/>
        </w:rPr>
        <w:t>,</w:t>
      </w:r>
      <w:r w:rsidR="0069649D" w:rsidRPr="007F56B9">
        <w:rPr>
          <w:rFonts w:ascii="Arial" w:hAnsi="Arial" w:cs="Arial"/>
          <w:bCs/>
          <w:iCs/>
          <w:color w:val="000000" w:themeColor="text1"/>
          <w:sz w:val="26"/>
          <w:szCs w:val="26"/>
        </w:rPr>
        <w:t xml:space="preserve"> de la Constitución Política del Estado Libre y Soberano de Oaxaca; 1</w:t>
      </w:r>
      <w:r w:rsidR="006B51C3" w:rsidRPr="007F56B9">
        <w:rPr>
          <w:rFonts w:ascii="Arial" w:hAnsi="Arial" w:cs="Arial"/>
          <w:bCs/>
          <w:iCs/>
          <w:color w:val="000000" w:themeColor="text1"/>
          <w:sz w:val="26"/>
          <w:szCs w:val="26"/>
        </w:rPr>
        <w:t>,</w:t>
      </w:r>
      <w:r w:rsidR="0069649D" w:rsidRPr="007F56B9">
        <w:rPr>
          <w:rFonts w:ascii="Arial" w:hAnsi="Arial" w:cs="Arial"/>
          <w:bCs/>
          <w:iCs/>
          <w:color w:val="000000" w:themeColor="text1"/>
          <w:sz w:val="26"/>
          <w:szCs w:val="26"/>
        </w:rPr>
        <w:t xml:space="preserve"> párrafo segundo, 2</w:t>
      </w:r>
      <w:r w:rsidR="006B51C3" w:rsidRPr="007F56B9">
        <w:rPr>
          <w:rFonts w:ascii="Arial" w:hAnsi="Arial" w:cs="Arial"/>
          <w:bCs/>
          <w:iCs/>
          <w:color w:val="000000" w:themeColor="text1"/>
          <w:sz w:val="26"/>
          <w:szCs w:val="26"/>
        </w:rPr>
        <w:t>,</w:t>
      </w:r>
      <w:r w:rsidR="0069649D" w:rsidRPr="007F56B9">
        <w:rPr>
          <w:rFonts w:ascii="Arial" w:hAnsi="Arial" w:cs="Arial"/>
          <w:bCs/>
          <w:iCs/>
          <w:color w:val="000000" w:themeColor="text1"/>
          <w:sz w:val="26"/>
          <w:szCs w:val="26"/>
        </w:rPr>
        <w:t xml:space="preserve"> párrafos primero y cuarto, 4</w:t>
      </w:r>
      <w:r w:rsidR="006B51C3" w:rsidRPr="007F56B9">
        <w:rPr>
          <w:rFonts w:ascii="Arial" w:hAnsi="Arial" w:cs="Arial"/>
          <w:bCs/>
          <w:iCs/>
          <w:color w:val="000000" w:themeColor="text1"/>
          <w:sz w:val="26"/>
          <w:szCs w:val="26"/>
        </w:rPr>
        <w:t>,</w:t>
      </w:r>
      <w:r w:rsidR="0069649D" w:rsidRPr="007F56B9">
        <w:rPr>
          <w:rFonts w:ascii="Arial" w:hAnsi="Arial" w:cs="Arial"/>
          <w:bCs/>
          <w:iCs/>
          <w:color w:val="000000" w:themeColor="text1"/>
          <w:sz w:val="26"/>
          <w:szCs w:val="26"/>
        </w:rPr>
        <w:t xml:space="preserve"> fracción VIII, 23, 24</w:t>
      </w:r>
      <w:r w:rsidR="006B51C3" w:rsidRPr="007F56B9">
        <w:rPr>
          <w:rFonts w:ascii="Arial" w:hAnsi="Arial" w:cs="Arial"/>
          <w:bCs/>
          <w:iCs/>
          <w:color w:val="000000" w:themeColor="text1"/>
          <w:sz w:val="26"/>
          <w:szCs w:val="26"/>
        </w:rPr>
        <w:t>,</w:t>
      </w:r>
      <w:r w:rsidR="0069649D" w:rsidRPr="007F56B9">
        <w:rPr>
          <w:rFonts w:ascii="Arial" w:hAnsi="Arial" w:cs="Arial"/>
          <w:bCs/>
          <w:iCs/>
          <w:color w:val="000000" w:themeColor="text1"/>
          <w:sz w:val="26"/>
          <w:szCs w:val="26"/>
        </w:rPr>
        <w:t xml:space="preserve"> fracción I, 25</w:t>
      </w:r>
      <w:r w:rsidR="006B51C3" w:rsidRPr="007F56B9">
        <w:rPr>
          <w:rFonts w:ascii="Arial" w:hAnsi="Arial" w:cs="Arial"/>
          <w:bCs/>
          <w:iCs/>
          <w:color w:val="000000" w:themeColor="text1"/>
          <w:sz w:val="26"/>
          <w:szCs w:val="26"/>
        </w:rPr>
        <w:t>,</w:t>
      </w:r>
      <w:r w:rsidR="0069649D" w:rsidRPr="007F56B9">
        <w:rPr>
          <w:rFonts w:ascii="Arial" w:hAnsi="Arial" w:cs="Arial"/>
          <w:bCs/>
          <w:iCs/>
          <w:color w:val="000000" w:themeColor="text1"/>
          <w:sz w:val="26"/>
          <w:szCs w:val="26"/>
        </w:rPr>
        <w:t xml:space="preserve"> fracción I y 27</w:t>
      </w:r>
      <w:r w:rsidR="006B51C3" w:rsidRPr="007F56B9">
        <w:rPr>
          <w:rFonts w:ascii="Arial" w:hAnsi="Arial" w:cs="Arial"/>
          <w:bCs/>
          <w:iCs/>
          <w:color w:val="000000" w:themeColor="text1"/>
          <w:sz w:val="26"/>
          <w:szCs w:val="26"/>
        </w:rPr>
        <w:t>,</w:t>
      </w:r>
      <w:r w:rsidR="0069649D" w:rsidRPr="007F56B9">
        <w:rPr>
          <w:rFonts w:ascii="Arial" w:hAnsi="Arial" w:cs="Arial"/>
          <w:bCs/>
          <w:iCs/>
          <w:color w:val="000000" w:themeColor="text1"/>
          <w:sz w:val="26"/>
          <w:szCs w:val="26"/>
        </w:rPr>
        <w:t xml:space="preserve"> de la Ley Orgánica del Tribunal de Justicia Administrativa del Estado de Oaxaca, publicada en el Periódico Oficial del Estado de Oaxaca el </w:t>
      </w:r>
      <w:r w:rsidR="006B51C3" w:rsidRPr="007F56B9">
        <w:rPr>
          <w:rFonts w:ascii="Arial" w:hAnsi="Arial" w:cs="Arial"/>
          <w:bCs/>
          <w:iCs/>
          <w:color w:val="000000" w:themeColor="text1"/>
          <w:sz w:val="26"/>
          <w:szCs w:val="26"/>
        </w:rPr>
        <w:t xml:space="preserve">7 </w:t>
      </w:r>
      <w:r w:rsidR="0069649D" w:rsidRPr="007F56B9">
        <w:rPr>
          <w:rFonts w:ascii="Arial" w:hAnsi="Arial" w:cs="Arial"/>
          <w:bCs/>
          <w:iCs/>
          <w:color w:val="000000" w:themeColor="text1"/>
          <w:sz w:val="26"/>
          <w:szCs w:val="26"/>
        </w:rPr>
        <w:t xml:space="preserve">siete de noviembre de </w:t>
      </w:r>
      <w:r w:rsidR="006B51C3" w:rsidRPr="007F56B9">
        <w:rPr>
          <w:rFonts w:ascii="Arial" w:hAnsi="Arial" w:cs="Arial"/>
          <w:bCs/>
          <w:iCs/>
          <w:color w:val="000000" w:themeColor="text1"/>
          <w:sz w:val="26"/>
          <w:szCs w:val="26"/>
        </w:rPr>
        <w:t xml:space="preserve">2019 </w:t>
      </w:r>
      <w:r w:rsidR="0069649D" w:rsidRPr="007F56B9">
        <w:rPr>
          <w:rFonts w:ascii="Arial" w:hAnsi="Arial" w:cs="Arial"/>
          <w:bCs/>
          <w:iCs/>
          <w:color w:val="000000" w:themeColor="text1"/>
          <w:sz w:val="26"/>
          <w:szCs w:val="26"/>
        </w:rPr>
        <w:t xml:space="preserve">dos mil diecinueve; así como los diversos </w:t>
      </w:r>
      <w:r w:rsidR="004B712A" w:rsidRPr="007F56B9">
        <w:rPr>
          <w:rFonts w:ascii="Arial" w:hAnsi="Arial" w:cs="Arial"/>
          <w:bCs/>
          <w:iCs/>
          <w:color w:val="000000" w:themeColor="text1"/>
          <w:sz w:val="26"/>
          <w:szCs w:val="26"/>
        </w:rPr>
        <w:t xml:space="preserve">86, 88, 92, 93, fracción I, 94, </w:t>
      </w:r>
      <w:r w:rsidR="004B712A" w:rsidRPr="007F56B9">
        <w:rPr>
          <w:rFonts w:ascii="Arial" w:hAnsi="Arial" w:cs="Arial"/>
          <w:bCs/>
          <w:iCs/>
          <w:color w:val="000000" w:themeColor="text1"/>
          <w:sz w:val="26"/>
          <w:szCs w:val="26"/>
        </w:rPr>
        <w:lastRenderedPageBreak/>
        <w:t>201, 206</w:t>
      </w:r>
      <w:r w:rsidR="009F2EEE" w:rsidRPr="007F56B9">
        <w:rPr>
          <w:rFonts w:ascii="Arial" w:hAnsi="Arial" w:cs="Arial"/>
          <w:bCs/>
          <w:iCs/>
          <w:color w:val="000000" w:themeColor="text1"/>
          <w:sz w:val="26"/>
          <w:szCs w:val="26"/>
        </w:rPr>
        <w:t xml:space="preserve">, fracción </w:t>
      </w:r>
      <w:r w:rsidR="00565BED" w:rsidRPr="007F56B9">
        <w:rPr>
          <w:rFonts w:ascii="Arial" w:hAnsi="Arial" w:cs="Arial"/>
          <w:bCs/>
          <w:iCs/>
          <w:color w:val="000000" w:themeColor="text1"/>
          <w:sz w:val="26"/>
          <w:szCs w:val="26"/>
        </w:rPr>
        <w:t>VII</w:t>
      </w:r>
      <w:r w:rsidR="009F2EEE" w:rsidRPr="007F56B9">
        <w:rPr>
          <w:rFonts w:ascii="Arial" w:hAnsi="Arial" w:cs="Arial"/>
          <w:bCs/>
          <w:iCs/>
          <w:color w:val="000000" w:themeColor="text1"/>
          <w:sz w:val="26"/>
          <w:szCs w:val="26"/>
        </w:rPr>
        <w:t xml:space="preserve"> </w:t>
      </w:r>
      <w:r w:rsidR="004B712A" w:rsidRPr="007F56B9">
        <w:rPr>
          <w:rFonts w:ascii="Arial" w:hAnsi="Arial" w:cs="Arial"/>
          <w:bCs/>
          <w:iCs/>
          <w:color w:val="000000" w:themeColor="text1"/>
          <w:sz w:val="26"/>
          <w:szCs w:val="26"/>
        </w:rPr>
        <w:t xml:space="preserve">y 208, de la Ley de Justicia Administrativa para el Estado de </w:t>
      </w:r>
      <w:r w:rsidR="009F2EEE" w:rsidRPr="007F56B9">
        <w:rPr>
          <w:rFonts w:ascii="Arial" w:hAnsi="Arial" w:cs="Arial"/>
          <w:bCs/>
          <w:iCs/>
          <w:color w:val="000000" w:themeColor="text1"/>
          <w:sz w:val="26"/>
          <w:szCs w:val="26"/>
        </w:rPr>
        <w:t xml:space="preserve">Oaxaca, aplicable por ser la que estaba vigente al inicio del juicio principal, al tratarse de un </w:t>
      </w:r>
      <w:r w:rsidR="006B51C3" w:rsidRPr="007F56B9">
        <w:rPr>
          <w:rFonts w:ascii="Arial" w:hAnsi="Arial" w:cs="Arial"/>
          <w:bCs/>
          <w:iCs/>
          <w:color w:val="000000" w:themeColor="text1"/>
          <w:sz w:val="26"/>
          <w:szCs w:val="26"/>
        </w:rPr>
        <w:t>r</w:t>
      </w:r>
      <w:r w:rsidR="0069649D" w:rsidRPr="007F56B9">
        <w:rPr>
          <w:rFonts w:ascii="Arial" w:hAnsi="Arial" w:cs="Arial"/>
          <w:bCs/>
          <w:iCs/>
          <w:color w:val="000000" w:themeColor="text1"/>
          <w:sz w:val="26"/>
          <w:szCs w:val="26"/>
        </w:rPr>
        <w:t xml:space="preserve">ecurso de </w:t>
      </w:r>
      <w:r w:rsidR="002F41B8" w:rsidRPr="007F56B9">
        <w:rPr>
          <w:rFonts w:ascii="Arial" w:hAnsi="Arial" w:cs="Arial"/>
          <w:bCs/>
          <w:iCs/>
          <w:color w:val="000000" w:themeColor="text1"/>
          <w:sz w:val="26"/>
          <w:szCs w:val="26"/>
        </w:rPr>
        <w:t>r</w:t>
      </w:r>
      <w:r w:rsidR="0069649D" w:rsidRPr="007F56B9">
        <w:rPr>
          <w:rFonts w:ascii="Arial" w:hAnsi="Arial" w:cs="Arial"/>
          <w:bCs/>
          <w:iCs/>
          <w:color w:val="000000" w:themeColor="text1"/>
          <w:sz w:val="26"/>
          <w:szCs w:val="26"/>
        </w:rPr>
        <w:t xml:space="preserve">evisión interpuesto en contra de la sentencia de </w:t>
      </w:r>
      <w:r w:rsidR="002F41B8" w:rsidRPr="007F56B9">
        <w:rPr>
          <w:rFonts w:ascii="Arial" w:hAnsi="Arial" w:cs="Arial"/>
          <w:bCs/>
          <w:iCs/>
          <w:color w:val="000000" w:themeColor="text1"/>
          <w:sz w:val="26"/>
          <w:szCs w:val="26"/>
        </w:rPr>
        <w:t xml:space="preserve">7 </w:t>
      </w:r>
      <w:r w:rsidR="00CD42C6" w:rsidRPr="007F56B9">
        <w:rPr>
          <w:rFonts w:ascii="Arial" w:hAnsi="Arial" w:cs="Arial"/>
          <w:bCs/>
          <w:iCs/>
          <w:color w:val="000000" w:themeColor="text1"/>
          <w:sz w:val="26"/>
          <w:szCs w:val="26"/>
        </w:rPr>
        <w:t xml:space="preserve">siete de septiembre </w:t>
      </w:r>
      <w:r w:rsidR="0069649D" w:rsidRPr="007F56B9">
        <w:rPr>
          <w:rFonts w:ascii="Arial" w:hAnsi="Arial" w:cs="Arial"/>
          <w:bCs/>
          <w:iCs/>
          <w:color w:val="000000" w:themeColor="text1"/>
          <w:sz w:val="26"/>
          <w:szCs w:val="26"/>
        </w:rPr>
        <w:t xml:space="preserve">de </w:t>
      </w:r>
      <w:r w:rsidR="002F41B8" w:rsidRPr="007F56B9">
        <w:rPr>
          <w:rFonts w:ascii="Arial" w:hAnsi="Arial" w:cs="Arial"/>
          <w:bCs/>
          <w:iCs/>
          <w:color w:val="000000" w:themeColor="text1"/>
          <w:sz w:val="26"/>
          <w:szCs w:val="26"/>
        </w:rPr>
        <w:t xml:space="preserve">2020 </w:t>
      </w:r>
      <w:r w:rsidR="0069649D" w:rsidRPr="007F56B9">
        <w:rPr>
          <w:rFonts w:ascii="Arial" w:hAnsi="Arial" w:cs="Arial"/>
          <w:bCs/>
          <w:iCs/>
          <w:color w:val="000000" w:themeColor="text1"/>
          <w:sz w:val="26"/>
          <w:szCs w:val="26"/>
        </w:rPr>
        <w:t xml:space="preserve">dos mil </w:t>
      </w:r>
      <w:r w:rsidR="008B0699" w:rsidRPr="007F56B9">
        <w:rPr>
          <w:rFonts w:ascii="Arial" w:hAnsi="Arial" w:cs="Arial"/>
          <w:bCs/>
          <w:iCs/>
          <w:color w:val="000000" w:themeColor="text1"/>
          <w:sz w:val="26"/>
          <w:szCs w:val="26"/>
        </w:rPr>
        <w:t>veinte</w:t>
      </w:r>
      <w:r w:rsidR="0069649D" w:rsidRPr="007F56B9">
        <w:rPr>
          <w:rFonts w:ascii="Arial" w:hAnsi="Arial" w:cs="Arial"/>
          <w:bCs/>
          <w:iCs/>
          <w:color w:val="000000" w:themeColor="text1"/>
          <w:sz w:val="26"/>
          <w:szCs w:val="26"/>
        </w:rPr>
        <w:t>, dictada en</w:t>
      </w:r>
      <w:r w:rsidR="00772E56" w:rsidRPr="007F56B9">
        <w:rPr>
          <w:rFonts w:ascii="Arial" w:hAnsi="Arial" w:cs="Arial"/>
          <w:bCs/>
          <w:iCs/>
          <w:color w:val="000000" w:themeColor="text1"/>
          <w:sz w:val="26"/>
          <w:szCs w:val="26"/>
        </w:rPr>
        <w:t xml:space="preserve"> la </w:t>
      </w:r>
      <w:r w:rsidR="008B0699" w:rsidRPr="007F56B9">
        <w:rPr>
          <w:rFonts w:ascii="Arial" w:hAnsi="Arial" w:cs="Arial"/>
          <w:bCs/>
          <w:iCs/>
          <w:color w:val="000000" w:themeColor="text1"/>
          <w:sz w:val="26"/>
          <w:szCs w:val="26"/>
        </w:rPr>
        <w:t>Quinta</w:t>
      </w:r>
      <w:r w:rsidR="0069649D" w:rsidRPr="007F56B9">
        <w:rPr>
          <w:rFonts w:ascii="Arial" w:hAnsi="Arial" w:cs="Arial"/>
          <w:bCs/>
          <w:iCs/>
          <w:color w:val="000000" w:themeColor="text1"/>
          <w:sz w:val="26"/>
          <w:szCs w:val="26"/>
        </w:rPr>
        <w:t xml:space="preserve"> Sala Unitaria de Primera Instancia de este Tribunal, en el expediente </w:t>
      </w:r>
      <w:r w:rsidR="008B0699" w:rsidRPr="007F56B9">
        <w:rPr>
          <w:rFonts w:ascii="Arial" w:hAnsi="Arial" w:cs="Arial"/>
          <w:b/>
          <w:bCs/>
          <w:iCs/>
          <w:color w:val="000000" w:themeColor="text1"/>
          <w:sz w:val="26"/>
          <w:szCs w:val="26"/>
        </w:rPr>
        <w:t>0494</w:t>
      </w:r>
      <w:r w:rsidR="0069649D" w:rsidRPr="007F56B9">
        <w:rPr>
          <w:rFonts w:ascii="Arial" w:hAnsi="Arial" w:cs="Arial"/>
          <w:b/>
          <w:bCs/>
          <w:iCs/>
          <w:color w:val="000000" w:themeColor="text1"/>
          <w:sz w:val="26"/>
          <w:szCs w:val="26"/>
        </w:rPr>
        <w:t>/201</w:t>
      </w:r>
      <w:r w:rsidR="008B0699" w:rsidRPr="007F56B9">
        <w:rPr>
          <w:rFonts w:ascii="Arial" w:hAnsi="Arial" w:cs="Arial"/>
          <w:b/>
          <w:bCs/>
          <w:iCs/>
          <w:color w:val="000000" w:themeColor="text1"/>
          <w:sz w:val="26"/>
          <w:szCs w:val="26"/>
        </w:rPr>
        <w:t>6</w:t>
      </w:r>
      <w:r w:rsidR="0069649D" w:rsidRPr="007F56B9">
        <w:rPr>
          <w:rFonts w:ascii="Arial" w:hAnsi="Arial" w:cs="Arial"/>
          <w:color w:val="000000" w:themeColor="text1"/>
          <w:sz w:val="26"/>
          <w:szCs w:val="26"/>
        </w:rPr>
        <w:t xml:space="preserve">. - - - - - - - - - - - - - - - - - - - - - - - - - - - - - - - </w:t>
      </w:r>
    </w:p>
    <w:p w14:paraId="6410B378" w14:textId="77777777" w:rsidR="00E3516B" w:rsidRPr="007F56B9" w:rsidRDefault="00E3516B" w:rsidP="00561E8A">
      <w:pPr>
        <w:spacing w:after="0" w:line="360" w:lineRule="auto"/>
        <w:ind w:left="74"/>
        <w:jc w:val="both"/>
        <w:rPr>
          <w:rFonts w:ascii="Arial" w:eastAsiaTheme="minorHAnsi" w:hAnsi="Arial" w:cs="Arial"/>
          <w:bCs/>
          <w:iCs/>
          <w:color w:val="000000" w:themeColor="text1"/>
          <w:sz w:val="26"/>
          <w:szCs w:val="26"/>
          <w:lang w:eastAsia="es-ES"/>
        </w:rPr>
      </w:pPr>
    </w:p>
    <w:p w14:paraId="640D0340" w14:textId="2AA4BC65" w:rsidR="0056581A" w:rsidRPr="007F56B9" w:rsidRDefault="006D1DB2" w:rsidP="00565BED">
      <w:pPr>
        <w:spacing w:line="360" w:lineRule="auto"/>
        <w:ind w:firstLine="708"/>
        <w:jc w:val="both"/>
        <w:rPr>
          <w:rFonts w:ascii="Arial" w:hAnsi="Arial" w:cs="Arial"/>
          <w:color w:val="000000" w:themeColor="text1"/>
          <w:sz w:val="26"/>
          <w:szCs w:val="26"/>
        </w:rPr>
      </w:pPr>
      <w:r w:rsidRPr="007F56B9">
        <w:rPr>
          <w:rFonts w:ascii="Arial" w:eastAsiaTheme="minorHAnsi" w:hAnsi="Arial" w:cs="Arial"/>
          <w:b/>
          <w:bCs/>
          <w:color w:val="000000" w:themeColor="text1"/>
          <w:sz w:val="26"/>
          <w:szCs w:val="26"/>
          <w:lang w:eastAsia="en-US"/>
        </w:rPr>
        <w:t>SEGUNDO.</w:t>
      </w:r>
      <w:r w:rsidRPr="007F56B9">
        <w:rPr>
          <w:rFonts w:ascii="Arial" w:eastAsia="Calibri" w:hAnsi="Arial" w:cs="Arial"/>
          <w:bCs/>
          <w:color w:val="000000" w:themeColor="text1"/>
          <w:sz w:val="26"/>
          <w:szCs w:val="26"/>
        </w:rPr>
        <w:t xml:space="preserve"> </w:t>
      </w:r>
      <w:r w:rsidR="0056581A" w:rsidRPr="007F56B9">
        <w:rPr>
          <w:rFonts w:ascii="Arial" w:hAnsi="Arial" w:cs="Arial"/>
          <w:bCs/>
          <w:color w:val="000000" w:themeColor="text1"/>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0056581A" w:rsidRPr="007F56B9">
        <w:rPr>
          <w:rFonts w:ascii="Arial" w:hAnsi="Arial" w:cs="Arial"/>
          <w:color w:val="000000" w:themeColor="text1"/>
          <w:sz w:val="26"/>
          <w:szCs w:val="26"/>
        </w:rPr>
        <w:t xml:space="preserve">. En apoyo a lo anterior, se invoca el </w:t>
      </w:r>
      <w:r w:rsidR="00565BED" w:rsidRPr="007F56B9">
        <w:rPr>
          <w:rFonts w:ascii="Arial" w:hAnsi="Arial" w:cs="Arial"/>
          <w:color w:val="000000" w:themeColor="text1"/>
          <w:sz w:val="26"/>
          <w:szCs w:val="26"/>
        </w:rPr>
        <w:t xml:space="preserve">siguiente </w:t>
      </w:r>
      <w:r w:rsidR="0056581A" w:rsidRPr="007F56B9">
        <w:rPr>
          <w:rFonts w:ascii="Arial" w:hAnsi="Arial" w:cs="Arial"/>
          <w:color w:val="000000" w:themeColor="text1"/>
          <w:sz w:val="26"/>
          <w:szCs w:val="26"/>
        </w:rPr>
        <w:t>criterio Jurisprudencial</w:t>
      </w:r>
      <w:r w:rsidR="00565BED" w:rsidRPr="007F56B9">
        <w:rPr>
          <w:rFonts w:ascii="Arial" w:hAnsi="Arial" w:cs="Arial"/>
          <w:color w:val="000000" w:themeColor="text1"/>
          <w:sz w:val="26"/>
          <w:szCs w:val="26"/>
        </w:rPr>
        <w:t>:</w:t>
      </w:r>
      <w:r w:rsidR="00565BED" w:rsidRPr="007F56B9">
        <w:rPr>
          <w:rStyle w:val="Refdenotaalpie"/>
          <w:rFonts w:ascii="Arial" w:hAnsi="Arial" w:cs="Arial"/>
          <w:color w:val="000000" w:themeColor="text1"/>
          <w:sz w:val="26"/>
          <w:szCs w:val="26"/>
        </w:rPr>
        <w:footnoteReference w:id="1"/>
      </w:r>
      <w:r w:rsidR="006B0915">
        <w:rPr>
          <w:rFonts w:ascii="Arial" w:hAnsi="Arial" w:cs="Arial"/>
          <w:color w:val="000000" w:themeColor="text1"/>
          <w:sz w:val="26"/>
          <w:szCs w:val="26"/>
        </w:rPr>
        <w:t xml:space="preserve"> - - - - - - - - - - - -</w:t>
      </w:r>
    </w:p>
    <w:p w14:paraId="1CF25707" w14:textId="61E9F02A" w:rsidR="006D1DB2" w:rsidRPr="007F56B9" w:rsidRDefault="0056581A" w:rsidP="00565BED">
      <w:pPr>
        <w:spacing w:before="240"/>
        <w:ind w:left="567" w:right="616"/>
        <w:jc w:val="both"/>
        <w:rPr>
          <w:rFonts w:ascii="Arial" w:eastAsia="Calibri" w:hAnsi="Arial" w:cs="Arial"/>
          <w:b/>
          <w:bCs/>
          <w:i/>
          <w:color w:val="000000" w:themeColor="text1"/>
          <w:sz w:val="24"/>
          <w:szCs w:val="24"/>
        </w:rPr>
      </w:pPr>
      <w:r w:rsidRPr="007F56B9">
        <w:rPr>
          <w:rFonts w:ascii="Arial" w:eastAsia="Calibri" w:hAnsi="Arial" w:cs="Arial"/>
          <w:b/>
          <w:bCs/>
          <w:i/>
          <w:color w:val="000000" w:themeColor="text1"/>
          <w:sz w:val="24"/>
          <w:szCs w:val="24"/>
        </w:rPr>
        <w:t xml:space="preserve">“CONCEPTOS DE VIOLACIÓN O AGRAVIOS. PARA CUMPLIR CON LOS PRINCIPIOS DE CONGRUENCIA Y EXHAUSTIVIDAD EN LAS SENTENCIAS DE AMPARO ES INNECESARIA SU TRANSCRIPCIÓN. </w:t>
      </w:r>
      <w:r w:rsidRPr="007F56B9">
        <w:rPr>
          <w:rFonts w:ascii="Arial" w:eastAsia="Calibri" w:hAnsi="Arial" w:cs="Arial"/>
          <w:bCs/>
          <w:i/>
          <w:color w:val="000000" w:themeColor="text1"/>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F549EEE" w14:textId="6AC7FA10" w:rsidR="00561E8A" w:rsidRDefault="006D1DB2" w:rsidP="00561E8A">
      <w:pPr>
        <w:spacing w:after="0" w:line="360" w:lineRule="auto"/>
        <w:ind w:firstLine="709"/>
        <w:jc w:val="both"/>
        <w:rPr>
          <w:rFonts w:ascii="Arial" w:eastAsia="Calibri" w:hAnsi="Arial" w:cs="Arial"/>
          <w:bCs/>
          <w:color w:val="000000" w:themeColor="text1"/>
          <w:sz w:val="26"/>
          <w:szCs w:val="26"/>
          <w:lang w:eastAsia="en-US"/>
        </w:rPr>
      </w:pPr>
      <w:r w:rsidRPr="007F56B9">
        <w:rPr>
          <w:rFonts w:ascii="Arial" w:eastAsia="Calibri" w:hAnsi="Arial" w:cs="Arial"/>
          <w:b/>
          <w:bCs/>
          <w:color w:val="000000" w:themeColor="text1"/>
          <w:sz w:val="26"/>
          <w:szCs w:val="26"/>
        </w:rPr>
        <w:t xml:space="preserve">TERCERO. </w:t>
      </w:r>
      <w:r w:rsidRPr="007F56B9">
        <w:rPr>
          <w:rFonts w:ascii="Arial" w:eastAsia="Calibri" w:hAnsi="Arial" w:cs="Arial"/>
          <w:bCs/>
          <w:color w:val="000000" w:themeColor="text1"/>
          <w:sz w:val="26"/>
          <w:szCs w:val="26"/>
          <w:lang w:eastAsia="en-US"/>
        </w:rPr>
        <w:t xml:space="preserve">Señala la </w:t>
      </w:r>
      <w:r w:rsidR="004B6361" w:rsidRPr="007F56B9">
        <w:rPr>
          <w:rFonts w:ascii="Arial" w:eastAsia="Calibri" w:hAnsi="Arial" w:cs="Arial"/>
          <w:bCs/>
          <w:color w:val="000000" w:themeColor="text1"/>
          <w:sz w:val="26"/>
          <w:szCs w:val="26"/>
          <w:lang w:eastAsia="en-US"/>
        </w:rPr>
        <w:t xml:space="preserve">autoridad </w:t>
      </w:r>
      <w:r w:rsidRPr="007F56B9">
        <w:rPr>
          <w:rFonts w:ascii="Arial" w:eastAsia="Calibri" w:hAnsi="Arial" w:cs="Arial"/>
          <w:bCs/>
          <w:color w:val="000000" w:themeColor="text1"/>
          <w:sz w:val="26"/>
          <w:szCs w:val="26"/>
          <w:lang w:eastAsia="en-US"/>
        </w:rPr>
        <w:t xml:space="preserve">recurrente </w:t>
      </w:r>
      <w:r w:rsidR="00D55F0A" w:rsidRPr="007F56B9">
        <w:rPr>
          <w:rFonts w:ascii="Arial" w:eastAsia="Calibri" w:hAnsi="Arial" w:cs="Arial"/>
          <w:bCs/>
          <w:color w:val="000000" w:themeColor="text1"/>
          <w:sz w:val="26"/>
          <w:szCs w:val="26"/>
          <w:lang w:eastAsia="en-US"/>
        </w:rPr>
        <w:t xml:space="preserve">en </w:t>
      </w:r>
      <w:r w:rsidR="00B41119" w:rsidRPr="007F56B9">
        <w:rPr>
          <w:rFonts w:ascii="Arial" w:eastAsia="Calibri" w:hAnsi="Arial" w:cs="Arial"/>
          <w:bCs/>
          <w:color w:val="000000" w:themeColor="text1"/>
          <w:sz w:val="26"/>
          <w:szCs w:val="26"/>
          <w:lang w:eastAsia="en-US"/>
        </w:rPr>
        <w:t xml:space="preserve">su </w:t>
      </w:r>
      <w:r w:rsidR="00D55F0A" w:rsidRPr="007F56B9">
        <w:rPr>
          <w:rFonts w:ascii="Arial" w:eastAsia="Calibri" w:hAnsi="Arial" w:cs="Arial"/>
          <w:b/>
          <w:bCs/>
          <w:color w:val="000000" w:themeColor="text1"/>
          <w:sz w:val="26"/>
          <w:szCs w:val="26"/>
          <w:lang w:eastAsia="en-US"/>
        </w:rPr>
        <w:t>agravio</w:t>
      </w:r>
      <w:r w:rsidR="00B41119" w:rsidRPr="007F56B9">
        <w:rPr>
          <w:rFonts w:ascii="Arial" w:eastAsia="Calibri" w:hAnsi="Arial" w:cs="Arial"/>
          <w:b/>
          <w:bCs/>
          <w:color w:val="000000" w:themeColor="text1"/>
          <w:sz w:val="26"/>
          <w:szCs w:val="26"/>
          <w:lang w:eastAsia="en-US"/>
        </w:rPr>
        <w:t xml:space="preserve"> primero</w:t>
      </w:r>
      <w:r w:rsidR="00D55F0A" w:rsidRPr="007F56B9">
        <w:rPr>
          <w:rFonts w:ascii="Arial" w:eastAsia="Calibri" w:hAnsi="Arial" w:cs="Arial"/>
          <w:bCs/>
          <w:color w:val="000000" w:themeColor="text1"/>
          <w:sz w:val="26"/>
          <w:szCs w:val="26"/>
          <w:lang w:eastAsia="en-US"/>
        </w:rPr>
        <w:t xml:space="preserve">, </w:t>
      </w:r>
      <w:r w:rsidR="009F2EEE" w:rsidRPr="007F56B9">
        <w:rPr>
          <w:rFonts w:ascii="Arial" w:eastAsia="Calibri" w:hAnsi="Arial" w:cs="Arial"/>
          <w:bCs/>
          <w:color w:val="000000" w:themeColor="text1"/>
          <w:sz w:val="26"/>
          <w:szCs w:val="26"/>
          <w:lang w:eastAsia="en-US"/>
        </w:rPr>
        <w:t xml:space="preserve">que </w:t>
      </w:r>
      <w:r w:rsidR="00B41119" w:rsidRPr="007F56B9">
        <w:rPr>
          <w:rFonts w:ascii="Arial" w:eastAsia="Calibri" w:hAnsi="Arial" w:cs="Arial"/>
          <w:bCs/>
          <w:color w:val="000000" w:themeColor="text1"/>
          <w:sz w:val="26"/>
          <w:szCs w:val="26"/>
          <w:lang w:eastAsia="en-US"/>
        </w:rPr>
        <w:t xml:space="preserve">le </w:t>
      </w:r>
      <w:r w:rsidR="009F2EEE" w:rsidRPr="007F56B9">
        <w:rPr>
          <w:rFonts w:ascii="Arial" w:eastAsia="Calibri" w:hAnsi="Arial" w:cs="Arial"/>
          <w:bCs/>
          <w:color w:val="000000" w:themeColor="text1"/>
          <w:sz w:val="26"/>
          <w:szCs w:val="26"/>
          <w:lang w:eastAsia="en-US"/>
        </w:rPr>
        <w:t>c</w:t>
      </w:r>
      <w:r w:rsidR="00761559" w:rsidRPr="007F56B9">
        <w:rPr>
          <w:rFonts w:ascii="Arial" w:eastAsia="Calibri" w:hAnsi="Arial" w:cs="Arial"/>
          <w:bCs/>
          <w:color w:val="000000" w:themeColor="text1"/>
          <w:sz w:val="26"/>
          <w:szCs w:val="26"/>
          <w:lang w:eastAsia="en-US"/>
        </w:rPr>
        <w:t xml:space="preserve">ausa perjuicio </w:t>
      </w:r>
      <w:r w:rsidR="009F2EEE" w:rsidRPr="007F56B9">
        <w:rPr>
          <w:rFonts w:ascii="Arial" w:eastAsia="Calibri" w:hAnsi="Arial" w:cs="Arial"/>
          <w:bCs/>
          <w:color w:val="000000" w:themeColor="text1"/>
          <w:sz w:val="26"/>
          <w:szCs w:val="26"/>
          <w:lang w:eastAsia="en-US"/>
        </w:rPr>
        <w:t xml:space="preserve">a su representada el </w:t>
      </w:r>
      <w:r w:rsidR="009F2EEE" w:rsidRPr="007F56B9">
        <w:rPr>
          <w:rFonts w:ascii="Arial" w:eastAsia="Calibri" w:hAnsi="Arial" w:cs="Arial"/>
          <w:b/>
          <w:color w:val="000000" w:themeColor="text1"/>
          <w:sz w:val="26"/>
          <w:szCs w:val="26"/>
          <w:lang w:eastAsia="en-US"/>
        </w:rPr>
        <w:t>Considerando Cuarto</w:t>
      </w:r>
      <w:r w:rsidR="009F2EEE" w:rsidRPr="007F56B9">
        <w:rPr>
          <w:rFonts w:ascii="Arial" w:eastAsia="Calibri" w:hAnsi="Arial" w:cs="Arial"/>
          <w:bCs/>
          <w:color w:val="000000" w:themeColor="text1"/>
          <w:sz w:val="26"/>
          <w:szCs w:val="26"/>
          <w:lang w:eastAsia="en-US"/>
        </w:rPr>
        <w:t xml:space="preserve">, referente al </w:t>
      </w:r>
      <w:r w:rsidR="009F2EEE" w:rsidRPr="007F56B9">
        <w:rPr>
          <w:rFonts w:ascii="Arial" w:eastAsia="Calibri" w:hAnsi="Arial" w:cs="Arial"/>
          <w:b/>
          <w:color w:val="000000" w:themeColor="text1"/>
          <w:sz w:val="26"/>
          <w:szCs w:val="26"/>
          <w:lang w:eastAsia="en-US"/>
        </w:rPr>
        <w:t>Estudio de los Conceptos de Impugnación y Pruebas ofrecidas por el actor</w:t>
      </w:r>
      <w:r w:rsidR="001712D4" w:rsidRPr="007F56B9">
        <w:rPr>
          <w:rFonts w:ascii="Arial" w:eastAsia="Calibri" w:hAnsi="Arial" w:cs="Arial"/>
          <w:b/>
          <w:color w:val="000000" w:themeColor="text1"/>
          <w:sz w:val="26"/>
          <w:szCs w:val="26"/>
          <w:lang w:eastAsia="en-US"/>
        </w:rPr>
        <w:t xml:space="preserve"> </w:t>
      </w:r>
      <w:r w:rsidR="001712D4" w:rsidRPr="007F56B9">
        <w:rPr>
          <w:rFonts w:ascii="Arial" w:eastAsia="Calibri" w:hAnsi="Arial" w:cs="Arial"/>
          <w:bCs/>
          <w:color w:val="000000" w:themeColor="text1"/>
          <w:sz w:val="26"/>
          <w:szCs w:val="26"/>
          <w:lang w:eastAsia="en-US"/>
        </w:rPr>
        <w:t xml:space="preserve">de la resolución de fecha </w:t>
      </w:r>
      <w:r w:rsidR="002F41B8" w:rsidRPr="007F56B9">
        <w:rPr>
          <w:rFonts w:ascii="Arial" w:eastAsia="Calibri" w:hAnsi="Arial" w:cs="Arial"/>
          <w:bCs/>
          <w:color w:val="000000" w:themeColor="text1"/>
          <w:sz w:val="26"/>
          <w:szCs w:val="26"/>
          <w:lang w:eastAsia="en-US"/>
        </w:rPr>
        <w:t xml:space="preserve">7 </w:t>
      </w:r>
      <w:r w:rsidR="001712D4" w:rsidRPr="007F56B9">
        <w:rPr>
          <w:rFonts w:ascii="Arial" w:eastAsia="Calibri" w:hAnsi="Arial" w:cs="Arial"/>
          <w:bCs/>
          <w:color w:val="000000" w:themeColor="text1"/>
          <w:sz w:val="26"/>
          <w:szCs w:val="26"/>
          <w:lang w:eastAsia="en-US"/>
        </w:rPr>
        <w:t xml:space="preserve">siete de septiembre de </w:t>
      </w:r>
      <w:r w:rsidR="002F41B8" w:rsidRPr="007F56B9">
        <w:rPr>
          <w:rFonts w:ascii="Arial" w:eastAsia="Calibri" w:hAnsi="Arial" w:cs="Arial"/>
          <w:bCs/>
          <w:color w:val="000000" w:themeColor="text1"/>
          <w:sz w:val="26"/>
          <w:szCs w:val="26"/>
          <w:lang w:eastAsia="en-US"/>
        </w:rPr>
        <w:t xml:space="preserve">2020 </w:t>
      </w:r>
      <w:r w:rsidR="001712D4" w:rsidRPr="007F56B9">
        <w:rPr>
          <w:rFonts w:ascii="Arial" w:eastAsia="Calibri" w:hAnsi="Arial" w:cs="Arial"/>
          <w:bCs/>
          <w:color w:val="000000" w:themeColor="text1"/>
          <w:sz w:val="26"/>
          <w:szCs w:val="26"/>
          <w:lang w:eastAsia="en-US"/>
        </w:rPr>
        <w:t xml:space="preserve">dos mil veinte dictada por la Quinta </w:t>
      </w:r>
      <w:r w:rsidR="00761559" w:rsidRPr="007F56B9">
        <w:rPr>
          <w:rFonts w:ascii="Arial" w:eastAsia="Calibri" w:hAnsi="Arial" w:cs="Arial"/>
          <w:bCs/>
          <w:color w:val="000000" w:themeColor="text1"/>
          <w:sz w:val="26"/>
          <w:szCs w:val="26"/>
          <w:lang w:eastAsia="en-US"/>
        </w:rPr>
        <w:t>Sala Unitaria de Primera Instancia del Tribunal de Justicia Administrativa del Estado de Oaxaca</w:t>
      </w:r>
      <w:r w:rsidR="00B41119" w:rsidRPr="007F56B9">
        <w:rPr>
          <w:rFonts w:ascii="Arial" w:eastAsia="Calibri" w:hAnsi="Arial" w:cs="Arial"/>
          <w:bCs/>
          <w:color w:val="000000" w:themeColor="text1"/>
          <w:sz w:val="26"/>
          <w:szCs w:val="26"/>
          <w:lang w:eastAsia="en-US"/>
        </w:rPr>
        <w:t>. (T</w:t>
      </w:r>
      <w:r w:rsidR="00964B1E" w:rsidRPr="007F56B9">
        <w:rPr>
          <w:rFonts w:ascii="Arial" w:eastAsia="Calibri" w:hAnsi="Arial" w:cs="Arial"/>
          <w:bCs/>
          <w:color w:val="000000" w:themeColor="text1"/>
          <w:sz w:val="26"/>
          <w:szCs w:val="26"/>
          <w:lang w:eastAsia="en-US"/>
        </w:rPr>
        <w:t>ranscribe considerando)</w:t>
      </w:r>
      <w:r w:rsidR="00761559" w:rsidRPr="007F56B9">
        <w:rPr>
          <w:rFonts w:ascii="Arial" w:eastAsia="Calibri" w:hAnsi="Arial" w:cs="Arial"/>
          <w:bCs/>
          <w:color w:val="000000" w:themeColor="text1"/>
          <w:sz w:val="26"/>
          <w:szCs w:val="26"/>
          <w:lang w:eastAsia="en-US"/>
        </w:rPr>
        <w:t>.</w:t>
      </w:r>
      <w:r w:rsidR="002F41B8" w:rsidRPr="007F56B9">
        <w:rPr>
          <w:rFonts w:ascii="Arial" w:eastAsia="Calibri" w:hAnsi="Arial" w:cs="Arial"/>
          <w:bCs/>
          <w:color w:val="000000" w:themeColor="text1"/>
          <w:sz w:val="26"/>
          <w:szCs w:val="26"/>
          <w:lang w:eastAsia="en-US"/>
        </w:rPr>
        <w:t xml:space="preserve"> - - - - - - - - - - - - - - - - - - - - - - - - - </w:t>
      </w:r>
    </w:p>
    <w:p w14:paraId="14D12E47" w14:textId="77777777" w:rsidR="00067446" w:rsidRPr="007F56B9" w:rsidRDefault="00067446" w:rsidP="00067446">
      <w:pPr>
        <w:pStyle w:val="Sinespaciado"/>
        <w:rPr>
          <w:rFonts w:eastAsia="Calibri"/>
          <w:lang w:eastAsia="en-US"/>
        </w:rPr>
      </w:pPr>
    </w:p>
    <w:p w14:paraId="55C510A1" w14:textId="355F6B5B" w:rsidR="00D51E12" w:rsidRDefault="00D51E12" w:rsidP="000C419E">
      <w:pPr>
        <w:spacing w:after="0" w:line="360" w:lineRule="auto"/>
        <w:ind w:firstLine="567"/>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lastRenderedPageBreak/>
        <w:t xml:space="preserve">De igual forma, </w:t>
      </w:r>
      <w:r w:rsidR="00F12CBE" w:rsidRPr="007F56B9">
        <w:rPr>
          <w:rFonts w:ascii="Arial" w:eastAsia="Calibri" w:hAnsi="Arial" w:cs="Arial"/>
          <w:bCs/>
          <w:color w:val="000000" w:themeColor="text1"/>
          <w:sz w:val="26"/>
          <w:szCs w:val="26"/>
          <w:lang w:eastAsia="en-US"/>
        </w:rPr>
        <w:t xml:space="preserve">la recurrente </w:t>
      </w:r>
      <w:r w:rsidRPr="007F56B9">
        <w:rPr>
          <w:rFonts w:ascii="Arial" w:eastAsia="Calibri" w:hAnsi="Arial" w:cs="Arial"/>
          <w:bCs/>
          <w:color w:val="000000" w:themeColor="text1"/>
          <w:sz w:val="26"/>
          <w:szCs w:val="26"/>
          <w:lang w:eastAsia="en-US"/>
        </w:rPr>
        <w:t>expone los artículos 400 y 401 del Código de Procedimientos Civiles para el Estado de Oaxaca, qu</w:t>
      </w:r>
      <w:r w:rsidR="00F12CBE" w:rsidRPr="007F56B9">
        <w:rPr>
          <w:rFonts w:ascii="Arial" w:eastAsia="Calibri" w:hAnsi="Arial" w:cs="Arial"/>
          <w:bCs/>
          <w:color w:val="000000" w:themeColor="text1"/>
          <w:sz w:val="26"/>
          <w:szCs w:val="26"/>
          <w:lang w:eastAsia="en-US"/>
        </w:rPr>
        <w:t xml:space="preserve">e establecen lo </w:t>
      </w:r>
      <w:r w:rsidR="00492B1B" w:rsidRPr="007F56B9">
        <w:rPr>
          <w:rFonts w:ascii="Arial" w:eastAsia="Calibri" w:hAnsi="Arial" w:cs="Arial"/>
          <w:bCs/>
          <w:color w:val="000000" w:themeColor="text1"/>
          <w:sz w:val="26"/>
          <w:szCs w:val="26"/>
          <w:lang w:eastAsia="en-US"/>
        </w:rPr>
        <w:t>siguiente:</w:t>
      </w:r>
      <w:r w:rsidR="00492B1B">
        <w:rPr>
          <w:rFonts w:ascii="Arial" w:eastAsia="Calibri" w:hAnsi="Arial" w:cs="Arial"/>
          <w:bCs/>
          <w:color w:val="000000" w:themeColor="text1"/>
          <w:sz w:val="26"/>
          <w:szCs w:val="26"/>
          <w:lang w:eastAsia="en-US"/>
        </w:rPr>
        <w:t xml:space="preserve"> -</w:t>
      </w:r>
      <w:r w:rsidR="00191C06">
        <w:rPr>
          <w:rFonts w:ascii="Arial" w:eastAsia="Calibri" w:hAnsi="Arial" w:cs="Arial"/>
          <w:bCs/>
          <w:color w:val="000000" w:themeColor="text1"/>
          <w:sz w:val="26"/>
          <w:szCs w:val="26"/>
          <w:lang w:eastAsia="en-US"/>
        </w:rPr>
        <w:t xml:space="preserve"> - - - - - - - - - - - - - - - - - - - - - - - - - - - - - - - - - - </w:t>
      </w:r>
    </w:p>
    <w:p w14:paraId="79B08BED" w14:textId="77777777" w:rsidR="00191C06" w:rsidRPr="007F56B9" w:rsidRDefault="00191C06" w:rsidP="00191C06">
      <w:pPr>
        <w:pStyle w:val="Sinespaciado"/>
        <w:rPr>
          <w:rFonts w:eastAsia="Calibri"/>
          <w:lang w:eastAsia="en-US"/>
        </w:rPr>
      </w:pPr>
    </w:p>
    <w:p w14:paraId="2E314FA4" w14:textId="62508AE5" w:rsidR="00F12CBE" w:rsidRPr="00062B50" w:rsidRDefault="00F12CBE" w:rsidP="00082683">
      <w:pPr>
        <w:spacing w:after="0"/>
        <w:ind w:left="993" w:right="900" w:firstLine="567"/>
        <w:jc w:val="both"/>
        <w:rPr>
          <w:rFonts w:ascii="Arial" w:hAnsi="Arial" w:cs="Arial"/>
          <w:i/>
          <w:iCs/>
          <w:color w:val="000000" w:themeColor="text1"/>
        </w:rPr>
      </w:pPr>
      <w:r w:rsidRPr="00062B50">
        <w:rPr>
          <w:rFonts w:ascii="Arial" w:hAnsi="Arial" w:cs="Arial"/>
          <w:i/>
          <w:iCs/>
          <w:color w:val="000000" w:themeColor="text1"/>
        </w:rPr>
        <w:t>‘’</w:t>
      </w:r>
      <w:r w:rsidR="00D51E12" w:rsidRPr="00062B50">
        <w:rPr>
          <w:rFonts w:ascii="Arial" w:hAnsi="Arial" w:cs="Arial"/>
          <w:b/>
          <w:bCs/>
          <w:i/>
          <w:iCs/>
          <w:color w:val="000000" w:themeColor="text1"/>
        </w:rPr>
        <w:t>Artículo 400.-</w:t>
      </w:r>
      <w:r w:rsidR="00D51E12" w:rsidRPr="00062B50">
        <w:rPr>
          <w:rFonts w:ascii="Arial" w:hAnsi="Arial" w:cs="Arial"/>
          <w:i/>
          <w:iCs/>
          <w:color w:val="000000" w:themeColor="text1"/>
        </w:rPr>
        <w:t xml:space="preserve"> Hay cosa juzgada cuando la sentencia causa ejecutoria. </w:t>
      </w:r>
    </w:p>
    <w:p w14:paraId="1A99A798" w14:textId="77777777" w:rsidR="00F12CBE" w:rsidRPr="00062B50" w:rsidRDefault="00D51E12" w:rsidP="00082683">
      <w:pPr>
        <w:spacing w:after="0"/>
        <w:ind w:left="993" w:right="900" w:firstLine="567"/>
        <w:jc w:val="both"/>
        <w:rPr>
          <w:rFonts w:ascii="Arial" w:hAnsi="Arial" w:cs="Arial"/>
          <w:i/>
          <w:iCs/>
          <w:color w:val="000000" w:themeColor="text1"/>
        </w:rPr>
      </w:pPr>
      <w:r w:rsidRPr="00062B50">
        <w:rPr>
          <w:rFonts w:ascii="Arial" w:hAnsi="Arial" w:cs="Arial"/>
          <w:b/>
          <w:bCs/>
          <w:i/>
          <w:iCs/>
          <w:color w:val="000000" w:themeColor="text1"/>
        </w:rPr>
        <w:t xml:space="preserve">Artículo 401.- </w:t>
      </w:r>
      <w:r w:rsidRPr="00062B50">
        <w:rPr>
          <w:rFonts w:ascii="Arial" w:hAnsi="Arial" w:cs="Arial"/>
          <w:i/>
          <w:iCs/>
          <w:color w:val="000000" w:themeColor="text1"/>
        </w:rPr>
        <w:t xml:space="preserve">Las sentencias causan ejecutoria por ministerio de ley o por declaración judicial. </w:t>
      </w:r>
    </w:p>
    <w:p w14:paraId="2B433F3A" w14:textId="77777777" w:rsidR="00F12CBE" w:rsidRPr="00062B50" w:rsidRDefault="00D51E12" w:rsidP="00082683">
      <w:pPr>
        <w:spacing w:after="0"/>
        <w:ind w:left="993" w:right="900" w:firstLine="567"/>
        <w:jc w:val="both"/>
        <w:rPr>
          <w:rFonts w:ascii="Arial" w:hAnsi="Arial" w:cs="Arial"/>
          <w:i/>
          <w:iCs/>
          <w:color w:val="000000" w:themeColor="text1"/>
        </w:rPr>
      </w:pPr>
      <w:r w:rsidRPr="00062B50">
        <w:rPr>
          <w:rFonts w:ascii="Arial" w:hAnsi="Arial" w:cs="Arial"/>
          <w:b/>
          <w:bCs/>
          <w:i/>
          <w:iCs/>
          <w:color w:val="000000" w:themeColor="text1"/>
        </w:rPr>
        <w:t>Causan ejecutoria por ministerio de ley</w:t>
      </w:r>
      <w:r w:rsidRPr="00062B50">
        <w:rPr>
          <w:rFonts w:ascii="Arial" w:hAnsi="Arial" w:cs="Arial"/>
          <w:i/>
          <w:iCs/>
          <w:color w:val="000000" w:themeColor="text1"/>
        </w:rPr>
        <w:t xml:space="preserve">: </w:t>
      </w:r>
    </w:p>
    <w:p w14:paraId="42F69382" w14:textId="0885A84A" w:rsidR="00F12CBE" w:rsidRPr="00062B50" w:rsidRDefault="00D51E12" w:rsidP="00082683">
      <w:pPr>
        <w:pStyle w:val="Prrafodelista"/>
        <w:numPr>
          <w:ilvl w:val="0"/>
          <w:numId w:val="16"/>
        </w:numPr>
        <w:spacing w:after="0"/>
        <w:ind w:left="993" w:right="900" w:firstLine="567"/>
        <w:jc w:val="both"/>
        <w:rPr>
          <w:rFonts w:ascii="Arial" w:hAnsi="Arial" w:cs="Arial"/>
          <w:i/>
          <w:iCs/>
          <w:color w:val="000000" w:themeColor="text1"/>
        </w:rPr>
      </w:pPr>
      <w:r w:rsidRPr="00062B50">
        <w:rPr>
          <w:rFonts w:ascii="Arial" w:hAnsi="Arial" w:cs="Arial"/>
          <w:i/>
          <w:iCs/>
          <w:color w:val="000000" w:themeColor="text1"/>
        </w:rPr>
        <w:t xml:space="preserve">Las sentencias pronunciadas en juicio ante juzgados de primera instancia cuyo interés no pase de doscientas veces el salario mínimo, en la fecha en que se pronuncien; </w:t>
      </w:r>
    </w:p>
    <w:p w14:paraId="2085C26B" w14:textId="77777777" w:rsidR="00F12CBE" w:rsidRPr="00062B50" w:rsidRDefault="00D51E12" w:rsidP="00082683">
      <w:pPr>
        <w:pStyle w:val="Prrafodelista"/>
        <w:numPr>
          <w:ilvl w:val="0"/>
          <w:numId w:val="16"/>
        </w:numPr>
        <w:spacing w:after="0"/>
        <w:ind w:left="993" w:right="900" w:firstLine="567"/>
        <w:jc w:val="both"/>
        <w:rPr>
          <w:rFonts w:ascii="Arial" w:eastAsia="Calibri" w:hAnsi="Arial" w:cs="Arial"/>
          <w:b/>
          <w:bCs/>
          <w:i/>
          <w:iCs/>
          <w:color w:val="000000" w:themeColor="text1"/>
          <w:lang w:eastAsia="en-US"/>
        </w:rPr>
      </w:pPr>
      <w:r w:rsidRPr="00062B50">
        <w:rPr>
          <w:rFonts w:ascii="Arial" w:hAnsi="Arial" w:cs="Arial"/>
          <w:b/>
          <w:bCs/>
          <w:i/>
          <w:iCs/>
          <w:color w:val="000000" w:themeColor="text1"/>
        </w:rPr>
        <w:t>Las sentencias de segunda instancia;</w:t>
      </w:r>
    </w:p>
    <w:p w14:paraId="405B5E60" w14:textId="77777777" w:rsidR="00F12CBE" w:rsidRPr="00062B50" w:rsidRDefault="00D51E12" w:rsidP="00082683">
      <w:pPr>
        <w:pStyle w:val="Prrafodelista"/>
        <w:numPr>
          <w:ilvl w:val="0"/>
          <w:numId w:val="16"/>
        </w:numPr>
        <w:spacing w:after="0"/>
        <w:ind w:left="993" w:right="900" w:firstLine="567"/>
        <w:jc w:val="both"/>
        <w:rPr>
          <w:rFonts w:ascii="Arial" w:eastAsia="Calibri" w:hAnsi="Arial" w:cs="Arial"/>
          <w:bCs/>
          <w:i/>
          <w:iCs/>
          <w:color w:val="000000" w:themeColor="text1"/>
          <w:lang w:eastAsia="en-US"/>
        </w:rPr>
      </w:pPr>
      <w:r w:rsidRPr="00062B50">
        <w:rPr>
          <w:rFonts w:ascii="Arial" w:hAnsi="Arial" w:cs="Arial"/>
          <w:i/>
          <w:iCs/>
          <w:color w:val="000000" w:themeColor="text1"/>
        </w:rPr>
        <w:t xml:space="preserve">Las que resuelvan una queja; </w:t>
      </w:r>
    </w:p>
    <w:p w14:paraId="4085F00D" w14:textId="77777777" w:rsidR="00F12CBE" w:rsidRPr="00062B50" w:rsidRDefault="00D51E12" w:rsidP="00082683">
      <w:pPr>
        <w:pStyle w:val="Prrafodelista"/>
        <w:numPr>
          <w:ilvl w:val="0"/>
          <w:numId w:val="16"/>
        </w:numPr>
        <w:spacing w:after="0"/>
        <w:ind w:left="993" w:right="900" w:firstLine="567"/>
        <w:jc w:val="both"/>
        <w:rPr>
          <w:rFonts w:ascii="Arial" w:eastAsia="Calibri" w:hAnsi="Arial" w:cs="Arial"/>
          <w:bCs/>
          <w:i/>
          <w:iCs/>
          <w:color w:val="000000" w:themeColor="text1"/>
          <w:lang w:eastAsia="en-US"/>
        </w:rPr>
      </w:pPr>
      <w:r w:rsidRPr="00062B50">
        <w:rPr>
          <w:rFonts w:ascii="Arial" w:hAnsi="Arial" w:cs="Arial"/>
          <w:i/>
          <w:iCs/>
          <w:color w:val="000000" w:themeColor="text1"/>
        </w:rPr>
        <w:t xml:space="preserve">Las que diriman o resuelvan una competencia; y </w:t>
      </w:r>
    </w:p>
    <w:p w14:paraId="3BE21779" w14:textId="77777777" w:rsidR="00F12CBE" w:rsidRPr="00062B50" w:rsidRDefault="00D51E12" w:rsidP="00082683">
      <w:pPr>
        <w:pStyle w:val="Prrafodelista"/>
        <w:numPr>
          <w:ilvl w:val="0"/>
          <w:numId w:val="16"/>
        </w:numPr>
        <w:spacing w:after="0"/>
        <w:ind w:left="993" w:right="900" w:firstLine="567"/>
        <w:jc w:val="both"/>
        <w:rPr>
          <w:rFonts w:ascii="Arial" w:eastAsia="Calibri" w:hAnsi="Arial" w:cs="Arial"/>
          <w:b/>
          <w:bCs/>
          <w:i/>
          <w:iCs/>
          <w:color w:val="000000" w:themeColor="text1"/>
          <w:lang w:eastAsia="en-US"/>
        </w:rPr>
      </w:pPr>
      <w:r w:rsidRPr="00062B50">
        <w:rPr>
          <w:rFonts w:ascii="Arial" w:hAnsi="Arial" w:cs="Arial"/>
          <w:b/>
          <w:bCs/>
          <w:i/>
          <w:iCs/>
          <w:color w:val="000000" w:themeColor="text1"/>
        </w:rPr>
        <w:t xml:space="preserve">Las demás que se declaren irrevocables por prevención expresa de la ley, así como aquéllas de las que se dispone que no haya más recurso que el de responsabilidad. </w:t>
      </w:r>
    </w:p>
    <w:p w14:paraId="2B289120" w14:textId="77777777" w:rsidR="00F12CBE" w:rsidRPr="00062B50" w:rsidRDefault="00D51E12" w:rsidP="00082683">
      <w:pPr>
        <w:spacing w:after="0"/>
        <w:ind w:left="993" w:right="900" w:firstLine="567"/>
        <w:jc w:val="both"/>
        <w:rPr>
          <w:rFonts w:ascii="Arial" w:hAnsi="Arial" w:cs="Arial"/>
          <w:b/>
          <w:bCs/>
          <w:i/>
          <w:iCs/>
          <w:color w:val="000000" w:themeColor="text1"/>
        </w:rPr>
      </w:pPr>
      <w:r w:rsidRPr="00062B50">
        <w:rPr>
          <w:rFonts w:ascii="Arial" w:hAnsi="Arial" w:cs="Arial"/>
          <w:b/>
          <w:bCs/>
          <w:i/>
          <w:iCs/>
          <w:color w:val="000000" w:themeColor="text1"/>
        </w:rPr>
        <w:t xml:space="preserve">Causan ejecutoria por declaración judicial: </w:t>
      </w:r>
    </w:p>
    <w:p w14:paraId="109C770F" w14:textId="5D90218F" w:rsidR="00F12CBE" w:rsidRPr="00062B50" w:rsidRDefault="00D51E12" w:rsidP="00082683">
      <w:pPr>
        <w:pStyle w:val="Prrafodelista"/>
        <w:numPr>
          <w:ilvl w:val="0"/>
          <w:numId w:val="17"/>
        </w:numPr>
        <w:spacing w:after="0"/>
        <w:ind w:left="993" w:right="900" w:firstLine="567"/>
        <w:jc w:val="both"/>
        <w:rPr>
          <w:rFonts w:ascii="Arial" w:hAnsi="Arial" w:cs="Arial"/>
          <w:i/>
          <w:iCs/>
          <w:color w:val="000000" w:themeColor="text1"/>
        </w:rPr>
      </w:pPr>
      <w:r w:rsidRPr="00062B50">
        <w:rPr>
          <w:rFonts w:ascii="Arial" w:hAnsi="Arial" w:cs="Arial"/>
          <w:i/>
          <w:iCs/>
          <w:color w:val="000000" w:themeColor="text1"/>
        </w:rPr>
        <w:t xml:space="preserve">Las sentencias consentidas expresamente por las partes o por sus mandatarios con poder o cláusula especial; </w:t>
      </w:r>
    </w:p>
    <w:p w14:paraId="235AFEEC" w14:textId="77777777" w:rsidR="00F12CBE" w:rsidRPr="00062B50" w:rsidRDefault="00D51E12" w:rsidP="00082683">
      <w:pPr>
        <w:pStyle w:val="Prrafodelista"/>
        <w:numPr>
          <w:ilvl w:val="0"/>
          <w:numId w:val="17"/>
        </w:numPr>
        <w:spacing w:after="0"/>
        <w:ind w:left="993" w:right="900" w:firstLine="567"/>
        <w:jc w:val="both"/>
        <w:rPr>
          <w:rFonts w:ascii="Arial" w:eastAsia="Calibri" w:hAnsi="Arial" w:cs="Arial"/>
          <w:bCs/>
          <w:i/>
          <w:iCs/>
          <w:color w:val="000000" w:themeColor="text1"/>
          <w:lang w:eastAsia="en-US"/>
        </w:rPr>
      </w:pPr>
      <w:r w:rsidRPr="00062B50">
        <w:rPr>
          <w:rFonts w:ascii="Arial" w:hAnsi="Arial" w:cs="Arial"/>
          <w:i/>
          <w:iCs/>
          <w:color w:val="000000" w:themeColor="text1"/>
        </w:rPr>
        <w:t>Las sentencias de que hecha notificación en forma, no se interpone recurso en el plazo señalado por la ley; y</w:t>
      </w:r>
    </w:p>
    <w:p w14:paraId="2C099C6F" w14:textId="5D4B45C6" w:rsidR="00D51E12" w:rsidRPr="00062B50" w:rsidRDefault="00D51E12" w:rsidP="00082683">
      <w:pPr>
        <w:pStyle w:val="Prrafodelista"/>
        <w:numPr>
          <w:ilvl w:val="0"/>
          <w:numId w:val="17"/>
        </w:numPr>
        <w:spacing w:after="0"/>
        <w:ind w:left="993" w:right="900" w:firstLine="567"/>
        <w:jc w:val="both"/>
        <w:rPr>
          <w:rFonts w:ascii="Arial" w:eastAsia="Calibri" w:hAnsi="Arial" w:cs="Arial"/>
          <w:bCs/>
          <w:i/>
          <w:iCs/>
          <w:color w:val="000000" w:themeColor="text1"/>
          <w:lang w:eastAsia="en-US"/>
        </w:rPr>
      </w:pPr>
      <w:r w:rsidRPr="00062B50">
        <w:rPr>
          <w:rFonts w:ascii="Arial" w:hAnsi="Arial" w:cs="Arial"/>
          <w:i/>
          <w:iCs/>
          <w:color w:val="000000" w:themeColor="text1"/>
        </w:rPr>
        <w:t xml:space="preserve"> Las sentencias de que se interpuso recurso, pero no se e</w:t>
      </w:r>
      <w:r w:rsidR="003958EC" w:rsidRPr="00062B50">
        <w:rPr>
          <w:rFonts w:ascii="Arial" w:hAnsi="Arial" w:cs="Arial"/>
          <w:i/>
          <w:iCs/>
          <w:color w:val="000000" w:themeColor="text1"/>
        </w:rPr>
        <w:t>xpresaron agravios o se desistió de él la parte o su mandatario con poder o cláusula especial.’’</w:t>
      </w:r>
    </w:p>
    <w:p w14:paraId="41733432" w14:textId="77777777" w:rsidR="003958EC" w:rsidRPr="007F56B9" w:rsidRDefault="003958EC" w:rsidP="000C419E">
      <w:pPr>
        <w:spacing w:after="0" w:line="360" w:lineRule="auto"/>
        <w:ind w:left="1134" w:right="758"/>
        <w:jc w:val="both"/>
        <w:rPr>
          <w:rFonts w:ascii="Arial" w:eastAsia="Calibri" w:hAnsi="Arial" w:cs="Arial"/>
          <w:bCs/>
          <w:color w:val="000000" w:themeColor="text1"/>
          <w:sz w:val="26"/>
          <w:szCs w:val="26"/>
          <w:lang w:eastAsia="en-US"/>
        </w:rPr>
      </w:pPr>
    </w:p>
    <w:p w14:paraId="39B3292F" w14:textId="28FC0503" w:rsidR="004A0701" w:rsidRDefault="003958EC" w:rsidP="004A0701">
      <w:pPr>
        <w:spacing w:after="0" w:line="360" w:lineRule="auto"/>
        <w:ind w:firstLine="567"/>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t xml:space="preserve">Por lo que alega que, </w:t>
      </w:r>
      <w:r w:rsidR="00EA27F2" w:rsidRPr="007F56B9">
        <w:rPr>
          <w:rFonts w:ascii="Arial" w:eastAsia="Calibri" w:hAnsi="Arial" w:cs="Arial"/>
          <w:bCs/>
          <w:color w:val="000000" w:themeColor="text1"/>
          <w:sz w:val="26"/>
          <w:szCs w:val="26"/>
          <w:lang w:eastAsia="en-US"/>
        </w:rPr>
        <w:t xml:space="preserve">su representada actuó bajo la tesitura </w:t>
      </w:r>
      <w:r w:rsidRPr="007F56B9">
        <w:rPr>
          <w:rFonts w:ascii="Arial" w:eastAsia="Calibri" w:hAnsi="Arial" w:cs="Arial"/>
          <w:bCs/>
          <w:color w:val="000000" w:themeColor="text1"/>
          <w:sz w:val="26"/>
          <w:szCs w:val="26"/>
          <w:lang w:eastAsia="en-US"/>
        </w:rPr>
        <w:t xml:space="preserve">de los citados artículos, </w:t>
      </w:r>
      <w:r w:rsidR="00EA27F2" w:rsidRPr="007F56B9">
        <w:rPr>
          <w:rFonts w:ascii="Arial" w:eastAsia="Calibri" w:hAnsi="Arial" w:cs="Arial"/>
          <w:bCs/>
          <w:color w:val="000000" w:themeColor="text1"/>
          <w:sz w:val="26"/>
          <w:szCs w:val="26"/>
          <w:lang w:eastAsia="en-US"/>
        </w:rPr>
        <w:t xml:space="preserve">en los que </w:t>
      </w:r>
      <w:r w:rsidRPr="007F56B9">
        <w:rPr>
          <w:rFonts w:ascii="Arial" w:eastAsia="Calibri" w:hAnsi="Arial" w:cs="Arial"/>
          <w:bCs/>
          <w:color w:val="000000" w:themeColor="text1"/>
          <w:sz w:val="26"/>
          <w:szCs w:val="26"/>
          <w:lang w:eastAsia="en-US"/>
        </w:rPr>
        <w:t>se desprende que</w:t>
      </w:r>
      <w:r w:rsidR="00EA27F2" w:rsidRPr="007F56B9">
        <w:rPr>
          <w:rFonts w:ascii="Arial" w:eastAsia="Calibri" w:hAnsi="Arial" w:cs="Arial"/>
          <w:bCs/>
          <w:color w:val="000000" w:themeColor="text1"/>
          <w:sz w:val="26"/>
          <w:szCs w:val="26"/>
          <w:lang w:eastAsia="en-US"/>
        </w:rPr>
        <w:t xml:space="preserve"> dicha normatividad es aplicada de manera supletoria de conformidad con el artículo 60</w:t>
      </w:r>
      <w:r w:rsidR="00965007" w:rsidRPr="007F56B9">
        <w:rPr>
          <w:rFonts w:ascii="Arial" w:eastAsia="Calibri" w:hAnsi="Arial" w:cs="Arial"/>
          <w:bCs/>
          <w:color w:val="000000" w:themeColor="text1"/>
          <w:sz w:val="26"/>
          <w:szCs w:val="26"/>
          <w:lang w:eastAsia="en-US"/>
        </w:rPr>
        <w:t>,</w:t>
      </w:r>
      <w:r w:rsidR="00EA27F2" w:rsidRPr="007F56B9">
        <w:rPr>
          <w:rFonts w:ascii="Arial" w:eastAsia="Calibri" w:hAnsi="Arial" w:cs="Arial"/>
          <w:bCs/>
          <w:color w:val="000000" w:themeColor="text1"/>
          <w:sz w:val="26"/>
          <w:szCs w:val="26"/>
          <w:lang w:eastAsia="en-US"/>
        </w:rPr>
        <w:t xml:space="preserve"> párrafo segundo</w:t>
      </w:r>
      <w:r w:rsidR="00965007" w:rsidRPr="007F56B9">
        <w:rPr>
          <w:rFonts w:ascii="Arial" w:eastAsia="Calibri" w:hAnsi="Arial" w:cs="Arial"/>
          <w:bCs/>
          <w:color w:val="000000" w:themeColor="text1"/>
          <w:sz w:val="26"/>
          <w:szCs w:val="26"/>
          <w:lang w:eastAsia="en-US"/>
        </w:rPr>
        <w:t>,</w:t>
      </w:r>
      <w:r w:rsidR="00EA27F2" w:rsidRPr="007F56B9">
        <w:rPr>
          <w:rFonts w:ascii="Arial" w:eastAsia="Calibri" w:hAnsi="Arial" w:cs="Arial"/>
          <w:bCs/>
          <w:color w:val="000000" w:themeColor="text1"/>
          <w:sz w:val="26"/>
          <w:szCs w:val="26"/>
          <w:lang w:eastAsia="en-US"/>
        </w:rPr>
        <w:t xml:space="preserve"> de la Ley de Responsabilidades de los Servi</w:t>
      </w:r>
      <w:r w:rsidR="00565BED" w:rsidRPr="007F56B9">
        <w:rPr>
          <w:rFonts w:ascii="Arial" w:eastAsia="Calibri" w:hAnsi="Arial" w:cs="Arial"/>
          <w:bCs/>
          <w:color w:val="000000" w:themeColor="text1"/>
          <w:sz w:val="26"/>
          <w:szCs w:val="26"/>
          <w:lang w:eastAsia="en-US"/>
        </w:rPr>
        <w:t xml:space="preserve">dores </w:t>
      </w:r>
      <w:r w:rsidR="00EA27F2" w:rsidRPr="007F56B9">
        <w:rPr>
          <w:rFonts w:ascii="Arial" w:eastAsia="Calibri" w:hAnsi="Arial" w:cs="Arial"/>
          <w:bCs/>
          <w:color w:val="000000" w:themeColor="text1"/>
          <w:sz w:val="26"/>
          <w:szCs w:val="26"/>
          <w:lang w:eastAsia="en-US"/>
        </w:rPr>
        <w:t xml:space="preserve">Públicos del </w:t>
      </w:r>
      <w:r w:rsidR="00965007" w:rsidRPr="007F56B9">
        <w:rPr>
          <w:rFonts w:ascii="Arial" w:eastAsia="Calibri" w:hAnsi="Arial" w:cs="Arial"/>
          <w:bCs/>
          <w:color w:val="000000" w:themeColor="text1"/>
          <w:sz w:val="26"/>
          <w:szCs w:val="26"/>
          <w:lang w:eastAsia="en-US"/>
        </w:rPr>
        <w:t>Estado y Municipios de Oaxaca (v</w:t>
      </w:r>
      <w:r w:rsidR="00EA27F2" w:rsidRPr="007F56B9">
        <w:rPr>
          <w:rFonts w:ascii="Arial" w:eastAsia="Calibri" w:hAnsi="Arial" w:cs="Arial"/>
          <w:bCs/>
          <w:color w:val="000000" w:themeColor="text1"/>
          <w:sz w:val="26"/>
          <w:szCs w:val="26"/>
          <w:lang w:eastAsia="en-US"/>
        </w:rPr>
        <w:t>igente hasta antes de la entrada en vigor de las reformas estipuladas en el Decreto 2055, pu</w:t>
      </w:r>
      <w:r w:rsidR="00C85B4F" w:rsidRPr="007F56B9">
        <w:rPr>
          <w:rFonts w:ascii="Arial" w:eastAsia="Calibri" w:hAnsi="Arial" w:cs="Arial"/>
          <w:bCs/>
          <w:color w:val="000000" w:themeColor="text1"/>
          <w:sz w:val="26"/>
          <w:szCs w:val="26"/>
          <w:lang w:eastAsia="en-US"/>
        </w:rPr>
        <w:t>blicado en el Periódico Oficial Extra de</w:t>
      </w:r>
      <w:r w:rsidR="00853A6B" w:rsidRPr="007F56B9">
        <w:rPr>
          <w:rFonts w:ascii="Arial" w:eastAsia="Calibri" w:hAnsi="Arial" w:cs="Arial"/>
          <w:bCs/>
          <w:color w:val="000000" w:themeColor="text1"/>
          <w:sz w:val="26"/>
          <w:szCs w:val="26"/>
          <w:lang w:eastAsia="en-US"/>
        </w:rPr>
        <w:t xml:space="preserve"> </w:t>
      </w:r>
      <w:r w:rsidR="002F41B8" w:rsidRPr="007F56B9">
        <w:rPr>
          <w:rFonts w:ascii="Arial" w:eastAsia="Calibri" w:hAnsi="Arial" w:cs="Arial"/>
          <w:bCs/>
          <w:color w:val="000000" w:themeColor="text1"/>
          <w:sz w:val="26"/>
          <w:szCs w:val="26"/>
          <w:lang w:eastAsia="en-US"/>
        </w:rPr>
        <w:t xml:space="preserve">18 </w:t>
      </w:r>
      <w:r w:rsidR="00853A6B" w:rsidRPr="007F56B9">
        <w:rPr>
          <w:rFonts w:ascii="Arial" w:eastAsia="Calibri" w:hAnsi="Arial" w:cs="Arial"/>
          <w:bCs/>
          <w:color w:val="000000" w:themeColor="text1"/>
          <w:sz w:val="26"/>
          <w:szCs w:val="26"/>
          <w:lang w:eastAsia="en-US"/>
        </w:rPr>
        <w:t xml:space="preserve">dieciocho de octubre de </w:t>
      </w:r>
      <w:r w:rsidR="002F41B8" w:rsidRPr="007F56B9">
        <w:rPr>
          <w:rFonts w:ascii="Arial" w:eastAsia="Calibri" w:hAnsi="Arial" w:cs="Arial"/>
          <w:bCs/>
          <w:color w:val="000000" w:themeColor="text1"/>
          <w:sz w:val="26"/>
          <w:szCs w:val="26"/>
          <w:lang w:eastAsia="en-US"/>
        </w:rPr>
        <w:t xml:space="preserve">2013 </w:t>
      </w:r>
      <w:r w:rsidR="00853A6B" w:rsidRPr="007F56B9">
        <w:rPr>
          <w:rFonts w:ascii="Arial" w:eastAsia="Calibri" w:hAnsi="Arial" w:cs="Arial"/>
          <w:bCs/>
          <w:color w:val="000000" w:themeColor="text1"/>
          <w:sz w:val="26"/>
          <w:szCs w:val="26"/>
          <w:lang w:eastAsia="en-US"/>
        </w:rPr>
        <w:t>dos mil trece</w:t>
      </w:r>
      <w:r w:rsidR="00C85B4F" w:rsidRPr="007F56B9">
        <w:rPr>
          <w:rFonts w:ascii="Arial" w:eastAsia="Calibri" w:hAnsi="Arial" w:cs="Arial"/>
          <w:bCs/>
          <w:color w:val="000000" w:themeColor="text1"/>
          <w:sz w:val="26"/>
          <w:szCs w:val="26"/>
          <w:lang w:eastAsia="en-US"/>
        </w:rPr>
        <w:t xml:space="preserve"> y sus partes observadas publicadas en el Periódico Oficial Extra del </w:t>
      </w:r>
      <w:r w:rsidR="002F41B8" w:rsidRPr="007F56B9">
        <w:rPr>
          <w:rFonts w:ascii="Arial" w:eastAsia="Calibri" w:hAnsi="Arial" w:cs="Arial"/>
          <w:bCs/>
          <w:color w:val="000000" w:themeColor="text1"/>
          <w:sz w:val="26"/>
          <w:szCs w:val="26"/>
          <w:lang w:eastAsia="en-US"/>
        </w:rPr>
        <w:t xml:space="preserve">26 </w:t>
      </w:r>
      <w:r w:rsidR="00853A6B" w:rsidRPr="007F56B9">
        <w:rPr>
          <w:rFonts w:ascii="Arial" w:eastAsia="Calibri" w:hAnsi="Arial" w:cs="Arial"/>
          <w:bCs/>
          <w:color w:val="000000" w:themeColor="text1"/>
          <w:sz w:val="26"/>
          <w:szCs w:val="26"/>
          <w:lang w:eastAsia="en-US"/>
        </w:rPr>
        <w:t xml:space="preserve">veintiséis de diciembre de </w:t>
      </w:r>
      <w:r w:rsidR="002F41B8" w:rsidRPr="007F56B9">
        <w:rPr>
          <w:rFonts w:ascii="Arial" w:eastAsia="Calibri" w:hAnsi="Arial" w:cs="Arial"/>
          <w:bCs/>
          <w:color w:val="000000" w:themeColor="text1"/>
          <w:sz w:val="26"/>
          <w:szCs w:val="26"/>
          <w:lang w:eastAsia="en-US"/>
        </w:rPr>
        <w:t xml:space="preserve">2013 </w:t>
      </w:r>
      <w:r w:rsidR="00853A6B" w:rsidRPr="007F56B9">
        <w:rPr>
          <w:rFonts w:ascii="Arial" w:eastAsia="Calibri" w:hAnsi="Arial" w:cs="Arial"/>
          <w:bCs/>
          <w:color w:val="000000" w:themeColor="text1"/>
          <w:sz w:val="26"/>
          <w:szCs w:val="26"/>
          <w:lang w:eastAsia="en-US"/>
        </w:rPr>
        <w:t>dos mil trece</w:t>
      </w:r>
      <w:r w:rsidR="00C85B4F" w:rsidRPr="007F56B9">
        <w:rPr>
          <w:rFonts w:ascii="Arial" w:eastAsia="Calibri" w:hAnsi="Arial" w:cs="Arial"/>
          <w:bCs/>
          <w:color w:val="000000" w:themeColor="text1"/>
          <w:sz w:val="26"/>
          <w:szCs w:val="26"/>
          <w:lang w:eastAsia="en-US"/>
        </w:rPr>
        <w:t>, mediante Decreto 2074), ya que contrario a lo que resolvió la Quinta Sala de ese Tribunal de Justicia Administrativa para el Estado de Oaxaca, el acuerdo por el que se declaró que ha causado ejecutoria la resolución de fecha nueve de julio de dos mil dieciséis emitida dentro del Recurso de Revocación número 08/20</w:t>
      </w:r>
      <w:r w:rsidR="00565BED" w:rsidRPr="007F56B9">
        <w:rPr>
          <w:rFonts w:ascii="Arial" w:eastAsia="Calibri" w:hAnsi="Arial" w:cs="Arial"/>
          <w:bCs/>
          <w:color w:val="000000" w:themeColor="text1"/>
          <w:sz w:val="26"/>
          <w:szCs w:val="26"/>
          <w:lang w:eastAsia="en-US"/>
        </w:rPr>
        <w:t>1</w:t>
      </w:r>
      <w:r w:rsidR="00C85B4F" w:rsidRPr="007F56B9">
        <w:rPr>
          <w:rFonts w:ascii="Arial" w:eastAsia="Calibri" w:hAnsi="Arial" w:cs="Arial"/>
          <w:bCs/>
          <w:color w:val="000000" w:themeColor="text1"/>
          <w:sz w:val="26"/>
          <w:szCs w:val="26"/>
          <w:lang w:eastAsia="en-US"/>
        </w:rPr>
        <w:t xml:space="preserve">6, fue a razón que de </w:t>
      </w:r>
      <w:r w:rsidR="005C414E" w:rsidRPr="007F56B9">
        <w:rPr>
          <w:rFonts w:ascii="Arial" w:eastAsia="Calibri" w:hAnsi="Arial" w:cs="Arial"/>
          <w:bCs/>
          <w:color w:val="000000" w:themeColor="text1"/>
          <w:sz w:val="26"/>
          <w:szCs w:val="26"/>
          <w:lang w:eastAsia="en-US"/>
        </w:rPr>
        <w:t>conformidad a lo que estipula el artículo 40</w:t>
      </w:r>
      <w:r w:rsidR="00565BED" w:rsidRPr="007F56B9">
        <w:rPr>
          <w:rFonts w:ascii="Arial" w:eastAsia="Calibri" w:hAnsi="Arial" w:cs="Arial"/>
          <w:bCs/>
          <w:color w:val="000000" w:themeColor="text1"/>
          <w:sz w:val="26"/>
          <w:szCs w:val="26"/>
          <w:lang w:eastAsia="en-US"/>
        </w:rPr>
        <w:t>1,</w:t>
      </w:r>
      <w:r w:rsidR="005C414E" w:rsidRPr="007F56B9">
        <w:rPr>
          <w:rFonts w:ascii="Arial" w:eastAsia="Calibri" w:hAnsi="Arial" w:cs="Arial"/>
          <w:bCs/>
          <w:color w:val="000000" w:themeColor="text1"/>
          <w:sz w:val="26"/>
          <w:szCs w:val="26"/>
          <w:lang w:eastAsia="en-US"/>
        </w:rPr>
        <w:t xml:space="preserve"> del Código de Procedimientos Civiles </w:t>
      </w:r>
      <w:r w:rsidR="004A0701" w:rsidRPr="007F56B9">
        <w:rPr>
          <w:rFonts w:ascii="Arial" w:eastAsia="Calibri" w:hAnsi="Arial" w:cs="Arial"/>
          <w:bCs/>
          <w:color w:val="000000" w:themeColor="text1"/>
          <w:sz w:val="26"/>
          <w:szCs w:val="26"/>
          <w:lang w:eastAsia="en-US"/>
        </w:rPr>
        <w:t>para el Estado de Oaxaca, específicamente en las fracciones II y V, y que al tratarse de un recurso de revocación en el presente caso, no existe recurso alguno dentro de esta</w:t>
      </w:r>
      <w:r w:rsidR="00082683" w:rsidRPr="007F56B9">
        <w:rPr>
          <w:rFonts w:ascii="Arial" w:eastAsia="Calibri" w:hAnsi="Arial" w:cs="Arial"/>
          <w:bCs/>
          <w:color w:val="000000" w:themeColor="text1"/>
          <w:sz w:val="26"/>
          <w:szCs w:val="26"/>
          <w:lang w:eastAsia="en-US"/>
        </w:rPr>
        <w:t xml:space="preserve"> I</w:t>
      </w:r>
      <w:r w:rsidR="004A0701" w:rsidRPr="007F56B9">
        <w:rPr>
          <w:rFonts w:ascii="Arial" w:eastAsia="Calibri" w:hAnsi="Arial" w:cs="Arial"/>
          <w:bCs/>
          <w:color w:val="000000" w:themeColor="text1"/>
          <w:sz w:val="26"/>
          <w:szCs w:val="26"/>
          <w:lang w:eastAsia="en-US"/>
        </w:rPr>
        <w:t>nstancia administrativa por el cual se pueda impugnar la resolución antes citada.</w:t>
      </w:r>
      <w:r w:rsidR="00853A6B" w:rsidRPr="007F56B9">
        <w:rPr>
          <w:rFonts w:ascii="Arial" w:eastAsia="Calibri" w:hAnsi="Arial" w:cs="Arial"/>
          <w:bCs/>
          <w:color w:val="000000" w:themeColor="text1"/>
          <w:sz w:val="26"/>
          <w:szCs w:val="26"/>
          <w:lang w:eastAsia="en-US"/>
        </w:rPr>
        <w:t xml:space="preserve"> - - - - - - - - - - - - - - - - - - - - - - - - - - - - - - - - - - - </w:t>
      </w:r>
    </w:p>
    <w:p w14:paraId="675904E7" w14:textId="77777777" w:rsidR="005A1BF8" w:rsidRPr="007F56B9" w:rsidRDefault="005A1BF8" w:rsidP="005A1BF8">
      <w:pPr>
        <w:pStyle w:val="Sinespaciado"/>
        <w:rPr>
          <w:rFonts w:eastAsia="Calibri"/>
          <w:lang w:eastAsia="en-US"/>
        </w:rPr>
      </w:pPr>
    </w:p>
    <w:p w14:paraId="69912517" w14:textId="2DCAA765" w:rsidR="00470671" w:rsidRDefault="00470671" w:rsidP="00470671">
      <w:pPr>
        <w:spacing w:after="0" w:line="360" w:lineRule="auto"/>
        <w:ind w:firstLine="567"/>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t>La recurrente manifiesta</w:t>
      </w:r>
      <w:r w:rsidR="004A0701" w:rsidRPr="007F56B9">
        <w:rPr>
          <w:rFonts w:ascii="Arial" w:eastAsia="Calibri" w:hAnsi="Arial" w:cs="Arial"/>
          <w:bCs/>
          <w:color w:val="000000" w:themeColor="text1"/>
          <w:sz w:val="26"/>
          <w:szCs w:val="26"/>
          <w:lang w:eastAsia="en-US"/>
        </w:rPr>
        <w:t xml:space="preserve"> lo anterior, toda vez que de conformidad con el artículo 79</w:t>
      </w:r>
      <w:r w:rsidR="00565BED" w:rsidRPr="007F56B9">
        <w:rPr>
          <w:rFonts w:ascii="Arial" w:eastAsia="Calibri" w:hAnsi="Arial" w:cs="Arial"/>
          <w:bCs/>
          <w:color w:val="000000" w:themeColor="text1"/>
          <w:sz w:val="26"/>
          <w:szCs w:val="26"/>
          <w:lang w:eastAsia="en-US"/>
        </w:rPr>
        <w:t>,</w:t>
      </w:r>
      <w:r w:rsidR="004A0701" w:rsidRPr="007F56B9">
        <w:rPr>
          <w:rFonts w:ascii="Arial" w:eastAsia="Calibri" w:hAnsi="Arial" w:cs="Arial"/>
          <w:bCs/>
          <w:color w:val="000000" w:themeColor="text1"/>
          <w:sz w:val="26"/>
          <w:szCs w:val="26"/>
          <w:lang w:eastAsia="en-US"/>
        </w:rPr>
        <w:t xml:space="preserve"> último párrafo</w:t>
      </w:r>
      <w:r w:rsidR="00565BED" w:rsidRPr="007F56B9">
        <w:rPr>
          <w:rFonts w:ascii="Arial" w:eastAsia="Calibri" w:hAnsi="Arial" w:cs="Arial"/>
          <w:bCs/>
          <w:color w:val="000000" w:themeColor="text1"/>
          <w:sz w:val="26"/>
          <w:szCs w:val="26"/>
          <w:lang w:eastAsia="en-US"/>
        </w:rPr>
        <w:t>,</w:t>
      </w:r>
      <w:r w:rsidR="004A0701" w:rsidRPr="007F56B9">
        <w:rPr>
          <w:rFonts w:ascii="Arial" w:eastAsia="Calibri" w:hAnsi="Arial" w:cs="Arial"/>
          <w:bCs/>
          <w:color w:val="000000" w:themeColor="text1"/>
          <w:sz w:val="26"/>
          <w:szCs w:val="26"/>
          <w:lang w:eastAsia="en-US"/>
        </w:rPr>
        <w:t xml:space="preserve"> de la Ley de Responsabilidades de los Servidores Públicos del Estado y Municipios de Oaxaca (Vigente hasta antes de la entrada en vigor de las reformas estipuladas en el Decreto 2055, publicado en el Periódico Oficial Extra del 18</w:t>
      </w:r>
      <w:r w:rsidR="002F41B8" w:rsidRPr="007F56B9">
        <w:rPr>
          <w:rFonts w:ascii="Arial" w:eastAsia="Calibri" w:hAnsi="Arial" w:cs="Arial"/>
          <w:bCs/>
          <w:color w:val="000000" w:themeColor="text1"/>
          <w:sz w:val="26"/>
          <w:szCs w:val="26"/>
          <w:lang w:eastAsia="en-US"/>
        </w:rPr>
        <w:t xml:space="preserve"> dieciocho</w:t>
      </w:r>
      <w:r w:rsidR="004A0701" w:rsidRPr="007F56B9">
        <w:rPr>
          <w:rFonts w:ascii="Arial" w:eastAsia="Calibri" w:hAnsi="Arial" w:cs="Arial"/>
          <w:bCs/>
          <w:color w:val="000000" w:themeColor="text1"/>
          <w:sz w:val="26"/>
          <w:szCs w:val="26"/>
          <w:lang w:eastAsia="en-US"/>
        </w:rPr>
        <w:t xml:space="preserve"> de octubre de 2013</w:t>
      </w:r>
      <w:r w:rsidR="002F41B8" w:rsidRPr="007F56B9">
        <w:rPr>
          <w:rFonts w:ascii="Arial" w:eastAsia="Calibri" w:hAnsi="Arial" w:cs="Arial"/>
          <w:bCs/>
          <w:color w:val="000000" w:themeColor="text1"/>
          <w:sz w:val="26"/>
          <w:szCs w:val="26"/>
          <w:lang w:eastAsia="en-US"/>
        </w:rPr>
        <w:t xml:space="preserve"> dos mil trece</w:t>
      </w:r>
      <w:r w:rsidR="004A0701" w:rsidRPr="007F56B9">
        <w:rPr>
          <w:rFonts w:ascii="Arial" w:eastAsia="Calibri" w:hAnsi="Arial" w:cs="Arial"/>
          <w:bCs/>
          <w:color w:val="000000" w:themeColor="text1"/>
          <w:sz w:val="26"/>
          <w:szCs w:val="26"/>
          <w:lang w:eastAsia="en-US"/>
        </w:rPr>
        <w:t xml:space="preserve"> y sus partes observadas publicadas en el Periódico Oficial Extra del 26 </w:t>
      </w:r>
      <w:r w:rsidR="002F41B8" w:rsidRPr="007F56B9">
        <w:rPr>
          <w:rFonts w:ascii="Arial" w:eastAsia="Calibri" w:hAnsi="Arial" w:cs="Arial"/>
          <w:bCs/>
          <w:color w:val="000000" w:themeColor="text1"/>
          <w:sz w:val="26"/>
          <w:szCs w:val="26"/>
          <w:lang w:eastAsia="en-US"/>
        </w:rPr>
        <w:t xml:space="preserve">veintiséis </w:t>
      </w:r>
      <w:r w:rsidR="004A0701" w:rsidRPr="007F56B9">
        <w:rPr>
          <w:rFonts w:ascii="Arial" w:eastAsia="Calibri" w:hAnsi="Arial" w:cs="Arial"/>
          <w:bCs/>
          <w:color w:val="000000" w:themeColor="text1"/>
          <w:sz w:val="26"/>
          <w:szCs w:val="26"/>
          <w:lang w:eastAsia="en-US"/>
        </w:rPr>
        <w:t>de diciembre de 2013</w:t>
      </w:r>
      <w:r w:rsidR="002F41B8" w:rsidRPr="007F56B9">
        <w:rPr>
          <w:rFonts w:ascii="Arial" w:eastAsia="Calibri" w:hAnsi="Arial" w:cs="Arial"/>
          <w:bCs/>
          <w:color w:val="000000" w:themeColor="text1"/>
          <w:sz w:val="26"/>
          <w:szCs w:val="26"/>
          <w:lang w:eastAsia="en-US"/>
        </w:rPr>
        <w:t xml:space="preserve"> dos mil trece</w:t>
      </w:r>
      <w:r w:rsidR="004A0701" w:rsidRPr="007F56B9">
        <w:rPr>
          <w:rFonts w:ascii="Arial" w:eastAsia="Calibri" w:hAnsi="Arial" w:cs="Arial"/>
          <w:bCs/>
          <w:color w:val="000000" w:themeColor="text1"/>
          <w:sz w:val="26"/>
          <w:szCs w:val="26"/>
          <w:lang w:eastAsia="en-US"/>
        </w:rPr>
        <w:t xml:space="preserve">, mediante Decreto 2074), establece que las resoluciones que se dicten dentro del recurso de revocación serán </w:t>
      </w:r>
      <w:r w:rsidR="002558BB" w:rsidRPr="007F56B9">
        <w:rPr>
          <w:rFonts w:ascii="Arial" w:eastAsia="Calibri" w:hAnsi="Arial" w:cs="Arial"/>
          <w:bCs/>
          <w:color w:val="000000" w:themeColor="text1"/>
          <w:sz w:val="26"/>
          <w:szCs w:val="26"/>
          <w:lang w:eastAsia="en-US"/>
        </w:rPr>
        <w:t>in</w:t>
      </w:r>
      <w:r w:rsidR="004A0701" w:rsidRPr="007F56B9">
        <w:rPr>
          <w:rFonts w:ascii="Arial" w:eastAsia="Calibri" w:hAnsi="Arial" w:cs="Arial"/>
          <w:bCs/>
          <w:color w:val="000000" w:themeColor="text1"/>
          <w:sz w:val="26"/>
          <w:szCs w:val="26"/>
          <w:lang w:eastAsia="en-US"/>
        </w:rPr>
        <w:t>impugnables, por tal motivo</w:t>
      </w:r>
      <w:r w:rsidR="00D556EA" w:rsidRPr="007F56B9">
        <w:rPr>
          <w:rFonts w:ascii="Arial" w:eastAsia="Calibri" w:hAnsi="Arial" w:cs="Arial"/>
          <w:bCs/>
          <w:color w:val="000000" w:themeColor="text1"/>
          <w:sz w:val="26"/>
          <w:szCs w:val="26"/>
          <w:lang w:eastAsia="en-US"/>
        </w:rPr>
        <w:t xml:space="preserve"> el acuerdo de fecha </w:t>
      </w:r>
      <w:r w:rsidR="002F41B8" w:rsidRPr="007F56B9">
        <w:rPr>
          <w:rFonts w:ascii="Arial" w:eastAsia="Calibri" w:hAnsi="Arial" w:cs="Arial"/>
          <w:bCs/>
          <w:color w:val="000000" w:themeColor="text1"/>
          <w:sz w:val="26"/>
          <w:szCs w:val="26"/>
          <w:lang w:eastAsia="en-US"/>
        </w:rPr>
        <w:t xml:space="preserve">19 </w:t>
      </w:r>
      <w:r w:rsidR="00D556EA" w:rsidRPr="007F56B9">
        <w:rPr>
          <w:rFonts w:ascii="Arial" w:eastAsia="Calibri" w:hAnsi="Arial" w:cs="Arial"/>
          <w:bCs/>
          <w:color w:val="000000" w:themeColor="text1"/>
          <w:sz w:val="26"/>
          <w:szCs w:val="26"/>
          <w:lang w:eastAsia="en-US"/>
        </w:rPr>
        <w:t xml:space="preserve">diecinueve de octubre de </w:t>
      </w:r>
      <w:r w:rsidR="002F41B8" w:rsidRPr="007F56B9">
        <w:rPr>
          <w:rFonts w:ascii="Arial" w:eastAsia="Calibri" w:hAnsi="Arial" w:cs="Arial"/>
          <w:bCs/>
          <w:color w:val="000000" w:themeColor="text1"/>
          <w:sz w:val="26"/>
          <w:szCs w:val="26"/>
          <w:lang w:eastAsia="en-US"/>
        </w:rPr>
        <w:t xml:space="preserve">2016 </w:t>
      </w:r>
      <w:r w:rsidR="00D556EA" w:rsidRPr="007F56B9">
        <w:rPr>
          <w:rFonts w:ascii="Arial" w:eastAsia="Calibri" w:hAnsi="Arial" w:cs="Arial"/>
          <w:bCs/>
          <w:color w:val="000000" w:themeColor="text1"/>
          <w:sz w:val="26"/>
          <w:szCs w:val="26"/>
          <w:lang w:eastAsia="en-US"/>
        </w:rPr>
        <w:t>dos mil dieciséis por el cual se declaró que ha causado ejecutoria la resolución antes señalada y que se notificó por medio del oficio número SCTG/SRT/DRSP/RA-A/1137/2016 de fecha 27</w:t>
      </w:r>
      <w:r w:rsidR="002F41B8" w:rsidRPr="007F56B9">
        <w:rPr>
          <w:rFonts w:ascii="Arial" w:eastAsia="Calibri" w:hAnsi="Arial" w:cs="Arial"/>
          <w:bCs/>
          <w:color w:val="000000" w:themeColor="text1"/>
          <w:sz w:val="26"/>
          <w:szCs w:val="26"/>
          <w:lang w:eastAsia="en-US"/>
        </w:rPr>
        <w:t xml:space="preserve"> veintisiete</w:t>
      </w:r>
      <w:r w:rsidR="00D556EA" w:rsidRPr="007F56B9">
        <w:rPr>
          <w:rFonts w:ascii="Arial" w:eastAsia="Calibri" w:hAnsi="Arial" w:cs="Arial"/>
          <w:bCs/>
          <w:color w:val="000000" w:themeColor="text1"/>
          <w:sz w:val="26"/>
          <w:szCs w:val="26"/>
          <w:lang w:eastAsia="en-US"/>
        </w:rPr>
        <w:t xml:space="preserve"> de octubre de 2016</w:t>
      </w:r>
      <w:r w:rsidR="002F41B8" w:rsidRPr="007F56B9">
        <w:rPr>
          <w:rFonts w:ascii="Arial" w:eastAsia="Calibri" w:hAnsi="Arial" w:cs="Arial"/>
          <w:bCs/>
          <w:color w:val="000000" w:themeColor="text1"/>
          <w:sz w:val="26"/>
          <w:szCs w:val="26"/>
          <w:lang w:eastAsia="en-US"/>
        </w:rPr>
        <w:t xml:space="preserve"> dos mil dieciséis</w:t>
      </w:r>
      <w:r w:rsidR="00041EAB">
        <w:rPr>
          <w:rFonts w:ascii="Arial" w:eastAsia="Calibri" w:hAnsi="Arial" w:cs="Arial"/>
          <w:bCs/>
          <w:color w:val="000000" w:themeColor="text1"/>
          <w:sz w:val="26"/>
          <w:szCs w:val="26"/>
          <w:lang w:eastAsia="en-US"/>
        </w:rPr>
        <w:t>,</w:t>
      </w:r>
      <w:r w:rsidR="00D556EA" w:rsidRPr="007F56B9">
        <w:rPr>
          <w:rFonts w:ascii="Arial" w:eastAsia="Calibri" w:hAnsi="Arial" w:cs="Arial"/>
          <w:bCs/>
          <w:color w:val="000000" w:themeColor="text1"/>
          <w:sz w:val="26"/>
          <w:szCs w:val="26"/>
          <w:lang w:eastAsia="en-US"/>
        </w:rPr>
        <w:t xml:space="preserve"> signado por el Jefe del Departamento de Responsabilidades Administrativas ‘’A’’, se encuentra debidamente fundad</w:t>
      </w:r>
      <w:r w:rsidR="00853A6B" w:rsidRPr="007F56B9">
        <w:rPr>
          <w:rFonts w:ascii="Arial" w:eastAsia="Calibri" w:hAnsi="Arial" w:cs="Arial"/>
          <w:bCs/>
          <w:color w:val="000000" w:themeColor="text1"/>
          <w:sz w:val="26"/>
          <w:szCs w:val="26"/>
          <w:lang w:eastAsia="en-US"/>
        </w:rPr>
        <w:t>o</w:t>
      </w:r>
      <w:r w:rsidR="00D556EA" w:rsidRPr="007F56B9">
        <w:rPr>
          <w:rFonts w:ascii="Arial" w:eastAsia="Calibri" w:hAnsi="Arial" w:cs="Arial"/>
          <w:bCs/>
          <w:color w:val="000000" w:themeColor="text1"/>
          <w:sz w:val="26"/>
          <w:szCs w:val="26"/>
          <w:lang w:eastAsia="en-US"/>
        </w:rPr>
        <w:t xml:space="preserve"> y motivad</w:t>
      </w:r>
      <w:r w:rsidR="00853A6B" w:rsidRPr="007F56B9">
        <w:rPr>
          <w:rFonts w:ascii="Arial" w:eastAsia="Calibri" w:hAnsi="Arial" w:cs="Arial"/>
          <w:bCs/>
          <w:color w:val="000000" w:themeColor="text1"/>
          <w:sz w:val="26"/>
          <w:szCs w:val="26"/>
          <w:lang w:eastAsia="en-US"/>
        </w:rPr>
        <w:t>o</w:t>
      </w:r>
      <w:r w:rsidR="00D556EA" w:rsidRPr="007F56B9">
        <w:rPr>
          <w:rFonts w:ascii="Arial" w:eastAsia="Calibri" w:hAnsi="Arial" w:cs="Arial"/>
          <w:bCs/>
          <w:color w:val="000000" w:themeColor="text1"/>
          <w:sz w:val="26"/>
          <w:szCs w:val="26"/>
          <w:lang w:eastAsia="en-US"/>
        </w:rPr>
        <w:t xml:space="preserve"> de conformidad con </w:t>
      </w:r>
      <w:r w:rsidR="00565BED" w:rsidRPr="007F56B9">
        <w:rPr>
          <w:rFonts w:ascii="Arial" w:eastAsia="Calibri" w:hAnsi="Arial" w:cs="Arial"/>
          <w:bCs/>
          <w:color w:val="000000" w:themeColor="text1"/>
          <w:sz w:val="26"/>
          <w:szCs w:val="26"/>
          <w:lang w:eastAsia="en-US"/>
        </w:rPr>
        <w:t>l</w:t>
      </w:r>
      <w:r w:rsidR="00D556EA" w:rsidRPr="007F56B9">
        <w:rPr>
          <w:rFonts w:ascii="Arial" w:eastAsia="Calibri" w:hAnsi="Arial" w:cs="Arial"/>
          <w:bCs/>
          <w:color w:val="000000" w:themeColor="text1"/>
          <w:sz w:val="26"/>
          <w:szCs w:val="26"/>
          <w:lang w:eastAsia="en-US"/>
        </w:rPr>
        <w:t>os artículos antes señalados.</w:t>
      </w:r>
    </w:p>
    <w:p w14:paraId="5284891C" w14:textId="77777777" w:rsidR="00041EAB" w:rsidRPr="007F56B9" w:rsidRDefault="00041EAB" w:rsidP="00041EAB">
      <w:pPr>
        <w:pStyle w:val="Sinespaciado"/>
        <w:rPr>
          <w:rFonts w:eastAsia="Calibri"/>
          <w:lang w:eastAsia="en-US"/>
        </w:rPr>
      </w:pPr>
    </w:p>
    <w:p w14:paraId="70A8F14A" w14:textId="77777777" w:rsidR="00F22937" w:rsidRDefault="00964B1E" w:rsidP="00E3516B">
      <w:pPr>
        <w:spacing w:after="0" w:line="360" w:lineRule="auto"/>
        <w:ind w:firstLine="709"/>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t xml:space="preserve"> </w:t>
      </w:r>
      <w:r w:rsidR="00E3516B" w:rsidRPr="007F56B9">
        <w:rPr>
          <w:rFonts w:ascii="Arial" w:eastAsia="Calibri" w:hAnsi="Arial" w:cs="Arial"/>
          <w:bCs/>
          <w:color w:val="000000" w:themeColor="text1"/>
          <w:sz w:val="26"/>
          <w:szCs w:val="26"/>
          <w:lang w:eastAsia="en-US"/>
        </w:rPr>
        <w:t>Asimismo, invoca</w:t>
      </w:r>
      <w:r w:rsidR="00565BED" w:rsidRPr="007F56B9">
        <w:rPr>
          <w:rFonts w:ascii="Arial" w:eastAsia="Calibri" w:hAnsi="Arial" w:cs="Arial"/>
          <w:bCs/>
          <w:color w:val="000000" w:themeColor="text1"/>
          <w:sz w:val="26"/>
          <w:szCs w:val="26"/>
          <w:lang w:eastAsia="en-US"/>
        </w:rPr>
        <w:t xml:space="preserve"> en</w:t>
      </w:r>
      <w:r w:rsidR="008474F5" w:rsidRPr="007F56B9">
        <w:rPr>
          <w:rFonts w:ascii="Arial" w:eastAsia="Calibri" w:hAnsi="Arial" w:cs="Arial"/>
          <w:bCs/>
          <w:color w:val="000000" w:themeColor="text1"/>
          <w:sz w:val="26"/>
          <w:szCs w:val="26"/>
          <w:lang w:eastAsia="en-US"/>
        </w:rPr>
        <w:t xml:space="preserve"> apoyo </w:t>
      </w:r>
      <w:r w:rsidR="00B41119" w:rsidRPr="007F56B9">
        <w:rPr>
          <w:rFonts w:ascii="Arial" w:eastAsia="Calibri" w:hAnsi="Arial" w:cs="Arial"/>
          <w:bCs/>
          <w:color w:val="000000" w:themeColor="text1"/>
          <w:sz w:val="26"/>
          <w:szCs w:val="26"/>
          <w:lang w:eastAsia="en-US"/>
        </w:rPr>
        <w:t>la Tesis Aislada con número de registro 205262</w:t>
      </w:r>
      <w:r w:rsidR="008474F5" w:rsidRPr="007F56B9">
        <w:rPr>
          <w:rFonts w:ascii="Arial" w:eastAsia="Calibri" w:hAnsi="Arial" w:cs="Arial"/>
          <w:bCs/>
          <w:color w:val="000000" w:themeColor="text1"/>
          <w:sz w:val="26"/>
          <w:szCs w:val="26"/>
          <w:lang w:eastAsia="en-US"/>
        </w:rPr>
        <w:t xml:space="preserve">, con rubro: </w:t>
      </w:r>
      <w:r w:rsidR="008474F5" w:rsidRPr="007F56B9">
        <w:rPr>
          <w:rFonts w:ascii="Arial" w:eastAsia="Calibri" w:hAnsi="Arial" w:cs="Arial"/>
          <w:b/>
          <w:color w:val="000000" w:themeColor="text1"/>
          <w:sz w:val="26"/>
          <w:szCs w:val="26"/>
          <w:lang w:eastAsia="en-US"/>
        </w:rPr>
        <w:t xml:space="preserve">SENTENCIAS DE SEGUNDA INSTANCIA. CAUSAN ESTADO LAS, POR MINISTERIO DE LEY, </w:t>
      </w:r>
      <w:r w:rsidR="00B41119" w:rsidRPr="007F56B9">
        <w:rPr>
          <w:rFonts w:ascii="Arial" w:eastAsia="Calibri" w:hAnsi="Arial" w:cs="Arial"/>
          <w:bCs/>
          <w:color w:val="000000" w:themeColor="text1"/>
          <w:sz w:val="26"/>
          <w:szCs w:val="26"/>
          <w:lang w:eastAsia="en-US"/>
        </w:rPr>
        <w:t>del Sem</w:t>
      </w:r>
      <w:r w:rsidR="00565BED" w:rsidRPr="007F56B9">
        <w:rPr>
          <w:rFonts w:ascii="Arial" w:eastAsia="Calibri" w:hAnsi="Arial" w:cs="Arial"/>
          <w:bCs/>
          <w:color w:val="000000" w:themeColor="text1"/>
          <w:sz w:val="26"/>
          <w:szCs w:val="26"/>
          <w:lang w:eastAsia="en-US"/>
        </w:rPr>
        <w:t>a</w:t>
      </w:r>
      <w:r w:rsidR="00B41119" w:rsidRPr="007F56B9">
        <w:rPr>
          <w:rFonts w:ascii="Arial" w:eastAsia="Calibri" w:hAnsi="Arial" w:cs="Arial"/>
          <w:bCs/>
          <w:color w:val="000000" w:themeColor="text1"/>
          <w:sz w:val="26"/>
          <w:szCs w:val="26"/>
          <w:lang w:eastAsia="en-US"/>
        </w:rPr>
        <w:t>nario Judicial de la Federación y su Gaceta, Novena Época, Tribunales Colegiados de Circuito, Tomo I, Mayo de 1995, Pág. 406</w:t>
      </w:r>
      <w:r w:rsidR="008474F5" w:rsidRPr="007F56B9">
        <w:rPr>
          <w:rFonts w:ascii="Arial" w:eastAsia="Calibri" w:hAnsi="Arial" w:cs="Arial"/>
          <w:bCs/>
          <w:color w:val="000000" w:themeColor="text1"/>
          <w:sz w:val="26"/>
          <w:szCs w:val="26"/>
          <w:lang w:eastAsia="en-US"/>
        </w:rPr>
        <w:t xml:space="preserve">. </w:t>
      </w:r>
      <w:r w:rsidR="00B41119" w:rsidRPr="007F56B9">
        <w:rPr>
          <w:rFonts w:ascii="Arial" w:eastAsia="Calibri" w:hAnsi="Arial" w:cs="Arial"/>
          <w:bCs/>
          <w:color w:val="000000" w:themeColor="text1"/>
          <w:sz w:val="26"/>
          <w:szCs w:val="26"/>
          <w:lang w:eastAsia="en-US"/>
        </w:rPr>
        <w:t>(</w:t>
      </w:r>
      <w:r w:rsidR="00836E6B" w:rsidRPr="007F56B9">
        <w:rPr>
          <w:rFonts w:ascii="Arial" w:eastAsia="Calibri" w:hAnsi="Arial" w:cs="Arial"/>
          <w:bCs/>
          <w:color w:val="000000" w:themeColor="text1"/>
          <w:sz w:val="26"/>
          <w:szCs w:val="26"/>
          <w:lang w:eastAsia="en-US"/>
        </w:rPr>
        <w:t>T</w:t>
      </w:r>
      <w:r w:rsidR="0065408C" w:rsidRPr="007F56B9">
        <w:rPr>
          <w:rFonts w:ascii="Arial" w:eastAsia="Calibri" w:hAnsi="Arial" w:cs="Arial"/>
          <w:bCs/>
          <w:color w:val="000000" w:themeColor="text1"/>
          <w:sz w:val="26"/>
          <w:szCs w:val="26"/>
          <w:lang w:eastAsia="en-US"/>
        </w:rPr>
        <w:t xml:space="preserve">ranscribe </w:t>
      </w:r>
      <w:r w:rsidR="00B41119" w:rsidRPr="007F56B9">
        <w:rPr>
          <w:rFonts w:ascii="Arial" w:eastAsia="Calibri" w:hAnsi="Arial" w:cs="Arial"/>
          <w:bCs/>
          <w:color w:val="000000" w:themeColor="text1"/>
          <w:sz w:val="26"/>
          <w:szCs w:val="26"/>
          <w:lang w:eastAsia="en-US"/>
        </w:rPr>
        <w:t>Tes</w:t>
      </w:r>
      <w:r w:rsidR="00E3516B" w:rsidRPr="007F56B9">
        <w:rPr>
          <w:rFonts w:ascii="Arial" w:eastAsia="Calibri" w:hAnsi="Arial" w:cs="Arial"/>
          <w:bCs/>
          <w:color w:val="000000" w:themeColor="text1"/>
          <w:sz w:val="26"/>
          <w:szCs w:val="26"/>
          <w:lang w:eastAsia="en-US"/>
        </w:rPr>
        <w:t>is</w:t>
      </w:r>
      <w:r w:rsidR="00B41119" w:rsidRPr="007F56B9">
        <w:rPr>
          <w:rFonts w:ascii="Arial" w:eastAsia="Calibri" w:hAnsi="Arial" w:cs="Arial"/>
          <w:bCs/>
          <w:color w:val="000000" w:themeColor="text1"/>
          <w:sz w:val="26"/>
          <w:szCs w:val="26"/>
          <w:lang w:eastAsia="en-US"/>
        </w:rPr>
        <w:t xml:space="preserve"> Aislada). </w:t>
      </w:r>
      <w:r w:rsidR="00565BED" w:rsidRPr="007F56B9">
        <w:rPr>
          <w:rFonts w:ascii="Arial" w:eastAsia="Calibri" w:hAnsi="Arial" w:cs="Arial"/>
          <w:bCs/>
          <w:color w:val="000000" w:themeColor="text1"/>
          <w:sz w:val="26"/>
          <w:szCs w:val="26"/>
          <w:lang w:eastAsia="en-US"/>
        </w:rPr>
        <w:t>- - - - - - - - - - - - - - - - - - - - - - - - - - - - - - - - - - - - - - - - -</w:t>
      </w:r>
    </w:p>
    <w:p w14:paraId="30D00001" w14:textId="63849730" w:rsidR="00E3516B" w:rsidRPr="007F56B9" w:rsidRDefault="00565BED" w:rsidP="00F22937">
      <w:pPr>
        <w:pStyle w:val="Sinespaciado"/>
        <w:rPr>
          <w:rFonts w:eastAsia="Calibri"/>
          <w:lang w:eastAsia="en-US"/>
        </w:rPr>
      </w:pPr>
      <w:r w:rsidRPr="007F56B9">
        <w:rPr>
          <w:rFonts w:eastAsia="Calibri"/>
          <w:lang w:eastAsia="en-US"/>
        </w:rPr>
        <w:t xml:space="preserve"> </w:t>
      </w:r>
    </w:p>
    <w:p w14:paraId="5D627C2E" w14:textId="54B12213" w:rsidR="00082683" w:rsidRDefault="00082683" w:rsidP="00E3516B">
      <w:pPr>
        <w:spacing w:after="0" w:line="360" w:lineRule="auto"/>
        <w:ind w:firstLine="709"/>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t>Por lo tanto, la recurrente a</w:t>
      </w:r>
      <w:r w:rsidR="00516E4D" w:rsidRPr="007F56B9">
        <w:rPr>
          <w:rFonts w:ascii="Arial" w:eastAsia="Calibri" w:hAnsi="Arial" w:cs="Arial"/>
          <w:bCs/>
          <w:color w:val="000000" w:themeColor="text1"/>
          <w:sz w:val="26"/>
          <w:szCs w:val="26"/>
          <w:lang w:eastAsia="en-US"/>
        </w:rPr>
        <w:t>duce</w:t>
      </w:r>
      <w:r w:rsidRPr="007F56B9">
        <w:rPr>
          <w:rFonts w:ascii="Arial" w:eastAsia="Calibri" w:hAnsi="Arial" w:cs="Arial"/>
          <w:bCs/>
          <w:color w:val="000000" w:themeColor="text1"/>
          <w:sz w:val="26"/>
          <w:szCs w:val="26"/>
          <w:lang w:eastAsia="en-US"/>
        </w:rPr>
        <w:t xml:space="preserve"> que, por los motivo</w:t>
      </w:r>
      <w:r w:rsidR="00516E4D" w:rsidRPr="007F56B9">
        <w:rPr>
          <w:rFonts w:ascii="Arial" w:eastAsia="Calibri" w:hAnsi="Arial" w:cs="Arial"/>
          <w:bCs/>
          <w:color w:val="000000" w:themeColor="text1"/>
          <w:sz w:val="26"/>
          <w:szCs w:val="26"/>
          <w:lang w:eastAsia="en-US"/>
        </w:rPr>
        <w:t xml:space="preserve">s y fundamentos antes expresados, solicita a la Sala Superior que proceda a revocar la sentencia de fecha </w:t>
      </w:r>
      <w:r w:rsidR="002F41B8" w:rsidRPr="007F56B9">
        <w:rPr>
          <w:rFonts w:ascii="Arial" w:eastAsia="Calibri" w:hAnsi="Arial" w:cs="Arial"/>
          <w:bCs/>
          <w:color w:val="000000" w:themeColor="text1"/>
          <w:sz w:val="26"/>
          <w:szCs w:val="26"/>
          <w:lang w:eastAsia="en-US"/>
        </w:rPr>
        <w:t xml:space="preserve">7 </w:t>
      </w:r>
      <w:r w:rsidR="00516E4D" w:rsidRPr="007F56B9">
        <w:rPr>
          <w:rFonts w:ascii="Arial" w:eastAsia="Calibri" w:hAnsi="Arial" w:cs="Arial"/>
          <w:bCs/>
          <w:color w:val="000000" w:themeColor="text1"/>
          <w:sz w:val="26"/>
          <w:szCs w:val="26"/>
          <w:lang w:eastAsia="en-US"/>
        </w:rPr>
        <w:t xml:space="preserve">siete de septiembre de </w:t>
      </w:r>
      <w:r w:rsidR="002F41B8" w:rsidRPr="007F56B9">
        <w:rPr>
          <w:rFonts w:ascii="Arial" w:eastAsia="Calibri" w:hAnsi="Arial" w:cs="Arial"/>
          <w:bCs/>
          <w:color w:val="000000" w:themeColor="text1"/>
          <w:sz w:val="26"/>
          <w:szCs w:val="26"/>
          <w:lang w:eastAsia="en-US"/>
        </w:rPr>
        <w:t xml:space="preserve">2020 </w:t>
      </w:r>
      <w:r w:rsidR="00516E4D" w:rsidRPr="007F56B9">
        <w:rPr>
          <w:rFonts w:ascii="Arial" w:eastAsia="Calibri" w:hAnsi="Arial" w:cs="Arial"/>
          <w:bCs/>
          <w:color w:val="000000" w:themeColor="text1"/>
          <w:sz w:val="26"/>
          <w:szCs w:val="26"/>
          <w:lang w:eastAsia="en-US"/>
        </w:rPr>
        <w:t>dos mil veinte declarando la legalidad del acto reclamado por ser dictado conforme a derecho.</w:t>
      </w:r>
      <w:r w:rsidR="00565BED" w:rsidRPr="007F56B9">
        <w:rPr>
          <w:rFonts w:ascii="Arial" w:eastAsia="Calibri" w:hAnsi="Arial" w:cs="Arial"/>
          <w:bCs/>
          <w:color w:val="000000" w:themeColor="text1"/>
          <w:sz w:val="26"/>
          <w:szCs w:val="26"/>
          <w:lang w:eastAsia="en-US"/>
        </w:rPr>
        <w:t xml:space="preserve"> - - - - - - - - - - - - - - - - - - - - - - - - - - - - - - - - - - - - - </w:t>
      </w:r>
    </w:p>
    <w:p w14:paraId="2A7509BF" w14:textId="77777777" w:rsidR="00B3679E" w:rsidRPr="007F56B9" w:rsidRDefault="00B3679E" w:rsidP="00B3679E">
      <w:pPr>
        <w:pStyle w:val="Sinespaciado"/>
        <w:rPr>
          <w:rFonts w:eastAsia="Calibri"/>
          <w:lang w:eastAsia="en-US"/>
        </w:rPr>
      </w:pPr>
    </w:p>
    <w:p w14:paraId="5A89B675" w14:textId="77777777" w:rsidR="00750BB4" w:rsidRDefault="002558BB" w:rsidP="00CC4698">
      <w:pPr>
        <w:spacing w:after="0" w:line="360" w:lineRule="auto"/>
        <w:ind w:firstLine="709"/>
        <w:jc w:val="both"/>
        <w:rPr>
          <w:rFonts w:ascii="Arial" w:hAnsi="Arial" w:cs="Arial"/>
          <w:sz w:val="26"/>
          <w:szCs w:val="26"/>
        </w:rPr>
      </w:pPr>
      <w:r w:rsidRPr="007F56B9">
        <w:rPr>
          <w:rFonts w:ascii="Arial" w:eastAsia="Calibri" w:hAnsi="Arial" w:cs="Arial"/>
          <w:b/>
          <w:bCs/>
          <w:color w:val="000000" w:themeColor="text1"/>
          <w:sz w:val="26"/>
          <w:szCs w:val="26"/>
          <w:lang w:eastAsia="en-US"/>
        </w:rPr>
        <w:t>El primer agravio es infundado</w:t>
      </w:r>
      <w:r w:rsidRPr="007F56B9">
        <w:rPr>
          <w:rFonts w:ascii="Arial" w:eastAsia="Calibri" w:hAnsi="Arial" w:cs="Arial"/>
          <w:bCs/>
          <w:color w:val="000000" w:themeColor="text1"/>
          <w:sz w:val="26"/>
          <w:szCs w:val="26"/>
          <w:lang w:eastAsia="en-US"/>
        </w:rPr>
        <w:t>,</w:t>
      </w:r>
      <w:r w:rsidR="0084128B" w:rsidRPr="007F56B9">
        <w:rPr>
          <w:rFonts w:ascii="Arial" w:eastAsia="Calibri" w:hAnsi="Arial" w:cs="Arial"/>
          <w:bCs/>
          <w:color w:val="000000" w:themeColor="text1"/>
          <w:sz w:val="26"/>
          <w:szCs w:val="26"/>
          <w:lang w:eastAsia="en-US"/>
        </w:rPr>
        <w:t xml:space="preserve"> porque</w:t>
      </w:r>
      <w:r w:rsidRPr="007F56B9">
        <w:rPr>
          <w:rFonts w:ascii="Arial" w:eastAsia="Calibri" w:hAnsi="Arial" w:cs="Arial"/>
          <w:bCs/>
          <w:color w:val="000000" w:themeColor="text1"/>
          <w:sz w:val="26"/>
          <w:szCs w:val="26"/>
          <w:lang w:eastAsia="en-US"/>
        </w:rPr>
        <w:t xml:space="preserve"> aunado a lo </w:t>
      </w:r>
      <w:r w:rsidR="0084128B" w:rsidRPr="007F56B9">
        <w:rPr>
          <w:rFonts w:ascii="Arial" w:eastAsia="Calibri" w:hAnsi="Arial" w:cs="Arial"/>
          <w:bCs/>
          <w:color w:val="000000" w:themeColor="text1"/>
          <w:sz w:val="26"/>
          <w:szCs w:val="26"/>
          <w:lang w:eastAsia="en-US"/>
        </w:rPr>
        <w:t>expuesto</w:t>
      </w:r>
      <w:r w:rsidRPr="007F56B9">
        <w:rPr>
          <w:rFonts w:ascii="Arial" w:eastAsia="Calibri" w:hAnsi="Arial" w:cs="Arial"/>
          <w:bCs/>
          <w:color w:val="000000" w:themeColor="text1"/>
          <w:sz w:val="26"/>
          <w:szCs w:val="26"/>
          <w:lang w:eastAsia="en-US"/>
        </w:rPr>
        <w:t xml:space="preserve"> por la Sala de Primera Instancia en </w:t>
      </w:r>
      <w:r w:rsidR="0084128B" w:rsidRPr="007F56B9">
        <w:rPr>
          <w:rFonts w:ascii="Arial" w:eastAsia="Calibri" w:hAnsi="Arial" w:cs="Arial"/>
          <w:bCs/>
          <w:color w:val="000000" w:themeColor="text1"/>
          <w:sz w:val="26"/>
          <w:szCs w:val="26"/>
          <w:lang w:eastAsia="en-US"/>
        </w:rPr>
        <w:t>el considerando cuarto de la</w:t>
      </w:r>
      <w:r w:rsidRPr="007F56B9">
        <w:rPr>
          <w:rFonts w:ascii="Arial" w:eastAsia="Calibri" w:hAnsi="Arial" w:cs="Arial"/>
          <w:bCs/>
          <w:color w:val="000000" w:themeColor="text1"/>
          <w:sz w:val="26"/>
          <w:szCs w:val="26"/>
          <w:lang w:eastAsia="en-US"/>
        </w:rPr>
        <w:t xml:space="preserve"> sentencia que se revisa, </w:t>
      </w:r>
      <w:r w:rsidR="0084128B" w:rsidRPr="007F56B9">
        <w:rPr>
          <w:rFonts w:ascii="Arial" w:eastAsia="Calibri" w:hAnsi="Arial" w:cs="Arial"/>
          <w:bCs/>
          <w:color w:val="000000" w:themeColor="text1"/>
          <w:sz w:val="26"/>
          <w:szCs w:val="26"/>
          <w:lang w:eastAsia="en-US"/>
        </w:rPr>
        <w:t xml:space="preserve">que señaló que la autoridad demandada no fundó ni motivó su actuar del por qué la resolución de 9 nueve de julio de 2016 dos mil dieciséis </w:t>
      </w:r>
      <w:r w:rsidR="00DF637C" w:rsidRPr="007F56B9">
        <w:rPr>
          <w:rFonts w:ascii="Arial" w:eastAsia="Calibri" w:hAnsi="Arial" w:cs="Arial"/>
          <w:bCs/>
          <w:color w:val="000000" w:themeColor="text1"/>
          <w:sz w:val="26"/>
          <w:szCs w:val="26"/>
          <w:lang w:eastAsia="en-US"/>
        </w:rPr>
        <w:t xml:space="preserve">causó ejecutoria, al citar únicamente los artículos 400 y 401 del Código de Procedimientos Civiles para el Estado de Oaxaca, aplicado </w:t>
      </w:r>
      <w:r w:rsidR="00565BED" w:rsidRPr="007F56B9">
        <w:rPr>
          <w:rFonts w:ascii="Arial" w:eastAsia="Calibri" w:hAnsi="Arial" w:cs="Arial"/>
          <w:bCs/>
          <w:color w:val="000000" w:themeColor="text1"/>
          <w:sz w:val="26"/>
          <w:szCs w:val="26"/>
          <w:lang w:eastAsia="en-US"/>
        </w:rPr>
        <w:t xml:space="preserve">de </w:t>
      </w:r>
      <w:r w:rsidR="00DF637C" w:rsidRPr="007F56B9">
        <w:rPr>
          <w:rFonts w:ascii="Arial" w:eastAsia="Calibri" w:hAnsi="Arial" w:cs="Arial"/>
          <w:bCs/>
          <w:color w:val="000000" w:themeColor="text1"/>
          <w:sz w:val="26"/>
          <w:szCs w:val="26"/>
          <w:lang w:eastAsia="en-US"/>
        </w:rPr>
        <w:t>manera supletoria y el artículo 60, párrafo segundo</w:t>
      </w:r>
      <w:r w:rsidR="00422E20" w:rsidRPr="007F56B9">
        <w:rPr>
          <w:rFonts w:ascii="Arial" w:eastAsia="Calibri" w:hAnsi="Arial" w:cs="Arial"/>
          <w:bCs/>
          <w:color w:val="000000" w:themeColor="text1"/>
          <w:sz w:val="26"/>
          <w:szCs w:val="26"/>
          <w:lang w:eastAsia="en-US"/>
        </w:rPr>
        <w:t>,</w:t>
      </w:r>
      <w:r w:rsidR="00DF637C" w:rsidRPr="007F56B9">
        <w:rPr>
          <w:rFonts w:ascii="Arial" w:eastAsia="Calibri" w:hAnsi="Arial" w:cs="Arial"/>
          <w:bCs/>
          <w:color w:val="000000" w:themeColor="text1"/>
          <w:sz w:val="26"/>
          <w:szCs w:val="26"/>
          <w:lang w:eastAsia="en-US"/>
        </w:rPr>
        <w:t xml:space="preserve"> de la Ley de Responsabilidades de los Servidores Públicos del Estado y Municipios de Oaxaca, </w:t>
      </w:r>
      <w:r w:rsidR="00DF637C" w:rsidRPr="007F56B9">
        <w:rPr>
          <w:rFonts w:ascii="Arial" w:eastAsia="Calibri" w:hAnsi="Arial" w:cs="Arial"/>
          <w:b/>
          <w:color w:val="000000" w:themeColor="text1"/>
          <w:sz w:val="26"/>
          <w:szCs w:val="26"/>
          <w:lang w:eastAsia="en-US"/>
        </w:rPr>
        <w:t xml:space="preserve">los cuales no establecen el plazo que </w:t>
      </w:r>
      <w:r w:rsidR="00DF637C" w:rsidRPr="007F56B9">
        <w:rPr>
          <w:rFonts w:ascii="Arial" w:eastAsia="Calibri" w:hAnsi="Arial" w:cs="Arial"/>
          <w:b/>
          <w:color w:val="000000" w:themeColor="text1"/>
          <w:sz w:val="26"/>
          <w:szCs w:val="26"/>
          <w:lang w:eastAsia="en-US"/>
        </w:rPr>
        <w:lastRenderedPageBreak/>
        <w:t>debe transcurrir para que cause ejecutoria la citada resolución</w:t>
      </w:r>
      <w:r w:rsidR="00DF637C" w:rsidRPr="007F56B9">
        <w:rPr>
          <w:rFonts w:ascii="Arial" w:eastAsia="Calibri" w:hAnsi="Arial" w:cs="Arial"/>
          <w:bCs/>
          <w:color w:val="000000" w:themeColor="text1"/>
          <w:sz w:val="26"/>
          <w:szCs w:val="26"/>
          <w:lang w:eastAsia="en-US"/>
        </w:rPr>
        <w:t xml:space="preserve">, soslayando el derecho del actor para poder </w:t>
      </w:r>
      <w:r w:rsidR="002D2F4F" w:rsidRPr="007F56B9">
        <w:rPr>
          <w:rFonts w:ascii="Arial" w:eastAsia="Calibri" w:hAnsi="Arial" w:cs="Arial"/>
          <w:bCs/>
          <w:color w:val="000000" w:themeColor="text1"/>
          <w:sz w:val="26"/>
          <w:szCs w:val="26"/>
          <w:lang w:eastAsia="en-US"/>
        </w:rPr>
        <w:t>impugnar</w:t>
      </w:r>
      <w:r w:rsidR="00DF637C" w:rsidRPr="007F56B9">
        <w:rPr>
          <w:rFonts w:ascii="Arial" w:eastAsia="Calibri" w:hAnsi="Arial" w:cs="Arial"/>
          <w:bCs/>
          <w:color w:val="000000" w:themeColor="text1"/>
          <w:sz w:val="26"/>
          <w:szCs w:val="26"/>
          <w:lang w:eastAsia="en-US"/>
        </w:rPr>
        <w:t xml:space="preserve"> </w:t>
      </w:r>
      <w:r w:rsidR="002D2F4F" w:rsidRPr="007F56B9">
        <w:rPr>
          <w:rFonts w:ascii="Arial" w:eastAsia="Calibri" w:hAnsi="Arial" w:cs="Arial"/>
          <w:bCs/>
          <w:color w:val="000000" w:themeColor="text1"/>
          <w:sz w:val="26"/>
          <w:szCs w:val="26"/>
          <w:lang w:eastAsia="en-US"/>
        </w:rPr>
        <w:t xml:space="preserve">vía contenciosa administrativa </w:t>
      </w:r>
      <w:r w:rsidR="00DF637C" w:rsidRPr="007F56B9">
        <w:rPr>
          <w:rFonts w:ascii="Arial" w:eastAsia="Calibri" w:hAnsi="Arial" w:cs="Arial"/>
          <w:bCs/>
          <w:color w:val="000000" w:themeColor="text1"/>
          <w:sz w:val="26"/>
          <w:szCs w:val="26"/>
          <w:lang w:eastAsia="en-US"/>
        </w:rPr>
        <w:t>lo determinado en el recurso de revocación 08/2016, al considerar que no reúne los elementos para que produzca efectos jurídicos, por carecer de legalidad, tal y como lo establecen los artículos 8, primer párrafo, 66</w:t>
      </w:r>
      <w:r w:rsidR="002F41B8" w:rsidRPr="007F56B9">
        <w:rPr>
          <w:rFonts w:ascii="Arial" w:eastAsia="Calibri" w:hAnsi="Arial" w:cs="Arial"/>
          <w:bCs/>
          <w:color w:val="000000" w:themeColor="text1"/>
          <w:sz w:val="26"/>
          <w:szCs w:val="26"/>
          <w:lang w:eastAsia="en-US"/>
        </w:rPr>
        <w:t>,</w:t>
      </w:r>
      <w:r w:rsidR="00DF637C" w:rsidRPr="007F56B9">
        <w:rPr>
          <w:rFonts w:ascii="Arial" w:eastAsia="Calibri" w:hAnsi="Arial" w:cs="Arial"/>
          <w:bCs/>
          <w:color w:val="000000" w:themeColor="text1"/>
          <w:sz w:val="26"/>
          <w:szCs w:val="26"/>
          <w:lang w:eastAsia="en-US"/>
        </w:rPr>
        <w:t xml:space="preserve"> y 136</w:t>
      </w:r>
      <w:r w:rsidR="002F41B8" w:rsidRPr="007F56B9">
        <w:rPr>
          <w:rFonts w:ascii="Arial" w:eastAsia="Calibri" w:hAnsi="Arial" w:cs="Arial"/>
          <w:bCs/>
          <w:color w:val="000000" w:themeColor="text1"/>
          <w:sz w:val="26"/>
          <w:szCs w:val="26"/>
          <w:lang w:eastAsia="en-US"/>
        </w:rPr>
        <w:t>,</w:t>
      </w:r>
      <w:r w:rsidR="00DF637C" w:rsidRPr="007F56B9">
        <w:rPr>
          <w:rFonts w:ascii="Arial" w:eastAsia="Calibri" w:hAnsi="Arial" w:cs="Arial"/>
          <w:bCs/>
          <w:color w:val="000000" w:themeColor="text1"/>
          <w:sz w:val="26"/>
          <w:szCs w:val="26"/>
          <w:lang w:eastAsia="en-US"/>
        </w:rPr>
        <w:t xml:space="preserve"> de la Ley de Justicia Administrativa para el Estado de Oaxaca</w:t>
      </w:r>
      <w:r w:rsidR="004660A6" w:rsidRPr="007F56B9">
        <w:rPr>
          <w:rFonts w:ascii="Arial" w:eastAsia="Calibri" w:hAnsi="Arial" w:cs="Arial"/>
          <w:bCs/>
          <w:color w:val="000000" w:themeColor="text1"/>
          <w:sz w:val="26"/>
          <w:szCs w:val="26"/>
          <w:lang w:eastAsia="en-US"/>
        </w:rPr>
        <w:t xml:space="preserve">; </w:t>
      </w:r>
      <w:r w:rsidR="004660A6" w:rsidRPr="007F56B9">
        <w:rPr>
          <w:rFonts w:ascii="Arial" w:eastAsia="Calibri" w:hAnsi="Arial" w:cs="Arial"/>
          <w:b/>
          <w:bCs/>
          <w:color w:val="000000" w:themeColor="text1"/>
          <w:sz w:val="26"/>
          <w:szCs w:val="26"/>
          <w:lang w:eastAsia="en-US"/>
        </w:rPr>
        <w:t>esta Sala Superior</w:t>
      </w:r>
      <w:r w:rsidRPr="007F56B9">
        <w:rPr>
          <w:rFonts w:ascii="Arial" w:hAnsi="Arial" w:cs="Arial"/>
          <w:sz w:val="26"/>
          <w:szCs w:val="26"/>
        </w:rPr>
        <w:t xml:space="preserve"> </w:t>
      </w:r>
      <w:r w:rsidR="00545C29" w:rsidRPr="007F56B9">
        <w:rPr>
          <w:rFonts w:ascii="Arial" w:hAnsi="Arial" w:cs="Arial"/>
          <w:sz w:val="26"/>
          <w:szCs w:val="26"/>
        </w:rPr>
        <w:t xml:space="preserve">también </w:t>
      </w:r>
      <w:r w:rsidRPr="007F56B9">
        <w:rPr>
          <w:rFonts w:ascii="Arial" w:hAnsi="Arial" w:cs="Arial"/>
          <w:sz w:val="26"/>
          <w:szCs w:val="26"/>
        </w:rPr>
        <w:t>considera que</w:t>
      </w:r>
      <w:r w:rsidR="00545C29" w:rsidRPr="007F56B9">
        <w:rPr>
          <w:rFonts w:ascii="Arial" w:hAnsi="Arial" w:cs="Arial"/>
          <w:sz w:val="26"/>
          <w:szCs w:val="26"/>
        </w:rPr>
        <w:t>,</w:t>
      </w:r>
      <w:r w:rsidRPr="007F56B9">
        <w:rPr>
          <w:rFonts w:ascii="Arial" w:hAnsi="Arial" w:cs="Arial"/>
          <w:sz w:val="26"/>
          <w:szCs w:val="26"/>
        </w:rPr>
        <w:t xml:space="preserve"> la Ley de Justicia Administrativa para el Estado de Oaxaca es la aplicable de forma supletoria a la Ley de Responsabilidades de los Servidores Públicos del Estado y Municipios de Oaxaca, al desarrollarse los procedimientos administrativos de responsabilidad llevados en la Secretaría de la Contraloría y Transparencia Gubernamental, en lugar del Código de Procedimientos Civiles para el Estado de Oaxaca.</w:t>
      </w:r>
      <w:r w:rsidR="00CC4698" w:rsidRPr="007F56B9">
        <w:rPr>
          <w:rFonts w:ascii="Arial" w:hAnsi="Arial" w:cs="Arial"/>
          <w:sz w:val="26"/>
          <w:szCs w:val="26"/>
        </w:rPr>
        <w:t xml:space="preserve"> - - - - -</w:t>
      </w:r>
    </w:p>
    <w:p w14:paraId="7FC55BEF" w14:textId="1CEA108D" w:rsidR="00CC4698" w:rsidRPr="007F56B9" w:rsidRDefault="00CC4698" w:rsidP="00750BB4">
      <w:pPr>
        <w:pStyle w:val="Sinespaciado"/>
        <w:rPr>
          <w:rFonts w:eastAsia="Calibri"/>
          <w:color w:val="000000" w:themeColor="text1"/>
          <w:lang w:eastAsia="en-US"/>
        </w:rPr>
      </w:pPr>
      <w:r w:rsidRPr="007F56B9">
        <w:t xml:space="preserve"> </w:t>
      </w:r>
    </w:p>
    <w:p w14:paraId="04F349DA" w14:textId="2A646AD0" w:rsidR="00545C29" w:rsidRDefault="00CC4698" w:rsidP="00CC4698">
      <w:pPr>
        <w:spacing w:after="0" w:line="360" w:lineRule="auto"/>
        <w:jc w:val="both"/>
        <w:rPr>
          <w:rFonts w:ascii="Arial" w:hAnsi="Arial" w:cs="Arial"/>
          <w:sz w:val="26"/>
          <w:szCs w:val="26"/>
        </w:rPr>
      </w:pPr>
      <w:r w:rsidRPr="007F56B9">
        <w:rPr>
          <w:rFonts w:ascii="Arial" w:eastAsia="Calibri" w:hAnsi="Arial" w:cs="Arial"/>
          <w:bCs/>
          <w:color w:val="000000" w:themeColor="text1"/>
          <w:sz w:val="26"/>
          <w:szCs w:val="26"/>
          <w:lang w:eastAsia="en-US"/>
        </w:rPr>
        <w:t xml:space="preserve">     </w:t>
      </w:r>
      <w:r w:rsidR="002558BB" w:rsidRPr="007F56B9">
        <w:rPr>
          <w:rFonts w:ascii="Arial" w:hAnsi="Arial" w:cs="Arial"/>
          <w:sz w:val="26"/>
          <w:szCs w:val="26"/>
        </w:rPr>
        <w:t xml:space="preserve">Esto es así, porque si bien, el segundo párrafo del artículo </w:t>
      </w:r>
      <w:r w:rsidR="00EC79B9" w:rsidRPr="007F56B9">
        <w:rPr>
          <w:rFonts w:ascii="Arial" w:hAnsi="Arial" w:cs="Arial"/>
          <w:sz w:val="26"/>
          <w:szCs w:val="26"/>
        </w:rPr>
        <w:t>60</w:t>
      </w:r>
      <w:r w:rsidR="00EC79B9" w:rsidRPr="007F56B9">
        <w:rPr>
          <w:rStyle w:val="Refdenotaalpie"/>
          <w:rFonts w:ascii="Arial" w:hAnsi="Arial" w:cs="Arial"/>
          <w:sz w:val="26"/>
          <w:szCs w:val="26"/>
        </w:rPr>
        <w:footnoteReference w:id="2"/>
      </w:r>
      <w:r w:rsidR="002558BB" w:rsidRPr="007F56B9">
        <w:rPr>
          <w:rFonts w:ascii="Arial" w:hAnsi="Arial" w:cs="Arial"/>
          <w:sz w:val="26"/>
          <w:szCs w:val="26"/>
        </w:rPr>
        <w:t xml:space="preserve"> de la citada Ley de Responsabilidades</w:t>
      </w:r>
      <w:r w:rsidR="00545C29" w:rsidRPr="007F56B9">
        <w:rPr>
          <w:rFonts w:ascii="Arial" w:hAnsi="Arial" w:cs="Arial"/>
          <w:sz w:val="26"/>
          <w:szCs w:val="26"/>
        </w:rPr>
        <w:t xml:space="preserve"> de los Servidores Públicos, </w:t>
      </w:r>
      <w:r w:rsidR="002558BB" w:rsidRPr="007F56B9">
        <w:rPr>
          <w:rFonts w:ascii="Arial" w:hAnsi="Arial" w:cs="Arial"/>
          <w:sz w:val="26"/>
          <w:szCs w:val="26"/>
        </w:rPr>
        <w:t xml:space="preserve">establece que en todo lo relacionado </w:t>
      </w:r>
      <w:r w:rsidR="002558BB" w:rsidRPr="007F56B9">
        <w:rPr>
          <w:rFonts w:ascii="Arial" w:hAnsi="Arial" w:cs="Arial"/>
          <w:sz w:val="26"/>
          <w:szCs w:val="26"/>
          <w:u w:val="single"/>
        </w:rPr>
        <w:t>al procedimiento, ofrecimiento y valoración de pruebas</w:t>
      </w:r>
      <w:r w:rsidR="002558BB" w:rsidRPr="007F56B9">
        <w:rPr>
          <w:rFonts w:ascii="Arial" w:hAnsi="Arial" w:cs="Arial"/>
          <w:sz w:val="26"/>
          <w:szCs w:val="26"/>
        </w:rPr>
        <w:t xml:space="preserve"> que se regulan en su Título Cuarto, son aplicables las disposiciones del Código de Procedimientos Civiles del Estado</w:t>
      </w:r>
      <w:r w:rsidR="00545C29" w:rsidRPr="007F56B9">
        <w:rPr>
          <w:rFonts w:ascii="Arial" w:hAnsi="Arial" w:cs="Arial"/>
          <w:sz w:val="26"/>
          <w:szCs w:val="26"/>
        </w:rPr>
        <w:t xml:space="preserve">, </w:t>
      </w:r>
      <w:r w:rsidR="00731990" w:rsidRPr="007F56B9">
        <w:rPr>
          <w:rFonts w:ascii="Arial" w:hAnsi="Arial" w:cs="Arial"/>
          <w:b/>
          <w:sz w:val="26"/>
          <w:szCs w:val="26"/>
        </w:rPr>
        <w:t>sin embargo</w:t>
      </w:r>
      <w:r w:rsidR="00422E20" w:rsidRPr="007F56B9">
        <w:rPr>
          <w:rFonts w:ascii="Arial" w:hAnsi="Arial" w:cs="Arial"/>
          <w:sz w:val="26"/>
          <w:szCs w:val="26"/>
        </w:rPr>
        <w:t>,</w:t>
      </w:r>
      <w:r w:rsidR="00731990" w:rsidRPr="007F56B9">
        <w:rPr>
          <w:rFonts w:ascii="Arial" w:hAnsi="Arial" w:cs="Arial"/>
          <w:sz w:val="26"/>
          <w:szCs w:val="26"/>
        </w:rPr>
        <w:t xml:space="preserve"> es de destacarse </w:t>
      </w:r>
      <w:r w:rsidR="00545C29" w:rsidRPr="007F56B9">
        <w:rPr>
          <w:rFonts w:ascii="Arial" w:hAnsi="Arial" w:cs="Arial"/>
          <w:sz w:val="26"/>
          <w:szCs w:val="26"/>
        </w:rPr>
        <w:t>que el acuerdo impugnado es posterior a esas etapas en el procedimiento, pues con él se inicia el procedimiento</w:t>
      </w:r>
      <w:r w:rsidR="00422E20" w:rsidRPr="007F56B9">
        <w:rPr>
          <w:rFonts w:ascii="Arial" w:hAnsi="Arial" w:cs="Arial"/>
          <w:sz w:val="26"/>
          <w:szCs w:val="26"/>
        </w:rPr>
        <w:t xml:space="preserve"> de</w:t>
      </w:r>
      <w:r w:rsidR="00545C29" w:rsidRPr="007F56B9">
        <w:rPr>
          <w:rFonts w:ascii="Arial" w:hAnsi="Arial" w:cs="Arial"/>
          <w:sz w:val="26"/>
          <w:szCs w:val="26"/>
        </w:rPr>
        <w:t xml:space="preserve"> ejecución de la resolución impugnada en la misma Secretaría de la Contraloría y Transparencia Gubernamental.</w:t>
      </w:r>
      <w:r w:rsidR="00731990" w:rsidRPr="007F56B9">
        <w:rPr>
          <w:rFonts w:ascii="Arial" w:hAnsi="Arial" w:cs="Arial"/>
          <w:sz w:val="26"/>
          <w:szCs w:val="26"/>
        </w:rPr>
        <w:t xml:space="preserve"> - - - - - - - - - - - - - - - - - - -</w:t>
      </w:r>
    </w:p>
    <w:p w14:paraId="6962732B" w14:textId="77777777" w:rsidR="00404F6C" w:rsidRPr="007F56B9" w:rsidRDefault="00404F6C" w:rsidP="00404F6C">
      <w:pPr>
        <w:pStyle w:val="Sinespaciado"/>
      </w:pPr>
    </w:p>
    <w:p w14:paraId="3137F971" w14:textId="53B61CFD" w:rsidR="002558BB" w:rsidRPr="007F56B9" w:rsidRDefault="00545C29" w:rsidP="00853A6B">
      <w:pPr>
        <w:spacing w:after="0" w:line="360" w:lineRule="auto"/>
        <w:ind w:right="474"/>
        <w:jc w:val="both"/>
        <w:rPr>
          <w:rFonts w:ascii="Arial" w:eastAsia="Calibri" w:hAnsi="Arial" w:cs="Arial"/>
          <w:bCs/>
          <w:color w:val="000000" w:themeColor="text1"/>
          <w:sz w:val="26"/>
          <w:szCs w:val="26"/>
          <w:lang w:eastAsia="en-US"/>
        </w:rPr>
      </w:pPr>
      <w:r w:rsidRPr="007F56B9">
        <w:rPr>
          <w:rFonts w:ascii="Arial" w:hAnsi="Arial" w:cs="Arial"/>
          <w:sz w:val="26"/>
          <w:szCs w:val="26"/>
        </w:rPr>
        <w:t xml:space="preserve">        Asimismo, se precisa</w:t>
      </w:r>
      <w:r w:rsidR="002558BB" w:rsidRPr="007F56B9">
        <w:rPr>
          <w:rFonts w:ascii="Arial" w:hAnsi="Arial" w:cs="Arial"/>
          <w:sz w:val="26"/>
          <w:szCs w:val="26"/>
        </w:rPr>
        <w:t xml:space="preserve"> </w:t>
      </w:r>
      <w:r w:rsidRPr="007F56B9">
        <w:rPr>
          <w:rFonts w:ascii="Arial" w:hAnsi="Arial" w:cs="Arial"/>
          <w:sz w:val="26"/>
          <w:szCs w:val="26"/>
        </w:rPr>
        <w:t>que los actos que el actor impugna</w:t>
      </w:r>
      <w:r w:rsidR="002558BB" w:rsidRPr="007F56B9">
        <w:rPr>
          <w:rFonts w:ascii="Arial" w:hAnsi="Arial" w:cs="Arial"/>
          <w:sz w:val="26"/>
          <w:szCs w:val="26"/>
        </w:rPr>
        <w:t xml:space="preserve"> son  materialmente administrativos, por ello, el artículo 1</w:t>
      </w:r>
      <w:r w:rsidR="00422E20" w:rsidRPr="007F56B9">
        <w:rPr>
          <w:rFonts w:ascii="Arial" w:hAnsi="Arial" w:cs="Arial"/>
          <w:sz w:val="26"/>
          <w:szCs w:val="26"/>
        </w:rPr>
        <w:t>°</w:t>
      </w:r>
      <w:r w:rsidR="002558BB" w:rsidRPr="007F56B9">
        <w:rPr>
          <w:rStyle w:val="Refdenotaalpie"/>
          <w:rFonts w:ascii="Arial" w:hAnsi="Arial" w:cs="Arial"/>
          <w:sz w:val="26"/>
          <w:szCs w:val="26"/>
        </w:rPr>
        <w:footnoteReference w:id="3"/>
      </w:r>
      <w:r w:rsidR="002558BB" w:rsidRPr="007F56B9">
        <w:rPr>
          <w:rFonts w:ascii="Arial" w:hAnsi="Arial" w:cs="Arial"/>
          <w:sz w:val="26"/>
          <w:szCs w:val="26"/>
        </w:rPr>
        <w:t xml:space="preserve"> de la Ley de </w:t>
      </w:r>
      <w:r w:rsidR="002558BB" w:rsidRPr="007F56B9">
        <w:rPr>
          <w:rFonts w:ascii="Arial" w:hAnsi="Arial" w:cs="Arial"/>
          <w:sz w:val="26"/>
          <w:szCs w:val="26"/>
        </w:rPr>
        <w:lastRenderedPageBreak/>
        <w:t>Justicia Administrativa para el Estado de Oaxaca</w:t>
      </w:r>
      <w:r w:rsidR="00422E20" w:rsidRPr="007F56B9">
        <w:rPr>
          <w:rFonts w:ascii="Arial" w:hAnsi="Arial" w:cs="Arial"/>
          <w:sz w:val="26"/>
          <w:szCs w:val="26"/>
        </w:rPr>
        <w:t xml:space="preserve"> es</w:t>
      </w:r>
      <w:r w:rsidR="002558BB" w:rsidRPr="007F56B9">
        <w:rPr>
          <w:rFonts w:ascii="Arial" w:hAnsi="Arial" w:cs="Arial"/>
          <w:sz w:val="26"/>
          <w:szCs w:val="26"/>
        </w:rPr>
        <w:t xml:space="preserve"> </w:t>
      </w:r>
      <w:r w:rsidR="00422E20" w:rsidRPr="007F56B9">
        <w:rPr>
          <w:rFonts w:ascii="Arial" w:hAnsi="Arial" w:cs="Arial"/>
          <w:sz w:val="26"/>
          <w:szCs w:val="26"/>
        </w:rPr>
        <w:t xml:space="preserve">la </w:t>
      </w:r>
      <w:r w:rsidR="002558BB" w:rsidRPr="007F56B9">
        <w:rPr>
          <w:rFonts w:ascii="Arial" w:hAnsi="Arial" w:cs="Arial"/>
          <w:sz w:val="26"/>
          <w:szCs w:val="26"/>
        </w:rPr>
        <w:t>aplicable a</w:t>
      </w:r>
      <w:r w:rsidRPr="007F56B9">
        <w:rPr>
          <w:rFonts w:ascii="Arial" w:hAnsi="Arial" w:cs="Arial"/>
          <w:sz w:val="26"/>
          <w:szCs w:val="26"/>
        </w:rPr>
        <w:t>l caso</w:t>
      </w:r>
      <w:r w:rsidR="002558BB" w:rsidRPr="007F56B9">
        <w:rPr>
          <w:rFonts w:ascii="Arial" w:hAnsi="Arial" w:cs="Arial"/>
          <w:sz w:val="26"/>
          <w:szCs w:val="26"/>
        </w:rPr>
        <w:t xml:space="preserve"> concreto, que fue publicada en el Periódico Oficial del Gobierno del Estado de Oaxaca el </w:t>
      </w:r>
      <w:r w:rsidR="002F41B8" w:rsidRPr="007F56B9">
        <w:rPr>
          <w:rFonts w:ascii="Arial" w:hAnsi="Arial" w:cs="Arial"/>
          <w:sz w:val="26"/>
          <w:szCs w:val="26"/>
        </w:rPr>
        <w:t xml:space="preserve">31 </w:t>
      </w:r>
      <w:r w:rsidR="00853A6B" w:rsidRPr="007F56B9">
        <w:rPr>
          <w:rFonts w:ascii="Arial" w:hAnsi="Arial" w:cs="Arial"/>
          <w:sz w:val="26"/>
          <w:szCs w:val="26"/>
        </w:rPr>
        <w:t xml:space="preserve">treinta y uno de diciembre de </w:t>
      </w:r>
      <w:r w:rsidR="002F41B8" w:rsidRPr="007F56B9">
        <w:rPr>
          <w:rFonts w:ascii="Arial" w:hAnsi="Arial" w:cs="Arial"/>
          <w:sz w:val="26"/>
          <w:szCs w:val="26"/>
        </w:rPr>
        <w:t xml:space="preserve">2005 </w:t>
      </w:r>
      <w:r w:rsidR="00853A6B" w:rsidRPr="007F56B9">
        <w:rPr>
          <w:rFonts w:ascii="Arial" w:hAnsi="Arial" w:cs="Arial"/>
          <w:sz w:val="26"/>
          <w:szCs w:val="26"/>
        </w:rPr>
        <w:t>dos mil cinco</w:t>
      </w:r>
      <w:r w:rsidR="002558BB" w:rsidRPr="007F56B9">
        <w:rPr>
          <w:rFonts w:ascii="Arial" w:hAnsi="Arial" w:cs="Arial"/>
          <w:sz w:val="26"/>
          <w:szCs w:val="26"/>
        </w:rPr>
        <w:t xml:space="preserve"> y</w:t>
      </w:r>
      <w:r w:rsidR="00853A6B" w:rsidRPr="007F56B9">
        <w:rPr>
          <w:rFonts w:ascii="Arial" w:hAnsi="Arial" w:cs="Arial"/>
          <w:sz w:val="26"/>
          <w:szCs w:val="26"/>
        </w:rPr>
        <w:t>,</w:t>
      </w:r>
      <w:r w:rsidR="002558BB" w:rsidRPr="007F56B9">
        <w:rPr>
          <w:rFonts w:ascii="Arial" w:hAnsi="Arial" w:cs="Arial"/>
          <w:sz w:val="26"/>
          <w:szCs w:val="26"/>
        </w:rPr>
        <w:t xml:space="preserve"> conforme a su artículo transitorio segundo entró en vigor el 1 de enero de 2006, estableció que dicha Ley se aplicará en todo el Estado de Oaxaca para todos los actos administrativos y procedimientos que desarrollen las Dependencias del Poder Ejecutivo del Gobierno del Estado, Entidades Paraestatales, y Órganos Desconcentrados de la Administración Pública Estatal, cuando emitan una resolución administrativa de cualquier naturaleza; estando la Secretaría de la Contraloría y Transparencia Gubernamental dentro de las dependencias centralizadas pertenecientes al Poder Ejecutivo Estatal, como lo dispone el artículo 3</w:t>
      </w:r>
      <w:r w:rsidR="002558BB" w:rsidRPr="007F56B9">
        <w:rPr>
          <w:rStyle w:val="Refdenotaalpie"/>
          <w:rFonts w:ascii="Arial" w:hAnsi="Arial" w:cs="Arial"/>
          <w:sz w:val="26"/>
          <w:szCs w:val="26"/>
        </w:rPr>
        <w:footnoteReference w:id="4"/>
      </w:r>
      <w:r w:rsidR="002558BB" w:rsidRPr="007F56B9">
        <w:rPr>
          <w:rFonts w:ascii="Arial" w:hAnsi="Arial" w:cs="Arial"/>
          <w:sz w:val="26"/>
          <w:szCs w:val="26"/>
        </w:rPr>
        <w:t>, fracción I y, 27</w:t>
      </w:r>
      <w:r w:rsidR="002558BB" w:rsidRPr="007F56B9">
        <w:rPr>
          <w:rStyle w:val="Refdenotaalpie"/>
          <w:rFonts w:ascii="Arial" w:hAnsi="Arial" w:cs="Arial"/>
          <w:sz w:val="26"/>
          <w:szCs w:val="26"/>
        </w:rPr>
        <w:footnoteReference w:id="5"/>
      </w:r>
      <w:r w:rsidR="002558BB" w:rsidRPr="007F56B9">
        <w:rPr>
          <w:rFonts w:ascii="Arial" w:hAnsi="Arial" w:cs="Arial"/>
          <w:sz w:val="26"/>
          <w:szCs w:val="26"/>
        </w:rPr>
        <w:t xml:space="preserve"> de la Ley Orgánica del Poder Ejecutivo del Estado de Oaxaca aplicable. </w:t>
      </w:r>
      <w:r w:rsidR="00731990" w:rsidRPr="007F56B9">
        <w:rPr>
          <w:rFonts w:ascii="Arial" w:hAnsi="Arial" w:cs="Arial"/>
          <w:sz w:val="26"/>
          <w:szCs w:val="26"/>
        </w:rPr>
        <w:t>- - - - - - -</w:t>
      </w:r>
      <w:r w:rsidR="00853A6B" w:rsidRPr="007F56B9">
        <w:rPr>
          <w:rFonts w:ascii="Arial" w:hAnsi="Arial" w:cs="Arial"/>
          <w:sz w:val="26"/>
          <w:szCs w:val="26"/>
        </w:rPr>
        <w:t xml:space="preserve"> - - - - - - - - - - - - - - - - - - </w:t>
      </w:r>
    </w:p>
    <w:p w14:paraId="4B69216B" w14:textId="3343D2D5" w:rsidR="002558BB" w:rsidRPr="007F56B9" w:rsidRDefault="002558BB" w:rsidP="00853A6B">
      <w:pPr>
        <w:tabs>
          <w:tab w:val="left" w:pos="7938"/>
        </w:tabs>
        <w:spacing w:before="240" w:after="0" w:line="360" w:lineRule="auto"/>
        <w:ind w:right="333"/>
        <w:jc w:val="both"/>
        <w:rPr>
          <w:rFonts w:ascii="Arial" w:hAnsi="Arial" w:cs="Arial"/>
          <w:sz w:val="26"/>
          <w:szCs w:val="26"/>
        </w:rPr>
      </w:pPr>
      <w:r w:rsidRPr="007F56B9">
        <w:rPr>
          <w:rFonts w:ascii="Arial" w:hAnsi="Arial" w:cs="Arial"/>
          <w:sz w:val="26"/>
          <w:szCs w:val="26"/>
        </w:rPr>
        <w:t xml:space="preserve">    </w:t>
      </w:r>
      <w:r w:rsidR="00CF5780">
        <w:rPr>
          <w:rFonts w:ascii="Arial" w:hAnsi="Arial" w:cs="Arial"/>
          <w:sz w:val="26"/>
          <w:szCs w:val="26"/>
        </w:rPr>
        <w:t xml:space="preserve">    </w:t>
      </w:r>
      <w:r w:rsidRPr="007F56B9">
        <w:rPr>
          <w:rFonts w:ascii="Arial" w:hAnsi="Arial" w:cs="Arial"/>
          <w:sz w:val="26"/>
          <w:szCs w:val="26"/>
        </w:rPr>
        <w:t xml:space="preserve">Por lo que es importante destacar, que la Ley de Responsabilidades de los Servidores Públicos del Estado y Municipios de Oaxaca aplicable, fue publicada originalmente en la Segunda Sección del Periódico Oficial del Gobierno del Estado de Oaxaca el </w:t>
      </w:r>
      <w:r w:rsidR="002F41B8" w:rsidRPr="007F56B9">
        <w:rPr>
          <w:rFonts w:ascii="Arial" w:hAnsi="Arial" w:cs="Arial"/>
          <w:sz w:val="26"/>
          <w:szCs w:val="26"/>
        </w:rPr>
        <w:t xml:space="preserve">1° </w:t>
      </w:r>
      <w:r w:rsidR="00853A6B" w:rsidRPr="007F56B9">
        <w:rPr>
          <w:rFonts w:ascii="Arial" w:hAnsi="Arial" w:cs="Arial"/>
          <w:sz w:val="26"/>
          <w:szCs w:val="26"/>
        </w:rPr>
        <w:t>primero</w:t>
      </w:r>
      <w:r w:rsidRPr="007F56B9">
        <w:rPr>
          <w:rFonts w:ascii="Arial" w:hAnsi="Arial" w:cs="Arial"/>
          <w:sz w:val="26"/>
          <w:szCs w:val="26"/>
        </w:rPr>
        <w:t xml:space="preserve"> de Junio de </w:t>
      </w:r>
      <w:r w:rsidR="002F41B8" w:rsidRPr="007F56B9">
        <w:rPr>
          <w:rFonts w:ascii="Arial" w:hAnsi="Arial" w:cs="Arial"/>
          <w:sz w:val="26"/>
          <w:szCs w:val="26"/>
        </w:rPr>
        <w:t xml:space="preserve">1996 </w:t>
      </w:r>
      <w:r w:rsidR="00853A6B" w:rsidRPr="007F56B9">
        <w:rPr>
          <w:rFonts w:ascii="Arial" w:hAnsi="Arial" w:cs="Arial"/>
          <w:sz w:val="26"/>
          <w:szCs w:val="26"/>
        </w:rPr>
        <w:t>mil novecientos noventa y seis</w:t>
      </w:r>
      <w:r w:rsidRPr="007F56B9">
        <w:rPr>
          <w:rFonts w:ascii="Arial" w:hAnsi="Arial" w:cs="Arial"/>
          <w:sz w:val="26"/>
          <w:szCs w:val="26"/>
        </w:rPr>
        <w:t xml:space="preserve">, advirtiéndose que esta Ley es anterior a la Ley de Justicia Administrativa para el Estado de Oaxaca publicada el </w:t>
      </w:r>
      <w:r w:rsidR="002F41B8" w:rsidRPr="007F56B9">
        <w:rPr>
          <w:rFonts w:ascii="Arial" w:hAnsi="Arial" w:cs="Arial"/>
          <w:sz w:val="26"/>
          <w:szCs w:val="26"/>
        </w:rPr>
        <w:t xml:space="preserve">31 </w:t>
      </w:r>
      <w:r w:rsidR="00853A6B" w:rsidRPr="007F56B9">
        <w:rPr>
          <w:rFonts w:ascii="Arial" w:hAnsi="Arial" w:cs="Arial"/>
          <w:sz w:val="26"/>
          <w:szCs w:val="26"/>
        </w:rPr>
        <w:t xml:space="preserve">treinta y uno de diciembre de </w:t>
      </w:r>
      <w:r w:rsidR="002F41B8" w:rsidRPr="007F56B9">
        <w:rPr>
          <w:rFonts w:ascii="Arial" w:hAnsi="Arial" w:cs="Arial"/>
          <w:sz w:val="26"/>
          <w:szCs w:val="26"/>
        </w:rPr>
        <w:t xml:space="preserve">2005 </w:t>
      </w:r>
      <w:r w:rsidR="00853A6B" w:rsidRPr="007F56B9">
        <w:rPr>
          <w:rFonts w:ascii="Arial" w:hAnsi="Arial" w:cs="Arial"/>
          <w:sz w:val="26"/>
          <w:szCs w:val="26"/>
        </w:rPr>
        <w:t>dos mil cinco</w:t>
      </w:r>
      <w:r w:rsidRPr="007F56B9">
        <w:rPr>
          <w:rFonts w:ascii="Arial" w:hAnsi="Arial" w:cs="Arial"/>
          <w:sz w:val="26"/>
          <w:szCs w:val="26"/>
        </w:rPr>
        <w:t xml:space="preserve">; en este contexto, se precisa que ambas normatividades son del mismo nivel jerárquico estatal, sin embargo, para determinar cuál de ellas debe imperar por encima de la otra y determinar si es aplicable el Código de Procedimientos Civiles para el Estado de Oaxaca o la Ley de Justicia Administrativa para el Estado de Oaxaca para el desarrollo de los procedimientos de responsabilidades administrativas, debe tomarse de referencia el  aforismo latino </w:t>
      </w:r>
      <w:r w:rsidRPr="007F56B9">
        <w:rPr>
          <w:rFonts w:ascii="Arial" w:hAnsi="Arial" w:cs="Arial"/>
          <w:i/>
          <w:sz w:val="26"/>
          <w:szCs w:val="26"/>
        </w:rPr>
        <w:t>“</w:t>
      </w:r>
      <w:proofErr w:type="spellStart"/>
      <w:r w:rsidRPr="007F56B9">
        <w:rPr>
          <w:rFonts w:ascii="Arial" w:hAnsi="Arial" w:cs="Arial"/>
          <w:i/>
          <w:sz w:val="26"/>
          <w:szCs w:val="26"/>
        </w:rPr>
        <w:t>lex</w:t>
      </w:r>
      <w:proofErr w:type="spellEnd"/>
      <w:r w:rsidRPr="007F56B9">
        <w:rPr>
          <w:rFonts w:ascii="Arial" w:hAnsi="Arial" w:cs="Arial"/>
          <w:i/>
          <w:sz w:val="26"/>
          <w:szCs w:val="26"/>
        </w:rPr>
        <w:t xml:space="preserve"> posterior </w:t>
      </w:r>
      <w:proofErr w:type="spellStart"/>
      <w:r w:rsidRPr="007F56B9">
        <w:rPr>
          <w:rFonts w:ascii="Arial" w:hAnsi="Arial" w:cs="Arial"/>
          <w:i/>
          <w:sz w:val="26"/>
          <w:szCs w:val="26"/>
        </w:rPr>
        <w:t>derogat</w:t>
      </w:r>
      <w:proofErr w:type="spellEnd"/>
      <w:r w:rsidRPr="007F56B9">
        <w:rPr>
          <w:rFonts w:ascii="Arial" w:hAnsi="Arial" w:cs="Arial"/>
          <w:i/>
          <w:sz w:val="26"/>
          <w:szCs w:val="26"/>
        </w:rPr>
        <w:t xml:space="preserve"> priori”, que significa que “la ley </w:t>
      </w:r>
      <w:r w:rsidRPr="007F56B9">
        <w:rPr>
          <w:rFonts w:ascii="Arial" w:hAnsi="Arial" w:cs="Arial"/>
          <w:i/>
          <w:sz w:val="26"/>
          <w:szCs w:val="26"/>
        </w:rPr>
        <w:lastRenderedPageBreak/>
        <w:t>posterior deroga a la anterior”</w:t>
      </w:r>
      <w:r w:rsidRPr="007F56B9">
        <w:rPr>
          <w:rFonts w:ascii="Arial" w:hAnsi="Arial" w:cs="Arial"/>
          <w:sz w:val="26"/>
          <w:szCs w:val="26"/>
        </w:rPr>
        <w:t>, pues si bien, en la ley posterior</w:t>
      </w:r>
      <w:r w:rsidRPr="007F56B9">
        <w:rPr>
          <w:rStyle w:val="Refdenotaalpie"/>
          <w:rFonts w:ascii="Arial" w:hAnsi="Arial" w:cs="Arial"/>
          <w:sz w:val="26"/>
          <w:szCs w:val="26"/>
        </w:rPr>
        <w:footnoteReference w:id="6"/>
      </w:r>
      <w:r w:rsidRPr="007F56B9">
        <w:rPr>
          <w:rFonts w:ascii="Arial" w:hAnsi="Arial" w:cs="Arial"/>
          <w:sz w:val="26"/>
          <w:szCs w:val="26"/>
        </w:rPr>
        <w:t xml:space="preserve"> no se derogó expresamente la disposición contenida en el artículo 60</w:t>
      </w:r>
      <w:r w:rsidR="002F41B8" w:rsidRPr="007F56B9">
        <w:rPr>
          <w:rFonts w:ascii="Arial" w:hAnsi="Arial" w:cs="Arial"/>
          <w:sz w:val="26"/>
          <w:szCs w:val="26"/>
        </w:rPr>
        <w:t>,</w:t>
      </w:r>
      <w:r w:rsidRPr="007F56B9">
        <w:rPr>
          <w:rFonts w:ascii="Arial" w:hAnsi="Arial" w:cs="Arial"/>
          <w:sz w:val="26"/>
          <w:szCs w:val="26"/>
        </w:rPr>
        <w:t xml:space="preserve"> de la Ley anterior</w:t>
      </w:r>
      <w:r w:rsidRPr="007F56B9">
        <w:rPr>
          <w:rStyle w:val="Refdenotaalpie"/>
          <w:rFonts w:ascii="Arial" w:hAnsi="Arial" w:cs="Arial"/>
          <w:sz w:val="26"/>
          <w:szCs w:val="26"/>
        </w:rPr>
        <w:footnoteReference w:id="7"/>
      </w:r>
      <w:r w:rsidRPr="007F56B9">
        <w:rPr>
          <w:rFonts w:ascii="Arial" w:hAnsi="Arial" w:cs="Arial"/>
          <w:sz w:val="26"/>
          <w:szCs w:val="26"/>
        </w:rPr>
        <w:t xml:space="preserve"> en cuanto a la aplicación del Código de Procedimientos Civiles para el Estado de Oaxaca en los procedimientos administrativos previstos en la Ley de Responsabilidades de los Servidores Púbicos del Estado y Municipios de Oaxaca, se concluye que </w:t>
      </w:r>
      <w:r w:rsidRPr="007F56B9">
        <w:rPr>
          <w:rFonts w:ascii="Arial" w:hAnsi="Arial" w:cs="Arial"/>
          <w:b/>
          <w:sz w:val="26"/>
          <w:szCs w:val="26"/>
        </w:rPr>
        <w:t>operó su derogación tácita</w:t>
      </w:r>
      <w:r w:rsidR="00731990" w:rsidRPr="007F56B9">
        <w:rPr>
          <w:rFonts w:ascii="Arial" w:hAnsi="Arial" w:cs="Arial"/>
          <w:sz w:val="26"/>
          <w:szCs w:val="26"/>
        </w:rPr>
        <w:t>; consecuentemente, el</w:t>
      </w:r>
      <w:r w:rsidR="00F67C74" w:rsidRPr="007F56B9">
        <w:rPr>
          <w:rFonts w:ascii="Arial" w:hAnsi="Arial" w:cs="Arial"/>
          <w:sz w:val="26"/>
          <w:szCs w:val="26"/>
        </w:rPr>
        <w:t xml:space="preserve"> medio de impugnación</w:t>
      </w:r>
      <w:r w:rsidR="00731990" w:rsidRPr="007F56B9">
        <w:rPr>
          <w:rFonts w:ascii="Arial" w:hAnsi="Arial" w:cs="Arial"/>
          <w:sz w:val="26"/>
          <w:szCs w:val="26"/>
        </w:rPr>
        <w:t xml:space="preserve"> procedente </w:t>
      </w:r>
      <w:r w:rsidR="00F67C74" w:rsidRPr="007F56B9">
        <w:rPr>
          <w:rFonts w:ascii="Arial" w:hAnsi="Arial" w:cs="Arial"/>
          <w:sz w:val="26"/>
          <w:szCs w:val="26"/>
        </w:rPr>
        <w:t>es el recurso de revisión previsto en el artículo 66, de la Ley de Justicia Administrativa para el Estado de Oaxaca</w:t>
      </w:r>
      <w:r w:rsidR="0052381E" w:rsidRPr="007F56B9">
        <w:rPr>
          <w:rFonts w:ascii="Arial" w:hAnsi="Arial" w:cs="Arial"/>
          <w:sz w:val="26"/>
          <w:szCs w:val="26"/>
        </w:rPr>
        <w:t xml:space="preserve"> y, en ese caso, conforme al último párrafo del artículo 74, de la citada Ley de Justicia Administrativa que dice</w:t>
      </w:r>
      <w:r w:rsidR="002F41B8" w:rsidRPr="007F56B9">
        <w:rPr>
          <w:rFonts w:ascii="Arial" w:hAnsi="Arial" w:cs="Arial"/>
          <w:sz w:val="26"/>
          <w:szCs w:val="26"/>
        </w:rPr>
        <w:t>:</w:t>
      </w:r>
      <w:r w:rsidR="0052381E" w:rsidRPr="007F56B9">
        <w:rPr>
          <w:rFonts w:ascii="Arial" w:hAnsi="Arial" w:cs="Arial"/>
          <w:sz w:val="26"/>
          <w:szCs w:val="26"/>
        </w:rPr>
        <w:t xml:space="preserve"> </w:t>
      </w:r>
      <w:r w:rsidR="0052381E" w:rsidRPr="007F56B9">
        <w:rPr>
          <w:rFonts w:ascii="Arial" w:hAnsi="Arial" w:cs="Arial"/>
          <w:i/>
          <w:sz w:val="26"/>
          <w:szCs w:val="26"/>
        </w:rPr>
        <w:t>“…</w:t>
      </w:r>
      <w:r w:rsidR="006065B6" w:rsidRPr="007F56B9">
        <w:rPr>
          <w:rFonts w:ascii="Arial" w:hAnsi="Arial" w:cs="Arial"/>
          <w:i/>
          <w:sz w:val="26"/>
          <w:szCs w:val="26"/>
        </w:rPr>
        <w:t>La resolución del recurso da acción al agraviado para intentar el juicio que corresponda ante el Tribunal.</w:t>
      </w:r>
      <w:r w:rsidR="006065B6" w:rsidRPr="007F56B9">
        <w:rPr>
          <w:rFonts w:ascii="Arial" w:hAnsi="Arial" w:cs="Arial"/>
          <w:sz w:val="26"/>
          <w:szCs w:val="26"/>
        </w:rPr>
        <w:t xml:space="preserve">”, por lo que es incorrecta la manifestación de la recurrente respecto a que la resolución del recurso de “revocación” resuelto en la Secretaría de la Contraloría y Transparencia Gubernamental es inimpugnable. - - - - - - - - - - - - - - - - - - - - - - - - - - </w:t>
      </w:r>
    </w:p>
    <w:p w14:paraId="19D4D7BB" w14:textId="7221993C" w:rsidR="00422E20" w:rsidRPr="007F56B9" w:rsidRDefault="002558BB" w:rsidP="002558BB">
      <w:pPr>
        <w:tabs>
          <w:tab w:val="left" w:pos="7938"/>
        </w:tabs>
        <w:spacing w:before="240" w:after="0" w:line="360" w:lineRule="auto"/>
        <w:ind w:right="333"/>
        <w:jc w:val="both"/>
        <w:rPr>
          <w:rFonts w:ascii="Arial" w:hAnsi="Arial" w:cs="Arial"/>
          <w:sz w:val="26"/>
          <w:szCs w:val="26"/>
        </w:rPr>
      </w:pPr>
      <w:r w:rsidRPr="007F56B9">
        <w:rPr>
          <w:rFonts w:ascii="Arial" w:hAnsi="Arial" w:cs="Arial"/>
          <w:sz w:val="26"/>
          <w:szCs w:val="26"/>
        </w:rPr>
        <w:t xml:space="preserve">  </w:t>
      </w:r>
      <w:r w:rsidR="00212E7E" w:rsidRPr="007F56B9">
        <w:rPr>
          <w:rFonts w:ascii="Arial" w:hAnsi="Arial" w:cs="Arial"/>
          <w:sz w:val="26"/>
          <w:szCs w:val="26"/>
        </w:rPr>
        <w:t xml:space="preserve">  </w:t>
      </w:r>
      <w:r w:rsidRPr="007F56B9">
        <w:rPr>
          <w:rFonts w:ascii="Arial" w:hAnsi="Arial" w:cs="Arial"/>
          <w:sz w:val="26"/>
          <w:szCs w:val="26"/>
        </w:rPr>
        <w:t>Sirve</w:t>
      </w:r>
      <w:r w:rsidR="00212E7E" w:rsidRPr="007F56B9">
        <w:rPr>
          <w:rFonts w:ascii="Arial" w:hAnsi="Arial" w:cs="Arial"/>
          <w:sz w:val="26"/>
          <w:szCs w:val="26"/>
        </w:rPr>
        <w:t>n</w:t>
      </w:r>
      <w:r w:rsidRPr="007F56B9">
        <w:rPr>
          <w:rFonts w:ascii="Arial" w:hAnsi="Arial" w:cs="Arial"/>
          <w:sz w:val="26"/>
          <w:szCs w:val="26"/>
        </w:rPr>
        <w:t xml:space="preserve"> de apoyo para esta consideración l</w:t>
      </w:r>
      <w:r w:rsidR="00422E20" w:rsidRPr="007F56B9">
        <w:rPr>
          <w:rFonts w:ascii="Arial" w:hAnsi="Arial" w:cs="Arial"/>
          <w:sz w:val="26"/>
          <w:szCs w:val="26"/>
        </w:rPr>
        <w:t>os siguientes criterios</w:t>
      </w:r>
      <w:r w:rsidRPr="007F56B9">
        <w:rPr>
          <w:rFonts w:ascii="Arial" w:hAnsi="Arial" w:cs="Arial"/>
          <w:sz w:val="26"/>
          <w:szCs w:val="26"/>
        </w:rPr>
        <w:t xml:space="preserve"> Jurisprudenciales: </w:t>
      </w:r>
      <w:r w:rsidR="00CF5780">
        <w:rPr>
          <w:rFonts w:ascii="Arial" w:hAnsi="Arial" w:cs="Arial"/>
          <w:sz w:val="26"/>
          <w:szCs w:val="26"/>
        </w:rPr>
        <w:t>- - - - - - - - - - - - - - - - - - - - - - - - - - - - - - - - - - - - -</w:t>
      </w:r>
    </w:p>
    <w:p w14:paraId="5CB08C95" w14:textId="2CDD53E0" w:rsidR="00422E20" w:rsidRPr="00222A1D" w:rsidRDefault="00422E20" w:rsidP="002F41B8">
      <w:pPr>
        <w:tabs>
          <w:tab w:val="left" w:pos="7371"/>
        </w:tabs>
        <w:spacing w:before="240" w:after="0"/>
        <w:ind w:left="284" w:right="900"/>
        <w:jc w:val="both"/>
        <w:rPr>
          <w:rFonts w:ascii="Arial" w:hAnsi="Arial" w:cs="Arial"/>
          <w:i/>
        </w:rPr>
      </w:pPr>
      <w:r w:rsidRPr="00222A1D">
        <w:rPr>
          <w:rFonts w:ascii="Arial" w:hAnsi="Arial" w:cs="Arial"/>
          <w:b/>
          <w:i/>
        </w:rPr>
        <w:t xml:space="preserve">“CONFLICTO DE LEYES. ES INEXISTENTE CUANDO OPERA LA DEROGACIÓN TÁCITA DE LA LEY ANTERIOR POR LA POSTERIOR. </w:t>
      </w:r>
      <w:r w:rsidRPr="00222A1D">
        <w:rPr>
          <w:rFonts w:ascii="Arial" w:hAnsi="Arial" w:cs="Arial"/>
          <w:i/>
        </w:rPr>
        <w:t>Cuando el conflicto de leyes se plantea entre una ley anterior y una posterior en la regulación que realizan sobre la misma materia, si ambas tienen la misma jerarquía normativa, fueron expedidas por la misma autoridad legislativa y tienen el mismo ámbito espacial de vigencia, cabe concluir que no existe conflicto entre ellas, porque aun cuando no haya disposición derogatoria, opera el principio jurídico de que la ley posterior deroga tácitamente a la anterior en las disposiciones que le sean total o parcialmente incompatibles.”</w:t>
      </w:r>
      <w:r w:rsidRPr="00222A1D">
        <w:rPr>
          <w:rStyle w:val="Refdenotaalpie"/>
          <w:rFonts w:ascii="Arial" w:hAnsi="Arial" w:cs="Arial"/>
          <w:i/>
        </w:rPr>
        <w:footnoteReference w:id="8"/>
      </w:r>
    </w:p>
    <w:p w14:paraId="0FEE2971" w14:textId="1A7E98F6" w:rsidR="00422E20" w:rsidRPr="00222A1D" w:rsidRDefault="00422E20" w:rsidP="002D2F4F">
      <w:pPr>
        <w:tabs>
          <w:tab w:val="left" w:pos="7371"/>
        </w:tabs>
        <w:autoSpaceDE w:val="0"/>
        <w:autoSpaceDN w:val="0"/>
        <w:adjustRightInd w:val="0"/>
        <w:spacing w:after="160"/>
        <w:ind w:left="284" w:right="900"/>
        <w:jc w:val="both"/>
        <w:rPr>
          <w:rFonts w:ascii="Arial" w:eastAsia="Times New Roman" w:hAnsi="Arial" w:cs="Arial"/>
          <w:bCs/>
          <w:i/>
          <w:iCs/>
          <w:lang w:eastAsia="es-ES"/>
        </w:rPr>
      </w:pPr>
      <w:r w:rsidRPr="00222A1D">
        <w:rPr>
          <w:rFonts w:ascii="Arial" w:eastAsia="Times New Roman" w:hAnsi="Arial" w:cs="Arial"/>
          <w:b/>
          <w:bCs/>
          <w:i/>
          <w:iCs/>
          <w:lang w:eastAsia="es-ES"/>
        </w:rPr>
        <w:t>“ANALOGÍA, PROCEDE LA APLICACIÓN POR, DE LA JURISPRUDENCIA DE LA SUPREMA CORTE DE JUSTICIA DE LA NACIÓN.</w:t>
      </w:r>
      <w:r w:rsidRPr="00222A1D">
        <w:rPr>
          <w:rFonts w:ascii="Arial" w:eastAsia="Times New Roman" w:hAnsi="Arial" w:cs="Arial"/>
          <w:bCs/>
          <w:i/>
          <w:iCs/>
          <w:lang w:eastAsia="es-ES"/>
        </w:rPr>
        <w:t xml:space="preserve"> Es infundado que las tesis o jurisprudencias de la Suprema Corte de Justicia de la Nación o sus Salas, no puedan ser aplicadas por analogía o equiparación, ya que el artículo 14 constitucional, únicamente lo prohíbe en relación a juicios del orden criminal, pero cuando el juzgador para la solución de un conflicto aplica por analogía o equiparación los razonamientos jurídicos que se contienen en una tesis o jurisprudencia, es procedente si el punto jurídico es exactamente igual en el caso a resolver que en la tesis, máxime que las características de la </w:t>
      </w:r>
      <w:r w:rsidRPr="00222A1D">
        <w:rPr>
          <w:rFonts w:ascii="Arial" w:eastAsia="Times New Roman" w:hAnsi="Arial" w:cs="Arial"/>
          <w:bCs/>
          <w:i/>
          <w:iCs/>
          <w:lang w:eastAsia="es-ES"/>
        </w:rPr>
        <w:lastRenderedPageBreak/>
        <w:t>jurisprudencia son su generalidad, abstracción e impersonalidad del criterio jurídico que contiene.”</w:t>
      </w:r>
      <w:r w:rsidRPr="00222A1D">
        <w:rPr>
          <w:rStyle w:val="Refdenotaalpie"/>
          <w:rFonts w:ascii="Arial" w:eastAsia="Times New Roman" w:hAnsi="Arial" w:cs="Arial"/>
          <w:bCs/>
          <w:i/>
          <w:iCs/>
          <w:lang w:eastAsia="es-ES"/>
        </w:rPr>
        <w:footnoteReference w:id="9"/>
      </w:r>
    </w:p>
    <w:p w14:paraId="111C164C" w14:textId="2459F051" w:rsidR="00422E20" w:rsidRPr="007F56B9" w:rsidRDefault="005C07BF" w:rsidP="002558BB">
      <w:pPr>
        <w:tabs>
          <w:tab w:val="left" w:pos="7938"/>
        </w:tabs>
        <w:spacing w:before="240" w:after="0" w:line="360" w:lineRule="auto"/>
        <w:ind w:right="333"/>
        <w:jc w:val="both"/>
        <w:rPr>
          <w:rFonts w:ascii="Arial" w:hAnsi="Arial" w:cs="Arial"/>
          <w:sz w:val="26"/>
          <w:szCs w:val="26"/>
        </w:rPr>
      </w:pPr>
      <w:r w:rsidRPr="007F56B9">
        <w:rPr>
          <w:rFonts w:ascii="Arial" w:hAnsi="Arial" w:cs="Arial"/>
          <w:sz w:val="26"/>
          <w:szCs w:val="26"/>
        </w:rPr>
        <w:t xml:space="preserve"> Siendo también aplicable por analogía jurídica el siguiente criterio jurisprudencial:</w:t>
      </w:r>
      <w:r w:rsidRPr="007F56B9">
        <w:rPr>
          <w:rStyle w:val="Refdenotaalpie"/>
          <w:rFonts w:ascii="Arial" w:hAnsi="Arial" w:cs="Arial"/>
          <w:sz w:val="26"/>
          <w:szCs w:val="26"/>
        </w:rPr>
        <w:footnoteReference w:id="10"/>
      </w:r>
      <w:r w:rsidR="009107A9">
        <w:rPr>
          <w:rFonts w:ascii="Arial" w:hAnsi="Arial" w:cs="Arial"/>
          <w:sz w:val="26"/>
          <w:szCs w:val="26"/>
        </w:rPr>
        <w:t xml:space="preserve"> - - - - - - - - - - - - - - - - - - - - - - - - - - - - - - - - - - - - - -</w:t>
      </w:r>
    </w:p>
    <w:p w14:paraId="553A8400" w14:textId="69112F8A" w:rsidR="002558BB" w:rsidRPr="007F56B9" w:rsidRDefault="005C07BF" w:rsidP="005C07BF">
      <w:pPr>
        <w:tabs>
          <w:tab w:val="left" w:pos="7230"/>
          <w:tab w:val="left" w:pos="7371"/>
        </w:tabs>
        <w:spacing w:before="240" w:after="0"/>
        <w:ind w:left="284" w:right="758"/>
        <w:jc w:val="both"/>
        <w:rPr>
          <w:rFonts w:ascii="Arial" w:hAnsi="Arial" w:cs="Arial"/>
          <w:b/>
          <w:sz w:val="24"/>
          <w:szCs w:val="24"/>
        </w:rPr>
      </w:pPr>
      <w:r w:rsidRPr="009107A9">
        <w:rPr>
          <w:rFonts w:ascii="Arial" w:hAnsi="Arial" w:cs="Arial"/>
          <w:b/>
          <w:i/>
        </w:rPr>
        <w:t xml:space="preserve">“PROPIEDAD INDUSTRIAL. EL ARTÍCULO 187 DE LA LEY RELATIVA FUE DEROGADO TÁCITAMENTE POR EL ARTÍCULO 2o. DE LA LEY FEDERAL DE PROCEDIMIENTO ADMINISTRATIVO, EN CUANTO ÚNICAMENTE PREVÉ LA APLICACIÓN SUPLETORIA DEL CÓDIGO FEDERAL DE PROCEDIMIENTOS CIVILES. </w:t>
      </w:r>
      <w:r w:rsidRPr="009107A9">
        <w:rPr>
          <w:rFonts w:ascii="Arial" w:hAnsi="Arial" w:cs="Arial"/>
          <w:i/>
        </w:rPr>
        <w:t xml:space="preserve">Los artículos 187 de la Ley de la Propiedad Industrial y 2o. de la Ley Federal de Procedimiento Administrativo contienen disposiciones incompatibles en tanto que regulan de manera distinta una misma materia, pues mientras el artículo 187 considera que las lagunas de esa ley (de carácter administrativo) respecto de las disposiciones que rigen los procedimientos de declaración administrativa de nulidad a que se refiere su capítulo segundo, deberán suplirse con las del Código Federal de Procedimientos Civiles, el artículo 2o. de la ley procedimental, que es aplicable a los actos de autoridad de los organismos descentralizados de la administración pública federal paraestatal, como los que realiza el Instituto Mexicano de la Propiedad Industrial en términos del artículo 6o. de la Ley de la Propiedad Industrial, señala que los vacíos de las leyes administrativas deberán llenarse con las disposiciones de la propia Ley Federal de Procedimiento Administrativo, y sólo a falta de disposición expresa en ella, deberá acudirse a las del código aludido, además de que, ambos ordenamientos fueron expedidos por el Congreso de la Unión, por lo que tienen idéntica jerarquía en términos del artículo 133 constitucional y rigen en un mismo ámbito federal de validez. </w:t>
      </w:r>
      <w:r w:rsidRPr="009107A9">
        <w:rPr>
          <w:rFonts w:ascii="Arial" w:hAnsi="Arial" w:cs="Arial"/>
          <w:i/>
          <w:u w:val="single"/>
        </w:rPr>
        <w:t>En tal virtud, atento al principio jurídico de que la ley posterior deroga a la anterior en las disposiciones que se opongan a ella, debe estimarse que la Ley Federal de Procedimiento Administrativo, cuya expedición fue posterior, derogó tácitamente la disposición contenida en la Ley de la Propiedad Industrial en el aspecto señalado y, por ende, las disposiciones de aquélla son las que deben prevalecer, es decir, las normas aplicables supletoriamente a los procedimientos de declaración administrativa en mención son las de la Ley Federal de Procedimiento Administrativo y sólo a falta de disposición expresa en la misma lo serán las del Código Federal de Procedimientos Civiles</w:t>
      </w:r>
      <w:r w:rsidRPr="009107A9">
        <w:rPr>
          <w:rFonts w:ascii="Arial" w:hAnsi="Arial" w:cs="Arial"/>
          <w:i/>
        </w:rPr>
        <w:t>, tal como lo dispone el artículo 2o. de la referida ley procedimental.”</w:t>
      </w:r>
      <w:r w:rsidRPr="009107A9">
        <w:rPr>
          <w:rFonts w:ascii="Arial" w:hAnsi="Arial" w:cs="Arial"/>
        </w:rPr>
        <w:t xml:space="preserve"> -el</w:t>
      </w:r>
      <w:r w:rsidRPr="007F56B9">
        <w:rPr>
          <w:rFonts w:ascii="Arial" w:hAnsi="Arial" w:cs="Arial"/>
          <w:sz w:val="24"/>
          <w:szCs w:val="24"/>
        </w:rPr>
        <w:t xml:space="preserve"> subrayado es nuestro-</w:t>
      </w:r>
    </w:p>
    <w:p w14:paraId="6103B377" w14:textId="6DE0EE23" w:rsidR="005C07BF" w:rsidRPr="007F56B9" w:rsidRDefault="002558BB" w:rsidP="005C07BF">
      <w:pPr>
        <w:spacing w:before="240" w:after="0" w:line="360" w:lineRule="auto"/>
        <w:ind w:right="49"/>
        <w:jc w:val="both"/>
        <w:rPr>
          <w:rFonts w:ascii="Arial" w:hAnsi="Arial" w:cs="Arial"/>
          <w:sz w:val="26"/>
          <w:szCs w:val="26"/>
        </w:rPr>
      </w:pPr>
      <w:r w:rsidRPr="007F56B9">
        <w:rPr>
          <w:rFonts w:ascii="Arial" w:hAnsi="Arial" w:cs="Arial"/>
          <w:sz w:val="26"/>
          <w:szCs w:val="26"/>
        </w:rPr>
        <w:t xml:space="preserve">      Es entonces que</w:t>
      </w:r>
      <w:r w:rsidR="002D2F4F" w:rsidRPr="007F56B9">
        <w:rPr>
          <w:rFonts w:ascii="Arial" w:hAnsi="Arial" w:cs="Arial"/>
          <w:sz w:val="26"/>
          <w:szCs w:val="26"/>
        </w:rPr>
        <w:t>,</w:t>
      </w:r>
      <w:r w:rsidR="00DE0B6F" w:rsidRPr="007F56B9">
        <w:rPr>
          <w:rFonts w:ascii="Arial" w:hAnsi="Arial" w:cs="Arial"/>
          <w:sz w:val="26"/>
          <w:szCs w:val="26"/>
        </w:rPr>
        <w:t xml:space="preserve"> la autoridad demandada no debió aplicar el Código de Procedimientos Civiles para el Estado de Oaxaca de forma supletoria a Ley de Responsabilidades Administrativas, sino la Ley de Justicia Administrativa para el Estado de Oaxaca, por las consideraciones expuestas, por lo que emitió </w:t>
      </w:r>
      <w:r w:rsidR="00AB4BAD" w:rsidRPr="007F56B9">
        <w:rPr>
          <w:rFonts w:ascii="Arial" w:hAnsi="Arial" w:cs="Arial"/>
          <w:sz w:val="26"/>
          <w:szCs w:val="26"/>
        </w:rPr>
        <w:t xml:space="preserve">un acto </w:t>
      </w:r>
      <w:r w:rsidR="00B60890" w:rsidRPr="007F56B9">
        <w:rPr>
          <w:rFonts w:ascii="Arial" w:hAnsi="Arial" w:cs="Arial"/>
          <w:sz w:val="26"/>
          <w:szCs w:val="26"/>
        </w:rPr>
        <w:t>que</w:t>
      </w:r>
      <w:r w:rsidRPr="007F56B9">
        <w:rPr>
          <w:rFonts w:ascii="Arial" w:hAnsi="Arial" w:cs="Arial"/>
          <w:sz w:val="26"/>
          <w:szCs w:val="26"/>
        </w:rPr>
        <w:t xml:space="preserve"> afect</w:t>
      </w:r>
      <w:r w:rsidR="00B60890" w:rsidRPr="007F56B9">
        <w:rPr>
          <w:rFonts w:ascii="Arial" w:hAnsi="Arial" w:cs="Arial"/>
          <w:sz w:val="26"/>
          <w:szCs w:val="26"/>
        </w:rPr>
        <w:t>ó</w:t>
      </w:r>
      <w:r w:rsidRPr="007F56B9">
        <w:rPr>
          <w:rFonts w:ascii="Arial" w:hAnsi="Arial" w:cs="Arial"/>
          <w:sz w:val="26"/>
          <w:szCs w:val="26"/>
        </w:rPr>
        <w:t xml:space="preserve"> la defensa del administrado y la garantía de legalidad relativa a la fundamentación y motivación</w:t>
      </w:r>
      <w:r w:rsidR="00B60890" w:rsidRPr="007F56B9">
        <w:rPr>
          <w:rFonts w:ascii="Arial" w:hAnsi="Arial" w:cs="Arial"/>
          <w:sz w:val="26"/>
          <w:szCs w:val="26"/>
        </w:rPr>
        <w:t xml:space="preserve">. </w:t>
      </w:r>
      <w:r w:rsidR="00BB2B81">
        <w:rPr>
          <w:rFonts w:ascii="Arial" w:hAnsi="Arial" w:cs="Arial"/>
          <w:sz w:val="26"/>
          <w:szCs w:val="26"/>
        </w:rPr>
        <w:t xml:space="preserve">- - - - - - - - - - - - - - - - - - - - - - - - - - - - - - - - - - - - - - - - - - - </w:t>
      </w:r>
    </w:p>
    <w:p w14:paraId="156A8927" w14:textId="7B362CE6" w:rsidR="005C07BF" w:rsidRDefault="005C07BF" w:rsidP="00BB2B81">
      <w:pPr>
        <w:spacing w:before="240" w:after="0" w:line="360" w:lineRule="auto"/>
        <w:ind w:right="49" w:firstLine="426"/>
        <w:jc w:val="both"/>
        <w:rPr>
          <w:rFonts w:ascii="Arial" w:hAnsi="Arial" w:cs="Arial"/>
          <w:sz w:val="26"/>
          <w:szCs w:val="26"/>
        </w:rPr>
      </w:pPr>
      <w:r w:rsidRPr="007F56B9">
        <w:rPr>
          <w:rFonts w:ascii="Arial" w:hAnsi="Arial" w:cs="Arial"/>
          <w:sz w:val="26"/>
          <w:szCs w:val="26"/>
        </w:rPr>
        <w:lastRenderedPageBreak/>
        <w:t>Sirve de apoyo el siguiente criterio jurisprudencial</w:t>
      </w:r>
      <w:r w:rsidRPr="007F56B9">
        <w:rPr>
          <w:rStyle w:val="Refdenotaalpie"/>
          <w:rFonts w:ascii="Arial" w:hAnsi="Arial" w:cs="Arial"/>
          <w:sz w:val="26"/>
          <w:szCs w:val="26"/>
        </w:rPr>
        <w:footnoteReference w:id="11"/>
      </w:r>
      <w:r w:rsidRPr="007F56B9">
        <w:rPr>
          <w:rFonts w:ascii="Arial" w:hAnsi="Arial" w:cs="Arial"/>
          <w:sz w:val="26"/>
          <w:szCs w:val="26"/>
        </w:rPr>
        <w:t>:</w:t>
      </w:r>
      <w:r w:rsidR="00BB2B81">
        <w:rPr>
          <w:rFonts w:ascii="Arial" w:hAnsi="Arial" w:cs="Arial"/>
          <w:sz w:val="26"/>
          <w:szCs w:val="26"/>
        </w:rPr>
        <w:t xml:space="preserve">- - - - - - - - - - - - </w:t>
      </w:r>
    </w:p>
    <w:p w14:paraId="68655F4D" w14:textId="77777777" w:rsidR="00BB2B81" w:rsidRPr="007F56B9" w:rsidRDefault="00BB2B81" w:rsidP="00BB2B81">
      <w:pPr>
        <w:pStyle w:val="Sinespaciado"/>
      </w:pPr>
    </w:p>
    <w:p w14:paraId="3A81D78E" w14:textId="344B2D36" w:rsidR="005C07BF" w:rsidRPr="0022246E" w:rsidRDefault="005C07BF" w:rsidP="002D2F4F">
      <w:pPr>
        <w:pStyle w:val="Textonotapie"/>
        <w:spacing w:line="276" w:lineRule="auto"/>
        <w:ind w:left="426" w:right="474"/>
        <w:jc w:val="both"/>
        <w:rPr>
          <w:rFonts w:ascii="Arial" w:hAnsi="Arial" w:cs="Arial"/>
          <w:i/>
          <w:iCs/>
          <w:sz w:val="22"/>
          <w:szCs w:val="22"/>
        </w:rPr>
      </w:pPr>
      <w:r w:rsidRPr="0022246E">
        <w:rPr>
          <w:rFonts w:ascii="Arial" w:hAnsi="Arial" w:cs="Arial"/>
          <w:b/>
          <w:i/>
          <w:iCs/>
          <w:sz w:val="22"/>
          <w:szCs w:val="22"/>
        </w:rPr>
        <w:t xml:space="preserve">“FUNDAMENTACIÓN Y MOTIVACIÓN DE LAS RESOLUCIONES JURISDICCIONALES, DEBEN ANALIZARSE A LA LUZ DE LOS ARTÍCULOS 14 Y 16 DE LA CONSTITUCIÓN POLÍTICA DE LOS ESTADOS UNIDOS MEXICANOS, RESPECTIVAMENTE. </w:t>
      </w:r>
      <w:r w:rsidRPr="0022246E">
        <w:rPr>
          <w:rFonts w:ascii="Arial" w:hAnsi="Arial" w:cs="Arial"/>
          <w:i/>
          <w:iCs/>
          <w:sz w:val="22"/>
          <w:szCs w:val="22"/>
        </w:rPr>
        <w:t>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p>
    <w:p w14:paraId="35C913F1" w14:textId="77777777" w:rsidR="002D2F4F" w:rsidRPr="007F56B9" w:rsidRDefault="002D2F4F" w:rsidP="002D2F4F">
      <w:pPr>
        <w:spacing w:after="0" w:line="360" w:lineRule="auto"/>
        <w:jc w:val="both"/>
        <w:rPr>
          <w:rFonts w:ascii="Arial" w:eastAsia="Calibri" w:hAnsi="Arial" w:cs="Arial"/>
          <w:bCs/>
          <w:color w:val="000000" w:themeColor="text1"/>
          <w:sz w:val="26"/>
          <w:szCs w:val="26"/>
        </w:rPr>
      </w:pPr>
      <w:r w:rsidRPr="007F56B9">
        <w:rPr>
          <w:rFonts w:ascii="Arial" w:eastAsia="Calibri" w:hAnsi="Arial" w:cs="Arial"/>
          <w:bCs/>
          <w:color w:val="000000" w:themeColor="text1"/>
          <w:sz w:val="26"/>
          <w:szCs w:val="26"/>
        </w:rPr>
        <w:t xml:space="preserve">    </w:t>
      </w:r>
    </w:p>
    <w:p w14:paraId="6A103408" w14:textId="07F31670" w:rsidR="00C85B4F" w:rsidRDefault="002D2F4F" w:rsidP="002D2F4F">
      <w:pPr>
        <w:spacing w:after="0" w:line="360" w:lineRule="auto"/>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rPr>
        <w:t xml:space="preserve">    </w:t>
      </w:r>
      <w:r w:rsidR="00C05BA7">
        <w:rPr>
          <w:rFonts w:ascii="Arial" w:eastAsia="Calibri" w:hAnsi="Arial" w:cs="Arial"/>
          <w:bCs/>
          <w:color w:val="000000" w:themeColor="text1"/>
          <w:sz w:val="26"/>
          <w:szCs w:val="26"/>
        </w:rPr>
        <w:t xml:space="preserve"> </w:t>
      </w:r>
      <w:r w:rsidRPr="007F56B9">
        <w:rPr>
          <w:rFonts w:ascii="Arial" w:eastAsia="Calibri" w:hAnsi="Arial" w:cs="Arial"/>
          <w:bCs/>
          <w:color w:val="000000" w:themeColor="text1"/>
          <w:sz w:val="26"/>
          <w:szCs w:val="26"/>
        </w:rPr>
        <w:t xml:space="preserve"> </w:t>
      </w:r>
      <w:r w:rsidR="00E3516B" w:rsidRPr="007F56B9">
        <w:rPr>
          <w:rFonts w:ascii="Arial" w:eastAsia="Calibri" w:hAnsi="Arial" w:cs="Arial"/>
          <w:bCs/>
          <w:color w:val="000000" w:themeColor="text1"/>
          <w:sz w:val="26"/>
          <w:szCs w:val="26"/>
        </w:rPr>
        <w:t xml:space="preserve">Por otra parte, manifiesta en su </w:t>
      </w:r>
      <w:r w:rsidR="00E3516B" w:rsidRPr="007F56B9">
        <w:rPr>
          <w:rFonts w:ascii="Arial" w:eastAsia="Calibri" w:hAnsi="Arial" w:cs="Arial"/>
          <w:b/>
          <w:color w:val="000000" w:themeColor="text1"/>
          <w:sz w:val="26"/>
          <w:szCs w:val="26"/>
        </w:rPr>
        <w:t xml:space="preserve">agravio segundo </w:t>
      </w:r>
      <w:r w:rsidR="00E3516B" w:rsidRPr="007F56B9">
        <w:rPr>
          <w:rFonts w:ascii="Arial" w:eastAsia="Calibri" w:hAnsi="Arial" w:cs="Arial"/>
          <w:bCs/>
          <w:color w:val="000000" w:themeColor="text1"/>
          <w:sz w:val="26"/>
          <w:szCs w:val="26"/>
          <w:lang w:eastAsia="en-US"/>
        </w:rPr>
        <w:t>que</w:t>
      </w:r>
      <w:r w:rsidR="008474F5" w:rsidRPr="007F56B9">
        <w:rPr>
          <w:rFonts w:ascii="Arial" w:eastAsia="Calibri" w:hAnsi="Arial" w:cs="Arial"/>
          <w:bCs/>
          <w:color w:val="000000" w:themeColor="text1"/>
          <w:sz w:val="26"/>
          <w:szCs w:val="26"/>
          <w:lang w:eastAsia="en-US"/>
        </w:rPr>
        <w:t xml:space="preserve"> el </w:t>
      </w:r>
      <w:r w:rsidR="00E3516B" w:rsidRPr="007F56B9">
        <w:rPr>
          <w:rFonts w:ascii="Arial" w:eastAsia="Calibri" w:hAnsi="Arial" w:cs="Arial"/>
          <w:b/>
          <w:color w:val="000000" w:themeColor="text1"/>
          <w:sz w:val="26"/>
          <w:szCs w:val="26"/>
          <w:lang w:eastAsia="en-US"/>
        </w:rPr>
        <w:t>Considerando Quinto</w:t>
      </w:r>
      <w:r w:rsidR="008474F5" w:rsidRPr="007F56B9">
        <w:rPr>
          <w:rFonts w:ascii="Arial" w:eastAsia="Calibri" w:hAnsi="Arial" w:cs="Arial"/>
          <w:bCs/>
          <w:color w:val="000000" w:themeColor="text1"/>
          <w:sz w:val="26"/>
          <w:szCs w:val="26"/>
          <w:lang w:eastAsia="en-US"/>
        </w:rPr>
        <w:t xml:space="preserve"> contraviene</w:t>
      </w:r>
      <w:r w:rsidR="008474F5" w:rsidRPr="007F56B9">
        <w:rPr>
          <w:rFonts w:ascii="Arial" w:eastAsia="Calibri" w:hAnsi="Arial" w:cs="Arial"/>
          <w:b/>
          <w:color w:val="000000" w:themeColor="text1"/>
          <w:sz w:val="26"/>
          <w:szCs w:val="26"/>
          <w:lang w:eastAsia="en-US"/>
        </w:rPr>
        <w:t xml:space="preserve"> </w:t>
      </w:r>
      <w:r w:rsidR="008474F5" w:rsidRPr="007F56B9">
        <w:rPr>
          <w:rFonts w:ascii="Arial" w:eastAsia="Calibri" w:hAnsi="Arial" w:cs="Arial"/>
          <w:bCs/>
          <w:color w:val="000000" w:themeColor="text1"/>
          <w:sz w:val="26"/>
          <w:szCs w:val="26"/>
          <w:lang w:eastAsia="en-US"/>
        </w:rPr>
        <w:t>en su perjuicio</w:t>
      </w:r>
      <w:r w:rsidR="00E3516B" w:rsidRPr="007F56B9">
        <w:rPr>
          <w:rFonts w:ascii="Arial" w:eastAsia="Calibri" w:hAnsi="Arial" w:cs="Arial"/>
          <w:bCs/>
          <w:color w:val="000000" w:themeColor="text1"/>
          <w:sz w:val="26"/>
          <w:szCs w:val="26"/>
          <w:lang w:eastAsia="en-US"/>
        </w:rPr>
        <w:t xml:space="preserve">, </w:t>
      </w:r>
      <w:r w:rsidR="008474F5" w:rsidRPr="007F56B9">
        <w:rPr>
          <w:rFonts w:ascii="Arial" w:eastAsia="Calibri" w:hAnsi="Arial" w:cs="Arial"/>
          <w:bCs/>
          <w:color w:val="000000" w:themeColor="text1"/>
          <w:sz w:val="26"/>
          <w:szCs w:val="26"/>
          <w:lang w:eastAsia="en-US"/>
        </w:rPr>
        <w:t xml:space="preserve">por cuanto hace a la resolución recaída en el Recurso de </w:t>
      </w:r>
      <w:r w:rsidR="00F67C74" w:rsidRPr="007F56B9">
        <w:rPr>
          <w:rFonts w:ascii="Arial" w:eastAsia="Calibri" w:hAnsi="Arial" w:cs="Arial"/>
          <w:bCs/>
          <w:color w:val="000000" w:themeColor="text1"/>
          <w:sz w:val="26"/>
          <w:szCs w:val="26"/>
          <w:lang w:eastAsia="en-US"/>
        </w:rPr>
        <w:t>Revocación</w:t>
      </w:r>
      <w:r w:rsidR="008474F5" w:rsidRPr="007F56B9">
        <w:rPr>
          <w:rFonts w:ascii="Arial" w:eastAsia="Calibri" w:hAnsi="Arial" w:cs="Arial"/>
          <w:bCs/>
          <w:color w:val="000000" w:themeColor="text1"/>
          <w:sz w:val="26"/>
          <w:szCs w:val="26"/>
          <w:lang w:eastAsia="en-US"/>
        </w:rPr>
        <w:t xml:space="preserve"> 08/2016 dictada el </w:t>
      </w:r>
      <w:r w:rsidR="00997777" w:rsidRPr="007F56B9">
        <w:rPr>
          <w:rFonts w:ascii="Arial" w:eastAsia="Calibri" w:hAnsi="Arial" w:cs="Arial"/>
          <w:bCs/>
          <w:color w:val="000000" w:themeColor="text1"/>
          <w:sz w:val="26"/>
          <w:szCs w:val="26"/>
          <w:lang w:eastAsia="en-US"/>
        </w:rPr>
        <w:t xml:space="preserve">29 </w:t>
      </w:r>
      <w:r w:rsidR="008474F5" w:rsidRPr="007F56B9">
        <w:rPr>
          <w:rFonts w:ascii="Arial" w:eastAsia="Calibri" w:hAnsi="Arial" w:cs="Arial"/>
          <w:bCs/>
          <w:color w:val="000000" w:themeColor="text1"/>
          <w:sz w:val="26"/>
          <w:szCs w:val="26"/>
          <w:lang w:eastAsia="en-US"/>
        </w:rPr>
        <w:t>veintinueve</w:t>
      </w:r>
      <w:r w:rsidR="00836E6B" w:rsidRPr="007F56B9">
        <w:rPr>
          <w:rFonts w:ascii="Arial" w:eastAsia="Calibri" w:hAnsi="Arial" w:cs="Arial"/>
          <w:bCs/>
          <w:color w:val="000000" w:themeColor="text1"/>
          <w:sz w:val="26"/>
          <w:szCs w:val="26"/>
          <w:lang w:eastAsia="en-US"/>
        </w:rPr>
        <w:t xml:space="preserve"> de julio de </w:t>
      </w:r>
      <w:r w:rsidR="00997777" w:rsidRPr="007F56B9">
        <w:rPr>
          <w:rFonts w:ascii="Arial" w:eastAsia="Calibri" w:hAnsi="Arial" w:cs="Arial"/>
          <w:bCs/>
          <w:color w:val="000000" w:themeColor="text1"/>
          <w:sz w:val="26"/>
          <w:szCs w:val="26"/>
          <w:lang w:eastAsia="en-US"/>
        </w:rPr>
        <w:t xml:space="preserve">2016 </w:t>
      </w:r>
      <w:r w:rsidR="00836E6B" w:rsidRPr="007F56B9">
        <w:rPr>
          <w:rFonts w:ascii="Arial" w:eastAsia="Calibri" w:hAnsi="Arial" w:cs="Arial"/>
          <w:bCs/>
          <w:color w:val="000000" w:themeColor="text1"/>
          <w:sz w:val="26"/>
          <w:szCs w:val="26"/>
          <w:lang w:eastAsia="en-US"/>
        </w:rPr>
        <w:t>dos mil dieciséis (29/07/2016). (Transcribe Considerando).</w:t>
      </w:r>
      <w:bookmarkStart w:id="0" w:name="_Hlk39776426"/>
      <w:r w:rsidR="00172BE3" w:rsidRPr="007F56B9">
        <w:rPr>
          <w:rFonts w:ascii="Arial" w:eastAsia="Calibri" w:hAnsi="Arial" w:cs="Arial"/>
          <w:bCs/>
          <w:color w:val="000000" w:themeColor="text1"/>
          <w:sz w:val="26"/>
          <w:szCs w:val="26"/>
          <w:lang w:eastAsia="en-US"/>
        </w:rPr>
        <w:t xml:space="preserve"> - - - - - - - - - - - - - - - - - - - - - - - - - - - - - - -  - - - - - - - -  -</w:t>
      </w:r>
    </w:p>
    <w:p w14:paraId="13B07B71" w14:textId="77777777" w:rsidR="00C05BA7" w:rsidRPr="007F56B9" w:rsidRDefault="00C05BA7" w:rsidP="00C05BA7">
      <w:pPr>
        <w:pStyle w:val="Sinespaciado"/>
        <w:rPr>
          <w:rFonts w:eastAsia="Calibri"/>
          <w:lang w:eastAsia="en-US"/>
        </w:rPr>
      </w:pPr>
    </w:p>
    <w:p w14:paraId="0024C6E7" w14:textId="26A17014" w:rsidR="00902DF6" w:rsidRDefault="00EA27F2" w:rsidP="00C85B4F">
      <w:pPr>
        <w:spacing w:after="0" w:line="360" w:lineRule="auto"/>
        <w:ind w:firstLine="709"/>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t xml:space="preserve">Sigue exponiendo, </w:t>
      </w:r>
      <w:r w:rsidR="00C85B4F" w:rsidRPr="007F56B9">
        <w:rPr>
          <w:rFonts w:ascii="Arial" w:eastAsia="Calibri" w:hAnsi="Arial" w:cs="Arial"/>
          <w:bCs/>
          <w:color w:val="000000" w:themeColor="text1"/>
          <w:sz w:val="26"/>
          <w:szCs w:val="26"/>
          <w:lang w:eastAsia="en-US"/>
        </w:rPr>
        <w:t xml:space="preserve">que la Sala de Primera Instancia dejó de considerar que el actor Rubén López Cruz en su carácter de Director de </w:t>
      </w:r>
      <w:r w:rsidR="00C85B4F" w:rsidRPr="007F56B9">
        <w:rPr>
          <w:rFonts w:ascii="Arial" w:eastAsia="Calibri" w:hAnsi="Arial" w:cs="Arial"/>
          <w:bCs/>
          <w:color w:val="000000" w:themeColor="text1"/>
          <w:sz w:val="26"/>
          <w:szCs w:val="26"/>
          <w:lang w:eastAsia="en-US"/>
        </w:rPr>
        <w:lastRenderedPageBreak/>
        <w:t xml:space="preserve">la Escuela Telesecundaria de San Juan Guelavía, Tlacolula, Oaxaca, se le atribuyeron las siguientes faltas </w:t>
      </w:r>
      <w:r w:rsidR="008315F3" w:rsidRPr="007F56B9">
        <w:rPr>
          <w:rFonts w:ascii="Arial" w:eastAsia="Calibri" w:hAnsi="Arial" w:cs="Arial"/>
          <w:bCs/>
          <w:color w:val="000000" w:themeColor="text1"/>
          <w:sz w:val="26"/>
          <w:szCs w:val="26"/>
          <w:lang w:eastAsia="en-US"/>
        </w:rPr>
        <w:t>administrativas:</w:t>
      </w:r>
      <w:r w:rsidR="008315F3">
        <w:rPr>
          <w:rFonts w:ascii="Arial" w:eastAsia="Calibri" w:hAnsi="Arial" w:cs="Arial"/>
          <w:bCs/>
          <w:color w:val="000000" w:themeColor="text1"/>
          <w:sz w:val="26"/>
          <w:szCs w:val="26"/>
          <w:lang w:eastAsia="en-US"/>
        </w:rPr>
        <w:t xml:space="preserve"> - - - - - - - - - - - - - - - </w:t>
      </w:r>
    </w:p>
    <w:p w14:paraId="2D617D5D" w14:textId="77777777" w:rsidR="008315F3" w:rsidRPr="007F56B9" w:rsidRDefault="008315F3" w:rsidP="008315F3">
      <w:pPr>
        <w:pStyle w:val="Sinespaciado"/>
        <w:rPr>
          <w:rFonts w:eastAsia="Calibri"/>
          <w:lang w:eastAsia="en-US"/>
        </w:rPr>
      </w:pPr>
    </w:p>
    <w:p w14:paraId="742423A4" w14:textId="1B931E02" w:rsidR="00470671" w:rsidRPr="000C6B94" w:rsidRDefault="006B51C3" w:rsidP="006B51C3">
      <w:pPr>
        <w:spacing w:after="0"/>
        <w:ind w:left="1134" w:right="758"/>
        <w:jc w:val="both"/>
        <w:rPr>
          <w:rFonts w:ascii="Arial" w:eastAsia="Calibri" w:hAnsi="Arial" w:cs="Arial"/>
          <w:bCs/>
          <w:i/>
          <w:color w:val="000000" w:themeColor="text1"/>
          <w:lang w:eastAsia="en-US"/>
        </w:rPr>
      </w:pPr>
      <w:r w:rsidRPr="000C6B94">
        <w:rPr>
          <w:rFonts w:ascii="Arial" w:eastAsia="Calibri" w:hAnsi="Arial" w:cs="Arial"/>
          <w:bCs/>
          <w:i/>
          <w:color w:val="000000" w:themeColor="text1"/>
          <w:lang w:eastAsia="en-US"/>
        </w:rPr>
        <w:t xml:space="preserve">     “</w:t>
      </w:r>
      <w:r w:rsidR="00470671" w:rsidRPr="000C6B94">
        <w:rPr>
          <w:rFonts w:ascii="Arial" w:eastAsia="Calibri" w:hAnsi="Arial" w:cs="Arial"/>
          <w:b/>
          <w:i/>
          <w:color w:val="000000" w:themeColor="text1"/>
          <w:lang w:eastAsia="en-US"/>
        </w:rPr>
        <w:t xml:space="preserve">1. No haber cumplir </w:t>
      </w:r>
      <w:r w:rsidR="008C5A44" w:rsidRPr="000C6B94">
        <w:rPr>
          <w:rFonts w:ascii="Arial" w:eastAsia="Calibri" w:hAnsi="Arial" w:cs="Arial"/>
          <w:i/>
          <w:color w:val="000000" w:themeColor="text1"/>
          <w:lang w:eastAsia="en-US"/>
        </w:rPr>
        <w:t>(sic)</w:t>
      </w:r>
      <w:r w:rsidR="008C5A44" w:rsidRPr="000C6B94">
        <w:rPr>
          <w:rFonts w:ascii="Arial" w:eastAsia="Calibri" w:hAnsi="Arial" w:cs="Arial"/>
          <w:b/>
          <w:i/>
          <w:color w:val="000000" w:themeColor="text1"/>
          <w:lang w:eastAsia="en-US"/>
        </w:rPr>
        <w:t xml:space="preserve"> </w:t>
      </w:r>
      <w:r w:rsidR="00470671" w:rsidRPr="000C6B94">
        <w:rPr>
          <w:rFonts w:ascii="Arial" w:eastAsia="Calibri" w:hAnsi="Arial" w:cs="Arial"/>
          <w:b/>
          <w:i/>
          <w:color w:val="000000" w:themeColor="text1"/>
          <w:lang w:eastAsia="en-US"/>
        </w:rPr>
        <w:t xml:space="preserve">con la máxima diligencia el servicio que le fue encomendado </w:t>
      </w:r>
      <w:r w:rsidR="00470671" w:rsidRPr="000C6B94">
        <w:rPr>
          <w:rFonts w:ascii="Arial" w:eastAsia="Calibri" w:hAnsi="Arial" w:cs="Arial"/>
          <w:bCs/>
          <w:i/>
          <w:color w:val="000000" w:themeColor="text1"/>
          <w:lang w:eastAsia="en-US"/>
        </w:rPr>
        <w:t>al no</w:t>
      </w:r>
      <w:r w:rsidR="00853A6B" w:rsidRPr="000C6B94">
        <w:rPr>
          <w:rFonts w:ascii="Arial" w:eastAsia="Calibri" w:hAnsi="Arial" w:cs="Arial"/>
          <w:bCs/>
          <w:i/>
          <w:color w:val="000000" w:themeColor="text1"/>
          <w:lang w:eastAsia="en-US"/>
        </w:rPr>
        <w:t xml:space="preserve"> (sic)</w:t>
      </w:r>
      <w:r w:rsidR="00470671" w:rsidRPr="000C6B94">
        <w:rPr>
          <w:rFonts w:ascii="Arial" w:eastAsia="Calibri" w:hAnsi="Arial" w:cs="Arial"/>
          <w:bCs/>
          <w:i/>
          <w:color w:val="000000" w:themeColor="text1"/>
          <w:lang w:eastAsia="en-US"/>
        </w:rPr>
        <w:t xml:space="preserve"> haber expulsado al menor de edad </w:t>
      </w:r>
      <w:r w:rsidR="00993CDB">
        <w:rPr>
          <w:rFonts w:ascii="Arial" w:hAnsi="Arial" w:cs="Arial"/>
          <w:b/>
          <w:bCs/>
          <w:sz w:val="26"/>
          <w:szCs w:val="26"/>
        </w:rPr>
        <w:t>***********</w:t>
      </w:r>
      <w:r w:rsidR="00993CDB">
        <w:rPr>
          <w:rFonts w:ascii="Arial" w:hAnsi="Arial" w:cs="Arial"/>
          <w:b/>
          <w:bCs/>
          <w:sz w:val="26"/>
          <w:szCs w:val="26"/>
        </w:rPr>
        <w:t xml:space="preserve"> </w:t>
      </w:r>
      <w:r w:rsidR="00470671" w:rsidRPr="000C6B94">
        <w:rPr>
          <w:rFonts w:ascii="Arial" w:eastAsia="Calibri" w:hAnsi="Arial" w:cs="Arial"/>
          <w:bCs/>
          <w:i/>
          <w:color w:val="000000" w:themeColor="text1"/>
          <w:lang w:eastAsia="en-US"/>
        </w:rPr>
        <w:t>de la Escuela Telesecundaria de San Juan Guelavía.</w:t>
      </w:r>
    </w:p>
    <w:p w14:paraId="028D0799" w14:textId="5BB99B94" w:rsidR="00470671" w:rsidRDefault="00470671" w:rsidP="00470671">
      <w:pPr>
        <w:spacing w:after="0"/>
        <w:ind w:left="1134" w:right="758" w:firstLine="709"/>
        <w:jc w:val="both"/>
        <w:rPr>
          <w:rFonts w:ascii="Arial" w:eastAsia="Calibri" w:hAnsi="Arial" w:cs="Arial"/>
          <w:bCs/>
          <w:i/>
          <w:color w:val="000000" w:themeColor="text1"/>
          <w:lang w:eastAsia="en-US"/>
        </w:rPr>
      </w:pPr>
      <w:r w:rsidRPr="000C6B94">
        <w:rPr>
          <w:rFonts w:ascii="Arial" w:eastAsia="Calibri" w:hAnsi="Arial" w:cs="Arial"/>
          <w:b/>
          <w:i/>
          <w:color w:val="000000" w:themeColor="text1"/>
          <w:lang w:eastAsia="en-US"/>
        </w:rPr>
        <w:t>2. No haber observado buena conducta en el desempeño de su cargo</w:t>
      </w:r>
      <w:r w:rsidRPr="000C6B94">
        <w:rPr>
          <w:rFonts w:ascii="Arial" w:eastAsia="Calibri" w:hAnsi="Arial" w:cs="Arial"/>
          <w:bCs/>
          <w:i/>
          <w:color w:val="000000" w:themeColor="text1"/>
          <w:lang w:eastAsia="en-US"/>
        </w:rPr>
        <w:t xml:space="preserve"> al haber expulsado al menor de edad </w:t>
      </w:r>
      <w:r w:rsidR="00993CDB">
        <w:rPr>
          <w:rFonts w:ascii="Arial" w:hAnsi="Arial" w:cs="Arial"/>
          <w:b/>
          <w:bCs/>
          <w:sz w:val="26"/>
          <w:szCs w:val="26"/>
        </w:rPr>
        <w:t>***********</w:t>
      </w:r>
      <w:r w:rsidR="00993CDB">
        <w:rPr>
          <w:rFonts w:ascii="Arial" w:hAnsi="Arial" w:cs="Arial"/>
          <w:b/>
          <w:bCs/>
          <w:sz w:val="26"/>
          <w:szCs w:val="26"/>
        </w:rPr>
        <w:t xml:space="preserve"> </w:t>
      </w:r>
      <w:r w:rsidRPr="000C6B94">
        <w:rPr>
          <w:rFonts w:ascii="Arial" w:eastAsia="Calibri" w:hAnsi="Arial" w:cs="Arial"/>
          <w:bCs/>
          <w:i/>
          <w:color w:val="000000" w:themeColor="text1"/>
          <w:lang w:eastAsia="en-US"/>
        </w:rPr>
        <w:t xml:space="preserve">de la Escuela Telesecundaria de San Juan </w:t>
      </w:r>
      <w:proofErr w:type="spellStart"/>
      <w:r w:rsidRPr="000C6B94">
        <w:rPr>
          <w:rFonts w:ascii="Arial" w:eastAsia="Calibri" w:hAnsi="Arial" w:cs="Arial"/>
          <w:bCs/>
          <w:i/>
          <w:color w:val="000000" w:themeColor="text1"/>
          <w:lang w:eastAsia="en-US"/>
        </w:rPr>
        <w:t>Guelavía</w:t>
      </w:r>
      <w:proofErr w:type="spellEnd"/>
      <w:r w:rsidRPr="000C6B94">
        <w:rPr>
          <w:rFonts w:ascii="Arial" w:eastAsia="Calibri" w:hAnsi="Arial" w:cs="Arial"/>
          <w:bCs/>
          <w:i/>
          <w:color w:val="000000" w:themeColor="text1"/>
          <w:lang w:eastAsia="en-US"/>
        </w:rPr>
        <w:t>.</w:t>
      </w:r>
    </w:p>
    <w:p w14:paraId="7A926B5B" w14:textId="77777777" w:rsidR="00993CDB" w:rsidRPr="000C6B94" w:rsidRDefault="00993CDB" w:rsidP="00470671">
      <w:pPr>
        <w:spacing w:after="0"/>
        <w:ind w:left="1134" w:right="758" w:firstLine="709"/>
        <w:jc w:val="both"/>
        <w:rPr>
          <w:rFonts w:ascii="Arial" w:eastAsia="Calibri" w:hAnsi="Arial" w:cs="Arial"/>
          <w:bCs/>
          <w:i/>
          <w:color w:val="000000" w:themeColor="text1"/>
          <w:lang w:eastAsia="en-US"/>
        </w:rPr>
      </w:pPr>
    </w:p>
    <w:p w14:paraId="42A974D9" w14:textId="32CB92F9" w:rsidR="00470671" w:rsidRPr="000C6B94" w:rsidRDefault="00470671" w:rsidP="00470671">
      <w:pPr>
        <w:spacing w:after="0"/>
        <w:ind w:left="1134" w:right="758" w:firstLine="709"/>
        <w:jc w:val="both"/>
        <w:rPr>
          <w:rFonts w:ascii="Arial" w:eastAsia="Calibri" w:hAnsi="Arial" w:cs="Arial"/>
          <w:bCs/>
          <w:i/>
          <w:color w:val="000000" w:themeColor="text1"/>
          <w:lang w:eastAsia="en-US"/>
        </w:rPr>
      </w:pPr>
      <w:r w:rsidRPr="000C6B94">
        <w:rPr>
          <w:rFonts w:ascii="Arial" w:eastAsia="Calibri" w:hAnsi="Arial" w:cs="Arial"/>
          <w:b/>
          <w:i/>
          <w:color w:val="000000" w:themeColor="text1"/>
          <w:lang w:eastAsia="en-US"/>
        </w:rPr>
        <w:t>3. Incumplimiento de la normatividad</w:t>
      </w:r>
      <w:r w:rsidRPr="000C6B94">
        <w:rPr>
          <w:rFonts w:ascii="Arial" w:eastAsia="Calibri" w:hAnsi="Arial" w:cs="Arial"/>
          <w:bCs/>
          <w:i/>
          <w:color w:val="000000" w:themeColor="text1"/>
          <w:lang w:eastAsia="en-US"/>
        </w:rPr>
        <w:t xml:space="preserve"> al no</w:t>
      </w:r>
      <w:r w:rsidR="00152618" w:rsidRPr="000C6B94">
        <w:rPr>
          <w:rFonts w:ascii="Arial" w:eastAsia="Calibri" w:hAnsi="Arial" w:cs="Arial"/>
          <w:bCs/>
          <w:i/>
          <w:color w:val="000000" w:themeColor="text1"/>
          <w:lang w:eastAsia="en-US"/>
        </w:rPr>
        <w:t xml:space="preserve"> (sic)</w:t>
      </w:r>
      <w:r w:rsidRPr="000C6B94">
        <w:rPr>
          <w:rFonts w:ascii="Arial" w:eastAsia="Calibri" w:hAnsi="Arial" w:cs="Arial"/>
          <w:bCs/>
          <w:i/>
          <w:color w:val="000000" w:themeColor="text1"/>
          <w:lang w:eastAsia="en-US"/>
        </w:rPr>
        <w:t xml:space="preserve"> haber expulsado al menor de edad </w:t>
      </w:r>
      <w:r w:rsidR="00993CDB">
        <w:rPr>
          <w:rFonts w:ascii="Arial" w:hAnsi="Arial" w:cs="Arial"/>
          <w:b/>
          <w:bCs/>
          <w:sz w:val="26"/>
          <w:szCs w:val="26"/>
        </w:rPr>
        <w:t>***********</w:t>
      </w:r>
      <w:r w:rsidR="00993CDB">
        <w:rPr>
          <w:rFonts w:ascii="Arial" w:hAnsi="Arial" w:cs="Arial"/>
          <w:b/>
          <w:bCs/>
          <w:sz w:val="26"/>
          <w:szCs w:val="26"/>
        </w:rPr>
        <w:t xml:space="preserve"> </w:t>
      </w:r>
      <w:r w:rsidRPr="000C6B94">
        <w:rPr>
          <w:rFonts w:ascii="Arial" w:eastAsia="Calibri" w:hAnsi="Arial" w:cs="Arial"/>
          <w:bCs/>
          <w:i/>
          <w:color w:val="000000" w:themeColor="text1"/>
          <w:lang w:eastAsia="en-US"/>
        </w:rPr>
        <w:t xml:space="preserve">de la Escuela Telesecundaria de San Juan Guelavía, contraviniendo lo establecido en el artículo 34 de la Ley de Protección de los Derechos de los Niños, Niñas y Adolescentes para el Estado de </w:t>
      </w:r>
      <w:r w:rsidR="006B51C3" w:rsidRPr="000C6B94">
        <w:rPr>
          <w:rFonts w:ascii="Arial" w:eastAsia="Calibri" w:hAnsi="Arial" w:cs="Arial"/>
          <w:bCs/>
          <w:i/>
          <w:color w:val="000000" w:themeColor="text1"/>
          <w:lang w:eastAsia="en-US"/>
        </w:rPr>
        <w:t>Oaxaca.”</w:t>
      </w:r>
    </w:p>
    <w:p w14:paraId="3B35C8E8" w14:textId="77777777" w:rsidR="00420F39" w:rsidRPr="007F56B9" w:rsidRDefault="00420F39" w:rsidP="00304C9C">
      <w:pPr>
        <w:spacing w:after="0" w:line="360" w:lineRule="auto"/>
        <w:jc w:val="both"/>
        <w:rPr>
          <w:rFonts w:ascii="Arial" w:eastAsia="Calibri" w:hAnsi="Arial" w:cs="Arial"/>
          <w:bCs/>
          <w:color w:val="000000" w:themeColor="text1"/>
          <w:sz w:val="26"/>
          <w:szCs w:val="26"/>
          <w:lang w:eastAsia="en-US"/>
        </w:rPr>
      </w:pPr>
    </w:p>
    <w:p w14:paraId="363A1EA0" w14:textId="711D6F09" w:rsidR="007771C3" w:rsidRDefault="00D95567" w:rsidP="007771C3">
      <w:pPr>
        <w:spacing w:after="0" w:line="360" w:lineRule="auto"/>
        <w:ind w:firstLine="709"/>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t xml:space="preserve"> Agrega que,</w:t>
      </w:r>
      <w:r w:rsidR="00304C9C" w:rsidRPr="007F56B9">
        <w:rPr>
          <w:rFonts w:ascii="Arial" w:eastAsia="Calibri" w:hAnsi="Arial" w:cs="Arial"/>
          <w:bCs/>
          <w:color w:val="000000" w:themeColor="text1"/>
          <w:sz w:val="26"/>
          <w:szCs w:val="26"/>
          <w:lang w:eastAsia="en-US"/>
        </w:rPr>
        <w:t xml:space="preserve"> en base a lo anterior su </w:t>
      </w:r>
      <w:r w:rsidR="007771C3" w:rsidRPr="007F56B9">
        <w:rPr>
          <w:rFonts w:ascii="Arial" w:eastAsia="Calibri" w:hAnsi="Arial" w:cs="Arial"/>
          <w:bCs/>
          <w:color w:val="000000" w:themeColor="text1"/>
          <w:sz w:val="26"/>
          <w:szCs w:val="26"/>
          <w:lang w:eastAsia="en-US"/>
        </w:rPr>
        <w:t>representada</w:t>
      </w:r>
      <w:r w:rsidR="00304C9C" w:rsidRPr="007F56B9">
        <w:rPr>
          <w:rFonts w:ascii="Arial" w:eastAsia="Calibri" w:hAnsi="Arial" w:cs="Arial"/>
          <w:bCs/>
          <w:color w:val="000000" w:themeColor="text1"/>
          <w:sz w:val="26"/>
          <w:szCs w:val="26"/>
          <w:lang w:eastAsia="en-US"/>
        </w:rPr>
        <w:t xml:space="preserve"> fundó y motivo su acción al sancionar al actor por así quedar acreditadas las faltas administrativas antes señaladas, toda vez que </w:t>
      </w:r>
      <w:r w:rsidR="007771C3" w:rsidRPr="007F56B9">
        <w:rPr>
          <w:rFonts w:ascii="Arial" w:eastAsia="Calibri" w:hAnsi="Arial" w:cs="Arial"/>
          <w:bCs/>
          <w:color w:val="000000" w:themeColor="text1"/>
          <w:sz w:val="26"/>
          <w:szCs w:val="26"/>
          <w:lang w:eastAsia="en-US"/>
        </w:rPr>
        <w:t xml:space="preserve">el servidor público sancionado suspendió al menor </w:t>
      </w:r>
      <w:r w:rsidR="00993CDB">
        <w:rPr>
          <w:rFonts w:ascii="Arial" w:hAnsi="Arial" w:cs="Arial"/>
          <w:b/>
          <w:bCs/>
          <w:sz w:val="26"/>
          <w:szCs w:val="26"/>
        </w:rPr>
        <w:t>***********</w:t>
      </w:r>
      <w:r w:rsidR="00993CDB">
        <w:rPr>
          <w:rFonts w:ascii="Arial" w:hAnsi="Arial" w:cs="Arial"/>
          <w:b/>
          <w:bCs/>
          <w:sz w:val="26"/>
          <w:szCs w:val="26"/>
        </w:rPr>
        <w:t xml:space="preserve"> </w:t>
      </w:r>
      <w:r w:rsidR="007771C3" w:rsidRPr="007F56B9">
        <w:rPr>
          <w:rFonts w:ascii="Arial" w:eastAsia="Calibri" w:hAnsi="Arial" w:cs="Arial"/>
          <w:bCs/>
          <w:color w:val="000000" w:themeColor="text1"/>
          <w:sz w:val="26"/>
          <w:szCs w:val="26"/>
          <w:lang w:eastAsia="en-US"/>
        </w:rPr>
        <w:t>de la Escuela Telesecundaria de San Juan Guelavía, Tlacolula, que trajo con su actuar la inobservancia</w:t>
      </w:r>
      <w:r w:rsidR="008C5A44" w:rsidRPr="007F56B9">
        <w:rPr>
          <w:rFonts w:ascii="Arial" w:eastAsia="Calibri" w:hAnsi="Arial" w:cs="Arial"/>
          <w:bCs/>
          <w:color w:val="000000" w:themeColor="text1"/>
          <w:sz w:val="26"/>
          <w:szCs w:val="26"/>
          <w:lang w:eastAsia="en-US"/>
        </w:rPr>
        <w:t xml:space="preserve"> de</w:t>
      </w:r>
      <w:r w:rsidR="007771C3" w:rsidRPr="007F56B9">
        <w:rPr>
          <w:rFonts w:ascii="Arial" w:eastAsia="Calibri" w:hAnsi="Arial" w:cs="Arial"/>
          <w:bCs/>
          <w:color w:val="000000" w:themeColor="text1"/>
          <w:sz w:val="26"/>
          <w:szCs w:val="26"/>
          <w:lang w:eastAsia="en-US"/>
        </w:rPr>
        <w:t xml:space="preserve"> lo dispuesto en el artículo 43</w:t>
      </w:r>
      <w:r w:rsidR="008C5A44" w:rsidRPr="007F56B9">
        <w:rPr>
          <w:rFonts w:ascii="Arial" w:eastAsia="Calibri" w:hAnsi="Arial" w:cs="Arial"/>
          <w:bCs/>
          <w:color w:val="000000" w:themeColor="text1"/>
          <w:sz w:val="26"/>
          <w:szCs w:val="26"/>
          <w:lang w:eastAsia="en-US"/>
        </w:rPr>
        <w:t>,</w:t>
      </w:r>
      <w:r w:rsidR="007771C3" w:rsidRPr="007F56B9">
        <w:rPr>
          <w:rFonts w:ascii="Arial" w:eastAsia="Calibri" w:hAnsi="Arial" w:cs="Arial"/>
          <w:bCs/>
          <w:color w:val="000000" w:themeColor="text1"/>
          <w:sz w:val="26"/>
          <w:szCs w:val="26"/>
          <w:lang w:eastAsia="en-US"/>
        </w:rPr>
        <w:t xml:space="preserve"> fracciones I y III de la Ley de Protección de los Derechos de los Niños, Niñas y Adolescentes para el Estado de Oaxaca, que para mayor referencia se transcribe:</w:t>
      </w:r>
      <w:r w:rsidR="0068313B">
        <w:rPr>
          <w:rFonts w:ascii="Arial" w:eastAsia="Calibri" w:hAnsi="Arial" w:cs="Arial"/>
          <w:bCs/>
          <w:color w:val="000000" w:themeColor="text1"/>
          <w:sz w:val="26"/>
          <w:szCs w:val="26"/>
          <w:lang w:eastAsia="en-US"/>
        </w:rPr>
        <w:t xml:space="preserve">- - - </w:t>
      </w:r>
    </w:p>
    <w:p w14:paraId="1176387B" w14:textId="77777777" w:rsidR="0068313B" w:rsidRPr="007F56B9" w:rsidRDefault="0068313B" w:rsidP="0068313B">
      <w:pPr>
        <w:pStyle w:val="Sinespaciado"/>
        <w:rPr>
          <w:rFonts w:eastAsia="Calibri"/>
          <w:lang w:eastAsia="en-US"/>
        </w:rPr>
      </w:pPr>
    </w:p>
    <w:p w14:paraId="3CE674CD" w14:textId="73145266" w:rsidR="007771C3" w:rsidRPr="0068313B" w:rsidRDefault="00206AEC" w:rsidP="00874818">
      <w:pPr>
        <w:spacing w:after="0"/>
        <w:ind w:left="1134" w:right="758" w:firstLine="284"/>
        <w:jc w:val="both"/>
        <w:rPr>
          <w:rFonts w:ascii="Arial" w:eastAsia="Calibri" w:hAnsi="Arial" w:cs="Arial"/>
          <w:bCs/>
          <w:i/>
          <w:color w:val="000000" w:themeColor="text1"/>
          <w:lang w:eastAsia="en-US"/>
        </w:rPr>
      </w:pPr>
      <w:r w:rsidRPr="0068313B">
        <w:rPr>
          <w:rFonts w:ascii="Arial" w:eastAsia="Calibri" w:hAnsi="Arial" w:cs="Arial"/>
          <w:b/>
          <w:i/>
          <w:color w:val="000000" w:themeColor="text1"/>
          <w:lang w:eastAsia="en-US"/>
        </w:rPr>
        <w:t>‘’Articulo 43.-</w:t>
      </w:r>
      <w:r w:rsidRPr="0068313B">
        <w:rPr>
          <w:rFonts w:ascii="Arial" w:eastAsia="Calibri" w:hAnsi="Arial" w:cs="Arial"/>
          <w:bCs/>
          <w:i/>
          <w:color w:val="000000" w:themeColor="text1"/>
          <w:lang w:eastAsia="en-US"/>
        </w:rPr>
        <w:t xml:space="preserve"> Los niños, niñas y adolescentes tienen derecho a ser respetados por sus educadores. La disciplina escolar debe ser administrada acorde con los derechos reconocidos en esta Ley. En consecuencia:</w:t>
      </w:r>
    </w:p>
    <w:p w14:paraId="6DA9F595" w14:textId="616EFB88" w:rsidR="00206AEC" w:rsidRPr="0068313B" w:rsidRDefault="00206AEC" w:rsidP="00874818">
      <w:pPr>
        <w:pStyle w:val="Prrafodelista"/>
        <w:numPr>
          <w:ilvl w:val="0"/>
          <w:numId w:val="18"/>
        </w:numPr>
        <w:spacing w:after="0"/>
        <w:ind w:left="1134" w:right="758" w:firstLine="284"/>
        <w:jc w:val="both"/>
        <w:rPr>
          <w:rFonts w:ascii="Arial" w:eastAsia="Calibri" w:hAnsi="Arial" w:cs="Arial"/>
          <w:bCs/>
          <w:i/>
          <w:color w:val="000000" w:themeColor="text1"/>
          <w:lang w:eastAsia="en-US"/>
        </w:rPr>
      </w:pPr>
      <w:r w:rsidRPr="0068313B">
        <w:rPr>
          <w:rFonts w:ascii="Arial" w:eastAsia="Calibri" w:hAnsi="Arial" w:cs="Arial"/>
          <w:bCs/>
          <w:i/>
          <w:color w:val="000000" w:themeColor="text1"/>
          <w:lang w:eastAsia="en-US"/>
        </w:rPr>
        <w:t xml:space="preserve">Debe establecerse claramente en el reglamento disciplinario de la escuela, plantel o instituto de educación, los hechos que son susceptibles de los </w:t>
      </w:r>
      <w:r w:rsidRPr="0068313B">
        <w:rPr>
          <w:rFonts w:ascii="Arial" w:hAnsi="Arial" w:cs="Arial"/>
          <w:i/>
          <w:color w:val="000000" w:themeColor="text1"/>
        </w:rPr>
        <w:t>hechos que son susceptibles de sanción, las sanciones aplicables y el procedimiento para imponerlas;</w:t>
      </w:r>
    </w:p>
    <w:p w14:paraId="6E511955" w14:textId="77B1098D" w:rsidR="00206AEC" w:rsidRPr="0068313B" w:rsidRDefault="00206AEC" w:rsidP="00874818">
      <w:pPr>
        <w:pStyle w:val="Prrafodelista"/>
        <w:numPr>
          <w:ilvl w:val="0"/>
          <w:numId w:val="18"/>
        </w:numPr>
        <w:spacing w:after="0"/>
        <w:ind w:left="1134" w:right="758" w:firstLine="284"/>
        <w:jc w:val="both"/>
        <w:rPr>
          <w:rFonts w:ascii="Arial" w:eastAsia="Calibri" w:hAnsi="Arial" w:cs="Arial"/>
          <w:bCs/>
          <w:i/>
          <w:color w:val="000000" w:themeColor="text1"/>
          <w:lang w:eastAsia="en-US"/>
        </w:rPr>
      </w:pPr>
      <w:r w:rsidRPr="0068313B">
        <w:rPr>
          <w:rFonts w:ascii="Arial" w:eastAsia="Calibri" w:hAnsi="Arial" w:cs="Arial"/>
          <w:bCs/>
          <w:i/>
          <w:color w:val="000000" w:themeColor="text1"/>
          <w:lang w:eastAsia="en-US"/>
        </w:rPr>
        <w:t>[…]</w:t>
      </w:r>
    </w:p>
    <w:p w14:paraId="54269FFE" w14:textId="7EA7BA0B" w:rsidR="00206AEC" w:rsidRPr="0068313B" w:rsidRDefault="00206AEC" w:rsidP="00874818">
      <w:pPr>
        <w:pStyle w:val="Prrafodelista"/>
        <w:numPr>
          <w:ilvl w:val="0"/>
          <w:numId w:val="18"/>
        </w:numPr>
        <w:spacing w:after="0"/>
        <w:ind w:left="1134" w:right="758" w:firstLine="284"/>
        <w:jc w:val="both"/>
        <w:rPr>
          <w:rFonts w:ascii="Arial" w:eastAsia="Calibri" w:hAnsi="Arial" w:cs="Arial"/>
          <w:bCs/>
          <w:i/>
          <w:color w:val="000000" w:themeColor="text1"/>
          <w:lang w:eastAsia="en-US"/>
        </w:rPr>
      </w:pPr>
      <w:r w:rsidRPr="0068313B">
        <w:rPr>
          <w:rFonts w:ascii="Arial" w:hAnsi="Arial" w:cs="Arial"/>
          <w:i/>
          <w:color w:val="000000" w:themeColor="text1"/>
        </w:rPr>
        <w:t>Antes de la imposición de cualquier sanción debe garantizarse a todos los niños y adolescentes el ejercicio de los derechos a opinar y a la defensa y, después de haber sido impuesta, se les debe garantizar la posibilidad de impugnarla ante autoridad superior e imparcial;’’</w:t>
      </w:r>
    </w:p>
    <w:p w14:paraId="740AA395" w14:textId="6EB5BDB5" w:rsidR="00420F39" w:rsidRPr="0068313B" w:rsidRDefault="00D95567" w:rsidP="00EE187B">
      <w:pPr>
        <w:spacing w:after="0" w:line="360" w:lineRule="auto"/>
        <w:ind w:firstLine="709"/>
        <w:jc w:val="both"/>
        <w:rPr>
          <w:rFonts w:ascii="Arial" w:eastAsia="Calibri" w:hAnsi="Arial" w:cs="Arial"/>
          <w:bCs/>
          <w:i/>
          <w:color w:val="000000" w:themeColor="text1"/>
          <w:lang w:eastAsia="en-US"/>
        </w:rPr>
      </w:pPr>
      <w:r w:rsidRPr="0068313B">
        <w:rPr>
          <w:rFonts w:ascii="Arial" w:eastAsia="Calibri" w:hAnsi="Arial" w:cs="Arial"/>
          <w:bCs/>
          <w:i/>
          <w:color w:val="000000" w:themeColor="text1"/>
          <w:lang w:eastAsia="en-US"/>
        </w:rPr>
        <w:t xml:space="preserve"> </w:t>
      </w:r>
    </w:p>
    <w:p w14:paraId="72A7EE8F" w14:textId="088FD113" w:rsidR="00484B78" w:rsidRDefault="00981BCF" w:rsidP="00902DF6">
      <w:pPr>
        <w:spacing w:after="0" w:line="360" w:lineRule="auto"/>
        <w:ind w:firstLine="709"/>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t>Por lo anterior</w:t>
      </w:r>
      <w:r w:rsidR="006065B6" w:rsidRPr="007F56B9">
        <w:rPr>
          <w:rFonts w:ascii="Arial" w:eastAsia="Calibri" w:hAnsi="Arial" w:cs="Arial"/>
          <w:bCs/>
          <w:color w:val="000000" w:themeColor="text1"/>
          <w:sz w:val="26"/>
          <w:szCs w:val="26"/>
          <w:lang w:eastAsia="en-US"/>
        </w:rPr>
        <w:t>,</w:t>
      </w:r>
      <w:r w:rsidR="00484B78" w:rsidRPr="007F56B9">
        <w:rPr>
          <w:rFonts w:ascii="Arial" w:eastAsia="Calibri" w:hAnsi="Arial" w:cs="Arial"/>
          <w:bCs/>
          <w:color w:val="000000" w:themeColor="text1"/>
          <w:sz w:val="26"/>
          <w:szCs w:val="26"/>
          <w:lang w:eastAsia="en-US"/>
        </w:rPr>
        <w:t xml:space="preserve"> señala la recurrent</w:t>
      </w:r>
      <w:r w:rsidR="006065B6" w:rsidRPr="007F56B9">
        <w:rPr>
          <w:rFonts w:ascii="Arial" w:eastAsia="Calibri" w:hAnsi="Arial" w:cs="Arial"/>
          <w:bCs/>
          <w:color w:val="000000" w:themeColor="text1"/>
          <w:sz w:val="26"/>
          <w:szCs w:val="26"/>
          <w:lang w:eastAsia="en-US"/>
        </w:rPr>
        <w:t xml:space="preserve">e que el actor </w:t>
      </w:r>
      <w:r w:rsidR="00993CDB">
        <w:rPr>
          <w:rFonts w:ascii="Arial" w:hAnsi="Arial" w:cs="Arial"/>
          <w:b/>
          <w:bCs/>
          <w:sz w:val="26"/>
          <w:szCs w:val="26"/>
        </w:rPr>
        <w:t>***********</w:t>
      </w:r>
      <w:r w:rsidR="00993CDB">
        <w:rPr>
          <w:rFonts w:ascii="Arial" w:hAnsi="Arial" w:cs="Arial"/>
          <w:b/>
          <w:bCs/>
          <w:sz w:val="26"/>
          <w:szCs w:val="26"/>
        </w:rPr>
        <w:t xml:space="preserve"> </w:t>
      </w:r>
      <w:r w:rsidR="00484B78" w:rsidRPr="007F56B9">
        <w:rPr>
          <w:rFonts w:ascii="Arial" w:eastAsia="Calibri" w:hAnsi="Arial" w:cs="Arial"/>
          <w:bCs/>
          <w:color w:val="000000" w:themeColor="text1"/>
          <w:sz w:val="26"/>
          <w:szCs w:val="26"/>
          <w:lang w:eastAsia="en-US"/>
        </w:rPr>
        <w:t xml:space="preserve">al suspender al alumno para acudir al centro educativo, lo hizo sin fundamento alguno al no existir previamente un reglamento interno propio al plantel educativo por el cual se establezcan y determinen las sanciones aplicables, así como el procedimiento para imponerlas, vulnerando con ello la garantía al referido menor la posibilidad de ejercer </w:t>
      </w:r>
      <w:r w:rsidR="00484B78" w:rsidRPr="007F56B9">
        <w:rPr>
          <w:rFonts w:ascii="Arial" w:eastAsia="Calibri" w:hAnsi="Arial" w:cs="Arial"/>
          <w:bCs/>
          <w:color w:val="000000" w:themeColor="text1"/>
          <w:sz w:val="26"/>
          <w:szCs w:val="26"/>
          <w:lang w:eastAsia="en-US"/>
        </w:rPr>
        <w:lastRenderedPageBreak/>
        <w:t xml:space="preserve">su derecho a opinar y la posibilidad de impugnar la sanción impuesta, por lo que se demuestra que el servidor público actuó sin observar lo dispuesto en </w:t>
      </w:r>
      <w:r w:rsidR="004F2C78" w:rsidRPr="007F56B9">
        <w:rPr>
          <w:rFonts w:ascii="Arial" w:eastAsia="Calibri" w:hAnsi="Arial" w:cs="Arial"/>
          <w:bCs/>
          <w:color w:val="000000" w:themeColor="text1"/>
          <w:sz w:val="26"/>
          <w:szCs w:val="26"/>
          <w:lang w:eastAsia="en-US"/>
        </w:rPr>
        <w:t>el artículo antes mencionado por la recurrente.</w:t>
      </w:r>
      <w:r w:rsidR="008C5A44" w:rsidRPr="007F56B9">
        <w:rPr>
          <w:rFonts w:ascii="Arial" w:eastAsia="Calibri" w:hAnsi="Arial" w:cs="Arial"/>
          <w:bCs/>
          <w:color w:val="000000" w:themeColor="text1"/>
          <w:sz w:val="26"/>
          <w:szCs w:val="26"/>
          <w:lang w:eastAsia="en-US"/>
        </w:rPr>
        <w:t xml:space="preserve"> - - - - - - - -</w:t>
      </w:r>
    </w:p>
    <w:p w14:paraId="69F5A99F" w14:textId="77777777" w:rsidR="000E2050" w:rsidRPr="007F56B9" w:rsidRDefault="000E2050" w:rsidP="000E2050">
      <w:pPr>
        <w:pStyle w:val="Sinespaciado"/>
        <w:rPr>
          <w:rFonts w:eastAsia="Calibri"/>
          <w:lang w:eastAsia="en-US"/>
        </w:rPr>
      </w:pPr>
    </w:p>
    <w:p w14:paraId="15091DBA" w14:textId="3FA1B3FC" w:rsidR="00484B78" w:rsidRDefault="00484B78" w:rsidP="00902DF6">
      <w:pPr>
        <w:spacing w:after="0" w:line="360" w:lineRule="auto"/>
        <w:ind w:firstLine="709"/>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t xml:space="preserve">Por otra parte, declara que su representada motivó la sanción impuesta al servidor público en el hecho que la suspensión impuesta al menor de edad </w:t>
      </w:r>
      <w:r w:rsidR="00993CDB">
        <w:rPr>
          <w:rFonts w:ascii="Arial" w:hAnsi="Arial" w:cs="Arial"/>
          <w:b/>
          <w:bCs/>
          <w:sz w:val="26"/>
          <w:szCs w:val="26"/>
        </w:rPr>
        <w:t>***********</w:t>
      </w:r>
      <w:r w:rsidRPr="007F56B9">
        <w:rPr>
          <w:rFonts w:ascii="Arial" w:eastAsia="Calibri" w:hAnsi="Arial" w:cs="Arial"/>
          <w:bCs/>
          <w:color w:val="000000" w:themeColor="text1"/>
          <w:sz w:val="26"/>
          <w:szCs w:val="26"/>
          <w:lang w:eastAsia="en-US"/>
        </w:rPr>
        <w:t xml:space="preserve">, obedece a que éste golpeaba a sus compañeros del Plantel Educativo así como también que existía un bajo rendimiento escolar, por lo que recomendó a sus padres del menor antes mencionado que lo llevaran a terapias psicológicas, ya </w:t>
      </w:r>
      <w:r w:rsidR="00A725BD" w:rsidRPr="007F56B9">
        <w:rPr>
          <w:rFonts w:ascii="Arial" w:eastAsia="Calibri" w:hAnsi="Arial" w:cs="Arial"/>
          <w:bCs/>
          <w:color w:val="000000" w:themeColor="text1"/>
          <w:sz w:val="26"/>
          <w:szCs w:val="26"/>
          <w:lang w:eastAsia="en-US"/>
        </w:rPr>
        <w:t>q</w:t>
      </w:r>
      <w:r w:rsidRPr="007F56B9">
        <w:rPr>
          <w:rFonts w:ascii="Arial" w:eastAsia="Calibri" w:hAnsi="Arial" w:cs="Arial"/>
          <w:bCs/>
          <w:color w:val="000000" w:themeColor="text1"/>
          <w:sz w:val="26"/>
          <w:szCs w:val="26"/>
          <w:lang w:eastAsia="en-US"/>
        </w:rPr>
        <w:t>ue al considerarlo necesario condicionó su reingres</w:t>
      </w:r>
      <w:r w:rsidR="00E5703B" w:rsidRPr="007F56B9">
        <w:rPr>
          <w:rFonts w:ascii="Arial" w:eastAsia="Calibri" w:hAnsi="Arial" w:cs="Arial"/>
          <w:bCs/>
          <w:color w:val="000000" w:themeColor="text1"/>
          <w:sz w:val="26"/>
          <w:szCs w:val="26"/>
          <w:lang w:eastAsia="en-US"/>
        </w:rPr>
        <w:t xml:space="preserve">o al centro educativo hasta en cuanto no acredite las terapias mencionadas anteriormente. </w:t>
      </w:r>
      <w:r w:rsidR="008C5A44" w:rsidRPr="007F56B9">
        <w:rPr>
          <w:rFonts w:ascii="Arial" w:eastAsia="Calibri" w:hAnsi="Arial" w:cs="Arial"/>
          <w:bCs/>
          <w:color w:val="000000" w:themeColor="text1"/>
          <w:sz w:val="26"/>
          <w:szCs w:val="26"/>
          <w:lang w:eastAsia="en-US"/>
        </w:rPr>
        <w:t xml:space="preserve">    </w:t>
      </w:r>
      <w:r w:rsidR="00E5703B" w:rsidRPr="007F56B9">
        <w:rPr>
          <w:rFonts w:ascii="Arial" w:eastAsia="Calibri" w:hAnsi="Arial" w:cs="Arial"/>
          <w:bCs/>
          <w:color w:val="000000" w:themeColor="text1"/>
          <w:sz w:val="26"/>
          <w:szCs w:val="26"/>
          <w:lang w:eastAsia="en-US"/>
        </w:rPr>
        <w:t xml:space="preserve">Es así, que con esta acción el actor </w:t>
      </w:r>
      <w:r w:rsidR="00993CDB">
        <w:rPr>
          <w:rFonts w:ascii="Arial" w:hAnsi="Arial" w:cs="Arial"/>
          <w:b/>
          <w:bCs/>
          <w:sz w:val="26"/>
          <w:szCs w:val="26"/>
        </w:rPr>
        <w:t>***********</w:t>
      </w:r>
      <w:r w:rsidR="00993CDB">
        <w:rPr>
          <w:rFonts w:ascii="Arial" w:hAnsi="Arial" w:cs="Arial"/>
          <w:b/>
          <w:bCs/>
          <w:sz w:val="26"/>
          <w:szCs w:val="26"/>
        </w:rPr>
        <w:t xml:space="preserve"> </w:t>
      </w:r>
      <w:r w:rsidR="00E5703B" w:rsidRPr="007F56B9">
        <w:rPr>
          <w:rFonts w:ascii="Arial" w:eastAsia="Calibri" w:hAnsi="Arial" w:cs="Arial"/>
          <w:bCs/>
          <w:color w:val="000000" w:themeColor="text1"/>
          <w:sz w:val="26"/>
          <w:szCs w:val="26"/>
          <w:lang w:eastAsia="en-US"/>
        </w:rPr>
        <w:t xml:space="preserve"> pasó por alto lo estipulado en el artículo 6</w:t>
      </w:r>
      <w:r w:rsidR="008C5A44" w:rsidRPr="007F56B9">
        <w:rPr>
          <w:rFonts w:ascii="Arial" w:eastAsia="Calibri" w:hAnsi="Arial" w:cs="Arial"/>
          <w:bCs/>
          <w:color w:val="000000" w:themeColor="text1"/>
          <w:sz w:val="26"/>
          <w:szCs w:val="26"/>
          <w:lang w:eastAsia="en-US"/>
        </w:rPr>
        <w:t>,</w:t>
      </w:r>
      <w:r w:rsidR="00E5703B" w:rsidRPr="007F56B9">
        <w:rPr>
          <w:rFonts w:ascii="Arial" w:eastAsia="Calibri" w:hAnsi="Arial" w:cs="Arial"/>
          <w:bCs/>
          <w:color w:val="000000" w:themeColor="text1"/>
          <w:sz w:val="26"/>
          <w:szCs w:val="26"/>
          <w:lang w:eastAsia="en-US"/>
        </w:rPr>
        <w:t xml:space="preserve"> de la Ley de Protección de los Derechos de los Niños, Niñas y Adolescentes para el Estado de Oaxaca, ya que primeramente debió priorizar la protección integral del referido menor, tomando las medidas necesarias para que éste recibiera la atención necesaria sin dejar de asistir a sus clases primordiales en su educación básica, máxime a que el referido actor no presentó evidencia alguna en la que acredite que el menor de edad está imposibilitado de la convivencia estudiantil y mucho menos que no debía recibir sus clases ordinarias a su educación, por lo cual no acredita de ninguna forma la suspensión temporal de acudir a la Telesecundaria de San Juan Guelavía, Tlacolula, Oaxaca, contraviniendo en todas sus partes el artículo 6 de la Ley de Protección de los Derechos de los Niños, Niñas y Adolescentes para el Estado de Oaxaca:</w:t>
      </w:r>
      <w:r w:rsidR="001E59CA">
        <w:rPr>
          <w:rFonts w:ascii="Arial" w:eastAsia="Calibri" w:hAnsi="Arial" w:cs="Arial"/>
          <w:bCs/>
          <w:color w:val="000000" w:themeColor="text1"/>
          <w:sz w:val="26"/>
          <w:szCs w:val="26"/>
          <w:lang w:eastAsia="en-US"/>
        </w:rPr>
        <w:t xml:space="preserve"> - - - - - - - - - - - - - - - - - - - - - - </w:t>
      </w:r>
      <w:r w:rsidR="00993CDB">
        <w:rPr>
          <w:rFonts w:ascii="Arial" w:eastAsia="Calibri" w:hAnsi="Arial" w:cs="Arial"/>
          <w:bCs/>
          <w:color w:val="000000" w:themeColor="text1"/>
          <w:sz w:val="26"/>
          <w:szCs w:val="26"/>
          <w:lang w:eastAsia="en-US"/>
        </w:rPr>
        <w:t>- - - - - - - - - - - - - - - - - - - - - - - -</w:t>
      </w:r>
    </w:p>
    <w:p w14:paraId="7E28ADF1" w14:textId="77777777" w:rsidR="001E59CA" w:rsidRPr="007F56B9" w:rsidRDefault="001E59CA" w:rsidP="001E59CA">
      <w:pPr>
        <w:pStyle w:val="Sinespaciado"/>
        <w:rPr>
          <w:rFonts w:eastAsia="Calibri"/>
          <w:lang w:eastAsia="en-US"/>
        </w:rPr>
      </w:pPr>
    </w:p>
    <w:p w14:paraId="1299157F" w14:textId="00DE8EED" w:rsidR="00CA4A15" w:rsidRDefault="001F16EB" w:rsidP="00CA4A15">
      <w:pPr>
        <w:spacing w:after="0" w:line="360" w:lineRule="auto"/>
        <w:ind w:left="567" w:right="900"/>
        <w:jc w:val="both"/>
        <w:rPr>
          <w:rFonts w:ascii="Arial" w:hAnsi="Arial" w:cs="Arial"/>
          <w:i/>
          <w:color w:val="000000" w:themeColor="text1"/>
        </w:rPr>
      </w:pPr>
      <w:r w:rsidRPr="001E59CA">
        <w:rPr>
          <w:rFonts w:ascii="Arial" w:eastAsia="Calibri" w:hAnsi="Arial" w:cs="Arial"/>
          <w:bCs/>
          <w:i/>
          <w:color w:val="000000" w:themeColor="text1"/>
          <w:lang w:eastAsia="en-US"/>
        </w:rPr>
        <w:t>‘’</w:t>
      </w:r>
      <w:r w:rsidRPr="001E59CA">
        <w:rPr>
          <w:rFonts w:ascii="Arial" w:eastAsia="Calibri" w:hAnsi="Arial" w:cs="Arial"/>
          <w:b/>
          <w:i/>
          <w:color w:val="000000" w:themeColor="text1"/>
          <w:lang w:eastAsia="en-US"/>
        </w:rPr>
        <w:t>ARTÍCULO 6.-</w:t>
      </w:r>
      <w:r w:rsidRPr="001E59CA">
        <w:rPr>
          <w:rFonts w:ascii="Arial" w:eastAsia="Calibri" w:hAnsi="Arial" w:cs="Arial"/>
          <w:bCs/>
          <w:i/>
          <w:color w:val="000000" w:themeColor="text1"/>
          <w:lang w:eastAsia="en-US"/>
        </w:rPr>
        <w:t xml:space="preserve"> </w:t>
      </w:r>
      <w:r w:rsidRPr="001E59CA">
        <w:rPr>
          <w:rFonts w:ascii="Arial" w:hAnsi="Arial" w:cs="Arial"/>
          <w:i/>
          <w:color w:val="000000" w:themeColor="text1"/>
        </w:rPr>
        <w:t>El Estado tiene la obligación de tomar todas las medidas administrativas, legislativas, judiciales, y de cualquier otra índole que sean necesarias y apropiadas para asegurar con prioridad la protección integral, para niños, niñas y adolescentes, para que disfruten plena y efectivamente de sus derechos. Los ciudadanos tienen el deber de promover que así sea, gestionando o denunciando ante la autoridad competente, las situaciones de amenaza, inobservancia o violación de los derechos contenidos en la presente Ley.’’</w:t>
      </w:r>
    </w:p>
    <w:p w14:paraId="751DC255" w14:textId="77777777" w:rsidR="00C74FC2" w:rsidRPr="001E59CA" w:rsidRDefault="00C74FC2" w:rsidP="007B4559">
      <w:pPr>
        <w:pStyle w:val="Sinespaciado"/>
        <w:rPr>
          <w:rFonts w:eastAsia="Calibri"/>
          <w:lang w:eastAsia="en-US"/>
        </w:rPr>
      </w:pPr>
    </w:p>
    <w:p w14:paraId="45F29CD7" w14:textId="38EDDDCC" w:rsidR="00E80D82" w:rsidRDefault="00CA4A15" w:rsidP="00445422">
      <w:pPr>
        <w:spacing w:after="0" w:line="360" w:lineRule="auto"/>
        <w:ind w:right="49" w:firstLine="709"/>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t xml:space="preserve">Continúa exponiendo que, se advierte que el ciudadano </w:t>
      </w:r>
      <w:r w:rsidR="00993CDB">
        <w:rPr>
          <w:rFonts w:ascii="Arial" w:hAnsi="Arial" w:cs="Arial"/>
          <w:b/>
          <w:bCs/>
          <w:sz w:val="26"/>
          <w:szCs w:val="26"/>
        </w:rPr>
        <w:t>***********</w:t>
      </w:r>
      <w:r w:rsidRPr="007F56B9">
        <w:rPr>
          <w:rFonts w:ascii="Arial" w:eastAsia="Calibri" w:hAnsi="Arial" w:cs="Arial"/>
          <w:bCs/>
          <w:color w:val="000000" w:themeColor="text1"/>
          <w:sz w:val="26"/>
          <w:szCs w:val="26"/>
          <w:lang w:eastAsia="en-US"/>
        </w:rPr>
        <w:t xml:space="preserve"> dejó de observar lo dispuesto en las fracciones I y II, del artículo 43, de la Ley de Protección de los Derechos de los Niños, Niñas y Adolescentes para el Estado de Oaxaca, puesto que el citado director </w:t>
      </w:r>
      <w:r w:rsidRPr="007F56B9">
        <w:rPr>
          <w:rFonts w:ascii="Arial" w:eastAsia="Calibri" w:hAnsi="Arial" w:cs="Arial"/>
          <w:bCs/>
          <w:color w:val="000000" w:themeColor="text1"/>
          <w:sz w:val="26"/>
          <w:szCs w:val="26"/>
          <w:lang w:eastAsia="en-US"/>
        </w:rPr>
        <w:lastRenderedPageBreak/>
        <w:t>debió adoptar las medidas necesarias para que el alumno recibiera el apoyo que necesitara para mejorar su conducta, y después de considerarlo procedente llevar a cabo la imposición de una sanción; sin que primeramente se procediera en la forma en que actúo al suspenderlo y además condicionó para su reingreso a la Telesecundaria de San Juan Guelavía, Oaxaca</w:t>
      </w:r>
      <w:r w:rsidR="00EA2E2F" w:rsidRPr="007F56B9">
        <w:rPr>
          <w:rFonts w:ascii="Arial" w:eastAsia="Calibri" w:hAnsi="Arial" w:cs="Arial"/>
          <w:bCs/>
          <w:color w:val="000000" w:themeColor="text1"/>
          <w:sz w:val="26"/>
          <w:szCs w:val="26"/>
          <w:lang w:eastAsia="en-US"/>
        </w:rPr>
        <w:t>.</w:t>
      </w:r>
      <w:r w:rsidR="008C5A44" w:rsidRPr="007F56B9">
        <w:rPr>
          <w:rFonts w:ascii="Arial" w:eastAsia="Calibri" w:hAnsi="Arial" w:cs="Arial"/>
          <w:bCs/>
          <w:color w:val="000000" w:themeColor="text1"/>
          <w:sz w:val="26"/>
          <w:szCs w:val="26"/>
          <w:lang w:eastAsia="en-US"/>
        </w:rPr>
        <w:t xml:space="preserve"> - - - - - - - - - - - - - - - - - - - - - - - - - - - - </w:t>
      </w:r>
    </w:p>
    <w:p w14:paraId="6FE4E611" w14:textId="77777777" w:rsidR="00B04CA3" w:rsidRPr="007F56B9" w:rsidRDefault="00B04CA3" w:rsidP="00B04CA3">
      <w:pPr>
        <w:pStyle w:val="Sinespaciado"/>
        <w:rPr>
          <w:rFonts w:eastAsia="Calibri"/>
          <w:lang w:eastAsia="en-US"/>
        </w:rPr>
      </w:pPr>
    </w:p>
    <w:p w14:paraId="2CF4EC7A" w14:textId="436B99DF" w:rsidR="00445422" w:rsidRDefault="008C5A44" w:rsidP="008C5A44">
      <w:pPr>
        <w:spacing w:after="120" w:line="360" w:lineRule="auto"/>
        <w:jc w:val="both"/>
        <w:rPr>
          <w:rFonts w:ascii="Arial" w:eastAsiaTheme="minorHAnsi" w:hAnsi="Arial" w:cs="Arial"/>
          <w:bCs/>
          <w:iCs/>
          <w:color w:val="000000" w:themeColor="text1"/>
          <w:sz w:val="26"/>
          <w:szCs w:val="26"/>
          <w:lang w:eastAsia="es-ES"/>
        </w:rPr>
      </w:pPr>
      <w:r w:rsidRPr="007F56B9">
        <w:rPr>
          <w:rFonts w:ascii="Arial" w:eastAsia="Calibri" w:hAnsi="Arial" w:cs="Arial"/>
          <w:bCs/>
          <w:color w:val="000000" w:themeColor="text1"/>
          <w:sz w:val="26"/>
          <w:szCs w:val="26"/>
          <w:lang w:eastAsia="en-US"/>
        </w:rPr>
        <w:t xml:space="preserve">     </w:t>
      </w:r>
      <w:r w:rsidR="002A2DB9" w:rsidRPr="007F56B9">
        <w:rPr>
          <w:rFonts w:ascii="Arial" w:eastAsia="Calibri" w:hAnsi="Arial" w:cs="Arial"/>
          <w:bCs/>
          <w:color w:val="000000" w:themeColor="text1"/>
          <w:sz w:val="26"/>
          <w:szCs w:val="26"/>
          <w:lang w:eastAsia="en-US"/>
        </w:rPr>
        <w:t xml:space="preserve"> </w:t>
      </w:r>
      <w:r w:rsidR="00445422" w:rsidRPr="007F56B9">
        <w:rPr>
          <w:rFonts w:ascii="Arial" w:eastAsiaTheme="minorHAnsi" w:hAnsi="Arial" w:cs="Arial"/>
          <w:bCs/>
          <w:iCs/>
          <w:color w:val="000000" w:themeColor="text1"/>
          <w:sz w:val="26"/>
          <w:szCs w:val="26"/>
          <w:lang w:eastAsia="es-ES"/>
        </w:rPr>
        <w:t xml:space="preserve">Manifiesta que, la Quinta Sala Unitaria de Primera Instancia del Tribunal de Justicia Administrativa para el Estado de Oaxaca, resolvió que su representada es omisa al no señalar el fundamento legal, o en su caso debía haber señalado la normatividad aplicable de manera supletoria que constriñe la obligación del actor, o en donde se encuentra establecido la obligación que tenía el servidor público sancionado en el sentido </w:t>
      </w:r>
      <w:r w:rsidR="006B51C3" w:rsidRPr="007F56B9">
        <w:rPr>
          <w:rFonts w:ascii="Arial" w:eastAsiaTheme="minorHAnsi" w:hAnsi="Arial" w:cs="Arial"/>
          <w:bCs/>
          <w:iCs/>
          <w:color w:val="000000" w:themeColor="text1"/>
          <w:sz w:val="26"/>
          <w:szCs w:val="26"/>
          <w:lang w:eastAsia="es-ES"/>
        </w:rPr>
        <w:t xml:space="preserve">de </w:t>
      </w:r>
      <w:r w:rsidR="00445422" w:rsidRPr="007F56B9">
        <w:rPr>
          <w:rFonts w:ascii="Arial" w:eastAsiaTheme="minorHAnsi" w:hAnsi="Arial" w:cs="Arial"/>
          <w:bCs/>
          <w:iCs/>
          <w:color w:val="000000" w:themeColor="text1"/>
          <w:sz w:val="26"/>
          <w:szCs w:val="26"/>
          <w:lang w:eastAsia="es-ES"/>
        </w:rPr>
        <w:t>que se abstuvo de cumplir con sus obligaciones al no agotar todos los medios necesarios para que el menor de edad recibiera ayuda profesional, debiendo haber gestionado ante sus superiores o ante las autoridades indicadas para brindar el servicio psicológico o de ayuda necesaria para el referido menor de edad.</w:t>
      </w:r>
      <w:r w:rsidRPr="007F56B9">
        <w:rPr>
          <w:rFonts w:ascii="Arial" w:eastAsiaTheme="minorHAnsi" w:hAnsi="Arial" w:cs="Arial"/>
          <w:bCs/>
          <w:iCs/>
          <w:color w:val="000000" w:themeColor="text1"/>
          <w:sz w:val="26"/>
          <w:szCs w:val="26"/>
          <w:lang w:eastAsia="es-ES"/>
        </w:rPr>
        <w:t xml:space="preserve"> - - - - - - - - - - - - - - - - - - - - -</w:t>
      </w:r>
    </w:p>
    <w:p w14:paraId="11FAEACA" w14:textId="77777777" w:rsidR="006E515E" w:rsidRPr="007F56B9" w:rsidRDefault="006E515E" w:rsidP="006E515E">
      <w:pPr>
        <w:pStyle w:val="Sinespaciado"/>
        <w:rPr>
          <w:rFonts w:eastAsiaTheme="minorHAnsi"/>
          <w:lang w:eastAsia="es-ES"/>
        </w:rPr>
      </w:pPr>
    </w:p>
    <w:p w14:paraId="03EF9A9B" w14:textId="5FECB1B8" w:rsidR="00445422" w:rsidRPr="007F56B9" w:rsidRDefault="008C5A44" w:rsidP="008C5A44">
      <w:pPr>
        <w:spacing w:after="120" w:line="360" w:lineRule="auto"/>
        <w:jc w:val="both"/>
        <w:rPr>
          <w:rFonts w:ascii="Arial" w:eastAsia="Calibri" w:hAnsi="Arial" w:cs="Arial"/>
          <w:bCs/>
          <w:color w:val="000000" w:themeColor="text1"/>
          <w:sz w:val="26"/>
          <w:szCs w:val="26"/>
          <w:lang w:eastAsia="en-US"/>
        </w:rPr>
      </w:pPr>
      <w:r w:rsidRPr="007F56B9">
        <w:rPr>
          <w:rFonts w:ascii="Arial" w:eastAsiaTheme="minorHAnsi" w:hAnsi="Arial" w:cs="Arial"/>
          <w:bCs/>
          <w:iCs/>
          <w:color w:val="000000" w:themeColor="text1"/>
          <w:sz w:val="26"/>
          <w:szCs w:val="26"/>
          <w:lang w:eastAsia="es-ES"/>
        </w:rPr>
        <w:t xml:space="preserve">      </w:t>
      </w:r>
      <w:r w:rsidR="00445422" w:rsidRPr="007F56B9">
        <w:rPr>
          <w:rFonts w:ascii="Arial" w:eastAsiaTheme="minorHAnsi" w:hAnsi="Arial" w:cs="Arial"/>
          <w:bCs/>
          <w:iCs/>
          <w:color w:val="000000" w:themeColor="text1"/>
          <w:sz w:val="26"/>
          <w:szCs w:val="26"/>
          <w:lang w:eastAsia="es-ES"/>
        </w:rPr>
        <w:t xml:space="preserve">De lo anterior, la recurrente expone que la nulidad que dicta la Quinta Sala Unitaria de Primera Instancia del Tribunal de Justicia Administrativa para el Estado de Oaxaca en la sentencia de fecha </w:t>
      </w:r>
      <w:r w:rsidR="002F41B8" w:rsidRPr="007F56B9">
        <w:rPr>
          <w:rFonts w:ascii="Arial" w:eastAsiaTheme="minorHAnsi" w:hAnsi="Arial" w:cs="Arial"/>
          <w:bCs/>
          <w:iCs/>
          <w:color w:val="000000" w:themeColor="text1"/>
          <w:sz w:val="26"/>
          <w:szCs w:val="26"/>
          <w:lang w:eastAsia="es-ES"/>
        </w:rPr>
        <w:t xml:space="preserve">7 </w:t>
      </w:r>
      <w:r w:rsidR="00445422" w:rsidRPr="007F56B9">
        <w:rPr>
          <w:rFonts w:ascii="Arial" w:eastAsiaTheme="minorHAnsi" w:hAnsi="Arial" w:cs="Arial"/>
          <w:bCs/>
          <w:iCs/>
          <w:color w:val="000000" w:themeColor="text1"/>
          <w:sz w:val="26"/>
          <w:szCs w:val="26"/>
          <w:lang w:eastAsia="es-ES"/>
        </w:rPr>
        <w:t xml:space="preserve">siete de septiembre de </w:t>
      </w:r>
      <w:r w:rsidR="002F41B8" w:rsidRPr="007F56B9">
        <w:rPr>
          <w:rFonts w:ascii="Arial" w:eastAsiaTheme="minorHAnsi" w:hAnsi="Arial" w:cs="Arial"/>
          <w:bCs/>
          <w:iCs/>
          <w:color w:val="000000" w:themeColor="text1"/>
          <w:sz w:val="26"/>
          <w:szCs w:val="26"/>
          <w:lang w:eastAsia="es-ES"/>
        </w:rPr>
        <w:t xml:space="preserve">2020 </w:t>
      </w:r>
      <w:r w:rsidR="00445422" w:rsidRPr="007F56B9">
        <w:rPr>
          <w:rFonts w:ascii="Arial" w:eastAsiaTheme="minorHAnsi" w:hAnsi="Arial" w:cs="Arial"/>
          <w:bCs/>
          <w:iCs/>
          <w:color w:val="000000" w:themeColor="text1"/>
          <w:sz w:val="26"/>
          <w:szCs w:val="26"/>
          <w:lang w:eastAsia="es-ES"/>
        </w:rPr>
        <w:t xml:space="preserve">dos mil veinte, solo radicó en la indebida fundamentación, sin embargo, la Sala Superior debe decretar la revocación de la sentencia antes señalada anteriormente, toda vez que existe la conducta que originó dicha sanción impuesta al actor </w:t>
      </w:r>
      <w:r w:rsidR="00993CDB">
        <w:rPr>
          <w:rFonts w:ascii="Arial" w:hAnsi="Arial" w:cs="Arial"/>
          <w:b/>
          <w:bCs/>
          <w:sz w:val="26"/>
          <w:szCs w:val="26"/>
        </w:rPr>
        <w:t>***********</w:t>
      </w:r>
      <w:r w:rsidR="00445422" w:rsidRPr="007F56B9">
        <w:rPr>
          <w:rFonts w:ascii="Arial" w:eastAsiaTheme="minorHAnsi" w:hAnsi="Arial" w:cs="Arial"/>
          <w:bCs/>
          <w:iCs/>
          <w:color w:val="000000" w:themeColor="text1"/>
          <w:sz w:val="26"/>
          <w:szCs w:val="26"/>
          <w:lang w:eastAsia="es-ES"/>
        </w:rPr>
        <w:t xml:space="preserve">, por lo que la irregularidad advertida por la Quinta Sala Unitaria de Primera Instancia del Tribunal de Justicia Administrativa para el Estado de Oaxaca, no puede llevar a la declaratoria de nulidad para el efecto de que el Jefe de la Unidad Auxiliar y de Recursos dicte otra en la que revoque la resolución de fecha </w:t>
      </w:r>
      <w:r w:rsidR="002F41B8" w:rsidRPr="007F56B9">
        <w:rPr>
          <w:rFonts w:ascii="Arial" w:eastAsiaTheme="minorHAnsi" w:hAnsi="Arial" w:cs="Arial"/>
          <w:bCs/>
          <w:iCs/>
          <w:color w:val="000000" w:themeColor="text1"/>
          <w:sz w:val="26"/>
          <w:szCs w:val="26"/>
          <w:lang w:eastAsia="es-ES"/>
        </w:rPr>
        <w:t xml:space="preserve">4 </w:t>
      </w:r>
      <w:r w:rsidR="00445422" w:rsidRPr="007F56B9">
        <w:rPr>
          <w:rFonts w:ascii="Arial" w:eastAsiaTheme="minorHAnsi" w:hAnsi="Arial" w:cs="Arial"/>
          <w:bCs/>
          <w:iCs/>
          <w:color w:val="000000" w:themeColor="text1"/>
          <w:sz w:val="26"/>
          <w:szCs w:val="26"/>
          <w:lang w:eastAsia="es-ES"/>
        </w:rPr>
        <w:t>cuatro de enero de</w:t>
      </w:r>
      <w:r w:rsidR="002F41B8" w:rsidRPr="007F56B9">
        <w:rPr>
          <w:rFonts w:ascii="Arial" w:eastAsiaTheme="minorHAnsi" w:hAnsi="Arial" w:cs="Arial"/>
          <w:bCs/>
          <w:iCs/>
          <w:color w:val="000000" w:themeColor="text1"/>
          <w:sz w:val="26"/>
          <w:szCs w:val="26"/>
          <w:lang w:eastAsia="es-ES"/>
        </w:rPr>
        <w:t xml:space="preserve"> 2016</w:t>
      </w:r>
      <w:r w:rsidR="00445422" w:rsidRPr="007F56B9">
        <w:rPr>
          <w:rFonts w:ascii="Arial" w:eastAsiaTheme="minorHAnsi" w:hAnsi="Arial" w:cs="Arial"/>
          <w:bCs/>
          <w:iCs/>
          <w:color w:val="000000" w:themeColor="text1"/>
          <w:sz w:val="26"/>
          <w:szCs w:val="26"/>
          <w:lang w:eastAsia="es-ES"/>
        </w:rPr>
        <w:t xml:space="preserve"> dos mil dieciséis dictada dentro del expediente administrativo número 524/RA/2014 cuando finalmente subsiste la infracción en que incurrió el servidor público.</w:t>
      </w:r>
      <w:r w:rsidRPr="007F56B9">
        <w:rPr>
          <w:rFonts w:ascii="Arial" w:eastAsiaTheme="minorHAnsi" w:hAnsi="Arial" w:cs="Arial"/>
          <w:bCs/>
          <w:iCs/>
          <w:color w:val="000000" w:themeColor="text1"/>
          <w:sz w:val="26"/>
          <w:szCs w:val="26"/>
          <w:lang w:eastAsia="es-ES"/>
        </w:rPr>
        <w:t xml:space="preserve"> - - - </w:t>
      </w:r>
    </w:p>
    <w:p w14:paraId="3E35BAE7" w14:textId="4CAD3579" w:rsidR="009729CF" w:rsidRPr="007F56B9" w:rsidRDefault="008C5A44" w:rsidP="008C5A44">
      <w:pPr>
        <w:spacing w:after="120" w:line="360" w:lineRule="auto"/>
        <w:jc w:val="both"/>
        <w:rPr>
          <w:rFonts w:ascii="Arial" w:eastAsia="Calibri" w:hAnsi="Arial" w:cs="Arial"/>
          <w:bCs/>
          <w:color w:val="000000" w:themeColor="text1"/>
          <w:sz w:val="26"/>
          <w:szCs w:val="26"/>
          <w:lang w:eastAsia="en-US"/>
        </w:rPr>
      </w:pPr>
      <w:r w:rsidRPr="007F56B9">
        <w:rPr>
          <w:rFonts w:ascii="Arial" w:eastAsia="Calibri" w:hAnsi="Arial" w:cs="Arial"/>
          <w:bCs/>
          <w:color w:val="000000" w:themeColor="text1"/>
          <w:sz w:val="26"/>
          <w:szCs w:val="26"/>
          <w:lang w:eastAsia="en-US"/>
        </w:rPr>
        <w:t xml:space="preserve">     </w:t>
      </w:r>
      <w:r w:rsidR="00201A22" w:rsidRPr="007F56B9">
        <w:rPr>
          <w:rFonts w:ascii="Arial" w:eastAsia="Calibri" w:hAnsi="Arial" w:cs="Arial"/>
          <w:bCs/>
          <w:color w:val="000000" w:themeColor="text1"/>
          <w:sz w:val="26"/>
          <w:szCs w:val="26"/>
          <w:lang w:eastAsia="en-US"/>
        </w:rPr>
        <w:t xml:space="preserve">Concluye la recurrente indicando </w:t>
      </w:r>
      <w:r w:rsidR="004F2C78" w:rsidRPr="007F56B9">
        <w:rPr>
          <w:rFonts w:ascii="Arial" w:eastAsia="Calibri" w:hAnsi="Arial" w:cs="Arial"/>
          <w:bCs/>
          <w:color w:val="000000" w:themeColor="text1"/>
          <w:sz w:val="26"/>
          <w:szCs w:val="26"/>
          <w:lang w:eastAsia="en-US"/>
        </w:rPr>
        <w:t>que</w:t>
      </w:r>
      <w:r w:rsidR="002F41B8" w:rsidRPr="007F56B9">
        <w:rPr>
          <w:rFonts w:ascii="Arial" w:eastAsia="Calibri" w:hAnsi="Arial" w:cs="Arial"/>
          <w:bCs/>
          <w:color w:val="000000" w:themeColor="text1"/>
          <w:sz w:val="26"/>
          <w:szCs w:val="26"/>
          <w:lang w:eastAsia="en-US"/>
        </w:rPr>
        <w:t>,</w:t>
      </w:r>
      <w:r w:rsidR="004F2C78" w:rsidRPr="007F56B9">
        <w:rPr>
          <w:rFonts w:ascii="Arial" w:eastAsia="Calibri" w:hAnsi="Arial" w:cs="Arial"/>
          <w:bCs/>
          <w:color w:val="000000" w:themeColor="text1"/>
          <w:sz w:val="26"/>
          <w:szCs w:val="26"/>
          <w:lang w:eastAsia="en-US"/>
        </w:rPr>
        <w:t xml:space="preserve"> </w:t>
      </w:r>
      <w:r w:rsidR="00201A22" w:rsidRPr="007F56B9">
        <w:rPr>
          <w:rFonts w:ascii="Arial" w:eastAsia="Calibri" w:hAnsi="Arial" w:cs="Arial"/>
          <w:bCs/>
          <w:color w:val="000000" w:themeColor="text1"/>
          <w:sz w:val="26"/>
          <w:szCs w:val="26"/>
          <w:lang w:eastAsia="en-US"/>
        </w:rPr>
        <w:t>en base a sus argumentos</w:t>
      </w:r>
      <w:r w:rsidR="00445422" w:rsidRPr="007F56B9">
        <w:rPr>
          <w:rFonts w:ascii="Arial" w:eastAsia="Calibri" w:hAnsi="Arial" w:cs="Arial"/>
          <w:bCs/>
          <w:color w:val="000000" w:themeColor="text1"/>
          <w:sz w:val="26"/>
          <w:szCs w:val="26"/>
          <w:lang w:eastAsia="en-US"/>
        </w:rPr>
        <w:t xml:space="preserve"> </w:t>
      </w:r>
      <w:r w:rsidR="002F41B8" w:rsidRPr="007F56B9">
        <w:rPr>
          <w:rFonts w:ascii="Arial" w:eastAsia="Calibri" w:hAnsi="Arial" w:cs="Arial"/>
          <w:bCs/>
          <w:color w:val="000000" w:themeColor="text1"/>
          <w:sz w:val="26"/>
          <w:szCs w:val="26"/>
          <w:lang w:eastAsia="en-US"/>
        </w:rPr>
        <w:t>la Sala</w:t>
      </w:r>
      <w:r w:rsidR="00445422" w:rsidRPr="007F56B9">
        <w:rPr>
          <w:rFonts w:ascii="Arial" w:eastAsia="Calibri" w:hAnsi="Arial" w:cs="Arial"/>
          <w:bCs/>
          <w:color w:val="000000" w:themeColor="text1"/>
          <w:sz w:val="26"/>
          <w:szCs w:val="26"/>
          <w:lang w:eastAsia="en-US"/>
        </w:rPr>
        <w:t xml:space="preserve"> Superior de</w:t>
      </w:r>
      <w:r w:rsidR="002F41B8" w:rsidRPr="007F56B9">
        <w:rPr>
          <w:rFonts w:ascii="Arial" w:eastAsia="Calibri" w:hAnsi="Arial" w:cs="Arial"/>
          <w:bCs/>
          <w:color w:val="000000" w:themeColor="text1"/>
          <w:sz w:val="26"/>
          <w:szCs w:val="26"/>
          <w:lang w:eastAsia="en-US"/>
        </w:rPr>
        <w:t>l Tribunal de</w:t>
      </w:r>
      <w:r w:rsidR="00445422" w:rsidRPr="007F56B9">
        <w:rPr>
          <w:rFonts w:ascii="Arial" w:eastAsia="Calibri" w:hAnsi="Arial" w:cs="Arial"/>
          <w:bCs/>
          <w:color w:val="000000" w:themeColor="text1"/>
          <w:sz w:val="26"/>
          <w:szCs w:val="26"/>
          <w:lang w:eastAsia="en-US"/>
        </w:rPr>
        <w:t xml:space="preserve"> Justicia Administrativa para el Estado de Oaxaca deb</w:t>
      </w:r>
      <w:r w:rsidR="004F2C78" w:rsidRPr="007F56B9">
        <w:rPr>
          <w:rFonts w:ascii="Arial" w:eastAsia="Calibri" w:hAnsi="Arial" w:cs="Arial"/>
          <w:bCs/>
          <w:color w:val="000000" w:themeColor="text1"/>
          <w:sz w:val="26"/>
          <w:szCs w:val="26"/>
          <w:lang w:eastAsia="en-US"/>
        </w:rPr>
        <w:t>e proceder a revocar la sentencia recurrida declarando la legalidad del acto reclamado.</w:t>
      </w:r>
      <w:r w:rsidRPr="007F56B9">
        <w:rPr>
          <w:rFonts w:ascii="Arial" w:eastAsia="Calibri" w:hAnsi="Arial" w:cs="Arial"/>
          <w:bCs/>
          <w:color w:val="000000" w:themeColor="text1"/>
          <w:sz w:val="26"/>
          <w:szCs w:val="26"/>
          <w:lang w:eastAsia="en-US"/>
        </w:rPr>
        <w:t xml:space="preserve">  - - - - - - - - - - - - - - - - - - - - - - - - - - - - - -</w:t>
      </w:r>
      <w:r w:rsidR="002F41B8" w:rsidRPr="007F56B9">
        <w:rPr>
          <w:rFonts w:ascii="Arial" w:eastAsia="Calibri" w:hAnsi="Arial" w:cs="Arial"/>
          <w:bCs/>
          <w:color w:val="000000" w:themeColor="text1"/>
          <w:sz w:val="26"/>
          <w:szCs w:val="26"/>
          <w:lang w:eastAsia="en-US"/>
        </w:rPr>
        <w:t xml:space="preserve"> </w:t>
      </w:r>
    </w:p>
    <w:p w14:paraId="3FDF0BF8" w14:textId="3762F70F" w:rsidR="006D1DB2" w:rsidRDefault="009729CF" w:rsidP="009729CF">
      <w:pPr>
        <w:spacing w:after="0" w:line="360" w:lineRule="auto"/>
        <w:jc w:val="both"/>
        <w:rPr>
          <w:rFonts w:ascii="Arial" w:hAnsi="Arial" w:cs="Arial"/>
          <w:sz w:val="26"/>
          <w:szCs w:val="26"/>
        </w:rPr>
      </w:pPr>
      <w:r w:rsidRPr="007F56B9">
        <w:rPr>
          <w:rFonts w:ascii="Arial" w:hAnsi="Arial" w:cs="Arial"/>
          <w:b/>
          <w:color w:val="000000"/>
          <w:sz w:val="26"/>
          <w:szCs w:val="26"/>
        </w:rPr>
        <w:lastRenderedPageBreak/>
        <w:t xml:space="preserve">          El segundo agravio es inoperante</w:t>
      </w:r>
      <w:r w:rsidRPr="007F56B9">
        <w:rPr>
          <w:rFonts w:ascii="Arial" w:hAnsi="Arial" w:cs="Arial"/>
          <w:color w:val="000000"/>
          <w:sz w:val="26"/>
          <w:szCs w:val="26"/>
        </w:rPr>
        <w:t>;</w:t>
      </w:r>
      <w:r w:rsidRPr="007F56B9">
        <w:rPr>
          <w:rFonts w:ascii="Arial" w:hAnsi="Arial"/>
          <w:b/>
          <w:bCs/>
          <w:color w:val="000000"/>
          <w:sz w:val="26"/>
          <w:szCs w:val="26"/>
        </w:rPr>
        <w:t xml:space="preserve"> </w:t>
      </w:r>
      <w:r w:rsidRPr="007F56B9">
        <w:rPr>
          <w:rFonts w:ascii="Arial" w:hAnsi="Arial"/>
          <w:color w:val="000000"/>
          <w:sz w:val="26"/>
          <w:szCs w:val="26"/>
        </w:rPr>
        <w:t xml:space="preserve">porque con sus argumentos no tiende a controvertir las consideraciones fundamentales de la sentencia impugnada, ni </w:t>
      </w:r>
      <w:r w:rsidRPr="007F56B9">
        <w:rPr>
          <w:rFonts w:ascii="Arial" w:hAnsi="Arial" w:cs="Arial"/>
          <w:bCs/>
          <w:sz w:val="26"/>
          <w:szCs w:val="26"/>
        </w:rPr>
        <w:t>combate eficazmente los razonamientos vertidos por la primera instancia en el considerando “</w:t>
      </w:r>
      <w:r w:rsidRPr="007F56B9">
        <w:rPr>
          <w:rFonts w:ascii="Arial" w:hAnsi="Arial" w:cs="Arial"/>
          <w:bCs/>
          <w:i/>
          <w:sz w:val="26"/>
          <w:szCs w:val="26"/>
        </w:rPr>
        <w:t>QUINTO”</w:t>
      </w:r>
      <w:r w:rsidRPr="007F56B9">
        <w:rPr>
          <w:rFonts w:ascii="Arial" w:hAnsi="Arial" w:cs="Arial"/>
          <w:bCs/>
          <w:sz w:val="26"/>
          <w:szCs w:val="26"/>
        </w:rPr>
        <w:t xml:space="preserve"> de la sentencia que impugna; ya que, </w:t>
      </w:r>
      <w:r w:rsidRPr="007F56B9">
        <w:rPr>
          <w:rFonts w:ascii="Arial" w:hAnsi="Arial" w:cs="Arial"/>
          <w:sz w:val="26"/>
          <w:szCs w:val="26"/>
        </w:rPr>
        <w:t xml:space="preserve">de las constancias de autos que fueron remitidas para la substanciación del presente asunto, que hacen prueba plena al estar contenidos en documentos públicos, en términos del artículo 173, fracción I, de la Ley de Justicia Administrativa para el Estado de Oaxaca vigente al inicio del juicio de nulidad; se advierte que </w:t>
      </w:r>
      <w:r w:rsidRPr="007F56B9">
        <w:rPr>
          <w:rFonts w:ascii="Arial" w:hAnsi="Arial" w:cs="Arial"/>
          <w:bCs/>
          <w:sz w:val="26"/>
          <w:szCs w:val="26"/>
        </w:rPr>
        <w:t>los motivos y fundamentos razonados por la primera instancia para dictar la nulidad para efectos de la resolución de 29 veintinueve de julio de 2017 dos mil diecisiete, emitida en el recurso de revocación 08/2016</w:t>
      </w:r>
      <w:r w:rsidRPr="007F56B9">
        <w:rPr>
          <w:rFonts w:ascii="Arial" w:hAnsi="Arial" w:cs="Arial"/>
          <w:sz w:val="26"/>
          <w:szCs w:val="26"/>
        </w:rPr>
        <w:t>, se establecieron de la siguiente forma:</w:t>
      </w:r>
      <w:r w:rsidR="00C5062C">
        <w:rPr>
          <w:rFonts w:ascii="Arial" w:hAnsi="Arial" w:cs="Arial"/>
          <w:sz w:val="26"/>
          <w:szCs w:val="26"/>
        </w:rPr>
        <w:t xml:space="preserve"> - - - - - - - - - - - - - - - - - - - - - - - - - -</w:t>
      </w:r>
    </w:p>
    <w:p w14:paraId="6AACD748" w14:textId="77777777" w:rsidR="00C5062C" w:rsidRPr="007F56B9" w:rsidRDefault="00C5062C" w:rsidP="00C5062C">
      <w:pPr>
        <w:pStyle w:val="Sinespaciado"/>
        <w:rPr>
          <w:rFonts w:eastAsia="Calibri"/>
          <w:lang w:eastAsia="en-US"/>
        </w:rPr>
      </w:pPr>
    </w:p>
    <w:bookmarkEnd w:id="0"/>
    <w:p w14:paraId="3ED93148" w14:textId="0086B8DF" w:rsidR="001636D5" w:rsidRPr="00E456E7" w:rsidRDefault="00385FE0" w:rsidP="008C5A44">
      <w:pPr>
        <w:spacing w:after="120"/>
        <w:ind w:left="284" w:right="616"/>
        <w:jc w:val="both"/>
        <w:rPr>
          <w:rFonts w:ascii="Arial" w:eastAsia="Calibri" w:hAnsi="Arial" w:cs="Arial"/>
          <w:i/>
          <w:color w:val="000000" w:themeColor="text1"/>
          <w:lang w:eastAsia="en-US"/>
        </w:rPr>
      </w:pPr>
      <w:r w:rsidRPr="00E456E7">
        <w:rPr>
          <w:rFonts w:ascii="Arial" w:eastAsia="Calibri" w:hAnsi="Arial" w:cs="Arial"/>
          <w:bCs/>
          <w:i/>
          <w:color w:val="000000" w:themeColor="text1"/>
          <w:lang w:eastAsia="en-US"/>
        </w:rPr>
        <w:t>“…</w:t>
      </w:r>
      <w:r w:rsidR="001636D5" w:rsidRPr="00E456E7">
        <w:rPr>
          <w:rFonts w:ascii="Arial" w:eastAsia="Calibri" w:hAnsi="Arial" w:cs="Arial"/>
          <w:b/>
          <w:bCs/>
          <w:i/>
          <w:color w:val="000000" w:themeColor="text1"/>
          <w:lang w:eastAsia="en-US"/>
        </w:rPr>
        <w:t xml:space="preserve">QUINTO. - </w:t>
      </w:r>
      <w:r w:rsidR="001636D5" w:rsidRPr="00E456E7">
        <w:rPr>
          <w:rFonts w:ascii="Arial" w:eastAsia="Calibri" w:hAnsi="Arial" w:cs="Arial"/>
          <w:i/>
          <w:color w:val="000000" w:themeColor="text1"/>
          <w:lang w:eastAsia="en-US"/>
        </w:rPr>
        <w:t xml:space="preserve">Por cuanto hace la resolución recaída en el Recurso de Revisión 08/2016 dictada el veintinueve de julio de dos mil dieciséis (29/07/2016) por el </w:t>
      </w:r>
      <w:r w:rsidR="001636D5" w:rsidRPr="00E456E7">
        <w:rPr>
          <w:rFonts w:ascii="Arial" w:eastAsia="Calibri" w:hAnsi="Arial" w:cs="Arial"/>
          <w:b/>
          <w:bCs/>
          <w:i/>
          <w:color w:val="000000" w:themeColor="text1"/>
          <w:lang w:eastAsia="en-US"/>
        </w:rPr>
        <w:t>JEFE DE LA UNIDAD AUXILIAR Y DE RECURSOS DE LA SUBSECRETARÍA DE RESPONSABILIDADES</w:t>
      </w:r>
      <w:r w:rsidR="003D0E78" w:rsidRPr="00E456E7">
        <w:rPr>
          <w:rFonts w:ascii="Arial" w:eastAsia="Calibri" w:hAnsi="Arial" w:cs="Arial"/>
          <w:b/>
          <w:bCs/>
          <w:i/>
          <w:color w:val="000000" w:themeColor="text1"/>
          <w:lang w:eastAsia="en-US"/>
        </w:rPr>
        <w:t xml:space="preserve"> Y TRANSPARENCIA DE LA SECRETARÍA DE </w:t>
      </w:r>
      <w:r w:rsidR="008C5A44" w:rsidRPr="00E456E7">
        <w:rPr>
          <w:rFonts w:ascii="Arial" w:eastAsia="Calibri" w:hAnsi="Arial" w:cs="Arial"/>
          <w:b/>
          <w:bCs/>
          <w:i/>
          <w:color w:val="000000" w:themeColor="text1"/>
          <w:lang w:eastAsia="en-US"/>
        </w:rPr>
        <w:t>L</w:t>
      </w:r>
      <w:r w:rsidR="003D0E78" w:rsidRPr="00E456E7">
        <w:rPr>
          <w:rFonts w:ascii="Arial" w:eastAsia="Calibri" w:hAnsi="Arial" w:cs="Arial"/>
          <w:b/>
          <w:bCs/>
          <w:i/>
          <w:color w:val="000000" w:themeColor="text1"/>
          <w:lang w:eastAsia="en-US"/>
        </w:rPr>
        <w:t>A CONTRALORÍA Y TRANSPARENCIA GUBERNAMENTAL DEL PODER EJECUTIVO DEL ESTADO DE OAXACA,</w:t>
      </w:r>
      <w:r w:rsidR="003D0E78" w:rsidRPr="00E456E7">
        <w:rPr>
          <w:rFonts w:ascii="Arial" w:eastAsia="Calibri" w:hAnsi="Arial" w:cs="Arial"/>
          <w:i/>
          <w:color w:val="000000" w:themeColor="text1"/>
          <w:lang w:eastAsia="en-US"/>
        </w:rPr>
        <w:t xml:space="preserve"> misma que confirmó la resolución emitida dentro del expediente administrativo 524/RA/2014, este juzgador</w:t>
      </w:r>
      <w:r w:rsidR="00D544AF" w:rsidRPr="00E456E7">
        <w:rPr>
          <w:rFonts w:ascii="Arial" w:eastAsia="Calibri" w:hAnsi="Arial" w:cs="Arial"/>
          <w:i/>
          <w:color w:val="000000" w:themeColor="text1"/>
          <w:lang w:eastAsia="en-US"/>
        </w:rPr>
        <w:t xml:space="preserve"> determina que resultan fundados los agravios hechos valer por la parte actora en el sentido que la autoridad que emite el acto no valoró las pruebas aportadas durante el procedimiento administrativo instaurado en contra del administrado </w:t>
      </w:r>
      <w:r w:rsidR="00993CDB">
        <w:rPr>
          <w:rFonts w:ascii="Arial" w:hAnsi="Arial" w:cs="Arial"/>
          <w:b/>
          <w:bCs/>
          <w:sz w:val="26"/>
          <w:szCs w:val="26"/>
        </w:rPr>
        <w:t>***********</w:t>
      </w:r>
      <w:r w:rsidR="00993CDB">
        <w:rPr>
          <w:rFonts w:ascii="Arial" w:hAnsi="Arial" w:cs="Arial"/>
          <w:b/>
          <w:bCs/>
          <w:sz w:val="26"/>
          <w:szCs w:val="26"/>
        </w:rPr>
        <w:t xml:space="preserve"> </w:t>
      </w:r>
      <w:r w:rsidR="00D544AF" w:rsidRPr="00E456E7">
        <w:rPr>
          <w:rFonts w:ascii="Arial" w:eastAsia="Calibri" w:hAnsi="Arial" w:cs="Arial"/>
          <w:i/>
          <w:color w:val="000000" w:themeColor="text1"/>
          <w:lang w:eastAsia="en-US"/>
        </w:rPr>
        <w:t xml:space="preserve">por las faltas administrativas consistentes en: </w:t>
      </w:r>
      <w:r w:rsidR="00D544AF" w:rsidRPr="00E456E7">
        <w:rPr>
          <w:rFonts w:ascii="Arial" w:eastAsia="Calibri" w:hAnsi="Arial" w:cs="Arial"/>
          <w:b/>
          <w:bCs/>
          <w:i/>
          <w:color w:val="000000" w:themeColor="text1"/>
          <w:lang w:eastAsia="en-US"/>
        </w:rPr>
        <w:t xml:space="preserve">a) </w:t>
      </w:r>
      <w:r w:rsidR="00D544AF" w:rsidRPr="00E456E7">
        <w:rPr>
          <w:rFonts w:ascii="Arial" w:eastAsia="Calibri" w:hAnsi="Arial" w:cs="Arial"/>
          <w:i/>
          <w:color w:val="000000" w:themeColor="text1"/>
          <w:lang w:eastAsia="en-US"/>
        </w:rPr>
        <w:t xml:space="preserve">incumplir con la máxima diligencia al servicio que le fue encomendado; </w:t>
      </w:r>
      <w:r w:rsidR="00D544AF" w:rsidRPr="00E456E7">
        <w:rPr>
          <w:rFonts w:ascii="Arial" w:eastAsia="Calibri" w:hAnsi="Arial" w:cs="Arial"/>
          <w:b/>
          <w:bCs/>
          <w:i/>
          <w:color w:val="000000" w:themeColor="text1"/>
          <w:lang w:eastAsia="en-US"/>
        </w:rPr>
        <w:t>b)</w:t>
      </w:r>
      <w:r w:rsidR="00D544AF" w:rsidRPr="00E456E7">
        <w:rPr>
          <w:rFonts w:ascii="Arial" w:eastAsia="Calibri" w:hAnsi="Arial" w:cs="Arial"/>
          <w:i/>
          <w:color w:val="000000" w:themeColor="text1"/>
          <w:lang w:eastAsia="en-US"/>
        </w:rPr>
        <w:t xml:space="preserve"> no observar buena conducta en su empleo, y; </w:t>
      </w:r>
      <w:r w:rsidR="00D544AF" w:rsidRPr="00E456E7">
        <w:rPr>
          <w:rFonts w:ascii="Arial" w:eastAsia="Calibri" w:hAnsi="Arial" w:cs="Arial"/>
          <w:b/>
          <w:bCs/>
          <w:i/>
          <w:color w:val="000000" w:themeColor="text1"/>
          <w:lang w:eastAsia="en-US"/>
        </w:rPr>
        <w:t xml:space="preserve">c) </w:t>
      </w:r>
      <w:r w:rsidR="00D544AF" w:rsidRPr="00E456E7">
        <w:rPr>
          <w:rFonts w:ascii="Arial" w:eastAsia="Calibri" w:hAnsi="Arial" w:cs="Arial"/>
          <w:i/>
          <w:color w:val="000000" w:themeColor="text1"/>
          <w:lang w:eastAsia="en-US"/>
        </w:rPr>
        <w:t>abstenerse de cualquier acto u omisión que implicara el incumplimiento de cualquier disposición relacionada con el servicio del Estado, aunado a una deficiente fundamentación y motivación del por qué la conducta atribuida al hoy actor encuadran dichos supuesto</w:t>
      </w:r>
      <w:r w:rsidR="005015B3" w:rsidRPr="00E456E7">
        <w:rPr>
          <w:rFonts w:ascii="Arial" w:eastAsia="Calibri" w:hAnsi="Arial" w:cs="Arial"/>
          <w:i/>
          <w:color w:val="000000" w:themeColor="text1"/>
          <w:lang w:eastAsia="en-US"/>
        </w:rPr>
        <w:t xml:space="preserve"> (sic)</w:t>
      </w:r>
      <w:r w:rsidR="00D544AF" w:rsidRPr="00E456E7">
        <w:rPr>
          <w:rFonts w:ascii="Arial" w:eastAsia="Calibri" w:hAnsi="Arial" w:cs="Arial"/>
          <w:i/>
          <w:color w:val="000000" w:themeColor="text1"/>
          <w:lang w:eastAsia="en-US"/>
        </w:rPr>
        <w:t xml:space="preserve">; más aún cuando la propuesta de conciliación turnada en su momento por la Defensoría de los Derechos Humanos del Pueblo de Oaxaca, lo fue por haber expulsado al menor de edad </w:t>
      </w:r>
      <w:r w:rsidR="00993CDB">
        <w:rPr>
          <w:rFonts w:ascii="Arial" w:hAnsi="Arial" w:cs="Arial"/>
          <w:b/>
          <w:bCs/>
          <w:sz w:val="26"/>
          <w:szCs w:val="26"/>
        </w:rPr>
        <w:t>***********</w:t>
      </w:r>
      <w:r w:rsidR="00D544AF" w:rsidRPr="00E456E7">
        <w:rPr>
          <w:rFonts w:ascii="Arial" w:eastAsia="Calibri" w:hAnsi="Arial" w:cs="Arial"/>
          <w:i/>
          <w:color w:val="000000" w:themeColor="text1"/>
          <w:lang w:eastAsia="en-US"/>
        </w:rPr>
        <w:t>, y al resolver la demandada en el citado expediente administrativo lo sancionó por una suspensión condicionada, variando con ello los motivos que dieron origen a la denuncia presentada por el padre del meno</w:t>
      </w:r>
      <w:r w:rsidR="008C5A44" w:rsidRPr="00E456E7">
        <w:rPr>
          <w:rFonts w:ascii="Arial" w:eastAsia="Calibri" w:hAnsi="Arial" w:cs="Arial"/>
          <w:i/>
          <w:color w:val="000000" w:themeColor="text1"/>
          <w:lang w:eastAsia="en-US"/>
        </w:rPr>
        <w:t xml:space="preserve">r </w:t>
      </w:r>
      <w:r w:rsidR="00D544AF" w:rsidRPr="00E456E7">
        <w:rPr>
          <w:rFonts w:ascii="Arial" w:eastAsia="Calibri" w:hAnsi="Arial" w:cs="Arial"/>
          <w:i/>
          <w:color w:val="000000" w:themeColor="text1"/>
          <w:lang w:eastAsia="en-US"/>
        </w:rPr>
        <w:t>de edad.</w:t>
      </w:r>
    </w:p>
    <w:p w14:paraId="57B9AD13" w14:textId="46EACE5B" w:rsidR="00D544AF" w:rsidRPr="00E456E7" w:rsidRDefault="00C06FC7" w:rsidP="00072ED2">
      <w:pPr>
        <w:spacing w:after="120"/>
        <w:ind w:left="284" w:right="616" w:firstLine="283"/>
        <w:jc w:val="both"/>
        <w:rPr>
          <w:rFonts w:ascii="Arial" w:eastAsia="Calibri" w:hAnsi="Arial" w:cs="Arial"/>
          <w:i/>
          <w:color w:val="000000" w:themeColor="text1"/>
          <w:lang w:eastAsia="en-US"/>
        </w:rPr>
      </w:pPr>
      <w:r w:rsidRPr="00E456E7">
        <w:rPr>
          <w:rFonts w:ascii="Arial" w:eastAsia="Calibri" w:hAnsi="Arial" w:cs="Arial"/>
          <w:i/>
          <w:color w:val="000000" w:themeColor="text1"/>
          <w:lang w:eastAsia="en-US"/>
        </w:rPr>
        <w:t xml:space="preserve">Se dice lo anterior, en razón que, contrariamente a lo determinado por la demandada, el actor sí cumplió con la máxima diligencia al servicio que le fue encomendado, puesto que si bien el menor de edad </w:t>
      </w:r>
      <w:r w:rsidR="00993CDB">
        <w:rPr>
          <w:rFonts w:ascii="Arial" w:hAnsi="Arial" w:cs="Arial"/>
          <w:b/>
          <w:bCs/>
          <w:sz w:val="26"/>
          <w:szCs w:val="26"/>
        </w:rPr>
        <w:t>***********</w:t>
      </w:r>
      <w:r w:rsidRPr="00E456E7">
        <w:rPr>
          <w:rFonts w:ascii="Arial" w:eastAsia="Calibri" w:hAnsi="Arial" w:cs="Arial"/>
          <w:i/>
          <w:color w:val="000000" w:themeColor="text1"/>
          <w:lang w:eastAsia="en-US"/>
        </w:rPr>
        <w:t xml:space="preserve">, cuenta con el derecho a la educación, mismo que se encuentra protegido en el artículo 3 de nuestra Carta Magna, también lo es que el Estado, en este supuesto representado por el promovente </w:t>
      </w:r>
      <w:r w:rsidR="00993CDB">
        <w:rPr>
          <w:rFonts w:ascii="Arial" w:hAnsi="Arial" w:cs="Arial"/>
          <w:b/>
          <w:bCs/>
          <w:sz w:val="26"/>
          <w:szCs w:val="26"/>
        </w:rPr>
        <w:t>***********</w:t>
      </w:r>
      <w:r w:rsidRPr="00E456E7">
        <w:rPr>
          <w:rFonts w:ascii="Arial" w:eastAsia="Calibri" w:hAnsi="Arial" w:cs="Arial"/>
          <w:i/>
          <w:color w:val="000000" w:themeColor="text1"/>
          <w:lang w:eastAsia="en-US"/>
        </w:rPr>
        <w:t xml:space="preserve">, tenía la obligación de tomar las medidas administrativas, legislativas, judiciales, y de cualquier otra índole que fueran necesarias y apropiadas para asegurar con prioridad la </w:t>
      </w:r>
      <w:r w:rsidRPr="00E456E7">
        <w:rPr>
          <w:rFonts w:ascii="Arial" w:eastAsia="Calibri" w:hAnsi="Arial" w:cs="Arial"/>
          <w:i/>
          <w:color w:val="000000" w:themeColor="text1"/>
          <w:u w:val="single"/>
          <w:lang w:eastAsia="en-US"/>
        </w:rPr>
        <w:t>protección integral para niños, niñas y adolescentes, de todos y cada uno de los educandos</w:t>
      </w:r>
      <w:r w:rsidRPr="00E456E7">
        <w:rPr>
          <w:rFonts w:ascii="Arial" w:eastAsia="Calibri" w:hAnsi="Arial" w:cs="Arial"/>
          <w:i/>
          <w:color w:val="000000" w:themeColor="text1"/>
          <w:lang w:eastAsia="en-US"/>
        </w:rPr>
        <w:t xml:space="preserve"> de ese centro escolar, para que éstos disfrutaran plena y efectivamente de sus derechos, tal y como lo establecía el artículo 6 de la Ley de Protección de los Derechos de los Niños, Niñas y Adolescentes para el Estado de Oaxaca, vigente al momento de los hechos</w:t>
      </w:r>
      <w:r w:rsidR="001636A4" w:rsidRPr="00E456E7">
        <w:rPr>
          <w:rFonts w:ascii="Arial" w:eastAsia="Calibri" w:hAnsi="Arial" w:cs="Arial"/>
          <w:i/>
          <w:color w:val="000000" w:themeColor="text1"/>
          <w:lang w:eastAsia="en-US"/>
        </w:rPr>
        <w:t xml:space="preserve">, privilegiando con ello los derechos constitucionales de toda una colectividad de educandos; </w:t>
      </w:r>
      <w:r w:rsidR="001636A4" w:rsidRPr="00E456E7">
        <w:rPr>
          <w:rFonts w:ascii="Arial" w:eastAsia="Calibri" w:hAnsi="Arial" w:cs="Arial"/>
          <w:i/>
          <w:color w:val="000000" w:themeColor="text1"/>
          <w:lang w:eastAsia="en-US"/>
        </w:rPr>
        <w:lastRenderedPageBreak/>
        <w:t>más aún cuando del caudal probatorio</w:t>
      </w:r>
      <w:r w:rsidR="005315C5" w:rsidRPr="00E456E7">
        <w:rPr>
          <w:rFonts w:ascii="Arial" w:eastAsia="Calibri" w:hAnsi="Arial" w:cs="Arial"/>
          <w:i/>
          <w:color w:val="000000" w:themeColor="text1"/>
          <w:lang w:eastAsia="en-US"/>
        </w:rPr>
        <w:t xml:space="preserve"> aportado durante el procedimiento administrativo, es evidente que no sólo se encontraba que otros menores de edad dejaran de gozar del derecho a la educación, contemplado en los artículos 34,35,37 y 38 del citado ordenamiento legal, sino que también se encontraba en riesgo su integridad física y emocional, situación que fue observada por el actor, al evitar que siguieran siendo vulnerados estos derechos, puesto que el artículo 35 del ordenamiento legal en cita establece que queda prohibida </w:t>
      </w:r>
      <w:r w:rsidR="005315C5" w:rsidRPr="00E456E7">
        <w:rPr>
          <w:rFonts w:ascii="Arial" w:eastAsia="Calibri" w:hAnsi="Arial" w:cs="Arial"/>
          <w:i/>
          <w:color w:val="000000" w:themeColor="text1"/>
          <w:u w:val="single"/>
          <w:lang w:eastAsia="en-US"/>
        </w:rPr>
        <w:t>y ser</w:t>
      </w:r>
      <w:r w:rsidR="009F49B9" w:rsidRPr="00E456E7">
        <w:rPr>
          <w:rFonts w:ascii="Arial" w:eastAsia="Calibri" w:hAnsi="Arial" w:cs="Arial"/>
          <w:i/>
          <w:color w:val="000000" w:themeColor="text1"/>
          <w:u w:val="single"/>
          <w:lang w:eastAsia="en-US"/>
        </w:rPr>
        <w:t>á sancionada cualquier forma de violencia física, psicológica y sexual que atente contra la dignidad e integridad de los niños, niñas y adolescentes en su educación y formación;</w:t>
      </w:r>
      <w:r w:rsidR="009F49B9" w:rsidRPr="00E456E7">
        <w:rPr>
          <w:rFonts w:ascii="Arial" w:eastAsia="Calibri" w:hAnsi="Arial" w:cs="Arial"/>
          <w:i/>
          <w:color w:val="000000" w:themeColor="text1"/>
          <w:lang w:eastAsia="en-US"/>
        </w:rPr>
        <w:t xml:space="preserve"> por lo que resulta errónea la motivación que efectuó la demandada en la resolución combatida al privilegiar únicamente el derecho de un alumno, frente a toda una colectividad de educandos, sin que efectuara una ponderación de derechos del resto de los alumnos, misma que era evidente advertir a través de las documentales que obran en el expediente administrativo 524/RA/2014, y a las cuales se le otorga </w:t>
      </w:r>
      <w:r w:rsidR="008C5A44" w:rsidRPr="00E456E7">
        <w:rPr>
          <w:rFonts w:ascii="Arial" w:eastAsia="Calibri" w:hAnsi="Arial" w:cs="Arial"/>
          <w:i/>
          <w:color w:val="000000" w:themeColor="text1"/>
          <w:lang w:eastAsia="en-US"/>
        </w:rPr>
        <w:t xml:space="preserve">pleno valor probatorio en términos de lo dispuesto en el artículo 173, fracción I de </w:t>
      </w:r>
      <w:r w:rsidR="009F49B9" w:rsidRPr="00E456E7">
        <w:rPr>
          <w:rFonts w:ascii="Arial" w:eastAsia="Calibri" w:hAnsi="Arial" w:cs="Arial"/>
          <w:i/>
          <w:color w:val="000000" w:themeColor="text1"/>
          <w:lang w:eastAsia="en-US"/>
        </w:rPr>
        <w:t>la Ley de Justicia Administrativa para el Estado de Oaxaca, tales como los diversos reportes de incidencias de los profesores de inglés, de educació</w:t>
      </w:r>
      <w:r w:rsidR="008D5826" w:rsidRPr="00E456E7">
        <w:rPr>
          <w:rFonts w:ascii="Arial" w:eastAsia="Calibri" w:hAnsi="Arial" w:cs="Arial"/>
          <w:i/>
          <w:color w:val="000000" w:themeColor="text1"/>
          <w:lang w:eastAsia="en-US"/>
        </w:rPr>
        <w:t xml:space="preserve">n artística, </w:t>
      </w:r>
      <w:r w:rsidR="008C5A44" w:rsidRPr="00E456E7">
        <w:rPr>
          <w:rFonts w:ascii="Arial" w:eastAsia="Calibri" w:hAnsi="Arial" w:cs="Arial"/>
          <w:i/>
          <w:color w:val="000000" w:themeColor="text1"/>
          <w:lang w:eastAsia="en-US"/>
        </w:rPr>
        <w:t xml:space="preserve">geografía </w:t>
      </w:r>
      <w:r w:rsidR="008D5826" w:rsidRPr="00E456E7">
        <w:rPr>
          <w:rFonts w:ascii="Arial" w:eastAsia="Calibri" w:hAnsi="Arial" w:cs="Arial"/>
          <w:i/>
          <w:color w:val="000000" w:themeColor="text1"/>
          <w:lang w:eastAsia="en-US"/>
        </w:rPr>
        <w:t xml:space="preserve">y del responsable del grupo, correspondientes a los meses de octubre, noviembre, diciembre en los que hicieron del conocimiento al actor, en su calidad de Director de la Escuela Telesecundaria de San Juan Guelavía, Tlacolula, Oaxaca del comportamiento agresivo </w:t>
      </w:r>
      <w:r w:rsidR="006E77AA" w:rsidRPr="00E456E7">
        <w:rPr>
          <w:rFonts w:ascii="Arial" w:eastAsia="Calibri" w:hAnsi="Arial" w:cs="Arial"/>
          <w:i/>
          <w:color w:val="000000" w:themeColor="text1"/>
          <w:lang w:eastAsia="en-US"/>
        </w:rPr>
        <w:t xml:space="preserve">por parte del alumno hacia otros compañeros de clases, aunado a su falta de compromiso para modificar su conducta; así como de las quejas de otros menores de edad y de padres de familia, en los que denunciaron que el menor </w:t>
      </w:r>
      <w:r w:rsidR="00993CDB">
        <w:rPr>
          <w:rFonts w:ascii="Arial" w:hAnsi="Arial" w:cs="Arial"/>
          <w:b/>
          <w:bCs/>
          <w:sz w:val="26"/>
          <w:szCs w:val="26"/>
        </w:rPr>
        <w:t>***********</w:t>
      </w:r>
      <w:r w:rsidR="00993CDB">
        <w:rPr>
          <w:rFonts w:ascii="Arial" w:hAnsi="Arial" w:cs="Arial"/>
          <w:b/>
          <w:bCs/>
          <w:sz w:val="26"/>
          <w:szCs w:val="26"/>
        </w:rPr>
        <w:t xml:space="preserve"> </w:t>
      </w:r>
      <w:r w:rsidR="006E77AA" w:rsidRPr="00E456E7">
        <w:rPr>
          <w:rFonts w:ascii="Arial" w:eastAsia="Calibri" w:hAnsi="Arial" w:cs="Arial"/>
          <w:i/>
          <w:color w:val="000000" w:themeColor="text1"/>
          <w:lang w:eastAsia="en-US"/>
        </w:rPr>
        <w:t xml:space="preserve">los había golpeado y que sus hijos ya no querían presentarse en el plantel educativo por miedo a ser </w:t>
      </w:r>
      <w:r w:rsidR="003314B5" w:rsidRPr="00E456E7">
        <w:rPr>
          <w:rFonts w:ascii="Arial" w:eastAsia="Calibri" w:hAnsi="Arial" w:cs="Arial"/>
          <w:i/>
          <w:color w:val="000000" w:themeColor="text1"/>
          <w:lang w:eastAsia="en-US"/>
        </w:rPr>
        <w:t>agredidos.</w:t>
      </w:r>
    </w:p>
    <w:p w14:paraId="1B93A3C6" w14:textId="513A0BB3" w:rsidR="003314B5" w:rsidRPr="00E456E7" w:rsidRDefault="003314B5" w:rsidP="00072ED2">
      <w:pPr>
        <w:spacing w:after="120"/>
        <w:ind w:left="284" w:right="616" w:firstLine="283"/>
        <w:jc w:val="both"/>
        <w:rPr>
          <w:rFonts w:ascii="Arial" w:eastAsia="Calibri" w:hAnsi="Arial" w:cs="Arial"/>
          <w:i/>
          <w:color w:val="000000" w:themeColor="text1"/>
          <w:lang w:eastAsia="en-US"/>
        </w:rPr>
      </w:pPr>
      <w:r w:rsidRPr="00E456E7">
        <w:rPr>
          <w:rFonts w:ascii="Arial" w:eastAsia="Calibri" w:hAnsi="Arial" w:cs="Arial"/>
          <w:i/>
          <w:color w:val="000000" w:themeColor="text1"/>
          <w:lang w:eastAsia="en-US"/>
        </w:rPr>
        <w:t>Por cuanto hace a los argumentos vertidos por la demanda en la resolución recurrida, en el sentido que el servidor p</w:t>
      </w:r>
      <w:r w:rsidR="00BE145A" w:rsidRPr="00E456E7">
        <w:rPr>
          <w:rFonts w:ascii="Arial" w:eastAsia="Calibri" w:hAnsi="Arial" w:cs="Arial"/>
          <w:i/>
          <w:color w:val="000000" w:themeColor="text1"/>
          <w:lang w:eastAsia="en-US"/>
        </w:rPr>
        <w:t>ú</w:t>
      </w:r>
      <w:r w:rsidRPr="00E456E7">
        <w:rPr>
          <w:rFonts w:ascii="Arial" w:eastAsia="Calibri" w:hAnsi="Arial" w:cs="Arial"/>
          <w:i/>
          <w:color w:val="000000" w:themeColor="text1"/>
          <w:lang w:eastAsia="en-US"/>
        </w:rPr>
        <w:t>blico sancionad</w:t>
      </w:r>
      <w:r w:rsidR="008C5A44" w:rsidRPr="00E456E7">
        <w:rPr>
          <w:rFonts w:ascii="Arial" w:eastAsia="Calibri" w:hAnsi="Arial" w:cs="Arial"/>
          <w:i/>
          <w:color w:val="000000" w:themeColor="text1"/>
          <w:lang w:eastAsia="en-US"/>
        </w:rPr>
        <w:t xml:space="preserve">o </w:t>
      </w:r>
      <w:r w:rsidRPr="00E456E7">
        <w:rPr>
          <w:rFonts w:ascii="Arial" w:eastAsia="Calibri" w:hAnsi="Arial" w:cs="Arial"/>
          <w:i/>
          <w:color w:val="000000" w:themeColor="text1"/>
          <w:lang w:eastAsia="en-US"/>
        </w:rPr>
        <w:t xml:space="preserve">se abstuvo de cumplir con sus obligaciones toda vez que no agotó todos los medios necesarios para que el menor </w:t>
      </w:r>
      <w:r w:rsidR="00993CDB">
        <w:rPr>
          <w:rFonts w:ascii="Arial" w:hAnsi="Arial" w:cs="Arial"/>
          <w:b/>
          <w:bCs/>
          <w:sz w:val="26"/>
          <w:szCs w:val="26"/>
        </w:rPr>
        <w:t>***********</w:t>
      </w:r>
      <w:r w:rsidRPr="00E456E7">
        <w:rPr>
          <w:rFonts w:ascii="Arial" w:eastAsia="Calibri" w:hAnsi="Arial" w:cs="Arial"/>
          <w:i/>
          <w:color w:val="000000" w:themeColor="text1"/>
          <w:lang w:eastAsia="en-US"/>
        </w:rPr>
        <w:t xml:space="preserve"> recibiera ayuda profesional, debiendo haber gestionado ante sus superiores o ante las autoridades indicadas para brindar este servicio al menor en cuestión, se advierte que la demandada ante la obligación que requiere por parte del actor, es omisa en señalar el fundamento legal que constriñe tal obligación al actor, o dónde se encuentra establecido ese actuar por parte </w:t>
      </w:r>
      <w:r w:rsidR="00BE1FE4" w:rsidRPr="00E456E7">
        <w:rPr>
          <w:rFonts w:ascii="Arial" w:eastAsia="Calibri" w:hAnsi="Arial" w:cs="Arial"/>
          <w:i/>
          <w:color w:val="000000" w:themeColor="text1"/>
          <w:lang w:eastAsia="en-US"/>
        </w:rPr>
        <w:t>del servidor público que requiere, y de no existir tal lineamiento a nivel interno por parte de la institución educativa, debió haber señalado cuál tenía que aplicarse de manera supletoria, deficiencia que conllevó a la inexistencia de la motivación del por qué el servidor público sancionado había incumplido con la máxima diligencia al servicio que le fue encomendado</w:t>
      </w:r>
      <w:r w:rsidR="003E3675" w:rsidRPr="00E456E7">
        <w:rPr>
          <w:rFonts w:ascii="Arial" w:eastAsia="Calibri" w:hAnsi="Arial" w:cs="Arial"/>
          <w:i/>
          <w:color w:val="000000" w:themeColor="text1"/>
          <w:lang w:eastAsia="en-US"/>
        </w:rPr>
        <w:t>, o la de abstenerse de cualquier acto u omisión que implicara el incumplimiento de cualquier disposición relacionada con el servicio del Estado.</w:t>
      </w:r>
    </w:p>
    <w:p w14:paraId="574937A0" w14:textId="466DBD62" w:rsidR="003E3675" w:rsidRPr="00E456E7" w:rsidRDefault="003E3675" w:rsidP="00072ED2">
      <w:pPr>
        <w:spacing w:after="120"/>
        <w:ind w:left="284" w:right="616" w:firstLine="283"/>
        <w:jc w:val="both"/>
        <w:rPr>
          <w:rFonts w:ascii="Arial" w:eastAsia="Calibri" w:hAnsi="Arial" w:cs="Arial"/>
          <w:i/>
          <w:color w:val="000000" w:themeColor="text1"/>
          <w:lang w:eastAsia="en-US"/>
        </w:rPr>
      </w:pPr>
      <w:r w:rsidRPr="00E456E7">
        <w:rPr>
          <w:rFonts w:ascii="Arial" w:eastAsia="Calibri" w:hAnsi="Arial" w:cs="Arial"/>
          <w:i/>
          <w:color w:val="000000" w:themeColor="text1"/>
          <w:lang w:eastAsia="en-US"/>
        </w:rPr>
        <w:t>A mayor abundamiento la autoridad demandada pasa por alto que de la lectura a los reportes citados en el párrafo anterior, se advierte que los profesores de esa Telesecundaria, sostuvieron pláticas con el alumno y le hicieron de su conocimiento a sus progenitores las áreas de oportunidad al menor, recayendo carta compromiso por parte del menor, de la madre y del padre, de fechas nueve, dieciocho y veinticinco de noviembre de dos mil trece (0</w:t>
      </w:r>
      <w:r w:rsidR="00BE145A" w:rsidRPr="00E456E7">
        <w:rPr>
          <w:rFonts w:ascii="Arial" w:eastAsia="Calibri" w:hAnsi="Arial" w:cs="Arial"/>
          <w:i/>
          <w:color w:val="000000" w:themeColor="text1"/>
          <w:lang w:eastAsia="en-US"/>
        </w:rPr>
        <w:t>9,</w:t>
      </w:r>
      <w:r w:rsidRPr="00E456E7">
        <w:rPr>
          <w:rFonts w:ascii="Arial" w:eastAsia="Calibri" w:hAnsi="Arial" w:cs="Arial"/>
          <w:i/>
          <w:color w:val="000000" w:themeColor="text1"/>
          <w:lang w:eastAsia="en-US"/>
        </w:rPr>
        <w:t xml:space="preserve"> 18</w:t>
      </w:r>
      <w:r w:rsidR="008C5A44" w:rsidRPr="00E456E7">
        <w:rPr>
          <w:rFonts w:ascii="Arial" w:eastAsia="Calibri" w:hAnsi="Arial" w:cs="Arial"/>
          <w:i/>
          <w:color w:val="000000" w:themeColor="text1"/>
          <w:lang w:eastAsia="en-US"/>
        </w:rPr>
        <w:t xml:space="preserve"> </w:t>
      </w:r>
      <w:r w:rsidRPr="00E456E7">
        <w:rPr>
          <w:rFonts w:ascii="Arial" w:eastAsia="Calibri" w:hAnsi="Arial" w:cs="Arial"/>
          <w:i/>
          <w:color w:val="000000" w:themeColor="text1"/>
          <w:lang w:eastAsia="en-US"/>
        </w:rPr>
        <w:t xml:space="preserve">y 25/11/2013), misma que obra a fojas 78,79 y 80 de los presentes autos, y a las cuales se le otorga pleno valor probatorio, en términos del artículo 173, fracción I de la Ley de Justicia Administrativa para el estado de Oaxaca, vigente al veinte de octubre de dos mil diecisiete (20/10/2017), en las </w:t>
      </w:r>
      <w:r w:rsidR="004433CD" w:rsidRPr="00E456E7">
        <w:rPr>
          <w:rFonts w:ascii="Arial" w:eastAsia="Calibri" w:hAnsi="Arial" w:cs="Arial"/>
          <w:i/>
          <w:color w:val="000000" w:themeColor="text1"/>
          <w:lang w:eastAsia="en-US"/>
        </w:rPr>
        <w:t>que se comprometieron tanto el menor como los progenitores a modificar su conducta y brindar el apoyo, correspondiente, caso contrario tenían que presentarse sus responsables, o bien daría pie a una suspensión temporal o expulsión definitiva.</w:t>
      </w:r>
    </w:p>
    <w:p w14:paraId="65BDBC08" w14:textId="0976287F" w:rsidR="004433CD" w:rsidRPr="00E456E7" w:rsidRDefault="004433CD" w:rsidP="00072ED2">
      <w:pPr>
        <w:spacing w:after="120"/>
        <w:ind w:left="284" w:right="616" w:firstLine="283"/>
        <w:jc w:val="both"/>
        <w:rPr>
          <w:rFonts w:ascii="Arial" w:eastAsia="Calibri" w:hAnsi="Arial" w:cs="Arial"/>
          <w:i/>
          <w:color w:val="000000" w:themeColor="text1"/>
          <w:lang w:eastAsia="en-US"/>
        </w:rPr>
      </w:pPr>
      <w:r w:rsidRPr="00E456E7">
        <w:rPr>
          <w:rFonts w:ascii="Arial" w:eastAsia="Calibri" w:hAnsi="Arial" w:cs="Arial"/>
          <w:i/>
          <w:color w:val="000000" w:themeColor="text1"/>
          <w:lang w:eastAsia="en-US"/>
        </w:rPr>
        <w:lastRenderedPageBreak/>
        <w:t>Así mismo, la demanda</w:t>
      </w:r>
      <w:r w:rsidR="008C5A44" w:rsidRPr="00E456E7">
        <w:rPr>
          <w:rFonts w:ascii="Arial" w:eastAsia="Calibri" w:hAnsi="Arial" w:cs="Arial"/>
          <w:i/>
          <w:color w:val="000000" w:themeColor="text1"/>
          <w:lang w:eastAsia="en-US"/>
        </w:rPr>
        <w:t>da</w:t>
      </w:r>
      <w:r w:rsidRPr="00E456E7">
        <w:rPr>
          <w:rFonts w:ascii="Arial" w:eastAsia="Calibri" w:hAnsi="Arial" w:cs="Arial"/>
          <w:i/>
          <w:color w:val="000000" w:themeColor="text1"/>
          <w:lang w:eastAsia="en-US"/>
        </w:rPr>
        <w:t xml:space="preserve"> pasó por desapercibido que la obligación de educar y formar a un menor de edad también recae en los padres, teniendo éstos la obligación de atenderlo y orientarlo a fin de que conociera sus derechos, aprendiera a defenderlos, pero también la de respetar los de las otras personas, en este caso, el de sus compañeros de escuela; sin que del cúmulo de pruebas que obra en los presentes autos, se advierta acción alguna emprendida por los padres del menor, limitándose únicamente en hablar con él y hacer el último esfuerzo para poder ayudar a su hijo; por lo que el pretender que en el Estado, a través del Director de la Telesecundaria </w:t>
      </w:r>
      <w:r w:rsidR="00993CDB">
        <w:rPr>
          <w:rFonts w:ascii="Arial" w:hAnsi="Arial" w:cs="Arial"/>
          <w:b/>
          <w:bCs/>
          <w:sz w:val="26"/>
          <w:szCs w:val="26"/>
        </w:rPr>
        <w:t>***********</w:t>
      </w:r>
      <w:r w:rsidRPr="00E456E7">
        <w:rPr>
          <w:rFonts w:ascii="Arial" w:eastAsia="Calibri" w:hAnsi="Arial" w:cs="Arial"/>
          <w:i/>
          <w:color w:val="000000" w:themeColor="text1"/>
          <w:lang w:eastAsia="en-US"/>
        </w:rPr>
        <w:t xml:space="preserve">, recaiga toda la obligación de brindar y educar al menor, resulta ser una carga excesiva y carente de toda lógica, puesto que son los progenitores los responsables primarios de brindar educación a sus hijos, concluyéndose de todos los razonamientos antes expuestos que tampoco fue desatendido el derecho a la educación del menor </w:t>
      </w:r>
      <w:r w:rsidR="00993CDB">
        <w:rPr>
          <w:rFonts w:ascii="Arial" w:hAnsi="Arial" w:cs="Arial"/>
          <w:b/>
          <w:bCs/>
          <w:sz w:val="26"/>
          <w:szCs w:val="26"/>
        </w:rPr>
        <w:t>***********</w:t>
      </w:r>
      <w:bookmarkStart w:id="1" w:name="_GoBack"/>
      <w:bookmarkEnd w:id="1"/>
      <w:r w:rsidRPr="00E456E7">
        <w:rPr>
          <w:rFonts w:ascii="Arial" w:eastAsia="Calibri" w:hAnsi="Arial" w:cs="Arial"/>
          <w:i/>
          <w:color w:val="000000" w:themeColor="text1"/>
          <w:lang w:eastAsia="en-US"/>
        </w:rPr>
        <w:t xml:space="preserve">, más aún cuando de la </w:t>
      </w:r>
      <w:r w:rsidR="000A6EF4" w:rsidRPr="00E456E7">
        <w:rPr>
          <w:rFonts w:ascii="Arial" w:eastAsia="Calibri" w:hAnsi="Arial" w:cs="Arial"/>
          <w:i/>
          <w:color w:val="000000" w:themeColor="text1"/>
          <w:lang w:eastAsia="en-US"/>
        </w:rPr>
        <w:t xml:space="preserve">propia resolución se advierte que el menor no fue expulsado de la institución, tal y como fue señalado inicialmente en el </w:t>
      </w:r>
      <w:r w:rsidR="006C372B" w:rsidRPr="00E456E7">
        <w:rPr>
          <w:rFonts w:ascii="Arial" w:eastAsia="Calibri" w:hAnsi="Arial" w:cs="Arial"/>
          <w:i/>
          <w:color w:val="000000" w:themeColor="text1"/>
          <w:lang w:eastAsia="en-US"/>
        </w:rPr>
        <w:t>procedimiento administrativo, sino suspendido; entendiéndose por el primer concepto la sanción que consiste en la prohibición de regresar a un determinado lugar, y; por el segundo, la privación temporal de algún derecho.</w:t>
      </w:r>
    </w:p>
    <w:p w14:paraId="1F284464" w14:textId="6672444C" w:rsidR="00E62073" w:rsidRPr="00E456E7" w:rsidRDefault="006C372B" w:rsidP="009729CF">
      <w:pPr>
        <w:spacing w:after="120"/>
        <w:ind w:left="284" w:right="616" w:firstLine="283"/>
        <w:jc w:val="both"/>
        <w:rPr>
          <w:rFonts w:ascii="Arial" w:eastAsia="Calibri" w:hAnsi="Arial" w:cs="Arial"/>
          <w:i/>
          <w:color w:val="000000" w:themeColor="text1"/>
          <w:lang w:eastAsia="en-US"/>
        </w:rPr>
      </w:pPr>
      <w:r w:rsidRPr="00E456E7">
        <w:rPr>
          <w:rFonts w:ascii="Arial" w:eastAsia="Calibri" w:hAnsi="Arial" w:cs="Arial"/>
          <w:i/>
          <w:color w:val="000000" w:themeColor="text1"/>
          <w:lang w:eastAsia="en-US"/>
        </w:rPr>
        <w:t>De lo antes expuesto, al considerar esta juzgadora que la autoridad demandada no valoró las pruebas ofrecidas por el actor, las cuales le permitieran hacer la ponderación de los derechos a tutelar, lo que influyó para que la resolución de veintinueve de julio de dos mil dieciséis (29/07/2016)</w:t>
      </w:r>
      <w:r w:rsidR="00B0461E" w:rsidRPr="00E456E7">
        <w:rPr>
          <w:rFonts w:ascii="Arial" w:eastAsia="Calibri" w:hAnsi="Arial" w:cs="Arial"/>
          <w:i/>
          <w:color w:val="000000" w:themeColor="text1"/>
          <w:lang w:eastAsia="en-US"/>
        </w:rPr>
        <w:t xml:space="preserve"> confirmara lo determinado en el expediente administrativo 524/RA/2014, lo conducente es declarar la </w:t>
      </w:r>
      <w:r w:rsidR="00B0461E" w:rsidRPr="00E456E7">
        <w:rPr>
          <w:rFonts w:ascii="Arial" w:eastAsia="Calibri" w:hAnsi="Arial" w:cs="Arial"/>
          <w:b/>
          <w:bCs/>
          <w:i/>
          <w:color w:val="000000" w:themeColor="text1"/>
          <w:lang w:eastAsia="en-US"/>
        </w:rPr>
        <w:t xml:space="preserve">NULIDAD </w:t>
      </w:r>
      <w:r w:rsidR="00B0461E" w:rsidRPr="00E456E7">
        <w:rPr>
          <w:rFonts w:ascii="Arial" w:eastAsia="Calibri" w:hAnsi="Arial" w:cs="Arial"/>
          <w:i/>
          <w:color w:val="000000" w:themeColor="text1"/>
          <w:lang w:eastAsia="en-US"/>
        </w:rPr>
        <w:t xml:space="preserve">de la resolución emitida en el recurso de revocación 08/2016 de veintinueve de julio de dos mil dieciséis (29/07/2016) dictado por el Jefe de la Unidad Auxiliar y de Recursos de la Subsecretaría de Responsabilidades y Transparencia de la Secretaría de la Contraloría y Transparencia Gubernamental del Poder Ejecutivo del Estado de Oaxaca, </w:t>
      </w:r>
      <w:r w:rsidR="00B0461E" w:rsidRPr="00E456E7">
        <w:rPr>
          <w:rFonts w:ascii="Arial" w:eastAsia="Calibri" w:hAnsi="Arial" w:cs="Arial"/>
          <w:b/>
          <w:bCs/>
          <w:i/>
          <w:color w:val="000000" w:themeColor="text1"/>
          <w:lang w:eastAsia="en-US"/>
        </w:rPr>
        <w:t xml:space="preserve">PARA EL EFECTO </w:t>
      </w:r>
      <w:r w:rsidR="00B0461E" w:rsidRPr="00E456E7">
        <w:rPr>
          <w:rFonts w:ascii="Arial" w:eastAsia="Calibri" w:hAnsi="Arial" w:cs="Arial"/>
          <w:i/>
          <w:color w:val="000000" w:themeColor="text1"/>
          <w:lang w:eastAsia="en-US"/>
        </w:rPr>
        <w:t xml:space="preserve">que dicte otra, en la que revoque la resolución de cuatro de enero de dos mil dieciséis (04/01/2016) emitida en el expediente administrativo 524/RA/2014, </w:t>
      </w:r>
      <w:r w:rsidR="00EA7D2C" w:rsidRPr="00E456E7">
        <w:rPr>
          <w:rFonts w:ascii="Arial" w:eastAsia="Calibri" w:hAnsi="Arial" w:cs="Arial"/>
          <w:i/>
          <w:color w:val="000000" w:themeColor="text1"/>
          <w:lang w:eastAsia="en-US"/>
        </w:rPr>
        <w:t>signada</w:t>
      </w:r>
      <w:r w:rsidR="00B0461E" w:rsidRPr="00E456E7">
        <w:rPr>
          <w:rFonts w:ascii="Arial" w:eastAsia="Calibri" w:hAnsi="Arial" w:cs="Arial"/>
          <w:i/>
          <w:color w:val="000000" w:themeColor="text1"/>
          <w:lang w:eastAsia="en-US"/>
        </w:rPr>
        <w:t xml:space="preserve"> por el otrora Director de Procedimientos </w:t>
      </w:r>
      <w:r w:rsidR="00EA7D2C" w:rsidRPr="00E456E7">
        <w:rPr>
          <w:rFonts w:ascii="Arial" w:eastAsia="Calibri" w:hAnsi="Arial" w:cs="Arial"/>
          <w:i/>
          <w:color w:val="000000" w:themeColor="text1"/>
          <w:lang w:eastAsia="en-US"/>
        </w:rPr>
        <w:t xml:space="preserve">Jurídicos de la Secretaría de la Contraloría y Transparencia Gubernamental, y realice la ponderación de derechos que se ha expuesto en la presente sentencia, el amparo del caudal probatorio que obra en el expediente </w:t>
      </w:r>
      <w:r w:rsidR="008E26E8" w:rsidRPr="00E456E7">
        <w:rPr>
          <w:rFonts w:ascii="Arial" w:eastAsia="Calibri" w:hAnsi="Arial" w:cs="Arial"/>
          <w:i/>
          <w:color w:val="000000" w:themeColor="text1"/>
          <w:lang w:eastAsia="en-US"/>
        </w:rPr>
        <w:t>administrativo, resolviendo que no existe responsabilidad administrativa por parte del actor</w:t>
      </w:r>
      <w:r w:rsidR="002F41B8" w:rsidRPr="00E456E7">
        <w:rPr>
          <w:rFonts w:ascii="Arial" w:eastAsia="Calibri" w:hAnsi="Arial" w:cs="Arial"/>
          <w:i/>
          <w:color w:val="000000" w:themeColor="text1"/>
          <w:lang w:eastAsia="en-US"/>
        </w:rPr>
        <w:t>…”.</w:t>
      </w:r>
    </w:p>
    <w:p w14:paraId="6625854B" w14:textId="2DF7828D" w:rsidR="006D1DB2" w:rsidRPr="007F56B9" w:rsidRDefault="008D25A8" w:rsidP="00BE145A">
      <w:pPr>
        <w:spacing w:before="240" w:line="360" w:lineRule="auto"/>
        <w:jc w:val="both"/>
        <w:rPr>
          <w:rFonts w:ascii="Arial" w:eastAsia="Calibri" w:hAnsi="Arial" w:cs="Arial"/>
          <w:bCs/>
          <w:sz w:val="26"/>
          <w:szCs w:val="26"/>
        </w:rPr>
      </w:pPr>
      <w:r w:rsidRPr="007F56B9">
        <w:rPr>
          <w:rFonts w:ascii="Arial" w:eastAsia="Calibri" w:hAnsi="Arial" w:cs="Arial"/>
          <w:bCs/>
          <w:color w:val="000000" w:themeColor="text1"/>
          <w:sz w:val="26"/>
          <w:szCs w:val="26"/>
        </w:rPr>
        <w:t xml:space="preserve">      </w:t>
      </w:r>
      <w:r w:rsidR="009729CF" w:rsidRPr="007F56B9">
        <w:rPr>
          <w:rFonts w:ascii="Arial" w:hAnsi="Arial" w:cs="Arial"/>
          <w:bCs/>
          <w:sz w:val="26"/>
          <w:szCs w:val="26"/>
        </w:rPr>
        <w:t>De lo anteriormente transcrito, se advierte que la autoridad recurrente au</w:t>
      </w:r>
      <w:r w:rsidR="009729CF" w:rsidRPr="007F56B9">
        <w:rPr>
          <w:rFonts w:ascii="Arial" w:hAnsi="Arial"/>
          <w:color w:val="000000"/>
          <w:sz w:val="26"/>
          <w:szCs w:val="26"/>
        </w:rPr>
        <w:t xml:space="preserve">n cuando intenta combatir la determinación de la sentencia que impugna, </w:t>
      </w:r>
      <w:r w:rsidR="009729CF" w:rsidRPr="007F56B9">
        <w:rPr>
          <w:rFonts w:ascii="Arial" w:hAnsi="Arial" w:cs="Arial"/>
          <w:bCs/>
          <w:sz w:val="26"/>
          <w:szCs w:val="26"/>
        </w:rPr>
        <w:t xml:space="preserve">con sus manifestaciones </w:t>
      </w:r>
      <w:r w:rsidR="009729CF" w:rsidRPr="007F56B9">
        <w:rPr>
          <w:rFonts w:ascii="Arial" w:hAnsi="Arial"/>
          <w:color w:val="000000"/>
          <w:sz w:val="26"/>
          <w:szCs w:val="26"/>
        </w:rPr>
        <w:t xml:space="preserve">no refuta eficazmente los razonamientos </w:t>
      </w:r>
      <w:r w:rsidR="00997777" w:rsidRPr="007F56B9">
        <w:rPr>
          <w:rFonts w:ascii="Arial" w:hAnsi="Arial"/>
          <w:color w:val="000000"/>
          <w:sz w:val="26"/>
          <w:szCs w:val="26"/>
        </w:rPr>
        <w:t xml:space="preserve">principales </w:t>
      </w:r>
      <w:r w:rsidR="009729CF" w:rsidRPr="007F56B9">
        <w:rPr>
          <w:rFonts w:ascii="Arial" w:hAnsi="Arial"/>
          <w:color w:val="000000"/>
          <w:sz w:val="26"/>
          <w:szCs w:val="26"/>
        </w:rPr>
        <w:t xml:space="preserve">vertidos por la resolutora de la Sala de Primera Instancia en el considerando </w:t>
      </w:r>
      <w:r w:rsidR="00997777" w:rsidRPr="007F56B9">
        <w:rPr>
          <w:rFonts w:ascii="Arial" w:hAnsi="Arial"/>
          <w:i/>
          <w:color w:val="000000"/>
          <w:sz w:val="26"/>
          <w:szCs w:val="26"/>
        </w:rPr>
        <w:t>“QUINTO</w:t>
      </w:r>
      <w:r w:rsidR="009729CF" w:rsidRPr="007F56B9">
        <w:rPr>
          <w:rFonts w:ascii="Arial" w:hAnsi="Arial"/>
          <w:i/>
          <w:color w:val="000000"/>
          <w:sz w:val="26"/>
          <w:szCs w:val="26"/>
        </w:rPr>
        <w:t>”</w:t>
      </w:r>
      <w:r w:rsidR="009729CF" w:rsidRPr="007F56B9">
        <w:rPr>
          <w:rFonts w:ascii="Arial" w:hAnsi="Arial"/>
          <w:color w:val="000000"/>
          <w:sz w:val="26"/>
          <w:szCs w:val="26"/>
        </w:rPr>
        <w:t xml:space="preserve">, en la que se fundó y motivó la determinación final del juicio, por lo que al no exponer razonamientos lógico jurídicos que controviertan o destruyan las consideraciones fundamentales en que se sustenta el fallo en revisión, ni se precisen argumentos tendentes a combatir sus fundamentos legales, así como evidenciar la ilegalidad en la que hubiera incurrido la primera instancia, sin lograrlo; lo que era necesario que hiciera, pues </w:t>
      </w:r>
      <w:r w:rsidR="00172BE3" w:rsidRPr="007F56B9">
        <w:rPr>
          <w:rFonts w:ascii="Arial" w:hAnsi="Arial"/>
          <w:color w:val="000000"/>
          <w:sz w:val="26"/>
          <w:szCs w:val="26"/>
        </w:rPr>
        <w:t xml:space="preserve">aunado a lo anterior, en parte de su agravio reproduce argumentos ya vertidos en la resolución </w:t>
      </w:r>
      <w:r w:rsidR="00172BE3" w:rsidRPr="007F56B9">
        <w:rPr>
          <w:rFonts w:ascii="Arial" w:eastAsia="Calibri" w:hAnsi="Arial" w:cs="Arial"/>
          <w:bCs/>
          <w:color w:val="000000" w:themeColor="text1"/>
          <w:sz w:val="26"/>
          <w:szCs w:val="26"/>
          <w:lang w:eastAsia="en-US"/>
        </w:rPr>
        <w:t xml:space="preserve">emitida el 29 veintinueve de julio de 2016 dos </w:t>
      </w:r>
      <w:r w:rsidR="00172BE3" w:rsidRPr="007F56B9">
        <w:rPr>
          <w:rFonts w:ascii="Arial" w:eastAsia="Calibri" w:hAnsi="Arial" w:cs="Arial"/>
          <w:bCs/>
          <w:color w:val="000000" w:themeColor="text1"/>
          <w:sz w:val="26"/>
          <w:szCs w:val="26"/>
          <w:lang w:eastAsia="en-US"/>
        </w:rPr>
        <w:lastRenderedPageBreak/>
        <w:t xml:space="preserve">mil dieciséis en el Recurso de Revocación 08/2016 que </w:t>
      </w:r>
      <w:r w:rsidR="00172BE3" w:rsidRPr="007F56B9">
        <w:rPr>
          <w:rFonts w:ascii="Arial" w:hAnsi="Arial"/>
          <w:color w:val="000000"/>
          <w:sz w:val="26"/>
          <w:szCs w:val="26"/>
        </w:rPr>
        <w:t>declaró nula la Sala de primera instancia</w:t>
      </w:r>
      <w:r w:rsidR="009729CF" w:rsidRPr="007F56B9">
        <w:rPr>
          <w:rFonts w:ascii="Arial" w:eastAsia="Calibri" w:hAnsi="Arial" w:cs="Arial"/>
          <w:bCs/>
          <w:sz w:val="26"/>
          <w:szCs w:val="26"/>
        </w:rPr>
        <w:t>; en consecuencia</w:t>
      </w:r>
      <w:r w:rsidR="009729CF" w:rsidRPr="007F56B9">
        <w:rPr>
          <w:rFonts w:ascii="Arial" w:hAnsi="Arial" w:cs="Arial"/>
          <w:bCs/>
          <w:sz w:val="26"/>
          <w:szCs w:val="26"/>
        </w:rPr>
        <w:t xml:space="preserve">, </w:t>
      </w:r>
      <w:r w:rsidR="009729CF" w:rsidRPr="007F56B9">
        <w:rPr>
          <w:rFonts w:ascii="Arial" w:hAnsi="Arial" w:cs="Arial"/>
          <w:sz w:val="26"/>
          <w:szCs w:val="26"/>
        </w:rPr>
        <w:t>lo determinado por la</w:t>
      </w:r>
      <w:r w:rsidR="00172BE3" w:rsidRPr="007F56B9">
        <w:rPr>
          <w:rFonts w:ascii="Arial" w:hAnsi="Arial" w:cs="Arial"/>
          <w:sz w:val="26"/>
          <w:szCs w:val="26"/>
        </w:rPr>
        <w:t xml:space="preserve"> Quinta Sala Unitaria</w:t>
      </w:r>
      <w:r w:rsidR="009729CF" w:rsidRPr="007F56B9">
        <w:rPr>
          <w:rFonts w:ascii="Arial" w:hAnsi="Arial" w:cs="Arial"/>
          <w:sz w:val="26"/>
          <w:szCs w:val="26"/>
        </w:rPr>
        <w:t xml:space="preserve"> sigue rigiendo el sentido de la sentencia recurrida</w:t>
      </w:r>
      <w:r w:rsidR="00997777" w:rsidRPr="007F56B9">
        <w:rPr>
          <w:rFonts w:ascii="Arial" w:eastAsia="Calibri" w:hAnsi="Arial" w:cs="Arial"/>
          <w:bCs/>
          <w:sz w:val="26"/>
          <w:szCs w:val="26"/>
        </w:rPr>
        <w:t xml:space="preserve"> y, </w:t>
      </w:r>
      <w:r w:rsidR="009729CF" w:rsidRPr="007F56B9">
        <w:rPr>
          <w:rFonts w:ascii="Arial" w:eastAsia="Calibri" w:hAnsi="Arial" w:cs="Arial"/>
          <w:bCs/>
          <w:sz w:val="26"/>
          <w:szCs w:val="26"/>
        </w:rPr>
        <w:t>debido a</w:t>
      </w:r>
      <w:r w:rsidR="00997777" w:rsidRPr="007F56B9">
        <w:rPr>
          <w:rFonts w:ascii="Arial" w:eastAsia="Calibri" w:hAnsi="Arial" w:cs="Arial"/>
          <w:bCs/>
          <w:sz w:val="26"/>
          <w:szCs w:val="26"/>
        </w:rPr>
        <w:t>l principio de estricto derecho que se desprende del artículo 118, de la Ley de Justicia Administrativa para el Estado de Oaxaca, deviene</w:t>
      </w:r>
      <w:r w:rsidR="009729CF" w:rsidRPr="007F56B9">
        <w:rPr>
          <w:rFonts w:ascii="Arial" w:eastAsia="Calibri" w:hAnsi="Arial" w:cs="Arial"/>
          <w:bCs/>
          <w:sz w:val="26"/>
          <w:szCs w:val="26"/>
        </w:rPr>
        <w:t xml:space="preserve"> lo INOPERA</w:t>
      </w:r>
      <w:r w:rsidR="00997777" w:rsidRPr="007F56B9">
        <w:rPr>
          <w:rFonts w:ascii="Arial" w:eastAsia="Calibri" w:hAnsi="Arial" w:cs="Arial"/>
          <w:bCs/>
          <w:sz w:val="26"/>
          <w:szCs w:val="26"/>
        </w:rPr>
        <w:t>NTE del agravio expresado por la autoridad</w:t>
      </w:r>
      <w:r w:rsidR="009729CF" w:rsidRPr="007F56B9">
        <w:rPr>
          <w:rFonts w:ascii="Arial" w:eastAsia="Calibri" w:hAnsi="Arial" w:cs="Arial"/>
          <w:bCs/>
          <w:sz w:val="26"/>
          <w:szCs w:val="26"/>
        </w:rPr>
        <w:t xml:space="preserve"> recurrente.</w:t>
      </w:r>
      <w:r w:rsidR="00841701" w:rsidRPr="007F56B9">
        <w:rPr>
          <w:rFonts w:ascii="Arial" w:eastAsia="Calibri" w:hAnsi="Arial" w:cs="Arial"/>
          <w:bCs/>
          <w:sz w:val="26"/>
          <w:szCs w:val="26"/>
        </w:rPr>
        <w:t xml:space="preserve"> - - - - - - -  - - - - - - - - - - - - - - - - - - - - - - - - - - - -  - - - - - - -  -</w:t>
      </w:r>
    </w:p>
    <w:p w14:paraId="631DDC3E" w14:textId="555C9DC8" w:rsidR="009452A2" w:rsidRPr="007F56B9" w:rsidRDefault="009452A2" w:rsidP="00BE145A">
      <w:pPr>
        <w:spacing w:before="240" w:line="360" w:lineRule="auto"/>
        <w:jc w:val="both"/>
        <w:rPr>
          <w:rFonts w:ascii="Arial" w:eastAsia="Calibri" w:hAnsi="Arial" w:cs="Arial"/>
          <w:bCs/>
          <w:sz w:val="26"/>
          <w:szCs w:val="26"/>
        </w:rPr>
      </w:pPr>
      <w:r w:rsidRPr="007F56B9">
        <w:rPr>
          <w:rFonts w:ascii="Arial" w:eastAsia="Calibri" w:hAnsi="Arial" w:cs="Arial"/>
          <w:bCs/>
          <w:sz w:val="26"/>
          <w:szCs w:val="26"/>
        </w:rPr>
        <w:t xml:space="preserve">    Sirve de apoyo </w:t>
      </w:r>
      <w:r w:rsidR="008C5A44" w:rsidRPr="007F56B9">
        <w:rPr>
          <w:rFonts w:ascii="Arial" w:eastAsia="Calibri" w:hAnsi="Arial" w:cs="Arial"/>
          <w:bCs/>
          <w:sz w:val="26"/>
          <w:szCs w:val="26"/>
        </w:rPr>
        <w:t>al</w:t>
      </w:r>
      <w:r w:rsidRPr="007F56B9">
        <w:rPr>
          <w:rFonts w:ascii="Arial" w:eastAsia="Calibri" w:hAnsi="Arial" w:cs="Arial"/>
          <w:bCs/>
          <w:sz w:val="26"/>
          <w:szCs w:val="26"/>
        </w:rPr>
        <w:t xml:space="preserve"> caso concreto el </w:t>
      </w:r>
      <w:r w:rsidR="008C5A44" w:rsidRPr="007F56B9">
        <w:rPr>
          <w:rFonts w:ascii="Arial" w:eastAsia="Calibri" w:hAnsi="Arial" w:cs="Arial"/>
          <w:bCs/>
          <w:sz w:val="26"/>
          <w:szCs w:val="26"/>
        </w:rPr>
        <w:t xml:space="preserve">siguiente </w:t>
      </w:r>
      <w:r w:rsidRPr="007F56B9">
        <w:rPr>
          <w:rFonts w:ascii="Arial" w:eastAsia="Calibri" w:hAnsi="Arial" w:cs="Arial"/>
          <w:bCs/>
          <w:sz w:val="26"/>
          <w:szCs w:val="26"/>
        </w:rPr>
        <w:t>criterio jurisprudencial</w:t>
      </w:r>
      <w:r w:rsidR="008C5A44" w:rsidRPr="007F56B9">
        <w:rPr>
          <w:rStyle w:val="Refdenotaalpie"/>
          <w:rFonts w:ascii="Arial" w:eastAsia="Calibri" w:hAnsi="Arial" w:cs="Arial"/>
          <w:bCs/>
          <w:sz w:val="26"/>
          <w:szCs w:val="26"/>
        </w:rPr>
        <w:footnoteReference w:id="12"/>
      </w:r>
      <w:r w:rsidR="008C5A44" w:rsidRPr="007F56B9">
        <w:rPr>
          <w:rFonts w:ascii="Arial" w:eastAsia="Calibri" w:hAnsi="Arial" w:cs="Arial"/>
          <w:bCs/>
          <w:sz w:val="26"/>
          <w:szCs w:val="26"/>
        </w:rPr>
        <w:t>:</w:t>
      </w:r>
    </w:p>
    <w:p w14:paraId="22341A05" w14:textId="2FFF2B1C" w:rsidR="009452A2" w:rsidRPr="007F56B9" w:rsidRDefault="009452A2" w:rsidP="0029003F">
      <w:pPr>
        <w:spacing w:after="0"/>
        <w:ind w:left="709" w:right="616"/>
        <w:jc w:val="both"/>
        <w:rPr>
          <w:rFonts w:eastAsiaTheme="minorHAnsi" w:cs="Arial"/>
          <w:b/>
          <w:i/>
          <w:color w:val="000000" w:themeColor="text1"/>
          <w:lang w:eastAsia="en-US"/>
        </w:rPr>
      </w:pPr>
      <w:r w:rsidRPr="0087133F">
        <w:rPr>
          <w:rFonts w:ascii="Arial" w:eastAsiaTheme="minorHAnsi" w:hAnsi="Arial" w:cs="Arial"/>
          <w:b/>
          <w:i/>
          <w:color w:val="000000" w:themeColor="text1"/>
          <w:lang w:eastAsia="en-US"/>
        </w:rPr>
        <w:t xml:space="preserve">“AGRAVIOS INOPERANTES EN LA REVISIÓN. SON AQUELLOS EN LOS QUE SE PRODUCE UN IMPEDIMENTO TÉCNICO QUE IMPOSIBILITA EL EXAMEN DEL PLANTEAMIENTO QUE CONTIENEN. </w:t>
      </w:r>
      <w:r w:rsidRPr="0087133F">
        <w:rPr>
          <w:rFonts w:ascii="Arial" w:eastAsiaTheme="minorHAnsi" w:hAnsi="Arial" w:cs="Arial"/>
          <w:i/>
          <w:color w:val="000000" w:themeColor="text1"/>
          <w:lang w:eastAsia="en-US"/>
        </w:rPr>
        <w:t xml:space="preserve">Conforme a los artículos 107, fracción III, de la Constitución Política de los Estados Unidos Mexicanos, 83, fracción IV, 87, 88 y 91, fracciones I a IV, de la Ley de Amparo, el recurso de revisión es un medio de defensa establecido con el fin de revisar la legalidad de la sentencia dictada en el juicio de amparo indirecto y el respeto a las normas fundamentales que rigen el procedimiento, de ahí que es un instrumento técnico que tiende a asegurar un óptimo ejercicio de la función jurisdiccional, cuya materia se circunscribe a la sentencia dictada en la audiencia constitucional, incluyendo las determinaciones contenidas en ésta y, en general, al examen del respeto a las normas fundamentales que rigen el procedimiento del juicio, labor realizada por el órgano revisor a la luz de los agravios expuestos por el recurrente, con el objeto de atacar las consideraciones que sustentan la sentencia recurrida o para demostrar las circunstancias que revelan su ilegalidad. En ese tenor, la inoperancia de los agravios en la revisión se presenta ante la actualización de algún impedimento técnico que imposibilite el examen del planteamiento efectuado que puede derivar de la falta de afectación directa al promovente de la parte considerativa que controvierte; de la omisión de la expresión de agravios referidos a la cuestión debatida; de su formulación material incorrecta, por incumplir las condiciones atinentes a su contenido, que puede darse: </w:t>
      </w:r>
      <w:r w:rsidRPr="0087133F">
        <w:rPr>
          <w:rFonts w:ascii="Arial" w:eastAsiaTheme="minorHAnsi" w:hAnsi="Arial" w:cs="Arial"/>
          <w:b/>
          <w:i/>
          <w:color w:val="000000" w:themeColor="text1"/>
          <w:lang w:eastAsia="en-US"/>
        </w:rPr>
        <w:t>a) al no controvertir de manera suficiente y eficaz las consideraciones que rigen la sentencia;</w:t>
      </w:r>
      <w:r w:rsidRPr="0087133F">
        <w:rPr>
          <w:rFonts w:ascii="Arial" w:eastAsiaTheme="minorHAnsi" w:hAnsi="Arial" w:cs="Arial"/>
          <w:i/>
          <w:color w:val="000000" w:themeColor="text1"/>
          <w:lang w:eastAsia="en-US"/>
        </w:rPr>
        <w:t xml:space="preserve"> b) al introducir pruebas o argumentos novedosos a la litis del juicio de amparo; y, c) en caso de reclamar infracción a las normas fundamentales del procedimiento, al omitir patentizar que se hubiese dejado sin defensa al recurrente o su relevancia en el dictado de la sentencia; o, en su caso, de la concreción de cualquier obstáculo que se advierta y que impida al órgano revisor el examen de fondo del planteamiento propuesto, como puede ser cuando se desatienda la naturaleza de la revisión y del órgano que emitió la sentencia o la existencia de jurisprudencia que resuelve el fondo del asunto planteado.”</w:t>
      </w:r>
      <w:r w:rsidRPr="007F56B9">
        <w:rPr>
          <w:rFonts w:eastAsiaTheme="minorHAnsi" w:cs="Arial"/>
          <w:i/>
          <w:color w:val="000000" w:themeColor="text1"/>
          <w:sz w:val="24"/>
          <w:szCs w:val="24"/>
          <w:lang w:eastAsia="en-US"/>
        </w:rPr>
        <w:t xml:space="preserve">   </w:t>
      </w:r>
      <w:r w:rsidRPr="007F56B9">
        <w:rPr>
          <w:rFonts w:ascii="Arial" w:eastAsiaTheme="minorHAnsi" w:hAnsi="Arial" w:cs="Arial"/>
          <w:color w:val="000000" w:themeColor="text1"/>
          <w:lang w:eastAsia="en-US"/>
        </w:rPr>
        <w:t>–lo resaltado es nuestro-</w:t>
      </w:r>
    </w:p>
    <w:p w14:paraId="58916E60" w14:textId="6CAEABA4" w:rsidR="006B51C3" w:rsidRPr="007F56B9" w:rsidRDefault="006B51C3" w:rsidP="006B51C3">
      <w:pPr>
        <w:widowControl w:val="0"/>
        <w:tabs>
          <w:tab w:val="left" w:pos="0"/>
        </w:tabs>
        <w:spacing w:before="240" w:after="0" w:line="360" w:lineRule="auto"/>
        <w:ind w:right="18"/>
        <w:jc w:val="both"/>
        <w:rPr>
          <w:rFonts w:ascii="Arial" w:eastAsiaTheme="minorHAnsi" w:hAnsi="Arial" w:cs="Arial"/>
          <w:sz w:val="26"/>
          <w:szCs w:val="26"/>
        </w:rPr>
      </w:pPr>
      <w:r w:rsidRPr="007F56B9">
        <w:rPr>
          <w:rFonts w:ascii="Arial" w:eastAsia="Calibri" w:hAnsi="Arial" w:cs="Arial"/>
          <w:bCs/>
          <w:sz w:val="26"/>
          <w:szCs w:val="26"/>
        </w:rPr>
        <w:t xml:space="preserve">       Al resultar </w:t>
      </w:r>
      <w:r w:rsidRPr="007F56B9">
        <w:rPr>
          <w:rFonts w:ascii="Arial" w:eastAsia="Calibri" w:hAnsi="Arial" w:cs="Arial"/>
          <w:b/>
          <w:bCs/>
          <w:sz w:val="26"/>
          <w:szCs w:val="26"/>
        </w:rPr>
        <w:t>infundado e inoperante</w:t>
      </w:r>
      <w:r w:rsidRPr="007F56B9">
        <w:rPr>
          <w:rFonts w:ascii="Arial" w:eastAsia="Calibri" w:hAnsi="Arial" w:cs="Arial"/>
          <w:bCs/>
          <w:sz w:val="26"/>
          <w:szCs w:val="26"/>
        </w:rPr>
        <w:t xml:space="preserve"> los agravios expuestos por la autoridad recurrente, lo procedente es </w:t>
      </w:r>
      <w:r w:rsidR="007F56B9" w:rsidRPr="007F56B9">
        <w:rPr>
          <w:rFonts w:ascii="Arial" w:eastAsia="Calibri" w:hAnsi="Arial" w:cs="Arial"/>
          <w:b/>
          <w:bCs/>
          <w:sz w:val="26"/>
          <w:szCs w:val="26"/>
        </w:rPr>
        <w:t>CONFIRMAR</w:t>
      </w:r>
      <w:r w:rsidRPr="007F56B9">
        <w:rPr>
          <w:rFonts w:ascii="Arial" w:eastAsia="Calibri" w:hAnsi="Arial" w:cs="Arial"/>
          <w:b/>
          <w:bCs/>
          <w:sz w:val="26"/>
          <w:szCs w:val="26"/>
        </w:rPr>
        <w:t xml:space="preserve"> </w:t>
      </w:r>
      <w:r w:rsidRPr="007F56B9">
        <w:rPr>
          <w:rFonts w:ascii="Arial" w:eastAsia="Calibri" w:hAnsi="Arial" w:cs="Arial"/>
          <w:bCs/>
          <w:sz w:val="26"/>
          <w:szCs w:val="26"/>
        </w:rPr>
        <w:t xml:space="preserve">la </w:t>
      </w:r>
      <w:r w:rsidR="007F56B9" w:rsidRPr="007F56B9">
        <w:rPr>
          <w:rFonts w:ascii="Arial" w:eastAsia="Calibri" w:hAnsi="Arial" w:cs="Arial"/>
          <w:bCs/>
          <w:sz w:val="26"/>
          <w:szCs w:val="26"/>
        </w:rPr>
        <w:t>sentencia</w:t>
      </w:r>
      <w:r w:rsidRPr="007F56B9">
        <w:rPr>
          <w:rFonts w:ascii="Arial" w:eastAsia="Calibri" w:hAnsi="Arial" w:cs="Arial"/>
          <w:bCs/>
          <w:sz w:val="26"/>
          <w:szCs w:val="26"/>
        </w:rPr>
        <w:t xml:space="preserve"> impugnada; y, </w:t>
      </w:r>
      <w:r w:rsidRPr="007F56B9">
        <w:rPr>
          <w:rFonts w:ascii="Arial" w:hAnsi="Arial" w:cs="Arial"/>
          <w:sz w:val="26"/>
          <w:szCs w:val="26"/>
        </w:rPr>
        <w:t>con fundamento en los artículos 2</w:t>
      </w:r>
      <w:r w:rsidR="00CF0C3E" w:rsidRPr="007F56B9">
        <w:rPr>
          <w:rFonts w:ascii="Arial" w:hAnsi="Arial" w:cs="Arial"/>
          <w:sz w:val="26"/>
          <w:szCs w:val="26"/>
        </w:rPr>
        <w:t>0</w:t>
      </w:r>
      <w:r w:rsidRPr="007F56B9">
        <w:rPr>
          <w:rFonts w:ascii="Arial" w:hAnsi="Arial" w:cs="Arial"/>
          <w:sz w:val="26"/>
          <w:szCs w:val="26"/>
        </w:rPr>
        <w:t>7 y 2</w:t>
      </w:r>
      <w:r w:rsidR="00CF0C3E" w:rsidRPr="007F56B9">
        <w:rPr>
          <w:rFonts w:ascii="Arial" w:hAnsi="Arial" w:cs="Arial"/>
          <w:sz w:val="26"/>
          <w:szCs w:val="26"/>
        </w:rPr>
        <w:t>0</w:t>
      </w:r>
      <w:r w:rsidRPr="007F56B9">
        <w:rPr>
          <w:rFonts w:ascii="Arial" w:hAnsi="Arial" w:cs="Arial"/>
          <w:sz w:val="26"/>
          <w:szCs w:val="26"/>
        </w:rPr>
        <w:t xml:space="preserve">8 de la Ley de </w:t>
      </w:r>
      <w:r w:rsidRPr="007F56B9">
        <w:rPr>
          <w:rFonts w:ascii="Arial" w:hAnsi="Arial" w:cs="Arial"/>
          <w:sz w:val="26"/>
          <w:szCs w:val="26"/>
        </w:rPr>
        <w:lastRenderedPageBreak/>
        <w:t xml:space="preserve">Justicia Administrativa para el Estado de </w:t>
      </w:r>
      <w:r w:rsidR="00B270D8" w:rsidRPr="007F56B9">
        <w:rPr>
          <w:rFonts w:ascii="Arial" w:hAnsi="Arial" w:cs="Arial"/>
          <w:sz w:val="26"/>
          <w:szCs w:val="26"/>
        </w:rPr>
        <w:t>Oaxaca,</w:t>
      </w:r>
      <w:r w:rsidR="00B270D8">
        <w:rPr>
          <w:rFonts w:ascii="Arial" w:hAnsi="Arial" w:cs="Arial"/>
          <w:sz w:val="26"/>
          <w:szCs w:val="26"/>
        </w:rPr>
        <w:t xml:space="preserve"> </w:t>
      </w:r>
      <w:r w:rsidR="00B270D8" w:rsidRPr="007F56B9">
        <w:rPr>
          <w:rFonts w:ascii="Arial" w:hAnsi="Arial" w:cs="Arial"/>
          <w:sz w:val="26"/>
          <w:szCs w:val="26"/>
        </w:rPr>
        <w:t>aplicable</w:t>
      </w:r>
      <w:r w:rsidR="00B270D8" w:rsidRPr="007A3073">
        <w:rPr>
          <w:rFonts w:ascii="Arial" w:hAnsi="Arial" w:cs="Arial"/>
          <w:sz w:val="26"/>
          <w:szCs w:val="26"/>
        </w:rPr>
        <w:t xml:space="preserve"> por ser la que estaba vigente al inicio del juicio natural,</w:t>
      </w:r>
      <w:r w:rsidR="00B270D8" w:rsidRPr="007F56B9">
        <w:rPr>
          <w:rFonts w:ascii="Arial" w:hAnsi="Arial" w:cs="Arial"/>
          <w:sz w:val="26"/>
          <w:szCs w:val="26"/>
        </w:rPr>
        <w:t xml:space="preserve"> </w:t>
      </w:r>
      <w:r w:rsidRPr="007F56B9">
        <w:rPr>
          <w:rFonts w:ascii="Arial" w:hAnsi="Arial" w:cs="Arial"/>
          <w:sz w:val="26"/>
          <w:szCs w:val="26"/>
        </w:rPr>
        <w:t>se:</w:t>
      </w:r>
      <w:r w:rsidR="00623814">
        <w:rPr>
          <w:rFonts w:ascii="Arial" w:hAnsi="Arial" w:cs="Arial"/>
          <w:sz w:val="26"/>
          <w:szCs w:val="26"/>
        </w:rPr>
        <w:t xml:space="preserve"> - - - - - - - - - - - - </w:t>
      </w:r>
      <w:r w:rsidR="003B3EC4">
        <w:rPr>
          <w:rFonts w:ascii="Arial" w:hAnsi="Arial" w:cs="Arial"/>
          <w:sz w:val="26"/>
          <w:szCs w:val="26"/>
        </w:rPr>
        <w:t>- -</w:t>
      </w:r>
      <w:r w:rsidR="00B270D8">
        <w:rPr>
          <w:rFonts w:ascii="Arial" w:hAnsi="Arial" w:cs="Arial"/>
          <w:sz w:val="26"/>
          <w:szCs w:val="26"/>
        </w:rPr>
        <w:t xml:space="preserve"> - - </w:t>
      </w:r>
    </w:p>
    <w:p w14:paraId="72BE6D6E" w14:textId="77777777" w:rsidR="00CD11BB" w:rsidRPr="007F56B9" w:rsidRDefault="00CD11BB" w:rsidP="00385EAB">
      <w:pPr>
        <w:pStyle w:val="Sinespaciado"/>
        <w:rPr>
          <w:rFonts w:eastAsiaTheme="minorHAnsi"/>
          <w:lang w:eastAsia="en-US"/>
        </w:rPr>
      </w:pPr>
    </w:p>
    <w:p w14:paraId="6A59A2B6" w14:textId="748B7052" w:rsidR="00793502" w:rsidRDefault="006D1DB2" w:rsidP="00CD11BB">
      <w:pPr>
        <w:spacing w:after="0" w:line="360" w:lineRule="auto"/>
        <w:ind w:right="51"/>
        <w:jc w:val="center"/>
        <w:rPr>
          <w:rFonts w:ascii="Arial" w:eastAsiaTheme="minorHAnsi" w:hAnsi="Arial" w:cs="Arial"/>
          <w:b/>
          <w:color w:val="000000" w:themeColor="text1"/>
          <w:sz w:val="26"/>
          <w:szCs w:val="26"/>
          <w:lang w:eastAsia="en-US"/>
        </w:rPr>
      </w:pPr>
      <w:r w:rsidRPr="007F56B9">
        <w:rPr>
          <w:rFonts w:ascii="Arial" w:eastAsiaTheme="minorHAnsi" w:hAnsi="Arial" w:cs="Arial"/>
          <w:b/>
          <w:color w:val="000000" w:themeColor="text1"/>
          <w:sz w:val="26"/>
          <w:szCs w:val="26"/>
          <w:lang w:eastAsia="en-US"/>
        </w:rPr>
        <w:t>R E S U E L V E</w:t>
      </w:r>
    </w:p>
    <w:p w14:paraId="2460FC17" w14:textId="77777777" w:rsidR="002F7028" w:rsidRPr="007F56B9" w:rsidRDefault="002F7028" w:rsidP="002F7028">
      <w:pPr>
        <w:pStyle w:val="Sinespaciado"/>
        <w:rPr>
          <w:rFonts w:eastAsiaTheme="minorHAnsi"/>
          <w:lang w:eastAsia="en-US"/>
        </w:rPr>
      </w:pPr>
    </w:p>
    <w:p w14:paraId="04FE2EC8" w14:textId="551771EA" w:rsidR="00A466B8" w:rsidRDefault="00793502" w:rsidP="00793502">
      <w:pPr>
        <w:spacing w:after="0" w:line="360" w:lineRule="auto"/>
        <w:ind w:right="51"/>
        <w:jc w:val="both"/>
        <w:rPr>
          <w:rFonts w:ascii="Arial" w:eastAsiaTheme="minorHAnsi" w:hAnsi="Arial" w:cs="Arial"/>
          <w:color w:val="000000" w:themeColor="text1"/>
          <w:sz w:val="26"/>
          <w:szCs w:val="26"/>
          <w:lang w:eastAsia="en-US"/>
        </w:rPr>
      </w:pPr>
      <w:r w:rsidRPr="007F56B9">
        <w:rPr>
          <w:rFonts w:ascii="Arial" w:eastAsiaTheme="minorHAnsi" w:hAnsi="Arial" w:cs="Arial"/>
          <w:b/>
          <w:color w:val="000000" w:themeColor="text1"/>
          <w:sz w:val="26"/>
          <w:szCs w:val="26"/>
          <w:lang w:eastAsia="en-US"/>
        </w:rPr>
        <w:tab/>
      </w:r>
      <w:r w:rsidR="006D1DB2" w:rsidRPr="007F56B9">
        <w:rPr>
          <w:rFonts w:ascii="Arial" w:eastAsiaTheme="minorHAnsi" w:hAnsi="Arial" w:cs="Arial"/>
          <w:b/>
          <w:color w:val="000000" w:themeColor="text1"/>
          <w:sz w:val="26"/>
          <w:szCs w:val="26"/>
          <w:lang w:eastAsia="en-US"/>
        </w:rPr>
        <w:t>PRIMERO.</w:t>
      </w:r>
      <w:r w:rsidR="006D1DB2" w:rsidRPr="007F56B9">
        <w:rPr>
          <w:rFonts w:ascii="Arial" w:eastAsiaTheme="minorHAnsi" w:hAnsi="Arial" w:cs="Arial"/>
          <w:color w:val="000000" w:themeColor="text1"/>
          <w:sz w:val="26"/>
          <w:szCs w:val="26"/>
          <w:lang w:eastAsia="en-US"/>
        </w:rPr>
        <w:t xml:space="preserve"> Se </w:t>
      </w:r>
      <w:r w:rsidR="006D1DB2" w:rsidRPr="007F56B9">
        <w:rPr>
          <w:rFonts w:ascii="Arial" w:eastAsiaTheme="minorHAnsi" w:hAnsi="Arial" w:cs="Arial"/>
          <w:b/>
          <w:color w:val="000000" w:themeColor="text1"/>
          <w:sz w:val="26"/>
          <w:szCs w:val="26"/>
          <w:lang w:eastAsia="en-US"/>
        </w:rPr>
        <w:t xml:space="preserve">CONFIRMA </w:t>
      </w:r>
      <w:r w:rsidR="006D1DB2" w:rsidRPr="007F56B9">
        <w:rPr>
          <w:rFonts w:ascii="Arial" w:eastAsiaTheme="minorHAnsi" w:hAnsi="Arial" w:cs="Arial"/>
          <w:color w:val="000000" w:themeColor="text1"/>
          <w:sz w:val="26"/>
          <w:szCs w:val="26"/>
          <w:lang w:eastAsia="en-US"/>
        </w:rPr>
        <w:t>la sentencia de</w:t>
      </w:r>
      <w:r w:rsidR="00204E39" w:rsidRPr="007F56B9">
        <w:rPr>
          <w:rFonts w:ascii="Arial" w:eastAsiaTheme="minorHAnsi" w:hAnsi="Arial" w:cs="Arial"/>
          <w:bCs/>
          <w:iCs/>
          <w:color w:val="000000" w:themeColor="text1"/>
          <w:sz w:val="26"/>
          <w:szCs w:val="26"/>
          <w:lang w:eastAsia="es-ES"/>
        </w:rPr>
        <w:t xml:space="preserve"> </w:t>
      </w:r>
      <w:r w:rsidR="00841701" w:rsidRPr="007F56B9">
        <w:rPr>
          <w:rFonts w:ascii="Arial" w:eastAsiaTheme="minorHAnsi" w:hAnsi="Arial" w:cs="Arial"/>
          <w:bCs/>
          <w:iCs/>
          <w:color w:val="000000" w:themeColor="text1"/>
          <w:sz w:val="26"/>
          <w:szCs w:val="26"/>
          <w:lang w:eastAsia="es-ES"/>
        </w:rPr>
        <w:t xml:space="preserve">7 </w:t>
      </w:r>
      <w:r w:rsidR="00CD11BB" w:rsidRPr="007F56B9">
        <w:rPr>
          <w:rFonts w:ascii="Arial" w:eastAsiaTheme="minorHAnsi" w:hAnsi="Arial" w:cs="Arial"/>
          <w:bCs/>
          <w:iCs/>
          <w:color w:val="000000" w:themeColor="text1"/>
          <w:sz w:val="26"/>
          <w:szCs w:val="26"/>
          <w:lang w:eastAsia="es-ES"/>
        </w:rPr>
        <w:t xml:space="preserve">siete de </w:t>
      </w:r>
      <w:r w:rsidR="00204E39" w:rsidRPr="007F56B9">
        <w:rPr>
          <w:rFonts w:ascii="Arial" w:eastAsiaTheme="minorHAnsi" w:hAnsi="Arial" w:cs="Arial"/>
          <w:bCs/>
          <w:iCs/>
          <w:color w:val="000000" w:themeColor="text1"/>
          <w:sz w:val="26"/>
          <w:szCs w:val="26"/>
          <w:lang w:eastAsia="es-ES"/>
        </w:rPr>
        <w:t>septiembr</w:t>
      </w:r>
      <w:r w:rsidR="00CD11BB" w:rsidRPr="007F56B9">
        <w:rPr>
          <w:rFonts w:ascii="Arial" w:eastAsiaTheme="minorHAnsi" w:hAnsi="Arial" w:cs="Arial"/>
          <w:bCs/>
          <w:iCs/>
          <w:color w:val="000000" w:themeColor="text1"/>
          <w:sz w:val="26"/>
          <w:szCs w:val="26"/>
          <w:lang w:eastAsia="es-ES"/>
        </w:rPr>
        <w:t xml:space="preserve">e de </w:t>
      </w:r>
      <w:r w:rsidR="00841701" w:rsidRPr="007F56B9">
        <w:rPr>
          <w:rFonts w:ascii="Arial" w:eastAsiaTheme="minorHAnsi" w:hAnsi="Arial" w:cs="Arial"/>
          <w:bCs/>
          <w:iCs/>
          <w:color w:val="000000" w:themeColor="text1"/>
          <w:sz w:val="26"/>
          <w:szCs w:val="26"/>
          <w:lang w:eastAsia="es-ES"/>
        </w:rPr>
        <w:t xml:space="preserve">2020 </w:t>
      </w:r>
      <w:r w:rsidR="00CD11BB" w:rsidRPr="007F56B9">
        <w:rPr>
          <w:rFonts w:ascii="Arial" w:eastAsiaTheme="minorHAnsi" w:hAnsi="Arial" w:cs="Arial"/>
          <w:bCs/>
          <w:iCs/>
          <w:color w:val="000000" w:themeColor="text1"/>
          <w:sz w:val="26"/>
          <w:szCs w:val="26"/>
          <w:lang w:eastAsia="es-ES"/>
        </w:rPr>
        <w:t xml:space="preserve">dos mil </w:t>
      </w:r>
      <w:r w:rsidR="00204E39" w:rsidRPr="007F56B9">
        <w:rPr>
          <w:rFonts w:ascii="Arial" w:eastAsiaTheme="minorHAnsi" w:hAnsi="Arial" w:cs="Arial"/>
          <w:bCs/>
          <w:iCs/>
          <w:color w:val="000000" w:themeColor="text1"/>
          <w:sz w:val="26"/>
          <w:szCs w:val="26"/>
          <w:lang w:eastAsia="es-ES"/>
        </w:rPr>
        <w:t>veinte</w:t>
      </w:r>
      <w:r w:rsidR="006D1DB2" w:rsidRPr="007F56B9">
        <w:rPr>
          <w:rFonts w:ascii="Arial" w:eastAsiaTheme="minorHAnsi" w:hAnsi="Arial" w:cs="Arial"/>
          <w:bCs/>
          <w:iCs/>
          <w:color w:val="000000" w:themeColor="text1"/>
          <w:sz w:val="26"/>
          <w:szCs w:val="26"/>
          <w:lang w:eastAsia="es-ES"/>
        </w:rPr>
        <w:t>,</w:t>
      </w:r>
      <w:r w:rsidR="006D1DB2" w:rsidRPr="007F56B9">
        <w:rPr>
          <w:rFonts w:ascii="Arial" w:eastAsiaTheme="minorHAnsi" w:hAnsi="Arial" w:cs="Arial"/>
          <w:color w:val="000000" w:themeColor="text1"/>
          <w:sz w:val="26"/>
          <w:szCs w:val="26"/>
          <w:lang w:eastAsia="en-US"/>
        </w:rPr>
        <w:t xml:space="preserve"> por las razones </w:t>
      </w:r>
      <w:r w:rsidR="00CD11BB" w:rsidRPr="007F56B9">
        <w:rPr>
          <w:rFonts w:ascii="Arial" w:eastAsiaTheme="minorHAnsi" w:hAnsi="Arial" w:cs="Arial"/>
          <w:color w:val="000000" w:themeColor="text1"/>
          <w:sz w:val="26"/>
          <w:szCs w:val="26"/>
          <w:lang w:eastAsia="en-US"/>
        </w:rPr>
        <w:t>expuestas en</w:t>
      </w:r>
      <w:r w:rsidR="006D1DB2" w:rsidRPr="007F56B9">
        <w:rPr>
          <w:rFonts w:ascii="Arial" w:eastAsiaTheme="minorHAnsi" w:hAnsi="Arial" w:cs="Arial"/>
          <w:color w:val="000000" w:themeColor="text1"/>
          <w:sz w:val="26"/>
          <w:szCs w:val="26"/>
          <w:lang w:eastAsia="en-US"/>
        </w:rPr>
        <w:t xml:space="preserve"> esta </w:t>
      </w:r>
      <w:r w:rsidR="00D76F7E" w:rsidRPr="007F56B9">
        <w:rPr>
          <w:rFonts w:ascii="Arial" w:eastAsiaTheme="minorHAnsi" w:hAnsi="Arial" w:cs="Arial"/>
          <w:color w:val="000000" w:themeColor="text1"/>
          <w:sz w:val="26"/>
          <w:szCs w:val="26"/>
          <w:lang w:eastAsia="en-US"/>
        </w:rPr>
        <w:t>resolución.</w:t>
      </w:r>
      <w:r w:rsidR="00D76F7E">
        <w:rPr>
          <w:rFonts w:ascii="Arial" w:eastAsiaTheme="minorHAnsi" w:hAnsi="Arial" w:cs="Arial"/>
          <w:color w:val="000000" w:themeColor="text1"/>
          <w:sz w:val="26"/>
          <w:szCs w:val="26"/>
          <w:lang w:eastAsia="en-US"/>
        </w:rPr>
        <w:t xml:space="preserve"> -</w:t>
      </w:r>
      <w:r w:rsidR="00F01AC9">
        <w:rPr>
          <w:rFonts w:ascii="Arial" w:eastAsiaTheme="minorHAnsi" w:hAnsi="Arial" w:cs="Arial"/>
          <w:color w:val="000000" w:themeColor="text1"/>
          <w:sz w:val="26"/>
          <w:szCs w:val="26"/>
          <w:lang w:eastAsia="en-US"/>
        </w:rPr>
        <w:t xml:space="preserve"> </w:t>
      </w:r>
    </w:p>
    <w:p w14:paraId="6CD903C9" w14:textId="6C293C60" w:rsidR="00793502" w:rsidRPr="007F56B9" w:rsidRDefault="00A16498" w:rsidP="00A466B8">
      <w:pPr>
        <w:pStyle w:val="Sinespaciado"/>
        <w:rPr>
          <w:rFonts w:eastAsiaTheme="minorHAnsi"/>
          <w:lang w:eastAsia="en-US"/>
        </w:rPr>
      </w:pPr>
      <w:r w:rsidRPr="007F56B9">
        <w:rPr>
          <w:rFonts w:eastAsiaTheme="minorHAnsi"/>
          <w:lang w:eastAsia="en-US"/>
        </w:rPr>
        <w:t xml:space="preserve"> </w:t>
      </w:r>
    </w:p>
    <w:p w14:paraId="36D466E6" w14:textId="1D4892CC" w:rsidR="00793502" w:rsidRPr="007F56B9" w:rsidRDefault="00793502" w:rsidP="00793502">
      <w:pPr>
        <w:spacing w:after="0" w:line="360" w:lineRule="auto"/>
        <w:ind w:right="51"/>
        <w:jc w:val="both"/>
        <w:rPr>
          <w:rFonts w:ascii="Arial" w:eastAsiaTheme="minorHAnsi" w:hAnsi="Arial" w:cs="Arial"/>
          <w:color w:val="000000" w:themeColor="text1"/>
          <w:sz w:val="26"/>
          <w:szCs w:val="26"/>
          <w:lang w:eastAsia="en-US"/>
        </w:rPr>
      </w:pPr>
      <w:r w:rsidRPr="007F56B9">
        <w:rPr>
          <w:rFonts w:ascii="Arial" w:eastAsiaTheme="minorHAnsi" w:hAnsi="Arial" w:cs="Arial"/>
          <w:color w:val="000000" w:themeColor="text1"/>
          <w:sz w:val="26"/>
          <w:szCs w:val="26"/>
          <w:lang w:eastAsia="en-US"/>
        </w:rPr>
        <w:tab/>
      </w:r>
      <w:r w:rsidR="006D1DB2" w:rsidRPr="007F56B9">
        <w:rPr>
          <w:rFonts w:ascii="Arial" w:eastAsia="Calibri" w:hAnsi="Arial" w:cs="Arial"/>
          <w:b/>
          <w:color w:val="000000" w:themeColor="text1"/>
          <w:sz w:val="26"/>
          <w:szCs w:val="26"/>
          <w:lang w:eastAsia="en-US"/>
        </w:rPr>
        <w:t xml:space="preserve">SEGUNDO. </w:t>
      </w:r>
      <w:r w:rsidR="006D1DB2" w:rsidRPr="007F56B9">
        <w:rPr>
          <w:rFonts w:ascii="Arial" w:eastAsiaTheme="minorHAnsi" w:hAnsi="Arial" w:cs="Arial"/>
          <w:b/>
          <w:color w:val="000000" w:themeColor="text1"/>
          <w:sz w:val="26"/>
          <w:szCs w:val="26"/>
          <w:lang w:eastAsia="en-US"/>
        </w:rPr>
        <w:t xml:space="preserve">NOTIFÍQUESE Y CÚMPLASE, </w:t>
      </w:r>
      <w:r w:rsidR="006D1DB2" w:rsidRPr="007F56B9">
        <w:rPr>
          <w:rFonts w:ascii="Arial" w:eastAsiaTheme="minorHAnsi" w:hAnsi="Arial" w:cs="Arial"/>
          <w:color w:val="000000" w:themeColor="text1"/>
          <w:sz w:val="26"/>
          <w:szCs w:val="26"/>
          <w:lang w:eastAsia="en-US"/>
        </w:rPr>
        <w:t>remítase copia certificada</w:t>
      </w:r>
      <w:r w:rsidR="00841701" w:rsidRPr="007F56B9">
        <w:rPr>
          <w:rFonts w:ascii="Arial" w:eastAsiaTheme="minorHAnsi" w:hAnsi="Arial" w:cs="Arial"/>
          <w:color w:val="000000" w:themeColor="text1"/>
          <w:sz w:val="26"/>
          <w:szCs w:val="26"/>
          <w:lang w:eastAsia="en-US"/>
        </w:rPr>
        <w:t xml:space="preserve"> de la presente resolución a la Quinta</w:t>
      </w:r>
      <w:r w:rsidR="006D1DB2" w:rsidRPr="007F56B9">
        <w:rPr>
          <w:rFonts w:ascii="Arial" w:eastAsiaTheme="minorHAnsi" w:hAnsi="Arial" w:cs="Arial"/>
          <w:color w:val="000000" w:themeColor="text1"/>
          <w:sz w:val="26"/>
          <w:szCs w:val="26"/>
          <w:lang w:eastAsia="en-US"/>
        </w:rPr>
        <w:t xml:space="preserve"> Sala Unitaria de Primera Instancia de este Tribunal y en su oportunidad archívese el presente cuaderno de revisión como asunto </w:t>
      </w:r>
      <w:r w:rsidR="00204E39" w:rsidRPr="007F56B9">
        <w:rPr>
          <w:rFonts w:ascii="Arial" w:eastAsiaTheme="minorHAnsi" w:hAnsi="Arial" w:cs="Arial"/>
          <w:color w:val="000000" w:themeColor="text1"/>
          <w:sz w:val="26"/>
          <w:szCs w:val="26"/>
          <w:lang w:eastAsia="en-US"/>
        </w:rPr>
        <w:t>concluido. -</w:t>
      </w:r>
      <w:r w:rsidR="00A16498" w:rsidRPr="007F56B9">
        <w:rPr>
          <w:rFonts w:ascii="Arial" w:eastAsiaTheme="minorHAnsi" w:hAnsi="Arial" w:cs="Arial"/>
          <w:color w:val="000000" w:themeColor="text1"/>
          <w:sz w:val="26"/>
          <w:szCs w:val="26"/>
          <w:lang w:eastAsia="en-US"/>
        </w:rPr>
        <w:t xml:space="preserve"> - - - - - - - - - - - - - - - - - - </w:t>
      </w:r>
    </w:p>
    <w:p w14:paraId="706A5F5B" w14:textId="7E229384" w:rsidR="001B6E87" w:rsidRDefault="009B21CF" w:rsidP="001B6E87">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1B6E87">
        <w:rPr>
          <w:rFonts w:ascii="Arial" w:hAnsi="Arial" w:cs="Arial"/>
          <w:sz w:val="26"/>
          <w:szCs w:val="26"/>
        </w:rPr>
        <w:t xml:space="preserve">Por unanimidad de votos, lo resolvieron y firmaron los Magistrados integrantes de la Sala Superior, Manuel Velasco Alcántara, </w:t>
      </w:r>
      <w:r>
        <w:rPr>
          <w:rFonts w:ascii="Arial" w:hAnsi="Arial" w:cs="Arial"/>
          <w:sz w:val="26"/>
          <w:szCs w:val="26"/>
        </w:rPr>
        <w:t xml:space="preserve">Abraham Santiago Soriano </w:t>
      </w:r>
      <w:r w:rsidR="001B6E87">
        <w:rPr>
          <w:rFonts w:ascii="Arial" w:hAnsi="Arial" w:cs="Arial"/>
          <w:b/>
          <w:bCs/>
          <w:sz w:val="26"/>
          <w:szCs w:val="26"/>
        </w:rPr>
        <w:t>(ponente)</w:t>
      </w:r>
      <w:r w:rsidR="001B6E87">
        <w:rPr>
          <w:rFonts w:ascii="Arial" w:hAnsi="Arial" w:cs="Arial"/>
          <w:sz w:val="26"/>
          <w:szCs w:val="26"/>
        </w:rPr>
        <w:t>, Gloria del Carmen Camacho Meza y Paulo José Luis Tapia Palacios, con excusa aprobada del Magistrado Raúl Palomares Palomino para conocer, discutir y resolver en la presente resolución</w:t>
      </w:r>
      <w:r>
        <w:rPr>
          <w:rFonts w:ascii="Arial" w:hAnsi="Arial" w:cs="Arial"/>
          <w:sz w:val="26"/>
          <w:szCs w:val="26"/>
        </w:rPr>
        <w:t xml:space="preserve">, </w:t>
      </w:r>
      <w:r w:rsidR="001B6E87">
        <w:rPr>
          <w:rFonts w:ascii="Arial" w:hAnsi="Arial" w:cs="Arial"/>
          <w:sz w:val="26"/>
          <w:szCs w:val="26"/>
        </w:rPr>
        <w:t xml:space="preserve">quienes actúan con el Licenciado Juan Edy García Coronado, Secretario General de Acuerdos de este Tribunal, que autoriza y da fe. - - - - - - - - - - - - - - - - -  </w:t>
      </w:r>
      <w:r>
        <w:rPr>
          <w:rFonts w:ascii="Arial" w:hAnsi="Arial" w:cs="Arial"/>
          <w:sz w:val="26"/>
          <w:szCs w:val="26"/>
        </w:rPr>
        <w:t xml:space="preserve">- - - - - - - - - - - - - - - - - - - - - - </w:t>
      </w:r>
    </w:p>
    <w:p w14:paraId="3BD92A75" w14:textId="77777777" w:rsidR="001B6E87" w:rsidRPr="00F801FF" w:rsidRDefault="001B6E87" w:rsidP="001B6E87">
      <w:pPr>
        <w:spacing w:after="0" w:line="360" w:lineRule="auto"/>
        <w:ind w:right="51"/>
        <w:jc w:val="both"/>
        <w:rPr>
          <w:rFonts w:ascii="Arial" w:eastAsiaTheme="minorHAnsi" w:hAnsi="Arial" w:cs="Arial"/>
          <w:color w:val="000000" w:themeColor="text1"/>
          <w:sz w:val="26"/>
          <w:szCs w:val="26"/>
          <w:lang w:eastAsia="en-US"/>
        </w:rPr>
      </w:pPr>
    </w:p>
    <w:p w14:paraId="153EA2D9" w14:textId="4F873443" w:rsidR="001B6E87" w:rsidRDefault="001B6E87" w:rsidP="001B6E87">
      <w:pPr>
        <w:pStyle w:val="Sinespaciado"/>
        <w:jc w:val="center"/>
        <w:rPr>
          <w:rFonts w:ascii="Arial" w:hAnsi="Arial" w:cs="Arial"/>
          <w:sz w:val="26"/>
          <w:szCs w:val="26"/>
        </w:rPr>
      </w:pPr>
    </w:p>
    <w:p w14:paraId="10ECDE10" w14:textId="77777777" w:rsidR="009B21CF" w:rsidRDefault="009B21CF" w:rsidP="001B6E87">
      <w:pPr>
        <w:pStyle w:val="Sinespaciado"/>
        <w:jc w:val="center"/>
        <w:rPr>
          <w:rFonts w:ascii="Arial" w:hAnsi="Arial" w:cs="Arial"/>
          <w:sz w:val="26"/>
          <w:szCs w:val="26"/>
        </w:rPr>
      </w:pPr>
    </w:p>
    <w:p w14:paraId="1EFA183B" w14:textId="77777777" w:rsidR="001B6E87" w:rsidRDefault="001B6E87" w:rsidP="001B6E87">
      <w:pPr>
        <w:pStyle w:val="Sinespaciado"/>
        <w:rPr>
          <w:rFonts w:ascii="Arial" w:hAnsi="Arial" w:cs="Arial"/>
          <w:sz w:val="26"/>
          <w:szCs w:val="26"/>
        </w:rPr>
      </w:pPr>
    </w:p>
    <w:p w14:paraId="53914E3D" w14:textId="77777777" w:rsidR="001B6E87" w:rsidRDefault="001B6E87" w:rsidP="009B21CF">
      <w:pPr>
        <w:pStyle w:val="Sinespaciado"/>
        <w:rPr>
          <w:rFonts w:ascii="Arial" w:hAnsi="Arial" w:cs="Arial"/>
          <w:sz w:val="26"/>
          <w:szCs w:val="26"/>
        </w:rPr>
      </w:pPr>
    </w:p>
    <w:p w14:paraId="08734BB0" w14:textId="77777777" w:rsidR="001B6E87" w:rsidRDefault="001B6E87" w:rsidP="001B6E87">
      <w:pPr>
        <w:pStyle w:val="Sinespaciado"/>
        <w:jc w:val="center"/>
        <w:rPr>
          <w:rFonts w:ascii="Arial" w:hAnsi="Arial" w:cs="Arial"/>
          <w:sz w:val="26"/>
          <w:szCs w:val="26"/>
        </w:rPr>
      </w:pPr>
    </w:p>
    <w:p w14:paraId="4A2B4407" w14:textId="77777777" w:rsidR="001B6E87" w:rsidRDefault="001B6E87" w:rsidP="001B6E87">
      <w:pPr>
        <w:pStyle w:val="Sinespaciado"/>
        <w:jc w:val="center"/>
        <w:rPr>
          <w:rFonts w:ascii="Arial" w:hAnsi="Arial" w:cs="Arial"/>
          <w:sz w:val="26"/>
          <w:szCs w:val="26"/>
        </w:rPr>
      </w:pPr>
      <w:r>
        <w:rPr>
          <w:rFonts w:ascii="Arial" w:hAnsi="Arial" w:cs="Arial"/>
          <w:sz w:val="26"/>
          <w:szCs w:val="26"/>
        </w:rPr>
        <w:t>MAGISTRADO MANUEL VELASCO ALCÁNTARA</w:t>
      </w:r>
    </w:p>
    <w:p w14:paraId="78DD9702" w14:textId="77777777" w:rsidR="001B6E87" w:rsidRDefault="001B6E87" w:rsidP="001B6E87">
      <w:pPr>
        <w:pStyle w:val="Sinespaciado"/>
        <w:jc w:val="center"/>
        <w:rPr>
          <w:rFonts w:ascii="Arial" w:hAnsi="Arial" w:cs="Arial"/>
          <w:sz w:val="26"/>
          <w:szCs w:val="26"/>
        </w:rPr>
      </w:pPr>
      <w:r>
        <w:rPr>
          <w:rFonts w:ascii="Arial" w:hAnsi="Arial" w:cs="Arial"/>
          <w:sz w:val="26"/>
          <w:szCs w:val="26"/>
        </w:rPr>
        <w:t>PRESIDENTE</w:t>
      </w:r>
    </w:p>
    <w:p w14:paraId="67F71917" w14:textId="77777777" w:rsidR="001B6E87" w:rsidRDefault="001B6E87" w:rsidP="001B6E87">
      <w:pPr>
        <w:tabs>
          <w:tab w:val="center" w:pos="4135"/>
          <w:tab w:val="left" w:pos="7515"/>
        </w:tabs>
        <w:spacing w:line="360" w:lineRule="auto"/>
        <w:jc w:val="center"/>
        <w:rPr>
          <w:rFonts w:ascii="Arial" w:hAnsi="Arial" w:cs="Arial"/>
          <w:b/>
          <w:bCs/>
          <w:sz w:val="18"/>
          <w:szCs w:val="18"/>
        </w:rPr>
      </w:pPr>
    </w:p>
    <w:p w14:paraId="0D8A80D1" w14:textId="77777777" w:rsidR="001B6E87" w:rsidRDefault="001B6E87" w:rsidP="001B6E87">
      <w:pPr>
        <w:tabs>
          <w:tab w:val="center" w:pos="4135"/>
          <w:tab w:val="left" w:pos="7515"/>
        </w:tabs>
        <w:spacing w:line="360" w:lineRule="auto"/>
        <w:rPr>
          <w:rFonts w:ascii="Arial" w:hAnsi="Arial" w:cs="Arial"/>
          <w:sz w:val="26"/>
          <w:szCs w:val="26"/>
        </w:rPr>
      </w:pPr>
    </w:p>
    <w:p w14:paraId="157C9643" w14:textId="77777777" w:rsidR="001B6E87" w:rsidRDefault="001B6E87" w:rsidP="001B6E87">
      <w:pPr>
        <w:tabs>
          <w:tab w:val="center" w:pos="4135"/>
          <w:tab w:val="left" w:pos="7515"/>
        </w:tabs>
        <w:spacing w:line="360" w:lineRule="auto"/>
        <w:rPr>
          <w:rFonts w:ascii="Arial" w:hAnsi="Arial" w:cs="Arial"/>
          <w:sz w:val="26"/>
          <w:szCs w:val="26"/>
        </w:rPr>
      </w:pPr>
    </w:p>
    <w:p w14:paraId="679D54FD" w14:textId="77777777" w:rsidR="001B6E87" w:rsidRDefault="001B6E87" w:rsidP="001B6E87">
      <w:pPr>
        <w:tabs>
          <w:tab w:val="center" w:pos="4135"/>
          <w:tab w:val="left" w:pos="7515"/>
        </w:tabs>
        <w:spacing w:line="360" w:lineRule="auto"/>
        <w:rPr>
          <w:rFonts w:ascii="Arial" w:hAnsi="Arial" w:cs="Arial"/>
          <w:sz w:val="26"/>
          <w:szCs w:val="26"/>
        </w:rPr>
      </w:pPr>
    </w:p>
    <w:p w14:paraId="19D26726" w14:textId="679134FF" w:rsidR="001B6E87" w:rsidRDefault="001B6E87" w:rsidP="001B6E87">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MAGISTRADO </w:t>
      </w:r>
      <w:r w:rsidR="00C67384">
        <w:rPr>
          <w:rFonts w:ascii="Arial" w:hAnsi="Arial" w:cs="Arial"/>
          <w:sz w:val="26"/>
          <w:szCs w:val="26"/>
        </w:rPr>
        <w:t>ABRAHAM SANTIAGO SORIANO</w:t>
      </w:r>
    </w:p>
    <w:p w14:paraId="6AC62BB2" w14:textId="77777777" w:rsidR="009B21CF" w:rsidRDefault="009B21CF" w:rsidP="009B21CF">
      <w:pPr>
        <w:tabs>
          <w:tab w:val="center" w:pos="4135"/>
          <w:tab w:val="left" w:pos="7515"/>
        </w:tabs>
        <w:spacing w:line="360" w:lineRule="auto"/>
        <w:rPr>
          <w:rFonts w:ascii="Arial" w:hAnsi="Arial" w:cs="Arial"/>
          <w:sz w:val="26"/>
          <w:szCs w:val="26"/>
        </w:rPr>
      </w:pPr>
    </w:p>
    <w:p w14:paraId="287DE750" w14:textId="77777777" w:rsidR="001B6E87" w:rsidRDefault="001B6E87" w:rsidP="001B6E87">
      <w:pPr>
        <w:tabs>
          <w:tab w:val="center" w:pos="4135"/>
          <w:tab w:val="left" w:pos="7515"/>
        </w:tabs>
        <w:spacing w:line="360" w:lineRule="auto"/>
        <w:jc w:val="center"/>
        <w:rPr>
          <w:rFonts w:ascii="Arial" w:hAnsi="Arial" w:cs="Arial"/>
          <w:sz w:val="26"/>
          <w:szCs w:val="26"/>
        </w:rPr>
      </w:pPr>
    </w:p>
    <w:p w14:paraId="782A7710" w14:textId="77777777" w:rsidR="009B21CF" w:rsidRDefault="009B21CF" w:rsidP="001B6E87">
      <w:pPr>
        <w:tabs>
          <w:tab w:val="center" w:pos="4135"/>
          <w:tab w:val="left" w:pos="7515"/>
        </w:tabs>
        <w:spacing w:line="360" w:lineRule="auto"/>
        <w:jc w:val="center"/>
        <w:rPr>
          <w:rFonts w:ascii="Arial" w:hAnsi="Arial" w:cs="Arial"/>
          <w:sz w:val="26"/>
          <w:szCs w:val="26"/>
        </w:rPr>
      </w:pPr>
    </w:p>
    <w:p w14:paraId="3598E38E" w14:textId="77777777" w:rsidR="001B6E87" w:rsidRDefault="001B6E87" w:rsidP="001B6E87">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55E8AB7" w14:textId="77777777" w:rsidR="001B6E87" w:rsidRDefault="001B6E87" w:rsidP="001B6E87">
      <w:pPr>
        <w:tabs>
          <w:tab w:val="center" w:pos="4135"/>
          <w:tab w:val="left" w:pos="7515"/>
        </w:tabs>
        <w:spacing w:line="360" w:lineRule="auto"/>
        <w:jc w:val="center"/>
        <w:rPr>
          <w:rFonts w:ascii="Arial" w:hAnsi="Arial" w:cs="Arial"/>
          <w:sz w:val="26"/>
          <w:szCs w:val="26"/>
        </w:rPr>
      </w:pPr>
    </w:p>
    <w:p w14:paraId="56FC6266" w14:textId="37F46F5D" w:rsidR="001B6E87" w:rsidRPr="0089698D" w:rsidRDefault="009B21CF" w:rsidP="001B6E87">
      <w:pPr>
        <w:tabs>
          <w:tab w:val="center" w:pos="4135"/>
          <w:tab w:val="left" w:pos="7515"/>
        </w:tabs>
        <w:spacing w:line="360" w:lineRule="auto"/>
        <w:jc w:val="center"/>
        <w:rPr>
          <w:rFonts w:ascii="Arial" w:hAnsi="Arial" w:cs="Arial"/>
          <w:b/>
          <w:bCs/>
          <w:sz w:val="18"/>
          <w:szCs w:val="18"/>
        </w:rPr>
      </w:pPr>
      <w:r w:rsidRPr="0089698D">
        <w:rPr>
          <w:rFonts w:ascii="Arial" w:hAnsi="Arial" w:cs="Arial"/>
          <w:b/>
          <w:bCs/>
          <w:sz w:val="18"/>
          <w:szCs w:val="18"/>
        </w:rPr>
        <w:lastRenderedPageBreak/>
        <w:t xml:space="preserve">LAS PRESENTES FIRMAS </w:t>
      </w:r>
      <w:r w:rsidR="0089698D" w:rsidRPr="0089698D">
        <w:rPr>
          <w:rFonts w:ascii="Arial" w:hAnsi="Arial" w:cs="Arial"/>
          <w:b/>
          <w:bCs/>
          <w:sz w:val="18"/>
          <w:szCs w:val="18"/>
        </w:rPr>
        <w:t>CORRESPONDEN AL RECURSO DE REVISIÓN 0203/2020.</w:t>
      </w:r>
    </w:p>
    <w:p w14:paraId="2B57CDAE" w14:textId="77777777" w:rsidR="001B6E87" w:rsidRDefault="001B6E87" w:rsidP="001B6E87">
      <w:pPr>
        <w:tabs>
          <w:tab w:val="left" w:pos="1925"/>
          <w:tab w:val="center" w:pos="4135"/>
        </w:tabs>
        <w:jc w:val="center"/>
        <w:rPr>
          <w:rFonts w:ascii="Arial" w:hAnsi="Arial" w:cs="Arial"/>
          <w:sz w:val="26"/>
          <w:szCs w:val="26"/>
        </w:rPr>
      </w:pPr>
    </w:p>
    <w:p w14:paraId="627A51E4" w14:textId="7D78761F" w:rsidR="001B6E87" w:rsidRDefault="001B6E87" w:rsidP="001B6E87">
      <w:pPr>
        <w:tabs>
          <w:tab w:val="left" w:pos="1925"/>
          <w:tab w:val="center" w:pos="4135"/>
        </w:tabs>
        <w:jc w:val="center"/>
        <w:rPr>
          <w:rFonts w:ascii="Arial" w:hAnsi="Arial" w:cs="Arial"/>
          <w:sz w:val="26"/>
          <w:szCs w:val="26"/>
        </w:rPr>
      </w:pPr>
    </w:p>
    <w:p w14:paraId="11586F76" w14:textId="08B8C070" w:rsidR="0089698D" w:rsidRDefault="0089698D" w:rsidP="001B6E87">
      <w:pPr>
        <w:tabs>
          <w:tab w:val="left" w:pos="1925"/>
          <w:tab w:val="center" w:pos="4135"/>
        </w:tabs>
        <w:jc w:val="center"/>
        <w:rPr>
          <w:rFonts w:ascii="Arial" w:hAnsi="Arial" w:cs="Arial"/>
          <w:sz w:val="26"/>
          <w:szCs w:val="26"/>
        </w:rPr>
      </w:pPr>
    </w:p>
    <w:p w14:paraId="32BB2F80" w14:textId="77777777" w:rsidR="0089698D" w:rsidRDefault="0089698D" w:rsidP="001B6E87">
      <w:pPr>
        <w:tabs>
          <w:tab w:val="left" w:pos="1925"/>
          <w:tab w:val="center" w:pos="4135"/>
        </w:tabs>
        <w:jc w:val="center"/>
        <w:rPr>
          <w:rFonts w:ascii="Arial" w:hAnsi="Arial" w:cs="Arial"/>
          <w:sz w:val="26"/>
          <w:szCs w:val="26"/>
        </w:rPr>
      </w:pPr>
    </w:p>
    <w:p w14:paraId="09A49530" w14:textId="77777777" w:rsidR="001B6E87" w:rsidRDefault="001B6E87" w:rsidP="001B6E87">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9FC017F" w14:textId="77777777" w:rsidR="001B6E87" w:rsidRDefault="001B6E87" w:rsidP="001B6E87">
      <w:pPr>
        <w:tabs>
          <w:tab w:val="left" w:pos="1925"/>
          <w:tab w:val="center" w:pos="4135"/>
        </w:tabs>
        <w:jc w:val="center"/>
        <w:rPr>
          <w:rFonts w:ascii="Arial" w:hAnsi="Arial" w:cs="Arial"/>
          <w:sz w:val="26"/>
          <w:szCs w:val="26"/>
        </w:rPr>
      </w:pPr>
    </w:p>
    <w:p w14:paraId="4E6E8C0D" w14:textId="77777777" w:rsidR="001B6E87" w:rsidRDefault="001B6E87" w:rsidP="001B6E87">
      <w:pPr>
        <w:tabs>
          <w:tab w:val="left" w:pos="1925"/>
          <w:tab w:val="center" w:pos="4135"/>
        </w:tabs>
        <w:jc w:val="center"/>
        <w:rPr>
          <w:rFonts w:ascii="Arial" w:hAnsi="Arial" w:cs="Arial"/>
          <w:sz w:val="26"/>
          <w:szCs w:val="26"/>
        </w:rPr>
      </w:pPr>
    </w:p>
    <w:p w14:paraId="01FFAD36" w14:textId="77777777" w:rsidR="001B6E87" w:rsidRDefault="001B6E87" w:rsidP="001B6E87">
      <w:pPr>
        <w:tabs>
          <w:tab w:val="left" w:pos="1925"/>
          <w:tab w:val="center" w:pos="4135"/>
        </w:tabs>
        <w:jc w:val="center"/>
        <w:rPr>
          <w:rFonts w:ascii="Arial" w:hAnsi="Arial" w:cs="Arial"/>
          <w:sz w:val="26"/>
          <w:szCs w:val="26"/>
        </w:rPr>
      </w:pPr>
    </w:p>
    <w:p w14:paraId="48A4A5F7" w14:textId="77777777" w:rsidR="001B6E87" w:rsidRDefault="001B6E87" w:rsidP="001B6E87">
      <w:pPr>
        <w:pStyle w:val="Sinespaciado"/>
        <w:jc w:val="center"/>
        <w:rPr>
          <w:rFonts w:ascii="Arial" w:hAnsi="Arial" w:cs="Arial"/>
          <w:sz w:val="26"/>
          <w:szCs w:val="26"/>
        </w:rPr>
      </w:pPr>
      <w:r>
        <w:rPr>
          <w:rFonts w:ascii="Arial" w:hAnsi="Arial" w:cs="Arial"/>
          <w:sz w:val="26"/>
          <w:szCs w:val="26"/>
        </w:rPr>
        <w:t>LICENCIADO JUAN EDY GARCÍA CORONADO</w:t>
      </w:r>
    </w:p>
    <w:p w14:paraId="6F7FDB28" w14:textId="77777777" w:rsidR="001B6E87" w:rsidRDefault="001B6E87" w:rsidP="001B6E87">
      <w:pPr>
        <w:pStyle w:val="Sinespaciado"/>
        <w:jc w:val="center"/>
        <w:rPr>
          <w:rFonts w:ascii="Arial" w:hAnsi="Arial" w:cs="Arial"/>
          <w:sz w:val="26"/>
          <w:szCs w:val="26"/>
        </w:rPr>
      </w:pPr>
      <w:r>
        <w:rPr>
          <w:rFonts w:ascii="Arial" w:hAnsi="Arial" w:cs="Arial"/>
          <w:sz w:val="26"/>
          <w:szCs w:val="26"/>
        </w:rPr>
        <w:t>SECRETARIO GENERAL DE ACUERDOS</w:t>
      </w:r>
    </w:p>
    <w:p w14:paraId="50453FE0" w14:textId="4977BAEF" w:rsidR="00BA258A" w:rsidRPr="00516E4D" w:rsidRDefault="00BA258A" w:rsidP="001B6E87">
      <w:pPr>
        <w:pStyle w:val="Sinespaciado"/>
        <w:spacing w:before="240" w:line="360" w:lineRule="auto"/>
        <w:ind w:right="-93" w:firstLine="708"/>
        <w:jc w:val="both"/>
        <w:rPr>
          <w:color w:val="000000" w:themeColor="text1"/>
        </w:rPr>
      </w:pPr>
    </w:p>
    <w:sectPr w:rsidR="00BA258A" w:rsidRPr="00516E4D" w:rsidSect="00D024A6">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9A1080" w14:textId="77777777" w:rsidR="00793027" w:rsidRDefault="00793027">
      <w:pPr>
        <w:spacing w:after="0" w:line="240" w:lineRule="auto"/>
      </w:pPr>
      <w:r>
        <w:separator/>
      </w:r>
    </w:p>
  </w:endnote>
  <w:endnote w:type="continuationSeparator" w:id="0">
    <w:p w14:paraId="31BC49E9" w14:textId="77777777" w:rsidR="00793027" w:rsidRDefault="00793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EE14E3" w14:textId="77777777" w:rsidR="00793027" w:rsidRDefault="00793027">
      <w:pPr>
        <w:spacing w:after="0" w:line="240" w:lineRule="auto"/>
      </w:pPr>
      <w:r>
        <w:separator/>
      </w:r>
    </w:p>
  </w:footnote>
  <w:footnote w:type="continuationSeparator" w:id="0">
    <w:p w14:paraId="192BA964" w14:textId="77777777" w:rsidR="00793027" w:rsidRDefault="00793027">
      <w:pPr>
        <w:spacing w:after="0" w:line="240" w:lineRule="auto"/>
      </w:pPr>
      <w:r>
        <w:continuationSeparator/>
      </w:r>
    </w:p>
  </w:footnote>
  <w:footnote w:id="1">
    <w:p w14:paraId="3E7046DB" w14:textId="5BEDC493" w:rsidR="00565BED" w:rsidRDefault="00565BED" w:rsidP="00565BED">
      <w:pPr>
        <w:pStyle w:val="Textonotapie"/>
        <w:jc w:val="both"/>
      </w:pPr>
      <w:r>
        <w:rPr>
          <w:rStyle w:val="Refdenotaalpie"/>
        </w:rPr>
        <w:footnoteRef/>
      </w:r>
      <w:r>
        <w:t xml:space="preserve"> </w:t>
      </w:r>
      <w:r w:rsidRPr="00565BED">
        <w:t xml:space="preserve"> 2a./J. 58/2010 emitida por la Segunda Sala de la Suprema Corte de Justicia de la Nación, con número de registro 164618, publicada en la Gaceta del Semanario Judicial de la Federación, Tomo XXXI, Mayo de 2010, visible a página 830, Novena Época</w:t>
      </w:r>
      <w:r>
        <w:t>.</w:t>
      </w:r>
    </w:p>
  </w:footnote>
  <w:footnote w:id="2">
    <w:p w14:paraId="3EA2E366" w14:textId="77777777" w:rsidR="00EC79B9" w:rsidRPr="000369B5" w:rsidRDefault="00EC79B9" w:rsidP="00EC79B9">
      <w:pPr>
        <w:pStyle w:val="Textonotapie"/>
        <w:jc w:val="both"/>
      </w:pPr>
      <w:r>
        <w:rPr>
          <w:rStyle w:val="Refdenotaalpie"/>
        </w:rPr>
        <w:footnoteRef/>
      </w:r>
      <w:r>
        <w:t xml:space="preserve"> “</w:t>
      </w:r>
      <w:r w:rsidRPr="00FF4D6B">
        <w:rPr>
          <w:b/>
        </w:rPr>
        <w:t>Artículo 60.</w:t>
      </w:r>
      <w:r>
        <w:t>- Los procedimientos que se sigan de conformidad a las disposiciones de este Título Cuarto, deberán ser breves y sencillos y deberán estar sujetos a los principios de inmediatez, concentración y rapidez, el personal de la Contraloría y de los órganos de control interno, deberán manejar de manera confidencial la información o documentación relativa a los asuntos de su competencia. En todo lo relacionado al procedimiento, ofrecimiento y valoración de pruebas que se regulen en este Título Cuarto, son aplicables supletoriamente las disposiciones del Código de Procedimientos Civiles del Estado.”</w:t>
      </w:r>
    </w:p>
  </w:footnote>
  <w:footnote w:id="3">
    <w:p w14:paraId="0E66EE68" w14:textId="77777777" w:rsidR="002558BB" w:rsidRDefault="002558BB" w:rsidP="002558BB">
      <w:pPr>
        <w:pStyle w:val="Textonotapie"/>
        <w:jc w:val="both"/>
      </w:pPr>
      <w:r w:rsidRPr="00853A6B">
        <w:rPr>
          <w:rStyle w:val="Refdenotaalpie"/>
        </w:rPr>
        <w:footnoteRef/>
      </w:r>
      <w:r w:rsidRPr="00853A6B">
        <w:t xml:space="preserve"> “</w:t>
      </w:r>
      <w:r w:rsidRPr="00853A6B">
        <w:rPr>
          <w:b/>
        </w:rPr>
        <w:t>ARTÍCULO 1.-</w:t>
      </w:r>
      <w:r w:rsidRPr="00853A6B">
        <w:t xml:space="preserve"> La</w:t>
      </w:r>
      <w:r>
        <w:t xml:space="preserve"> presente Ley es de orden público y de interés social, se aplicará en todo el Estado de Oaxaca en todos los actos administrativos y los procedimientos que se desarrollen  las Dependencias del Poder Ejecutivo del Gobierno del Estado, Entidades Paraestatales y Órganos Descentralizados de la Administración Pública Estatal; cuando estas emitan una resolución administrativa de cualquier naturaleza; por los Ayuntamientos de los Municipios del Estado de Oaxaca, por las Dependencias de estos y por sus Entidades Paramunicipales, los términos establecidos por el artículo 125 de la Constitución Política del Estado. De igual regulará la organización y funcionamiento del Tribunal de lo Contencioso Administrativo del Estado de Oaxaca y la impartición de la Justicia Administrativa en el Estado de Oaxaca.</w:t>
      </w:r>
    </w:p>
    <w:p w14:paraId="1DD4D583" w14:textId="77777777" w:rsidR="002558BB" w:rsidRPr="008075D6" w:rsidRDefault="002558BB" w:rsidP="002558BB">
      <w:pPr>
        <w:pStyle w:val="Textonotapie"/>
        <w:jc w:val="both"/>
      </w:pPr>
      <w:r>
        <w:t>La presente Ley no será aplicable a las materias de carácter electoral, de justicia agraria y laboral, resoluciones administrativas que tengan relación con la Defensa de los Derechos Humanos, con las actividades desarrolladas por la Universidad Autónoma “Benito Juárez” de Oaxaca; ni por las dictadas por el Ministerio Público en ejercicio de sus funciones constitucionales de investigación de los delitos o de la representación social. Ni con los conflictos suscitados entre los integrantes de los Ayuntamientos ni por la elección de las autoridades auxiliares de carácter municipal.”</w:t>
      </w:r>
    </w:p>
  </w:footnote>
  <w:footnote w:id="4">
    <w:p w14:paraId="090FD23E" w14:textId="77777777" w:rsidR="002558BB" w:rsidRPr="004C0EE5" w:rsidRDefault="002558BB" w:rsidP="002558BB">
      <w:pPr>
        <w:pStyle w:val="Textonotapie"/>
        <w:jc w:val="both"/>
      </w:pPr>
      <w:r>
        <w:rPr>
          <w:rStyle w:val="Refdenotaalpie"/>
        </w:rPr>
        <w:footnoteRef/>
      </w:r>
      <w:r>
        <w:t xml:space="preserve"> “</w:t>
      </w:r>
      <w:r w:rsidRPr="004C0EE5">
        <w:rPr>
          <w:b/>
        </w:rPr>
        <w:t>Artículo 3.-</w:t>
      </w:r>
      <w:r>
        <w:t xml:space="preserve">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lo siguiente: I. 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dependen directamente del Gobernador del Estado  y los Órganos Desconcentrados, a todas estas áreas administrativas se les denominará generalmente como dependencias; (…)”</w:t>
      </w:r>
    </w:p>
  </w:footnote>
  <w:footnote w:id="5">
    <w:p w14:paraId="3F014B39" w14:textId="77777777" w:rsidR="002558BB" w:rsidRPr="00940D2C" w:rsidRDefault="002558BB" w:rsidP="002558BB">
      <w:pPr>
        <w:pStyle w:val="Textonotapie"/>
        <w:jc w:val="both"/>
      </w:pPr>
      <w:r>
        <w:rPr>
          <w:rStyle w:val="Refdenotaalpie"/>
        </w:rPr>
        <w:footnoteRef/>
      </w:r>
      <w:r>
        <w:t xml:space="preserve"> “</w:t>
      </w:r>
      <w:r w:rsidRPr="00940D2C">
        <w:rPr>
          <w:b/>
        </w:rPr>
        <w:t>Artículo 27.-</w:t>
      </w:r>
      <w:r>
        <w:t xml:space="preserve"> Para el ejercicio de sus atribuciones y el despacho de los asuntos que son de su competencia, el Gobernador del Estado, contará con las siguientes dependencias de la Administración Pública Centralizada. (…) XIV. Secretaría de la Contraloría y Transparencia Gubernamental.”</w:t>
      </w:r>
    </w:p>
  </w:footnote>
  <w:footnote w:id="6">
    <w:p w14:paraId="2FAF941D" w14:textId="77777777" w:rsidR="002558BB" w:rsidRPr="006443F8" w:rsidRDefault="002558BB" w:rsidP="002558BB">
      <w:pPr>
        <w:pStyle w:val="Textonotapie"/>
      </w:pPr>
      <w:r>
        <w:rPr>
          <w:rStyle w:val="Refdenotaalpie"/>
        </w:rPr>
        <w:footnoteRef/>
      </w:r>
      <w:r>
        <w:t xml:space="preserve"> Ley de Justicia Administrativa para el Estado de Oaxaca aplicable.</w:t>
      </w:r>
    </w:p>
  </w:footnote>
  <w:footnote w:id="7">
    <w:p w14:paraId="7DD1DE2B" w14:textId="77777777" w:rsidR="002558BB" w:rsidRPr="006443F8" w:rsidRDefault="002558BB" w:rsidP="002558BB">
      <w:pPr>
        <w:pStyle w:val="Textonotapie"/>
      </w:pPr>
      <w:r>
        <w:rPr>
          <w:rStyle w:val="Refdenotaalpie"/>
        </w:rPr>
        <w:footnoteRef/>
      </w:r>
      <w:r>
        <w:t xml:space="preserve"> Ley de Responsabilidades de los Servidores Públicos del Estado y Municipios de Oaxaca aplicable.</w:t>
      </w:r>
    </w:p>
  </w:footnote>
  <w:footnote w:id="8">
    <w:p w14:paraId="003F963A" w14:textId="4DCCFDE0" w:rsidR="00422E20" w:rsidRDefault="00422E20" w:rsidP="00422E20">
      <w:pPr>
        <w:pStyle w:val="Textonotapie"/>
        <w:jc w:val="both"/>
      </w:pPr>
      <w:r>
        <w:rPr>
          <w:rStyle w:val="Refdenotaalpie"/>
        </w:rPr>
        <w:footnoteRef/>
      </w:r>
      <w:r>
        <w:t xml:space="preserve"> </w:t>
      </w:r>
      <w:r w:rsidRPr="00422E20">
        <w:t>P./J.  32/98, publicada por el Pleno de la Suprema Corte de Justicia de la Nación en el Semanario Judicial de la Federación, Tomo VIII, julio de 1998, visible a página 5, de la Novena Época</w:t>
      </w:r>
      <w:r>
        <w:t>, con registro digital 195858.</w:t>
      </w:r>
    </w:p>
  </w:footnote>
  <w:footnote w:id="9">
    <w:p w14:paraId="05BEC8FF" w14:textId="39E545D8" w:rsidR="00422E20" w:rsidRDefault="00422E20" w:rsidP="00422E20">
      <w:pPr>
        <w:pStyle w:val="Textonotapie"/>
        <w:jc w:val="both"/>
      </w:pPr>
      <w:r>
        <w:rPr>
          <w:rStyle w:val="Refdenotaalpie"/>
        </w:rPr>
        <w:footnoteRef/>
      </w:r>
      <w:r w:rsidRPr="00422E20">
        <w:t xml:space="preserve"> VIII.2o. J/26, publicada por los Tribunales Colegiados de Circuito en el Semanario Judicial de la Federación y su Gaceta, Tomo IX, junio de 1999, visible a página 837, Novena Época, Materia Administrativa</w:t>
      </w:r>
      <w:r>
        <w:t>, con registro digital 193841.</w:t>
      </w:r>
    </w:p>
  </w:footnote>
  <w:footnote w:id="10">
    <w:p w14:paraId="2A48B2D0" w14:textId="5F054ABD" w:rsidR="005C07BF" w:rsidRDefault="005C07BF" w:rsidP="005C07BF">
      <w:pPr>
        <w:pStyle w:val="Textonotapie"/>
        <w:jc w:val="both"/>
      </w:pPr>
      <w:r>
        <w:rPr>
          <w:rStyle w:val="Refdenotaalpie"/>
        </w:rPr>
        <w:footnoteRef/>
      </w:r>
      <w:r>
        <w:t xml:space="preserve"> </w:t>
      </w:r>
      <w:r w:rsidRPr="005C07BF">
        <w:t>2a./J. 115/2002, Publicada por la Segunda Sala de Suprema Corte de Justicia de la Nación en el en el Semanario Judicial de la Federación, Tomo XVI, octubre de 2002, visible a página 294, de la Novena Época</w:t>
      </w:r>
      <w:r>
        <w:t>, con registro digital 185677.</w:t>
      </w:r>
    </w:p>
  </w:footnote>
  <w:footnote w:id="11">
    <w:p w14:paraId="32A80D74" w14:textId="2C6D2C67" w:rsidR="005C07BF" w:rsidRDefault="005C07BF" w:rsidP="005C07BF">
      <w:pPr>
        <w:pStyle w:val="Textonotapie"/>
        <w:jc w:val="both"/>
      </w:pPr>
      <w:r>
        <w:rPr>
          <w:rStyle w:val="Refdenotaalpie"/>
        </w:rPr>
        <w:footnoteRef/>
      </w:r>
      <w:r>
        <w:t xml:space="preserve"> 1a</w:t>
      </w:r>
      <w:proofErr w:type="gramStart"/>
      <w:r>
        <w:t>./</w:t>
      </w:r>
      <w:proofErr w:type="gramEnd"/>
      <w:r>
        <w:t xml:space="preserve">J. 135/2009, emitida por la Suprema Corte de Justicia de la Nación y publicada en el Semanario Judicial de la Federación y su Gaceta, Tomo XXII, Diciembre de 2005, página 162, Novena Época, con registro digital 176546. </w:t>
      </w:r>
    </w:p>
  </w:footnote>
  <w:footnote w:id="12">
    <w:p w14:paraId="0EB1EE8A" w14:textId="24761878" w:rsidR="008C5A44" w:rsidRDefault="008C5A44" w:rsidP="008C5A44">
      <w:pPr>
        <w:pStyle w:val="Textonotapie"/>
        <w:jc w:val="both"/>
      </w:pPr>
      <w:r>
        <w:rPr>
          <w:rStyle w:val="Refdenotaalpie"/>
        </w:rPr>
        <w:footnoteRef/>
      </w:r>
      <w:r>
        <w:t xml:space="preserve"> </w:t>
      </w:r>
      <w:r w:rsidRPr="008C5A44">
        <w:t xml:space="preserve"> 2a./J. 188/2009, emitido por la Segunda Sala de la Suprema Corte de Justicia de la Nación, en la Novena Época del Semanario Judicial de la Federación y su Gaceta, Tomo XXX, Noviembre de 2009, página 424, con registro digital 166031</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993CD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93CDB">
          <w:rPr>
            <w:noProof/>
            <w:lang w:val="es-ES"/>
          </w:rPr>
          <w:t>18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993CD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93CDB">
          <w:rPr>
            <w:noProof/>
            <w:lang w:val="es-ES"/>
          </w:rPr>
          <w:t>19</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93CD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A952FBF"/>
    <w:multiLevelType w:val="hybridMultilevel"/>
    <w:tmpl w:val="568EE3E4"/>
    <w:lvl w:ilvl="0" w:tplc="E4BEFA3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6D21DC1"/>
    <w:multiLevelType w:val="hybridMultilevel"/>
    <w:tmpl w:val="A5DC60AA"/>
    <w:lvl w:ilvl="0" w:tplc="C5D8880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D630F61"/>
    <w:multiLevelType w:val="hybridMultilevel"/>
    <w:tmpl w:val="DA08E8E6"/>
    <w:lvl w:ilvl="0" w:tplc="6CACA30C">
      <w:start w:val="1"/>
      <w:numFmt w:val="upperRoman"/>
      <w:lvlText w:val="%1."/>
      <w:lvlJc w:val="left"/>
      <w:pPr>
        <w:ind w:left="1429" w:hanging="720"/>
      </w:pPr>
      <w:rPr>
        <w:rFonts w:hint="default"/>
        <w:b/>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6"/>
  </w:num>
  <w:num w:numId="2">
    <w:abstractNumId w:val="5"/>
  </w:num>
  <w:num w:numId="3">
    <w:abstractNumId w:val="1"/>
  </w:num>
  <w:num w:numId="4">
    <w:abstractNumId w:val="11"/>
  </w:num>
  <w:num w:numId="5">
    <w:abstractNumId w:val="15"/>
  </w:num>
  <w:num w:numId="6">
    <w:abstractNumId w:val="8"/>
  </w:num>
  <w:num w:numId="7">
    <w:abstractNumId w:val="7"/>
  </w:num>
  <w:num w:numId="8">
    <w:abstractNumId w:val="4"/>
  </w:num>
  <w:num w:numId="9">
    <w:abstractNumId w:val="6"/>
  </w:num>
  <w:num w:numId="10">
    <w:abstractNumId w:val="9"/>
  </w:num>
  <w:num w:numId="11">
    <w:abstractNumId w:val="12"/>
  </w:num>
  <w:num w:numId="12">
    <w:abstractNumId w:val="0"/>
  </w:num>
  <w:num w:numId="13">
    <w:abstractNumId w:val="13"/>
  </w:num>
  <w:num w:numId="14">
    <w:abstractNumId w:val="14"/>
  </w:num>
  <w:num w:numId="15">
    <w:abstractNumId w:val="3"/>
  </w:num>
  <w:num w:numId="16">
    <w:abstractNumId w:val="2"/>
  </w:num>
  <w:num w:numId="17">
    <w:abstractNumId w:val="17"/>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D8A"/>
    <w:rsid w:val="00003CC3"/>
    <w:rsid w:val="00004038"/>
    <w:rsid w:val="0000488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F98"/>
    <w:rsid w:val="0001695E"/>
    <w:rsid w:val="00016C0B"/>
    <w:rsid w:val="00016E88"/>
    <w:rsid w:val="000174F5"/>
    <w:rsid w:val="00020680"/>
    <w:rsid w:val="00020D86"/>
    <w:rsid w:val="00021989"/>
    <w:rsid w:val="00021B04"/>
    <w:rsid w:val="00021C5F"/>
    <w:rsid w:val="00022BBC"/>
    <w:rsid w:val="00023F33"/>
    <w:rsid w:val="00024545"/>
    <w:rsid w:val="000245D7"/>
    <w:rsid w:val="000259B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1EAB"/>
    <w:rsid w:val="00042473"/>
    <w:rsid w:val="00043077"/>
    <w:rsid w:val="000441B5"/>
    <w:rsid w:val="00044592"/>
    <w:rsid w:val="00044C5F"/>
    <w:rsid w:val="000450F5"/>
    <w:rsid w:val="000466B1"/>
    <w:rsid w:val="000466D5"/>
    <w:rsid w:val="000525F8"/>
    <w:rsid w:val="0005285F"/>
    <w:rsid w:val="00053207"/>
    <w:rsid w:val="0005370C"/>
    <w:rsid w:val="000540E8"/>
    <w:rsid w:val="00054705"/>
    <w:rsid w:val="00054D3C"/>
    <w:rsid w:val="00055248"/>
    <w:rsid w:val="00055950"/>
    <w:rsid w:val="00055F66"/>
    <w:rsid w:val="000562FB"/>
    <w:rsid w:val="000565B2"/>
    <w:rsid w:val="000567EB"/>
    <w:rsid w:val="00060DBB"/>
    <w:rsid w:val="00061268"/>
    <w:rsid w:val="00061610"/>
    <w:rsid w:val="000616B5"/>
    <w:rsid w:val="00061C4C"/>
    <w:rsid w:val="0006202A"/>
    <w:rsid w:val="000620CD"/>
    <w:rsid w:val="00062802"/>
    <w:rsid w:val="00062B50"/>
    <w:rsid w:val="00062BE3"/>
    <w:rsid w:val="00064906"/>
    <w:rsid w:val="00064FD9"/>
    <w:rsid w:val="00067446"/>
    <w:rsid w:val="00067B5A"/>
    <w:rsid w:val="00070777"/>
    <w:rsid w:val="00070AA4"/>
    <w:rsid w:val="00071C6F"/>
    <w:rsid w:val="00071E8C"/>
    <w:rsid w:val="00071F15"/>
    <w:rsid w:val="000728B9"/>
    <w:rsid w:val="00072ED2"/>
    <w:rsid w:val="000737BF"/>
    <w:rsid w:val="00073A6C"/>
    <w:rsid w:val="00074A23"/>
    <w:rsid w:val="00074C62"/>
    <w:rsid w:val="000755A5"/>
    <w:rsid w:val="000756DE"/>
    <w:rsid w:val="00076647"/>
    <w:rsid w:val="00076CEA"/>
    <w:rsid w:val="00077661"/>
    <w:rsid w:val="00077DFD"/>
    <w:rsid w:val="00080A85"/>
    <w:rsid w:val="0008122B"/>
    <w:rsid w:val="0008141F"/>
    <w:rsid w:val="00082683"/>
    <w:rsid w:val="00083375"/>
    <w:rsid w:val="00083849"/>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67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EF4"/>
    <w:rsid w:val="000B0351"/>
    <w:rsid w:val="000B03B9"/>
    <w:rsid w:val="000B0431"/>
    <w:rsid w:val="000B1A06"/>
    <w:rsid w:val="000B1F22"/>
    <w:rsid w:val="000B2866"/>
    <w:rsid w:val="000B2909"/>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3FF6"/>
    <w:rsid w:val="000C4139"/>
    <w:rsid w:val="000C419E"/>
    <w:rsid w:val="000C47B5"/>
    <w:rsid w:val="000C5414"/>
    <w:rsid w:val="000C5BCE"/>
    <w:rsid w:val="000C5DC1"/>
    <w:rsid w:val="000C6670"/>
    <w:rsid w:val="000C6B94"/>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2050"/>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5BE0"/>
    <w:rsid w:val="0010644A"/>
    <w:rsid w:val="0010719A"/>
    <w:rsid w:val="001108F3"/>
    <w:rsid w:val="00110B09"/>
    <w:rsid w:val="00110C32"/>
    <w:rsid w:val="00111BFC"/>
    <w:rsid w:val="00111CBB"/>
    <w:rsid w:val="0011210D"/>
    <w:rsid w:val="001125FC"/>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0683"/>
    <w:rsid w:val="001312BC"/>
    <w:rsid w:val="00131911"/>
    <w:rsid w:val="00131CDF"/>
    <w:rsid w:val="00132391"/>
    <w:rsid w:val="00133BFB"/>
    <w:rsid w:val="00133DCC"/>
    <w:rsid w:val="00134A68"/>
    <w:rsid w:val="00134AB5"/>
    <w:rsid w:val="00135132"/>
    <w:rsid w:val="0013555E"/>
    <w:rsid w:val="001357C5"/>
    <w:rsid w:val="00135B0C"/>
    <w:rsid w:val="00136897"/>
    <w:rsid w:val="0013695E"/>
    <w:rsid w:val="00136AF0"/>
    <w:rsid w:val="00136FB8"/>
    <w:rsid w:val="0014043C"/>
    <w:rsid w:val="00140D7E"/>
    <w:rsid w:val="00142417"/>
    <w:rsid w:val="00142BA6"/>
    <w:rsid w:val="00143682"/>
    <w:rsid w:val="001441D3"/>
    <w:rsid w:val="001450E2"/>
    <w:rsid w:val="001460CF"/>
    <w:rsid w:val="00146509"/>
    <w:rsid w:val="0014671A"/>
    <w:rsid w:val="00146991"/>
    <w:rsid w:val="00147CCC"/>
    <w:rsid w:val="00147FEF"/>
    <w:rsid w:val="0015050B"/>
    <w:rsid w:val="00151A88"/>
    <w:rsid w:val="0015261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6A4"/>
    <w:rsid w:val="001636D5"/>
    <w:rsid w:val="00163EBF"/>
    <w:rsid w:val="00164BCE"/>
    <w:rsid w:val="001659D0"/>
    <w:rsid w:val="0016604B"/>
    <w:rsid w:val="0016700D"/>
    <w:rsid w:val="00167ADD"/>
    <w:rsid w:val="001702C6"/>
    <w:rsid w:val="001711A1"/>
    <w:rsid w:val="001712D4"/>
    <w:rsid w:val="00172205"/>
    <w:rsid w:val="0017260E"/>
    <w:rsid w:val="001729D0"/>
    <w:rsid w:val="00172B51"/>
    <w:rsid w:val="00172BE3"/>
    <w:rsid w:val="00172C89"/>
    <w:rsid w:val="0017568D"/>
    <w:rsid w:val="00175C14"/>
    <w:rsid w:val="001761CB"/>
    <w:rsid w:val="0017651E"/>
    <w:rsid w:val="00176B9E"/>
    <w:rsid w:val="001778B4"/>
    <w:rsid w:val="001779CB"/>
    <w:rsid w:val="00177B53"/>
    <w:rsid w:val="001826D0"/>
    <w:rsid w:val="0018345B"/>
    <w:rsid w:val="0018356C"/>
    <w:rsid w:val="0018358B"/>
    <w:rsid w:val="0018454F"/>
    <w:rsid w:val="001846BB"/>
    <w:rsid w:val="00184D29"/>
    <w:rsid w:val="001854BD"/>
    <w:rsid w:val="00185DC5"/>
    <w:rsid w:val="00186701"/>
    <w:rsid w:val="00186FB3"/>
    <w:rsid w:val="0018765B"/>
    <w:rsid w:val="00191C06"/>
    <w:rsid w:val="00192287"/>
    <w:rsid w:val="001923AE"/>
    <w:rsid w:val="001924B2"/>
    <w:rsid w:val="00193379"/>
    <w:rsid w:val="00194B7B"/>
    <w:rsid w:val="00194D1F"/>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6E87"/>
    <w:rsid w:val="001B7CDB"/>
    <w:rsid w:val="001B7EF3"/>
    <w:rsid w:val="001C0151"/>
    <w:rsid w:val="001C0C36"/>
    <w:rsid w:val="001C100F"/>
    <w:rsid w:val="001C1402"/>
    <w:rsid w:val="001C1FDF"/>
    <w:rsid w:val="001C2557"/>
    <w:rsid w:val="001C25AB"/>
    <w:rsid w:val="001C2644"/>
    <w:rsid w:val="001C2B0B"/>
    <w:rsid w:val="001C2B81"/>
    <w:rsid w:val="001C36D8"/>
    <w:rsid w:val="001C39B4"/>
    <w:rsid w:val="001C3A80"/>
    <w:rsid w:val="001C421F"/>
    <w:rsid w:val="001C422B"/>
    <w:rsid w:val="001C4609"/>
    <w:rsid w:val="001C502D"/>
    <w:rsid w:val="001C53B0"/>
    <w:rsid w:val="001C7394"/>
    <w:rsid w:val="001C7EC3"/>
    <w:rsid w:val="001D07F6"/>
    <w:rsid w:val="001D0DCF"/>
    <w:rsid w:val="001D31A6"/>
    <w:rsid w:val="001D3B81"/>
    <w:rsid w:val="001D40CC"/>
    <w:rsid w:val="001D4D61"/>
    <w:rsid w:val="001D4D8C"/>
    <w:rsid w:val="001D5282"/>
    <w:rsid w:val="001D529D"/>
    <w:rsid w:val="001D577C"/>
    <w:rsid w:val="001D694C"/>
    <w:rsid w:val="001D754A"/>
    <w:rsid w:val="001E0A4C"/>
    <w:rsid w:val="001E22E5"/>
    <w:rsid w:val="001E288A"/>
    <w:rsid w:val="001E2A02"/>
    <w:rsid w:val="001E2B84"/>
    <w:rsid w:val="001E338B"/>
    <w:rsid w:val="001E3B11"/>
    <w:rsid w:val="001E4C02"/>
    <w:rsid w:val="001E59CA"/>
    <w:rsid w:val="001E65E8"/>
    <w:rsid w:val="001E6AE5"/>
    <w:rsid w:val="001E7020"/>
    <w:rsid w:val="001E71FD"/>
    <w:rsid w:val="001E77A9"/>
    <w:rsid w:val="001E7BD1"/>
    <w:rsid w:val="001F16EB"/>
    <w:rsid w:val="001F2154"/>
    <w:rsid w:val="001F287C"/>
    <w:rsid w:val="001F2D73"/>
    <w:rsid w:val="001F5050"/>
    <w:rsid w:val="001F625A"/>
    <w:rsid w:val="001F6B28"/>
    <w:rsid w:val="001F6C56"/>
    <w:rsid w:val="001F72DF"/>
    <w:rsid w:val="001F77D0"/>
    <w:rsid w:val="002010A9"/>
    <w:rsid w:val="00201769"/>
    <w:rsid w:val="00201A22"/>
    <w:rsid w:val="0020247E"/>
    <w:rsid w:val="002025FD"/>
    <w:rsid w:val="00203FD3"/>
    <w:rsid w:val="00204E39"/>
    <w:rsid w:val="00205A55"/>
    <w:rsid w:val="00206222"/>
    <w:rsid w:val="0020694D"/>
    <w:rsid w:val="00206AEC"/>
    <w:rsid w:val="00206B99"/>
    <w:rsid w:val="002073D2"/>
    <w:rsid w:val="002078AA"/>
    <w:rsid w:val="00210261"/>
    <w:rsid w:val="0021074F"/>
    <w:rsid w:val="002111AC"/>
    <w:rsid w:val="0021188E"/>
    <w:rsid w:val="00212E08"/>
    <w:rsid w:val="00212E7E"/>
    <w:rsid w:val="0021302A"/>
    <w:rsid w:val="00213783"/>
    <w:rsid w:val="00213C05"/>
    <w:rsid w:val="00214685"/>
    <w:rsid w:val="002147E4"/>
    <w:rsid w:val="00214CE8"/>
    <w:rsid w:val="002161AD"/>
    <w:rsid w:val="00216595"/>
    <w:rsid w:val="002165D6"/>
    <w:rsid w:val="00216AB7"/>
    <w:rsid w:val="002170A5"/>
    <w:rsid w:val="00217F57"/>
    <w:rsid w:val="00221687"/>
    <w:rsid w:val="00221709"/>
    <w:rsid w:val="0022246E"/>
    <w:rsid w:val="00222A05"/>
    <w:rsid w:val="00222A1D"/>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0F0"/>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41B3"/>
    <w:rsid w:val="002558BB"/>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60B"/>
    <w:rsid w:val="00283B3F"/>
    <w:rsid w:val="002841EE"/>
    <w:rsid w:val="002844AF"/>
    <w:rsid w:val="00284891"/>
    <w:rsid w:val="00285B3A"/>
    <w:rsid w:val="00285C95"/>
    <w:rsid w:val="00286C13"/>
    <w:rsid w:val="00286D80"/>
    <w:rsid w:val="00287888"/>
    <w:rsid w:val="0029003F"/>
    <w:rsid w:val="002912EF"/>
    <w:rsid w:val="00291333"/>
    <w:rsid w:val="00291341"/>
    <w:rsid w:val="002926B1"/>
    <w:rsid w:val="00292CA5"/>
    <w:rsid w:val="00293B1D"/>
    <w:rsid w:val="00293E41"/>
    <w:rsid w:val="00295E73"/>
    <w:rsid w:val="00296748"/>
    <w:rsid w:val="0029713B"/>
    <w:rsid w:val="00297C79"/>
    <w:rsid w:val="002A0081"/>
    <w:rsid w:val="002A0713"/>
    <w:rsid w:val="002A18E6"/>
    <w:rsid w:val="002A1AAC"/>
    <w:rsid w:val="002A2985"/>
    <w:rsid w:val="002A2DB9"/>
    <w:rsid w:val="002A2E60"/>
    <w:rsid w:val="002A4088"/>
    <w:rsid w:val="002A4403"/>
    <w:rsid w:val="002A4AD1"/>
    <w:rsid w:val="002A4AE9"/>
    <w:rsid w:val="002A4B47"/>
    <w:rsid w:val="002A5750"/>
    <w:rsid w:val="002A657D"/>
    <w:rsid w:val="002A6B3D"/>
    <w:rsid w:val="002A6E86"/>
    <w:rsid w:val="002A6EF0"/>
    <w:rsid w:val="002B0967"/>
    <w:rsid w:val="002B1C00"/>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9AF"/>
    <w:rsid w:val="002C62F6"/>
    <w:rsid w:val="002C6CED"/>
    <w:rsid w:val="002C6F55"/>
    <w:rsid w:val="002D0290"/>
    <w:rsid w:val="002D0481"/>
    <w:rsid w:val="002D0C9B"/>
    <w:rsid w:val="002D1979"/>
    <w:rsid w:val="002D268B"/>
    <w:rsid w:val="002D276A"/>
    <w:rsid w:val="002D2CEE"/>
    <w:rsid w:val="002D2F4F"/>
    <w:rsid w:val="002D3701"/>
    <w:rsid w:val="002D3CF1"/>
    <w:rsid w:val="002D3F79"/>
    <w:rsid w:val="002D413F"/>
    <w:rsid w:val="002D4B99"/>
    <w:rsid w:val="002D6E4D"/>
    <w:rsid w:val="002D724E"/>
    <w:rsid w:val="002D7BA0"/>
    <w:rsid w:val="002E1666"/>
    <w:rsid w:val="002E24E8"/>
    <w:rsid w:val="002E2968"/>
    <w:rsid w:val="002E3127"/>
    <w:rsid w:val="002E3358"/>
    <w:rsid w:val="002E3511"/>
    <w:rsid w:val="002E3777"/>
    <w:rsid w:val="002E3B43"/>
    <w:rsid w:val="002E3D1C"/>
    <w:rsid w:val="002E5953"/>
    <w:rsid w:val="002E5971"/>
    <w:rsid w:val="002E5EAB"/>
    <w:rsid w:val="002E6032"/>
    <w:rsid w:val="002E60D4"/>
    <w:rsid w:val="002E773F"/>
    <w:rsid w:val="002E791E"/>
    <w:rsid w:val="002F02E0"/>
    <w:rsid w:val="002F1480"/>
    <w:rsid w:val="002F19AF"/>
    <w:rsid w:val="002F1B7B"/>
    <w:rsid w:val="002F1C6A"/>
    <w:rsid w:val="002F1FCB"/>
    <w:rsid w:val="002F20C1"/>
    <w:rsid w:val="002F282F"/>
    <w:rsid w:val="002F2BC5"/>
    <w:rsid w:val="002F32F4"/>
    <w:rsid w:val="002F3B18"/>
    <w:rsid w:val="002F3DC5"/>
    <w:rsid w:val="002F41B8"/>
    <w:rsid w:val="002F4F72"/>
    <w:rsid w:val="002F511C"/>
    <w:rsid w:val="002F5E12"/>
    <w:rsid w:val="002F67C7"/>
    <w:rsid w:val="002F6EC3"/>
    <w:rsid w:val="002F7028"/>
    <w:rsid w:val="002F7173"/>
    <w:rsid w:val="002F7484"/>
    <w:rsid w:val="002F77C3"/>
    <w:rsid w:val="00301CB4"/>
    <w:rsid w:val="00302960"/>
    <w:rsid w:val="0030330D"/>
    <w:rsid w:val="00304999"/>
    <w:rsid w:val="00304C9C"/>
    <w:rsid w:val="00304F25"/>
    <w:rsid w:val="003056B2"/>
    <w:rsid w:val="00305D48"/>
    <w:rsid w:val="00306940"/>
    <w:rsid w:val="00307353"/>
    <w:rsid w:val="00307E06"/>
    <w:rsid w:val="0031096E"/>
    <w:rsid w:val="00311560"/>
    <w:rsid w:val="00311708"/>
    <w:rsid w:val="00311BB1"/>
    <w:rsid w:val="00311DCF"/>
    <w:rsid w:val="00312470"/>
    <w:rsid w:val="0031285C"/>
    <w:rsid w:val="00313A44"/>
    <w:rsid w:val="00314F14"/>
    <w:rsid w:val="003150CD"/>
    <w:rsid w:val="003154AB"/>
    <w:rsid w:val="003155CF"/>
    <w:rsid w:val="00315BA3"/>
    <w:rsid w:val="00315D94"/>
    <w:rsid w:val="00316707"/>
    <w:rsid w:val="00317B07"/>
    <w:rsid w:val="00317BDE"/>
    <w:rsid w:val="00317DC3"/>
    <w:rsid w:val="0032088F"/>
    <w:rsid w:val="00321643"/>
    <w:rsid w:val="00321A91"/>
    <w:rsid w:val="00321E0C"/>
    <w:rsid w:val="00321E63"/>
    <w:rsid w:val="00322486"/>
    <w:rsid w:val="00323295"/>
    <w:rsid w:val="00323848"/>
    <w:rsid w:val="00323FF5"/>
    <w:rsid w:val="0032464C"/>
    <w:rsid w:val="00324B78"/>
    <w:rsid w:val="003253CA"/>
    <w:rsid w:val="00326D5E"/>
    <w:rsid w:val="00327A8E"/>
    <w:rsid w:val="00327BDD"/>
    <w:rsid w:val="003314B5"/>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93C"/>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5EAB"/>
    <w:rsid w:val="00385FE0"/>
    <w:rsid w:val="00386F92"/>
    <w:rsid w:val="003874C3"/>
    <w:rsid w:val="00387725"/>
    <w:rsid w:val="00387C65"/>
    <w:rsid w:val="00390CDE"/>
    <w:rsid w:val="00392B20"/>
    <w:rsid w:val="00394516"/>
    <w:rsid w:val="003953D1"/>
    <w:rsid w:val="003958EC"/>
    <w:rsid w:val="003961E1"/>
    <w:rsid w:val="003974F9"/>
    <w:rsid w:val="00397AB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3EC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4D85"/>
    <w:rsid w:val="003C5D9D"/>
    <w:rsid w:val="003C61DE"/>
    <w:rsid w:val="003C7036"/>
    <w:rsid w:val="003C7781"/>
    <w:rsid w:val="003C7FA5"/>
    <w:rsid w:val="003D0C96"/>
    <w:rsid w:val="003D0E78"/>
    <w:rsid w:val="003D182D"/>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675"/>
    <w:rsid w:val="003E3999"/>
    <w:rsid w:val="003E43BE"/>
    <w:rsid w:val="003E4A4E"/>
    <w:rsid w:val="003E504F"/>
    <w:rsid w:val="003E5B98"/>
    <w:rsid w:val="003E62FB"/>
    <w:rsid w:val="003E66EC"/>
    <w:rsid w:val="003E6A41"/>
    <w:rsid w:val="003E7801"/>
    <w:rsid w:val="003F0AF5"/>
    <w:rsid w:val="003F14E4"/>
    <w:rsid w:val="003F1FC5"/>
    <w:rsid w:val="003F369B"/>
    <w:rsid w:val="003F3E65"/>
    <w:rsid w:val="003F42FC"/>
    <w:rsid w:val="003F4833"/>
    <w:rsid w:val="003F4B68"/>
    <w:rsid w:val="003F532D"/>
    <w:rsid w:val="003F7A40"/>
    <w:rsid w:val="004003E7"/>
    <w:rsid w:val="00400CE8"/>
    <w:rsid w:val="00401B8F"/>
    <w:rsid w:val="00401FEB"/>
    <w:rsid w:val="004022FC"/>
    <w:rsid w:val="00402763"/>
    <w:rsid w:val="004027A1"/>
    <w:rsid w:val="00404F6C"/>
    <w:rsid w:val="004051E8"/>
    <w:rsid w:val="00405E13"/>
    <w:rsid w:val="00406284"/>
    <w:rsid w:val="00406A7E"/>
    <w:rsid w:val="00406B2A"/>
    <w:rsid w:val="00406B80"/>
    <w:rsid w:val="00406C21"/>
    <w:rsid w:val="00406FC8"/>
    <w:rsid w:val="0040758D"/>
    <w:rsid w:val="00407734"/>
    <w:rsid w:val="00407A5C"/>
    <w:rsid w:val="00410DDE"/>
    <w:rsid w:val="00411707"/>
    <w:rsid w:val="0041258E"/>
    <w:rsid w:val="00412C2F"/>
    <w:rsid w:val="0041486D"/>
    <w:rsid w:val="0041584F"/>
    <w:rsid w:val="00415924"/>
    <w:rsid w:val="004161B2"/>
    <w:rsid w:val="004165A7"/>
    <w:rsid w:val="00416F89"/>
    <w:rsid w:val="00417B7B"/>
    <w:rsid w:val="00420F39"/>
    <w:rsid w:val="004211BE"/>
    <w:rsid w:val="0042205F"/>
    <w:rsid w:val="00422E20"/>
    <w:rsid w:val="00423C26"/>
    <w:rsid w:val="00423E43"/>
    <w:rsid w:val="00424839"/>
    <w:rsid w:val="00424D35"/>
    <w:rsid w:val="00424DC8"/>
    <w:rsid w:val="004256FF"/>
    <w:rsid w:val="004258D6"/>
    <w:rsid w:val="004264F9"/>
    <w:rsid w:val="00426777"/>
    <w:rsid w:val="00427031"/>
    <w:rsid w:val="00427142"/>
    <w:rsid w:val="00427899"/>
    <w:rsid w:val="00427DBB"/>
    <w:rsid w:val="00427FBB"/>
    <w:rsid w:val="00430399"/>
    <w:rsid w:val="00430504"/>
    <w:rsid w:val="00430E42"/>
    <w:rsid w:val="0043209C"/>
    <w:rsid w:val="004322A6"/>
    <w:rsid w:val="00433351"/>
    <w:rsid w:val="004340BA"/>
    <w:rsid w:val="004348C5"/>
    <w:rsid w:val="00436B6F"/>
    <w:rsid w:val="00437D5A"/>
    <w:rsid w:val="0044044F"/>
    <w:rsid w:val="00441DE8"/>
    <w:rsid w:val="00442F01"/>
    <w:rsid w:val="00442F67"/>
    <w:rsid w:val="00442FBB"/>
    <w:rsid w:val="004433CD"/>
    <w:rsid w:val="00443487"/>
    <w:rsid w:val="0044467E"/>
    <w:rsid w:val="0044496C"/>
    <w:rsid w:val="00444F46"/>
    <w:rsid w:val="0044520F"/>
    <w:rsid w:val="00445422"/>
    <w:rsid w:val="004468EC"/>
    <w:rsid w:val="00446A05"/>
    <w:rsid w:val="00446B69"/>
    <w:rsid w:val="004502C5"/>
    <w:rsid w:val="004509CE"/>
    <w:rsid w:val="00450E5F"/>
    <w:rsid w:val="004515BE"/>
    <w:rsid w:val="004518AA"/>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A6"/>
    <w:rsid w:val="004668E6"/>
    <w:rsid w:val="004673D5"/>
    <w:rsid w:val="00470671"/>
    <w:rsid w:val="0047274B"/>
    <w:rsid w:val="00472B3D"/>
    <w:rsid w:val="00472D90"/>
    <w:rsid w:val="004733D2"/>
    <w:rsid w:val="00473EB5"/>
    <w:rsid w:val="0047647A"/>
    <w:rsid w:val="004771E5"/>
    <w:rsid w:val="00477357"/>
    <w:rsid w:val="00477E07"/>
    <w:rsid w:val="00480A69"/>
    <w:rsid w:val="004813E0"/>
    <w:rsid w:val="00482BE2"/>
    <w:rsid w:val="00483B0E"/>
    <w:rsid w:val="00484AE9"/>
    <w:rsid w:val="00484B78"/>
    <w:rsid w:val="00485508"/>
    <w:rsid w:val="0048659E"/>
    <w:rsid w:val="00486775"/>
    <w:rsid w:val="00486F06"/>
    <w:rsid w:val="004874A4"/>
    <w:rsid w:val="00491E99"/>
    <w:rsid w:val="004929E7"/>
    <w:rsid w:val="00492B1B"/>
    <w:rsid w:val="0049318A"/>
    <w:rsid w:val="00493A5B"/>
    <w:rsid w:val="00494CC0"/>
    <w:rsid w:val="00494F0A"/>
    <w:rsid w:val="00495547"/>
    <w:rsid w:val="004961AD"/>
    <w:rsid w:val="00496339"/>
    <w:rsid w:val="004967A0"/>
    <w:rsid w:val="00496C40"/>
    <w:rsid w:val="00497059"/>
    <w:rsid w:val="00497082"/>
    <w:rsid w:val="004973EC"/>
    <w:rsid w:val="00497B15"/>
    <w:rsid w:val="004A0617"/>
    <w:rsid w:val="004A0701"/>
    <w:rsid w:val="004A1A63"/>
    <w:rsid w:val="004A1E5F"/>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361"/>
    <w:rsid w:val="004B6800"/>
    <w:rsid w:val="004B69CB"/>
    <w:rsid w:val="004B6B98"/>
    <w:rsid w:val="004B712A"/>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392"/>
    <w:rsid w:val="004E4A63"/>
    <w:rsid w:val="004E531A"/>
    <w:rsid w:val="004E5A45"/>
    <w:rsid w:val="004E6061"/>
    <w:rsid w:val="004E6502"/>
    <w:rsid w:val="004E744E"/>
    <w:rsid w:val="004F026D"/>
    <w:rsid w:val="004F0402"/>
    <w:rsid w:val="004F07B7"/>
    <w:rsid w:val="004F12C9"/>
    <w:rsid w:val="004F14C7"/>
    <w:rsid w:val="004F1B13"/>
    <w:rsid w:val="004F28AC"/>
    <w:rsid w:val="004F2A92"/>
    <w:rsid w:val="004F2C78"/>
    <w:rsid w:val="004F2E5D"/>
    <w:rsid w:val="004F2E7C"/>
    <w:rsid w:val="004F421C"/>
    <w:rsid w:val="004F4289"/>
    <w:rsid w:val="004F48BF"/>
    <w:rsid w:val="004F5821"/>
    <w:rsid w:val="004F674E"/>
    <w:rsid w:val="004F6C74"/>
    <w:rsid w:val="005001E5"/>
    <w:rsid w:val="00500A0B"/>
    <w:rsid w:val="00500C4C"/>
    <w:rsid w:val="005015B3"/>
    <w:rsid w:val="005016CA"/>
    <w:rsid w:val="00502093"/>
    <w:rsid w:val="00502177"/>
    <w:rsid w:val="0050345B"/>
    <w:rsid w:val="005034CB"/>
    <w:rsid w:val="00504E19"/>
    <w:rsid w:val="005063B6"/>
    <w:rsid w:val="00506A1C"/>
    <w:rsid w:val="0050734D"/>
    <w:rsid w:val="00507AB3"/>
    <w:rsid w:val="00510956"/>
    <w:rsid w:val="00510F23"/>
    <w:rsid w:val="0051133B"/>
    <w:rsid w:val="005115C3"/>
    <w:rsid w:val="00515288"/>
    <w:rsid w:val="00515B21"/>
    <w:rsid w:val="00515CCD"/>
    <w:rsid w:val="00515CF2"/>
    <w:rsid w:val="00516E4D"/>
    <w:rsid w:val="00517079"/>
    <w:rsid w:val="00520023"/>
    <w:rsid w:val="005201C4"/>
    <w:rsid w:val="00520569"/>
    <w:rsid w:val="0052112A"/>
    <w:rsid w:val="005212AE"/>
    <w:rsid w:val="00521670"/>
    <w:rsid w:val="005229B8"/>
    <w:rsid w:val="00522C1A"/>
    <w:rsid w:val="00523091"/>
    <w:rsid w:val="0052381E"/>
    <w:rsid w:val="005242CB"/>
    <w:rsid w:val="00524D42"/>
    <w:rsid w:val="00526DC4"/>
    <w:rsid w:val="005274E0"/>
    <w:rsid w:val="00527F7B"/>
    <w:rsid w:val="005300DF"/>
    <w:rsid w:val="005315C5"/>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B9E"/>
    <w:rsid w:val="00541D68"/>
    <w:rsid w:val="00542646"/>
    <w:rsid w:val="00543994"/>
    <w:rsid w:val="00543C2D"/>
    <w:rsid w:val="00543DE7"/>
    <w:rsid w:val="0054479C"/>
    <w:rsid w:val="00544E43"/>
    <w:rsid w:val="00545C29"/>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B15"/>
    <w:rsid w:val="00556D72"/>
    <w:rsid w:val="00557727"/>
    <w:rsid w:val="00557C7D"/>
    <w:rsid w:val="00557EEB"/>
    <w:rsid w:val="00560145"/>
    <w:rsid w:val="0056061C"/>
    <w:rsid w:val="005609AA"/>
    <w:rsid w:val="00561AFE"/>
    <w:rsid w:val="00561B8F"/>
    <w:rsid w:val="00561E8A"/>
    <w:rsid w:val="0056210B"/>
    <w:rsid w:val="00562D03"/>
    <w:rsid w:val="005632DA"/>
    <w:rsid w:val="00563692"/>
    <w:rsid w:val="00563B9C"/>
    <w:rsid w:val="00564488"/>
    <w:rsid w:val="0056508D"/>
    <w:rsid w:val="0056581A"/>
    <w:rsid w:val="00565BED"/>
    <w:rsid w:val="00567CCF"/>
    <w:rsid w:val="00570608"/>
    <w:rsid w:val="005707BD"/>
    <w:rsid w:val="00570A3B"/>
    <w:rsid w:val="0057187A"/>
    <w:rsid w:val="005720EB"/>
    <w:rsid w:val="0057273D"/>
    <w:rsid w:val="005731B2"/>
    <w:rsid w:val="00573350"/>
    <w:rsid w:val="0057368C"/>
    <w:rsid w:val="00573D28"/>
    <w:rsid w:val="00573E34"/>
    <w:rsid w:val="005740D5"/>
    <w:rsid w:val="005740DA"/>
    <w:rsid w:val="00577656"/>
    <w:rsid w:val="0057772B"/>
    <w:rsid w:val="00580176"/>
    <w:rsid w:val="005802AF"/>
    <w:rsid w:val="00581327"/>
    <w:rsid w:val="005817AB"/>
    <w:rsid w:val="005818C6"/>
    <w:rsid w:val="00582C57"/>
    <w:rsid w:val="00584BAB"/>
    <w:rsid w:val="00584EFB"/>
    <w:rsid w:val="0058621D"/>
    <w:rsid w:val="00586D72"/>
    <w:rsid w:val="00586E4F"/>
    <w:rsid w:val="00587330"/>
    <w:rsid w:val="00587984"/>
    <w:rsid w:val="00587A84"/>
    <w:rsid w:val="00587B34"/>
    <w:rsid w:val="00590AF7"/>
    <w:rsid w:val="00592360"/>
    <w:rsid w:val="00593333"/>
    <w:rsid w:val="005960D3"/>
    <w:rsid w:val="005973A7"/>
    <w:rsid w:val="005A0825"/>
    <w:rsid w:val="005A09A3"/>
    <w:rsid w:val="005A1BF8"/>
    <w:rsid w:val="005A1FEE"/>
    <w:rsid w:val="005A273F"/>
    <w:rsid w:val="005A31E8"/>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5E3"/>
    <w:rsid w:val="005B6E2C"/>
    <w:rsid w:val="005B7438"/>
    <w:rsid w:val="005B7761"/>
    <w:rsid w:val="005C07BF"/>
    <w:rsid w:val="005C08BA"/>
    <w:rsid w:val="005C0DC0"/>
    <w:rsid w:val="005C161B"/>
    <w:rsid w:val="005C194D"/>
    <w:rsid w:val="005C21B5"/>
    <w:rsid w:val="005C3179"/>
    <w:rsid w:val="005C414E"/>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B6"/>
    <w:rsid w:val="006065FF"/>
    <w:rsid w:val="00607309"/>
    <w:rsid w:val="00607F3D"/>
    <w:rsid w:val="00610C46"/>
    <w:rsid w:val="00614079"/>
    <w:rsid w:val="00614188"/>
    <w:rsid w:val="00614E2D"/>
    <w:rsid w:val="00615362"/>
    <w:rsid w:val="006157B6"/>
    <w:rsid w:val="00615A62"/>
    <w:rsid w:val="00615EBC"/>
    <w:rsid w:val="00616F1D"/>
    <w:rsid w:val="00616FA1"/>
    <w:rsid w:val="006170B8"/>
    <w:rsid w:val="00617C77"/>
    <w:rsid w:val="0062006E"/>
    <w:rsid w:val="00620357"/>
    <w:rsid w:val="00620FB8"/>
    <w:rsid w:val="006214D7"/>
    <w:rsid w:val="00621B71"/>
    <w:rsid w:val="00622BEF"/>
    <w:rsid w:val="00623814"/>
    <w:rsid w:val="0062386E"/>
    <w:rsid w:val="00624802"/>
    <w:rsid w:val="00624F20"/>
    <w:rsid w:val="00625F4E"/>
    <w:rsid w:val="006279BE"/>
    <w:rsid w:val="006304BB"/>
    <w:rsid w:val="0063071F"/>
    <w:rsid w:val="00630C62"/>
    <w:rsid w:val="006311E2"/>
    <w:rsid w:val="00631207"/>
    <w:rsid w:val="00631DC1"/>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08C"/>
    <w:rsid w:val="00654244"/>
    <w:rsid w:val="006546B6"/>
    <w:rsid w:val="0065474F"/>
    <w:rsid w:val="006547BB"/>
    <w:rsid w:val="006555CA"/>
    <w:rsid w:val="00655BA3"/>
    <w:rsid w:val="00656089"/>
    <w:rsid w:val="006560E3"/>
    <w:rsid w:val="006564ED"/>
    <w:rsid w:val="00656C6E"/>
    <w:rsid w:val="0066116D"/>
    <w:rsid w:val="00661960"/>
    <w:rsid w:val="00663F47"/>
    <w:rsid w:val="00664AC4"/>
    <w:rsid w:val="00664FB0"/>
    <w:rsid w:val="0066505B"/>
    <w:rsid w:val="00665156"/>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0CE"/>
    <w:rsid w:val="00681AC1"/>
    <w:rsid w:val="00681EE7"/>
    <w:rsid w:val="00682165"/>
    <w:rsid w:val="0068313B"/>
    <w:rsid w:val="00683178"/>
    <w:rsid w:val="0068325D"/>
    <w:rsid w:val="00684F50"/>
    <w:rsid w:val="00685785"/>
    <w:rsid w:val="00686F6A"/>
    <w:rsid w:val="00687828"/>
    <w:rsid w:val="00687BEB"/>
    <w:rsid w:val="00691229"/>
    <w:rsid w:val="00691515"/>
    <w:rsid w:val="00692778"/>
    <w:rsid w:val="006927E4"/>
    <w:rsid w:val="00692B2A"/>
    <w:rsid w:val="006937A1"/>
    <w:rsid w:val="00693CC2"/>
    <w:rsid w:val="00693F50"/>
    <w:rsid w:val="00694688"/>
    <w:rsid w:val="00694863"/>
    <w:rsid w:val="006948AC"/>
    <w:rsid w:val="00694C91"/>
    <w:rsid w:val="00694D2F"/>
    <w:rsid w:val="00695D24"/>
    <w:rsid w:val="00696139"/>
    <w:rsid w:val="0069649D"/>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C52"/>
    <w:rsid w:val="006A52BF"/>
    <w:rsid w:val="006A55F1"/>
    <w:rsid w:val="006A5821"/>
    <w:rsid w:val="006A5A6C"/>
    <w:rsid w:val="006A61E5"/>
    <w:rsid w:val="006A654C"/>
    <w:rsid w:val="006A6B9A"/>
    <w:rsid w:val="006A7061"/>
    <w:rsid w:val="006B0915"/>
    <w:rsid w:val="006B0A9C"/>
    <w:rsid w:val="006B0B08"/>
    <w:rsid w:val="006B10A8"/>
    <w:rsid w:val="006B10B6"/>
    <w:rsid w:val="006B1B86"/>
    <w:rsid w:val="006B208B"/>
    <w:rsid w:val="006B3C7A"/>
    <w:rsid w:val="006B454E"/>
    <w:rsid w:val="006B462B"/>
    <w:rsid w:val="006B46C9"/>
    <w:rsid w:val="006B4FD6"/>
    <w:rsid w:val="006B511B"/>
    <w:rsid w:val="006B51C3"/>
    <w:rsid w:val="006B5508"/>
    <w:rsid w:val="006B7267"/>
    <w:rsid w:val="006C1371"/>
    <w:rsid w:val="006C1F9E"/>
    <w:rsid w:val="006C2F23"/>
    <w:rsid w:val="006C372B"/>
    <w:rsid w:val="006C408C"/>
    <w:rsid w:val="006C44AE"/>
    <w:rsid w:val="006C456A"/>
    <w:rsid w:val="006C564D"/>
    <w:rsid w:val="006C671F"/>
    <w:rsid w:val="006C6F3C"/>
    <w:rsid w:val="006C6FB7"/>
    <w:rsid w:val="006D007C"/>
    <w:rsid w:val="006D06F5"/>
    <w:rsid w:val="006D120B"/>
    <w:rsid w:val="006D12FD"/>
    <w:rsid w:val="006D1DB2"/>
    <w:rsid w:val="006D1F9F"/>
    <w:rsid w:val="006D318A"/>
    <w:rsid w:val="006D3FF8"/>
    <w:rsid w:val="006D428F"/>
    <w:rsid w:val="006D54E1"/>
    <w:rsid w:val="006D5A11"/>
    <w:rsid w:val="006D668F"/>
    <w:rsid w:val="006D78DA"/>
    <w:rsid w:val="006E0406"/>
    <w:rsid w:val="006E09D6"/>
    <w:rsid w:val="006E1695"/>
    <w:rsid w:val="006E197B"/>
    <w:rsid w:val="006E1AC8"/>
    <w:rsid w:val="006E22C9"/>
    <w:rsid w:val="006E2B27"/>
    <w:rsid w:val="006E515E"/>
    <w:rsid w:val="006E58AF"/>
    <w:rsid w:val="006E5EBC"/>
    <w:rsid w:val="006E698C"/>
    <w:rsid w:val="006E6A36"/>
    <w:rsid w:val="006E77AA"/>
    <w:rsid w:val="006E7F21"/>
    <w:rsid w:val="006F0329"/>
    <w:rsid w:val="006F0771"/>
    <w:rsid w:val="006F0913"/>
    <w:rsid w:val="006F0BF7"/>
    <w:rsid w:val="006F2087"/>
    <w:rsid w:val="006F2412"/>
    <w:rsid w:val="006F3230"/>
    <w:rsid w:val="006F345D"/>
    <w:rsid w:val="006F3FE0"/>
    <w:rsid w:val="006F462B"/>
    <w:rsid w:val="006F6131"/>
    <w:rsid w:val="006F650D"/>
    <w:rsid w:val="006F68C0"/>
    <w:rsid w:val="006F68E5"/>
    <w:rsid w:val="00700013"/>
    <w:rsid w:val="007007EB"/>
    <w:rsid w:val="00701329"/>
    <w:rsid w:val="007017F0"/>
    <w:rsid w:val="00701D51"/>
    <w:rsid w:val="00702862"/>
    <w:rsid w:val="007037DD"/>
    <w:rsid w:val="00703AE1"/>
    <w:rsid w:val="00703B2F"/>
    <w:rsid w:val="0070428E"/>
    <w:rsid w:val="007042B5"/>
    <w:rsid w:val="00704634"/>
    <w:rsid w:val="00705D6A"/>
    <w:rsid w:val="00705E84"/>
    <w:rsid w:val="00706144"/>
    <w:rsid w:val="007061EE"/>
    <w:rsid w:val="007063E6"/>
    <w:rsid w:val="00706BBC"/>
    <w:rsid w:val="00707031"/>
    <w:rsid w:val="00707245"/>
    <w:rsid w:val="00710B09"/>
    <w:rsid w:val="00711EB9"/>
    <w:rsid w:val="0071200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52A6"/>
    <w:rsid w:val="00727C09"/>
    <w:rsid w:val="00727D9C"/>
    <w:rsid w:val="00730089"/>
    <w:rsid w:val="00730250"/>
    <w:rsid w:val="00730453"/>
    <w:rsid w:val="0073182F"/>
    <w:rsid w:val="00731990"/>
    <w:rsid w:val="0073212F"/>
    <w:rsid w:val="007324A9"/>
    <w:rsid w:val="00732E5C"/>
    <w:rsid w:val="007332CB"/>
    <w:rsid w:val="0073330B"/>
    <w:rsid w:val="00734300"/>
    <w:rsid w:val="0073439D"/>
    <w:rsid w:val="00734795"/>
    <w:rsid w:val="00736F71"/>
    <w:rsid w:val="00740D93"/>
    <w:rsid w:val="007426D1"/>
    <w:rsid w:val="00743E50"/>
    <w:rsid w:val="00743F9C"/>
    <w:rsid w:val="00744DC2"/>
    <w:rsid w:val="00744E48"/>
    <w:rsid w:val="00744EED"/>
    <w:rsid w:val="00746015"/>
    <w:rsid w:val="00746730"/>
    <w:rsid w:val="00750BB4"/>
    <w:rsid w:val="00751760"/>
    <w:rsid w:val="00752C85"/>
    <w:rsid w:val="00752CFC"/>
    <w:rsid w:val="007544FC"/>
    <w:rsid w:val="007562AF"/>
    <w:rsid w:val="00756771"/>
    <w:rsid w:val="00756A0B"/>
    <w:rsid w:val="00757070"/>
    <w:rsid w:val="0075716B"/>
    <w:rsid w:val="00757251"/>
    <w:rsid w:val="007573A2"/>
    <w:rsid w:val="00757BFC"/>
    <w:rsid w:val="00757FD7"/>
    <w:rsid w:val="00760108"/>
    <w:rsid w:val="00760AB6"/>
    <w:rsid w:val="00760DD6"/>
    <w:rsid w:val="00761447"/>
    <w:rsid w:val="00761559"/>
    <w:rsid w:val="00762460"/>
    <w:rsid w:val="00762B99"/>
    <w:rsid w:val="007652E3"/>
    <w:rsid w:val="007656A2"/>
    <w:rsid w:val="00766389"/>
    <w:rsid w:val="007677CD"/>
    <w:rsid w:val="00767FE0"/>
    <w:rsid w:val="00770340"/>
    <w:rsid w:val="00770536"/>
    <w:rsid w:val="00770AC5"/>
    <w:rsid w:val="007711A1"/>
    <w:rsid w:val="00771AF2"/>
    <w:rsid w:val="00772268"/>
    <w:rsid w:val="007722CF"/>
    <w:rsid w:val="00772E06"/>
    <w:rsid w:val="00772E56"/>
    <w:rsid w:val="00773C44"/>
    <w:rsid w:val="00774396"/>
    <w:rsid w:val="007743DD"/>
    <w:rsid w:val="007758EE"/>
    <w:rsid w:val="00775BD0"/>
    <w:rsid w:val="007771C3"/>
    <w:rsid w:val="007779BF"/>
    <w:rsid w:val="00777B9A"/>
    <w:rsid w:val="00777CFA"/>
    <w:rsid w:val="00777F6C"/>
    <w:rsid w:val="007806D4"/>
    <w:rsid w:val="00781E84"/>
    <w:rsid w:val="00781EFF"/>
    <w:rsid w:val="00782019"/>
    <w:rsid w:val="007841D1"/>
    <w:rsid w:val="00784FD7"/>
    <w:rsid w:val="00786A0E"/>
    <w:rsid w:val="00787328"/>
    <w:rsid w:val="00787ABD"/>
    <w:rsid w:val="00787FF8"/>
    <w:rsid w:val="007904C9"/>
    <w:rsid w:val="00790CF4"/>
    <w:rsid w:val="00790DA7"/>
    <w:rsid w:val="00791F5C"/>
    <w:rsid w:val="007927EC"/>
    <w:rsid w:val="00792E46"/>
    <w:rsid w:val="00792E5F"/>
    <w:rsid w:val="00793027"/>
    <w:rsid w:val="00793502"/>
    <w:rsid w:val="00793C07"/>
    <w:rsid w:val="00795A12"/>
    <w:rsid w:val="00796315"/>
    <w:rsid w:val="00796538"/>
    <w:rsid w:val="00796AB8"/>
    <w:rsid w:val="00796CE5"/>
    <w:rsid w:val="0079747B"/>
    <w:rsid w:val="007A0C87"/>
    <w:rsid w:val="007A0DD5"/>
    <w:rsid w:val="007A1877"/>
    <w:rsid w:val="007A1A79"/>
    <w:rsid w:val="007A367E"/>
    <w:rsid w:val="007A3AF8"/>
    <w:rsid w:val="007A43A0"/>
    <w:rsid w:val="007A47F2"/>
    <w:rsid w:val="007A490A"/>
    <w:rsid w:val="007A530A"/>
    <w:rsid w:val="007A65AF"/>
    <w:rsid w:val="007A6C65"/>
    <w:rsid w:val="007A719C"/>
    <w:rsid w:val="007A726F"/>
    <w:rsid w:val="007A757A"/>
    <w:rsid w:val="007A7BDA"/>
    <w:rsid w:val="007B08F4"/>
    <w:rsid w:val="007B0A40"/>
    <w:rsid w:val="007B14D2"/>
    <w:rsid w:val="007B34BC"/>
    <w:rsid w:val="007B39C4"/>
    <w:rsid w:val="007B452B"/>
    <w:rsid w:val="007B4559"/>
    <w:rsid w:val="007B4EEE"/>
    <w:rsid w:val="007B5EBB"/>
    <w:rsid w:val="007B65D2"/>
    <w:rsid w:val="007B6AD5"/>
    <w:rsid w:val="007B6ED0"/>
    <w:rsid w:val="007C04A2"/>
    <w:rsid w:val="007C1271"/>
    <w:rsid w:val="007C23C0"/>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8EB"/>
    <w:rsid w:val="007D6461"/>
    <w:rsid w:val="007E3210"/>
    <w:rsid w:val="007E32FC"/>
    <w:rsid w:val="007E4266"/>
    <w:rsid w:val="007E4EA5"/>
    <w:rsid w:val="007E5A5C"/>
    <w:rsid w:val="007E6F31"/>
    <w:rsid w:val="007E7A9C"/>
    <w:rsid w:val="007F0BA9"/>
    <w:rsid w:val="007F1181"/>
    <w:rsid w:val="007F14CC"/>
    <w:rsid w:val="007F17A3"/>
    <w:rsid w:val="007F1A1A"/>
    <w:rsid w:val="007F1ECE"/>
    <w:rsid w:val="007F289D"/>
    <w:rsid w:val="007F2DD4"/>
    <w:rsid w:val="007F35C6"/>
    <w:rsid w:val="007F3BF0"/>
    <w:rsid w:val="007F4946"/>
    <w:rsid w:val="007F4B42"/>
    <w:rsid w:val="007F56B9"/>
    <w:rsid w:val="007F5B11"/>
    <w:rsid w:val="007F7CB7"/>
    <w:rsid w:val="007F7F91"/>
    <w:rsid w:val="00801A10"/>
    <w:rsid w:val="00801F35"/>
    <w:rsid w:val="00803391"/>
    <w:rsid w:val="00803D63"/>
    <w:rsid w:val="00805B95"/>
    <w:rsid w:val="008061D6"/>
    <w:rsid w:val="008068C9"/>
    <w:rsid w:val="00806D14"/>
    <w:rsid w:val="0080728A"/>
    <w:rsid w:val="00807D76"/>
    <w:rsid w:val="00810697"/>
    <w:rsid w:val="00811182"/>
    <w:rsid w:val="00811407"/>
    <w:rsid w:val="00811B44"/>
    <w:rsid w:val="008122E4"/>
    <w:rsid w:val="00812D5A"/>
    <w:rsid w:val="00813494"/>
    <w:rsid w:val="00813755"/>
    <w:rsid w:val="00814E0F"/>
    <w:rsid w:val="008161D5"/>
    <w:rsid w:val="00817A06"/>
    <w:rsid w:val="00817BE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0F61"/>
    <w:rsid w:val="008312B3"/>
    <w:rsid w:val="008315F3"/>
    <w:rsid w:val="0083287B"/>
    <w:rsid w:val="00832A83"/>
    <w:rsid w:val="00832D2B"/>
    <w:rsid w:val="00833114"/>
    <w:rsid w:val="008357D2"/>
    <w:rsid w:val="00836E6B"/>
    <w:rsid w:val="008370CF"/>
    <w:rsid w:val="00837CEF"/>
    <w:rsid w:val="00840C89"/>
    <w:rsid w:val="0084114B"/>
    <w:rsid w:val="0084128B"/>
    <w:rsid w:val="00841701"/>
    <w:rsid w:val="00842756"/>
    <w:rsid w:val="008430AD"/>
    <w:rsid w:val="008433AE"/>
    <w:rsid w:val="0084355F"/>
    <w:rsid w:val="00843D17"/>
    <w:rsid w:val="0084471E"/>
    <w:rsid w:val="008460D0"/>
    <w:rsid w:val="0084703C"/>
    <w:rsid w:val="008473A8"/>
    <w:rsid w:val="00847424"/>
    <w:rsid w:val="008474F5"/>
    <w:rsid w:val="00847B25"/>
    <w:rsid w:val="00850259"/>
    <w:rsid w:val="008504C8"/>
    <w:rsid w:val="00851000"/>
    <w:rsid w:val="00851789"/>
    <w:rsid w:val="00853A6B"/>
    <w:rsid w:val="00854886"/>
    <w:rsid w:val="00855029"/>
    <w:rsid w:val="0085507C"/>
    <w:rsid w:val="0085563E"/>
    <w:rsid w:val="008601DA"/>
    <w:rsid w:val="00861653"/>
    <w:rsid w:val="00861978"/>
    <w:rsid w:val="008625C0"/>
    <w:rsid w:val="00863418"/>
    <w:rsid w:val="008634C5"/>
    <w:rsid w:val="00863FB1"/>
    <w:rsid w:val="00864F72"/>
    <w:rsid w:val="0086586D"/>
    <w:rsid w:val="00865B42"/>
    <w:rsid w:val="00866DED"/>
    <w:rsid w:val="00866DF0"/>
    <w:rsid w:val="008672F5"/>
    <w:rsid w:val="00870822"/>
    <w:rsid w:val="0087089C"/>
    <w:rsid w:val="008709B3"/>
    <w:rsid w:val="00870DB7"/>
    <w:rsid w:val="0087133F"/>
    <w:rsid w:val="0087135B"/>
    <w:rsid w:val="00871CF9"/>
    <w:rsid w:val="008721B7"/>
    <w:rsid w:val="008728A9"/>
    <w:rsid w:val="008728C1"/>
    <w:rsid w:val="00872D12"/>
    <w:rsid w:val="00873D60"/>
    <w:rsid w:val="008740F9"/>
    <w:rsid w:val="00874818"/>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192E"/>
    <w:rsid w:val="00883058"/>
    <w:rsid w:val="0088412E"/>
    <w:rsid w:val="00884613"/>
    <w:rsid w:val="00884F71"/>
    <w:rsid w:val="0088509D"/>
    <w:rsid w:val="00885A50"/>
    <w:rsid w:val="008866BD"/>
    <w:rsid w:val="00887311"/>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98D"/>
    <w:rsid w:val="00896F48"/>
    <w:rsid w:val="00897F86"/>
    <w:rsid w:val="008A0BA3"/>
    <w:rsid w:val="008A12C7"/>
    <w:rsid w:val="008A23DD"/>
    <w:rsid w:val="008A249E"/>
    <w:rsid w:val="008A2CEE"/>
    <w:rsid w:val="008A4EE6"/>
    <w:rsid w:val="008A6544"/>
    <w:rsid w:val="008A65C4"/>
    <w:rsid w:val="008A7EC3"/>
    <w:rsid w:val="008A7F72"/>
    <w:rsid w:val="008B0699"/>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7067"/>
    <w:rsid w:val="008C02B6"/>
    <w:rsid w:val="008C030C"/>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A44"/>
    <w:rsid w:val="008C65C9"/>
    <w:rsid w:val="008C7C52"/>
    <w:rsid w:val="008D1236"/>
    <w:rsid w:val="008D1EDE"/>
    <w:rsid w:val="008D25A8"/>
    <w:rsid w:val="008D32AD"/>
    <w:rsid w:val="008D3620"/>
    <w:rsid w:val="008D458F"/>
    <w:rsid w:val="008D52D9"/>
    <w:rsid w:val="008D5733"/>
    <w:rsid w:val="008D5826"/>
    <w:rsid w:val="008D6772"/>
    <w:rsid w:val="008D7AC6"/>
    <w:rsid w:val="008E02E6"/>
    <w:rsid w:val="008E08A8"/>
    <w:rsid w:val="008E0B04"/>
    <w:rsid w:val="008E15B5"/>
    <w:rsid w:val="008E26E8"/>
    <w:rsid w:val="008E2B42"/>
    <w:rsid w:val="008E350D"/>
    <w:rsid w:val="008E3B36"/>
    <w:rsid w:val="008E3CEC"/>
    <w:rsid w:val="008E3D86"/>
    <w:rsid w:val="008E480F"/>
    <w:rsid w:val="008E4A67"/>
    <w:rsid w:val="008F0205"/>
    <w:rsid w:val="008F0DCC"/>
    <w:rsid w:val="008F1EB2"/>
    <w:rsid w:val="008F284E"/>
    <w:rsid w:val="008F2BAD"/>
    <w:rsid w:val="008F2CAE"/>
    <w:rsid w:val="008F39F2"/>
    <w:rsid w:val="008F45EB"/>
    <w:rsid w:val="008F4B3E"/>
    <w:rsid w:val="008F4E1B"/>
    <w:rsid w:val="008F52F4"/>
    <w:rsid w:val="008F743B"/>
    <w:rsid w:val="009011B4"/>
    <w:rsid w:val="0090168E"/>
    <w:rsid w:val="00901AE0"/>
    <w:rsid w:val="009020E0"/>
    <w:rsid w:val="00902DF6"/>
    <w:rsid w:val="00902FFF"/>
    <w:rsid w:val="00903765"/>
    <w:rsid w:val="00903E8E"/>
    <w:rsid w:val="00903F4A"/>
    <w:rsid w:val="00904997"/>
    <w:rsid w:val="00905D8A"/>
    <w:rsid w:val="0090696C"/>
    <w:rsid w:val="00907C15"/>
    <w:rsid w:val="009107A9"/>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CE2"/>
    <w:rsid w:val="00922FD0"/>
    <w:rsid w:val="0092383C"/>
    <w:rsid w:val="00923E83"/>
    <w:rsid w:val="00923FD8"/>
    <w:rsid w:val="009250CB"/>
    <w:rsid w:val="00926AC7"/>
    <w:rsid w:val="00926FCD"/>
    <w:rsid w:val="00927607"/>
    <w:rsid w:val="009317C8"/>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2A2"/>
    <w:rsid w:val="0094562D"/>
    <w:rsid w:val="00946E68"/>
    <w:rsid w:val="00946FB0"/>
    <w:rsid w:val="009473C5"/>
    <w:rsid w:val="009475F5"/>
    <w:rsid w:val="00947785"/>
    <w:rsid w:val="00947DFF"/>
    <w:rsid w:val="00950019"/>
    <w:rsid w:val="009504AD"/>
    <w:rsid w:val="00950702"/>
    <w:rsid w:val="009513AF"/>
    <w:rsid w:val="009514A7"/>
    <w:rsid w:val="00952111"/>
    <w:rsid w:val="009524CE"/>
    <w:rsid w:val="009525E5"/>
    <w:rsid w:val="00952E94"/>
    <w:rsid w:val="00953386"/>
    <w:rsid w:val="00953F56"/>
    <w:rsid w:val="00954F7D"/>
    <w:rsid w:val="00955D30"/>
    <w:rsid w:val="00956727"/>
    <w:rsid w:val="00957E51"/>
    <w:rsid w:val="009608E8"/>
    <w:rsid w:val="00960E04"/>
    <w:rsid w:val="0096112B"/>
    <w:rsid w:val="009629EE"/>
    <w:rsid w:val="0096309B"/>
    <w:rsid w:val="00964A87"/>
    <w:rsid w:val="00964B1E"/>
    <w:rsid w:val="00964CE3"/>
    <w:rsid w:val="00965007"/>
    <w:rsid w:val="00965204"/>
    <w:rsid w:val="00965931"/>
    <w:rsid w:val="00965DB7"/>
    <w:rsid w:val="009663A9"/>
    <w:rsid w:val="00966C28"/>
    <w:rsid w:val="009700BB"/>
    <w:rsid w:val="00971321"/>
    <w:rsid w:val="009729CF"/>
    <w:rsid w:val="00972B61"/>
    <w:rsid w:val="009730F2"/>
    <w:rsid w:val="00974250"/>
    <w:rsid w:val="00974667"/>
    <w:rsid w:val="00974F50"/>
    <w:rsid w:val="009756EC"/>
    <w:rsid w:val="009757EE"/>
    <w:rsid w:val="0097584C"/>
    <w:rsid w:val="00976FCC"/>
    <w:rsid w:val="0097768E"/>
    <w:rsid w:val="009818A2"/>
    <w:rsid w:val="00981BCF"/>
    <w:rsid w:val="009829E2"/>
    <w:rsid w:val="00983525"/>
    <w:rsid w:val="009844CE"/>
    <w:rsid w:val="00984590"/>
    <w:rsid w:val="00984F92"/>
    <w:rsid w:val="00984FB7"/>
    <w:rsid w:val="009855CB"/>
    <w:rsid w:val="00985932"/>
    <w:rsid w:val="009865CA"/>
    <w:rsid w:val="009868FC"/>
    <w:rsid w:val="00986D6A"/>
    <w:rsid w:val="00990013"/>
    <w:rsid w:val="00990D44"/>
    <w:rsid w:val="00991E94"/>
    <w:rsid w:val="00992712"/>
    <w:rsid w:val="00993CDB"/>
    <w:rsid w:val="00993E7E"/>
    <w:rsid w:val="0099690A"/>
    <w:rsid w:val="00997136"/>
    <w:rsid w:val="009971A7"/>
    <w:rsid w:val="00997777"/>
    <w:rsid w:val="009A2180"/>
    <w:rsid w:val="009A33BE"/>
    <w:rsid w:val="009A3F67"/>
    <w:rsid w:val="009B0C38"/>
    <w:rsid w:val="009B1120"/>
    <w:rsid w:val="009B127F"/>
    <w:rsid w:val="009B15EE"/>
    <w:rsid w:val="009B19C2"/>
    <w:rsid w:val="009B1EAF"/>
    <w:rsid w:val="009B21CF"/>
    <w:rsid w:val="009B229F"/>
    <w:rsid w:val="009B2AE4"/>
    <w:rsid w:val="009B30D4"/>
    <w:rsid w:val="009B38A3"/>
    <w:rsid w:val="009B38C8"/>
    <w:rsid w:val="009B3CD4"/>
    <w:rsid w:val="009B4E0E"/>
    <w:rsid w:val="009B5202"/>
    <w:rsid w:val="009B537A"/>
    <w:rsid w:val="009B6107"/>
    <w:rsid w:val="009B622A"/>
    <w:rsid w:val="009B6D2C"/>
    <w:rsid w:val="009C0461"/>
    <w:rsid w:val="009C16E5"/>
    <w:rsid w:val="009C24D1"/>
    <w:rsid w:val="009C3841"/>
    <w:rsid w:val="009C39A8"/>
    <w:rsid w:val="009C4D0D"/>
    <w:rsid w:val="009C562A"/>
    <w:rsid w:val="009C607A"/>
    <w:rsid w:val="009C6929"/>
    <w:rsid w:val="009C6A52"/>
    <w:rsid w:val="009C72C2"/>
    <w:rsid w:val="009D12CE"/>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23E"/>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2EEE"/>
    <w:rsid w:val="009F344F"/>
    <w:rsid w:val="009F3537"/>
    <w:rsid w:val="009F3962"/>
    <w:rsid w:val="009F3A8E"/>
    <w:rsid w:val="009F3B12"/>
    <w:rsid w:val="009F4300"/>
    <w:rsid w:val="009F46F3"/>
    <w:rsid w:val="009F49B9"/>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C34"/>
    <w:rsid w:val="00A06D1F"/>
    <w:rsid w:val="00A06F57"/>
    <w:rsid w:val="00A06FB2"/>
    <w:rsid w:val="00A073BA"/>
    <w:rsid w:val="00A07A56"/>
    <w:rsid w:val="00A1031F"/>
    <w:rsid w:val="00A10D42"/>
    <w:rsid w:val="00A1186C"/>
    <w:rsid w:val="00A12661"/>
    <w:rsid w:val="00A12D31"/>
    <w:rsid w:val="00A12F8B"/>
    <w:rsid w:val="00A13C0F"/>
    <w:rsid w:val="00A16498"/>
    <w:rsid w:val="00A164A6"/>
    <w:rsid w:val="00A165FE"/>
    <w:rsid w:val="00A16EFC"/>
    <w:rsid w:val="00A17A7F"/>
    <w:rsid w:val="00A20C8D"/>
    <w:rsid w:val="00A20FD0"/>
    <w:rsid w:val="00A21357"/>
    <w:rsid w:val="00A215C1"/>
    <w:rsid w:val="00A219F6"/>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5E6"/>
    <w:rsid w:val="00A37825"/>
    <w:rsid w:val="00A4105D"/>
    <w:rsid w:val="00A41757"/>
    <w:rsid w:val="00A417FE"/>
    <w:rsid w:val="00A41FA8"/>
    <w:rsid w:val="00A426F3"/>
    <w:rsid w:val="00A42E01"/>
    <w:rsid w:val="00A44166"/>
    <w:rsid w:val="00A448E0"/>
    <w:rsid w:val="00A456F5"/>
    <w:rsid w:val="00A45C71"/>
    <w:rsid w:val="00A4628E"/>
    <w:rsid w:val="00A466B8"/>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90B"/>
    <w:rsid w:val="00A605AE"/>
    <w:rsid w:val="00A608CD"/>
    <w:rsid w:val="00A64280"/>
    <w:rsid w:val="00A64C7D"/>
    <w:rsid w:val="00A64E0F"/>
    <w:rsid w:val="00A654A2"/>
    <w:rsid w:val="00A654DF"/>
    <w:rsid w:val="00A655E9"/>
    <w:rsid w:val="00A66CB2"/>
    <w:rsid w:val="00A703F5"/>
    <w:rsid w:val="00A71119"/>
    <w:rsid w:val="00A725BD"/>
    <w:rsid w:val="00A72E3D"/>
    <w:rsid w:val="00A72EE1"/>
    <w:rsid w:val="00A73B00"/>
    <w:rsid w:val="00A73E3E"/>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99E"/>
    <w:rsid w:val="00A92C9A"/>
    <w:rsid w:val="00A9370A"/>
    <w:rsid w:val="00A93D8A"/>
    <w:rsid w:val="00A94E2C"/>
    <w:rsid w:val="00A94F2D"/>
    <w:rsid w:val="00A95DD5"/>
    <w:rsid w:val="00A96022"/>
    <w:rsid w:val="00A96585"/>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0A9"/>
    <w:rsid w:val="00AB11B8"/>
    <w:rsid w:val="00AB3569"/>
    <w:rsid w:val="00AB4BAD"/>
    <w:rsid w:val="00AB511E"/>
    <w:rsid w:val="00AB5C16"/>
    <w:rsid w:val="00AB5C8E"/>
    <w:rsid w:val="00AB628D"/>
    <w:rsid w:val="00AC00B1"/>
    <w:rsid w:val="00AC0229"/>
    <w:rsid w:val="00AC12CF"/>
    <w:rsid w:val="00AC154D"/>
    <w:rsid w:val="00AC2548"/>
    <w:rsid w:val="00AC38C3"/>
    <w:rsid w:val="00AC3C32"/>
    <w:rsid w:val="00AC3DB8"/>
    <w:rsid w:val="00AD100C"/>
    <w:rsid w:val="00AD2540"/>
    <w:rsid w:val="00AD38ED"/>
    <w:rsid w:val="00AD39D6"/>
    <w:rsid w:val="00AD3C97"/>
    <w:rsid w:val="00AD4282"/>
    <w:rsid w:val="00AD5A42"/>
    <w:rsid w:val="00AD7073"/>
    <w:rsid w:val="00AD77FD"/>
    <w:rsid w:val="00AD79E2"/>
    <w:rsid w:val="00AD7FFB"/>
    <w:rsid w:val="00AE1837"/>
    <w:rsid w:val="00AE1C5C"/>
    <w:rsid w:val="00AE271F"/>
    <w:rsid w:val="00AE3826"/>
    <w:rsid w:val="00AE3DF5"/>
    <w:rsid w:val="00AE4CFF"/>
    <w:rsid w:val="00AE4E46"/>
    <w:rsid w:val="00AE52B0"/>
    <w:rsid w:val="00AE54F8"/>
    <w:rsid w:val="00AE5C7F"/>
    <w:rsid w:val="00AE607D"/>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61E"/>
    <w:rsid w:val="00B049EC"/>
    <w:rsid w:val="00B04CA3"/>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0D8"/>
    <w:rsid w:val="00B2776F"/>
    <w:rsid w:val="00B30025"/>
    <w:rsid w:val="00B31114"/>
    <w:rsid w:val="00B313D0"/>
    <w:rsid w:val="00B3156A"/>
    <w:rsid w:val="00B315E1"/>
    <w:rsid w:val="00B315F4"/>
    <w:rsid w:val="00B317DD"/>
    <w:rsid w:val="00B33EBC"/>
    <w:rsid w:val="00B33FC4"/>
    <w:rsid w:val="00B34E8B"/>
    <w:rsid w:val="00B3679E"/>
    <w:rsid w:val="00B372E3"/>
    <w:rsid w:val="00B37C1A"/>
    <w:rsid w:val="00B37D09"/>
    <w:rsid w:val="00B40212"/>
    <w:rsid w:val="00B40B0C"/>
    <w:rsid w:val="00B40B73"/>
    <w:rsid w:val="00B41119"/>
    <w:rsid w:val="00B41312"/>
    <w:rsid w:val="00B417BF"/>
    <w:rsid w:val="00B42215"/>
    <w:rsid w:val="00B438BE"/>
    <w:rsid w:val="00B44AF3"/>
    <w:rsid w:val="00B453AD"/>
    <w:rsid w:val="00B45776"/>
    <w:rsid w:val="00B462D1"/>
    <w:rsid w:val="00B50446"/>
    <w:rsid w:val="00B51B10"/>
    <w:rsid w:val="00B523E5"/>
    <w:rsid w:val="00B528A3"/>
    <w:rsid w:val="00B52E31"/>
    <w:rsid w:val="00B5349D"/>
    <w:rsid w:val="00B534E9"/>
    <w:rsid w:val="00B54BDD"/>
    <w:rsid w:val="00B54C89"/>
    <w:rsid w:val="00B5501D"/>
    <w:rsid w:val="00B558B6"/>
    <w:rsid w:val="00B55AEC"/>
    <w:rsid w:val="00B55C20"/>
    <w:rsid w:val="00B56166"/>
    <w:rsid w:val="00B565A9"/>
    <w:rsid w:val="00B5681F"/>
    <w:rsid w:val="00B56F11"/>
    <w:rsid w:val="00B6034F"/>
    <w:rsid w:val="00B60890"/>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67F65"/>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606"/>
    <w:rsid w:val="00B90ED9"/>
    <w:rsid w:val="00B91714"/>
    <w:rsid w:val="00B923B6"/>
    <w:rsid w:val="00B9293A"/>
    <w:rsid w:val="00B93021"/>
    <w:rsid w:val="00B9304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B81"/>
    <w:rsid w:val="00BB3395"/>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C7268"/>
    <w:rsid w:val="00BD0C00"/>
    <w:rsid w:val="00BD0DA0"/>
    <w:rsid w:val="00BD1400"/>
    <w:rsid w:val="00BD3693"/>
    <w:rsid w:val="00BD438C"/>
    <w:rsid w:val="00BD492B"/>
    <w:rsid w:val="00BD4F9A"/>
    <w:rsid w:val="00BD5E19"/>
    <w:rsid w:val="00BD6D4E"/>
    <w:rsid w:val="00BD71F1"/>
    <w:rsid w:val="00BD74CF"/>
    <w:rsid w:val="00BE00F6"/>
    <w:rsid w:val="00BE145A"/>
    <w:rsid w:val="00BE1BBE"/>
    <w:rsid w:val="00BE1FE4"/>
    <w:rsid w:val="00BE2C9F"/>
    <w:rsid w:val="00BE36D5"/>
    <w:rsid w:val="00BE4FDC"/>
    <w:rsid w:val="00BE6056"/>
    <w:rsid w:val="00BE6217"/>
    <w:rsid w:val="00BE7C10"/>
    <w:rsid w:val="00BF01B9"/>
    <w:rsid w:val="00BF0D7C"/>
    <w:rsid w:val="00BF1235"/>
    <w:rsid w:val="00BF1F39"/>
    <w:rsid w:val="00BF2AD9"/>
    <w:rsid w:val="00BF2FDA"/>
    <w:rsid w:val="00BF3998"/>
    <w:rsid w:val="00BF5877"/>
    <w:rsid w:val="00BF68A1"/>
    <w:rsid w:val="00C006E1"/>
    <w:rsid w:val="00C013E9"/>
    <w:rsid w:val="00C01536"/>
    <w:rsid w:val="00C0185C"/>
    <w:rsid w:val="00C01AE5"/>
    <w:rsid w:val="00C0372A"/>
    <w:rsid w:val="00C045DA"/>
    <w:rsid w:val="00C04F09"/>
    <w:rsid w:val="00C056CD"/>
    <w:rsid w:val="00C05725"/>
    <w:rsid w:val="00C05BA7"/>
    <w:rsid w:val="00C060AE"/>
    <w:rsid w:val="00C06237"/>
    <w:rsid w:val="00C06404"/>
    <w:rsid w:val="00C06502"/>
    <w:rsid w:val="00C067A6"/>
    <w:rsid w:val="00C06FC7"/>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89D"/>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62C"/>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4273"/>
    <w:rsid w:val="00C65B9B"/>
    <w:rsid w:val="00C67249"/>
    <w:rsid w:val="00C67384"/>
    <w:rsid w:val="00C67698"/>
    <w:rsid w:val="00C70952"/>
    <w:rsid w:val="00C70B81"/>
    <w:rsid w:val="00C724E4"/>
    <w:rsid w:val="00C732D8"/>
    <w:rsid w:val="00C7377B"/>
    <w:rsid w:val="00C737D7"/>
    <w:rsid w:val="00C73886"/>
    <w:rsid w:val="00C73DC4"/>
    <w:rsid w:val="00C74D41"/>
    <w:rsid w:val="00C74FC2"/>
    <w:rsid w:val="00C756FD"/>
    <w:rsid w:val="00C75775"/>
    <w:rsid w:val="00C75C57"/>
    <w:rsid w:val="00C76261"/>
    <w:rsid w:val="00C76E4E"/>
    <w:rsid w:val="00C77AC7"/>
    <w:rsid w:val="00C80261"/>
    <w:rsid w:val="00C808D5"/>
    <w:rsid w:val="00C810FC"/>
    <w:rsid w:val="00C83651"/>
    <w:rsid w:val="00C83754"/>
    <w:rsid w:val="00C83F2B"/>
    <w:rsid w:val="00C84998"/>
    <w:rsid w:val="00C855DB"/>
    <w:rsid w:val="00C85B4F"/>
    <w:rsid w:val="00C90D3D"/>
    <w:rsid w:val="00C9111E"/>
    <w:rsid w:val="00C91446"/>
    <w:rsid w:val="00C919AB"/>
    <w:rsid w:val="00C91E15"/>
    <w:rsid w:val="00C92681"/>
    <w:rsid w:val="00C94994"/>
    <w:rsid w:val="00C94C04"/>
    <w:rsid w:val="00C951C1"/>
    <w:rsid w:val="00C95FEF"/>
    <w:rsid w:val="00C9600B"/>
    <w:rsid w:val="00C962CF"/>
    <w:rsid w:val="00C96BE2"/>
    <w:rsid w:val="00C96F6C"/>
    <w:rsid w:val="00C97806"/>
    <w:rsid w:val="00C978B4"/>
    <w:rsid w:val="00CA069E"/>
    <w:rsid w:val="00CA0B67"/>
    <w:rsid w:val="00CA0C7B"/>
    <w:rsid w:val="00CA1A5E"/>
    <w:rsid w:val="00CA1BD1"/>
    <w:rsid w:val="00CA1D49"/>
    <w:rsid w:val="00CA2377"/>
    <w:rsid w:val="00CA265A"/>
    <w:rsid w:val="00CA26CA"/>
    <w:rsid w:val="00CA2D94"/>
    <w:rsid w:val="00CA403B"/>
    <w:rsid w:val="00CA476E"/>
    <w:rsid w:val="00CA4A15"/>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4698"/>
    <w:rsid w:val="00CC55E8"/>
    <w:rsid w:val="00CC5DF0"/>
    <w:rsid w:val="00CC71C6"/>
    <w:rsid w:val="00CC7E7D"/>
    <w:rsid w:val="00CD0968"/>
    <w:rsid w:val="00CD11BB"/>
    <w:rsid w:val="00CD1491"/>
    <w:rsid w:val="00CD2580"/>
    <w:rsid w:val="00CD3739"/>
    <w:rsid w:val="00CD3AE0"/>
    <w:rsid w:val="00CD3B16"/>
    <w:rsid w:val="00CD42C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6D8"/>
    <w:rsid w:val="00CE4BF2"/>
    <w:rsid w:val="00CE5D6F"/>
    <w:rsid w:val="00CE5E91"/>
    <w:rsid w:val="00CF01EA"/>
    <w:rsid w:val="00CF0C3E"/>
    <w:rsid w:val="00CF10EF"/>
    <w:rsid w:val="00CF1F53"/>
    <w:rsid w:val="00CF1FAE"/>
    <w:rsid w:val="00CF3BED"/>
    <w:rsid w:val="00CF4A6D"/>
    <w:rsid w:val="00CF5780"/>
    <w:rsid w:val="00CF593F"/>
    <w:rsid w:val="00CF5AD1"/>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A6"/>
    <w:rsid w:val="00D0267B"/>
    <w:rsid w:val="00D032B4"/>
    <w:rsid w:val="00D03AC3"/>
    <w:rsid w:val="00D040A2"/>
    <w:rsid w:val="00D05141"/>
    <w:rsid w:val="00D055E6"/>
    <w:rsid w:val="00D05CAF"/>
    <w:rsid w:val="00D05E39"/>
    <w:rsid w:val="00D065AD"/>
    <w:rsid w:val="00D06BB8"/>
    <w:rsid w:val="00D072EF"/>
    <w:rsid w:val="00D07394"/>
    <w:rsid w:val="00D07985"/>
    <w:rsid w:val="00D07A9C"/>
    <w:rsid w:val="00D10A14"/>
    <w:rsid w:val="00D113FF"/>
    <w:rsid w:val="00D11E7B"/>
    <w:rsid w:val="00D12C52"/>
    <w:rsid w:val="00D12D84"/>
    <w:rsid w:val="00D14E13"/>
    <w:rsid w:val="00D16547"/>
    <w:rsid w:val="00D20368"/>
    <w:rsid w:val="00D209D8"/>
    <w:rsid w:val="00D20B6C"/>
    <w:rsid w:val="00D20DAB"/>
    <w:rsid w:val="00D2186C"/>
    <w:rsid w:val="00D2301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32F5"/>
    <w:rsid w:val="00D44BD1"/>
    <w:rsid w:val="00D45359"/>
    <w:rsid w:val="00D47AB6"/>
    <w:rsid w:val="00D507D9"/>
    <w:rsid w:val="00D50BC3"/>
    <w:rsid w:val="00D51E12"/>
    <w:rsid w:val="00D52E63"/>
    <w:rsid w:val="00D53E86"/>
    <w:rsid w:val="00D544AF"/>
    <w:rsid w:val="00D545A8"/>
    <w:rsid w:val="00D548A5"/>
    <w:rsid w:val="00D548E5"/>
    <w:rsid w:val="00D556EA"/>
    <w:rsid w:val="00D55BD9"/>
    <w:rsid w:val="00D55F0A"/>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F7E"/>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5567"/>
    <w:rsid w:val="00D96319"/>
    <w:rsid w:val="00DA020A"/>
    <w:rsid w:val="00DA07B6"/>
    <w:rsid w:val="00DA0962"/>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F26"/>
    <w:rsid w:val="00DB6A81"/>
    <w:rsid w:val="00DB717E"/>
    <w:rsid w:val="00DB77AF"/>
    <w:rsid w:val="00DB7F38"/>
    <w:rsid w:val="00DC09F8"/>
    <w:rsid w:val="00DC0D1A"/>
    <w:rsid w:val="00DC1C5C"/>
    <w:rsid w:val="00DC2465"/>
    <w:rsid w:val="00DC252B"/>
    <w:rsid w:val="00DC2811"/>
    <w:rsid w:val="00DC2F2E"/>
    <w:rsid w:val="00DC458D"/>
    <w:rsid w:val="00DC459F"/>
    <w:rsid w:val="00DC4BE1"/>
    <w:rsid w:val="00DC5054"/>
    <w:rsid w:val="00DC596B"/>
    <w:rsid w:val="00DC6F7A"/>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B6F"/>
    <w:rsid w:val="00DE1132"/>
    <w:rsid w:val="00DE1607"/>
    <w:rsid w:val="00DE1E31"/>
    <w:rsid w:val="00DE2C26"/>
    <w:rsid w:val="00DE2CFB"/>
    <w:rsid w:val="00DE414D"/>
    <w:rsid w:val="00DE5048"/>
    <w:rsid w:val="00DE68DD"/>
    <w:rsid w:val="00DE77DC"/>
    <w:rsid w:val="00DF0FAE"/>
    <w:rsid w:val="00DF1506"/>
    <w:rsid w:val="00DF1F74"/>
    <w:rsid w:val="00DF2FA1"/>
    <w:rsid w:val="00DF4ABE"/>
    <w:rsid w:val="00DF5862"/>
    <w:rsid w:val="00DF5E2C"/>
    <w:rsid w:val="00DF5E93"/>
    <w:rsid w:val="00DF637C"/>
    <w:rsid w:val="00DF66BB"/>
    <w:rsid w:val="00DF7D55"/>
    <w:rsid w:val="00E00E3A"/>
    <w:rsid w:val="00E013E9"/>
    <w:rsid w:val="00E013EF"/>
    <w:rsid w:val="00E017F2"/>
    <w:rsid w:val="00E01B2C"/>
    <w:rsid w:val="00E0267C"/>
    <w:rsid w:val="00E02932"/>
    <w:rsid w:val="00E02CE1"/>
    <w:rsid w:val="00E02D9E"/>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76"/>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A21"/>
    <w:rsid w:val="00E3516B"/>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3D2"/>
    <w:rsid w:val="00E44850"/>
    <w:rsid w:val="00E455A1"/>
    <w:rsid w:val="00E456E7"/>
    <w:rsid w:val="00E458B3"/>
    <w:rsid w:val="00E45DF0"/>
    <w:rsid w:val="00E45F05"/>
    <w:rsid w:val="00E47A30"/>
    <w:rsid w:val="00E50E09"/>
    <w:rsid w:val="00E540CA"/>
    <w:rsid w:val="00E54462"/>
    <w:rsid w:val="00E54583"/>
    <w:rsid w:val="00E55F46"/>
    <w:rsid w:val="00E5633C"/>
    <w:rsid w:val="00E56E97"/>
    <w:rsid w:val="00E56EE4"/>
    <w:rsid w:val="00E5703B"/>
    <w:rsid w:val="00E60A17"/>
    <w:rsid w:val="00E62073"/>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0D82"/>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B12"/>
    <w:rsid w:val="00E92FE6"/>
    <w:rsid w:val="00E93342"/>
    <w:rsid w:val="00E94929"/>
    <w:rsid w:val="00E9535A"/>
    <w:rsid w:val="00E9569C"/>
    <w:rsid w:val="00E968B6"/>
    <w:rsid w:val="00E96D3C"/>
    <w:rsid w:val="00E97839"/>
    <w:rsid w:val="00E97BE5"/>
    <w:rsid w:val="00EA108B"/>
    <w:rsid w:val="00EA2148"/>
    <w:rsid w:val="00EA27F2"/>
    <w:rsid w:val="00EA2C19"/>
    <w:rsid w:val="00EA2E2F"/>
    <w:rsid w:val="00EA3031"/>
    <w:rsid w:val="00EA3072"/>
    <w:rsid w:val="00EA3B39"/>
    <w:rsid w:val="00EA3BBF"/>
    <w:rsid w:val="00EA3EA7"/>
    <w:rsid w:val="00EA4F63"/>
    <w:rsid w:val="00EA689E"/>
    <w:rsid w:val="00EA7C5F"/>
    <w:rsid w:val="00EA7D2C"/>
    <w:rsid w:val="00EA7FAC"/>
    <w:rsid w:val="00EB0480"/>
    <w:rsid w:val="00EB0E25"/>
    <w:rsid w:val="00EB1BF9"/>
    <w:rsid w:val="00EB1D2C"/>
    <w:rsid w:val="00EB2497"/>
    <w:rsid w:val="00EB2A4F"/>
    <w:rsid w:val="00EB2ACC"/>
    <w:rsid w:val="00EB2D9B"/>
    <w:rsid w:val="00EB2E1A"/>
    <w:rsid w:val="00EB2F4D"/>
    <w:rsid w:val="00EB3A22"/>
    <w:rsid w:val="00EB3C52"/>
    <w:rsid w:val="00EB51C7"/>
    <w:rsid w:val="00EB5858"/>
    <w:rsid w:val="00EB5DEF"/>
    <w:rsid w:val="00EB61E5"/>
    <w:rsid w:val="00EB67AA"/>
    <w:rsid w:val="00EB70B5"/>
    <w:rsid w:val="00EB780C"/>
    <w:rsid w:val="00EC2DB4"/>
    <w:rsid w:val="00EC45FC"/>
    <w:rsid w:val="00EC4A4E"/>
    <w:rsid w:val="00EC4B0C"/>
    <w:rsid w:val="00EC5A01"/>
    <w:rsid w:val="00EC5CC8"/>
    <w:rsid w:val="00EC6864"/>
    <w:rsid w:val="00EC6A8E"/>
    <w:rsid w:val="00EC6B14"/>
    <w:rsid w:val="00EC6BCB"/>
    <w:rsid w:val="00EC729C"/>
    <w:rsid w:val="00EC79B9"/>
    <w:rsid w:val="00EC7AAA"/>
    <w:rsid w:val="00ED0365"/>
    <w:rsid w:val="00ED073E"/>
    <w:rsid w:val="00ED0BF4"/>
    <w:rsid w:val="00ED0E71"/>
    <w:rsid w:val="00ED18EC"/>
    <w:rsid w:val="00ED2378"/>
    <w:rsid w:val="00ED29A6"/>
    <w:rsid w:val="00ED35F3"/>
    <w:rsid w:val="00ED525B"/>
    <w:rsid w:val="00ED5337"/>
    <w:rsid w:val="00ED59E7"/>
    <w:rsid w:val="00ED7234"/>
    <w:rsid w:val="00ED7403"/>
    <w:rsid w:val="00ED7AA8"/>
    <w:rsid w:val="00EE057C"/>
    <w:rsid w:val="00EE0858"/>
    <w:rsid w:val="00EE187B"/>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1B9"/>
    <w:rsid w:val="00EF58F2"/>
    <w:rsid w:val="00EF60C8"/>
    <w:rsid w:val="00EF6733"/>
    <w:rsid w:val="00EF6AD7"/>
    <w:rsid w:val="00F006A9"/>
    <w:rsid w:val="00F00834"/>
    <w:rsid w:val="00F009EB"/>
    <w:rsid w:val="00F017FB"/>
    <w:rsid w:val="00F019A1"/>
    <w:rsid w:val="00F01AC9"/>
    <w:rsid w:val="00F01F7A"/>
    <w:rsid w:val="00F02736"/>
    <w:rsid w:val="00F02A35"/>
    <w:rsid w:val="00F02DE0"/>
    <w:rsid w:val="00F030A2"/>
    <w:rsid w:val="00F0344E"/>
    <w:rsid w:val="00F03930"/>
    <w:rsid w:val="00F04DD4"/>
    <w:rsid w:val="00F053FC"/>
    <w:rsid w:val="00F05564"/>
    <w:rsid w:val="00F0557E"/>
    <w:rsid w:val="00F06302"/>
    <w:rsid w:val="00F079CC"/>
    <w:rsid w:val="00F12374"/>
    <w:rsid w:val="00F12CBE"/>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2937"/>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130C"/>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08A"/>
    <w:rsid w:val="00F574ED"/>
    <w:rsid w:val="00F60D33"/>
    <w:rsid w:val="00F61136"/>
    <w:rsid w:val="00F6166A"/>
    <w:rsid w:val="00F624A5"/>
    <w:rsid w:val="00F62D15"/>
    <w:rsid w:val="00F6398A"/>
    <w:rsid w:val="00F63C51"/>
    <w:rsid w:val="00F64C5A"/>
    <w:rsid w:val="00F66D81"/>
    <w:rsid w:val="00F67C3E"/>
    <w:rsid w:val="00F67C74"/>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998"/>
    <w:rsid w:val="00F902E3"/>
    <w:rsid w:val="00F921D2"/>
    <w:rsid w:val="00F92334"/>
    <w:rsid w:val="00F937E1"/>
    <w:rsid w:val="00F93EFB"/>
    <w:rsid w:val="00F94647"/>
    <w:rsid w:val="00F9524E"/>
    <w:rsid w:val="00F958CB"/>
    <w:rsid w:val="00F95BEE"/>
    <w:rsid w:val="00F95E95"/>
    <w:rsid w:val="00F966D6"/>
    <w:rsid w:val="00F9697A"/>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6F6C"/>
    <w:rsid w:val="00FC7940"/>
    <w:rsid w:val="00FC7B46"/>
    <w:rsid w:val="00FC7B74"/>
    <w:rsid w:val="00FD0CFA"/>
    <w:rsid w:val="00FD1CE7"/>
    <w:rsid w:val="00FD1D4B"/>
    <w:rsid w:val="00FD1F76"/>
    <w:rsid w:val="00FD230C"/>
    <w:rsid w:val="00FD30CD"/>
    <w:rsid w:val="00FD36E5"/>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1E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9452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9452A2"/>
  </w:style>
  <w:style w:type="character" w:customStyle="1" w:styleId="ng-star-inserted">
    <w:name w:val="ng-star-inserted"/>
    <w:basedOn w:val="Fuentedeprrafopredeter"/>
    <w:rsid w:val="00945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0997273">
      <w:bodyDiv w:val="1"/>
      <w:marLeft w:val="0"/>
      <w:marRight w:val="0"/>
      <w:marTop w:val="0"/>
      <w:marBottom w:val="0"/>
      <w:divBdr>
        <w:top w:val="none" w:sz="0" w:space="0" w:color="auto"/>
        <w:left w:val="none" w:sz="0" w:space="0" w:color="auto"/>
        <w:bottom w:val="none" w:sz="0" w:space="0" w:color="auto"/>
        <w:right w:val="none" w:sz="0" w:space="0" w:color="auto"/>
      </w:divBdr>
    </w:div>
    <w:div w:id="804587336">
      <w:bodyDiv w:val="1"/>
      <w:marLeft w:val="0"/>
      <w:marRight w:val="0"/>
      <w:marTop w:val="0"/>
      <w:marBottom w:val="0"/>
      <w:divBdr>
        <w:top w:val="none" w:sz="0" w:space="0" w:color="auto"/>
        <w:left w:val="none" w:sz="0" w:space="0" w:color="auto"/>
        <w:bottom w:val="none" w:sz="0" w:space="0" w:color="auto"/>
        <w:right w:val="none" w:sz="0" w:space="0" w:color="auto"/>
      </w:divBdr>
    </w:div>
    <w:div w:id="1040546029">
      <w:bodyDiv w:val="1"/>
      <w:marLeft w:val="0"/>
      <w:marRight w:val="0"/>
      <w:marTop w:val="0"/>
      <w:marBottom w:val="0"/>
      <w:divBdr>
        <w:top w:val="none" w:sz="0" w:space="0" w:color="auto"/>
        <w:left w:val="none" w:sz="0" w:space="0" w:color="auto"/>
        <w:bottom w:val="none" w:sz="0" w:space="0" w:color="auto"/>
        <w:right w:val="none" w:sz="0" w:space="0" w:color="auto"/>
      </w:divBdr>
      <w:divsChild>
        <w:div w:id="715281683">
          <w:marLeft w:val="0"/>
          <w:marRight w:val="0"/>
          <w:marTop w:val="0"/>
          <w:marBottom w:val="0"/>
          <w:divBdr>
            <w:top w:val="none" w:sz="0" w:space="0" w:color="auto"/>
            <w:left w:val="none" w:sz="0" w:space="0" w:color="auto"/>
            <w:bottom w:val="none" w:sz="0" w:space="0" w:color="auto"/>
            <w:right w:val="none" w:sz="0" w:space="0" w:color="auto"/>
          </w:divBdr>
        </w:div>
        <w:div w:id="1339774171">
          <w:marLeft w:val="0"/>
          <w:marRight w:val="0"/>
          <w:marTop w:val="0"/>
          <w:marBottom w:val="0"/>
          <w:divBdr>
            <w:top w:val="none" w:sz="0" w:space="0" w:color="auto"/>
            <w:left w:val="none" w:sz="0" w:space="0" w:color="auto"/>
            <w:bottom w:val="none" w:sz="0" w:space="0" w:color="auto"/>
            <w:right w:val="none" w:sz="0" w:space="0" w:color="auto"/>
          </w:divBdr>
        </w:div>
        <w:div w:id="1980067986">
          <w:marLeft w:val="0"/>
          <w:marRight w:val="0"/>
          <w:marTop w:val="0"/>
          <w:marBottom w:val="0"/>
          <w:divBdr>
            <w:top w:val="none" w:sz="0" w:space="0" w:color="auto"/>
            <w:left w:val="none" w:sz="0" w:space="0" w:color="auto"/>
            <w:bottom w:val="none" w:sz="0" w:space="0" w:color="auto"/>
            <w:right w:val="none" w:sz="0" w:space="0" w:color="auto"/>
          </w:divBdr>
        </w:div>
        <w:div w:id="1288705367">
          <w:marLeft w:val="0"/>
          <w:marRight w:val="0"/>
          <w:marTop w:val="0"/>
          <w:marBottom w:val="0"/>
          <w:divBdr>
            <w:top w:val="none" w:sz="0" w:space="0" w:color="auto"/>
            <w:left w:val="none" w:sz="0" w:space="0" w:color="auto"/>
            <w:bottom w:val="none" w:sz="0" w:space="0" w:color="auto"/>
            <w:right w:val="none" w:sz="0" w:space="0" w:color="auto"/>
          </w:divBdr>
        </w:div>
        <w:div w:id="955062802">
          <w:marLeft w:val="0"/>
          <w:marRight w:val="0"/>
          <w:marTop w:val="0"/>
          <w:marBottom w:val="0"/>
          <w:divBdr>
            <w:top w:val="none" w:sz="0" w:space="0" w:color="auto"/>
            <w:left w:val="none" w:sz="0" w:space="0" w:color="auto"/>
            <w:bottom w:val="none" w:sz="0" w:space="0" w:color="auto"/>
            <w:right w:val="none" w:sz="0" w:space="0" w:color="auto"/>
          </w:divBdr>
        </w:div>
        <w:div w:id="1186138111">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FEAB6-1783-49BD-8862-EB62FC95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19</Pages>
  <Words>7397</Words>
  <Characters>40685</Characters>
  <Application>Microsoft Office Word</Application>
  <DocSecurity>0</DocSecurity>
  <Lines>339</Lines>
  <Paragraphs>95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80</cp:revision>
  <cp:lastPrinted>2021-11-09T18:43:00Z</cp:lastPrinted>
  <dcterms:created xsi:type="dcterms:W3CDTF">2021-10-12T05:04:00Z</dcterms:created>
  <dcterms:modified xsi:type="dcterms:W3CDTF">2022-02-08T18:27:00Z</dcterms:modified>
</cp:coreProperties>
</file>