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118CDC5"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06058">
        <w:rPr>
          <w:rFonts w:ascii="Arial" w:hAnsi="Arial" w:cs="Arial"/>
          <w:b/>
          <w:sz w:val="26"/>
          <w:szCs w:val="26"/>
        </w:rPr>
        <w:t>205</w:t>
      </w:r>
      <w:r>
        <w:rPr>
          <w:rFonts w:ascii="Arial" w:hAnsi="Arial" w:cs="Arial"/>
          <w:b/>
          <w:sz w:val="26"/>
          <w:szCs w:val="26"/>
        </w:rPr>
        <w:t>/2020.</w:t>
      </w:r>
    </w:p>
    <w:p w14:paraId="4DFA70CD" w14:textId="608F21D5"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706058">
        <w:rPr>
          <w:rFonts w:ascii="Arial" w:hAnsi="Arial" w:cs="Arial"/>
          <w:b/>
          <w:sz w:val="26"/>
          <w:szCs w:val="26"/>
        </w:rPr>
        <w:t>0039</w:t>
      </w:r>
      <w:r>
        <w:rPr>
          <w:rFonts w:ascii="Arial" w:hAnsi="Arial" w:cs="Arial"/>
          <w:b/>
          <w:sz w:val="26"/>
          <w:szCs w:val="26"/>
        </w:rPr>
        <w:t>/</w:t>
      </w:r>
      <w:r w:rsidRPr="00CB6405">
        <w:rPr>
          <w:rFonts w:ascii="Arial" w:hAnsi="Arial" w:cs="Arial"/>
          <w:b/>
          <w:sz w:val="26"/>
          <w:szCs w:val="26"/>
        </w:rPr>
        <w:t>20</w:t>
      </w:r>
      <w:r w:rsidR="00706058">
        <w:rPr>
          <w:rFonts w:ascii="Arial" w:hAnsi="Arial" w:cs="Arial"/>
          <w:b/>
          <w:sz w:val="26"/>
          <w:szCs w:val="26"/>
        </w:rPr>
        <w:t>20</w:t>
      </w:r>
      <w:r w:rsidRPr="00CB6405">
        <w:rPr>
          <w:rFonts w:ascii="Arial" w:hAnsi="Arial" w:cs="Arial"/>
          <w:b/>
          <w:sz w:val="26"/>
          <w:szCs w:val="26"/>
        </w:rPr>
        <w:t xml:space="preserve"> </w:t>
      </w:r>
      <w:r w:rsidR="00706058">
        <w:rPr>
          <w:rFonts w:ascii="Arial" w:hAnsi="Arial" w:cs="Arial"/>
          <w:b/>
          <w:sz w:val="26"/>
          <w:szCs w:val="26"/>
        </w:rPr>
        <w:t>QUIN</w:t>
      </w:r>
      <w:r w:rsidR="00D733BC">
        <w:rPr>
          <w:rFonts w:ascii="Arial" w:hAnsi="Arial" w:cs="Arial"/>
          <w:b/>
          <w:sz w:val="26"/>
          <w:szCs w:val="26"/>
        </w:rPr>
        <w:t>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22B96868" w14:textId="4176EAFD" w:rsidR="003B6CF0" w:rsidRDefault="003B6CF0" w:rsidP="00E13137">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0A21BAF7" w14:textId="77777777" w:rsidR="00B969F9" w:rsidRDefault="00B969F9" w:rsidP="00B969F9">
      <w:pPr>
        <w:pStyle w:val="Sinespaciado"/>
      </w:pPr>
    </w:p>
    <w:p w14:paraId="3DE7165A" w14:textId="2B4CB422"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1C2331">
        <w:rPr>
          <w:rFonts w:ascii="Arial" w:hAnsi="Arial" w:cs="Arial"/>
          <w:b/>
          <w:sz w:val="26"/>
          <w:szCs w:val="26"/>
        </w:rPr>
        <w:t xml:space="preserve">, A SEIS DE MAYO </w:t>
      </w:r>
      <w:r>
        <w:rPr>
          <w:rFonts w:ascii="Arial" w:hAnsi="Arial" w:cs="Arial"/>
          <w:b/>
          <w:sz w:val="26"/>
          <w:szCs w:val="26"/>
        </w:rPr>
        <w:t xml:space="preserve">DE DOS MIL VEINTIUNO. - - - - - - - - - - - - - - - - - - - - - - - - - - - - - - - - - - - - - - - - - - - </w:t>
      </w:r>
    </w:p>
    <w:p w14:paraId="655159DA" w14:textId="362BAAE0" w:rsidR="003B6CF0" w:rsidRDefault="003B6CF0" w:rsidP="001C2331">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706058">
        <w:rPr>
          <w:rFonts w:ascii="Arial" w:hAnsi="Arial" w:cs="Arial"/>
          <w:b/>
          <w:sz w:val="26"/>
          <w:szCs w:val="26"/>
        </w:rPr>
        <w:t>205</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9D55A0">
        <w:rPr>
          <w:rFonts w:ascii="Arial" w:hAnsi="Arial" w:cs="Arial"/>
          <w:sz w:val="26"/>
          <w:szCs w:val="26"/>
        </w:rPr>
        <w:t xml:space="preserve"> el</w:t>
      </w:r>
      <w:r w:rsidR="00706058">
        <w:rPr>
          <w:rFonts w:ascii="Arial" w:hAnsi="Arial" w:cs="Arial"/>
          <w:b/>
          <w:sz w:val="26"/>
          <w:szCs w:val="26"/>
        </w:rPr>
        <w:t xml:space="preserve"> ENCARGADO DEL DESP</w:t>
      </w:r>
      <w:r w:rsidR="009D55A0">
        <w:rPr>
          <w:rFonts w:ascii="Arial" w:hAnsi="Arial" w:cs="Arial"/>
          <w:b/>
          <w:sz w:val="26"/>
          <w:szCs w:val="26"/>
        </w:rPr>
        <w:t>A</w:t>
      </w:r>
      <w:r w:rsidR="00FE0984">
        <w:rPr>
          <w:rFonts w:ascii="Arial" w:hAnsi="Arial" w:cs="Arial"/>
          <w:b/>
          <w:sz w:val="26"/>
          <w:szCs w:val="26"/>
        </w:rPr>
        <w:t>CHO DE LA COMISARÍ</w:t>
      </w:r>
      <w:r w:rsidR="00706058">
        <w:rPr>
          <w:rFonts w:ascii="Arial" w:hAnsi="Arial" w:cs="Arial"/>
          <w:b/>
          <w:sz w:val="26"/>
          <w:szCs w:val="26"/>
        </w:rPr>
        <w:t>A DE LA POLICÍA MUNICIPAL DE SANTA LUCIA DEL CAMINO, OAXACA</w:t>
      </w:r>
      <w:r w:rsidR="00E1384D">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706058">
        <w:rPr>
          <w:rFonts w:ascii="Arial" w:hAnsi="Arial" w:cs="Arial"/>
          <w:sz w:val="26"/>
          <w:szCs w:val="26"/>
        </w:rPr>
        <w:t xml:space="preserve">l acuerdo </w:t>
      </w:r>
      <w:r w:rsidR="00AC648A">
        <w:rPr>
          <w:rFonts w:ascii="Arial" w:hAnsi="Arial" w:cs="Arial"/>
          <w:sz w:val="26"/>
          <w:szCs w:val="26"/>
        </w:rPr>
        <w:t xml:space="preserve">de fecha </w:t>
      </w:r>
      <w:r w:rsidR="00706058">
        <w:rPr>
          <w:rFonts w:ascii="Arial" w:hAnsi="Arial" w:cs="Arial"/>
          <w:sz w:val="26"/>
          <w:szCs w:val="26"/>
        </w:rPr>
        <w:t>diecisiete</w:t>
      </w:r>
      <w:r>
        <w:rPr>
          <w:rFonts w:ascii="Arial" w:hAnsi="Arial" w:cs="Arial"/>
          <w:sz w:val="26"/>
          <w:szCs w:val="26"/>
        </w:rPr>
        <w:t xml:space="preserve"> de </w:t>
      </w:r>
      <w:r w:rsidR="00706058">
        <w:rPr>
          <w:rFonts w:ascii="Arial" w:hAnsi="Arial" w:cs="Arial"/>
          <w:sz w:val="26"/>
          <w:szCs w:val="26"/>
        </w:rPr>
        <w:t>septiembre</w:t>
      </w:r>
      <w:r>
        <w:rPr>
          <w:rFonts w:ascii="Arial" w:hAnsi="Arial" w:cs="Arial"/>
          <w:sz w:val="26"/>
          <w:szCs w:val="26"/>
        </w:rPr>
        <w:t xml:space="preserve"> de dos mil veinte, dictad</w:t>
      </w:r>
      <w:r w:rsidR="00706058">
        <w:rPr>
          <w:rFonts w:ascii="Arial" w:hAnsi="Arial" w:cs="Arial"/>
          <w:sz w:val="26"/>
          <w:szCs w:val="26"/>
        </w:rPr>
        <w:t>o</w:t>
      </w:r>
      <w:r>
        <w:rPr>
          <w:rFonts w:ascii="Arial" w:hAnsi="Arial" w:cs="Arial"/>
          <w:sz w:val="26"/>
          <w:szCs w:val="26"/>
        </w:rPr>
        <w:t xml:space="preserve"> en el expediente </w:t>
      </w:r>
      <w:r w:rsidR="00E1384D">
        <w:rPr>
          <w:rFonts w:ascii="Arial" w:hAnsi="Arial" w:cs="Arial"/>
          <w:b/>
          <w:sz w:val="26"/>
          <w:szCs w:val="26"/>
        </w:rPr>
        <w:t>0</w:t>
      </w:r>
      <w:r w:rsidR="00706058">
        <w:rPr>
          <w:rFonts w:ascii="Arial" w:hAnsi="Arial" w:cs="Arial"/>
          <w:b/>
          <w:sz w:val="26"/>
          <w:szCs w:val="26"/>
        </w:rPr>
        <w:t>039</w:t>
      </w:r>
      <w:r w:rsidR="007007A1">
        <w:rPr>
          <w:rFonts w:ascii="Arial" w:hAnsi="Arial" w:cs="Arial"/>
          <w:b/>
          <w:sz w:val="26"/>
          <w:szCs w:val="26"/>
        </w:rPr>
        <w:t>/20</w:t>
      </w:r>
      <w:r w:rsidR="00706058">
        <w:rPr>
          <w:rFonts w:ascii="Arial" w:hAnsi="Arial" w:cs="Arial"/>
          <w:b/>
          <w:sz w:val="26"/>
          <w:szCs w:val="26"/>
        </w:rPr>
        <w:t>20</w:t>
      </w:r>
      <w:r>
        <w:rPr>
          <w:rFonts w:ascii="Arial" w:hAnsi="Arial" w:cs="Arial"/>
          <w:b/>
          <w:sz w:val="26"/>
          <w:szCs w:val="26"/>
        </w:rPr>
        <w:t xml:space="preserve"> </w:t>
      </w:r>
      <w:r w:rsidR="007007A1">
        <w:rPr>
          <w:rFonts w:ascii="Arial" w:hAnsi="Arial" w:cs="Arial"/>
          <w:sz w:val="26"/>
          <w:szCs w:val="26"/>
        </w:rPr>
        <w:t xml:space="preserve">del índice de la </w:t>
      </w:r>
      <w:r w:rsidR="00706058">
        <w:rPr>
          <w:rFonts w:ascii="Arial" w:hAnsi="Arial" w:cs="Arial"/>
          <w:sz w:val="26"/>
          <w:szCs w:val="26"/>
        </w:rPr>
        <w:t>Quin</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2361B0">
        <w:rPr>
          <w:rFonts w:ascii="Arial" w:hAnsi="Arial" w:cs="Arial"/>
          <w:sz w:val="26"/>
          <w:szCs w:val="26"/>
        </w:rPr>
        <w:t xml:space="preserve"> </w:t>
      </w:r>
      <w:r w:rsidR="002361B0">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B94CF4">
        <w:rPr>
          <w:rFonts w:ascii="Arial" w:hAnsi="Arial" w:cs="Arial"/>
          <w:sz w:val="26"/>
          <w:szCs w:val="26"/>
        </w:rPr>
        <w:t xml:space="preserve">l </w:t>
      </w:r>
      <w:r w:rsidR="00B94CF4">
        <w:rPr>
          <w:rFonts w:ascii="Arial" w:hAnsi="Arial" w:cs="Arial"/>
          <w:b/>
          <w:sz w:val="26"/>
          <w:szCs w:val="26"/>
        </w:rPr>
        <w:t xml:space="preserve">COMISARIO DE VIALIDAD Y TRANSPORTE MUNICIPAL, JUEZ CALIFICADOR ADSCRITO A LA COMISARÍA DE SEGURIDAD PÚBLICA, VIALIDAD Y TRANSPORTE Y TESORERO MUNICIPAL, </w:t>
      </w:r>
      <w:r w:rsidR="00FE0984">
        <w:rPr>
          <w:rFonts w:ascii="Arial" w:hAnsi="Arial" w:cs="Arial"/>
          <w:b/>
          <w:sz w:val="26"/>
          <w:szCs w:val="26"/>
        </w:rPr>
        <w:t>TODAS ESTAS AUTORIDADES PERTENECIENTES AL MUNICIPIO DE SANTA LUCIA DEL CAMINO, OAXACA;</w:t>
      </w:r>
      <w:r w:rsidR="00FE0984">
        <w:rPr>
          <w:rFonts w:ascii="Arial" w:hAnsi="Arial" w:cs="Arial"/>
          <w:sz w:val="26"/>
          <w:szCs w:val="26"/>
        </w:rPr>
        <w:t xml:space="preserve"> </w:t>
      </w:r>
      <w:r>
        <w:rPr>
          <w:rFonts w:ascii="Arial" w:hAnsi="Arial" w:cs="Arial"/>
          <w:sz w:val="26"/>
          <w:szCs w:val="26"/>
        </w:rPr>
        <w:t>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7CF0F441" w14:textId="77777777" w:rsidR="003B6CF0" w:rsidRDefault="003B6CF0" w:rsidP="00AA165D">
      <w:pPr>
        <w:pStyle w:val="Sinespaciado"/>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704CD5B5"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B94CF4">
        <w:rPr>
          <w:rFonts w:ascii="Arial" w:hAnsi="Arial" w:cs="Arial"/>
          <w:sz w:val="26"/>
          <w:szCs w:val="26"/>
        </w:rPr>
        <w:t>e</w:t>
      </w:r>
      <w:r>
        <w:rPr>
          <w:rFonts w:ascii="Arial" w:hAnsi="Arial" w:cs="Arial"/>
          <w:sz w:val="26"/>
          <w:szCs w:val="26"/>
        </w:rPr>
        <w:t>l a</w:t>
      </w:r>
      <w:r w:rsidR="00B94CF4">
        <w:rPr>
          <w:rFonts w:ascii="Arial" w:hAnsi="Arial" w:cs="Arial"/>
          <w:sz w:val="26"/>
          <w:szCs w:val="26"/>
        </w:rPr>
        <w:t>cuerdo</w:t>
      </w:r>
      <w:r>
        <w:rPr>
          <w:rFonts w:ascii="Arial" w:hAnsi="Arial" w:cs="Arial"/>
          <w:sz w:val="26"/>
          <w:szCs w:val="26"/>
        </w:rPr>
        <w:t xml:space="preserve"> de fecha </w:t>
      </w:r>
      <w:r w:rsidR="00B94CF4">
        <w:rPr>
          <w:rFonts w:ascii="Arial" w:hAnsi="Arial" w:cs="Arial"/>
          <w:sz w:val="26"/>
          <w:szCs w:val="26"/>
        </w:rPr>
        <w:t>diecisiete</w:t>
      </w:r>
      <w:r w:rsidR="00B736E2">
        <w:rPr>
          <w:rFonts w:ascii="Arial" w:hAnsi="Arial" w:cs="Arial"/>
          <w:sz w:val="26"/>
          <w:szCs w:val="26"/>
        </w:rPr>
        <w:t xml:space="preserve"> de </w:t>
      </w:r>
      <w:r w:rsidR="00B94CF4">
        <w:rPr>
          <w:rFonts w:ascii="Arial" w:hAnsi="Arial" w:cs="Arial"/>
          <w:sz w:val="26"/>
          <w:szCs w:val="26"/>
        </w:rPr>
        <w:t>septiembre</w:t>
      </w:r>
      <w:r w:rsidR="00B736E2">
        <w:rPr>
          <w:rFonts w:ascii="Arial" w:hAnsi="Arial" w:cs="Arial"/>
          <w:sz w:val="26"/>
          <w:szCs w:val="26"/>
        </w:rPr>
        <w:t xml:space="preserve"> de dos mil veinte</w:t>
      </w:r>
      <w:r>
        <w:rPr>
          <w:rFonts w:ascii="Arial" w:hAnsi="Arial" w:cs="Arial"/>
          <w:sz w:val="26"/>
          <w:szCs w:val="26"/>
        </w:rPr>
        <w:t xml:space="preserve">, </w:t>
      </w:r>
      <w:r w:rsidRPr="00CB6405">
        <w:rPr>
          <w:rFonts w:ascii="Arial" w:hAnsi="Arial" w:cs="Arial"/>
          <w:sz w:val="26"/>
          <w:szCs w:val="26"/>
        </w:rPr>
        <w:t>dictad</w:t>
      </w:r>
      <w:r w:rsidR="00B94CF4">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B94CF4">
        <w:rPr>
          <w:rFonts w:ascii="Arial" w:hAnsi="Arial" w:cs="Arial"/>
          <w:sz w:val="26"/>
          <w:szCs w:val="26"/>
        </w:rPr>
        <w:t>Quin</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FE0984">
        <w:rPr>
          <w:rFonts w:ascii="Arial" w:hAnsi="Arial" w:cs="Arial"/>
          <w:sz w:val="26"/>
          <w:szCs w:val="26"/>
        </w:rPr>
        <w:t>el</w:t>
      </w:r>
      <w:r w:rsidR="00FE0984">
        <w:rPr>
          <w:rFonts w:ascii="Arial" w:hAnsi="Arial" w:cs="Arial"/>
          <w:b/>
          <w:sz w:val="26"/>
          <w:szCs w:val="26"/>
        </w:rPr>
        <w:t xml:space="preserve"> ENCARGADO DEL DESPA</w:t>
      </w:r>
      <w:r w:rsidR="00B94CF4">
        <w:rPr>
          <w:rFonts w:ascii="Arial" w:hAnsi="Arial" w:cs="Arial"/>
          <w:b/>
          <w:sz w:val="26"/>
          <w:szCs w:val="26"/>
        </w:rPr>
        <w:t>CHO DE LA COMISARIA DE LA POLICÍA MUNICIPAL DE SANTA LUCIA DEL CAMINO, OAXACA</w:t>
      </w:r>
      <w:r w:rsidR="00E1384D">
        <w:rPr>
          <w:rFonts w:ascii="Arial" w:hAnsi="Arial" w:cs="Arial"/>
          <w:sz w:val="26"/>
          <w:szCs w:val="26"/>
        </w:rPr>
        <w:t xml:space="preserve">, </w:t>
      </w:r>
      <w:r w:rsidRPr="00CB6405">
        <w:rPr>
          <w:rFonts w:ascii="Arial" w:hAnsi="Arial" w:cs="Arial"/>
          <w:sz w:val="26"/>
          <w:szCs w:val="26"/>
        </w:rPr>
        <w:t>interpuso en su contra recurso de revisión.</w:t>
      </w:r>
      <w:r w:rsidR="005957E0">
        <w:rPr>
          <w:rFonts w:ascii="Arial" w:hAnsi="Arial" w:cs="Arial"/>
          <w:sz w:val="26"/>
          <w:szCs w:val="26"/>
        </w:rPr>
        <w:t xml:space="preserve"> - - - - -</w:t>
      </w:r>
    </w:p>
    <w:p w14:paraId="038EA8C5" w14:textId="3E6DCF5B" w:rsidR="00B94CF4" w:rsidRDefault="003B6CF0" w:rsidP="00B94CF4">
      <w:pPr>
        <w:spacing w:after="0" w:line="360" w:lineRule="auto"/>
        <w:ind w:left="567"/>
        <w:jc w:val="both"/>
        <w:rPr>
          <w:rFonts w:ascii="Arial" w:hAnsi="Arial" w:cs="Arial"/>
          <w:bCs/>
          <w:iCs/>
          <w:sz w:val="26"/>
          <w:szCs w:val="26"/>
        </w:rPr>
      </w:pPr>
      <w:r w:rsidRPr="003B084B">
        <w:rPr>
          <w:rFonts w:ascii="Arial" w:hAnsi="Arial" w:cs="Arial"/>
          <w:b/>
          <w:bCs/>
          <w:iCs/>
          <w:sz w:val="26"/>
          <w:szCs w:val="26"/>
        </w:rPr>
        <w:t xml:space="preserve">SEGUNDO. </w:t>
      </w:r>
      <w:r w:rsidR="00B94CF4">
        <w:rPr>
          <w:rFonts w:ascii="Arial" w:hAnsi="Arial" w:cs="Arial"/>
          <w:bCs/>
          <w:iCs/>
          <w:sz w:val="26"/>
          <w:szCs w:val="26"/>
        </w:rPr>
        <w:t>El texto del acuerdo recurrido es el siguiente</w:t>
      </w:r>
      <w:r w:rsidR="00B94CF4" w:rsidRPr="003B084B">
        <w:rPr>
          <w:rFonts w:ascii="Arial" w:hAnsi="Arial" w:cs="Arial"/>
          <w:bCs/>
          <w:iCs/>
          <w:sz w:val="26"/>
          <w:szCs w:val="26"/>
        </w:rPr>
        <w:t>:</w:t>
      </w:r>
      <w:r w:rsidR="005957E0">
        <w:rPr>
          <w:rFonts w:ascii="Arial" w:hAnsi="Arial" w:cs="Arial"/>
          <w:bCs/>
          <w:iCs/>
          <w:sz w:val="26"/>
          <w:szCs w:val="26"/>
        </w:rPr>
        <w:t xml:space="preserve"> - - - - - -</w:t>
      </w:r>
    </w:p>
    <w:p w14:paraId="4A663C68" w14:textId="77777777" w:rsidR="00095C3B" w:rsidRDefault="00095C3B" w:rsidP="00B94CF4">
      <w:pPr>
        <w:spacing w:after="0" w:line="360" w:lineRule="auto"/>
        <w:ind w:left="567"/>
        <w:jc w:val="both"/>
        <w:rPr>
          <w:rFonts w:ascii="Arial" w:hAnsi="Arial" w:cs="Arial"/>
          <w:bCs/>
          <w:iCs/>
          <w:sz w:val="26"/>
          <w:szCs w:val="26"/>
        </w:rPr>
      </w:pPr>
    </w:p>
    <w:p w14:paraId="2D378A26" w14:textId="31454AAC" w:rsidR="009C6795" w:rsidRDefault="00B94CF4" w:rsidP="00095C3B">
      <w:pPr>
        <w:spacing w:after="0" w:line="360" w:lineRule="auto"/>
        <w:ind w:left="567" w:right="616"/>
        <w:jc w:val="both"/>
        <w:rPr>
          <w:rFonts w:ascii="Arial" w:hAnsi="Arial" w:cs="Arial"/>
          <w:i/>
          <w:sz w:val="24"/>
          <w:szCs w:val="24"/>
        </w:rPr>
      </w:pPr>
      <w:r w:rsidRPr="005957E0">
        <w:rPr>
          <w:rFonts w:ascii="Arial" w:eastAsia="Times New Roman" w:hAnsi="Arial" w:cs="Arial"/>
          <w:b/>
          <w:bCs/>
          <w:i/>
          <w:iCs/>
          <w:sz w:val="24"/>
          <w:szCs w:val="24"/>
          <w:lang w:eastAsia="es-ES"/>
        </w:rPr>
        <w:t xml:space="preserve"> </w:t>
      </w:r>
      <w:r w:rsidR="00C95114" w:rsidRPr="005957E0">
        <w:rPr>
          <w:rFonts w:ascii="Arial" w:eastAsia="Times New Roman" w:hAnsi="Arial" w:cs="Arial"/>
          <w:b/>
          <w:bCs/>
          <w:i/>
          <w:iCs/>
          <w:sz w:val="24"/>
          <w:szCs w:val="24"/>
          <w:lang w:eastAsia="es-ES"/>
        </w:rPr>
        <w:t>“</w:t>
      </w:r>
      <w:r w:rsidR="00C95114" w:rsidRPr="005957E0">
        <w:rPr>
          <w:rFonts w:ascii="Arial" w:hAnsi="Arial" w:cs="Arial"/>
          <w:i/>
          <w:sz w:val="24"/>
          <w:szCs w:val="24"/>
        </w:rPr>
        <w:t xml:space="preserve">Glósese a los presentes autos, los escritos signados por el Encargado de Despacho de la Comisaría de la Policía Vial </w:t>
      </w:r>
      <w:r w:rsidR="00C95114" w:rsidRPr="005957E0">
        <w:rPr>
          <w:rFonts w:ascii="Arial" w:hAnsi="Arial" w:cs="Arial"/>
          <w:i/>
          <w:sz w:val="24"/>
          <w:szCs w:val="24"/>
        </w:rPr>
        <w:lastRenderedPageBreak/>
        <w:t xml:space="preserve">Municipal, el Juez Calificador y la Tesorera Municipal, todos ellos pertenecientes al Honorable ayuntamiento municipal de Santa Lucía del Camino, presentados ante Oficialía de Partes Común de este Tribunal el once del presente mes y año; visto su contenido y fecha de presentación, téngase a las citadas autoridades por </w:t>
      </w:r>
      <w:r w:rsidR="009C6795" w:rsidRPr="005957E0">
        <w:rPr>
          <w:rFonts w:ascii="Arial" w:hAnsi="Arial" w:cs="Arial"/>
          <w:i/>
          <w:sz w:val="24"/>
          <w:szCs w:val="24"/>
        </w:rPr>
        <w:t xml:space="preserve">acreditada la personalidad con la que comparecen, dando contestación a la demanda dentro del plazo legal concedido, de conformidad con lo dispuesto en el cuarto párrafo del artículo 148 y 151 de la Ley de Procedimiento y Justicia Administrativa para el Estado de Oaxaca, haciendo valer sus argumentos, excepciones y defensas, mismos que serán analizados en el momento procesal oportuno. - - - - - - - - - - - - - - - - - - - - - - - - - - - - - - - - - - - - - - - - - </w:t>
      </w:r>
    </w:p>
    <w:p w14:paraId="4A4E810D" w14:textId="77777777" w:rsidR="00347BEF" w:rsidRPr="005957E0" w:rsidRDefault="00347BEF" w:rsidP="00347BEF">
      <w:pPr>
        <w:pStyle w:val="Sinespaciado"/>
      </w:pPr>
    </w:p>
    <w:p w14:paraId="2FECE699" w14:textId="5DA0354D" w:rsidR="009C6795" w:rsidRPr="005957E0" w:rsidRDefault="009C6795" w:rsidP="00095C3B">
      <w:pPr>
        <w:spacing w:after="0" w:line="360" w:lineRule="auto"/>
        <w:ind w:left="567" w:right="616"/>
        <w:jc w:val="both"/>
        <w:rPr>
          <w:rFonts w:ascii="Arial" w:hAnsi="Arial" w:cs="Arial"/>
          <w:i/>
          <w:sz w:val="24"/>
          <w:szCs w:val="24"/>
        </w:rPr>
      </w:pPr>
      <w:r w:rsidRPr="005957E0">
        <w:rPr>
          <w:rFonts w:ascii="Arial" w:hAnsi="Arial" w:cs="Arial"/>
          <w:i/>
          <w:sz w:val="24"/>
          <w:szCs w:val="24"/>
        </w:rPr>
        <w:t xml:space="preserve">Con fundamento en lo dispuesto por el artículo 180 de la Ley de Procedimiento y Justicia Administrativa para el Estado de Oaxaca, </w:t>
      </w:r>
      <w:r w:rsidRPr="005957E0">
        <w:rPr>
          <w:rFonts w:ascii="Arial" w:hAnsi="Arial" w:cs="Arial"/>
          <w:b/>
          <w:i/>
          <w:sz w:val="24"/>
          <w:szCs w:val="24"/>
        </w:rPr>
        <w:t xml:space="preserve">córrase traslado </w:t>
      </w:r>
      <w:r w:rsidRPr="005957E0">
        <w:rPr>
          <w:rFonts w:ascii="Arial" w:hAnsi="Arial" w:cs="Arial"/>
          <w:i/>
          <w:sz w:val="24"/>
          <w:szCs w:val="24"/>
        </w:rPr>
        <w:t>al actor, de la contestación efectuada por las autoridades demandadas, para que, dentro del plazo de cinco días hábiles, contados a partir del día hábil siguiente en que surta efectos la notificación del presente proveído, amplíe su demanda. Lo anterior, en razón que se advierte hechos nuevos y autoridades diversas a las señaladas por el actor en su escrito inicial de demanda. - - - - - - - - - - - -</w:t>
      </w:r>
      <w:r w:rsidR="005957E0">
        <w:rPr>
          <w:rFonts w:ascii="Arial" w:hAnsi="Arial" w:cs="Arial"/>
          <w:i/>
          <w:sz w:val="24"/>
          <w:szCs w:val="24"/>
        </w:rPr>
        <w:t xml:space="preserve"> - - - - - - - - - - - - - - - - - - - - - - - - - - - - -</w:t>
      </w:r>
      <w:r w:rsidRPr="005957E0">
        <w:rPr>
          <w:rFonts w:ascii="Arial" w:hAnsi="Arial" w:cs="Arial"/>
          <w:i/>
          <w:sz w:val="24"/>
          <w:szCs w:val="24"/>
        </w:rPr>
        <w:t xml:space="preserve"> </w:t>
      </w:r>
    </w:p>
    <w:p w14:paraId="6E0B0046" w14:textId="77777777" w:rsidR="00095C3B" w:rsidRPr="005957E0" w:rsidRDefault="00095C3B" w:rsidP="005957E0">
      <w:pPr>
        <w:pStyle w:val="Sinespaciado"/>
      </w:pPr>
    </w:p>
    <w:p w14:paraId="1DD2B178" w14:textId="29AC6D18" w:rsidR="003B6CF0" w:rsidRPr="005957E0" w:rsidRDefault="009C6795" w:rsidP="00095C3B">
      <w:pPr>
        <w:spacing w:after="0" w:line="360" w:lineRule="auto"/>
        <w:ind w:left="567" w:right="616"/>
        <w:jc w:val="both"/>
        <w:rPr>
          <w:rFonts w:ascii="Arial" w:eastAsia="Times New Roman" w:hAnsi="Arial" w:cs="Arial"/>
          <w:b/>
          <w:bCs/>
          <w:i/>
          <w:iCs/>
          <w:sz w:val="24"/>
          <w:szCs w:val="24"/>
          <w:lang w:eastAsia="es-ES"/>
        </w:rPr>
      </w:pPr>
      <w:r w:rsidRPr="005957E0">
        <w:rPr>
          <w:rFonts w:ascii="Arial" w:hAnsi="Arial" w:cs="Arial"/>
          <w:i/>
          <w:sz w:val="24"/>
          <w:szCs w:val="24"/>
        </w:rPr>
        <w:t xml:space="preserve">De conformidad con lo establecido en los artículos 188 y 189 de la citada ley, téngase por admitidas las pruebas ofrecidas por las demandadas, consistentes en: </w:t>
      </w:r>
      <w:r w:rsidR="00FE401A" w:rsidRPr="005957E0">
        <w:rPr>
          <w:rFonts w:ascii="Arial" w:hAnsi="Arial" w:cs="Arial"/>
          <w:b/>
          <w:i/>
          <w:sz w:val="24"/>
          <w:szCs w:val="24"/>
        </w:rPr>
        <w:t xml:space="preserve">1.- </w:t>
      </w:r>
      <w:r w:rsidR="00FE401A" w:rsidRPr="005957E0">
        <w:rPr>
          <w:rFonts w:ascii="Arial" w:hAnsi="Arial" w:cs="Arial"/>
          <w:i/>
          <w:sz w:val="24"/>
          <w:szCs w:val="24"/>
        </w:rPr>
        <w:t>Cuadernillo certificado constante de dieciséis fojas útiles que contiene expediente personal del ciudadano</w:t>
      </w:r>
      <w:r w:rsidR="002361B0">
        <w:rPr>
          <w:rFonts w:ascii="Arial" w:hAnsi="Arial" w:cs="Arial"/>
          <w:i/>
          <w:sz w:val="24"/>
          <w:szCs w:val="24"/>
        </w:rPr>
        <w:t xml:space="preserve"> </w:t>
      </w:r>
      <w:r w:rsidR="002361B0">
        <w:rPr>
          <w:rFonts w:ascii="Arial" w:hAnsi="Arial" w:cs="Arial"/>
          <w:b/>
          <w:sz w:val="26"/>
          <w:szCs w:val="26"/>
        </w:rPr>
        <w:t>***********</w:t>
      </w:r>
      <w:r w:rsidR="00FE401A" w:rsidRPr="005957E0">
        <w:rPr>
          <w:rFonts w:ascii="Arial" w:hAnsi="Arial" w:cs="Arial"/>
          <w:i/>
          <w:sz w:val="24"/>
          <w:szCs w:val="24"/>
        </w:rPr>
        <w:t xml:space="preserve">, a raíz de la detención por alcoholímetro efectuada el dos de febrero del año en que se </w:t>
      </w:r>
      <w:r w:rsidR="00305CF4" w:rsidRPr="005957E0">
        <w:rPr>
          <w:rFonts w:ascii="Arial" w:hAnsi="Arial" w:cs="Arial"/>
          <w:i/>
          <w:sz w:val="24"/>
          <w:szCs w:val="24"/>
        </w:rPr>
        <w:t>actúa</w:t>
      </w:r>
      <w:r w:rsidR="00FE401A" w:rsidRPr="005957E0">
        <w:rPr>
          <w:rFonts w:ascii="Arial" w:hAnsi="Arial" w:cs="Arial"/>
          <w:i/>
          <w:sz w:val="24"/>
          <w:szCs w:val="24"/>
        </w:rPr>
        <w:t xml:space="preserve">; </w:t>
      </w:r>
      <w:r w:rsidR="00FE401A" w:rsidRPr="005957E0">
        <w:rPr>
          <w:rFonts w:ascii="Arial" w:hAnsi="Arial" w:cs="Arial"/>
          <w:b/>
          <w:i/>
          <w:sz w:val="24"/>
          <w:szCs w:val="24"/>
        </w:rPr>
        <w:t xml:space="preserve">2.- </w:t>
      </w:r>
      <w:r w:rsidR="00FE401A" w:rsidRPr="005957E0">
        <w:rPr>
          <w:rFonts w:ascii="Arial" w:hAnsi="Arial" w:cs="Arial"/>
          <w:i/>
          <w:sz w:val="24"/>
          <w:szCs w:val="24"/>
        </w:rPr>
        <w:t xml:space="preserve">La Presuncional Legal y Humana, y; </w:t>
      </w:r>
      <w:r w:rsidR="00FE401A" w:rsidRPr="005957E0">
        <w:rPr>
          <w:rFonts w:ascii="Arial" w:hAnsi="Arial" w:cs="Arial"/>
          <w:b/>
          <w:i/>
          <w:sz w:val="24"/>
          <w:szCs w:val="24"/>
        </w:rPr>
        <w:t xml:space="preserve">3.- </w:t>
      </w:r>
      <w:r w:rsidR="00FE401A" w:rsidRPr="005957E0">
        <w:rPr>
          <w:rFonts w:ascii="Arial" w:hAnsi="Arial" w:cs="Arial"/>
          <w:i/>
          <w:sz w:val="24"/>
          <w:szCs w:val="24"/>
        </w:rPr>
        <w:t>La Instrumental de Act</w:t>
      </w:r>
      <w:r w:rsidR="00095C3B" w:rsidRPr="005957E0">
        <w:rPr>
          <w:rFonts w:ascii="Arial" w:hAnsi="Arial" w:cs="Arial"/>
          <w:i/>
          <w:sz w:val="24"/>
          <w:szCs w:val="24"/>
        </w:rPr>
        <w:t xml:space="preserve">uaciones … </w:t>
      </w:r>
      <w:r w:rsidR="003B6CF0" w:rsidRPr="005957E0">
        <w:rPr>
          <w:rFonts w:ascii="Arial" w:hAnsi="Arial" w:cs="Arial"/>
          <w:i/>
          <w:sz w:val="24"/>
          <w:szCs w:val="24"/>
        </w:rPr>
        <w:t>”</w:t>
      </w:r>
      <w:r w:rsidR="003B6CF0" w:rsidRPr="005957E0">
        <w:rPr>
          <w:rFonts w:ascii="Arial" w:eastAsia="Times New Roman" w:hAnsi="Arial" w:cs="Arial"/>
          <w:b/>
          <w:bCs/>
          <w:i/>
          <w:iCs/>
          <w:sz w:val="24"/>
          <w:szCs w:val="24"/>
          <w:lang w:eastAsia="es-ES"/>
        </w:rPr>
        <w:t xml:space="preserve"> </w:t>
      </w:r>
    </w:p>
    <w:p w14:paraId="24EAA765" w14:textId="77777777" w:rsidR="00095C3B" w:rsidRPr="005957E0" w:rsidRDefault="00095C3B" w:rsidP="00095C3B">
      <w:pPr>
        <w:spacing w:after="0" w:line="360" w:lineRule="auto"/>
        <w:ind w:left="567" w:right="616"/>
        <w:jc w:val="both"/>
        <w:rPr>
          <w:rFonts w:ascii="Arial" w:eastAsia="Times New Roman" w:hAnsi="Arial" w:cs="Arial"/>
          <w:bCs/>
          <w:i/>
          <w:iCs/>
          <w:sz w:val="24"/>
          <w:szCs w:val="24"/>
          <w:lang w:eastAsia="es-ES"/>
        </w:rPr>
      </w:pPr>
    </w:p>
    <w:p w14:paraId="36EF0AC2" w14:textId="55D7C7FC" w:rsidR="003B6CF0" w:rsidRPr="00CB6405" w:rsidRDefault="00095C3B"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6E973D48"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lastRenderedPageBreak/>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0D1B72">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FE401A">
        <w:rPr>
          <w:rFonts w:ascii="Arial" w:hAnsi="Arial" w:cs="Arial"/>
          <w:bCs/>
          <w:iCs/>
          <w:sz w:val="26"/>
          <w:szCs w:val="26"/>
        </w:rPr>
        <w:t>l</w:t>
      </w:r>
      <w:r>
        <w:rPr>
          <w:rFonts w:ascii="Arial" w:hAnsi="Arial" w:cs="Arial"/>
          <w:bCs/>
          <w:iCs/>
          <w:sz w:val="26"/>
          <w:szCs w:val="26"/>
        </w:rPr>
        <w:t xml:space="preserve"> </w:t>
      </w:r>
      <w:r>
        <w:rPr>
          <w:rFonts w:ascii="Arial" w:hAnsi="Arial" w:cs="Arial"/>
          <w:sz w:val="26"/>
          <w:szCs w:val="26"/>
        </w:rPr>
        <w:t>a</w:t>
      </w:r>
      <w:r w:rsidR="00FE401A">
        <w:rPr>
          <w:rFonts w:ascii="Arial" w:hAnsi="Arial" w:cs="Arial"/>
          <w:sz w:val="26"/>
          <w:szCs w:val="26"/>
        </w:rPr>
        <w:t>cuerdo</w:t>
      </w:r>
      <w:r>
        <w:rPr>
          <w:rFonts w:ascii="Arial" w:hAnsi="Arial" w:cs="Arial"/>
          <w:sz w:val="26"/>
          <w:szCs w:val="26"/>
        </w:rPr>
        <w:t xml:space="preserve"> de fecha </w:t>
      </w:r>
      <w:r w:rsidR="00FE401A">
        <w:rPr>
          <w:rFonts w:ascii="Arial" w:hAnsi="Arial" w:cs="Arial"/>
          <w:sz w:val="26"/>
          <w:szCs w:val="26"/>
        </w:rPr>
        <w:t>diecisiete</w:t>
      </w:r>
      <w:r w:rsidR="006F7407">
        <w:rPr>
          <w:rFonts w:ascii="Arial" w:hAnsi="Arial" w:cs="Arial"/>
          <w:sz w:val="26"/>
          <w:szCs w:val="26"/>
        </w:rPr>
        <w:t xml:space="preserve"> de </w:t>
      </w:r>
      <w:r w:rsidR="00FE401A">
        <w:rPr>
          <w:rFonts w:ascii="Arial" w:hAnsi="Arial" w:cs="Arial"/>
          <w:sz w:val="26"/>
          <w:szCs w:val="26"/>
        </w:rPr>
        <w:t>septiembre</w:t>
      </w:r>
      <w:r w:rsidR="006F7407">
        <w:rPr>
          <w:rFonts w:ascii="Arial" w:hAnsi="Arial" w:cs="Arial"/>
          <w:sz w:val="26"/>
          <w:szCs w:val="26"/>
        </w:rPr>
        <w:t xml:space="preserve"> de dos mil veinte</w:t>
      </w:r>
      <w:r w:rsidR="00305CF4">
        <w:rPr>
          <w:rFonts w:ascii="Arial" w:hAnsi="Arial" w:cs="Arial"/>
          <w:bCs/>
          <w:iCs/>
          <w:sz w:val="26"/>
          <w:szCs w:val="26"/>
        </w:rPr>
        <w:t>, dictado</w:t>
      </w:r>
      <w:r w:rsidRPr="008E3662">
        <w:rPr>
          <w:rFonts w:ascii="Arial" w:hAnsi="Arial" w:cs="Arial"/>
          <w:bCs/>
          <w:iCs/>
          <w:sz w:val="26"/>
          <w:szCs w:val="26"/>
        </w:rPr>
        <w:t xml:space="preserve"> por la </w:t>
      </w:r>
      <w:r w:rsidR="00FE401A">
        <w:rPr>
          <w:rFonts w:ascii="Arial" w:hAnsi="Arial" w:cs="Arial"/>
          <w:bCs/>
          <w:iCs/>
          <w:sz w:val="26"/>
          <w:szCs w:val="26"/>
        </w:rPr>
        <w:t>Quin</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0268DB">
        <w:rPr>
          <w:rFonts w:ascii="Arial" w:hAnsi="Arial" w:cs="Arial"/>
          <w:b/>
          <w:bCs/>
          <w:iCs/>
          <w:sz w:val="26"/>
          <w:szCs w:val="26"/>
        </w:rPr>
        <w:t>0</w:t>
      </w:r>
      <w:r w:rsidR="00FE401A">
        <w:rPr>
          <w:rFonts w:ascii="Arial" w:hAnsi="Arial" w:cs="Arial"/>
          <w:b/>
          <w:bCs/>
          <w:iCs/>
          <w:sz w:val="26"/>
          <w:szCs w:val="26"/>
        </w:rPr>
        <w:t>39</w:t>
      </w:r>
      <w:r w:rsidRPr="00AE78C3">
        <w:rPr>
          <w:rFonts w:ascii="Arial" w:hAnsi="Arial" w:cs="Arial"/>
          <w:b/>
          <w:bCs/>
          <w:iCs/>
          <w:sz w:val="26"/>
          <w:szCs w:val="26"/>
        </w:rPr>
        <w:t>/20</w:t>
      </w:r>
      <w:r w:rsidR="000268DB">
        <w:rPr>
          <w:rFonts w:ascii="Arial" w:hAnsi="Arial" w:cs="Arial"/>
          <w:b/>
          <w:bCs/>
          <w:iCs/>
          <w:sz w:val="26"/>
          <w:szCs w:val="26"/>
        </w:rPr>
        <w:t>20</w:t>
      </w:r>
      <w:r w:rsidRPr="00AE78C3">
        <w:rPr>
          <w:rFonts w:ascii="Arial" w:hAnsi="Arial" w:cs="Arial"/>
          <w:b/>
          <w:bCs/>
          <w:iCs/>
          <w:sz w:val="26"/>
          <w:szCs w:val="26"/>
        </w:rPr>
        <w:t>.</w:t>
      </w:r>
      <w:r w:rsidR="00C1211B" w:rsidRPr="00C1211B">
        <w:rPr>
          <w:rFonts w:ascii="Arial" w:hAnsi="Arial" w:cs="Arial"/>
          <w:i/>
          <w:sz w:val="24"/>
          <w:szCs w:val="24"/>
        </w:rPr>
        <w:t xml:space="preserve"> </w:t>
      </w:r>
      <w:r w:rsidR="00C1211B" w:rsidRPr="005957E0">
        <w:rPr>
          <w:rFonts w:ascii="Arial" w:hAnsi="Arial" w:cs="Arial"/>
          <w:i/>
          <w:sz w:val="24"/>
          <w:szCs w:val="24"/>
        </w:rPr>
        <w:t>- - - - - - - - - - - -</w:t>
      </w:r>
      <w:r w:rsidR="00C1211B">
        <w:rPr>
          <w:rFonts w:ascii="Arial" w:hAnsi="Arial" w:cs="Arial"/>
          <w:i/>
          <w:sz w:val="24"/>
          <w:szCs w:val="24"/>
        </w:rPr>
        <w:t xml:space="preserve"> - - - - - - - - - - - - - - - - - - - - - - - - - - - - - </w:t>
      </w:r>
    </w:p>
    <w:p w14:paraId="40E8D394" w14:textId="7B0CDBF5" w:rsidR="003B6CF0" w:rsidRDefault="003B6CF0" w:rsidP="003B6CF0">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w:t>
      </w:r>
      <w:r w:rsidR="00747AFE">
        <w:rPr>
          <w:rFonts w:ascii="Arial" w:hAnsi="Arial" w:cs="Arial"/>
          <w:sz w:val="26"/>
          <w:szCs w:val="26"/>
        </w:rPr>
        <w:t xml:space="preserve"> En apoyo a lo anterior,</w:t>
      </w:r>
      <w:r>
        <w:rPr>
          <w:rFonts w:ascii="Arial" w:hAnsi="Arial" w:cs="Arial"/>
          <w:sz w:val="26"/>
          <w:szCs w:val="26"/>
        </w:rPr>
        <w:t xml:space="preserve"> </w:t>
      </w:r>
      <w:r w:rsidR="00747AFE">
        <w:rPr>
          <w:rFonts w:ascii="Arial" w:hAnsi="Arial" w:cs="Arial"/>
          <w:sz w:val="26"/>
          <w:szCs w:val="26"/>
        </w:rPr>
        <w:t xml:space="preserve">resulta aplicable </w:t>
      </w:r>
      <w:r>
        <w:rPr>
          <w:rFonts w:ascii="Arial" w:hAnsi="Arial" w:cs="Arial"/>
          <w:sz w:val="26"/>
          <w:szCs w:val="26"/>
        </w:rPr>
        <w:t xml:space="preserve">la </w:t>
      </w:r>
      <w:r w:rsidR="00AF210D">
        <w:rPr>
          <w:rFonts w:ascii="Arial" w:hAnsi="Arial" w:cs="Arial"/>
          <w:sz w:val="26"/>
          <w:szCs w:val="26"/>
        </w:rPr>
        <w:t xml:space="preserve">jurisprudencia </w:t>
      </w:r>
      <w:r w:rsidR="00AF210D" w:rsidRPr="00AF210D">
        <w:rPr>
          <w:rFonts w:ascii="Arial" w:hAnsi="Arial" w:cs="Arial"/>
          <w:sz w:val="26"/>
          <w:szCs w:val="26"/>
        </w:rPr>
        <w:t>2a./J. 58/2010</w:t>
      </w:r>
      <w:r w:rsidR="00AF210D">
        <w:rPr>
          <w:rFonts w:ascii="Arial" w:hAnsi="Arial" w:cs="Arial"/>
          <w:sz w:val="26"/>
          <w:szCs w:val="26"/>
        </w:rPr>
        <w:t xml:space="preserve">, con número de registro digital 164618, publicada en el Semanario Judicial de la Federación y su Gaceta, </w:t>
      </w:r>
      <w:r w:rsidR="00AF210D" w:rsidRPr="00AF210D">
        <w:rPr>
          <w:rFonts w:ascii="Arial" w:hAnsi="Arial" w:cs="Arial"/>
          <w:sz w:val="26"/>
          <w:szCs w:val="26"/>
        </w:rPr>
        <w:t>Tomo XXXI, Mayo de 2010, página 830</w:t>
      </w:r>
      <w:r w:rsidR="00AF210D">
        <w:rPr>
          <w:rFonts w:ascii="Arial" w:hAnsi="Arial" w:cs="Arial"/>
          <w:sz w:val="26"/>
          <w:szCs w:val="26"/>
        </w:rPr>
        <w:t xml:space="preserve">, de rubro y texto siguientes: </w:t>
      </w:r>
      <w:r w:rsidR="00C1211B" w:rsidRPr="005957E0">
        <w:rPr>
          <w:rFonts w:ascii="Arial" w:hAnsi="Arial" w:cs="Arial"/>
          <w:i/>
          <w:sz w:val="24"/>
          <w:szCs w:val="24"/>
        </w:rPr>
        <w:t>- - - - - - - - - - - -</w:t>
      </w:r>
      <w:r w:rsidR="00C1211B">
        <w:rPr>
          <w:rFonts w:ascii="Arial" w:hAnsi="Arial" w:cs="Arial"/>
          <w:i/>
          <w:sz w:val="24"/>
          <w:szCs w:val="24"/>
        </w:rPr>
        <w:t xml:space="preserve"> - - - - - - - - - - - - - - - - - - - - - - - - - </w:t>
      </w:r>
    </w:p>
    <w:p w14:paraId="4649CE64" w14:textId="04731F1E" w:rsidR="00C644DD" w:rsidRPr="00C1211B" w:rsidRDefault="00C644DD" w:rsidP="00C644DD">
      <w:pPr>
        <w:spacing w:before="240" w:after="0" w:line="360" w:lineRule="auto"/>
        <w:ind w:left="567" w:right="616"/>
        <w:jc w:val="both"/>
        <w:rPr>
          <w:rFonts w:ascii="Arial" w:hAnsi="Arial" w:cs="Arial"/>
          <w:b/>
          <w:i/>
          <w:sz w:val="24"/>
          <w:szCs w:val="24"/>
        </w:rPr>
      </w:pPr>
      <w:r w:rsidRPr="00C1211B">
        <w:rPr>
          <w:rFonts w:ascii="Arial" w:hAnsi="Arial" w:cs="Arial"/>
          <w:b/>
          <w:i/>
          <w:sz w:val="24"/>
          <w:szCs w:val="24"/>
        </w:rPr>
        <w:t>“CONCEPTOS DE VIOLACIÓN O AGRAVIOS. PARA CUMPLIR CON LOS PRINCIPIOS DE CONGRUENCIA Y EXHAUSTIVIDAD EN LAS SENTENCIAS DE AMPARO ES INNECESARIA SU TRANSCRIPCIÓN.</w:t>
      </w:r>
    </w:p>
    <w:p w14:paraId="6423D0E6" w14:textId="77777777" w:rsidR="00C644DD" w:rsidRPr="00C1211B" w:rsidRDefault="00C644DD" w:rsidP="00C644DD">
      <w:pPr>
        <w:spacing w:before="240" w:after="0" w:line="360" w:lineRule="auto"/>
        <w:ind w:left="567" w:right="616"/>
        <w:jc w:val="both"/>
        <w:rPr>
          <w:rFonts w:ascii="Arial" w:hAnsi="Arial" w:cs="Arial"/>
          <w:i/>
          <w:sz w:val="24"/>
          <w:szCs w:val="24"/>
        </w:rPr>
      </w:pPr>
      <w:r w:rsidRPr="00C1211B">
        <w:rPr>
          <w:rFonts w:ascii="Arial" w:hAnsi="Arial" w:cs="Arial"/>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CC14942" w14:textId="77777777" w:rsidR="00C644DD" w:rsidRPr="00C1211B" w:rsidRDefault="00C644DD" w:rsidP="00C644DD">
      <w:pPr>
        <w:spacing w:before="240" w:after="0" w:line="360" w:lineRule="auto"/>
        <w:ind w:left="567" w:right="616"/>
        <w:jc w:val="both"/>
        <w:rPr>
          <w:rFonts w:ascii="Arial" w:hAnsi="Arial" w:cs="Arial"/>
          <w:i/>
          <w:sz w:val="24"/>
          <w:szCs w:val="24"/>
        </w:rPr>
      </w:pPr>
      <w:r w:rsidRPr="00C1211B">
        <w:rPr>
          <w:rFonts w:ascii="Arial" w:hAnsi="Arial" w:cs="Arial"/>
          <w:i/>
          <w:sz w:val="24"/>
          <w:szCs w:val="24"/>
        </w:rPr>
        <w:t xml:space="preserve">Contradicción de tesis 50/2010. Entre las sustentadas por los Tribunales Colegiados Segundo del Noveno Circuito, Primero en </w:t>
      </w:r>
      <w:r w:rsidRPr="00C1211B">
        <w:rPr>
          <w:rFonts w:ascii="Arial" w:hAnsi="Arial" w:cs="Arial"/>
          <w:i/>
          <w:sz w:val="24"/>
          <w:szCs w:val="24"/>
        </w:rPr>
        <w:lastRenderedPageBreak/>
        <w:t>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16C4A3B" w14:textId="67A167E9" w:rsidR="00C644DD" w:rsidRPr="00C1211B" w:rsidRDefault="00C644DD" w:rsidP="00C644DD">
      <w:pPr>
        <w:spacing w:before="240" w:after="0" w:line="360" w:lineRule="auto"/>
        <w:ind w:left="567" w:right="616"/>
        <w:jc w:val="both"/>
        <w:rPr>
          <w:rFonts w:ascii="Arial" w:hAnsi="Arial" w:cs="Arial"/>
          <w:i/>
          <w:sz w:val="24"/>
          <w:szCs w:val="24"/>
        </w:rPr>
      </w:pPr>
      <w:r w:rsidRPr="00C1211B">
        <w:rPr>
          <w:rFonts w:ascii="Arial" w:hAnsi="Arial" w:cs="Arial"/>
          <w:i/>
          <w:sz w:val="24"/>
          <w:szCs w:val="24"/>
        </w:rPr>
        <w:t>Tesis de jurisprudencia 58/2010. Aprobada por la Segunda Sala de este Alto Tribunal, en sesión privada del doce de mayo de dos mil diez.”</w:t>
      </w:r>
    </w:p>
    <w:p w14:paraId="25F983AD" w14:textId="53A9BF81" w:rsidR="002614F4" w:rsidRDefault="003B6CF0" w:rsidP="003B6CF0">
      <w:pPr>
        <w:widowControl w:val="0"/>
        <w:tabs>
          <w:tab w:val="left" w:pos="0"/>
        </w:tabs>
        <w:spacing w:before="240" w:after="0" w:line="360" w:lineRule="auto"/>
        <w:ind w:right="18"/>
        <w:jc w:val="both"/>
        <w:rPr>
          <w:rFonts w:ascii="Arial" w:eastAsia="Calibri" w:hAnsi="Arial" w:cs="Arial"/>
          <w:bCs/>
          <w:sz w:val="26"/>
          <w:szCs w:val="26"/>
        </w:rPr>
      </w:pPr>
      <w:r w:rsidRPr="004B33E7">
        <w:rPr>
          <w:rFonts w:ascii="Arial" w:eastAsia="Calibri" w:hAnsi="Arial" w:cs="Arial"/>
          <w:b/>
          <w:bCs/>
          <w:sz w:val="26"/>
          <w:szCs w:val="26"/>
        </w:rPr>
        <w:tab/>
      </w:r>
      <w:r w:rsidR="004A4DE3" w:rsidRPr="004B33E7">
        <w:rPr>
          <w:rFonts w:ascii="Arial" w:eastAsia="Calibri" w:hAnsi="Arial" w:cs="Arial"/>
          <w:b/>
          <w:bCs/>
          <w:sz w:val="26"/>
          <w:szCs w:val="26"/>
        </w:rPr>
        <w:t>TERCERO.</w:t>
      </w:r>
      <w:r w:rsidR="004A4DE3">
        <w:rPr>
          <w:rFonts w:ascii="Arial" w:eastAsia="Calibri" w:hAnsi="Arial" w:cs="Arial"/>
          <w:bCs/>
          <w:sz w:val="26"/>
          <w:szCs w:val="26"/>
        </w:rPr>
        <w:t xml:space="preserve"> Alega el recurrente que le causa agravio la parte con</w:t>
      </w:r>
      <w:r w:rsidR="009E5E86">
        <w:rPr>
          <w:rFonts w:ascii="Arial" w:eastAsia="Calibri" w:hAnsi="Arial" w:cs="Arial"/>
          <w:bCs/>
          <w:sz w:val="26"/>
          <w:szCs w:val="26"/>
        </w:rPr>
        <w:t>ducente del acuerdo, en la que se otorgó a la parte actora, el derecho a ampliar su demanda, y que resulta infundado dicho argumento, dejando en estado de indefensión a su representada, ya que en el caso particular, se actualizan las causales de improcedencia y sobreseimiento, ya que considerando que son de orden público y de estudio preferente a cualquier otra cuestión, y toda vez que el tribunal tiene la facultad para estudiar de oficio dichas causales, se actualiza la de improcedencia prevista en la fracción II del artículo 161 y 162 fracción II de la Ley de Procedimiento y Justicia Administrativa (los transcribe).</w:t>
      </w:r>
    </w:p>
    <w:p w14:paraId="3224A8EE" w14:textId="5D29502B" w:rsidR="009E5E86" w:rsidRDefault="009E5E86"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Sostiene que de los hechos narrados por el actor, así como de sus pruebas aportadas, se puede apreciar claramente la fundamentación y motivación del acto administrativo, que permite concluir que el acto administrativo es completamente válido, </w:t>
      </w:r>
      <w:r w:rsidR="00076BA7">
        <w:rPr>
          <w:rFonts w:ascii="Arial" w:eastAsia="Calibri" w:hAnsi="Arial" w:cs="Arial"/>
          <w:bCs/>
          <w:sz w:val="26"/>
          <w:szCs w:val="26"/>
        </w:rPr>
        <w:t xml:space="preserve">por lo cual no se afecta de ninguna manera el interés jurídico y legítimo del actor, por lo cual es procedente </w:t>
      </w:r>
      <w:r w:rsidR="00192171">
        <w:rPr>
          <w:rFonts w:ascii="Arial" w:eastAsia="Calibri" w:hAnsi="Arial" w:cs="Arial"/>
          <w:bCs/>
          <w:sz w:val="26"/>
          <w:szCs w:val="26"/>
        </w:rPr>
        <w:t xml:space="preserve">que se sobresea el juicio de nulidad por la causal prevista en el artículo 162 fracción II de la Ley que rige al tribunal. </w:t>
      </w:r>
      <w:r w:rsidR="00C1211B" w:rsidRPr="005957E0">
        <w:rPr>
          <w:rFonts w:ascii="Arial" w:hAnsi="Arial" w:cs="Arial"/>
          <w:i/>
          <w:sz w:val="24"/>
          <w:szCs w:val="24"/>
        </w:rPr>
        <w:t xml:space="preserve">- - - - - - - - - - - </w:t>
      </w:r>
    </w:p>
    <w:p w14:paraId="0DF789EC" w14:textId="387A76F5" w:rsidR="00192171" w:rsidRDefault="00192171"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Argumenta que</w:t>
      </w:r>
      <w:r w:rsidR="004E181E">
        <w:rPr>
          <w:rFonts w:ascii="Arial" w:eastAsia="Calibri" w:hAnsi="Arial" w:cs="Arial"/>
          <w:bCs/>
          <w:sz w:val="26"/>
          <w:szCs w:val="26"/>
        </w:rPr>
        <w:t xml:space="preserve"> lo anterior es así</w:t>
      </w:r>
      <w:r>
        <w:rPr>
          <w:rFonts w:ascii="Arial" w:eastAsia="Calibri" w:hAnsi="Arial" w:cs="Arial"/>
          <w:bCs/>
          <w:sz w:val="26"/>
          <w:szCs w:val="26"/>
        </w:rPr>
        <w:t xml:space="preserve"> en virtud de lo ya referido en la contestación de demanda, </w:t>
      </w:r>
      <w:r w:rsidR="004E181E">
        <w:rPr>
          <w:rFonts w:ascii="Arial" w:eastAsia="Calibri" w:hAnsi="Arial" w:cs="Arial"/>
          <w:bCs/>
          <w:sz w:val="26"/>
          <w:szCs w:val="26"/>
        </w:rPr>
        <w:t>pues en las pruebas anexadas a la demanda no hay ninguna que pueda dar virtud a lo demandado por el actor, y que también al contestar la demanda, las autoridades demandadas negaron la existencia de los actos que les atribuye, por lo tanto, no es posible que se les conceda la ampliación de la demanda si en autos se puede notar que del acto que pretende dar la nulidad la parte actora, fue de su conocimiento en todo momento.</w:t>
      </w:r>
      <w:r w:rsidR="00C1211B" w:rsidRPr="00C1211B">
        <w:rPr>
          <w:rFonts w:ascii="Arial" w:hAnsi="Arial" w:cs="Arial"/>
          <w:i/>
          <w:sz w:val="24"/>
          <w:szCs w:val="24"/>
        </w:rPr>
        <w:t xml:space="preserve"> </w:t>
      </w:r>
      <w:r w:rsidR="00C1211B" w:rsidRPr="005957E0">
        <w:rPr>
          <w:rFonts w:ascii="Arial" w:hAnsi="Arial" w:cs="Arial"/>
          <w:i/>
          <w:sz w:val="24"/>
          <w:szCs w:val="24"/>
        </w:rPr>
        <w:t>- - - - - - - - - - - -</w:t>
      </w:r>
      <w:r w:rsidR="00C1211B">
        <w:rPr>
          <w:rFonts w:ascii="Arial" w:hAnsi="Arial" w:cs="Arial"/>
          <w:i/>
          <w:sz w:val="24"/>
          <w:szCs w:val="24"/>
        </w:rPr>
        <w:t xml:space="preserve"> - - - - - - - - - - - - - - - - - - - </w:t>
      </w:r>
    </w:p>
    <w:p w14:paraId="31ADA417" w14:textId="65AD9614" w:rsidR="00C60ED4" w:rsidRDefault="004E181E"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Agrega que además, como ya lo manifestó, es totalmente falso lo dicho por la parte actora, ya que se cumplió al pie de la letra con lo establecido en el artículo 17 de la </w:t>
      </w:r>
      <w:r w:rsidRPr="004E181E">
        <w:rPr>
          <w:rFonts w:ascii="Arial" w:eastAsia="Calibri" w:hAnsi="Arial" w:cs="Arial"/>
          <w:bCs/>
          <w:sz w:val="26"/>
          <w:szCs w:val="26"/>
        </w:rPr>
        <w:t xml:space="preserve">Ley de Procedimiento y Justicia </w:t>
      </w:r>
      <w:r w:rsidRPr="004E181E">
        <w:rPr>
          <w:rFonts w:ascii="Arial" w:eastAsia="Calibri" w:hAnsi="Arial" w:cs="Arial"/>
          <w:bCs/>
          <w:sz w:val="26"/>
          <w:szCs w:val="26"/>
        </w:rPr>
        <w:lastRenderedPageBreak/>
        <w:t>Administrativa</w:t>
      </w:r>
      <w:r>
        <w:rPr>
          <w:rFonts w:ascii="Arial" w:eastAsia="Calibri" w:hAnsi="Arial" w:cs="Arial"/>
          <w:bCs/>
          <w:sz w:val="26"/>
          <w:szCs w:val="26"/>
        </w:rPr>
        <w:t xml:space="preserve"> del Estado de O</w:t>
      </w:r>
      <w:r w:rsidR="00C60ED4">
        <w:rPr>
          <w:rFonts w:ascii="Arial" w:eastAsia="Calibri" w:hAnsi="Arial" w:cs="Arial"/>
          <w:bCs/>
          <w:sz w:val="26"/>
          <w:szCs w:val="26"/>
        </w:rPr>
        <w:t>axaca, tal y como lo acreditó con la copia certificada del expediente administrativo, y que siendo así, el actor tuvo conocimiento del acto en todo momento, por lo cual al ser conocedor del acto, queda preclu</w:t>
      </w:r>
      <w:r w:rsidR="00590C6B">
        <w:rPr>
          <w:rFonts w:ascii="Arial" w:eastAsia="Calibri" w:hAnsi="Arial" w:cs="Arial"/>
          <w:bCs/>
          <w:sz w:val="26"/>
          <w:szCs w:val="26"/>
        </w:rPr>
        <w:t>í</w:t>
      </w:r>
      <w:r w:rsidR="00C60ED4">
        <w:rPr>
          <w:rFonts w:ascii="Arial" w:eastAsia="Calibri" w:hAnsi="Arial" w:cs="Arial"/>
          <w:bCs/>
          <w:sz w:val="26"/>
          <w:szCs w:val="26"/>
        </w:rPr>
        <w:t>do su d</w:t>
      </w:r>
      <w:r w:rsidR="00AB1D6A">
        <w:rPr>
          <w:rFonts w:ascii="Arial" w:eastAsia="Calibri" w:hAnsi="Arial" w:cs="Arial"/>
          <w:bCs/>
          <w:sz w:val="26"/>
          <w:szCs w:val="26"/>
        </w:rPr>
        <w:t xml:space="preserve">erecho para ampliar su demanda, y que por ello solicita se suspenda la ejecución del acuerdo que por este medio recurre, se determine lo que solicita en los términos que lo </w:t>
      </w:r>
      <w:r w:rsidR="00CE16BA">
        <w:rPr>
          <w:rFonts w:ascii="Arial" w:eastAsia="Calibri" w:hAnsi="Arial" w:cs="Arial"/>
          <w:bCs/>
          <w:sz w:val="26"/>
          <w:szCs w:val="26"/>
        </w:rPr>
        <w:t xml:space="preserve">hace. </w:t>
      </w:r>
      <w:r w:rsidR="001974D2">
        <w:rPr>
          <w:rFonts w:ascii="Arial" w:eastAsia="Calibri" w:hAnsi="Arial" w:cs="Arial"/>
          <w:bCs/>
          <w:sz w:val="26"/>
          <w:szCs w:val="26"/>
        </w:rPr>
        <w:t>- - - - -</w:t>
      </w:r>
    </w:p>
    <w:p w14:paraId="69AB3732" w14:textId="1FA3DC5E" w:rsidR="003B04B5" w:rsidRDefault="00776612" w:rsidP="003B04B5">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Sala Superior estima que </w:t>
      </w:r>
      <w:r w:rsidR="00902071">
        <w:rPr>
          <w:rFonts w:ascii="Arial" w:eastAsia="Calibri" w:hAnsi="Arial" w:cs="Arial"/>
          <w:bCs/>
          <w:sz w:val="26"/>
          <w:szCs w:val="26"/>
        </w:rPr>
        <w:t xml:space="preserve">son </w:t>
      </w:r>
      <w:r w:rsidR="00902071" w:rsidRPr="00902071">
        <w:rPr>
          <w:rFonts w:ascii="Arial" w:eastAsia="Calibri" w:hAnsi="Arial" w:cs="Arial"/>
          <w:b/>
          <w:bCs/>
          <w:sz w:val="26"/>
          <w:szCs w:val="26"/>
        </w:rPr>
        <w:t>inoperantes</w:t>
      </w:r>
      <w:r w:rsidR="00902071">
        <w:rPr>
          <w:rFonts w:ascii="Arial" w:eastAsia="Calibri" w:hAnsi="Arial" w:cs="Arial"/>
          <w:bCs/>
          <w:sz w:val="26"/>
          <w:szCs w:val="26"/>
        </w:rPr>
        <w:t xml:space="preserve"> los agravios expresados por la autoridad inconforme, ya que</w:t>
      </w:r>
      <w:r w:rsidR="00BA773E">
        <w:rPr>
          <w:rFonts w:ascii="Arial" w:eastAsia="Calibri" w:hAnsi="Arial" w:cs="Arial"/>
          <w:bCs/>
          <w:sz w:val="26"/>
          <w:szCs w:val="26"/>
        </w:rPr>
        <w:t xml:space="preserve"> del análisis efectuado a</w:t>
      </w:r>
      <w:r w:rsidR="00BA773E" w:rsidRPr="00BA773E">
        <w:rPr>
          <w:rFonts w:ascii="Arial" w:eastAsia="Calibri" w:hAnsi="Arial" w:cs="Arial"/>
          <w:bCs/>
          <w:sz w:val="26"/>
          <w:szCs w:val="26"/>
        </w:rPr>
        <w:t xml:space="preserve"> las constancias procesales que integran el expediente de primera instancia, las que tienen pleno valor probatorio conforme lo dispuesto por el artículo 203 fracción I  de la Ley de Procedimiento y Justicia Administrativa para el Estado de Oaxaca, por tratarse de actuaciones judiciales, se advierte que</w:t>
      </w:r>
      <w:r w:rsidR="00BA773E">
        <w:rPr>
          <w:rFonts w:ascii="Arial" w:eastAsia="Calibri" w:hAnsi="Arial" w:cs="Arial"/>
          <w:bCs/>
          <w:sz w:val="26"/>
          <w:szCs w:val="26"/>
        </w:rPr>
        <w:t xml:space="preserve"> dichos agravios</w:t>
      </w:r>
      <w:r w:rsidR="00C12D3B">
        <w:rPr>
          <w:rFonts w:ascii="Arial" w:eastAsia="Calibri" w:hAnsi="Arial" w:cs="Arial"/>
          <w:bCs/>
          <w:sz w:val="26"/>
          <w:szCs w:val="26"/>
        </w:rPr>
        <w:t xml:space="preserve"> son una reproducción de los argumentos que ya habían sido expresados por el propio recurrente en </w:t>
      </w:r>
      <w:r w:rsidR="00BA773E">
        <w:rPr>
          <w:rFonts w:ascii="Arial" w:eastAsia="Calibri" w:hAnsi="Arial" w:cs="Arial"/>
          <w:bCs/>
          <w:sz w:val="26"/>
          <w:szCs w:val="26"/>
        </w:rPr>
        <w:t>el oficio de contestación de demanda de fecha diez de septiembre de dos mil veinte</w:t>
      </w:r>
      <w:r w:rsidR="00BA773E">
        <w:rPr>
          <w:rStyle w:val="Refdenotaalpie"/>
          <w:rFonts w:ascii="Arial" w:eastAsia="Calibri" w:hAnsi="Arial" w:cs="Arial"/>
          <w:bCs/>
          <w:sz w:val="26"/>
          <w:szCs w:val="26"/>
        </w:rPr>
        <w:footnoteReference w:id="1"/>
      </w:r>
      <w:r w:rsidR="00BA773E">
        <w:rPr>
          <w:rFonts w:ascii="Arial" w:eastAsia="Calibri" w:hAnsi="Arial" w:cs="Arial"/>
          <w:bCs/>
          <w:sz w:val="26"/>
          <w:szCs w:val="26"/>
        </w:rPr>
        <w:t xml:space="preserve">, en el que </w:t>
      </w:r>
      <w:r w:rsidR="003B04B5">
        <w:rPr>
          <w:rFonts w:ascii="Arial" w:eastAsia="Calibri" w:hAnsi="Arial" w:cs="Arial"/>
          <w:bCs/>
          <w:sz w:val="26"/>
          <w:szCs w:val="26"/>
        </w:rPr>
        <w:t>invocó</w:t>
      </w:r>
      <w:r w:rsidR="00BA773E">
        <w:rPr>
          <w:rFonts w:ascii="Arial" w:eastAsia="Calibri" w:hAnsi="Arial" w:cs="Arial"/>
          <w:bCs/>
          <w:sz w:val="26"/>
          <w:szCs w:val="26"/>
        </w:rPr>
        <w:t xml:space="preserve"> las causales de improcedencia y sobreseimiento </w:t>
      </w:r>
      <w:r w:rsidR="003B04B5" w:rsidRPr="003B04B5">
        <w:rPr>
          <w:rFonts w:ascii="Arial" w:eastAsia="Calibri" w:hAnsi="Arial" w:cs="Arial"/>
          <w:bCs/>
          <w:sz w:val="26"/>
          <w:szCs w:val="26"/>
        </w:rPr>
        <w:t>prevista</w:t>
      </w:r>
      <w:r w:rsidR="003B04B5">
        <w:rPr>
          <w:rFonts w:ascii="Arial" w:eastAsia="Calibri" w:hAnsi="Arial" w:cs="Arial"/>
          <w:bCs/>
          <w:sz w:val="26"/>
          <w:szCs w:val="26"/>
        </w:rPr>
        <w:t xml:space="preserve">s en los artículos </w:t>
      </w:r>
      <w:r w:rsidR="003B04B5" w:rsidRPr="003B04B5">
        <w:rPr>
          <w:rFonts w:ascii="Arial" w:eastAsia="Calibri" w:hAnsi="Arial" w:cs="Arial"/>
          <w:bCs/>
          <w:sz w:val="26"/>
          <w:szCs w:val="26"/>
        </w:rPr>
        <w:t>161 y 162 fracción II de la Ley de Procedimiento y Justicia Administrativa</w:t>
      </w:r>
      <w:r w:rsidR="003B04B5">
        <w:rPr>
          <w:rFonts w:ascii="Arial" w:eastAsia="Calibri" w:hAnsi="Arial" w:cs="Arial"/>
          <w:bCs/>
          <w:sz w:val="26"/>
          <w:szCs w:val="26"/>
        </w:rPr>
        <w:t xml:space="preserve"> para el Estado de Oaxaca, </w:t>
      </w:r>
      <w:r w:rsidR="00C62245">
        <w:rPr>
          <w:rFonts w:ascii="Arial" w:eastAsia="Calibri" w:hAnsi="Arial" w:cs="Arial"/>
          <w:bCs/>
          <w:sz w:val="26"/>
          <w:szCs w:val="26"/>
        </w:rPr>
        <w:t>y que reitera ahora en el recurso de revisi</w:t>
      </w:r>
      <w:r w:rsidR="00D57D67">
        <w:rPr>
          <w:rFonts w:ascii="Arial" w:eastAsia="Calibri" w:hAnsi="Arial" w:cs="Arial"/>
          <w:bCs/>
          <w:sz w:val="26"/>
          <w:szCs w:val="26"/>
        </w:rPr>
        <w:t xml:space="preserve">ón interpuesto, motivo por el cual </w:t>
      </w:r>
      <w:r w:rsidR="00D57D67" w:rsidRPr="00D57D67">
        <w:rPr>
          <w:rFonts w:ascii="Arial" w:eastAsia="Calibri" w:hAnsi="Arial" w:cs="Arial"/>
          <w:bCs/>
          <w:sz w:val="26"/>
          <w:szCs w:val="26"/>
        </w:rPr>
        <w:t>no pueden ser tomados en cuenta com</w:t>
      </w:r>
      <w:r w:rsidR="00D57D67">
        <w:rPr>
          <w:rFonts w:ascii="Arial" w:eastAsia="Calibri" w:hAnsi="Arial" w:cs="Arial"/>
          <w:bCs/>
          <w:sz w:val="26"/>
          <w:szCs w:val="26"/>
        </w:rPr>
        <w:t>o agravios en segunda instancia</w:t>
      </w:r>
      <w:r w:rsidR="00DF01A3">
        <w:rPr>
          <w:rFonts w:ascii="Arial" w:eastAsia="Calibri" w:hAnsi="Arial" w:cs="Arial"/>
          <w:bCs/>
          <w:sz w:val="26"/>
          <w:szCs w:val="26"/>
        </w:rPr>
        <w:t>.</w:t>
      </w:r>
    </w:p>
    <w:p w14:paraId="6C49B7A5" w14:textId="77777777" w:rsidR="00DF01A3" w:rsidRDefault="00DF01A3" w:rsidP="00DF01A3">
      <w:pPr>
        <w:pStyle w:val="Sinespaciado"/>
        <w:rPr>
          <w:rFonts w:eastAsia="Calibri"/>
        </w:rPr>
      </w:pPr>
    </w:p>
    <w:p w14:paraId="0D1EB9AC" w14:textId="70DD36F6" w:rsidR="00D57D67" w:rsidRPr="00D57D67" w:rsidRDefault="00D57D67" w:rsidP="00D57D67">
      <w:pPr>
        <w:spacing w:after="120" w:line="360" w:lineRule="auto"/>
        <w:ind w:right="49" w:firstLine="567"/>
        <w:jc w:val="both"/>
        <w:rPr>
          <w:rFonts w:ascii="Arial" w:eastAsiaTheme="minorHAnsi" w:hAnsi="Arial" w:cs="Arial"/>
          <w:sz w:val="26"/>
          <w:szCs w:val="26"/>
          <w:lang w:val="es-ES" w:eastAsia="en-US"/>
        </w:rPr>
      </w:pPr>
      <w:r w:rsidRPr="00D57D67">
        <w:rPr>
          <w:rFonts w:ascii="Arial" w:eastAsiaTheme="minorHAns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r w:rsidR="00DF01A3" w:rsidRPr="005957E0">
        <w:rPr>
          <w:rFonts w:ascii="Arial" w:hAnsi="Arial" w:cs="Arial"/>
          <w:i/>
          <w:sz w:val="24"/>
          <w:szCs w:val="24"/>
        </w:rPr>
        <w:t>- - - - - - - - - - - -</w:t>
      </w:r>
      <w:r w:rsidR="00DF01A3">
        <w:rPr>
          <w:rFonts w:ascii="Arial" w:hAnsi="Arial" w:cs="Arial"/>
          <w:i/>
          <w:sz w:val="24"/>
          <w:szCs w:val="24"/>
        </w:rPr>
        <w:t xml:space="preserve"> - - - - - - - - - - - - - - - - - - - - - - - - - - - - - - - - - </w:t>
      </w:r>
    </w:p>
    <w:p w14:paraId="6EC5C091" w14:textId="77777777" w:rsidR="00D57D67" w:rsidRPr="00A059EC" w:rsidRDefault="00D57D67" w:rsidP="00D57D67">
      <w:pPr>
        <w:tabs>
          <w:tab w:val="left" w:pos="8364"/>
        </w:tabs>
        <w:autoSpaceDE w:val="0"/>
        <w:autoSpaceDN w:val="0"/>
        <w:adjustRightInd w:val="0"/>
        <w:spacing w:line="360" w:lineRule="auto"/>
        <w:ind w:left="567" w:right="758"/>
        <w:jc w:val="both"/>
        <w:rPr>
          <w:rFonts w:ascii="Arial" w:eastAsiaTheme="minorHAnsi" w:hAnsi="Arial" w:cs="Arial"/>
          <w:i/>
          <w:sz w:val="24"/>
          <w:szCs w:val="24"/>
          <w:lang w:val="es-ES" w:eastAsia="en-US"/>
        </w:rPr>
      </w:pPr>
      <w:r w:rsidRPr="00A059EC">
        <w:rPr>
          <w:rFonts w:ascii="Arial" w:eastAsiaTheme="minorHAnsi" w:hAnsi="Arial" w:cs="Arial"/>
          <w:b/>
          <w:i/>
          <w:sz w:val="24"/>
          <w:szCs w:val="24"/>
          <w:lang w:val="es-ES" w:eastAsia="en-US"/>
        </w:rPr>
        <w:t xml:space="preserve">AGRAVIOS INOPERANTES EN LA REVISIÓN. SON AQUELLOS QUE REITERAN LOS CONCEPTOS DE VIOLACIÓN, ABUNDAN SOBRE ELLOS O LOS COMPLEMENTAN, SIN COMBATIR LAS CONSIDERACIONES DE LA SENTENCIA RECURRIDA. </w:t>
      </w:r>
      <w:r w:rsidRPr="00A059EC">
        <w:rPr>
          <w:rFonts w:ascii="Arial" w:eastAsiaTheme="minorHAnsi" w:hAnsi="Arial" w:cs="Arial"/>
          <w:i/>
          <w:sz w:val="24"/>
          <w:szCs w:val="24"/>
          <w:lang w:val="es-ES" w:eastAsia="en-US"/>
        </w:rPr>
        <w:t xml:space="preserve">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w:t>
      </w:r>
      <w:r w:rsidRPr="00A059EC">
        <w:rPr>
          <w:rFonts w:ascii="Arial" w:eastAsiaTheme="minorHAnsi" w:hAnsi="Arial" w:cs="Arial"/>
          <w:i/>
          <w:sz w:val="24"/>
          <w:szCs w:val="24"/>
          <w:lang w:val="es-ES" w:eastAsia="en-US"/>
        </w:rPr>
        <w:lastRenderedPageBreak/>
        <w:t>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4642EC6C" w14:textId="0ADC419D" w:rsidR="003B04B5" w:rsidRDefault="0070310D"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D57D67">
        <w:rPr>
          <w:rFonts w:ascii="Arial" w:eastAsia="Calibri" w:hAnsi="Arial" w:cs="Arial"/>
          <w:bCs/>
          <w:sz w:val="26"/>
          <w:szCs w:val="26"/>
        </w:rPr>
        <w:t xml:space="preserve">Aunado a lo anterior, se advierte que los agravios expresados por el recurrente también son </w:t>
      </w:r>
      <w:r w:rsidR="00D57D67" w:rsidRPr="00D57D67">
        <w:rPr>
          <w:rFonts w:ascii="Arial" w:eastAsia="Calibri" w:hAnsi="Arial" w:cs="Arial"/>
          <w:b/>
          <w:bCs/>
          <w:sz w:val="26"/>
          <w:szCs w:val="26"/>
        </w:rPr>
        <w:t>inoperantes</w:t>
      </w:r>
      <w:r w:rsidR="00590C6B">
        <w:rPr>
          <w:rFonts w:ascii="Arial" w:eastAsia="Calibri" w:hAnsi="Arial" w:cs="Arial"/>
          <w:b/>
          <w:bCs/>
          <w:sz w:val="26"/>
          <w:szCs w:val="26"/>
        </w:rPr>
        <w:t>,</w:t>
      </w:r>
      <w:r w:rsidR="00D57D67">
        <w:rPr>
          <w:rFonts w:ascii="Arial" w:eastAsia="Calibri" w:hAnsi="Arial" w:cs="Arial"/>
          <w:bCs/>
          <w:sz w:val="26"/>
          <w:szCs w:val="26"/>
        </w:rPr>
        <w:t xml:space="preserve"> porque no c</w:t>
      </w:r>
      <w:r w:rsidR="00590C6B">
        <w:rPr>
          <w:rFonts w:ascii="Arial" w:eastAsia="Calibri" w:hAnsi="Arial" w:cs="Arial"/>
          <w:bCs/>
          <w:sz w:val="26"/>
          <w:szCs w:val="26"/>
        </w:rPr>
        <w:t>ombaten las razones principales</w:t>
      </w:r>
      <w:r w:rsidR="00D57D67">
        <w:rPr>
          <w:rFonts w:ascii="Arial" w:eastAsia="Calibri" w:hAnsi="Arial" w:cs="Arial"/>
          <w:bCs/>
          <w:sz w:val="26"/>
          <w:szCs w:val="26"/>
        </w:rPr>
        <w:t xml:space="preserve"> que tuvo la sala de primera instancia para otorgar el derecho a ampliar su demanda en el juicio de nulidad, lo que era indispensable que realizara, y al haberlo omitido el recurrente, sigue rigiendo el sentido del acuerdo en revisión. </w:t>
      </w:r>
      <w:r w:rsidR="009B0ADE" w:rsidRPr="005957E0">
        <w:rPr>
          <w:rFonts w:ascii="Arial" w:hAnsi="Arial" w:cs="Arial"/>
          <w:i/>
          <w:sz w:val="24"/>
          <w:szCs w:val="24"/>
        </w:rPr>
        <w:t>- - - - - - - - - - - -</w:t>
      </w:r>
      <w:r w:rsidR="009B0ADE">
        <w:rPr>
          <w:rFonts w:ascii="Arial" w:hAnsi="Arial" w:cs="Arial"/>
          <w:i/>
          <w:sz w:val="24"/>
          <w:szCs w:val="24"/>
        </w:rPr>
        <w:t xml:space="preserve"> - - - - - - - - - - </w:t>
      </w:r>
    </w:p>
    <w:p w14:paraId="28DDDE3E" w14:textId="791BD6FE" w:rsidR="00D57D67" w:rsidRPr="00D57D67" w:rsidRDefault="00D57D67" w:rsidP="00D57D67">
      <w:pPr>
        <w:spacing w:before="240" w:line="360" w:lineRule="auto"/>
        <w:ind w:firstLine="708"/>
        <w:jc w:val="both"/>
        <w:rPr>
          <w:rFonts w:ascii="Arial" w:eastAsia="Calibri" w:hAnsi="Arial" w:cs="Arial"/>
          <w:bCs/>
          <w:sz w:val="26"/>
          <w:szCs w:val="26"/>
          <w:lang w:val="es-ES" w:eastAsia="en-US"/>
        </w:rPr>
      </w:pPr>
      <w:r w:rsidRPr="00D57D67">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r w:rsidR="001C7E50" w:rsidRPr="001C7E50">
        <w:rPr>
          <w:rFonts w:ascii="Arial" w:hAnsi="Arial" w:cs="Arial"/>
          <w:i/>
          <w:sz w:val="24"/>
          <w:szCs w:val="24"/>
        </w:rPr>
        <w:t xml:space="preserve"> </w:t>
      </w:r>
      <w:r w:rsidR="001C7E50" w:rsidRPr="005957E0">
        <w:rPr>
          <w:rFonts w:ascii="Arial" w:hAnsi="Arial" w:cs="Arial"/>
          <w:i/>
          <w:sz w:val="24"/>
          <w:szCs w:val="24"/>
        </w:rPr>
        <w:t>- - - - - - - - - - - -</w:t>
      </w:r>
      <w:r w:rsidR="001C7E50">
        <w:rPr>
          <w:rFonts w:ascii="Arial" w:hAnsi="Arial" w:cs="Arial"/>
          <w:i/>
          <w:sz w:val="24"/>
          <w:szCs w:val="24"/>
        </w:rPr>
        <w:t xml:space="preserve"> - - - - - - - - - - - - - - - - - - - - - - - - - - - - - - - - - - -</w:t>
      </w:r>
    </w:p>
    <w:p w14:paraId="62A3B47B" w14:textId="77777777" w:rsidR="00D57D67" w:rsidRPr="001C7E50" w:rsidRDefault="00D57D67" w:rsidP="00D57D67">
      <w:pPr>
        <w:spacing w:before="240" w:line="360" w:lineRule="auto"/>
        <w:ind w:left="567" w:right="616"/>
        <w:jc w:val="both"/>
        <w:rPr>
          <w:rFonts w:ascii="Arial" w:eastAsia="Calibri" w:hAnsi="Arial" w:cs="Arial"/>
          <w:bCs/>
          <w:i/>
          <w:sz w:val="24"/>
          <w:szCs w:val="24"/>
          <w:lang w:val="es-ES" w:eastAsia="en-US"/>
        </w:rPr>
      </w:pPr>
      <w:r w:rsidRPr="001C7E50">
        <w:rPr>
          <w:rFonts w:ascii="Arial" w:eastAsia="Calibri" w:hAnsi="Arial" w:cs="Arial"/>
          <w:bCs/>
          <w:i/>
          <w:sz w:val="24"/>
          <w:szCs w:val="24"/>
          <w:lang w:val="es-ES" w:eastAsia="en-US"/>
        </w:rPr>
        <w:t>“</w:t>
      </w:r>
      <w:r w:rsidRPr="001C7E50">
        <w:rPr>
          <w:rFonts w:ascii="Arial" w:eastAsia="Calibri" w:hAnsi="Arial" w:cs="Arial"/>
          <w:b/>
          <w:bCs/>
          <w:i/>
          <w:sz w:val="24"/>
          <w:szCs w:val="24"/>
          <w:lang w:val="es-ES" w:eastAsia="en-US"/>
        </w:rPr>
        <w:t>AGRAVIOS. DEBEN DE IMPUGNAR LA ILEGALIDAD DEL FALLO RECURRIDO.</w:t>
      </w:r>
      <w:r w:rsidRPr="001C7E50">
        <w:rPr>
          <w:rFonts w:ascii="Arial" w:eastAsia="Calibri" w:hAnsi="Arial" w:cs="Arial"/>
          <w:bCs/>
          <w:i/>
          <w:sz w:val="24"/>
          <w:szCs w:val="24"/>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77A757CA" w14:textId="7326955F" w:rsidR="00C62245" w:rsidRPr="00C62245" w:rsidRDefault="00C62245" w:rsidP="00C62245">
      <w:pPr>
        <w:widowControl w:val="0"/>
        <w:tabs>
          <w:tab w:val="left" w:pos="0"/>
        </w:tabs>
        <w:spacing w:before="240" w:after="0" w:line="360" w:lineRule="auto"/>
        <w:ind w:right="18"/>
        <w:jc w:val="both"/>
        <w:rPr>
          <w:rFonts w:ascii="Arial" w:eastAsiaTheme="minorHAnsi" w:hAnsi="Arial" w:cs="Arial"/>
          <w:sz w:val="26"/>
          <w:szCs w:val="26"/>
          <w:lang w:val="es-ES" w:eastAsia="en-US"/>
        </w:rPr>
      </w:pPr>
      <w:r>
        <w:rPr>
          <w:rFonts w:ascii="Arial" w:eastAsia="Calibri" w:hAnsi="Arial" w:cs="Arial"/>
          <w:bCs/>
          <w:sz w:val="26"/>
          <w:szCs w:val="26"/>
          <w:lang w:val="es-ES" w:eastAsia="en-US"/>
        </w:rPr>
        <w:tab/>
      </w:r>
      <w:r w:rsidRPr="00C62245">
        <w:rPr>
          <w:rFonts w:ascii="Arial" w:eastAsia="Calibri" w:hAnsi="Arial" w:cs="Arial"/>
          <w:bCs/>
          <w:sz w:val="26"/>
          <w:szCs w:val="26"/>
          <w:lang w:val="es-ES" w:eastAsia="en-US"/>
        </w:rPr>
        <w:t xml:space="preserve">En consecuencia, </w:t>
      </w:r>
      <w:r>
        <w:rPr>
          <w:rFonts w:ascii="Arial" w:eastAsia="Calibri" w:hAnsi="Arial" w:cs="Arial"/>
          <w:bCs/>
          <w:sz w:val="26"/>
          <w:szCs w:val="26"/>
          <w:lang w:val="es-ES" w:eastAsia="en-US"/>
        </w:rPr>
        <w:t xml:space="preserve">dado lo </w:t>
      </w:r>
      <w:r w:rsidRPr="00C62245">
        <w:rPr>
          <w:rFonts w:ascii="Arial" w:eastAsia="Calibri" w:hAnsi="Arial" w:cs="Arial"/>
          <w:b/>
          <w:bCs/>
          <w:sz w:val="26"/>
          <w:szCs w:val="26"/>
          <w:lang w:val="es-ES" w:eastAsia="en-US"/>
        </w:rPr>
        <w:t>INOPERANTE</w:t>
      </w:r>
      <w:r>
        <w:rPr>
          <w:rFonts w:ascii="Arial" w:eastAsia="Calibri" w:hAnsi="Arial" w:cs="Arial"/>
          <w:bCs/>
          <w:sz w:val="26"/>
          <w:szCs w:val="26"/>
          <w:lang w:val="es-ES" w:eastAsia="en-US"/>
        </w:rPr>
        <w:t xml:space="preserve"> de los agravios del recurrente y </w:t>
      </w:r>
      <w:r w:rsidRPr="00C62245">
        <w:rPr>
          <w:rFonts w:ascii="Arial" w:eastAsia="Calibri" w:hAnsi="Arial" w:cs="Arial"/>
          <w:bCs/>
          <w:sz w:val="26"/>
          <w:szCs w:val="26"/>
          <w:lang w:val="es-ES" w:eastAsia="en-US"/>
        </w:rPr>
        <w:t>atendiendo a las consideraciones anteriormente expuestas, es procedente</w:t>
      </w:r>
      <w:r w:rsidRPr="00C62245">
        <w:rPr>
          <w:rFonts w:ascii="Arial" w:eastAsia="Calibri" w:hAnsi="Arial" w:cs="Arial"/>
          <w:b/>
          <w:bCs/>
          <w:sz w:val="26"/>
          <w:szCs w:val="26"/>
          <w:lang w:val="es-ES" w:eastAsia="en-US"/>
        </w:rPr>
        <w:t xml:space="preserve"> </w:t>
      </w:r>
      <w:r w:rsidRPr="00255926">
        <w:rPr>
          <w:rFonts w:ascii="Arial" w:eastAsia="Calibri" w:hAnsi="Arial" w:cs="Arial"/>
          <w:b/>
          <w:bCs/>
          <w:sz w:val="26"/>
          <w:szCs w:val="26"/>
          <w:lang w:val="es-ES" w:eastAsia="en-US"/>
        </w:rPr>
        <w:t>CONFIRMAR</w:t>
      </w:r>
      <w:r w:rsidR="00590C6B">
        <w:rPr>
          <w:rFonts w:ascii="Arial" w:eastAsia="Calibri" w:hAnsi="Arial" w:cs="Arial"/>
          <w:bCs/>
          <w:sz w:val="26"/>
          <w:szCs w:val="26"/>
          <w:lang w:val="es-ES" w:eastAsia="en-US"/>
        </w:rPr>
        <w:t xml:space="preserve"> el acuerdo recurrido</w:t>
      </w:r>
      <w:r w:rsidRPr="00C62245">
        <w:rPr>
          <w:rFonts w:ascii="Arial" w:eastAsia="Calibri" w:hAnsi="Arial" w:cs="Arial"/>
          <w:bCs/>
          <w:sz w:val="26"/>
          <w:szCs w:val="26"/>
          <w:lang w:val="es-ES" w:eastAsia="en-US"/>
        </w:rPr>
        <w:t xml:space="preserve">, </w:t>
      </w:r>
      <w:r w:rsidR="00545738">
        <w:rPr>
          <w:rFonts w:ascii="Arial" w:eastAsia="Calibri" w:hAnsi="Arial" w:cs="Arial"/>
          <w:bCs/>
          <w:sz w:val="26"/>
          <w:szCs w:val="26"/>
          <w:lang w:val="es-ES" w:eastAsia="en-US"/>
        </w:rPr>
        <w:t xml:space="preserve">por lo que, </w:t>
      </w:r>
      <w:r w:rsidRPr="00C62245">
        <w:rPr>
          <w:rFonts w:ascii="Arial" w:eastAsia="Calibri" w:hAnsi="Arial" w:cs="Arial"/>
          <w:sz w:val="26"/>
          <w:szCs w:val="26"/>
          <w:lang w:val="es-ES" w:eastAsia="en-US"/>
        </w:rPr>
        <w:t>con fundamento en los artículos 237 y 238 de la Ley de Procedimiento y Justicia Administrativa para el Estado</w:t>
      </w:r>
      <w:r w:rsidR="00545738">
        <w:rPr>
          <w:rFonts w:ascii="Arial" w:eastAsia="Calibri" w:hAnsi="Arial" w:cs="Arial"/>
          <w:sz w:val="26"/>
          <w:szCs w:val="26"/>
          <w:lang w:val="es-ES" w:eastAsia="en-US"/>
        </w:rPr>
        <w:t xml:space="preserve"> de Oaxaca</w:t>
      </w:r>
      <w:r w:rsidRPr="00C62245">
        <w:rPr>
          <w:rFonts w:ascii="Arial" w:eastAsia="Calibri" w:hAnsi="Arial" w:cs="Arial"/>
          <w:sz w:val="26"/>
          <w:szCs w:val="26"/>
          <w:lang w:val="es-ES" w:eastAsia="en-US"/>
        </w:rPr>
        <w:t>, se</w:t>
      </w:r>
      <w:r w:rsidRPr="00C62245">
        <w:rPr>
          <w:rFonts w:ascii="Arial" w:eastAsiaTheme="minorHAnsi" w:hAnsi="Arial" w:cs="Arial"/>
          <w:sz w:val="26"/>
          <w:szCs w:val="26"/>
          <w:lang w:val="es-ES" w:eastAsia="en-US"/>
        </w:rPr>
        <w:t>:</w:t>
      </w:r>
      <w:r w:rsidR="005C4657">
        <w:rPr>
          <w:rFonts w:ascii="Arial" w:eastAsiaTheme="minorHAnsi" w:hAnsi="Arial" w:cs="Arial"/>
          <w:sz w:val="26"/>
          <w:szCs w:val="26"/>
          <w:lang w:val="es-ES" w:eastAsia="en-US"/>
        </w:rPr>
        <w:t xml:space="preserve"> - - - - - - - - - - - - -</w:t>
      </w:r>
    </w:p>
    <w:p w14:paraId="69DFDFD5" w14:textId="77777777" w:rsidR="00C62245" w:rsidRPr="00681508" w:rsidRDefault="00C62245" w:rsidP="00C62245">
      <w:pPr>
        <w:widowControl w:val="0"/>
        <w:tabs>
          <w:tab w:val="left" w:pos="0"/>
        </w:tabs>
        <w:spacing w:before="240" w:after="0" w:line="360" w:lineRule="auto"/>
        <w:ind w:right="18"/>
        <w:jc w:val="center"/>
        <w:rPr>
          <w:rFonts w:ascii="Arial" w:eastAsia="Calibri" w:hAnsi="Arial" w:cs="Arial"/>
          <w:bCs/>
          <w:sz w:val="26"/>
          <w:szCs w:val="26"/>
        </w:rPr>
      </w:pPr>
      <w:r w:rsidRPr="00681508">
        <w:rPr>
          <w:rFonts w:ascii="Arial" w:hAnsi="Arial" w:cs="Arial"/>
          <w:b/>
          <w:sz w:val="26"/>
          <w:szCs w:val="26"/>
        </w:rPr>
        <w:t>R E S U E L V E</w:t>
      </w:r>
    </w:p>
    <w:p w14:paraId="4C9AED88" w14:textId="295B3C5C" w:rsidR="00C62245" w:rsidRPr="00C62245" w:rsidRDefault="00C62245" w:rsidP="00C62245">
      <w:pPr>
        <w:spacing w:before="240" w:after="0" w:line="360" w:lineRule="auto"/>
        <w:ind w:firstLine="708"/>
        <w:jc w:val="both"/>
        <w:rPr>
          <w:rFonts w:ascii="Arial" w:hAnsi="Arial" w:cs="Arial"/>
          <w:color w:val="000000"/>
          <w:sz w:val="26"/>
          <w:szCs w:val="26"/>
        </w:rPr>
      </w:pPr>
      <w:r w:rsidRPr="00C62245">
        <w:rPr>
          <w:rFonts w:ascii="Arial" w:hAnsi="Arial" w:cs="Arial"/>
          <w:b/>
          <w:color w:val="000000"/>
          <w:sz w:val="26"/>
          <w:szCs w:val="26"/>
          <w:lang w:val="es-ES"/>
        </w:rPr>
        <w:t>PRIMERO</w:t>
      </w:r>
      <w:r w:rsidRPr="00C62245">
        <w:rPr>
          <w:rFonts w:ascii="Arial" w:hAnsi="Arial" w:cs="Arial"/>
          <w:color w:val="000000"/>
          <w:sz w:val="26"/>
          <w:szCs w:val="26"/>
          <w:lang w:val="es-ES"/>
        </w:rPr>
        <w:t xml:space="preserve">. </w:t>
      </w:r>
      <w:r w:rsidRPr="00C62245">
        <w:rPr>
          <w:rFonts w:ascii="Arial" w:hAnsi="Arial" w:cs="Arial"/>
          <w:color w:val="000000"/>
          <w:sz w:val="26"/>
          <w:szCs w:val="26"/>
        </w:rPr>
        <w:t>Se</w:t>
      </w:r>
      <w:r w:rsidRPr="00C62245">
        <w:rPr>
          <w:rFonts w:ascii="Arial" w:hAnsi="Arial" w:cs="Arial"/>
          <w:b/>
          <w:color w:val="000000"/>
          <w:sz w:val="26"/>
          <w:szCs w:val="26"/>
        </w:rPr>
        <w:t xml:space="preserve"> CONFIRMA  </w:t>
      </w:r>
      <w:r w:rsidR="00590C6B">
        <w:rPr>
          <w:rFonts w:ascii="Arial" w:hAnsi="Arial" w:cs="Arial"/>
          <w:bCs/>
          <w:color w:val="000000"/>
          <w:sz w:val="26"/>
          <w:szCs w:val="26"/>
        </w:rPr>
        <w:t>el acuerdo recurrido</w:t>
      </w:r>
      <w:r w:rsidRPr="00C62245">
        <w:rPr>
          <w:rFonts w:ascii="Arial" w:hAnsi="Arial" w:cs="Arial"/>
          <w:color w:val="000000"/>
          <w:sz w:val="26"/>
          <w:szCs w:val="26"/>
        </w:rPr>
        <w:t>, por las razones expuestas por esta Sala Superior en el considerando que antecede.</w:t>
      </w:r>
      <w:r w:rsidR="005C4657">
        <w:rPr>
          <w:rFonts w:ascii="Arial" w:hAnsi="Arial" w:cs="Arial"/>
          <w:color w:val="000000"/>
          <w:sz w:val="26"/>
          <w:szCs w:val="26"/>
        </w:rPr>
        <w:t xml:space="preserve"> - - </w:t>
      </w:r>
      <w:r w:rsidR="00B30FFF">
        <w:rPr>
          <w:rFonts w:ascii="Arial" w:hAnsi="Arial" w:cs="Arial"/>
          <w:color w:val="000000"/>
          <w:sz w:val="26"/>
          <w:szCs w:val="26"/>
        </w:rPr>
        <w:t>-</w:t>
      </w:r>
    </w:p>
    <w:p w14:paraId="6E975D9C" w14:textId="316B8B2C" w:rsidR="00C62245" w:rsidRPr="00C62245" w:rsidRDefault="00C62245" w:rsidP="00C62245">
      <w:pPr>
        <w:widowControl w:val="0"/>
        <w:tabs>
          <w:tab w:val="left" w:pos="0"/>
        </w:tabs>
        <w:spacing w:before="240" w:after="0" w:line="360" w:lineRule="auto"/>
        <w:ind w:right="18"/>
        <w:jc w:val="both"/>
        <w:rPr>
          <w:rFonts w:ascii="Arial" w:hAnsi="Arial" w:cs="Arial"/>
          <w:sz w:val="26"/>
          <w:szCs w:val="26"/>
        </w:rPr>
      </w:pPr>
      <w:r w:rsidRPr="00C62245">
        <w:rPr>
          <w:rFonts w:ascii="Arial" w:hAnsi="Arial" w:cs="Arial"/>
          <w:b/>
          <w:sz w:val="26"/>
          <w:szCs w:val="26"/>
        </w:rPr>
        <w:lastRenderedPageBreak/>
        <w:tab/>
        <w:t>SEGUNDO. NOTIFÍQUESE Y CÚMPLASE,</w:t>
      </w:r>
      <w:r w:rsidRPr="00C62245">
        <w:rPr>
          <w:rFonts w:ascii="Arial" w:hAnsi="Arial" w:cs="Arial"/>
          <w:sz w:val="26"/>
          <w:szCs w:val="26"/>
        </w:rPr>
        <w:t xml:space="preserve"> remítase copia certificada de la presente resolución a la </w:t>
      </w:r>
      <w:r w:rsidR="00590C6B">
        <w:rPr>
          <w:rFonts w:ascii="Arial" w:hAnsi="Arial" w:cs="Arial"/>
          <w:sz w:val="26"/>
          <w:szCs w:val="26"/>
        </w:rPr>
        <w:t xml:space="preserve">Quinta </w:t>
      </w:r>
      <w:r w:rsidRPr="00C62245">
        <w:rPr>
          <w:rFonts w:ascii="Arial" w:hAnsi="Arial" w:cs="Arial"/>
          <w:sz w:val="26"/>
          <w:szCs w:val="26"/>
        </w:rPr>
        <w:t>Sala Unitaria de Primera Instancia de este Tribunal y en su oportunidad archívese el presente cuaderno de revisión como asunto concluido.</w:t>
      </w:r>
      <w:r w:rsidR="008550C4" w:rsidRPr="008550C4">
        <w:rPr>
          <w:rFonts w:ascii="Arial" w:hAnsi="Arial" w:cs="Arial"/>
          <w:i/>
          <w:sz w:val="24"/>
          <w:szCs w:val="24"/>
        </w:rPr>
        <w:t xml:space="preserve"> </w:t>
      </w:r>
      <w:r w:rsidR="008550C4" w:rsidRPr="005957E0">
        <w:rPr>
          <w:rFonts w:ascii="Arial" w:hAnsi="Arial" w:cs="Arial"/>
          <w:i/>
          <w:sz w:val="24"/>
          <w:szCs w:val="24"/>
        </w:rPr>
        <w:t>- - - - - - - - - - - -</w:t>
      </w:r>
      <w:r w:rsidR="008550C4">
        <w:rPr>
          <w:rFonts w:ascii="Arial" w:hAnsi="Arial" w:cs="Arial"/>
          <w:i/>
          <w:sz w:val="24"/>
          <w:szCs w:val="24"/>
        </w:rPr>
        <w:t xml:space="preserve"> - - - - - - - - - </w:t>
      </w:r>
    </w:p>
    <w:p w14:paraId="73216544" w14:textId="0FF34CC1" w:rsidR="0031570E" w:rsidRDefault="00C62245" w:rsidP="0031570E">
      <w:pPr>
        <w:widowControl w:val="0"/>
        <w:tabs>
          <w:tab w:val="left" w:pos="0"/>
        </w:tabs>
        <w:spacing w:before="240" w:after="0" w:line="360" w:lineRule="auto"/>
        <w:ind w:right="18"/>
        <w:jc w:val="both"/>
        <w:rPr>
          <w:rFonts w:ascii="Arial" w:eastAsia="Times New Roman" w:hAnsi="Arial" w:cs="Arial"/>
          <w:sz w:val="26"/>
          <w:szCs w:val="26"/>
        </w:rPr>
      </w:pPr>
      <w:r w:rsidRPr="00C62245">
        <w:t xml:space="preserve"> </w:t>
      </w:r>
      <w:r w:rsidR="008D10F4">
        <w:tab/>
      </w:r>
      <w:r w:rsidR="0031570E">
        <w:rPr>
          <w:rFonts w:ascii="Arial" w:hAnsi="Arial" w:cs="Arial"/>
          <w:sz w:val="26"/>
          <w:szCs w:val="26"/>
        </w:rPr>
        <w:t>Por unanimidad de votos, lo resolvieron y firmaron los Magistrados Manuel Velasco Alcántara, Abraham Santiago Soriano, Raúl Palomares Palomino (</w:t>
      </w:r>
      <w:r w:rsidR="0031570E">
        <w:rPr>
          <w:rFonts w:ascii="Arial" w:hAnsi="Arial" w:cs="Arial"/>
          <w:b/>
          <w:sz w:val="26"/>
          <w:szCs w:val="26"/>
        </w:rPr>
        <w:t>ponente</w:t>
      </w:r>
      <w:r w:rsidR="0031570E">
        <w:rPr>
          <w:rFonts w:ascii="Arial" w:hAnsi="Arial" w:cs="Arial"/>
          <w:sz w:val="26"/>
          <w:szCs w:val="26"/>
        </w:rPr>
        <w:t xml:space="preserve">), Gloria del Carmen Camacho Meza, y Paulo José Luis Tapia Palacios; quienes actúan con el Licenciado Juan Edy García Coronado, Secretario General de Acuerdos de este Tribunal, que autoriza y da fe. - - - - - - - - - - - - - - - - - - - - - - - -- - - - - - - - - - - - - - - - - </w:t>
      </w:r>
    </w:p>
    <w:p w14:paraId="276687B0" w14:textId="72E1E231" w:rsidR="0031570E" w:rsidRDefault="0031570E" w:rsidP="0031570E">
      <w:pPr>
        <w:tabs>
          <w:tab w:val="center" w:pos="4135"/>
          <w:tab w:val="left" w:pos="7515"/>
        </w:tabs>
        <w:spacing w:line="360" w:lineRule="auto"/>
        <w:rPr>
          <w:rFonts w:ascii="Arial" w:hAnsi="Arial" w:cs="Arial"/>
          <w:b/>
          <w:bCs/>
          <w:sz w:val="16"/>
          <w:szCs w:val="16"/>
        </w:rPr>
      </w:pPr>
    </w:p>
    <w:p w14:paraId="5EAF6830" w14:textId="77777777" w:rsidR="009D4A77" w:rsidRDefault="009D4A77" w:rsidP="0031570E">
      <w:pPr>
        <w:tabs>
          <w:tab w:val="center" w:pos="4135"/>
          <w:tab w:val="left" w:pos="7515"/>
        </w:tabs>
        <w:spacing w:line="360" w:lineRule="auto"/>
        <w:rPr>
          <w:rFonts w:ascii="Arial" w:hAnsi="Arial" w:cs="Arial"/>
          <w:b/>
          <w:bCs/>
          <w:sz w:val="16"/>
          <w:szCs w:val="16"/>
        </w:rPr>
      </w:pPr>
    </w:p>
    <w:p w14:paraId="23702FB9" w14:textId="1FF01788" w:rsidR="0031570E" w:rsidRDefault="00030AF5" w:rsidP="0031570E">
      <w:pPr>
        <w:tabs>
          <w:tab w:val="center" w:pos="4135"/>
          <w:tab w:val="left" w:pos="7515"/>
        </w:tabs>
        <w:spacing w:line="360" w:lineRule="auto"/>
        <w:rPr>
          <w:rFonts w:ascii="Arial" w:hAnsi="Arial" w:cs="Arial"/>
          <w:b/>
          <w:bCs/>
          <w:sz w:val="16"/>
          <w:szCs w:val="16"/>
        </w:rPr>
      </w:pPr>
      <w:r>
        <w:rPr>
          <w:rFonts w:ascii="Arial" w:hAnsi="Arial" w:cs="Arial"/>
          <w:b/>
          <w:bCs/>
          <w:sz w:val="16"/>
          <w:szCs w:val="16"/>
        </w:rPr>
        <w:t>-</w:t>
      </w:r>
    </w:p>
    <w:p w14:paraId="58C38383" w14:textId="5F9920E3" w:rsidR="00030AF5" w:rsidRDefault="00030AF5" w:rsidP="0031570E">
      <w:pPr>
        <w:tabs>
          <w:tab w:val="center" w:pos="4135"/>
          <w:tab w:val="left" w:pos="7515"/>
        </w:tabs>
        <w:spacing w:line="360" w:lineRule="auto"/>
        <w:rPr>
          <w:rFonts w:ascii="Arial" w:hAnsi="Arial" w:cs="Arial"/>
          <w:b/>
          <w:bCs/>
          <w:sz w:val="16"/>
          <w:szCs w:val="16"/>
        </w:rPr>
      </w:pPr>
    </w:p>
    <w:p w14:paraId="108F9EAD" w14:textId="77777777" w:rsidR="00030AF5" w:rsidRDefault="00030AF5" w:rsidP="0031570E">
      <w:pPr>
        <w:tabs>
          <w:tab w:val="center" w:pos="4135"/>
          <w:tab w:val="left" w:pos="7515"/>
        </w:tabs>
        <w:spacing w:line="360" w:lineRule="auto"/>
        <w:rPr>
          <w:rFonts w:ascii="Arial" w:hAnsi="Arial" w:cs="Arial"/>
          <w:b/>
          <w:bCs/>
          <w:sz w:val="16"/>
          <w:szCs w:val="16"/>
        </w:rPr>
      </w:pPr>
    </w:p>
    <w:p w14:paraId="21E39C4F" w14:textId="77777777" w:rsidR="0031570E" w:rsidRDefault="0031570E" w:rsidP="0031570E">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33F03CD8" w14:textId="77777777" w:rsidR="0031570E" w:rsidRDefault="0031570E" w:rsidP="0031570E">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0F478448" w14:textId="77777777" w:rsidR="0031570E" w:rsidRDefault="0031570E" w:rsidP="0031570E">
      <w:pPr>
        <w:tabs>
          <w:tab w:val="center" w:pos="4135"/>
          <w:tab w:val="left" w:pos="7515"/>
        </w:tabs>
        <w:spacing w:line="360" w:lineRule="auto"/>
        <w:rPr>
          <w:rFonts w:ascii="Arial" w:hAnsi="Arial" w:cs="Arial"/>
          <w:sz w:val="26"/>
          <w:szCs w:val="26"/>
        </w:rPr>
      </w:pPr>
    </w:p>
    <w:p w14:paraId="45AA6B57" w14:textId="138A2BD6" w:rsidR="0031570E" w:rsidRDefault="0031570E" w:rsidP="0031570E">
      <w:pPr>
        <w:tabs>
          <w:tab w:val="center" w:pos="4135"/>
          <w:tab w:val="left" w:pos="7515"/>
        </w:tabs>
        <w:spacing w:line="360" w:lineRule="auto"/>
        <w:rPr>
          <w:rFonts w:ascii="Arial" w:hAnsi="Arial" w:cs="Arial"/>
          <w:sz w:val="26"/>
          <w:szCs w:val="26"/>
        </w:rPr>
      </w:pPr>
    </w:p>
    <w:p w14:paraId="36C0680A" w14:textId="70C71023" w:rsidR="000E4F7B" w:rsidRDefault="000E4F7B" w:rsidP="0031570E">
      <w:pPr>
        <w:tabs>
          <w:tab w:val="center" w:pos="4135"/>
          <w:tab w:val="left" w:pos="7515"/>
        </w:tabs>
        <w:spacing w:line="360" w:lineRule="auto"/>
        <w:rPr>
          <w:rFonts w:ascii="Arial" w:hAnsi="Arial" w:cs="Arial"/>
          <w:sz w:val="26"/>
          <w:szCs w:val="26"/>
        </w:rPr>
      </w:pPr>
    </w:p>
    <w:p w14:paraId="1FC2FEE3" w14:textId="77777777" w:rsidR="00030AF5" w:rsidRDefault="00030AF5" w:rsidP="0031570E">
      <w:pPr>
        <w:tabs>
          <w:tab w:val="center" w:pos="4135"/>
          <w:tab w:val="left" w:pos="7515"/>
        </w:tabs>
        <w:spacing w:line="360" w:lineRule="auto"/>
        <w:rPr>
          <w:rFonts w:ascii="Arial" w:hAnsi="Arial" w:cs="Arial"/>
          <w:sz w:val="26"/>
          <w:szCs w:val="26"/>
        </w:rPr>
      </w:pPr>
    </w:p>
    <w:p w14:paraId="35E4B063" w14:textId="77777777" w:rsidR="0031570E" w:rsidRDefault="0031570E" w:rsidP="0031570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06C3B2BC" w14:textId="16B8FACC" w:rsidR="0031570E" w:rsidRDefault="0031570E" w:rsidP="0031570E">
      <w:pPr>
        <w:tabs>
          <w:tab w:val="center" w:pos="4135"/>
          <w:tab w:val="left" w:pos="7515"/>
        </w:tabs>
        <w:spacing w:line="360" w:lineRule="auto"/>
        <w:rPr>
          <w:rFonts w:ascii="Arial" w:hAnsi="Arial" w:cs="Arial"/>
          <w:sz w:val="26"/>
          <w:szCs w:val="26"/>
        </w:rPr>
      </w:pPr>
    </w:p>
    <w:p w14:paraId="517A1DA7" w14:textId="77777777" w:rsidR="00030AF5" w:rsidRDefault="00030AF5" w:rsidP="0031570E">
      <w:pPr>
        <w:tabs>
          <w:tab w:val="center" w:pos="4135"/>
          <w:tab w:val="left" w:pos="7515"/>
        </w:tabs>
        <w:spacing w:line="360" w:lineRule="auto"/>
        <w:rPr>
          <w:rFonts w:ascii="Arial" w:hAnsi="Arial" w:cs="Arial"/>
          <w:sz w:val="26"/>
          <w:szCs w:val="26"/>
        </w:rPr>
      </w:pPr>
    </w:p>
    <w:p w14:paraId="24282BD8" w14:textId="515FD2F1" w:rsidR="0031570E" w:rsidRDefault="0031570E" w:rsidP="0031570E">
      <w:pPr>
        <w:tabs>
          <w:tab w:val="center" w:pos="4135"/>
          <w:tab w:val="left" w:pos="7515"/>
        </w:tabs>
        <w:spacing w:line="360" w:lineRule="auto"/>
        <w:rPr>
          <w:rFonts w:ascii="Arial" w:hAnsi="Arial" w:cs="Arial"/>
          <w:sz w:val="26"/>
          <w:szCs w:val="26"/>
        </w:rPr>
      </w:pPr>
    </w:p>
    <w:p w14:paraId="642C5372" w14:textId="77777777" w:rsidR="000E4F7B" w:rsidRDefault="000E4F7B" w:rsidP="0031570E">
      <w:pPr>
        <w:tabs>
          <w:tab w:val="center" w:pos="4135"/>
          <w:tab w:val="left" w:pos="7515"/>
        </w:tabs>
        <w:spacing w:line="360" w:lineRule="auto"/>
        <w:rPr>
          <w:rFonts w:ascii="Arial" w:hAnsi="Arial" w:cs="Arial"/>
          <w:sz w:val="26"/>
          <w:szCs w:val="26"/>
        </w:rPr>
      </w:pPr>
    </w:p>
    <w:p w14:paraId="3426B418" w14:textId="77777777" w:rsidR="0031570E" w:rsidRDefault="0031570E" w:rsidP="0031570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22BF77C5" w14:textId="77777777" w:rsidR="0031570E" w:rsidRDefault="0031570E" w:rsidP="009D4A77">
      <w:pPr>
        <w:tabs>
          <w:tab w:val="left" w:pos="1925"/>
          <w:tab w:val="center" w:pos="4135"/>
        </w:tabs>
        <w:rPr>
          <w:rFonts w:ascii="Arial" w:hAnsi="Arial" w:cs="Arial"/>
          <w:sz w:val="26"/>
          <w:szCs w:val="26"/>
        </w:rPr>
      </w:pPr>
    </w:p>
    <w:p w14:paraId="2662771E" w14:textId="54D07CB0" w:rsidR="0031570E" w:rsidRDefault="0031570E" w:rsidP="0031570E">
      <w:pPr>
        <w:tabs>
          <w:tab w:val="left" w:pos="1925"/>
          <w:tab w:val="center" w:pos="4135"/>
        </w:tabs>
        <w:jc w:val="center"/>
        <w:rPr>
          <w:rFonts w:ascii="Arial" w:hAnsi="Arial" w:cs="Arial"/>
          <w:sz w:val="26"/>
          <w:szCs w:val="26"/>
        </w:rPr>
      </w:pPr>
    </w:p>
    <w:p w14:paraId="2B230F0D" w14:textId="77777777" w:rsidR="00030AF5" w:rsidRDefault="00030AF5" w:rsidP="0031570E">
      <w:pPr>
        <w:tabs>
          <w:tab w:val="left" w:pos="1925"/>
          <w:tab w:val="center" w:pos="4135"/>
        </w:tabs>
        <w:jc w:val="center"/>
        <w:rPr>
          <w:rFonts w:ascii="Arial" w:hAnsi="Arial" w:cs="Arial"/>
          <w:sz w:val="26"/>
          <w:szCs w:val="26"/>
        </w:rPr>
      </w:pPr>
    </w:p>
    <w:p w14:paraId="1C85E811" w14:textId="77777777" w:rsidR="000E4F7B" w:rsidRDefault="000E4F7B" w:rsidP="0031570E">
      <w:pPr>
        <w:tabs>
          <w:tab w:val="left" w:pos="1925"/>
          <w:tab w:val="center" w:pos="4135"/>
        </w:tabs>
        <w:jc w:val="center"/>
        <w:rPr>
          <w:rFonts w:ascii="Arial" w:hAnsi="Arial" w:cs="Arial"/>
          <w:sz w:val="26"/>
          <w:szCs w:val="26"/>
        </w:rPr>
      </w:pPr>
    </w:p>
    <w:p w14:paraId="2A80765E" w14:textId="77777777" w:rsidR="0031570E" w:rsidRDefault="0031570E" w:rsidP="0031570E">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76942E59" w14:textId="7C36FF57" w:rsidR="0031570E" w:rsidRDefault="00030AF5" w:rsidP="00030AF5">
      <w:pPr>
        <w:tabs>
          <w:tab w:val="left" w:pos="1925"/>
          <w:tab w:val="center" w:pos="4135"/>
        </w:tabs>
        <w:jc w:val="center"/>
        <w:rPr>
          <w:rFonts w:ascii="Arial" w:hAnsi="Arial" w:cs="Arial"/>
          <w:b/>
          <w:bCs/>
          <w:sz w:val="16"/>
          <w:szCs w:val="16"/>
        </w:rPr>
      </w:pPr>
      <w:r>
        <w:rPr>
          <w:rFonts w:ascii="Arial" w:hAnsi="Arial" w:cs="Arial"/>
          <w:b/>
          <w:bCs/>
          <w:sz w:val="16"/>
          <w:szCs w:val="16"/>
        </w:rPr>
        <w:lastRenderedPageBreak/>
        <w:t>LAS PRESENTES FIRMAS CORRESPONDEN AL RECURSO DE REVISIÓN 205/2020</w:t>
      </w:r>
    </w:p>
    <w:p w14:paraId="0FA53E9D" w14:textId="64EEB6FF" w:rsidR="000E4F7B" w:rsidRDefault="000E4F7B" w:rsidP="0031570E">
      <w:pPr>
        <w:tabs>
          <w:tab w:val="left" w:pos="1925"/>
          <w:tab w:val="center" w:pos="4135"/>
        </w:tabs>
        <w:rPr>
          <w:rFonts w:ascii="Arial" w:hAnsi="Arial" w:cs="Arial"/>
          <w:sz w:val="26"/>
          <w:szCs w:val="26"/>
        </w:rPr>
      </w:pPr>
    </w:p>
    <w:p w14:paraId="34EF415C" w14:textId="59AB2F67" w:rsidR="00030AF5" w:rsidRDefault="00030AF5" w:rsidP="0031570E">
      <w:pPr>
        <w:tabs>
          <w:tab w:val="left" w:pos="1925"/>
          <w:tab w:val="center" w:pos="4135"/>
        </w:tabs>
        <w:rPr>
          <w:rFonts w:ascii="Arial" w:hAnsi="Arial" w:cs="Arial"/>
          <w:sz w:val="26"/>
          <w:szCs w:val="26"/>
        </w:rPr>
      </w:pPr>
    </w:p>
    <w:p w14:paraId="1746591D" w14:textId="77777777" w:rsidR="00030AF5" w:rsidRDefault="00030AF5" w:rsidP="0031570E">
      <w:pPr>
        <w:tabs>
          <w:tab w:val="left" w:pos="1925"/>
          <w:tab w:val="center" w:pos="4135"/>
        </w:tabs>
        <w:rPr>
          <w:rFonts w:ascii="Arial" w:hAnsi="Arial" w:cs="Arial"/>
          <w:sz w:val="26"/>
          <w:szCs w:val="26"/>
        </w:rPr>
      </w:pPr>
    </w:p>
    <w:p w14:paraId="2DC313A7" w14:textId="77777777" w:rsidR="0031570E" w:rsidRDefault="0031570E" w:rsidP="0031570E">
      <w:pPr>
        <w:tabs>
          <w:tab w:val="left" w:pos="1925"/>
          <w:tab w:val="center" w:pos="4135"/>
        </w:tabs>
        <w:rPr>
          <w:rFonts w:ascii="Arial" w:hAnsi="Arial" w:cs="Arial"/>
          <w:sz w:val="26"/>
          <w:szCs w:val="26"/>
        </w:rPr>
      </w:pPr>
    </w:p>
    <w:p w14:paraId="524927A6" w14:textId="1371330F" w:rsidR="0031570E" w:rsidRDefault="0031570E" w:rsidP="009D4A77">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w:t>
      </w:r>
      <w:r w:rsidR="009D4A77">
        <w:rPr>
          <w:rFonts w:ascii="Arial" w:hAnsi="Arial" w:cs="Arial"/>
          <w:sz w:val="26"/>
          <w:szCs w:val="26"/>
        </w:rPr>
        <w:t>S</w:t>
      </w:r>
    </w:p>
    <w:p w14:paraId="5B82DF39" w14:textId="00D56716" w:rsidR="0031570E" w:rsidRDefault="0031570E" w:rsidP="0031570E">
      <w:pPr>
        <w:tabs>
          <w:tab w:val="left" w:pos="1925"/>
          <w:tab w:val="center" w:pos="4135"/>
        </w:tabs>
        <w:spacing w:after="0"/>
        <w:rPr>
          <w:rFonts w:ascii="Arial" w:hAnsi="Arial" w:cs="Arial"/>
          <w:sz w:val="26"/>
          <w:szCs w:val="26"/>
        </w:rPr>
      </w:pPr>
    </w:p>
    <w:p w14:paraId="15E0574A" w14:textId="5A81705F" w:rsidR="00030AF5" w:rsidRDefault="00030AF5" w:rsidP="0031570E">
      <w:pPr>
        <w:tabs>
          <w:tab w:val="left" w:pos="1925"/>
          <w:tab w:val="center" w:pos="4135"/>
        </w:tabs>
        <w:spacing w:after="0"/>
        <w:rPr>
          <w:rFonts w:ascii="Arial" w:hAnsi="Arial" w:cs="Arial"/>
          <w:sz w:val="26"/>
          <w:szCs w:val="26"/>
        </w:rPr>
      </w:pPr>
    </w:p>
    <w:p w14:paraId="32C0E496" w14:textId="2D0E1839" w:rsidR="00030AF5" w:rsidRDefault="00030AF5" w:rsidP="0031570E">
      <w:pPr>
        <w:tabs>
          <w:tab w:val="left" w:pos="1925"/>
          <w:tab w:val="center" w:pos="4135"/>
        </w:tabs>
        <w:spacing w:after="0"/>
        <w:rPr>
          <w:rFonts w:ascii="Arial" w:hAnsi="Arial" w:cs="Arial"/>
          <w:sz w:val="26"/>
          <w:szCs w:val="26"/>
        </w:rPr>
      </w:pPr>
    </w:p>
    <w:p w14:paraId="10C4125C" w14:textId="77777777" w:rsidR="00030AF5" w:rsidRDefault="00030AF5" w:rsidP="0031570E">
      <w:pPr>
        <w:tabs>
          <w:tab w:val="left" w:pos="1925"/>
          <w:tab w:val="center" w:pos="4135"/>
        </w:tabs>
        <w:spacing w:after="0"/>
        <w:rPr>
          <w:rFonts w:ascii="Arial" w:hAnsi="Arial" w:cs="Arial"/>
          <w:sz w:val="26"/>
          <w:szCs w:val="26"/>
        </w:rPr>
      </w:pPr>
    </w:p>
    <w:p w14:paraId="7AA71A8F" w14:textId="77777777" w:rsidR="0031570E" w:rsidRDefault="0031570E" w:rsidP="0031570E">
      <w:pPr>
        <w:tabs>
          <w:tab w:val="left" w:pos="1925"/>
          <w:tab w:val="center" w:pos="4135"/>
        </w:tabs>
        <w:spacing w:after="0"/>
        <w:jc w:val="center"/>
        <w:rPr>
          <w:rFonts w:ascii="Arial" w:hAnsi="Arial" w:cs="Arial"/>
          <w:sz w:val="26"/>
          <w:szCs w:val="26"/>
        </w:rPr>
      </w:pPr>
    </w:p>
    <w:p w14:paraId="77B2DD4D" w14:textId="77777777" w:rsidR="0031570E" w:rsidRDefault="0031570E" w:rsidP="0031570E">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23E0CED5" w14:textId="77777777" w:rsidR="0031570E" w:rsidRDefault="0031570E" w:rsidP="0031570E">
      <w:pPr>
        <w:spacing w:after="0"/>
        <w:jc w:val="center"/>
        <w:rPr>
          <w:rFonts w:ascii="Arial" w:hAnsi="Arial" w:cs="Arial"/>
          <w:sz w:val="26"/>
          <w:szCs w:val="26"/>
        </w:rPr>
      </w:pPr>
      <w:r>
        <w:rPr>
          <w:rFonts w:ascii="Arial" w:hAnsi="Arial" w:cs="Arial"/>
          <w:sz w:val="26"/>
          <w:szCs w:val="26"/>
        </w:rPr>
        <w:t>SECRETARIO GENERAL DE ACUERDOS</w:t>
      </w:r>
    </w:p>
    <w:p w14:paraId="50453FE0" w14:textId="026B7E99" w:rsidR="00BA258A" w:rsidRPr="003B6CF0" w:rsidRDefault="00C62245" w:rsidP="0031570E">
      <w:pPr>
        <w:spacing w:before="240" w:line="360" w:lineRule="auto"/>
        <w:ind w:firstLine="708"/>
        <w:jc w:val="both"/>
      </w:pPr>
      <w:r w:rsidRPr="00C62245">
        <w:t xml:space="preserve"> </w:t>
      </w:r>
    </w:p>
    <w:sectPr w:rsidR="00BA258A" w:rsidRPr="003B6CF0" w:rsidSect="00B30FFF">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814"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DF3044" w14:textId="77777777" w:rsidR="003A3155" w:rsidRDefault="003A3155">
      <w:pPr>
        <w:spacing w:after="0" w:line="240" w:lineRule="auto"/>
      </w:pPr>
      <w:r>
        <w:separator/>
      </w:r>
    </w:p>
  </w:endnote>
  <w:endnote w:type="continuationSeparator" w:id="0">
    <w:p w14:paraId="41422ADD" w14:textId="77777777" w:rsidR="003A3155" w:rsidRDefault="003A3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86983" w14:textId="77777777" w:rsidR="00692DB0" w:rsidRDefault="00692DB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54C72A94" w:rsidR="00A80DC8" w:rsidRDefault="00692DB0">
    <w:pPr>
      <w:pStyle w:val="Piedepgina"/>
      <w:jc w:val="center"/>
    </w:pPr>
    <w:r>
      <w:rPr>
        <w:noProof/>
      </w:rPr>
      <mc:AlternateContent>
        <mc:Choice Requires="wps">
          <w:drawing>
            <wp:anchor distT="45720" distB="45720" distL="114300" distR="114300" simplePos="0" relativeHeight="251667456" behindDoc="0" locked="0" layoutInCell="1" allowOverlap="1" wp14:anchorId="4B7B13E2" wp14:editId="3A75CA05">
              <wp:simplePos x="0" y="0"/>
              <wp:positionH relativeFrom="column">
                <wp:posOffset>-1276350</wp:posOffset>
              </wp:positionH>
              <wp:positionV relativeFrom="paragraph">
                <wp:posOffset>-5104765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4368132C" w14:textId="77777777" w:rsidR="00692DB0" w:rsidRPr="00BB7E37" w:rsidRDefault="00692DB0" w:rsidP="00692DB0">
                          <w:pPr>
                            <w:rPr>
                              <w:sz w:val="16"/>
                              <w:szCs w:val="16"/>
                            </w:rPr>
                          </w:pPr>
                          <w:bookmarkStart w:id="0"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B13E2" id="_x0000_t202" coordsize="21600,21600" o:spt="202" path="m,l,21600r21600,l21600,xe">
              <v:stroke joinstyle="miter"/>
              <v:path gradientshapeok="t" o:connecttype="rect"/>
            </v:shapetype>
            <v:shape id="Cuadro de texto 2" o:spid="_x0000_s1026" type="#_x0000_t202" style="position:absolute;left:0;text-align:left;margin-left:-100.5pt;margin-top:-401.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">
              <v:textbox>
                <w:txbxContent>
                  <w:p w14:paraId="4368132C" w14:textId="77777777" w:rsidR="00692DB0" w:rsidRPr="00BB7E37" w:rsidRDefault="00692DB0" w:rsidP="00692DB0">
                    <w:pPr>
                      <w:rPr>
                        <w:sz w:val="16"/>
                        <w:szCs w:val="16"/>
                      </w:rPr>
                    </w:pPr>
                    <w:bookmarkStart w:id="1"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1"/>
                  </w:p>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1E36CD" w14:textId="77777777" w:rsidR="00692DB0" w:rsidRDefault="00692DB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E366D" w14:textId="77777777" w:rsidR="003A3155" w:rsidRDefault="003A3155">
      <w:pPr>
        <w:spacing w:after="0" w:line="240" w:lineRule="auto"/>
      </w:pPr>
      <w:r>
        <w:separator/>
      </w:r>
    </w:p>
  </w:footnote>
  <w:footnote w:type="continuationSeparator" w:id="0">
    <w:p w14:paraId="68A573CD" w14:textId="77777777" w:rsidR="003A3155" w:rsidRDefault="003A3155">
      <w:pPr>
        <w:spacing w:after="0" w:line="240" w:lineRule="auto"/>
      </w:pPr>
      <w:r>
        <w:continuationSeparator/>
      </w:r>
    </w:p>
  </w:footnote>
  <w:footnote w:id="1">
    <w:p w14:paraId="2CF956CD" w14:textId="0B9C0477" w:rsidR="00BA773E" w:rsidRPr="00BA773E" w:rsidRDefault="00BA773E">
      <w:pPr>
        <w:pStyle w:val="Textonotapie"/>
        <w:rPr>
          <w:lang w:val="es-ES"/>
        </w:rPr>
      </w:pPr>
      <w:r>
        <w:rPr>
          <w:rStyle w:val="Refdenotaalpie"/>
        </w:rPr>
        <w:footnoteRef/>
      </w:r>
      <w:r>
        <w:t xml:space="preserve"> </w:t>
      </w:r>
      <w:r>
        <w:rPr>
          <w:lang w:val="es-ES"/>
        </w:rPr>
        <w:t xml:space="preserve">Obra agregado a fojas 65 (sesenta </w:t>
      </w:r>
      <w:r w:rsidR="00590C6B">
        <w:rPr>
          <w:lang w:val="es-ES"/>
        </w:rPr>
        <w:t>y cinco) a 75 (setenta y cinco).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A736E6F" w:rsidR="000F5C41" w:rsidRDefault="003A315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692DB0" w:rsidRPr="00692DB0">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16C2520" w:rsidR="000F5C41" w:rsidRDefault="003A315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692DB0" w:rsidRPr="00692DB0">
          <w:rPr>
            <w:noProof/>
            <w:lang w:val="es-ES"/>
          </w:rPr>
          <w:t>1</w:t>
        </w:r>
        <w:r w:rsidR="000F5C41">
          <w:fldChar w:fldCharType="end"/>
        </w:r>
      </w:sdtContent>
    </w:sdt>
  </w:p>
  <w:p w14:paraId="51E22156" w14:textId="09170FD6"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0974359">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3106DF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A315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8DB"/>
    <w:rsid w:val="00026C11"/>
    <w:rsid w:val="000306D4"/>
    <w:rsid w:val="00030AF5"/>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BA7"/>
    <w:rsid w:val="00076CEA"/>
    <w:rsid w:val="00077661"/>
    <w:rsid w:val="00077DFD"/>
    <w:rsid w:val="00080A85"/>
    <w:rsid w:val="0008122B"/>
    <w:rsid w:val="0008141F"/>
    <w:rsid w:val="000824D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5C3B"/>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B72"/>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4F7B"/>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171"/>
    <w:rsid w:val="00192287"/>
    <w:rsid w:val="001923AE"/>
    <w:rsid w:val="001924B2"/>
    <w:rsid w:val="00193379"/>
    <w:rsid w:val="00194B7B"/>
    <w:rsid w:val="001951A3"/>
    <w:rsid w:val="00195583"/>
    <w:rsid w:val="001974D2"/>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331"/>
    <w:rsid w:val="001C2557"/>
    <w:rsid w:val="001C2644"/>
    <w:rsid w:val="001C2B0B"/>
    <w:rsid w:val="001C2B81"/>
    <w:rsid w:val="001C36D8"/>
    <w:rsid w:val="001C39B4"/>
    <w:rsid w:val="001C3A80"/>
    <w:rsid w:val="001C404B"/>
    <w:rsid w:val="001C421F"/>
    <w:rsid w:val="001C422B"/>
    <w:rsid w:val="001C502D"/>
    <w:rsid w:val="001C53B0"/>
    <w:rsid w:val="001C7E50"/>
    <w:rsid w:val="001C7EC3"/>
    <w:rsid w:val="001D07F6"/>
    <w:rsid w:val="001D0DCF"/>
    <w:rsid w:val="001D31A6"/>
    <w:rsid w:val="001D393F"/>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84"/>
    <w:rsid w:val="002350A1"/>
    <w:rsid w:val="00235FE5"/>
    <w:rsid w:val="002361B0"/>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5926"/>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79D"/>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5E48"/>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CF4"/>
    <w:rsid w:val="00305D48"/>
    <w:rsid w:val="00306940"/>
    <w:rsid w:val="00307353"/>
    <w:rsid w:val="00307E06"/>
    <w:rsid w:val="0031096E"/>
    <w:rsid w:val="00311560"/>
    <w:rsid w:val="00311708"/>
    <w:rsid w:val="00311BB1"/>
    <w:rsid w:val="00311D7D"/>
    <w:rsid w:val="00312470"/>
    <w:rsid w:val="0031285C"/>
    <w:rsid w:val="00313A44"/>
    <w:rsid w:val="003150CD"/>
    <w:rsid w:val="003154AB"/>
    <w:rsid w:val="003155CF"/>
    <w:rsid w:val="0031570E"/>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BEF"/>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155"/>
    <w:rsid w:val="003A3EA0"/>
    <w:rsid w:val="003A6262"/>
    <w:rsid w:val="003A645D"/>
    <w:rsid w:val="003B0033"/>
    <w:rsid w:val="003B04B5"/>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03D"/>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DE3"/>
    <w:rsid w:val="004A5F27"/>
    <w:rsid w:val="004A6251"/>
    <w:rsid w:val="004A6CA2"/>
    <w:rsid w:val="004A770C"/>
    <w:rsid w:val="004A781C"/>
    <w:rsid w:val="004A7ECD"/>
    <w:rsid w:val="004B05CE"/>
    <w:rsid w:val="004B0EF8"/>
    <w:rsid w:val="004B117E"/>
    <w:rsid w:val="004B17F7"/>
    <w:rsid w:val="004B1E33"/>
    <w:rsid w:val="004B33E7"/>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81E"/>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738"/>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0C6B"/>
    <w:rsid w:val="00592360"/>
    <w:rsid w:val="00593333"/>
    <w:rsid w:val="005957E0"/>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4657"/>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508"/>
    <w:rsid w:val="00681AC1"/>
    <w:rsid w:val="00681EE7"/>
    <w:rsid w:val="00682165"/>
    <w:rsid w:val="00683178"/>
    <w:rsid w:val="0068325D"/>
    <w:rsid w:val="00684F50"/>
    <w:rsid w:val="00685785"/>
    <w:rsid w:val="00686F6A"/>
    <w:rsid w:val="00687828"/>
    <w:rsid w:val="00687BEB"/>
    <w:rsid w:val="00691515"/>
    <w:rsid w:val="00692778"/>
    <w:rsid w:val="00692B2A"/>
    <w:rsid w:val="00692DB0"/>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37F"/>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10D"/>
    <w:rsid w:val="007037DD"/>
    <w:rsid w:val="00703AE1"/>
    <w:rsid w:val="00703B2F"/>
    <w:rsid w:val="0070428E"/>
    <w:rsid w:val="007042B5"/>
    <w:rsid w:val="00704634"/>
    <w:rsid w:val="00705D6A"/>
    <w:rsid w:val="00705E84"/>
    <w:rsid w:val="00706058"/>
    <w:rsid w:val="00706144"/>
    <w:rsid w:val="007061EE"/>
    <w:rsid w:val="007063E6"/>
    <w:rsid w:val="00707031"/>
    <w:rsid w:val="00707245"/>
    <w:rsid w:val="00707707"/>
    <w:rsid w:val="00707E14"/>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47AFE"/>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6612"/>
    <w:rsid w:val="007779BF"/>
    <w:rsid w:val="00777B9A"/>
    <w:rsid w:val="00777CFA"/>
    <w:rsid w:val="00777F6C"/>
    <w:rsid w:val="007806D4"/>
    <w:rsid w:val="00781E84"/>
    <w:rsid w:val="00781EFF"/>
    <w:rsid w:val="00782019"/>
    <w:rsid w:val="007841D1"/>
    <w:rsid w:val="0078506B"/>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0"/>
    <w:rsid w:val="008504C8"/>
    <w:rsid w:val="00851000"/>
    <w:rsid w:val="00851789"/>
    <w:rsid w:val="00854886"/>
    <w:rsid w:val="00855029"/>
    <w:rsid w:val="0085507C"/>
    <w:rsid w:val="008550C4"/>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0F4"/>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71"/>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1CA"/>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ADE"/>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795"/>
    <w:rsid w:val="009C6929"/>
    <w:rsid w:val="009C6A52"/>
    <w:rsid w:val="009C72C2"/>
    <w:rsid w:val="009D183B"/>
    <w:rsid w:val="009D20C4"/>
    <w:rsid w:val="009D2378"/>
    <w:rsid w:val="009D267D"/>
    <w:rsid w:val="009D30C1"/>
    <w:rsid w:val="009D3356"/>
    <w:rsid w:val="009D3CB7"/>
    <w:rsid w:val="009D3DBF"/>
    <w:rsid w:val="009D4901"/>
    <w:rsid w:val="009D4A77"/>
    <w:rsid w:val="009D4C43"/>
    <w:rsid w:val="009D5068"/>
    <w:rsid w:val="009D5281"/>
    <w:rsid w:val="009D55A0"/>
    <w:rsid w:val="009D5AC5"/>
    <w:rsid w:val="009D5D6A"/>
    <w:rsid w:val="009D6566"/>
    <w:rsid w:val="009D6EC6"/>
    <w:rsid w:val="009D7058"/>
    <w:rsid w:val="009D7445"/>
    <w:rsid w:val="009D76EB"/>
    <w:rsid w:val="009D7E4B"/>
    <w:rsid w:val="009E0336"/>
    <w:rsid w:val="009E10EC"/>
    <w:rsid w:val="009E10F6"/>
    <w:rsid w:val="009E1628"/>
    <w:rsid w:val="009E2B95"/>
    <w:rsid w:val="009E2F5D"/>
    <w:rsid w:val="009E34FA"/>
    <w:rsid w:val="009E3D69"/>
    <w:rsid w:val="009E3DB9"/>
    <w:rsid w:val="009E4B0C"/>
    <w:rsid w:val="009E4B72"/>
    <w:rsid w:val="009E5E86"/>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59EC"/>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6BCA"/>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1627"/>
    <w:rsid w:val="00AA165D"/>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D6A"/>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0D"/>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C7C"/>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0FFF"/>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27E1"/>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CF4"/>
    <w:rsid w:val="00B95FE2"/>
    <w:rsid w:val="00B962EE"/>
    <w:rsid w:val="00B969F9"/>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73E"/>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21"/>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11B"/>
    <w:rsid w:val="00C1296A"/>
    <w:rsid w:val="00C12D3B"/>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ED4"/>
    <w:rsid w:val="00C6124E"/>
    <w:rsid w:val="00C613CF"/>
    <w:rsid w:val="00C62245"/>
    <w:rsid w:val="00C6230B"/>
    <w:rsid w:val="00C6257D"/>
    <w:rsid w:val="00C632FA"/>
    <w:rsid w:val="00C635D0"/>
    <w:rsid w:val="00C64273"/>
    <w:rsid w:val="00C644DD"/>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1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6BA"/>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57D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281"/>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1A3"/>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137"/>
    <w:rsid w:val="00E1384D"/>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114C"/>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984"/>
    <w:rsid w:val="00FE0AF4"/>
    <w:rsid w:val="00FE127F"/>
    <w:rsid w:val="00FE27EE"/>
    <w:rsid w:val="00FE30E1"/>
    <w:rsid w:val="00FE401A"/>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5044860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6223B-BB1A-421F-83B2-5B93176C7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8</Pages>
  <Words>2273</Words>
  <Characters>12504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75</cp:revision>
  <cp:lastPrinted>2021-05-18T18:28:00Z</cp:lastPrinted>
  <dcterms:created xsi:type="dcterms:W3CDTF">2021-02-11T19:49:00Z</dcterms:created>
  <dcterms:modified xsi:type="dcterms:W3CDTF">2021-09-21T18:40:00Z</dcterms:modified>
</cp:coreProperties>
</file>