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749F2"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1CCB7AA"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016A61">
        <w:rPr>
          <w:rFonts w:ascii="Arial" w:hAnsi="Arial" w:cs="Arial"/>
          <w:b/>
          <w:sz w:val="24"/>
          <w:szCs w:val="24"/>
        </w:rPr>
        <w:t xml:space="preserve">VEINTIDÓS </w:t>
      </w:r>
      <w:r w:rsidR="004B6B81">
        <w:rPr>
          <w:rFonts w:ascii="Arial" w:hAnsi="Arial" w:cs="Arial"/>
          <w:b/>
          <w:sz w:val="24"/>
          <w:szCs w:val="24"/>
        </w:rPr>
        <w:t>DE MARZO</w:t>
      </w:r>
      <w:r>
        <w:rPr>
          <w:rFonts w:ascii="Arial" w:hAnsi="Arial" w:cs="Arial"/>
          <w:b/>
          <w:sz w:val="24"/>
          <w:szCs w:val="24"/>
        </w:rPr>
        <w:t xml:space="preserve"> DEL AÑO DOS MIL VEINT</w:t>
      </w:r>
      <w:r w:rsidR="004B6B81">
        <w:rPr>
          <w:rFonts w:ascii="Arial" w:hAnsi="Arial" w:cs="Arial"/>
          <w:b/>
          <w:sz w:val="24"/>
          <w:szCs w:val="24"/>
        </w:rPr>
        <w:t>IUNO (22/03/2021</w:t>
      </w:r>
      <w:r>
        <w:rPr>
          <w:rFonts w:ascii="Arial" w:hAnsi="Arial" w:cs="Arial"/>
          <w:b/>
          <w:sz w:val="24"/>
          <w:szCs w:val="24"/>
        </w:rPr>
        <w:t xml:space="preserve">). - - - - - - - - - - - - - - - - - - - - - - - - - - - - - - </w:t>
      </w:r>
    </w:p>
    <w:p w14:paraId="25AE93B5" w14:textId="1CE64871"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77655A">
        <w:rPr>
          <w:rFonts w:ascii="Arial" w:hAnsi="Arial" w:cs="Arial"/>
          <w:sz w:val="24"/>
          <w:szCs w:val="24"/>
        </w:rPr>
        <w:t xml:space="preserve"> autos del Juicio de Nulidad 009/202</w:t>
      </w:r>
      <w:r w:rsidR="005D66C5">
        <w:rPr>
          <w:rFonts w:ascii="Arial" w:hAnsi="Arial" w:cs="Arial"/>
          <w:sz w:val="24"/>
          <w:szCs w:val="24"/>
        </w:rPr>
        <w:t>0</w:t>
      </w:r>
      <w:r w:rsidRPr="001042B6">
        <w:rPr>
          <w:rFonts w:ascii="Arial" w:hAnsi="Arial" w:cs="Arial"/>
          <w:sz w:val="24"/>
          <w:szCs w:val="24"/>
        </w:rPr>
        <w:t xml:space="preserve">, promovido por </w:t>
      </w:r>
      <w:r w:rsidR="00E047B8">
        <w:rPr>
          <w:rFonts w:ascii="Arial" w:hAnsi="Arial" w:cs="Arial"/>
          <w:sz w:val="24"/>
          <w:szCs w:val="24"/>
        </w:rPr>
        <w:t>***** ***** ***** *****</w:t>
      </w:r>
      <w:r w:rsidRPr="001042B6">
        <w:rPr>
          <w:rFonts w:ascii="Arial" w:hAnsi="Arial" w:cs="Arial"/>
          <w:sz w:val="24"/>
          <w:szCs w:val="24"/>
        </w:rPr>
        <w:t xml:space="preserve">, solicitando la nulidad de la resolución contenida en el oficio </w:t>
      </w:r>
      <w:r w:rsidRPr="00CC1556">
        <w:rPr>
          <w:rFonts w:ascii="Arial" w:hAnsi="Arial" w:cs="Arial"/>
          <w:sz w:val="24"/>
          <w:szCs w:val="24"/>
        </w:rPr>
        <w:t xml:space="preserve">número </w:t>
      </w:r>
      <w:r w:rsidR="00E047B8">
        <w:rPr>
          <w:rFonts w:ascii="Arial" w:hAnsi="Arial" w:cs="Arial"/>
          <w:sz w:val="24"/>
          <w:szCs w:val="24"/>
        </w:rPr>
        <w:t>OP/DG/DPE/****/2019</w:t>
      </w:r>
      <w:r w:rsidRPr="00CC1556">
        <w:rPr>
          <w:rFonts w:ascii="Arial" w:hAnsi="Arial" w:cs="Arial"/>
          <w:sz w:val="24"/>
          <w:szCs w:val="24"/>
        </w:rPr>
        <w:t xml:space="preserve">, de fecha </w:t>
      </w:r>
      <w:r w:rsidR="00E047B8">
        <w:rPr>
          <w:rFonts w:ascii="Arial" w:hAnsi="Arial" w:cs="Arial"/>
          <w:sz w:val="24"/>
          <w:szCs w:val="24"/>
        </w:rPr>
        <w:t>***** de ***** de dos mil diecinueve (**/**/2019)</w:t>
      </w:r>
      <w:r w:rsidRPr="00CC1556">
        <w:rPr>
          <w:rFonts w:ascii="Arial" w:hAnsi="Arial" w:cs="Arial"/>
          <w:sz w:val="24"/>
          <w:szCs w:val="24"/>
        </w:rPr>
        <w:t xml:space="preserve">, emitida por el </w:t>
      </w:r>
      <w:proofErr w:type="gramStart"/>
      <w:r w:rsidRPr="00CC1556">
        <w:rPr>
          <w:rFonts w:ascii="Arial" w:hAnsi="Arial" w:cs="Arial"/>
          <w:sz w:val="24"/>
          <w:szCs w:val="24"/>
        </w:rPr>
        <w:t>Director General</w:t>
      </w:r>
      <w:proofErr w:type="gramEnd"/>
      <w:r w:rsidRPr="00CC1556">
        <w:rPr>
          <w:rFonts w:ascii="Arial" w:hAnsi="Arial" w:cs="Arial"/>
          <w:sz w:val="24"/>
          <w:szCs w:val="24"/>
        </w:rPr>
        <w:t xml:space="preserve"> de la Oficina de Pensiones del Estado de Oaxaca</w:t>
      </w:r>
      <w:r w:rsidRPr="001042B6">
        <w:rPr>
          <w:rFonts w:ascii="Arial" w:hAnsi="Arial" w:cs="Arial"/>
          <w:sz w:val="24"/>
          <w:szCs w:val="24"/>
        </w:rPr>
        <w:t xml:space="preserve">; y, - - - - - - - - - - </w:t>
      </w:r>
      <w:r>
        <w:rPr>
          <w:rFonts w:ascii="Arial" w:hAnsi="Arial" w:cs="Arial"/>
          <w:sz w:val="24"/>
          <w:szCs w:val="24"/>
        </w:rPr>
        <w:t>- - - - - - - -</w:t>
      </w:r>
      <w:r w:rsidR="00E047B8">
        <w:rPr>
          <w:rFonts w:ascii="Arial" w:hAnsi="Arial" w:cs="Arial"/>
          <w:sz w:val="24"/>
          <w:szCs w:val="24"/>
        </w:rPr>
        <w:t xml:space="preserve"> </w:t>
      </w:r>
      <w:r w:rsidR="00E047B8">
        <w:rPr>
          <w:rFonts w:ascii="Arial" w:hAnsi="Arial" w:cs="Arial"/>
          <w:sz w:val="24"/>
          <w:szCs w:val="24"/>
        </w:rPr>
        <w:t xml:space="preserve">- - - - - - - - - - - - - - - - - - - - - - </w:t>
      </w:r>
    </w:p>
    <w:p w14:paraId="35653AE8"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0791B0F3" w14:textId="7777777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77655A">
        <w:rPr>
          <w:rFonts w:ascii="Arial" w:hAnsi="Arial" w:cs="Arial"/>
          <w:sz w:val="24"/>
          <w:szCs w:val="24"/>
        </w:rPr>
        <w:t>Con fecha catorce de enero de dos mil veinte (14/01/2020)</w:t>
      </w:r>
      <w:r w:rsidRPr="001042B6">
        <w:rPr>
          <w:rFonts w:ascii="Arial" w:hAnsi="Arial" w:cs="Arial"/>
          <w:sz w:val="24"/>
          <w:szCs w:val="24"/>
        </w:rPr>
        <w:t xml:space="preserve">, se recibió el escrito de demanda en la Oficialía de Partes de este Tribunal y con fecha </w:t>
      </w:r>
      <w:r w:rsidR="0077655A">
        <w:rPr>
          <w:rFonts w:ascii="Arial" w:hAnsi="Arial" w:cs="Arial"/>
          <w:sz w:val="24"/>
          <w:szCs w:val="24"/>
        </w:rPr>
        <w:t>quince del mismo mes y año (15/01</w:t>
      </w:r>
      <w:r w:rsidR="00CC1556">
        <w:rPr>
          <w:rFonts w:ascii="Arial" w:hAnsi="Arial" w:cs="Arial"/>
          <w:sz w:val="24"/>
          <w:szCs w:val="24"/>
        </w:rPr>
        <w:t>/2020</w:t>
      </w:r>
      <w:r w:rsidRPr="001042B6">
        <w:rPr>
          <w:rFonts w:ascii="Arial" w:hAnsi="Arial" w:cs="Arial"/>
          <w:sz w:val="24"/>
          <w:szCs w:val="24"/>
        </w:rPr>
        <w:t xml:space="preserve">), se tuvo por admitida a trámite, ordenándose emplazar a Juicio a la autoridad demandada. - - - - - - - </w:t>
      </w:r>
      <w:r w:rsidR="0077655A">
        <w:rPr>
          <w:rFonts w:ascii="Arial" w:hAnsi="Arial" w:cs="Arial"/>
          <w:sz w:val="24"/>
          <w:szCs w:val="24"/>
        </w:rPr>
        <w:t xml:space="preserve">- - - - - - - - - - - - - - - - - - - - - - - - - - - - - - - - - - - - - - - - </w:t>
      </w:r>
    </w:p>
    <w:p w14:paraId="7B3E0582" w14:textId="7777777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7C1FD6">
        <w:rPr>
          <w:rFonts w:ascii="Arial" w:hAnsi="Arial" w:cs="Arial"/>
          <w:sz w:val="24"/>
          <w:szCs w:val="24"/>
        </w:rPr>
        <w:t xml:space="preserve">Con fecha </w:t>
      </w:r>
      <w:r w:rsidR="00C71882">
        <w:rPr>
          <w:rFonts w:ascii="Arial" w:hAnsi="Arial" w:cs="Arial"/>
          <w:sz w:val="24"/>
          <w:szCs w:val="24"/>
        </w:rPr>
        <w:t>nueve de marzo de dos mil veinte (09/03/2020)</w:t>
      </w:r>
      <w:r w:rsidRPr="001042B6">
        <w:rPr>
          <w:rFonts w:ascii="Arial" w:hAnsi="Arial" w:cs="Arial"/>
          <w:sz w:val="24"/>
          <w:szCs w:val="24"/>
        </w:rPr>
        <w:t>, se tuvo a la autoridad demandada Director General de la Oficina de Pensiones del Estado de Oaxaca, contestando en tiempo la demanda, además se señaló fecha y hora para el desahogo de la audiencia final</w:t>
      </w:r>
      <w:r w:rsidR="008926C1">
        <w:rPr>
          <w:rFonts w:ascii="Arial" w:hAnsi="Arial" w:cs="Arial"/>
          <w:sz w:val="24"/>
          <w:szCs w:val="24"/>
        </w:rPr>
        <w:t>, mismas que no pudo llevarse a cabo debido al cambio de titular de esta Sala</w:t>
      </w:r>
      <w:r w:rsidRPr="001042B6">
        <w:rPr>
          <w:rFonts w:ascii="Arial" w:hAnsi="Arial" w:cs="Arial"/>
          <w:sz w:val="24"/>
          <w:szCs w:val="24"/>
        </w:rPr>
        <w:t xml:space="preserve">. - - - - - - - - - - - - - - - - - - - - - - - - - - - - - - - - - - - - - - - - - - - - - - - - - - - </w:t>
      </w:r>
      <w:r>
        <w:rPr>
          <w:rFonts w:ascii="Arial" w:hAnsi="Arial" w:cs="Arial"/>
          <w:sz w:val="24"/>
          <w:szCs w:val="24"/>
        </w:rPr>
        <w:t xml:space="preserve">- </w:t>
      </w:r>
    </w:p>
    <w:p w14:paraId="15664504" w14:textId="77777777" w:rsidR="00C71882" w:rsidRDefault="007C7B26" w:rsidP="00C71882">
      <w:pPr>
        <w:spacing w:line="360" w:lineRule="auto"/>
        <w:ind w:firstLine="708"/>
        <w:jc w:val="both"/>
        <w:rPr>
          <w:rFonts w:ascii="Arial" w:hAnsi="Arial" w:cs="Arial"/>
          <w:sz w:val="24"/>
          <w:szCs w:val="24"/>
        </w:rPr>
      </w:pPr>
      <w:r w:rsidRPr="00724C0B">
        <w:rPr>
          <w:rFonts w:ascii="Arial" w:hAnsi="Arial" w:cs="Arial"/>
          <w:b/>
          <w:sz w:val="24"/>
          <w:szCs w:val="24"/>
        </w:rPr>
        <w:t xml:space="preserve">TERCERO.- </w:t>
      </w:r>
      <w:r w:rsidR="00C71882">
        <w:rPr>
          <w:rFonts w:ascii="Arial" w:hAnsi="Arial" w:cs="Arial"/>
          <w:sz w:val="24"/>
          <w:szCs w:val="24"/>
        </w:rPr>
        <w:t xml:space="preserve">Del diecinueve de marzo al siete de agosto de dos mil veinte, </w:t>
      </w:r>
      <w:r w:rsidR="00C71882"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C71882">
        <w:rPr>
          <w:rFonts w:ascii="Arial" w:hAnsi="Arial"/>
          <w:sz w:val="24"/>
          <w:szCs w:val="24"/>
        </w:rPr>
        <w:t>04/2020,</w:t>
      </w:r>
      <w:r w:rsidR="00C71882" w:rsidRPr="00BF3A56">
        <w:rPr>
          <w:rFonts w:ascii="Arial" w:hAnsi="Arial"/>
          <w:sz w:val="24"/>
          <w:szCs w:val="24"/>
        </w:rPr>
        <w:t xml:space="preserve"> </w:t>
      </w:r>
      <w:r w:rsidR="00C71882" w:rsidRPr="002D1853">
        <w:rPr>
          <w:rFonts w:ascii="Arial" w:hAnsi="Arial"/>
          <w:sz w:val="24"/>
          <w:szCs w:val="24"/>
        </w:rPr>
        <w:t>AG/TJAO/</w:t>
      </w:r>
      <w:r w:rsidR="00C71882">
        <w:rPr>
          <w:rFonts w:ascii="Arial" w:hAnsi="Arial"/>
          <w:sz w:val="24"/>
          <w:szCs w:val="24"/>
        </w:rPr>
        <w:t>05/2020,</w:t>
      </w:r>
      <w:r w:rsidR="00C71882" w:rsidRPr="00BF3A56">
        <w:rPr>
          <w:rFonts w:ascii="Arial" w:hAnsi="Arial"/>
          <w:sz w:val="24"/>
          <w:szCs w:val="24"/>
        </w:rPr>
        <w:t xml:space="preserve"> </w:t>
      </w:r>
      <w:r w:rsidR="00C71882" w:rsidRPr="002D1853">
        <w:rPr>
          <w:rFonts w:ascii="Arial" w:hAnsi="Arial"/>
          <w:sz w:val="24"/>
          <w:szCs w:val="24"/>
        </w:rPr>
        <w:t>AG/TJAO/</w:t>
      </w:r>
      <w:r w:rsidR="00C71882">
        <w:rPr>
          <w:rFonts w:ascii="Arial" w:hAnsi="Arial"/>
          <w:sz w:val="24"/>
          <w:szCs w:val="24"/>
        </w:rPr>
        <w:t xml:space="preserve">06/2020, </w:t>
      </w:r>
      <w:r w:rsidR="00C71882" w:rsidRPr="002D1853">
        <w:rPr>
          <w:rFonts w:ascii="Arial" w:hAnsi="Arial"/>
          <w:sz w:val="24"/>
          <w:szCs w:val="24"/>
        </w:rPr>
        <w:t>AG/TJAO/</w:t>
      </w:r>
      <w:r w:rsidR="00C71882">
        <w:rPr>
          <w:rFonts w:ascii="Arial" w:hAnsi="Arial"/>
          <w:sz w:val="24"/>
          <w:szCs w:val="24"/>
        </w:rPr>
        <w:t>08/2020,</w:t>
      </w:r>
      <w:r w:rsidR="00C71882" w:rsidRPr="00BF3A56">
        <w:rPr>
          <w:rFonts w:ascii="Arial" w:hAnsi="Arial"/>
          <w:sz w:val="24"/>
          <w:szCs w:val="24"/>
        </w:rPr>
        <w:t xml:space="preserve"> </w:t>
      </w:r>
      <w:r w:rsidR="00C71882" w:rsidRPr="002D1853">
        <w:rPr>
          <w:rFonts w:ascii="Arial" w:hAnsi="Arial"/>
          <w:sz w:val="24"/>
          <w:szCs w:val="24"/>
        </w:rPr>
        <w:t>AG/TJAO/</w:t>
      </w:r>
      <w:r w:rsidR="00C71882">
        <w:rPr>
          <w:rFonts w:ascii="Arial" w:hAnsi="Arial"/>
          <w:sz w:val="24"/>
          <w:szCs w:val="24"/>
        </w:rPr>
        <w:t>09/2020,</w:t>
      </w:r>
      <w:r w:rsidR="00C71882" w:rsidRPr="00BF3A56">
        <w:rPr>
          <w:rFonts w:ascii="Arial" w:hAnsi="Arial"/>
          <w:sz w:val="24"/>
          <w:szCs w:val="24"/>
        </w:rPr>
        <w:t xml:space="preserve"> </w:t>
      </w:r>
      <w:r w:rsidR="00C71882" w:rsidRPr="002D1853">
        <w:rPr>
          <w:rFonts w:ascii="Arial" w:hAnsi="Arial"/>
          <w:sz w:val="24"/>
          <w:szCs w:val="24"/>
        </w:rPr>
        <w:t>AG/TJAO/</w:t>
      </w:r>
      <w:r w:rsidR="00C71882">
        <w:rPr>
          <w:rFonts w:ascii="Arial" w:hAnsi="Arial"/>
          <w:sz w:val="24"/>
          <w:szCs w:val="24"/>
        </w:rPr>
        <w:t>10/2020,</w:t>
      </w:r>
      <w:r w:rsidR="00C71882" w:rsidRPr="00BF3A56">
        <w:rPr>
          <w:rFonts w:ascii="Arial" w:hAnsi="Arial"/>
          <w:sz w:val="24"/>
          <w:szCs w:val="24"/>
        </w:rPr>
        <w:t xml:space="preserve"> </w:t>
      </w:r>
      <w:r w:rsidR="00C71882" w:rsidRPr="002D1853">
        <w:rPr>
          <w:rFonts w:ascii="Arial" w:hAnsi="Arial"/>
          <w:sz w:val="24"/>
          <w:szCs w:val="24"/>
        </w:rPr>
        <w:t>AG/TJAO/</w:t>
      </w:r>
      <w:r w:rsidR="00C71882">
        <w:rPr>
          <w:rFonts w:ascii="Arial" w:hAnsi="Arial"/>
          <w:sz w:val="24"/>
          <w:szCs w:val="24"/>
        </w:rPr>
        <w:t xml:space="preserve">11/2020, y </w:t>
      </w:r>
      <w:r w:rsidR="00C71882" w:rsidRPr="002D1853">
        <w:rPr>
          <w:rFonts w:ascii="Arial" w:hAnsi="Arial"/>
          <w:sz w:val="24"/>
          <w:szCs w:val="24"/>
        </w:rPr>
        <w:t>AG/TJAO/</w:t>
      </w:r>
      <w:r w:rsidR="00C71882">
        <w:rPr>
          <w:rFonts w:ascii="Arial" w:hAnsi="Arial"/>
          <w:sz w:val="24"/>
          <w:szCs w:val="24"/>
        </w:rPr>
        <w:t>12/2020.</w:t>
      </w:r>
    </w:p>
    <w:p w14:paraId="0F725670" w14:textId="77777777" w:rsidR="00C71882" w:rsidRDefault="00C71882" w:rsidP="00C71882">
      <w:pPr>
        <w:spacing w:line="360" w:lineRule="auto"/>
        <w:ind w:firstLine="708"/>
        <w:jc w:val="both"/>
        <w:rPr>
          <w:rFonts w:ascii="Arial" w:hAnsi="Arial" w:cs="Arial"/>
          <w:sz w:val="24"/>
          <w:szCs w:val="24"/>
        </w:rPr>
      </w:pPr>
      <w:r>
        <w:rPr>
          <w:rFonts w:ascii="Arial" w:hAnsi="Arial" w:cs="Arial"/>
          <w:sz w:val="24"/>
          <w:szCs w:val="24"/>
        </w:rPr>
        <w:t>C</w:t>
      </w:r>
      <w:r w:rsidRPr="00415B61">
        <w:rPr>
          <w:rFonts w:ascii="Arial" w:hAnsi="Arial" w:cs="Arial"/>
          <w:sz w:val="24"/>
          <w:szCs w:val="24"/>
        </w:rPr>
        <w:t xml:space="preserve">on fecha </w:t>
      </w:r>
      <w:r>
        <w:rPr>
          <w:rFonts w:ascii="Arial" w:hAnsi="Arial" w:cs="Arial"/>
          <w:sz w:val="24"/>
          <w:szCs w:val="24"/>
        </w:rPr>
        <w:t>siete de septiembre de dos mil veinte (07/09/2020),</w:t>
      </w:r>
      <w:r w:rsidRPr="00415B61">
        <w:rPr>
          <w:rFonts w:ascii="Arial" w:hAnsi="Arial" w:cs="Arial"/>
          <w:sz w:val="24"/>
          <w:szCs w:val="24"/>
        </w:rPr>
        <w:t xml:space="preserve"> se hizo saber a las partes </w:t>
      </w:r>
      <w:r>
        <w:rPr>
          <w:rFonts w:ascii="Arial" w:hAnsi="Arial" w:cs="Arial"/>
          <w:sz w:val="24"/>
          <w:szCs w:val="24"/>
        </w:rPr>
        <w:t xml:space="preserve">la reasignación del personal de la tercera sala unitaria a la Sala Especializada en </w:t>
      </w:r>
      <w:r w:rsidR="00A761F4">
        <w:rPr>
          <w:rFonts w:ascii="Arial" w:hAnsi="Arial" w:cs="Arial"/>
          <w:sz w:val="24"/>
          <w:szCs w:val="24"/>
        </w:rPr>
        <w:t xml:space="preserve">Materia </w:t>
      </w:r>
      <w:r>
        <w:rPr>
          <w:rFonts w:ascii="Arial" w:hAnsi="Arial" w:cs="Arial"/>
          <w:sz w:val="24"/>
          <w:szCs w:val="24"/>
        </w:rPr>
        <w:t xml:space="preserve">de </w:t>
      </w:r>
      <w:r w:rsidR="00A761F4">
        <w:rPr>
          <w:rFonts w:ascii="Arial" w:hAnsi="Arial" w:cs="Arial"/>
          <w:sz w:val="24"/>
          <w:szCs w:val="24"/>
        </w:rPr>
        <w:t xml:space="preserve">Responsabilidad Administrativa </w:t>
      </w:r>
      <w:r>
        <w:rPr>
          <w:rFonts w:ascii="Arial" w:hAnsi="Arial" w:cs="Arial"/>
          <w:sz w:val="24"/>
          <w:szCs w:val="24"/>
        </w:rPr>
        <w:t xml:space="preserve">y </w:t>
      </w:r>
      <w:r w:rsidR="00A761F4">
        <w:rPr>
          <w:rFonts w:ascii="Arial" w:hAnsi="Arial" w:cs="Arial"/>
          <w:sz w:val="24"/>
          <w:szCs w:val="24"/>
        </w:rPr>
        <w:t xml:space="preserve">Combate </w:t>
      </w:r>
      <w:r>
        <w:rPr>
          <w:rFonts w:ascii="Arial" w:hAnsi="Arial" w:cs="Arial"/>
          <w:sz w:val="24"/>
          <w:szCs w:val="24"/>
        </w:rPr>
        <w:t xml:space="preserve">a la </w:t>
      </w:r>
      <w:r w:rsidR="00A761F4">
        <w:rPr>
          <w:rFonts w:ascii="Arial" w:hAnsi="Arial" w:cs="Arial"/>
          <w:sz w:val="24"/>
          <w:szCs w:val="24"/>
        </w:rPr>
        <w:t xml:space="preserve">Corrupción </w:t>
      </w:r>
      <w:r>
        <w:rPr>
          <w:rFonts w:ascii="Arial" w:hAnsi="Arial" w:cs="Arial"/>
          <w:sz w:val="24"/>
          <w:szCs w:val="24"/>
        </w:rPr>
        <w:t xml:space="preserve">de este mismo </w:t>
      </w:r>
      <w:r w:rsidR="00A761F4">
        <w:rPr>
          <w:rFonts w:ascii="Arial" w:hAnsi="Arial" w:cs="Arial"/>
          <w:sz w:val="24"/>
          <w:szCs w:val="24"/>
        </w:rPr>
        <w:t>Órgano Jurisdiccional</w:t>
      </w:r>
      <w:r>
        <w:rPr>
          <w:rFonts w:ascii="Arial" w:hAnsi="Arial" w:cs="Arial"/>
          <w:sz w:val="24"/>
          <w:szCs w:val="24"/>
        </w:rPr>
        <w:t>.</w:t>
      </w:r>
    </w:p>
    <w:p w14:paraId="306AD211" w14:textId="77777777" w:rsidR="00C71882" w:rsidRDefault="00C71882" w:rsidP="00C71882">
      <w:pPr>
        <w:spacing w:line="360" w:lineRule="auto"/>
        <w:ind w:firstLine="708"/>
        <w:jc w:val="both"/>
        <w:rPr>
          <w:rFonts w:ascii="Arial" w:hAnsi="Arial" w:cs="Arial"/>
          <w:sz w:val="24"/>
          <w:szCs w:val="24"/>
        </w:rPr>
      </w:pPr>
      <w:r>
        <w:rPr>
          <w:rFonts w:ascii="Arial" w:hAnsi="Arial" w:cs="Arial"/>
          <w:sz w:val="24"/>
          <w:szCs w:val="24"/>
        </w:rPr>
        <w:t>Del veintitrés de octubre al dos de noviembre de dos mil veinte,</w:t>
      </w:r>
      <w:r w:rsidRPr="00031F53">
        <w:rPr>
          <w:rFonts w:ascii="Arial" w:hAnsi="Arial"/>
          <w:sz w:val="24"/>
          <w:szCs w:val="24"/>
        </w:rPr>
        <w:t xml:space="preserve"> </w:t>
      </w:r>
      <w:r w:rsidRPr="002D1853">
        <w:rPr>
          <w:rFonts w:ascii="Arial" w:hAnsi="Arial"/>
          <w:sz w:val="24"/>
          <w:szCs w:val="24"/>
        </w:rPr>
        <w:t xml:space="preserve">fueron suspendidas las actividades en este Tribunal, como medida sanitaria </w:t>
      </w:r>
      <w:r w:rsidRPr="002D1853">
        <w:rPr>
          <w:rFonts w:ascii="Arial" w:hAnsi="Arial"/>
          <w:sz w:val="24"/>
          <w:szCs w:val="24"/>
        </w:rPr>
        <w:lastRenderedPageBreak/>
        <w:t>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0D09A5AE" w14:textId="77777777" w:rsidR="00C71882" w:rsidRDefault="00C71882" w:rsidP="00C71882">
      <w:pPr>
        <w:spacing w:line="360" w:lineRule="auto"/>
        <w:ind w:firstLine="708"/>
        <w:jc w:val="both"/>
        <w:rPr>
          <w:rFonts w:ascii="Arial" w:hAnsi="Arial"/>
          <w:sz w:val="24"/>
          <w:szCs w:val="24"/>
        </w:rPr>
      </w:pPr>
      <w:r>
        <w:rPr>
          <w:rFonts w:ascii="Arial" w:hAnsi="Arial"/>
          <w:sz w:val="24"/>
          <w:szCs w:val="24"/>
        </w:rPr>
        <w:t xml:space="preserve">El día quince de diciembre de dos mil veinte (15/12/2020) se señaló </w:t>
      </w:r>
      <w:r w:rsidR="00724C0B">
        <w:rPr>
          <w:rFonts w:ascii="Arial" w:hAnsi="Arial"/>
          <w:sz w:val="24"/>
          <w:szCs w:val="24"/>
        </w:rPr>
        <w:t xml:space="preserve">nueva </w:t>
      </w:r>
      <w:r>
        <w:rPr>
          <w:rFonts w:ascii="Arial" w:hAnsi="Arial"/>
          <w:sz w:val="24"/>
          <w:szCs w:val="24"/>
        </w:rPr>
        <w:t>fecha y hora para llevar a cabo la audiencia final en este asunto.</w:t>
      </w:r>
    </w:p>
    <w:p w14:paraId="4625ACF9" w14:textId="77777777" w:rsidR="00C71882" w:rsidRDefault="00C71882" w:rsidP="00C71882">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 correspondieron al segundo periodo vacacional de este Tribunal del año dos mil veinte, determinado mediante acuerdo de pleno AG/TJAO/01/2020, y del cinco de enero al doce de febrero de dos mil veintiuno,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w:t>
      </w:r>
      <w:r>
        <w:rPr>
          <w:rFonts w:ascii="Arial" w:hAnsi="Arial"/>
          <w:sz w:val="24"/>
          <w:szCs w:val="24"/>
        </w:rPr>
        <w:t>ron términos y plazos procesales.- - - - - - - - - - - - - - - - - - - - - - - - - - - -</w:t>
      </w:r>
    </w:p>
    <w:p w14:paraId="2E699F1B" w14:textId="77777777" w:rsidR="00C71882" w:rsidRPr="001042B6" w:rsidRDefault="00C71882" w:rsidP="00C71882">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sidRPr="001042B6">
        <w:rPr>
          <w:rFonts w:ascii="Arial" w:hAnsi="Arial" w:cs="Arial"/>
          <w:b/>
          <w:sz w:val="24"/>
          <w:szCs w:val="24"/>
        </w:rPr>
        <w:t xml:space="preserve">.- </w:t>
      </w:r>
      <w:r w:rsidRPr="001042B6">
        <w:rPr>
          <w:rFonts w:ascii="Arial" w:hAnsi="Arial" w:cs="Arial"/>
          <w:sz w:val="24"/>
          <w:szCs w:val="24"/>
        </w:rPr>
        <w:t xml:space="preserve">El </w:t>
      </w:r>
      <w:r w:rsidR="00580999">
        <w:rPr>
          <w:rFonts w:ascii="Arial" w:hAnsi="Arial" w:cs="Arial"/>
          <w:sz w:val="24"/>
          <w:szCs w:val="24"/>
        </w:rPr>
        <w:t>diez de marzo de dos mil veintiuno (10/03/2021),</w:t>
      </w:r>
      <w:r>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w:t>
      </w:r>
    </w:p>
    <w:p w14:paraId="25098FB3"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ADA850A"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2C2EC79F"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Los medios probatorios que ofrecieron las partes, se valoran en términos de lo dispuesto en el artículo 203 de la Ley de </w:t>
      </w:r>
      <w:r w:rsidRPr="001042B6">
        <w:rPr>
          <w:rFonts w:ascii="Arial" w:hAnsi="Arial" w:cs="Arial"/>
          <w:sz w:val="24"/>
          <w:szCs w:val="24"/>
        </w:rPr>
        <w:lastRenderedPageBreak/>
        <w:t>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9ACE353" w14:textId="0955E6B6" w:rsidR="00EE602E" w:rsidRPr="00E75DD4" w:rsidRDefault="007C7B26" w:rsidP="007C7B26">
      <w:pPr>
        <w:spacing w:line="360" w:lineRule="auto"/>
        <w:ind w:firstLine="708"/>
        <w:jc w:val="both"/>
        <w:rPr>
          <w:rFonts w:ascii="Arial" w:hAnsi="Arial" w:cs="Arial"/>
          <w:b/>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E047B8">
        <w:rPr>
          <w:rFonts w:ascii="Arial" w:hAnsi="Arial" w:cs="Arial"/>
          <w:sz w:val="24"/>
          <w:szCs w:val="24"/>
        </w:rPr>
        <w:t>***** ***** ***** *****</w:t>
      </w:r>
      <w:r w:rsidRPr="001042B6">
        <w:rPr>
          <w:rFonts w:ascii="Arial" w:hAnsi="Arial" w:cs="Arial"/>
          <w:sz w:val="24"/>
          <w:szCs w:val="24"/>
        </w:rPr>
        <w:t>, consiste en</w:t>
      </w:r>
      <w:r w:rsidR="006F1BDC">
        <w:rPr>
          <w:rFonts w:ascii="Arial" w:hAnsi="Arial" w:cs="Arial"/>
          <w:sz w:val="24"/>
          <w:szCs w:val="24"/>
        </w:rPr>
        <w:t xml:space="preserve">: </w:t>
      </w:r>
      <w:r w:rsidR="006F1BDC" w:rsidRPr="00EE602E">
        <w:rPr>
          <w:rFonts w:ascii="Arial" w:hAnsi="Arial" w:cs="Arial"/>
          <w:b/>
          <w:sz w:val="24"/>
          <w:szCs w:val="24"/>
        </w:rPr>
        <w:t>1.-</w:t>
      </w:r>
      <w:r w:rsidR="00160131">
        <w:rPr>
          <w:rFonts w:ascii="Arial" w:hAnsi="Arial" w:cs="Arial"/>
          <w:sz w:val="24"/>
          <w:szCs w:val="24"/>
        </w:rPr>
        <w:t xml:space="preserve"> Original de oficio número </w:t>
      </w:r>
      <w:r w:rsidR="00E047B8">
        <w:rPr>
          <w:rFonts w:ascii="Arial" w:hAnsi="Arial" w:cs="Arial"/>
          <w:sz w:val="24"/>
          <w:szCs w:val="24"/>
        </w:rPr>
        <w:t>OP/DG/DPE/****/2019</w:t>
      </w:r>
      <w:r w:rsidR="00160131">
        <w:rPr>
          <w:rFonts w:ascii="Arial" w:hAnsi="Arial" w:cs="Arial"/>
          <w:sz w:val="24"/>
          <w:szCs w:val="24"/>
        </w:rPr>
        <w:t xml:space="preserve">, fechado el </w:t>
      </w:r>
      <w:r w:rsidR="00E047B8">
        <w:rPr>
          <w:rFonts w:ascii="Arial" w:hAnsi="Arial" w:cs="Arial"/>
          <w:sz w:val="24"/>
          <w:szCs w:val="24"/>
        </w:rPr>
        <w:t>***** de ***** de dos mil diecinueve (**/**/2019)</w:t>
      </w:r>
      <w:r w:rsidR="00EE602E">
        <w:rPr>
          <w:rFonts w:ascii="Arial" w:hAnsi="Arial" w:cs="Arial"/>
          <w:sz w:val="24"/>
          <w:szCs w:val="24"/>
        </w:rPr>
        <w:t>,</w:t>
      </w:r>
      <w:r w:rsidR="00160131">
        <w:rPr>
          <w:rFonts w:ascii="Arial" w:hAnsi="Arial" w:cs="Arial"/>
          <w:sz w:val="24"/>
          <w:szCs w:val="24"/>
        </w:rPr>
        <w:t xml:space="preserve"> suscrito Por el Director General de la Oficina de Pensiones del Estado de Oaxaca (acto impugnado); </w:t>
      </w:r>
      <w:r w:rsidR="00160131" w:rsidRPr="00EE602E">
        <w:rPr>
          <w:rFonts w:ascii="Arial" w:hAnsi="Arial" w:cs="Arial"/>
          <w:b/>
          <w:sz w:val="24"/>
          <w:szCs w:val="24"/>
        </w:rPr>
        <w:t>2.-</w:t>
      </w:r>
      <w:r w:rsidR="00160131">
        <w:rPr>
          <w:rFonts w:ascii="Arial" w:hAnsi="Arial" w:cs="Arial"/>
          <w:sz w:val="24"/>
          <w:szCs w:val="24"/>
        </w:rPr>
        <w:t xml:space="preserve"> </w:t>
      </w:r>
      <w:r w:rsidR="00EE602E">
        <w:rPr>
          <w:rFonts w:ascii="Arial" w:hAnsi="Arial" w:cs="Arial"/>
          <w:sz w:val="24"/>
          <w:szCs w:val="24"/>
        </w:rPr>
        <w:t xml:space="preserve">Escrito que contiene un sello original de recibido plasmado por el Departamento de Prestaciones Económicas del Fondo de Pensiones, de la Dirección General de Pensiones del Estado de Oaxaca de fecha nueve de diciembre de dos mil diecinueve (09/12/20219), a través del cual la actora solicitó al Director General de la Oficina de Pensiones la devolución de sus aportaciones al fondo de pensiones; </w:t>
      </w:r>
      <w:r w:rsidR="00EE602E">
        <w:rPr>
          <w:rFonts w:ascii="Arial" w:hAnsi="Arial" w:cs="Arial"/>
          <w:b/>
          <w:sz w:val="24"/>
          <w:szCs w:val="24"/>
        </w:rPr>
        <w:t>3.-</w:t>
      </w:r>
      <w:r w:rsidR="002829CD">
        <w:rPr>
          <w:rFonts w:ascii="Arial" w:hAnsi="Arial" w:cs="Arial"/>
          <w:sz w:val="24"/>
          <w:szCs w:val="24"/>
        </w:rPr>
        <w:t xml:space="preserve"> Copia simple de nombramiento expedido a favor de la actora; </w:t>
      </w:r>
      <w:r w:rsidR="002829CD">
        <w:rPr>
          <w:rFonts w:ascii="Arial" w:hAnsi="Arial" w:cs="Arial"/>
          <w:b/>
          <w:sz w:val="24"/>
          <w:szCs w:val="24"/>
        </w:rPr>
        <w:t xml:space="preserve">4.- </w:t>
      </w:r>
      <w:r w:rsidR="002829CD">
        <w:rPr>
          <w:rFonts w:ascii="Arial" w:hAnsi="Arial" w:cs="Arial"/>
          <w:sz w:val="24"/>
          <w:szCs w:val="24"/>
        </w:rPr>
        <w:t xml:space="preserve">Original de constancia de no adeudos, expedida a favor de la actora por el Director de Recursos Humanos de la Secretaría de Administración del Gobierno del Estado; </w:t>
      </w:r>
      <w:r w:rsidR="002829CD">
        <w:rPr>
          <w:rFonts w:ascii="Arial" w:hAnsi="Arial" w:cs="Arial"/>
          <w:b/>
          <w:sz w:val="24"/>
          <w:szCs w:val="24"/>
        </w:rPr>
        <w:t xml:space="preserve">5.- </w:t>
      </w:r>
      <w:r w:rsidR="00D65ECF" w:rsidRPr="00D65ECF">
        <w:rPr>
          <w:rFonts w:ascii="Arial" w:hAnsi="Arial" w:cs="Arial"/>
          <w:sz w:val="24"/>
          <w:szCs w:val="24"/>
        </w:rPr>
        <w:t>Copia simple de constancia de antigüedad expedida a favor de la actora por el Jefe de la Unidad de Recursos Humanos del Consejo de la Judicatura del Poder Judicial del Estado</w:t>
      </w:r>
      <w:r w:rsidR="00D65ECF">
        <w:rPr>
          <w:rFonts w:ascii="Arial" w:hAnsi="Arial" w:cs="Arial"/>
          <w:b/>
          <w:sz w:val="24"/>
          <w:szCs w:val="24"/>
        </w:rPr>
        <w:t xml:space="preserve">; </w:t>
      </w:r>
      <w:r w:rsidR="00E75DD4">
        <w:rPr>
          <w:rFonts w:ascii="Arial" w:hAnsi="Arial" w:cs="Arial"/>
          <w:b/>
          <w:sz w:val="24"/>
          <w:szCs w:val="24"/>
        </w:rPr>
        <w:t xml:space="preserve">6.- </w:t>
      </w:r>
      <w:r w:rsidR="00E75DD4">
        <w:rPr>
          <w:rFonts w:ascii="Arial" w:hAnsi="Arial" w:cs="Arial"/>
          <w:sz w:val="24"/>
          <w:szCs w:val="24"/>
        </w:rPr>
        <w:t xml:space="preserve">Original de constancia de no reincorporación expedida a favor de la actora por la Jefa de la Unidad de Servicios al Personal de la Dirección de Recursos Humanos de la Secretaría de Administración del Gobierno del Estado de Oaxaca; </w:t>
      </w:r>
      <w:r w:rsidR="00E75DD4">
        <w:rPr>
          <w:rFonts w:ascii="Arial" w:hAnsi="Arial" w:cs="Arial"/>
          <w:b/>
          <w:sz w:val="24"/>
          <w:szCs w:val="24"/>
        </w:rPr>
        <w:t xml:space="preserve">7.- </w:t>
      </w:r>
      <w:r w:rsidR="00E75DD4">
        <w:rPr>
          <w:rFonts w:ascii="Arial" w:hAnsi="Arial" w:cs="Arial"/>
          <w:sz w:val="24"/>
          <w:szCs w:val="24"/>
        </w:rPr>
        <w:t xml:space="preserve">Copia simple de baja, expedida a favor de la actora por el Director de Administración del Consejo de la Judicatura del Gobierno del Estado de Oaxaca; </w:t>
      </w:r>
      <w:r w:rsidR="00E75DD4">
        <w:rPr>
          <w:rFonts w:ascii="Arial" w:hAnsi="Arial" w:cs="Arial"/>
          <w:b/>
          <w:sz w:val="24"/>
          <w:szCs w:val="24"/>
        </w:rPr>
        <w:t xml:space="preserve">8.- </w:t>
      </w:r>
      <w:r w:rsidR="00E75DD4" w:rsidRPr="00E75DD4">
        <w:rPr>
          <w:rFonts w:ascii="Arial" w:hAnsi="Arial" w:cs="Arial"/>
          <w:sz w:val="24"/>
          <w:szCs w:val="24"/>
        </w:rPr>
        <w:t>Copia simple de recibo</w:t>
      </w:r>
      <w:r w:rsidR="00E75DD4">
        <w:rPr>
          <w:rFonts w:ascii="Arial" w:hAnsi="Arial" w:cs="Arial"/>
          <w:b/>
          <w:sz w:val="24"/>
          <w:szCs w:val="24"/>
        </w:rPr>
        <w:t xml:space="preserve"> </w:t>
      </w:r>
      <w:r w:rsidR="00E75DD4" w:rsidRPr="00EE2CBC">
        <w:rPr>
          <w:rFonts w:ascii="Arial" w:hAnsi="Arial" w:cs="Arial"/>
          <w:sz w:val="24"/>
          <w:szCs w:val="24"/>
        </w:rPr>
        <w:t>de nómina expedido a favor de la actora correspondiente a la primera quincena de marzo de dos mil dieciocho</w:t>
      </w:r>
      <w:r w:rsidR="00E75DD4">
        <w:rPr>
          <w:rFonts w:ascii="Arial" w:hAnsi="Arial" w:cs="Arial"/>
          <w:b/>
          <w:sz w:val="24"/>
          <w:szCs w:val="24"/>
        </w:rPr>
        <w:t xml:space="preserve">; 9.- </w:t>
      </w:r>
      <w:r w:rsidR="00E75DD4" w:rsidRPr="00EE2CBC">
        <w:rPr>
          <w:rFonts w:ascii="Arial" w:hAnsi="Arial" w:cs="Arial"/>
          <w:sz w:val="24"/>
          <w:szCs w:val="24"/>
        </w:rPr>
        <w:t xml:space="preserve">Copia simple de cedula profesional con número de folio </w:t>
      </w:r>
      <w:r w:rsidR="00E047B8">
        <w:rPr>
          <w:rFonts w:ascii="Arial" w:hAnsi="Arial" w:cs="Arial"/>
          <w:sz w:val="24"/>
          <w:szCs w:val="24"/>
        </w:rPr>
        <w:t>*****</w:t>
      </w:r>
      <w:r w:rsidR="00E75DD4" w:rsidRPr="00EE2CBC">
        <w:rPr>
          <w:rFonts w:ascii="Arial" w:hAnsi="Arial" w:cs="Arial"/>
          <w:sz w:val="24"/>
          <w:szCs w:val="24"/>
        </w:rPr>
        <w:t xml:space="preserve">, expedida a favor de la actora por la </w:t>
      </w:r>
      <w:r w:rsidR="00EE2CBC" w:rsidRPr="00EE2CBC">
        <w:rPr>
          <w:rFonts w:ascii="Arial" w:hAnsi="Arial" w:cs="Arial"/>
          <w:sz w:val="24"/>
          <w:szCs w:val="24"/>
        </w:rPr>
        <w:t>Dirección</w:t>
      </w:r>
      <w:r w:rsidR="00E75DD4" w:rsidRPr="00EE2CBC">
        <w:rPr>
          <w:rFonts w:ascii="Arial" w:hAnsi="Arial" w:cs="Arial"/>
          <w:sz w:val="24"/>
          <w:szCs w:val="24"/>
        </w:rPr>
        <w:t xml:space="preserve"> </w:t>
      </w:r>
      <w:r w:rsidR="00EE2CBC" w:rsidRPr="00EE2CBC">
        <w:rPr>
          <w:rFonts w:ascii="Arial" w:hAnsi="Arial" w:cs="Arial"/>
          <w:sz w:val="24"/>
          <w:szCs w:val="24"/>
        </w:rPr>
        <w:t>General de Profesiones de la Secretaría de Educación Pública.</w:t>
      </w:r>
    </w:p>
    <w:p w14:paraId="1899A259" w14:textId="05353FD9" w:rsidR="003F4235"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Gobierno del Estado, </w:t>
      </w:r>
      <w:r w:rsidR="003F4235">
        <w:rPr>
          <w:rFonts w:ascii="Arial" w:hAnsi="Arial" w:cs="Arial"/>
          <w:sz w:val="24"/>
          <w:szCs w:val="24"/>
        </w:rPr>
        <w:t xml:space="preserve">se le admitió como prueba en este asunto el Original del oficio número </w:t>
      </w:r>
      <w:r w:rsidR="00E047B8">
        <w:rPr>
          <w:rFonts w:ascii="Arial" w:hAnsi="Arial" w:cs="Arial"/>
          <w:sz w:val="24"/>
          <w:szCs w:val="24"/>
        </w:rPr>
        <w:t>OP/DG/DPE/****/2019</w:t>
      </w:r>
      <w:r w:rsidR="003F4235">
        <w:rPr>
          <w:rFonts w:ascii="Arial" w:hAnsi="Arial" w:cs="Arial"/>
          <w:sz w:val="24"/>
          <w:szCs w:val="24"/>
        </w:rPr>
        <w:t xml:space="preserve">, fechado el </w:t>
      </w:r>
      <w:r w:rsidR="00E047B8">
        <w:rPr>
          <w:rFonts w:ascii="Arial" w:hAnsi="Arial" w:cs="Arial"/>
          <w:sz w:val="24"/>
          <w:szCs w:val="24"/>
        </w:rPr>
        <w:t>***** de ***** de dos mil diecinueve (**/**/2019)</w:t>
      </w:r>
      <w:r w:rsidR="003F4235">
        <w:rPr>
          <w:rFonts w:ascii="Arial" w:hAnsi="Arial" w:cs="Arial"/>
          <w:sz w:val="24"/>
          <w:szCs w:val="24"/>
        </w:rPr>
        <w:t xml:space="preserve">, suscrito por el Director </w:t>
      </w:r>
      <w:r w:rsidR="003F4235">
        <w:rPr>
          <w:rFonts w:ascii="Arial" w:hAnsi="Arial" w:cs="Arial"/>
          <w:sz w:val="24"/>
          <w:szCs w:val="24"/>
        </w:rPr>
        <w:lastRenderedPageBreak/>
        <w:t>General de la Oficina de Pensiones del Estado de Oaxaca (acto impugnado) que ofreció la actora.</w:t>
      </w:r>
    </w:p>
    <w:p w14:paraId="58F5F6D7" w14:textId="77777777" w:rsidR="00BE1154" w:rsidRDefault="007C7B26" w:rsidP="00BE1154">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BE1154">
        <w:rPr>
          <w:rFonts w:ascii="Arial" w:hAnsi="Arial" w:cs="Arial"/>
          <w:sz w:val="24"/>
          <w:szCs w:val="24"/>
        </w:rPr>
        <w:t>documento</w:t>
      </w:r>
      <w:r w:rsidR="003F4235">
        <w:rPr>
          <w:rFonts w:ascii="Arial" w:hAnsi="Arial" w:cs="Arial"/>
          <w:sz w:val="24"/>
          <w:szCs w:val="24"/>
        </w:rPr>
        <w:t>s</w:t>
      </w:r>
      <w:r w:rsidR="00BE1154">
        <w:rPr>
          <w:rFonts w:ascii="Arial" w:hAnsi="Arial" w:cs="Arial"/>
          <w:sz w:val="24"/>
          <w:szCs w:val="24"/>
        </w:rPr>
        <w:t xml:space="preserve"> original</w:t>
      </w:r>
      <w:r w:rsidR="003F4235">
        <w:rPr>
          <w:rFonts w:ascii="Arial" w:hAnsi="Arial" w:cs="Arial"/>
          <w:sz w:val="24"/>
          <w:szCs w:val="24"/>
        </w:rPr>
        <w:t>es</w:t>
      </w:r>
      <w:r w:rsidR="00BE1154">
        <w:rPr>
          <w:rFonts w:ascii="Arial" w:hAnsi="Arial" w:cs="Arial"/>
          <w:sz w:val="24"/>
          <w:szCs w:val="24"/>
        </w:rPr>
        <w:t xml:space="preserve"> remitido por l</w:t>
      </w:r>
      <w:r w:rsidR="003F4235">
        <w:rPr>
          <w:rFonts w:ascii="Arial" w:hAnsi="Arial" w:cs="Arial"/>
          <w:sz w:val="24"/>
          <w:szCs w:val="24"/>
        </w:rPr>
        <w:t>a</w:t>
      </w:r>
      <w:r w:rsidR="00BE1154">
        <w:rPr>
          <w:rFonts w:ascii="Arial" w:hAnsi="Arial" w:cs="Arial"/>
          <w:sz w:val="24"/>
          <w:szCs w:val="24"/>
        </w:rPr>
        <w:t xml:space="preserve"> actor</w:t>
      </w:r>
      <w:r w:rsidR="003F4235">
        <w:rPr>
          <w:rFonts w:ascii="Arial" w:hAnsi="Arial" w:cs="Arial"/>
          <w:sz w:val="24"/>
          <w:szCs w:val="24"/>
        </w:rPr>
        <w:t>a</w:t>
      </w:r>
      <w:r w:rsidR="00BE1154">
        <w:rPr>
          <w:rFonts w:ascii="Arial" w:hAnsi="Arial" w:cs="Arial"/>
          <w:sz w:val="24"/>
          <w:szCs w:val="24"/>
        </w:rPr>
        <w:t>,</w:t>
      </w:r>
      <w:r w:rsidRPr="001042B6">
        <w:rPr>
          <w:rFonts w:ascii="Arial" w:hAnsi="Arial" w:cs="Arial"/>
          <w:sz w:val="24"/>
          <w:szCs w:val="24"/>
        </w:rPr>
        <w:t xml:space="preserve"> tiene </w:t>
      </w:r>
      <w:r w:rsidRPr="001042B6">
        <w:rPr>
          <w:rFonts w:ascii="Arial" w:hAnsi="Arial" w:cs="Arial"/>
          <w:b/>
          <w:sz w:val="24"/>
          <w:szCs w:val="24"/>
        </w:rPr>
        <w:t>valor probatorio pleno</w:t>
      </w:r>
      <w:r w:rsidRPr="001042B6">
        <w:rPr>
          <w:rFonts w:ascii="Arial" w:hAnsi="Arial" w:cs="Arial"/>
          <w:sz w:val="24"/>
          <w:szCs w:val="24"/>
        </w:rPr>
        <w:t>, porque en el</w:t>
      </w:r>
      <w:r w:rsidR="003F4235">
        <w:rPr>
          <w:rFonts w:ascii="Arial" w:hAnsi="Arial" w:cs="Arial"/>
          <w:sz w:val="24"/>
          <w:szCs w:val="24"/>
        </w:rPr>
        <w:t>los</w:t>
      </w:r>
      <w:r w:rsidRPr="001042B6">
        <w:rPr>
          <w:rFonts w:ascii="Arial" w:hAnsi="Arial" w:cs="Arial"/>
          <w:sz w:val="24"/>
          <w:szCs w:val="24"/>
        </w:rPr>
        <w:t xml:space="preserve"> aparece</w:t>
      </w:r>
      <w:r w:rsidR="003F4235">
        <w:rPr>
          <w:rFonts w:ascii="Arial" w:hAnsi="Arial" w:cs="Arial"/>
          <w:sz w:val="24"/>
          <w:szCs w:val="24"/>
        </w:rPr>
        <w:t>n</w:t>
      </w:r>
      <w:r w:rsidRPr="001042B6">
        <w:rPr>
          <w:rFonts w:ascii="Arial" w:hAnsi="Arial" w:cs="Arial"/>
          <w:sz w:val="24"/>
          <w:szCs w:val="24"/>
        </w:rPr>
        <w:t xml:space="preserve"> l</w:t>
      </w:r>
      <w:r w:rsidR="003F4235">
        <w:rPr>
          <w:rFonts w:ascii="Arial" w:hAnsi="Arial" w:cs="Arial"/>
          <w:sz w:val="24"/>
          <w:szCs w:val="24"/>
        </w:rPr>
        <w:t>os</w:t>
      </w:r>
      <w:r w:rsidRPr="001042B6">
        <w:rPr>
          <w:rFonts w:ascii="Arial" w:hAnsi="Arial" w:cs="Arial"/>
          <w:sz w:val="24"/>
          <w:szCs w:val="24"/>
        </w:rPr>
        <w:t xml:space="preserve"> nombre</w:t>
      </w:r>
      <w:r w:rsidR="003F4235">
        <w:rPr>
          <w:rFonts w:ascii="Arial" w:hAnsi="Arial" w:cs="Arial"/>
          <w:sz w:val="24"/>
          <w:szCs w:val="24"/>
        </w:rPr>
        <w:t>s</w:t>
      </w:r>
      <w:r w:rsidRPr="001042B6">
        <w:rPr>
          <w:rFonts w:ascii="Arial" w:hAnsi="Arial" w:cs="Arial"/>
          <w:sz w:val="24"/>
          <w:szCs w:val="24"/>
        </w:rPr>
        <w:t xml:space="preserve"> de</w:t>
      </w:r>
      <w:r w:rsidR="003F4235">
        <w:rPr>
          <w:rFonts w:ascii="Arial" w:hAnsi="Arial" w:cs="Arial"/>
          <w:sz w:val="24"/>
          <w:szCs w:val="24"/>
        </w:rPr>
        <w:t xml:space="preserve"> </w:t>
      </w:r>
      <w:r w:rsidRPr="001042B6">
        <w:rPr>
          <w:rFonts w:ascii="Arial" w:hAnsi="Arial" w:cs="Arial"/>
          <w:sz w:val="24"/>
          <w:szCs w:val="24"/>
        </w:rPr>
        <w:t>l</w:t>
      </w:r>
      <w:r w:rsidR="003F4235">
        <w:rPr>
          <w:rFonts w:ascii="Arial" w:hAnsi="Arial" w:cs="Arial"/>
          <w:sz w:val="24"/>
          <w:szCs w:val="24"/>
        </w:rPr>
        <w:t>os</w:t>
      </w:r>
      <w:r w:rsidRPr="001042B6">
        <w:rPr>
          <w:rFonts w:ascii="Arial" w:hAnsi="Arial" w:cs="Arial"/>
          <w:sz w:val="24"/>
          <w:szCs w:val="24"/>
        </w:rPr>
        <w:t xml:space="preserve"> servidor</w:t>
      </w:r>
      <w:r w:rsidR="003F4235">
        <w:rPr>
          <w:rFonts w:ascii="Arial" w:hAnsi="Arial" w:cs="Arial"/>
          <w:sz w:val="24"/>
          <w:szCs w:val="24"/>
        </w:rPr>
        <w:t>es</w:t>
      </w:r>
      <w:r w:rsidRPr="001042B6">
        <w:rPr>
          <w:rFonts w:ascii="Arial" w:hAnsi="Arial" w:cs="Arial"/>
          <w:sz w:val="24"/>
          <w:szCs w:val="24"/>
        </w:rPr>
        <w:t xml:space="preserve"> público</w:t>
      </w:r>
      <w:r w:rsidR="003F4235">
        <w:rPr>
          <w:rFonts w:ascii="Arial" w:hAnsi="Arial" w:cs="Arial"/>
          <w:sz w:val="24"/>
          <w:szCs w:val="24"/>
        </w:rPr>
        <w:t>s</w:t>
      </w:r>
      <w:r w:rsidRPr="001042B6">
        <w:rPr>
          <w:rFonts w:ascii="Arial" w:hAnsi="Arial" w:cs="Arial"/>
          <w:sz w:val="24"/>
          <w:szCs w:val="24"/>
        </w:rPr>
        <w:t xml:space="preserve"> que lo</w:t>
      </w:r>
      <w:r w:rsidR="003F4235">
        <w:rPr>
          <w:rFonts w:ascii="Arial" w:hAnsi="Arial" w:cs="Arial"/>
          <w:sz w:val="24"/>
          <w:szCs w:val="24"/>
        </w:rPr>
        <w:t>s</w:t>
      </w:r>
      <w:r w:rsidRPr="001042B6">
        <w:rPr>
          <w:rFonts w:ascii="Arial" w:hAnsi="Arial" w:cs="Arial"/>
          <w:sz w:val="24"/>
          <w:szCs w:val="24"/>
        </w:rPr>
        <w:t xml:space="preserve"> emiti</w:t>
      </w:r>
      <w:r w:rsidR="003F4235">
        <w:rPr>
          <w:rFonts w:ascii="Arial" w:hAnsi="Arial" w:cs="Arial"/>
          <w:sz w:val="24"/>
          <w:szCs w:val="24"/>
        </w:rPr>
        <w:t>eron</w:t>
      </w:r>
      <w:r w:rsidRPr="001042B6">
        <w:rPr>
          <w:rFonts w:ascii="Arial" w:hAnsi="Arial" w:cs="Arial"/>
          <w:sz w:val="24"/>
          <w:szCs w:val="24"/>
        </w:rPr>
        <w:t>, además de</w:t>
      </w:r>
      <w:r w:rsidR="003F4235">
        <w:rPr>
          <w:rFonts w:ascii="Arial" w:hAnsi="Arial" w:cs="Arial"/>
          <w:sz w:val="24"/>
          <w:szCs w:val="24"/>
        </w:rPr>
        <w:t xml:space="preserve"> su </w:t>
      </w:r>
      <w:r w:rsidRPr="001042B6">
        <w:rPr>
          <w:rFonts w:ascii="Arial" w:hAnsi="Arial" w:cs="Arial"/>
          <w:sz w:val="24"/>
          <w:szCs w:val="24"/>
        </w:rPr>
        <w:t>firma y sello de la dependencia a la que pertenecen</w:t>
      </w:r>
      <w:r w:rsidR="00BE1154">
        <w:rPr>
          <w:rFonts w:ascii="Arial" w:hAnsi="Arial" w:cs="Arial"/>
          <w:sz w:val="24"/>
          <w:szCs w:val="24"/>
        </w:rPr>
        <w:t>, de ahí la convicción sobre su existencia y la verdad de su contenido.</w:t>
      </w:r>
    </w:p>
    <w:p w14:paraId="6F0B6D05" w14:textId="77777777" w:rsidR="00AD390C" w:rsidRPr="00DF7C84" w:rsidRDefault="00BE1154" w:rsidP="003F4235">
      <w:pPr>
        <w:spacing w:line="360" w:lineRule="auto"/>
        <w:ind w:firstLine="708"/>
        <w:jc w:val="both"/>
        <w:rPr>
          <w:rFonts w:ascii="Arial" w:hAnsi="Arial" w:cs="Arial"/>
          <w:sz w:val="24"/>
        </w:rPr>
      </w:pPr>
      <w:r>
        <w:rPr>
          <w:rFonts w:ascii="Arial" w:hAnsi="Arial" w:cs="Arial"/>
          <w:sz w:val="24"/>
          <w:szCs w:val="24"/>
        </w:rPr>
        <w:t xml:space="preserve">Respecto a las copias simples también remitidas por la parte actora, </w:t>
      </w:r>
      <w:r w:rsidR="008E3CC6">
        <w:rPr>
          <w:rFonts w:ascii="Arial" w:hAnsi="Arial" w:cs="Arial"/>
          <w:sz w:val="24"/>
          <w:szCs w:val="24"/>
        </w:rPr>
        <w:t xml:space="preserve">se les concede </w:t>
      </w:r>
      <w:r w:rsidR="008E3CC6" w:rsidRPr="00CE780B">
        <w:rPr>
          <w:rFonts w:ascii="Arial" w:hAnsi="Arial" w:cs="Arial"/>
          <w:b/>
          <w:sz w:val="24"/>
          <w:szCs w:val="24"/>
        </w:rPr>
        <w:t>valor probatorio indiciario</w:t>
      </w:r>
      <w:r w:rsidR="008E3CC6">
        <w:rPr>
          <w:rFonts w:ascii="Arial" w:hAnsi="Arial" w:cs="Arial"/>
          <w:sz w:val="24"/>
          <w:szCs w:val="24"/>
        </w:rPr>
        <w:t xml:space="preserve">, pues </w:t>
      </w:r>
      <w:r w:rsidR="003F4235">
        <w:rPr>
          <w:rFonts w:ascii="Arial" w:hAnsi="Arial" w:cs="Arial"/>
          <w:sz w:val="24"/>
          <w:szCs w:val="24"/>
        </w:rPr>
        <w:t xml:space="preserve">no </w:t>
      </w:r>
      <w:r w:rsidR="008E3CC6">
        <w:rPr>
          <w:rFonts w:ascii="Arial" w:hAnsi="Arial" w:cs="Arial"/>
          <w:sz w:val="24"/>
          <w:szCs w:val="24"/>
        </w:rPr>
        <w:t>se trata</w:t>
      </w:r>
      <w:r w:rsidR="003F4235">
        <w:rPr>
          <w:rFonts w:ascii="Arial" w:hAnsi="Arial" w:cs="Arial"/>
          <w:sz w:val="24"/>
          <w:szCs w:val="24"/>
        </w:rPr>
        <w:t xml:space="preserve"> de</w:t>
      </w:r>
      <w:r w:rsidR="008E3CC6">
        <w:rPr>
          <w:rFonts w:ascii="Arial" w:hAnsi="Arial" w:cs="Arial"/>
          <w:sz w:val="24"/>
          <w:szCs w:val="24"/>
        </w:rPr>
        <w:t xml:space="preserve"> documentos</w:t>
      </w:r>
      <w:r w:rsidR="003F4235">
        <w:rPr>
          <w:rFonts w:ascii="Arial" w:hAnsi="Arial" w:cs="Arial"/>
          <w:sz w:val="24"/>
          <w:szCs w:val="24"/>
        </w:rPr>
        <w:t xml:space="preserve"> aislados, por el contrario, se encuentran concatenados con los documentos originales remitidos también por la actora, pues dichos documentos se encuentran descritos en el oficio que aquí se impugna, ya que estos corresponden al trámite efectuado por la actora para solicitar la devolución de las aportaciones que efectuó al fondo de pensiones de ahí el valor otorgado</w:t>
      </w:r>
      <w:r w:rsidR="00CE780B">
        <w:rPr>
          <w:rFonts w:ascii="Arial" w:hAnsi="Arial" w:cs="Arial"/>
          <w:sz w:val="24"/>
          <w:szCs w:val="24"/>
        </w:rPr>
        <w:t xml:space="preserve">. Sirve de apoyo a lo anterior la Jurisprudencia con datos de identificación: </w:t>
      </w:r>
      <w:r w:rsidR="00AD390C" w:rsidRPr="007A5B5E">
        <w:rPr>
          <w:rFonts w:ascii="Arial" w:hAnsi="Arial" w:cs="Arial"/>
          <w:sz w:val="24"/>
        </w:rPr>
        <w:t>Semanario Judicial de la Federación y su Gaceta, Tomo III, Mayo de 1996, Novena Época, pág. 510, registro 202550, Jurisprudencia Común, Tribunales Colegiados de Circuito y bajo el rubro: “</w:t>
      </w:r>
      <w:r w:rsidR="00AD390C" w:rsidRPr="007A5B5E">
        <w:rPr>
          <w:rFonts w:ascii="Arial" w:hAnsi="Arial" w:cs="Arial"/>
          <w:i/>
          <w:sz w:val="24"/>
        </w:rPr>
        <w:t xml:space="preserve">DOCUMENTOS OFRECIDOS EN FOTOCOPIAS SIMPLES, VALOR PROBATORIO </w:t>
      </w:r>
      <w:r w:rsidR="00AD390C" w:rsidRPr="00DF7C84">
        <w:rPr>
          <w:rFonts w:ascii="Arial" w:hAnsi="Arial" w:cs="Arial"/>
          <w:i/>
          <w:sz w:val="24"/>
        </w:rPr>
        <w:t>DE</w:t>
      </w:r>
      <w:r w:rsidR="003F4235">
        <w:rPr>
          <w:rFonts w:ascii="Arial" w:hAnsi="Arial" w:cs="Arial"/>
          <w:sz w:val="24"/>
        </w:rPr>
        <w:t>.”.</w:t>
      </w:r>
    </w:p>
    <w:p w14:paraId="24624DA2"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6A48FA38"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DF7C84">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0CB4234B"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DF7C8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w:t>
      </w:r>
      <w:r w:rsidRPr="001042B6">
        <w:rPr>
          <w:rFonts w:ascii="Arial" w:hAnsi="Arial" w:cs="Arial"/>
          <w:sz w:val="24"/>
          <w:szCs w:val="24"/>
        </w:rPr>
        <w:lastRenderedPageBreak/>
        <w:t xml:space="preserve">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75BAABC4"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1A2E7B">
        <w:rPr>
          <w:rFonts w:ascii="Arial" w:hAnsi="Arial" w:cs="Arial"/>
          <w:sz w:val="24"/>
        </w:rPr>
        <w:t>Este</w:t>
      </w:r>
      <w:r w:rsidR="003F4235">
        <w:rPr>
          <w:rFonts w:ascii="Arial" w:hAnsi="Arial" w:cs="Arial"/>
          <w:sz w:val="24"/>
        </w:rPr>
        <w:t xml:space="preserve"> Juzgador</w:t>
      </w:r>
      <w:r w:rsidRPr="001042B6">
        <w:rPr>
          <w:rFonts w:ascii="Arial" w:hAnsi="Arial" w:cs="Arial"/>
          <w:sz w:val="24"/>
        </w:rPr>
        <w:t xml:space="preserve">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155C6EE6" w14:textId="5132EC40"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1A2E7B">
        <w:rPr>
          <w:rFonts w:ascii="Arial" w:hAnsi="Arial" w:cs="Arial"/>
          <w:sz w:val="24"/>
          <w:szCs w:val="24"/>
        </w:rPr>
        <w:t xml:space="preserve"> </w:t>
      </w:r>
      <w:r w:rsidRPr="001042B6">
        <w:rPr>
          <w:rFonts w:ascii="Arial" w:hAnsi="Arial" w:cs="Arial"/>
          <w:sz w:val="24"/>
          <w:szCs w:val="24"/>
        </w:rPr>
        <w:t>l</w:t>
      </w:r>
      <w:r w:rsidR="001A2E7B">
        <w:rPr>
          <w:rFonts w:ascii="Arial" w:hAnsi="Arial" w:cs="Arial"/>
          <w:sz w:val="24"/>
          <w:szCs w:val="24"/>
        </w:rPr>
        <w:t>a</w:t>
      </w:r>
      <w:r w:rsidRPr="001042B6">
        <w:rPr>
          <w:rFonts w:ascii="Arial" w:hAnsi="Arial" w:cs="Arial"/>
          <w:sz w:val="24"/>
          <w:szCs w:val="24"/>
        </w:rPr>
        <w:t xml:space="preserve"> actor</w:t>
      </w:r>
      <w:r w:rsidR="001A2E7B">
        <w:rPr>
          <w:rFonts w:ascii="Arial" w:hAnsi="Arial" w:cs="Arial"/>
          <w:sz w:val="24"/>
          <w:szCs w:val="24"/>
        </w:rPr>
        <w:t>a</w:t>
      </w:r>
      <w:r w:rsidRPr="001042B6">
        <w:rPr>
          <w:rFonts w:ascii="Arial" w:hAnsi="Arial" w:cs="Arial"/>
          <w:sz w:val="24"/>
          <w:szCs w:val="24"/>
        </w:rPr>
        <w:t xml:space="preserve"> </w:t>
      </w:r>
      <w:r w:rsidR="00E047B8">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D60976">
        <w:rPr>
          <w:rFonts w:ascii="Arial" w:hAnsi="Arial" w:cs="Arial"/>
          <w:sz w:val="24"/>
          <w:szCs w:val="24"/>
        </w:rPr>
        <w:t>negando la devolución de las aportaciones que efectuó al fondo de pensiones</w:t>
      </w:r>
      <w:r w:rsidRPr="001042B6">
        <w:rPr>
          <w:rFonts w:ascii="Arial" w:hAnsi="Arial" w:cs="Arial"/>
          <w:sz w:val="24"/>
          <w:szCs w:val="24"/>
        </w:rPr>
        <w:t xml:space="preserve">, surgiendo así la </w:t>
      </w:r>
      <w:r w:rsidR="00D6097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1617283A"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 - - - - - - - - </w:t>
      </w:r>
      <w:r w:rsidR="005247FF">
        <w:rPr>
          <w:rFonts w:ascii="Arial" w:hAnsi="Arial" w:cs="Arial"/>
          <w:sz w:val="24"/>
        </w:rPr>
        <w:t xml:space="preserve">- - - - - - - - </w:t>
      </w:r>
    </w:p>
    <w:p w14:paraId="116EF52A"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68C019A8" w14:textId="77777777" w:rsidR="00D02537" w:rsidRDefault="00D02537" w:rsidP="007C7B26">
      <w:pPr>
        <w:pStyle w:val="corte4fondoCarCarCar"/>
        <w:spacing w:before="240"/>
        <w:ind w:firstLine="708"/>
        <w:rPr>
          <w:rFonts w:cs="Arial"/>
          <w:bCs/>
          <w:sz w:val="24"/>
        </w:rPr>
      </w:pPr>
      <w:r w:rsidRPr="00AA169B">
        <w:rPr>
          <w:rFonts w:cs="Arial"/>
          <w:bCs/>
          <w:sz w:val="24"/>
        </w:rPr>
        <w:t>La autoridad demanda hizo valer dos causales de improcedencia, la</w:t>
      </w:r>
      <w:r>
        <w:rPr>
          <w:rFonts w:cs="Arial"/>
          <w:bCs/>
          <w:sz w:val="24"/>
        </w:rPr>
        <w:t>s</w:t>
      </w:r>
      <w:r w:rsidRPr="00AA169B">
        <w:rPr>
          <w:rFonts w:cs="Arial"/>
          <w:bCs/>
          <w:sz w:val="24"/>
        </w:rPr>
        <w:t xml:space="preserve"> consistentes en </w:t>
      </w:r>
      <w:r>
        <w:rPr>
          <w:rFonts w:cs="Arial"/>
          <w:bCs/>
          <w:sz w:val="24"/>
        </w:rPr>
        <w:t xml:space="preserve">la </w:t>
      </w:r>
      <w:r w:rsidRPr="00AA169B">
        <w:rPr>
          <w:rFonts w:cs="Arial"/>
          <w:bCs/>
          <w:sz w:val="24"/>
        </w:rPr>
        <w:t>FALTA DE ACCÓN Y DERECHO y la de FALSEDAD DE LOS HECHOS, ambas resultando improcedentes, esto es así, pues respecto de la falta de acción y derecho, en el considerando que antecede</w:t>
      </w:r>
      <w:r>
        <w:rPr>
          <w:rFonts w:cs="Arial"/>
          <w:bCs/>
          <w:sz w:val="24"/>
        </w:rPr>
        <w:t xml:space="preserve">, se advirtió </w:t>
      </w:r>
      <w:r>
        <w:rPr>
          <w:rFonts w:cs="Arial"/>
          <w:sz w:val="24"/>
        </w:rPr>
        <w:lastRenderedPageBreak/>
        <w:t>que</w:t>
      </w:r>
      <w:r w:rsidRPr="00AA169B">
        <w:rPr>
          <w:rFonts w:cs="Arial"/>
          <w:sz w:val="24"/>
        </w:rPr>
        <w:t xml:space="preserve"> la autoridad demandada dio respuesta a </w:t>
      </w:r>
      <w:r>
        <w:rPr>
          <w:rFonts w:cs="Arial"/>
          <w:sz w:val="24"/>
        </w:rPr>
        <w:t>la</w:t>
      </w:r>
      <w:r w:rsidRPr="00AA169B">
        <w:rPr>
          <w:rFonts w:cs="Arial"/>
          <w:sz w:val="24"/>
        </w:rPr>
        <w:t xml:space="preserve"> petición</w:t>
      </w:r>
      <w:r>
        <w:rPr>
          <w:rFonts w:cs="Arial"/>
          <w:sz w:val="24"/>
        </w:rPr>
        <w:t xml:space="preserve"> de la actora con fecha treinta de diciembre de dos mil diecinueve (30/09/2019), </w:t>
      </w:r>
      <w:r w:rsidRPr="00AA169B">
        <w:rPr>
          <w:rFonts w:cs="Arial"/>
          <w:sz w:val="24"/>
        </w:rPr>
        <w:t>negando la devolución solicitada</w:t>
      </w:r>
      <w:r w:rsidR="00654059">
        <w:rPr>
          <w:rFonts w:cs="Arial"/>
          <w:sz w:val="24"/>
        </w:rPr>
        <w:t>,</w:t>
      </w:r>
      <w:r w:rsidRPr="00AA169B">
        <w:rPr>
          <w:rFonts w:cs="Arial"/>
          <w:sz w:val="24"/>
        </w:rPr>
        <w:t xml:space="preserve"> surgiendo así la afectación a su esfera jurídica, </w:t>
      </w:r>
      <w:r>
        <w:rPr>
          <w:rFonts w:cs="Arial"/>
          <w:sz w:val="24"/>
        </w:rPr>
        <w:t xml:space="preserve">y con ello su derecho a ejercitar la acción ante este Tribunal, en busca de proteger los derechos que considera afectados; y respecto de la FALSEDAD DE LOS HECHOS, tampoco se actualiza, pues la actora justificó con los documentos aportados al juicio, el tramite que realizó previo a la emisión del </w:t>
      </w:r>
      <w:r w:rsidR="00654059">
        <w:rPr>
          <w:rFonts w:cs="Arial"/>
          <w:sz w:val="24"/>
        </w:rPr>
        <w:t xml:space="preserve">oficio que aquí impugna, </w:t>
      </w:r>
      <w:r>
        <w:rPr>
          <w:rFonts w:cs="Arial"/>
          <w:sz w:val="24"/>
        </w:rPr>
        <w:t xml:space="preserve">luego entonces, los hechos que describió en su escrito de demanda, fueron justificados en este asunto, de ahí la improcedencia de </w:t>
      </w:r>
      <w:r w:rsidRPr="00C10464">
        <w:rPr>
          <w:rFonts w:cs="Arial"/>
          <w:sz w:val="24"/>
        </w:rPr>
        <w:t xml:space="preserve">las causales invocadas, </w:t>
      </w:r>
      <w:r w:rsidRPr="00C10464">
        <w:rPr>
          <w:rFonts w:cs="Arial"/>
          <w:bCs/>
          <w:sz w:val="24"/>
        </w:rPr>
        <w:t xml:space="preserve">y toda vez que este Juzgador no advierte </w:t>
      </w:r>
      <w:r>
        <w:rPr>
          <w:rFonts w:cs="Arial"/>
          <w:bCs/>
          <w:sz w:val="24"/>
        </w:rPr>
        <w:t>s</w:t>
      </w:r>
      <w:r w:rsidRPr="00C10464">
        <w:rPr>
          <w:rFonts w:cs="Arial"/>
          <w:bCs/>
          <w:sz w:val="24"/>
        </w:rPr>
        <w:t>e actualice alguna</w:t>
      </w:r>
      <w:r>
        <w:rPr>
          <w:rFonts w:cs="Arial"/>
          <w:bCs/>
          <w:sz w:val="24"/>
        </w:rPr>
        <w:t xml:space="preserve"> otra</w:t>
      </w:r>
      <w:r w:rsidRPr="00C10464">
        <w:rPr>
          <w:rFonts w:cs="Arial"/>
          <w:bCs/>
          <w:sz w:val="24"/>
        </w:rPr>
        <w:t xml:space="preserve"> causa que impida conocer el fondo de este asunto, consecuentemente, este Juicio de Nulidad </w:t>
      </w:r>
      <w:r w:rsidRPr="006242A2">
        <w:rPr>
          <w:rFonts w:cs="Arial"/>
          <w:b/>
          <w:sz w:val="24"/>
        </w:rPr>
        <w:t xml:space="preserve">NO SE SOBRESEE.- </w:t>
      </w:r>
      <w:r w:rsidRPr="00C10464">
        <w:rPr>
          <w:rFonts w:cs="Arial"/>
          <w:bCs/>
          <w:sz w:val="24"/>
        </w:rPr>
        <w:t xml:space="preserve">- - - - - - - - - </w:t>
      </w:r>
    </w:p>
    <w:p w14:paraId="2CA53439"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w:t>
      </w:r>
      <w:r w:rsidR="00C84412">
        <w:rPr>
          <w:rFonts w:ascii="Arial" w:hAnsi="Arial" w:cs="Arial"/>
          <w:sz w:val="24"/>
          <w:szCs w:val="24"/>
        </w:rPr>
        <w:t>e</w:t>
      </w:r>
      <w:r w:rsidRPr="001042B6">
        <w:rPr>
          <w:rFonts w:ascii="Arial" w:hAnsi="Arial" w:cs="Arial"/>
          <w:sz w:val="24"/>
          <w:szCs w:val="24"/>
        </w:rPr>
        <w:t xml:space="preserve"> Juzgador toma en cuenta los argumentos y pruebas ofrecidas por las partes, con los que arriba a la siguiente conclusión:</w:t>
      </w:r>
    </w:p>
    <w:p w14:paraId="58D141A7" w14:textId="77777777" w:rsidR="00B14B0B"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punto medular de</w:t>
      </w:r>
      <w:r>
        <w:rPr>
          <w:rFonts w:ascii="Arial" w:hAnsi="Arial" w:cs="Arial"/>
          <w:sz w:val="24"/>
          <w:szCs w:val="24"/>
        </w:rPr>
        <w:t xml:space="preserve"> este asunto </w:t>
      </w:r>
      <w:r w:rsidR="004E7EF1">
        <w:rPr>
          <w:rFonts w:ascii="Arial" w:hAnsi="Arial" w:cs="Arial"/>
          <w:sz w:val="24"/>
          <w:szCs w:val="24"/>
        </w:rPr>
        <w:t>se centra</w:t>
      </w:r>
      <w:r w:rsidRPr="001042B6">
        <w:rPr>
          <w:rFonts w:ascii="Arial" w:hAnsi="Arial" w:cs="Arial"/>
          <w:sz w:val="24"/>
          <w:szCs w:val="24"/>
        </w:rPr>
        <w:t xml:space="preserve"> en </w:t>
      </w:r>
      <w:r>
        <w:rPr>
          <w:rFonts w:ascii="Arial" w:hAnsi="Arial" w:cs="Arial"/>
          <w:sz w:val="24"/>
          <w:szCs w:val="24"/>
        </w:rPr>
        <w:t>determinar si resulta procedente la</w:t>
      </w:r>
      <w:r w:rsidR="00C84412">
        <w:rPr>
          <w:rFonts w:ascii="Arial" w:hAnsi="Arial" w:cs="Arial"/>
          <w:sz w:val="24"/>
          <w:szCs w:val="24"/>
        </w:rPr>
        <w:t xml:space="preserve"> desaplicación solicitada por la</w:t>
      </w:r>
      <w:r>
        <w:rPr>
          <w:rFonts w:ascii="Arial" w:hAnsi="Arial" w:cs="Arial"/>
          <w:sz w:val="24"/>
          <w:szCs w:val="24"/>
        </w:rPr>
        <w:t xml:space="preserve"> actor</w:t>
      </w:r>
      <w:r w:rsidR="00C84412">
        <w:rPr>
          <w:rFonts w:ascii="Arial" w:hAnsi="Arial" w:cs="Arial"/>
          <w:sz w:val="24"/>
          <w:szCs w:val="24"/>
        </w:rPr>
        <w:t>a</w:t>
      </w:r>
      <w:r w:rsidR="00B14B0B">
        <w:rPr>
          <w:rFonts w:ascii="Arial" w:hAnsi="Arial" w:cs="Arial"/>
          <w:sz w:val="24"/>
          <w:szCs w:val="24"/>
        </w:rPr>
        <w:t>, de los artículos 4, 14,</w:t>
      </w:r>
      <w:r>
        <w:rPr>
          <w:rFonts w:ascii="Arial" w:hAnsi="Arial" w:cs="Arial"/>
          <w:sz w:val="24"/>
          <w:szCs w:val="24"/>
        </w:rPr>
        <w:t xml:space="preserve"> </w:t>
      </w:r>
      <w:r w:rsidR="00B14B0B">
        <w:rPr>
          <w:rFonts w:ascii="Arial" w:hAnsi="Arial" w:cs="Arial"/>
          <w:sz w:val="24"/>
          <w:szCs w:val="24"/>
        </w:rPr>
        <w:t>y  64</w:t>
      </w:r>
      <w:r>
        <w:rPr>
          <w:rFonts w:ascii="Arial" w:hAnsi="Arial" w:cs="Arial"/>
          <w:sz w:val="24"/>
          <w:szCs w:val="24"/>
        </w:rPr>
        <w:t xml:space="preserve"> </w:t>
      </w:r>
      <w:r w:rsidRPr="001042B6">
        <w:rPr>
          <w:rFonts w:ascii="Arial" w:hAnsi="Arial" w:cs="Arial"/>
          <w:sz w:val="24"/>
          <w:szCs w:val="24"/>
        </w:rPr>
        <w:t>de la Ley de Pensiones para los Trabajadores del Gobierno del Estado de Oaxaca</w:t>
      </w:r>
      <w:r>
        <w:rPr>
          <w:rFonts w:ascii="Arial" w:hAnsi="Arial" w:cs="Arial"/>
          <w:sz w:val="24"/>
          <w:szCs w:val="24"/>
        </w:rPr>
        <w:t xml:space="preserve">; </w:t>
      </w:r>
      <w:r w:rsidR="00B14B0B">
        <w:rPr>
          <w:rFonts w:ascii="Arial" w:hAnsi="Arial" w:cs="Arial"/>
          <w:sz w:val="24"/>
          <w:szCs w:val="24"/>
        </w:rPr>
        <w:t>específicamente éste último, pues es el numeral en el que la autoridad demanda se basó para negar la devolución que la actora reclama.</w:t>
      </w:r>
    </w:p>
    <w:p w14:paraId="6ED0806D" w14:textId="77777777" w:rsidR="007C7B26" w:rsidRDefault="007C7B26" w:rsidP="007C7B26">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tab/>
        <w:t>Pues bien, los descuentos a cargo del Fondo de Pensiones para el Estado de Oaxaca, tiene como fin brindar certeza jurídica al trabajad</w:t>
      </w:r>
      <w:r w:rsidR="00B14B0B">
        <w:rPr>
          <w:rFonts w:ascii="Arial" w:hAnsi="Arial" w:cs="Arial"/>
          <w:sz w:val="24"/>
          <w:szCs w:val="24"/>
        </w:rPr>
        <w:t>or sobre los recursos que pagará</w:t>
      </w:r>
      <w:r w:rsidRPr="007D6FD4">
        <w:rPr>
          <w:rFonts w:ascii="Arial" w:hAnsi="Arial" w:cs="Arial"/>
          <w:sz w:val="24"/>
          <w:szCs w:val="24"/>
        </w:rPr>
        <w:t>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w:t>
      </w:r>
      <w:r w:rsidR="00B14B0B">
        <w:rPr>
          <w:rFonts w:ascii="Arial" w:hAnsi="Arial" w:cs="Arial"/>
          <w:sz w:val="24"/>
          <w:szCs w:val="24"/>
        </w:rPr>
        <w:t>,</w:t>
      </w:r>
      <w:r w:rsidRPr="007D6FD4">
        <w:rPr>
          <w:rFonts w:ascii="Arial" w:hAnsi="Arial" w:cs="Arial"/>
          <w:sz w:val="24"/>
          <w:szCs w:val="24"/>
        </w:rPr>
        <w:t xml:space="preserv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cuáles garantizan que mientras se encuentre en desempleo</w:t>
      </w:r>
      <w:r>
        <w:rPr>
          <w:rFonts w:ascii="Arial" w:hAnsi="Arial" w:cs="Arial"/>
          <w:sz w:val="24"/>
          <w:szCs w:val="24"/>
        </w:rPr>
        <w:t>,</w:t>
      </w:r>
      <w:r w:rsidRPr="007D6FD4">
        <w:rPr>
          <w:rFonts w:ascii="Arial" w:hAnsi="Arial" w:cs="Arial"/>
          <w:sz w:val="24"/>
          <w:szCs w:val="24"/>
        </w:rPr>
        <w:t xml:space="preserve">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4FDBD0DB" w14:textId="77777777" w:rsidR="007C7B2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enfermedad, invalidez, accidentes del trabajo, maternidad o pérdida del sostén de familia (Organización Internacional del Trabajo, Hechos Concretos sobre la Seguridad Social.</w:t>
      </w:r>
      <w:r w:rsidR="00B14B0B">
        <w:rPr>
          <w:rFonts w:ascii="Arial" w:hAnsi="Arial" w:cs="Arial"/>
          <w:sz w:val="24"/>
          <w:szCs w:val="24"/>
        </w:rPr>
        <w:t xml:space="preserve"> Suiza, Ginebra, OIT, 200, p.1);</w:t>
      </w:r>
      <w:r w:rsidRPr="007D6FD4">
        <w:rPr>
          <w:rFonts w:ascii="Arial" w:hAnsi="Arial" w:cs="Arial"/>
          <w:sz w:val="24"/>
          <w:szCs w:val="24"/>
        </w:rPr>
        <w:t xml:space="preserve">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w:t>
      </w:r>
      <w:r w:rsidRPr="00054606">
        <w:rPr>
          <w:rFonts w:ascii="Arial" w:hAnsi="Arial" w:cs="Arial"/>
          <w:b/>
          <w:sz w:val="24"/>
          <w:szCs w:val="24"/>
        </w:rPr>
        <w:t>y mantener</w:t>
      </w:r>
      <w:r w:rsidRPr="007D6FD4">
        <w:rPr>
          <w:rFonts w:ascii="Arial" w:hAnsi="Arial" w:cs="Arial"/>
          <w:sz w:val="24"/>
          <w:szCs w:val="24"/>
        </w:rPr>
        <w:t xml:space="preserve">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se establecen bases mínimas de la seguridad social, y en ese tenor</w:t>
      </w:r>
      <w:r>
        <w:rPr>
          <w:rFonts w:ascii="Arial" w:hAnsi="Arial" w:cs="Arial"/>
          <w:sz w:val="24"/>
          <w:szCs w:val="24"/>
        </w:rPr>
        <w:t>,</w:t>
      </w:r>
      <w:r w:rsidRPr="007D6FD4">
        <w:rPr>
          <w:rFonts w:ascii="Arial" w:hAnsi="Arial" w:cs="Arial"/>
          <w:sz w:val="24"/>
          <w:szCs w:val="24"/>
        </w:rPr>
        <w:t xml:space="preserve"> resulta indiscutible que 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3EE833C1" w14:textId="77777777" w:rsidR="007C7B26" w:rsidRPr="001042B6" w:rsidRDefault="00F9284A"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estas razones, es que este</w:t>
      </w:r>
      <w:r w:rsidR="007C7B26">
        <w:rPr>
          <w:rFonts w:ascii="Arial" w:hAnsi="Arial" w:cs="Arial"/>
          <w:sz w:val="24"/>
          <w:szCs w:val="24"/>
        </w:rPr>
        <w:t xml:space="preserve"> Juzgador considera que </w:t>
      </w:r>
      <w:r w:rsidR="007C7B26" w:rsidRPr="001042B6">
        <w:rPr>
          <w:rFonts w:ascii="Arial" w:hAnsi="Arial" w:cs="Arial"/>
          <w:b/>
          <w:sz w:val="24"/>
          <w:szCs w:val="24"/>
        </w:rPr>
        <w:t>no asiste razón a la autoridad demandada</w:t>
      </w:r>
      <w:r w:rsidR="007C7B26" w:rsidRPr="001042B6">
        <w:rPr>
          <w:rFonts w:ascii="Arial" w:hAnsi="Arial" w:cs="Arial"/>
          <w:sz w:val="24"/>
          <w:szCs w:val="24"/>
        </w:rPr>
        <w:t xml:space="preserve"> en la contestación de demanda, al sostener que un trabajador de confianza no tiene derecho a la devolución de sus aportaciones, pues deja de observar que aun cuando en la Ley de Pensiones para los Trabajadores del Gobierno del Estado no se encuentra plasmado expresamente ese derecho, existen disposiciones constitucionales que forman técnicas sustitutivas para brindar respuesta eficaz a la petición de</w:t>
      </w:r>
      <w:r>
        <w:rPr>
          <w:rFonts w:ascii="Arial" w:hAnsi="Arial" w:cs="Arial"/>
          <w:sz w:val="24"/>
          <w:szCs w:val="24"/>
        </w:rPr>
        <w:t xml:space="preserve"> </w:t>
      </w:r>
      <w:r w:rsidR="007C7B26" w:rsidRPr="001042B6">
        <w:rPr>
          <w:rFonts w:ascii="Arial" w:hAnsi="Arial" w:cs="Arial"/>
          <w:sz w:val="24"/>
          <w:szCs w:val="24"/>
        </w:rPr>
        <w:t>l</w:t>
      </w:r>
      <w:r>
        <w:rPr>
          <w:rFonts w:ascii="Arial" w:hAnsi="Arial" w:cs="Arial"/>
          <w:sz w:val="24"/>
          <w:szCs w:val="24"/>
        </w:rPr>
        <w:t>a</w:t>
      </w:r>
      <w:r w:rsidR="007C7B26" w:rsidRPr="001042B6">
        <w:rPr>
          <w:rFonts w:ascii="Arial" w:hAnsi="Arial" w:cs="Arial"/>
          <w:sz w:val="24"/>
          <w:szCs w:val="24"/>
        </w:rPr>
        <w:t xml:space="preserve"> hoy actor</w:t>
      </w:r>
      <w:r>
        <w:rPr>
          <w:rFonts w:ascii="Arial" w:hAnsi="Arial" w:cs="Arial"/>
          <w:sz w:val="24"/>
          <w:szCs w:val="24"/>
        </w:rPr>
        <w:t>a</w:t>
      </w:r>
      <w:r w:rsidR="007C7B26" w:rsidRPr="001042B6">
        <w:rPr>
          <w:rFonts w:ascii="Arial" w:hAnsi="Arial" w:cs="Arial"/>
          <w:sz w:val="24"/>
          <w:szCs w:val="24"/>
        </w:rPr>
        <w:t>, pues es de destacarse</w:t>
      </w:r>
      <w:r w:rsidR="007C7B26">
        <w:rPr>
          <w:rFonts w:ascii="Arial" w:hAnsi="Arial" w:cs="Arial"/>
          <w:sz w:val="24"/>
          <w:szCs w:val="24"/>
        </w:rPr>
        <w:t>,</w:t>
      </w:r>
      <w:r w:rsidR="007C7B26" w:rsidRPr="001042B6">
        <w:rPr>
          <w:rFonts w:ascii="Arial" w:hAnsi="Arial" w:cs="Arial"/>
          <w:sz w:val="24"/>
          <w:szCs w:val="24"/>
        </w:rPr>
        <w:t xml:space="preserve"> que las aportaciones reclamadas formaban parte de su salario, y que su deducción se establece con el ánimo de protección y nunca de causarle un perjuicio, aunado a que en la legislación int</w:t>
      </w:r>
      <w:r w:rsidR="004E7EF1">
        <w:rPr>
          <w:rFonts w:ascii="Arial" w:hAnsi="Arial" w:cs="Arial"/>
          <w:sz w:val="24"/>
          <w:szCs w:val="24"/>
        </w:rPr>
        <w:t>ernacional, específicamente en e</w:t>
      </w:r>
      <w:r w:rsidR="007C7B26" w:rsidRPr="001042B6">
        <w:rPr>
          <w:rFonts w:ascii="Arial" w:hAnsi="Arial" w:cs="Arial"/>
          <w:sz w:val="24"/>
          <w:szCs w:val="24"/>
        </w:rPr>
        <w:t xml:space="preserve">l Protocolo de Reformas a la Carta de la Organización de los Estados Americanos “Protocolo de Buenos </w:t>
      </w:r>
      <w:r w:rsidR="007C7B26" w:rsidRPr="001042B6">
        <w:rPr>
          <w:rFonts w:ascii="Arial" w:hAnsi="Arial" w:cs="Arial"/>
          <w:sz w:val="24"/>
          <w:szCs w:val="24"/>
        </w:rPr>
        <w:lastRenderedPageBreak/>
        <w:t>Aires”, en su artículo 44</w:t>
      </w:r>
      <w:r w:rsidR="007C7B26">
        <w:rPr>
          <w:rFonts w:ascii="Arial" w:hAnsi="Arial" w:cs="Arial"/>
          <w:sz w:val="24"/>
          <w:szCs w:val="24"/>
        </w:rPr>
        <w:t>, se</w:t>
      </w:r>
      <w:r w:rsidR="007C7B26" w:rsidRPr="001042B6">
        <w:rPr>
          <w:rFonts w:ascii="Arial" w:hAnsi="Arial" w:cs="Arial"/>
          <w:sz w:val="24"/>
          <w:szCs w:val="24"/>
        </w:rPr>
        <w:t xml:space="preserve"> establece que los </w:t>
      </w:r>
      <w:r w:rsidR="00CE5022" w:rsidRPr="001042B6">
        <w:rPr>
          <w:rFonts w:ascii="Arial" w:hAnsi="Arial" w:cs="Arial"/>
          <w:sz w:val="24"/>
          <w:szCs w:val="24"/>
        </w:rPr>
        <w:t xml:space="preserve">Estados </w:t>
      </w:r>
      <w:r w:rsidR="007C7B26" w:rsidRPr="001042B6">
        <w:rPr>
          <w:rFonts w:ascii="Arial" w:hAnsi="Arial" w:cs="Arial"/>
          <w:sz w:val="24"/>
          <w:szCs w:val="24"/>
        </w:rPr>
        <w:t>miembros</w:t>
      </w:r>
      <w:r w:rsidR="007C7B26">
        <w:rPr>
          <w:rFonts w:ascii="Arial" w:hAnsi="Arial" w:cs="Arial"/>
          <w:sz w:val="24"/>
          <w:szCs w:val="24"/>
        </w:rPr>
        <w:t>,</w:t>
      </w:r>
      <w:r w:rsidR="007C7B26" w:rsidRPr="001042B6">
        <w:rPr>
          <w:rFonts w:ascii="Arial" w:hAnsi="Arial" w:cs="Arial"/>
          <w:sz w:val="24"/>
          <w:szCs w:val="24"/>
        </w:rPr>
        <w:t xml:space="preserve"> reconocen que para facilitar el proceso de la integración regional latinoamericana, </w:t>
      </w:r>
      <w:r w:rsidR="007C7B26">
        <w:rPr>
          <w:rFonts w:ascii="Arial" w:hAnsi="Arial" w:cs="Arial"/>
          <w:sz w:val="24"/>
          <w:szCs w:val="24"/>
        </w:rPr>
        <w:t xml:space="preserve">se deberá </w:t>
      </w:r>
      <w:r w:rsidR="007C7B26" w:rsidRPr="001042B6">
        <w:rPr>
          <w:rFonts w:ascii="Arial" w:hAnsi="Arial" w:cs="Arial"/>
          <w:sz w:val="24"/>
          <w:szCs w:val="24"/>
        </w:rPr>
        <w:t xml:space="preserve">armonizar la legislación social de los países en desarrollo, especialmente en el campo laboral y de la seguridad social, a fin de que </w:t>
      </w:r>
      <w:r w:rsidR="007C7B26" w:rsidRPr="008A3AB2">
        <w:rPr>
          <w:rFonts w:ascii="Arial" w:hAnsi="Arial" w:cs="Arial"/>
          <w:b/>
          <w:sz w:val="24"/>
          <w:szCs w:val="24"/>
        </w:rPr>
        <w:t>los derechos de los trabajadores sean igualmente protegidos</w:t>
      </w:r>
      <w:r w:rsidR="007C7B26" w:rsidRPr="001042B6">
        <w:rPr>
          <w:rFonts w:ascii="Arial" w:hAnsi="Arial" w:cs="Arial"/>
          <w:sz w:val="24"/>
          <w:szCs w:val="24"/>
        </w:rPr>
        <w:t xml:space="preserve"> y conviene en realizar los máximos esfuerzos para alcanzar esa finalidad, </w:t>
      </w:r>
      <w:r w:rsidR="007C7B26">
        <w:rPr>
          <w:rFonts w:ascii="Arial" w:hAnsi="Arial" w:cs="Arial"/>
          <w:sz w:val="24"/>
          <w:szCs w:val="24"/>
        </w:rPr>
        <w:t>luego entonces,</w:t>
      </w:r>
      <w:r w:rsidR="007C7B26" w:rsidRPr="001042B6">
        <w:rPr>
          <w:rFonts w:ascii="Arial" w:hAnsi="Arial" w:cs="Arial"/>
          <w:sz w:val="24"/>
          <w:szCs w:val="24"/>
        </w:rPr>
        <w:t xml:space="preserve"> como acertadamente lo refirió la demandada, en la ley de pensiones en vigor, existe el derecho de los trabajadores de base para obtener la devolución de sus aportaciones al fondo de</w:t>
      </w:r>
      <w:r w:rsidR="007C7B26">
        <w:rPr>
          <w:rFonts w:ascii="Arial" w:hAnsi="Arial" w:cs="Arial"/>
          <w:sz w:val="24"/>
          <w:szCs w:val="24"/>
        </w:rPr>
        <w:t xml:space="preserve"> pensiones, cuando aún no cumple</w:t>
      </w:r>
      <w:r w:rsidR="007C7B26" w:rsidRPr="001042B6">
        <w:rPr>
          <w:rFonts w:ascii="Arial" w:hAnsi="Arial" w:cs="Arial"/>
          <w:sz w:val="24"/>
          <w:szCs w:val="24"/>
        </w:rPr>
        <w:t xml:space="preserve">n con la antigüedad requerida para la obtención de una pensión (artículo 64 de dicho ordenamiento legal), sin embargo, ni en dicho artículo, ni en ningún otro de esa Normatividad, existe la prohibición, impedimento o veto, para que los trabajadores de confianza obtengan dicha devolución, </w:t>
      </w:r>
      <w:r w:rsidR="007C7B26">
        <w:rPr>
          <w:rFonts w:ascii="Arial" w:hAnsi="Arial" w:cs="Arial"/>
          <w:sz w:val="24"/>
          <w:szCs w:val="24"/>
        </w:rPr>
        <w:t xml:space="preserve">pues de ser así se les estaría discriminando, </w:t>
      </w:r>
      <w:r w:rsidR="007C7B26" w:rsidRPr="001042B6">
        <w:rPr>
          <w:rFonts w:ascii="Arial" w:hAnsi="Arial" w:cs="Arial"/>
          <w:sz w:val="24"/>
          <w:szCs w:val="24"/>
        </w:rPr>
        <w:t xml:space="preserve">consecuentemente, </w:t>
      </w:r>
      <w:r w:rsidR="007C7B26">
        <w:rPr>
          <w:rFonts w:ascii="Arial" w:hAnsi="Arial" w:cs="Arial"/>
          <w:sz w:val="24"/>
          <w:szCs w:val="24"/>
        </w:rPr>
        <w:t xml:space="preserve">ante ese </w:t>
      </w:r>
      <w:r w:rsidR="007C7B26" w:rsidRPr="001042B6">
        <w:rPr>
          <w:rFonts w:ascii="Arial" w:hAnsi="Arial" w:cs="Arial"/>
          <w:b/>
          <w:sz w:val="24"/>
          <w:szCs w:val="24"/>
        </w:rPr>
        <w:t>vacío legislativo</w:t>
      </w:r>
      <w:r w:rsidR="007C7B26" w:rsidRPr="001042B6">
        <w:rPr>
          <w:rFonts w:ascii="Arial" w:hAnsi="Arial" w:cs="Arial"/>
          <w:sz w:val="24"/>
          <w:szCs w:val="24"/>
        </w:rPr>
        <w:t>, resulta procedente aplica</w:t>
      </w:r>
      <w:r w:rsidR="007C7B26">
        <w:rPr>
          <w:rFonts w:ascii="Arial" w:hAnsi="Arial" w:cs="Arial"/>
          <w:sz w:val="24"/>
          <w:szCs w:val="24"/>
        </w:rPr>
        <w:t xml:space="preserve">r los </w:t>
      </w:r>
      <w:r w:rsidR="007C7B26" w:rsidRPr="001042B6">
        <w:rPr>
          <w:rFonts w:ascii="Arial" w:hAnsi="Arial" w:cs="Arial"/>
          <w:sz w:val="24"/>
          <w:szCs w:val="24"/>
        </w:rPr>
        <w:t>Principio</w:t>
      </w:r>
      <w:r w:rsidR="007C7B26">
        <w:rPr>
          <w:rFonts w:ascii="Arial" w:hAnsi="Arial" w:cs="Arial"/>
          <w:sz w:val="24"/>
          <w:szCs w:val="24"/>
        </w:rPr>
        <w:t>s</w:t>
      </w:r>
      <w:r w:rsidR="007C7B26" w:rsidRPr="001042B6">
        <w:rPr>
          <w:rFonts w:ascii="Arial" w:hAnsi="Arial" w:cs="Arial"/>
          <w:sz w:val="24"/>
          <w:szCs w:val="24"/>
        </w:rPr>
        <w:t xml:space="preserve"> General</w:t>
      </w:r>
      <w:r w:rsidR="007C7B26">
        <w:rPr>
          <w:rFonts w:ascii="Arial" w:hAnsi="Arial" w:cs="Arial"/>
          <w:sz w:val="24"/>
          <w:szCs w:val="24"/>
        </w:rPr>
        <w:t>es</w:t>
      </w:r>
      <w:r w:rsidR="007C7B26" w:rsidRPr="001042B6">
        <w:rPr>
          <w:rFonts w:ascii="Arial" w:hAnsi="Arial" w:cs="Arial"/>
          <w:sz w:val="24"/>
          <w:szCs w:val="24"/>
        </w:rPr>
        <w:t xml:space="preserve"> de Derecho, procura</w:t>
      </w:r>
      <w:r w:rsidR="007C7B26">
        <w:rPr>
          <w:rFonts w:ascii="Arial" w:hAnsi="Arial" w:cs="Arial"/>
          <w:sz w:val="24"/>
          <w:szCs w:val="24"/>
        </w:rPr>
        <w:t>ndo</w:t>
      </w:r>
      <w:r w:rsidR="007C7B26" w:rsidRPr="001042B6">
        <w:rPr>
          <w:rFonts w:ascii="Arial" w:hAnsi="Arial" w:cs="Arial"/>
          <w:sz w:val="24"/>
          <w:szCs w:val="24"/>
        </w:rPr>
        <w:t xml:space="preserve"> la protección más amplia de los derechos humanos del gobernado, protección a la que tod</w:t>
      </w:r>
      <w:r w:rsidR="00CE5022">
        <w:rPr>
          <w:rFonts w:ascii="Arial" w:hAnsi="Arial" w:cs="Arial"/>
          <w:sz w:val="24"/>
          <w:szCs w:val="24"/>
        </w:rPr>
        <w:t>a autoridad se encuentra sujeta</w:t>
      </w:r>
      <w:r w:rsidR="007C7B26" w:rsidRPr="001042B6">
        <w:rPr>
          <w:rFonts w:ascii="Arial" w:hAnsi="Arial" w:cs="Arial"/>
          <w:sz w:val="24"/>
          <w:szCs w:val="24"/>
        </w:rPr>
        <w:t xml:space="preserve"> </w:t>
      </w:r>
      <w:r w:rsidR="00CE5022">
        <w:rPr>
          <w:rFonts w:ascii="Arial" w:hAnsi="Arial" w:cs="Arial"/>
          <w:sz w:val="24"/>
          <w:szCs w:val="24"/>
        </w:rPr>
        <w:t>de</w:t>
      </w:r>
      <w:r w:rsidR="007C7B26">
        <w:rPr>
          <w:rFonts w:ascii="Arial" w:hAnsi="Arial" w:cs="Arial"/>
          <w:sz w:val="24"/>
          <w:szCs w:val="24"/>
        </w:rPr>
        <w:t xml:space="preserve"> aplica</w:t>
      </w:r>
      <w:r w:rsidR="00CE5022">
        <w:rPr>
          <w:rFonts w:ascii="Arial" w:hAnsi="Arial" w:cs="Arial"/>
          <w:sz w:val="24"/>
          <w:szCs w:val="24"/>
        </w:rPr>
        <w:t>ción,</w:t>
      </w:r>
      <w:r w:rsidR="007C7B26">
        <w:rPr>
          <w:rFonts w:ascii="Arial" w:hAnsi="Arial" w:cs="Arial"/>
          <w:sz w:val="24"/>
          <w:szCs w:val="24"/>
        </w:rPr>
        <w:t xml:space="preserve"> </w:t>
      </w:r>
      <w:r w:rsidR="007C7B26" w:rsidRPr="001042B6">
        <w:rPr>
          <w:rFonts w:ascii="Arial" w:hAnsi="Arial" w:cs="Arial"/>
          <w:sz w:val="24"/>
          <w:szCs w:val="24"/>
        </w:rPr>
        <w:t xml:space="preserve">como lo prevé el segundo párrafo del artículo 1 de la Constitución Política de los Estados Unidos Mexicanos, </w:t>
      </w:r>
      <w:r w:rsidR="000955E0">
        <w:rPr>
          <w:rFonts w:ascii="Arial" w:hAnsi="Arial" w:cs="Arial"/>
          <w:sz w:val="24"/>
          <w:szCs w:val="24"/>
        </w:rPr>
        <w:t xml:space="preserve">encontrándose </w:t>
      </w:r>
      <w:r w:rsidR="007C7B26" w:rsidRPr="001042B6">
        <w:rPr>
          <w:rFonts w:ascii="Arial" w:hAnsi="Arial" w:cs="Arial"/>
          <w:sz w:val="24"/>
          <w:szCs w:val="24"/>
        </w:rPr>
        <w:t>la demandada se constreñida a privilegiar el derecho a la seguridad social de</w:t>
      </w:r>
      <w:r w:rsidR="00CE5022">
        <w:rPr>
          <w:rFonts w:ascii="Arial" w:hAnsi="Arial" w:cs="Arial"/>
          <w:sz w:val="24"/>
          <w:szCs w:val="24"/>
        </w:rPr>
        <w:t xml:space="preserve"> </w:t>
      </w:r>
      <w:r w:rsidR="007C7B26" w:rsidRPr="001042B6">
        <w:rPr>
          <w:rFonts w:ascii="Arial" w:hAnsi="Arial" w:cs="Arial"/>
          <w:sz w:val="24"/>
          <w:szCs w:val="24"/>
        </w:rPr>
        <w:t>l</w:t>
      </w:r>
      <w:r w:rsidR="00CE5022">
        <w:rPr>
          <w:rFonts w:ascii="Arial" w:hAnsi="Arial" w:cs="Arial"/>
          <w:sz w:val="24"/>
          <w:szCs w:val="24"/>
        </w:rPr>
        <w:t>a</w:t>
      </w:r>
      <w:r w:rsidR="007C7B26" w:rsidRPr="001042B6">
        <w:rPr>
          <w:rFonts w:ascii="Arial" w:hAnsi="Arial" w:cs="Arial"/>
          <w:sz w:val="24"/>
          <w:szCs w:val="24"/>
        </w:rPr>
        <w:t xml:space="preserve"> actor</w:t>
      </w:r>
      <w:r w:rsidR="00CE5022">
        <w:rPr>
          <w:rFonts w:ascii="Arial" w:hAnsi="Arial" w:cs="Arial"/>
          <w:sz w:val="24"/>
          <w:szCs w:val="24"/>
        </w:rPr>
        <w:t>a</w:t>
      </w:r>
      <w:r w:rsidR="007C7B26" w:rsidRPr="001042B6">
        <w:rPr>
          <w:rFonts w:ascii="Arial" w:hAnsi="Arial" w:cs="Arial"/>
          <w:sz w:val="24"/>
          <w:szCs w:val="24"/>
        </w:rPr>
        <w:t>.</w:t>
      </w:r>
    </w:p>
    <w:p w14:paraId="6D1656EA"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293261">
        <w:rPr>
          <w:rFonts w:ascii="Arial" w:hAnsi="Arial" w:cs="Arial"/>
          <w:sz w:val="24"/>
          <w:szCs w:val="24"/>
        </w:rPr>
        <w:t>También debe considerarse, que</w:t>
      </w:r>
      <w:r w:rsidRPr="001042B6">
        <w:rPr>
          <w:rFonts w:ascii="Arial" w:hAnsi="Arial" w:cs="Arial"/>
          <w:sz w:val="24"/>
          <w:szCs w:val="24"/>
        </w:rPr>
        <w:t xml:space="preserve"> la Suprema Corte de Justicia de la Nación, ha </w:t>
      </w:r>
      <w:r w:rsidR="00B84F92">
        <w:rPr>
          <w:rFonts w:ascii="Arial" w:hAnsi="Arial" w:cs="Arial"/>
          <w:sz w:val="24"/>
          <w:szCs w:val="24"/>
        </w:rPr>
        <w:t>establecido</w:t>
      </w:r>
      <w:r w:rsidRPr="001042B6">
        <w:rPr>
          <w:rFonts w:ascii="Arial" w:hAnsi="Arial" w:cs="Arial"/>
          <w:sz w:val="24"/>
          <w:szCs w:val="24"/>
        </w:rPr>
        <w:t xml:space="preserve"> que si bien es cierto el artículo 123 apartado B de la Constitución Política de los Estados Unidos Mexicanos, clasifica a los trabajadores en dos sectores, base y confianza, y que están limitados los derechos de éstos últimos, como el relativo a la estabilidad e inamovilidad del empleo;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xml:space="preserve">, pues los trabajadores de confianza tienen reconocidos sus derechos laborales en la fracción XIV, del citado artículo 123 apartado B, dentro de ellos, a la </w:t>
      </w:r>
      <w:r w:rsidR="00045396">
        <w:rPr>
          <w:rFonts w:ascii="Arial" w:hAnsi="Arial" w:cs="Arial"/>
          <w:sz w:val="24"/>
          <w:szCs w:val="24"/>
        </w:rPr>
        <w:t>seguridad social, circunstancia</w:t>
      </w:r>
      <w:r w:rsidR="0074295B">
        <w:rPr>
          <w:rFonts w:ascii="Arial" w:hAnsi="Arial" w:cs="Arial"/>
          <w:sz w:val="24"/>
          <w:szCs w:val="24"/>
        </w:rPr>
        <w:t xml:space="preserve"> que</w:t>
      </w:r>
      <w:r w:rsidRPr="001042B6">
        <w:rPr>
          <w:rFonts w:ascii="Arial" w:hAnsi="Arial" w:cs="Arial"/>
          <w:sz w:val="24"/>
          <w:szCs w:val="24"/>
        </w:rPr>
        <w:t xml:space="preserve"> </w:t>
      </w:r>
      <w:r>
        <w:rPr>
          <w:rFonts w:ascii="Arial" w:hAnsi="Arial" w:cs="Arial"/>
          <w:sz w:val="24"/>
          <w:szCs w:val="24"/>
        </w:rPr>
        <w:t xml:space="preserve">no fue </w:t>
      </w:r>
      <w:r w:rsidRPr="001042B6">
        <w:rPr>
          <w:rFonts w:ascii="Arial" w:hAnsi="Arial" w:cs="Arial"/>
          <w:sz w:val="24"/>
          <w:szCs w:val="24"/>
        </w:rPr>
        <w:t>observa</w:t>
      </w:r>
      <w:r>
        <w:rPr>
          <w:rFonts w:ascii="Arial" w:hAnsi="Arial" w:cs="Arial"/>
          <w:sz w:val="24"/>
          <w:szCs w:val="24"/>
        </w:rPr>
        <w:t>da por</w:t>
      </w:r>
      <w:r w:rsidRPr="001042B6">
        <w:rPr>
          <w:rFonts w:ascii="Arial" w:hAnsi="Arial" w:cs="Arial"/>
          <w:sz w:val="24"/>
          <w:szCs w:val="24"/>
        </w:rPr>
        <w:t xml:space="preserve"> la autoridad demandada, pues como y</w:t>
      </w:r>
      <w:r w:rsidR="00CE5022">
        <w:rPr>
          <w:rFonts w:ascii="Arial" w:hAnsi="Arial" w:cs="Arial"/>
          <w:sz w:val="24"/>
          <w:szCs w:val="24"/>
        </w:rPr>
        <w:t xml:space="preserve">a se dijo, la suma que reclama </w:t>
      </w:r>
      <w:r w:rsidRPr="001042B6">
        <w:rPr>
          <w:rFonts w:ascii="Arial" w:hAnsi="Arial" w:cs="Arial"/>
          <w:sz w:val="24"/>
          <w:szCs w:val="24"/>
        </w:rPr>
        <w:t>l</w:t>
      </w:r>
      <w:r w:rsidR="00CE5022">
        <w:rPr>
          <w:rFonts w:ascii="Arial" w:hAnsi="Arial" w:cs="Arial"/>
          <w:sz w:val="24"/>
          <w:szCs w:val="24"/>
        </w:rPr>
        <w:t>a</w:t>
      </w:r>
      <w:r w:rsidRPr="001042B6">
        <w:rPr>
          <w:rFonts w:ascii="Arial" w:hAnsi="Arial" w:cs="Arial"/>
          <w:sz w:val="24"/>
          <w:szCs w:val="24"/>
        </w:rPr>
        <w:t xml:space="preserve"> actor</w:t>
      </w:r>
      <w:r w:rsidR="00CE5022">
        <w:rPr>
          <w:rFonts w:ascii="Arial" w:hAnsi="Arial" w:cs="Arial"/>
          <w:sz w:val="24"/>
          <w:szCs w:val="24"/>
        </w:rPr>
        <w:t>a</w:t>
      </w:r>
      <w:r w:rsidRPr="001042B6">
        <w:rPr>
          <w:rFonts w:ascii="Arial" w:hAnsi="Arial" w:cs="Arial"/>
          <w:sz w:val="24"/>
          <w:szCs w:val="24"/>
        </w:rPr>
        <w:t>,  formaba parte del salario</w:t>
      </w:r>
      <w:r>
        <w:rPr>
          <w:rFonts w:ascii="Arial" w:hAnsi="Arial" w:cs="Arial"/>
          <w:sz w:val="24"/>
          <w:szCs w:val="24"/>
        </w:rPr>
        <w:t xml:space="preserve">, </w:t>
      </w:r>
      <w:r w:rsidR="00184097">
        <w:rPr>
          <w:rFonts w:ascii="Arial" w:hAnsi="Arial" w:cs="Arial"/>
          <w:sz w:val="24"/>
          <w:szCs w:val="24"/>
        </w:rPr>
        <w:t xml:space="preserve">y </w:t>
      </w:r>
      <w:r>
        <w:rPr>
          <w:rFonts w:ascii="Arial" w:hAnsi="Arial" w:cs="Arial"/>
          <w:sz w:val="24"/>
          <w:szCs w:val="24"/>
        </w:rPr>
        <w:t xml:space="preserve">el no considerarlo así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para los trabajadores de confianza; pues el artículo 123 apartado B, fracción XIV, de la Constitución Política de los Estados Unidos Mexicanos, claramente dispone que los trabajadores de confianza gozarán de los beneficios de la seguridad social, por lo que el espíritu del legislador constitucionalista, tiene la intención de no restringir el derecho de los trabajadores de confianza a esa prerrogativa; máxime, que las aportaciones e</w:t>
      </w:r>
      <w:r>
        <w:rPr>
          <w:rFonts w:ascii="Arial" w:hAnsi="Arial" w:cs="Arial"/>
          <w:sz w:val="24"/>
          <w:szCs w:val="24"/>
        </w:rPr>
        <w:t>fectuadas por los trabajadores ya sea d</w:t>
      </w:r>
      <w:r w:rsidRPr="001042B6">
        <w:rPr>
          <w:rFonts w:ascii="Arial" w:hAnsi="Arial" w:cs="Arial"/>
          <w:sz w:val="24"/>
          <w:szCs w:val="24"/>
        </w:rPr>
        <w:t xml:space="preserve">e base </w:t>
      </w:r>
      <w:r>
        <w:rPr>
          <w:rFonts w:ascii="Arial" w:hAnsi="Arial" w:cs="Arial"/>
          <w:sz w:val="24"/>
          <w:szCs w:val="24"/>
        </w:rPr>
        <w:t>o</w:t>
      </w:r>
      <w:r w:rsidRPr="001042B6">
        <w:rPr>
          <w:rFonts w:ascii="Arial" w:hAnsi="Arial" w:cs="Arial"/>
          <w:sz w:val="24"/>
          <w:szCs w:val="24"/>
        </w:rPr>
        <w:t xml:space="preserve"> confianza, se ubican en un plano de igualdad, en relación </w:t>
      </w:r>
      <w:r w:rsidRPr="001042B6">
        <w:rPr>
          <w:rFonts w:ascii="Arial" w:hAnsi="Arial" w:cs="Arial"/>
          <w:sz w:val="24"/>
          <w:szCs w:val="24"/>
        </w:rPr>
        <w:lastRenderedPageBreak/>
        <w:t xml:space="preserve">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w:t>
      </w:r>
      <w:r w:rsidRPr="008648ED">
        <w:rPr>
          <w:rFonts w:ascii="Arial" w:hAnsi="Arial" w:cs="Arial"/>
          <w:sz w:val="24"/>
          <w:szCs w:val="24"/>
        </w:rPr>
        <w:t>categorías (base-confianza), no existe razón para que unos tengan el derecho de obtener la devolución y otros no cuando soliciten la devolución de sus aportaciones y no cumplan la antigüedad requerida para la obtención de una pensión.</w:t>
      </w:r>
      <w:r w:rsidRPr="001042B6">
        <w:rPr>
          <w:rFonts w:ascii="Arial" w:hAnsi="Arial" w:cs="Arial"/>
          <w:sz w:val="24"/>
          <w:szCs w:val="24"/>
        </w:rPr>
        <w:t xml:space="preserve"> </w:t>
      </w:r>
    </w:p>
    <w:p w14:paraId="0D114D1E" w14:textId="77777777" w:rsidR="000D7ACA" w:rsidRDefault="007C7B26" w:rsidP="000D7AC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0D7ACA">
        <w:rPr>
          <w:rFonts w:ascii="Arial" w:hAnsi="Arial" w:cs="Arial"/>
          <w:sz w:val="24"/>
          <w:szCs w:val="24"/>
        </w:rPr>
        <w:t xml:space="preserve">Por otra parte, la Organización de las Naciones Unidas, ha considerado </w:t>
      </w:r>
      <w:r w:rsidR="0074295B">
        <w:rPr>
          <w:rFonts w:ascii="Arial" w:hAnsi="Arial" w:cs="Arial"/>
          <w:sz w:val="24"/>
          <w:szCs w:val="24"/>
        </w:rPr>
        <w:t xml:space="preserve">a la </w:t>
      </w:r>
      <w:r w:rsidR="000D7ACA" w:rsidRPr="00CC416A">
        <w:rPr>
          <w:rFonts w:ascii="Arial" w:hAnsi="Arial" w:cs="Arial"/>
          <w:b/>
          <w:sz w:val="24"/>
          <w:szCs w:val="24"/>
        </w:rPr>
        <w:t>seguridad social</w:t>
      </w:r>
      <w:r w:rsidR="0074295B">
        <w:rPr>
          <w:rFonts w:ascii="Arial" w:hAnsi="Arial" w:cs="Arial"/>
          <w:b/>
          <w:sz w:val="24"/>
          <w:szCs w:val="24"/>
        </w:rPr>
        <w:t xml:space="preserve"> como un derecho humano</w:t>
      </w:r>
      <w:r w:rsidR="00A5739C">
        <w:rPr>
          <w:rFonts w:ascii="Arial" w:hAnsi="Arial" w:cs="Arial"/>
          <w:sz w:val="24"/>
          <w:szCs w:val="24"/>
        </w:rPr>
        <w:t>;</w:t>
      </w:r>
      <w:r w:rsidR="000D7ACA">
        <w:rPr>
          <w:rFonts w:ascii="Arial" w:hAnsi="Arial" w:cs="Arial"/>
          <w:sz w:val="24"/>
          <w:szCs w:val="24"/>
        </w:rPr>
        <w:t xml:space="preserve"> así se advierte del contenido del artículo 22 de la Declaración Universal de los Derechos Humanos, luego entonces, al</w:t>
      </w:r>
      <w:r w:rsidR="0005388E">
        <w:rPr>
          <w:rFonts w:ascii="Arial" w:hAnsi="Arial" w:cs="Arial"/>
          <w:sz w:val="24"/>
          <w:szCs w:val="24"/>
        </w:rPr>
        <w:t xml:space="preserve"> ser un derecho humano, se debe</w:t>
      </w:r>
      <w:r w:rsidR="000D7ACA">
        <w:rPr>
          <w:rFonts w:ascii="Arial" w:hAnsi="Arial" w:cs="Arial"/>
          <w:sz w:val="24"/>
          <w:szCs w:val="24"/>
        </w:rPr>
        <w:t xml:space="preserve"> considerar </w:t>
      </w:r>
      <w:r w:rsidR="0005388E">
        <w:rPr>
          <w:rFonts w:ascii="Arial" w:hAnsi="Arial" w:cs="Arial"/>
          <w:sz w:val="24"/>
          <w:szCs w:val="24"/>
        </w:rPr>
        <w:t xml:space="preserve">que estos (derecho humanos), </w:t>
      </w:r>
      <w:r w:rsidR="000D7ACA">
        <w:rPr>
          <w:rFonts w:ascii="Arial" w:hAnsi="Arial" w:cs="Arial"/>
          <w:sz w:val="24"/>
          <w:szCs w:val="24"/>
        </w:rPr>
        <w:t xml:space="preserve">consagran libertades y prerrogativas básicas de las personas, por tener la característica de ser universal, inalienable, indivisible, interdependiente e interaccionado con otros derechos, pero sobre todo, buscando un </w:t>
      </w:r>
      <w:r w:rsidR="000D7ACA" w:rsidRPr="00D813E9">
        <w:rPr>
          <w:rFonts w:ascii="Arial" w:hAnsi="Arial" w:cs="Arial"/>
          <w:b/>
          <w:sz w:val="24"/>
          <w:szCs w:val="24"/>
        </w:rPr>
        <w:t>carácter progresivo</w:t>
      </w:r>
      <w:r w:rsidR="000D7ACA">
        <w:rPr>
          <w:rFonts w:ascii="Arial" w:hAnsi="Arial" w:cs="Arial"/>
          <w:sz w:val="24"/>
          <w:szCs w:val="24"/>
        </w:rPr>
        <w:t xml:space="preserve">, es decir, que una vez alcanzado un estándar, </w:t>
      </w:r>
      <w:r w:rsidR="000D7ACA" w:rsidRPr="004E3820">
        <w:rPr>
          <w:rFonts w:ascii="Arial" w:hAnsi="Arial" w:cs="Arial"/>
          <w:b/>
          <w:sz w:val="24"/>
          <w:szCs w:val="24"/>
        </w:rPr>
        <w:t>la protección que brinda ese derecho</w:t>
      </w:r>
      <w:r w:rsidR="0005388E">
        <w:rPr>
          <w:rFonts w:ascii="Arial" w:hAnsi="Arial" w:cs="Arial"/>
          <w:b/>
          <w:sz w:val="24"/>
          <w:szCs w:val="24"/>
        </w:rPr>
        <w:t xml:space="preserve"> humano</w:t>
      </w:r>
      <w:r w:rsidR="000D7ACA" w:rsidRPr="004E3820">
        <w:rPr>
          <w:rFonts w:ascii="Arial" w:hAnsi="Arial" w:cs="Arial"/>
          <w:b/>
          <w:sz w:val="24"/>
          <w:szCs w:val="24"/>
        </w:rPr>
        <w:t xml:space="preserve"> debe ampliarse</w:t>
      </w:r>
      <w:r w:rsidR="000D7ACA">
        <w:rPr>
          <w:rFonts w:ascii="Arial" w:hAnsi="Arial" w:cs="Arial"/>
          <w:sz w:val="24"/>
          <w:szCs w:val="24"/>
        </w:rPr>
        <w:t xml:space="preserve">, tal y como lo prevé el artículo 1 segundo párrafo de la Constitución Política de los Estados Unidos Mexicanos; </w:t>
      </w:r>
      <w:r w:rsidR="0005388E">
        <w:rPr>
          <w:rFonts w:ascii="Arial" w:hAnsi="Arial" w:cs="Arial"/>
          <w:sz w:val="24"/>
          <w:szCs w:val="24"/>
        </w:rPr>
        <w:t xml:space="preserve">y en ese sentido, </w:t>
      </w:r>
      <w:r w:rsidR="000D7ACA">
        <w:rPr>
          <w:rFonts w:ascii="Arial" w:hAnsi="Arial" w:cs="Arial"/>
          <w:sz w:val="24"/>
          <w:szCs w:val="24"/>
        </w:rPr>
        <w:t xml:space="preserve">ha sido criterio del más alto Tribunal del País, que </w:t>
      </w:r>
      <w:r w:rsidR="000D7ACA" w:rsidRPr="0005388E">
        <w:rPr>
          <w:rFonts w:ascii="Arial" w:hAnsi="Arial" w:cs="Arial"/>
          <w:b/>
          <w:sz w:val="24"/>
          <w:szCs w:val="24"/>
        </w:rPr>
        <w:t>el progreso implica</w:t>
      </w:r>
      <w:r w:rsidR="000D7ACA">
        <w:rPr>
          <w:rFonts w:ascii="Arial" w:hAnsi="Arial" w:cs="Arial"/>
          <w:sz w:val="24"/>
          <w:szCs w:val="24"/>
        </w:rPr>
        <w:t xml:space="preserve">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anterior Ley de Pensiones para los Empleados del Gobierno del Estado de Oaxaca (la cual no se encuentra vigente</w:t>
      </w:r>
      <w:r w:rsidR="000D7ACA" w:rsidRPr="000D7ACA">
        <w:rPr>
          <w:rFonts w:ascii="Arial" w:hAnsi="Arial" w:cs="Arial"/>
          <w:sz w:val="24"/>
          <w:szCs w:val="24"/>
        </w:rPr>
        <w:t xml:space="preserve">), </w:t>
      </w:r>
      <w:r w:rsidR="000D7ACA" w:rsidRPr="0005388E">
        <w:rPr>
          <w:rFonts w:ascii="Arial" w:hAnsi="Arial" w:cs="Arial"/>
          <w:b/>
          <w:sz w:val="24"/>
          <w:szCs w:val="24"/>
        </w:rPr>
        <w:t>ya</w:t>
      </w:r>
      <w:r w:rsidR="000D7ACA" w:rsidRPr="000D7ACA">
        <w:rPr>
          <w:rFonts w:ascii="Arial" w:hAnsi="Arial" w:cs="Arial"/>
          <w:sz w:val="24"/>
          <w:szCs w:val="24"/>
        </w:rPr>
        <w:t xml:space="preserve"> </w:t>
      </w:r>
      <w:r w:rsidR="000D7ACA" w:rsidRPr="000D7ACA">
        <w:rPr>
          <w:rFonts w:ascii="Arial" w:hAnsi="Arial" w:cs="Arial"/>
          <w:b/>
          <w:sz w:val="24"/>
          <w:szCs w:val="24"/>
        </w:rPr>
        <w:t>se había alcanzado el estándar de no distinción entre</w:t>
      </w:r>
      <w:r w:rsidR="000D7ACA" w:rsidRPr="00101EBB">
        <w:rPr>
          <w:rFonts w:ascii="Arial" w:hAnsi="Arial" w:cs="Arial"/>
          <w:b/>
          <w:sz w:val="24"/>
          <w:szCs w:val="24"/>
        </w:rPr>
        <w:t xml:space="preserve"> los trabajadores de base y de confianza</w:t>
      </w:r>
      <w:r w:rsidR="000D7ACA">
        <w:rPr>
          <w:rFonts w:ascii="Arial" w:hAnsi="Arial" w:cs="Arial"/>
          <w:b/>
          <w:sz w:val="24"/>
          <w:szCs w:val="24"/>
        </w:rPr>
        <w:t>,</w:t>
      </w:r>
      <w:r w:rsidR="000D7ACA">
        <w:rPr>
          <w:rFonts w:ascii="Arial" w:hAnsi="Arial" w:cs="Arial"/>
          <w:sz w:val="24"/>
          <w:szCs w:val="24"/>
        </w:rPr>
        <w:t xml:space="preserve"> al prescribir: “</w:t>
      </w:r>
      <w:r w:rsidR="000D7ACA" w:rsidRPr="00C14862">
        <w:rPr>
          <w:rFonts w:ascii="Arial" w:hAnsi="Arial" w:cs="Arial"/>
          <w:b/>
          <w:i/>
          <w:sz w:val="24"/>
          <w:szCs w:val="24"/>
        </w:rPr>
        <w:t>ARTICULO 3°.-</w:t>
      </w:r>
      <w:r w:rsidR="000D7ACA" w:rsidRPr="00C14862">
        <w:rPr>
          <w:rFonts w:ascii="Arial" w:hAnsi="Arial" w:cs="Arial"/>
          <w:i/>
          <w:sz w:val="24"/>
          <w:szCs w:val="24"/>
        </w:rPr>
        <w:t xml:space="preserve"> Para los efectos de esta Ley no habrá distinción entre trabajadores de confianza y de base, quedando comprendidos unos y otros, en sus disposiciones.</w:t>
      </w:r>
      <w:r w:rsidR="000D7ACA">
        <w:rPr>
          <w:rFonts w:ascii="Arial" w:hAnsi="Arial" w:cs="Arial"/>
          <w:sz w:val="24"/>
          <w:szCs w:val="24"/>
        </w:rPr>
        <w:t>”, luego entonces, el carácter progresivo que contempla la Constitución Política de los Estados Unidos Mexicanos, resulta</w:t>
      </w:r>
      <w:r w:rsidR="000D37A6">
        <w:rPr>
          <w:rFonts w:ascii="Arial" w:hAnsi="Arial" w:cs="Arial"/>
          <w:sz w:val="24"/>
          <w:szCs w:val="24"/>
        </w:rPr>
        <w:t>ría</w:t>
      </w:r>
      <w:r w:rsidR="000D7ACA">
        <w:rPr>
          <w:rFonts w:ascii="Arial" w:hAnsi="Arial" w:cs="Arial"/>
          <w:sz w:val="24"/>
          <w:szCs w:val="24"/>
        </w:rPr>
        <w:t xml:space="preserve"> violentado con la disposición del artículo 64 de la actual y vigente Ley de Pensiones para los Trabajadores del Gobierno del Estado de Oaxaca, que</w:t>
      </w:r>
      <w:r w:rsidR="000D37A6">
        <w:rPr>
          <w:rFonts w:ascii="Arial" w:hAnsi="Arial" w:cs="Arial"/>
          <w:sz w:val="24"/>
          <w:szCs w:val="24"/>
        </w:rPr>
        <w:t xml:space="preserve"> a </w:t>
      </w:r>
      <w:r w:rsidR="000D37A6">
        <w:rPr>
          <w:rFonts w:ascii="Arial" w:hAnsi="Arial" w:cs="Arial"/>
          <w:sz w:val="24"/>
          <w:szCs w:val="24"/>
        </w:rPr>
        <w:lastRenderedPageBreak/>
        <w:t xml:space="preserve">decir de la autoridad demandada únicamente </w:t>
      </w:r>
      <w:r w:rsidR="000D7ACA">
        <w:rPr>
          <w:rFonts w:ascii="Arial" w:hAnsi="Arial" w:cs="Arial"/>
          <w:sz w:val="24"/>
          <w:szCs w:val="24"/>
        </w:rPr>
        <w:t xml:space="preserve">contempla a los trabajadores de base para recibir </w:t>
      </w:r>
      <w:r w:rsidR="00CD3092">
        <w:rPr>
          <w:rFonts w:ascii="Arial" w:hAnsi="Arial" w:cs="Arial"/>
          <w:sz w:val="24"/>
          <w:szCs w:val="24"/>
        </w:rPr>
        <w:t>la</w:t>
      </w:r>
      <w:r w:rsidR="0005388E">
        <w:rPr>
          <w:rFonts w:ascii="Arial" w:hAnsi="Arial" w:cs="Arial"/>
          <w:sz w:val="24"/>
          <w:szCs w:val="24"/>
        </w:rPr>
        <w:t>s</w:t>
      </w:r>
      <w:r w:rsidR="00CD3092">
        <w:rPr>
          <w:rFonts w:ascii="Arial" w:hAnsi="Arial" w:cs="Arial"/>
          <w:sz w:val="24"/>
          <w:szCs w:val="24"/>
        </w:rPr>
        <w:t xml:space="preserve"> </w:t>
      </w:r>
      <w:r w:rsidR="0005388E">
        <w:rPr>
          <w:rFonts w:ascii="Arial" w:hAnsi="Arial" w:cs="Arial"/>
          <w:sz w:val="24"/>
          <w:szCs w:val="24"/>
        </w:rPr>
        <w:t>devoluciones</w:t>
      </w:r>
      <w:r w:rsidR="00CD3092">
        <w:rPr>
          <w:rFonts w:ascii="Arial" w:hAnsi="Arial" w:cs="Arial"/>
          <w:sz w:val="24"/>
          <w:szCs w:val="24"/>
        </w:rPr>
        <w:t xml:space="preserve"> </w:t>
      </w:r>
      <w:r w:rsidR="0005388E">
        <w:rPr>
          <w:rFonts w:ascii="Arial" w:hAnsi="Arial" w:cs="Arial"/>
          <w:sz w:val="24"/>
          <w:szCs w:val="24"/>
        </w:rPr>
        <w:t xml:space="preserve">como las </w:t>
      </w:r>
      <w:r w:rsidR="00CD3092">
        <w:rPr>
          <w:rFonts w:ascii="Arial" w:hAnsi="Arial" w:cs="Arial"/>
          <w:sz w:val="24"/>
          <w:szCs w:val="24"/>
        </w:rPr>
        <w:t>que solicitó la</w:t>
      </w:r>
      <w:r w:rsidR="000D7ACA">
        <w:rPr>
          <w:rFonts w:ascii="Arial" w:hAnsi="Arial" w:cs="Arial"/>
          <w:sz w:val="24"/>
          <w:szCs w:val="24"/>
        </w:rPr>
        <w:t xml:space="preserve"> actor</w:t>
      </w:r>
      <w:r w:rsidR="00CD3092">
        <w:rPr>
          <w:rFonts w:ascii="Arial" w:hAnsi="Arial" w:cs="Arial"/>
          <w:sz w:val="24"/>
          <w:szCs w:val="24"/>
        </w:rPr>
        <w:t>a</w:t>
      </w:r>
      <w:r w:rsidR="000D7ACA">
        <w:rPr>
          <w:rFonts w:ascii="Arial" w:hAnsi="Arial" w:cs="Arial"/>
          <w:sz w:val="24"/>
          <w:szCs w:val="24"/>
        </w:rPr>
        <w:t>, consecuentemente, el artículo mencionado</w:t>
      </w:r>
      <w:r w:rsidR="00A5739C">
        <w:rPr>
          <w:rFonts w:ascii="Arial" w:hAnsi="Arial" w:cs="Arial"/>
          <w:sz w:val="24"/>
          <w:szCs w:val="24"/>
        </w:rPr>
        <w:t xml:space="preserve"> (64)</w:t>
      </w:r>
      <w:r w:rsidR="000D7ACA">
        <w:rPr>
          <w:rFonts w:ascii="Arial" w:hAnsi="Arial" w:cs="Arial"/>
          <w:sz w:val="24"/>
          <w:szCs w:val="24"/>
        </w:rPr>
        <w:t xml:space="preserve">, </w:t>
      </w:r>
      <w:r w:rsidR="000D7ACA" w:rsidRPr="00562DC7">
        <w:rPr>
          <w:rFonts w:ascii="Arial" w:hAnsi="Arial" w:cs="Arial"/>
          <w:b/>
          <w:sz w:val="24"/>
          <w:szCs w:val="24"/>
        </w:rPr>
        <w:t>si resulta discriminatorio</w:t>
      </w:r>
      <w:r w:rsidR="000D7ACA">
        <w:rPr>
          <w:rFonts w:ascii="Arial" w:hAnsi="Arial" w:cs="Arial"/>
          <w:sz w:val="24"/>
          <w:szCs w:val="24"/>
        </w:rPr>
        <w:t xml:space="preserve"> </w:t>
      </w:r>
      <w:r w:rsidR="000D7ACA" w:rsidRPr="00562DC7">
        <w:rPr>
          <w:rFonts w:ascii="Arial" w:hAnsi="Arial" w:cs="Arial"/>
          <w:b/>
          <w:sz w:val="24"/>
          <w:szCs w:val="24"/>
        </w:rPr>
        <w:t xml:space="preserve">para </w:t>
      </w:r>
      <w:r w:rsidR="00CD3092">
        <w:rPr>
          <w:rFonts w:ascii="Arial" w:hAnsi="Arial" w:cs="Arial"/>
          <w:b/>
          <w:sz w:val="24"/>
          <w:szCs w:val="24"/>
        </w:rPr>
        <w:t>la</w:t>
      </w:r>
      <w:r w:rsidR="000D7ACA">
        <w:rPr>
          <w:rFonts w:ascii="Arial" w:hAnsi="Arial" w:cs="Arial"/>
          <w:b/>
          <w:sz w:val="24"/>
          <w:szCs w:val="24"/>
        </w:rPr>
        <w:t xml:space="preserve"> actor</w:t>
      </w:r>
      <w:r w:rsidR="00CD3092">
        <w:rPr>
          <w:rFonts w:ascii="Arial" w:hAnsi="Arial" w:cs="Arial"/>
          <w:b/>
          <w:sz w:val="24"/>
          <w:szCs w:val="24"/>
        </w:rPr>
        <w:t>a</w:t>
      </w:r>
      <w:r w:rsidR="000D7ACA">
        <w:rPr>
          <w:rFonts w:ascii="Arial" w:hAnsi="Arial" w:cs="Arial"/>
          <w:b/>
          <w:sz w:val="24"/>
          <w:szCs w:val="24"/>
        </w:rPr>
        <w:t xml:space="preserve"> como </w:t>
      </w:r>
      <w:r w:rsidR="000D7ACA" w:rsidRPr="00562DC7">
        <w:rPr>
          <w:rFonts w:ascii="Arial" w:hAnsi="Arial" w:cs="Arial"/>
          <w:b/>
          <w:sz w:val="24"/>
          <w:szCs w:val="24"/>
        </w:rPr>
        <w:t>trabajador</w:t>
      </w:r>
      <w:r w:rsidR="000D7ACA">
        <w:rPr>
          <w:rFonts w:ascii="Arial" w:hAnsi="Arial" w:cs="Arial"/>
          <w:b/>
          <w:sz w:val="24"/>
          <w:szCs w:val="24"/>
        </w:rPr>
        <w:t>a</w:t>
      </w:r>
      <w:r w:rsidR="000D7ACA" w:rsidRPr="00562DC7">
        <w:rPr>
          <w:rFonts w:ascii="Arial" w:hAnsi="Arial" w:cs="Arial"/>
          <w:b/>
          <w:sz w:val="24"/>
          <w:szCs w:val="24"/>
        </w:rPr>
        <w:t xml:space="preserve"> de confianza</w:t>
      </w:r>
      <w:r w:rsidR="000D7ACA">
        <w:rPr>
          <w:rFonts w:ascii="Arial" w:hAnsi="Arial" w:cs="Arial"/>
          <w:b/>
          <w:sz w:val="24"/>
          <w:szCs w:val="24"/>
        </w:rPr>
        <w:t xml:space="preserve"> para efectos de obtener </w:t>
      </w:r>
      <w:r w:rsidR="00CD3092">
        <w:rPr>
          <w:rFonts w:ascii="Arial" w:hAnsi="Arial" w:cs="Arial"/>
          <w:b/>
          <w:sz w:val="24"/>
          <w:szCs w:val="24"/>
        </w:rPr>
        <w:t>la devolución de las aportaciones que efectuó</w:t>
      </w:r>
      <w:r w:rsidR="00A5739C">
        <w:rPr>
          <w:rFonts w:ascii="Arial" w:hAnsi="Arial" w:cs="Arial"/>
          <w:b/>
          <w:sz w:val="24"/>
          <w:szCs w:val="24"/>
        </w:rPr>
        <w:t xml:space="preserve"> al fondo de pensiones,</w:t>
      </w:r>
      <w:r w:rsidR="000D7ACA">
        <w:rPr>
          <w:rFonts w:ascii="Arial" w:hAnsi="Arial" w:cs="Arial"/>
          <w:sz w:val="24"/>
          <w:szCs w:val="24"/>
        </w:rPr>
        <w:t xml:space="preserve"> contrario a lo expuesto por la autoridad demandada, </w:t>
      </w:r>
      <w:r w:rsidR="00A5739C">
        <w:rPr>
          <w:rFonts w:ascii="Arial" w:hAnsi="Arial" w:cs="Arial"/>
          <w:sz w:val="24"/>
          <w:szCs w:val="24"/>
        </w:rPr>
        <w:t>quien con su actuar, privó</w:t>
      </w:r>
      <w:r w:rsidR="000D7ACA">
        <w:rPr>
          <w:rFonts w:ascii="Arial" w:hAnsi="Arial" w:cs="Arial"/>
          <w:sz w:val="24"/>
          <w:szCs w:val="24"/>
        </w:rPr>
        <w:t xml:space="preserve"> a</w:t>
      </w:r>
      <w:r w:rsidR="00A5739C">
        <w:rPr>
          <w:rFonts w:ascii="Arial" w:hAnsi="Arial" w:cs="Arial"/>
          <w:sz w:val="24"/>
          <w:szCs w:val="24"/>
        </w:rPr>
        <w:t xml:space="preserve"> </w:t>
      </w:r>
      <w:r w:rsidR="000D7ACA">
        <w:rPr>
          <w:rFonts w:ascii="Arial" w:hAnsi="Arial" w:cs="Arial"/>
          <w:sz w:val="24"/>
          <w:szCs w:val="24"/>
        </w:rPr>
        <w:t>l</w:t>
      </w:r>
      <w:r w:rsidR="00A5739C">
        <w:rPr>
          <w:rFonts w:ascii="Arial" w:hAnsi="Arial" w:cs="Arial"/>
          <w:sz w:val="24"/>
          <w:szCs w:val="24"/>
        </w:rPr>
        <w:t>a</w:t>
      </w:r>
      <w:r w:rsidR="000D7ACA">
        <w:rPr>
          <w:rFonts w:ascii="Arial" w:hAnsi="Arial" w:cs="Arial"/>
          <w:sz w:val="24"/>
          <w:szCs w:val="24"/>
        </w:rPr>
        <w:t xml:space="preserve"> actor</w:t>
      </w:r>
      <w:r w:rsidR="00A5739C">
        <w:rPr>
          <w:rFonts w:ascii="Arial" w:hAnsi="Arial" w:cs="Arial"/>
          <w:sz w:val="24"/>
          <w:szCs w:val="24"/>
        </w:rPr>
        <w:t>a</w:t>
      </w:r>
      <w:r w:rsidR="000D7ACA">
        <w:rPr>
          <w:rFonts w:ascii="Arial" w:hAnsi="Arial" w:cs="Arial"/>
          <w:sz w:val="24"/>
          <w:szCs w:val="24"/>
        </w:rPr>
        <w:t xml:space="preserve"> de la protección integral del derecho humano </w:t>
      </w:r>
      <w:r w:rsidR="00A5739C">
        <w:rPr>
          <w:rFonts w:ascii="Arial" w:hAnsi="Arial" w:cs="Arial"/>
          <w:sz w:val="24"/>
          <w:szCs w:val="24"/>
        </w:rPr>
        <w:t xml:space="preserve">que le corresponde </w:t>
      </w:r>
      <w:r w:rsidR="000D7ACA">
        <w:rPr>
          <w:rFonts w:ascii="Arial" w:hAnsi="Arial" w:cs="Arial"/>
          <w:sz w:val="24"/>
          <w:szCs w:val="24"/>
        </w:rPr>
        <w:t>a la seguridad social</w:t>
      </w:r>
      <w:r w:rsidR="00A5739C">
        <w:rPr>
          <w:rFonts w:ascii="Arial" w:hAnsi="Arial" w:cs="Arial"/>
          <w:sz w:val="24"/>
          <w:szCs w:val="24"/>
        </w:rPr>
        <w:t>,</w:t>
      </w:r>
      <w:r w:rsidR="000D7ACA">
        <w:rPr>
          <w:rFonts w:ascii="Arial" w:hAnsi="Arial" w:cs="Arial"/>
          <w:sz w:val="24"/>
          <w:szCs w:val="24"/>
        </w:rPr>
        <w:t xml:space="preserve"> previsto en la Constitución Política de los Estados Unidos Mexicanos</w:t>
      </w:r>
      <w:r w:rsidR="0005388E">
        <w:rPr>
          <w:rFonts w:ascii="Arial" w:hAnsi="Arial" w:cs="Arial"/>
          <w:sz w:val="24"/>
          <w:szCs w:val="24"/>
        </w:rPr>
        <w:t>,</w:t>
      </w:r>
      <w:r w:rsidR="000D7ACA">
        <w:rPr>
          <w:rFonts w:ascii="Arial" w:hAnsi="Arial" w:cs="Arial"/>
          <w:sz w:val="24"/>
          <w:szCs w:val="24"/>
        </w:rPr>
        <w:t xml:space="preserve"> como ya se precisó; consecuentement</w:t>
      </w:r>
      <w:r w:rsidR="00A5739C">
        <w:rPr>
          <w:rFonts w:ascii="Arial" w:hAnsi="Arial" w:cs="Arial"/>
          <w:sz w:val="24"/>
          <w:szCs w:val="24"/>
        </w:rPr>
        <w:t>e, al no haberse otorgado dicha devolución</w:t>
      </w:r>
      <w:r w:rsidR="000D7ACA">
        <w:rPr>
          <w:rFonts w:ascii="Arial" w:hAnsi="Arial" w:cs="Arial"/>
          <w:sz w:val="24"/>
          <w:szCs w:val="24"/>
        </w:rPr>
        <w:t>, se inobservaron  los supuestos del artículo 1 fracción III, de la Ley Federal para Prevenir y Eliminar la discriminación, que para mayor comprensión se transcribe:</w:t>
      </w:r>
    </w:p>
    <w:p w14:paraId="6BC81FFC" w14:textId="77777777" w:rsidR="000D7ACA" w:rsidRPr="00984554" w:rsidRDefault="000D7ACA" w:rsidP="000D7ACA">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777FE734" w14:textId="77777777" w:rsidR="000D7ACA" w:rsidRPr="00984554" w:rsidRDefault="000D7ACA" w:rsidP="000D7ACA">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00D59C06" w14:textId="77777777" w:rsidR="000D7ACA" w:rsidRPr="00984554" w:rsidRDefault="000D7ACA" w:rsidP="000D7ACA">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DCF3579" w14:textId="77777777" w:rsidR="007C7B26" w:rsidRPr="001042B6" w:rsidRDefault="00A5739C"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C7B26" w:rsidRPr="00711BB2">
        <w:rPr>
          <w:rFonts w:ascii="Arial" w:hAnsi="Arial" w:cs="Arial"/>
          <w:sz w:val="24"/>
          <w:szCs w:val="24"/>
        </w:rPr>
        <w:t>Ahora bien, el artículo 1 reformado de la Constitución Política de los Estados Unidos Mexicanos, dispone:</w:t>
      </w:r>
    </w:p>
    <w:p w14:paraId="31432BA4"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78EDF8E5"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 xml:space="preserve">Las normas relativas a los derechos humanos se interpretarán de conformidad con esta Constitución y con los tratados internacionales de la </w:t>
      </w:r>
      <w:r w:rsidRPr="001042B6">
        <w:rPr>
          <w:rFonts w:ascii="Arial" w:hAnsi="Arial" w:cs="Arial"/>
          <w:i/>
          <w:sz w:val="24"/>
          <w:szCs w:val="24"/>
        </w:rPr>
        <w:lastRenderedPageBreak/>
        <w:t>materia favoreciendo en todo tiempo a las personas la protección más amplia.</w:t>
      </w:r>
    </w:p>
    <w:p w14:paraId="5C72683B"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C158B68"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Está prohibida la esclavitud en los Estados Unidos Mexicanos. Los esclavos del extranjero que entren al territorio nacional alcanzarán, por este solo hecho, su libertad y la protección de las leyes.</w:t>
      </w:r>
    </w:p>
    <w:p w14:paraId="5191E4CE"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65038C60"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más alto Tribunal del País, ha destacado que en dicho precepto constitucional, se establecen éstos criterios:</w:t>
      </w:r>
    </w:p>
    <w:p w14:paraId="542D1B09"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61731224"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168BE22C"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F706577"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65F13189"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w:t>
      </w:r>
      <w:r w:rsidRPr="001042B6">
        <w:rPr>
          <w:rFonts w:ascii="Arial" w:hAnsi="Arial" w:cs="Arial"/>
          <w:sz w:val="24"/>
          <w:szCs w:val="24"/>
        </w:rPr>
        <w:lastRenderedPageBreak/>
        <w:t xml:space="preserve">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14:paraId="71065485" w14:textId="16B1C830"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w:t>
      </w:r>
      <w:r w:rsidR="00184097">
        <w:rPr>
          <w:rFonts w:ascii="Arial" w:hAnsi="Arial" w:cs="Arial"/>
          <w:sz w:val="24"/>
          <w:szCs w:val="24"/>
        </w:rPr>
        <w:t>os ordenamientos jurídicos, este</w:t>
      </w:r>
      <w:r w:rsidRPr="001042B6">
        <w:rPr>
          <w:rFonts w:ascii="Arial" w:hAnsi="Arial" w:cs="Arial"/>
          <w:sz w:val="24"/>
          <w:szCs w:val="24"/>
        </w:rPr>
        <w:t xml:space="preserve"> Juzgador considera jurídicamente procedente</w:t>
      </w:r>
      <w:r>
        <w:rPr>
          <w:rFonts w:ascii="Arial" w:hAnsi="Arial" w:cs="Arial"/>
          <w:sz w:val="24"/>
          <w:szCs w:val="24"/>
        </w:rPr>
        <w:t>,</w:t>
      </w:r>
      <w:r w:rsidRPr="001042B6">
        <w:rPr>
          <w:rFonts w:ascii="Arial" w:hAnsi="Arial" w:cs="Arial"/>
          <w:sz w:val="24"/>
          <w:szCs w:val="24"/>
        </w:rPr>
        <w:t xml:space="preserve"> para la protección del derecho a la seguridad social de</w:t>
      </w:r>
      <w:r w:rsidR="00184097">
        <w:rPr>
          <w:rFonts w:ascii="Arial" w:hAnsi="Arial" w:cs="Arial"/>
          <w:sz w:val="24"/>
          <w:szCs w:val="24"/>
        </w:rPr>
        <w:t xml:space="preserve"> </w:t>
      </w:r>
      <w:r w:rsidRPr="001042B6">
        <w:rPr>
          <w:rFonts w:ascii="Arial" w:hAnsi="Arial" w:cs="Arial"/>
          <w:sz w:val="24"/>
          <w:szCs w:val="24"/>
        </w:rPr>
        <w:t>l</w:t>
      </w:r>
      <w:r w:rsidR="00184097">
        <w:rPr>
          <w:rFonts w:ascii="Arial" w:hAnsi="Arial" w:cs="Arial"/>
          <w:sz w:val="24"/>
          <w:szCs w:val="24"/>
        </w:rPr>
        <w:t>a</w:t>
      </w:r>
      <w:r w:rsidRPr="001042B6">
        <w:rPr>
          <w:rFonts w:ascii="Arial" w:hAnsi="Arial" w:cs="Arial"/>
          <w:sz w:val="24"/>
          <w:szCs w:val="24"/>
        </w:rPr>
        <w:t xml:space="preserve"> actor</w:t>
      </w:r>
      <w:r w:rsidR="00184097">
        <w:rPr>
          <w:rFonts w:ascii="Arial" w:hAnsi="Arial" w:cs="Arial"/>
          <w:sz w:val="24"/>
          <w:szCs w:val="24"/>
        </w:rPr>
        <w:t>a</w:t>
      </w:r>
      <w:r w:rsidRPr="001042B6">
        <w:rPr>
          <w:rFonts w:ascii="Arial" w:hAnsi="Arial" w:cs="Arial"/>
          <w:sz w:val="24"/>
          <w:szCs w:val="24"/>
        </w:rPr>
        <w:t>,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el Pacto Internacional de los Derechos Económicos, Sociales y Culturales, que</w:t>
      </w:r>
      <w:r w:rsidR="0094330B">
        <w:rPr>
          <w:rFonts w:ascii="Arial" w:hAnsi="Arial" w:cs="Arial"/>
          <w:sz w:val="24"/>
          <w:szCs w:val="24"/>
        </w:rPr>
        <w:t xml:space="preserve"> en su artículo 9, contempla el</w:t>
      </w:r>
      <w:r w:rsidRPr="001042B6">
        <w:rPr>
          <w:rFonts w:ascii="Arial" w:hAnsi="Arial" w:cs="Arial"/>
          <w:sz w:val="24"/>
          <w:szCs w:val="24"/>
        </w:rPr>
        <w:t xml:space="preserv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sidR="0094330B">
        <w:rPr>
          <w:rFonts w:ascii="Arial" w:hAnsi="Arial" w:cs="Arial"/>
          <w:b/>
          <w:sz w:val="24"/>
          <w:szCs w:val="24"/>
        </w:rPr>
        <w:t>el</w:t>
      </w:r>
      <w:r>
        <w:rPr>
          <w:rFonts w:ascii="Arial" w:hAnsi="Arial" w:cs="Arial"/>
          <w:b/>
          <w:sz w:val="24"/>
          <w:szCs w:val="24"/>
        </w:rPr>
        <w:t xml:space="preserve"> artículo </w:t>
      </w:r>
      <w:r w:rsidR="0094330B">
        <w:rPr>
          <w:rFonts w:ascii="Arial" w:hAnsi="Arial" w:cs="Arial"/>
          <w:b/>
          <w:sz w:val="24"/>
          <w:szCs w:val="24"/>
        </w:rPr>
        <w:t>64</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Pr="001042B6">
        <w:rPr>
          <w:rFonts w:ascii="Arial" w:hAnsi="Arial" w:cs="Arial"/>
          <w:sz w:val="24"/>
          <w:szCs w:val="24"/>
        </w:rPr>
        <w:t>pues en el caso particular de</w:t>
      </w:r>
      <w:r w:rsidR="00184097">
        <w:rPr>
          <w:rFonts w:ascii="Arial" w:hAnsi="Arial" w:cs="Arial"/>
          <w:sz w:val="24"/>
          <w:szCs w:val="24"/>
        </w:rPr>
        <w:t xml:space="preserve"> </w:t>
      </w:r>
      <w:r w:rsidRPr="001042B6">
        <w:rPr>
          <w:rFonts w:ascii="Arial" w:hAnsi="Arial" w:cs="Arial"/>
          <w:sz w:val="24"/>
          <w:szCs w:val="24"/>
        </w:rPr>
        <w:t>l</w:t>
      </w:r>
      <w:r w:rsidR="00184097">
        <w:rPr>
          <w:rFonts w:ascii="Arial" w:hAnsi="Arial" w:cs="Arial"/>
          <w:sz w:val="24"/>
          <w:szCs w:val="24"/>
        </w:rPr>
        <w:t xml:space="preserve">a actora </w:t>
      </w:r>
      <w:r w:rsidR="00E047B8">
        <w:rPr>
          <w:rFonts w:ascii="Arial" w:hAnsi="Arial" w:cs="Arial"/>
          <w:sz w:val="24"/>
          <w:szCs w:val="24"/>
        </w:rPr>
        <w:t>***** ***** ***** *****</w:t>
      </w:r>
      <w:r w:rsidRPr="001042B6">
        <w:rPr>
          <w:rFonts w:ascii="Arial" w:hAnsi="Arial" w:cs="Arial"/>
          <w:sz w:val="24"/>
          <w:szCs w:val="24"/>
        </w:rPr>
        <w:t xml:space="preserve">, debe obtener la devolución de las aportaciones que efectuó al Fondo de Pensiones; </w:t>
      </w:r>
      <w:r>
        <w:rPr>
          <w:rFonts w:ascii="Arial" w:hAnsi="Arial" w:cs="Arial"/>
          <w:sz w:val="24"/>
          <w:szCs w:val="24"/>
        </w:rPr>
        <w:t>consecuentemente</w:t>
      </w:r>
      <w:r w:rsidRPr="001042B6">
        <w:rPr>
          <w:rFonts w:ascii="Arial" w:hAnsi="Arial" w:cs="Arial"/>
          <w:sz w:val="24"/>
          <w:szCs w:val="24"/>
        </w:rPr>
        <w:t xml:space="preserve">, se declara la </w:t>
      </w:r>
      <w:r w:rsidRPr="001042B6">
        <w:rPr>
          <w:rFonts w:ascii="Arial" w:hAnsi="Arial" w:cs="Arial"/>
          <w:b/>
          <w:sz w:val="24"/>
          <w:szCs w:val="24"/>
        </w:rPr>
        <w:t>NULIDAD</w:t>
      </w:r>
      <w:r w:rsidR="00C011CA">
        <w:rPr>
          <w:rFonts w:ascii="Arial" w:hAnsi="Arial" w:cs="Arial"/>
          <w:sz w:val="24"/>
          <w:szCs w:val="24"/>
        </w:rPr>
        <w:t xml:space="preserve"> del oficio </w:t>
      </w:r>
      <w:r w:rsidR="00E047B8">
        <w:rPr>
          <w:rFonts w:ascii="Arial" w:hAnsi="Arial" w:cs="Arial"/>
          <w:sz w:val="24"/>
          <w:szCs w:val="24"/>
        </w:rPr>
        <w:t>OP/DG/DPE/****/2019</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E047B8">
        <w:rPr>
          <w:rFonts w:ascii="Arial" w:hAnsi="Arial" w:cs="Arial"/>
          <w:sz w:val="24"/>
          <w:szCs w:val="24"/>
        </w:rPr>
        <w:t>***** de ***** de dos mil diecinueve (**/**/2019)</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 que conceda la devolución de las aportaciones al fondo de pensiones solicitadas por l</w:t>
      </w:r>
      <w:r w:rsidR="00C011CA">
        <w:rPr>
          <w:rFonts w:ascii="Arial" w:hAnsi="Arial" w:cs="Arial"/>
          <w:sz w:val="24"/>
          <w:szCs w:val="24"/>
        </w:rPr>
        <w:t>a</w:t>
      </w:r>
      <w:r w:rsidRPr="001042B6">
        <w:rPr>
          <w:rFonts w:ascii="Arial" w:hAnsi="Arial" w:cs="Arial"/>
          <w:sz w:val="24"/>
          <w:szCs w:val="24"/>
        </w:rPr>
        <w:t xml:space="preserve"> actor</w:t>
      </w:r>
      <w:r w:rsidR="00C011CA">
        <w:rPr>
          <w:rFonts w:ascii="Arial" w:hAnsi="Arial" w:cs="Arial"/>
          <w:sz w:val="24"/>
          <w:szCs w:val="24"/>
        </w:rPr>
        <w:t>a</w:t>
      </w:r>
      <w:r w:rsidRPr="001042B6">
        <w:rPr>
          <w:rFonts w:ascii="Arial" w:hAnsi="Arial" w:cs="Arial"/>
          <w:sz w:val="24"/>
          <w:szCs w:val="24"/>
        </w:rPr>
        <w:t xml:space="preserve">, lo anterior de conformidad con lo dispuesto en los artículos 207, 208, y 209 de la Ley de Procedimiento y Justicia Administrativa para el Estado de Oaxaca. </w:t>
      </w:r>
    </w:p>
    <w:p w14:paraId="1AE566E8"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6DA99E08"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w:t>
      </w:r>
      <w:r w:rsidRPr="001042B6">
        <w:rPr>
          <w:rFonts w:ascii="Arial" w:hAnsi="Arial" w:cs="Arial"/>
          <w:i/>
          <w:sz w:val="24"/>
          <w:szCs w:val="24"/>
        </w:rPr>
        <w:lastRenderedPageBreak/>
        <w:t>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14:paraId="1F208B40" w14:textId="77777777" w:rsidR="00843FCA"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Así también, la Tesis con datos de identificación: Gaceta del Semanario Judicial de la Federación, Libro I, Diciembre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xml:space="preserve">.”; </w:t>
      </w:r>
    </w:p>
    <w:p w14:paraId="3E8AD0EB" w14:textId="77777777" w:rsidR="007C7B26" w:rsidRPr="001042B6" w:rsidRDefault="00843FCA"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xml:space="preserve">; </w:t>
      </w:r>
      <w:r w:rsidR="007C7B26" w:rsidRPr="001042B6">
        <w:rPr>
          <w:rFonts w:ascii="Arial" w:hAnsi="Arial" w:cs="Arial"/>
          <w:sz w:val="24"/>
          <w:szCs w:val="24"/>
        </w:rPr>
        <w:t>y,</w:t>
      </w:r>
    </w:p>
    <w:p w14:paraId="6E7DA9D3"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w:t>
      </w:r>
      <w:r w:rsidR="004B6C8B">
        <w:rPr>
          <w:rFonts w:ascii="Arial" w:hAnsi="Arial" w:cs="Arial"/>
          <w:i/>
          <w:sz w:val="24"/>
          <w:szCs w:val="24"/>
        </w:rPr>
        <w:t>NALIDAD Y CONVENCIONALIDAD EX O</w:t>
      </w:r>
      <w:r w:rsidRPr="001042B6">
        <w:rPr>
          <w:rFonts w:ascii="Arial" w:hAnsi="Arial" w:cs="Arial"/>
          <w:i/>
          <w:sz w:val="24"/>
          <w:szCs w:val="24"/>
        </w:rPr>
        <w:t>FICIO EN MATERIA DE DERECHOS HUMANOS.</w:t>
      </w:r>
      <w:r w:rsidRPr="001042B6">
        <w:rPr>
          <w:rFonts w:ascii="Arial" w:hAnsi="Arial" w:cs="Arial"/>
          <w:sz w:val="24"/>
          <w:szCs w:val="24"/>
        </w:rPr>
        <w:t>”</w:t>
      </w:r>
    </w:p>
    <w:p w14:paraId="65E8F76A"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0B3FFB">
          <w:rPr>
            <w:rStyle w:val="Hipervnculo"/>
            <w:rFonts w:ascii="Arial" w:hAnsi="Arial" w:cs="Arial"/>
            <w:sz w:val="24"/>
            <w:szCs w:val="24"/>
          </w:rPr>
          <w:t>https://www.scjn.gob.mx/sites/default/files/sinopsis_asuntos_destacados/documento/2017-01/2S-030615-JFFGS-0934.pdf</w:t>
        </w:r>
      </w:hyperlink>
      <w:r>
        <w:rPr>
          <w:rFonts w:ascii="Arial" w:hAnsi="Arial" w:cs="Arial"/>
          <w:sz w:val="24"/>
          <w:szCs w:val="24"/>
        </w:rPr>
        <w:t xml:space="preserve"> </w:t>
      </w:r>
    </w:p>
    <w:p w14:paraId="35688FC6"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076078D9"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1B08CF1D"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3BFE3A71"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314CFA7" w14:textId="3F808BCA" w:rsidR="007C7B26" w:rsidRDefault="007C7B26" w:rsidP="007C7B26">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sidR="00D12DC7">
        <w:rPr>
          <w:rFonts w:ascii="Arial" w:hAnsi="Arial" w:cs="Arial"/>
          <w:sz w:val="24"/>
          <w:szCs w:val="24"/>
        </w:rPr>
        <w:t xml:space="preserve"> del Oficio </w:t>
      </w:r>
      <w:r w:rsidR="00E047B8">
        <w:rPr>
          <w:rFonts w:ascii="Arial" w:hAnsi="Arial" w:cs="Arial"/>
          <w:sz w:val="24"/>
          <w:szCs w:val="24"/>
        </w:rPr>
        <w:t>OP/DG/DPE/****/2019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E047B8">
        <w:rPr>
          <w:rFonts w:ascii="Arial" w:hAnsi="Arial" w:cs="Arial"/>
          <w:color w:val="000000"/>
          <w:sz w:val="24"/>
          <w:szCs w:val="24"/>
        </w:rPr>
        <w:t>***** de ***** de dos mil diecinueve (**/**/2019)</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en el que conceda la devolución de las aportaciones al fondo</w:t>
      </w:r>
      <w:r w:rsidR="0039484D">
        <w:rPr>
          <w:rFonts w:ascii="Arial" w:hAnsi="Arial" w:cs="Arial"/>
          <w:sz w:val="24"/>
          <w:szCs w:val="24"/>
        </w:rPr>
        <w:t xml:space="preserve"> de pensiones solicitadas por la</w:t>
      </w:r>
      <w:r>
        <w:rPr>
          <w:rFonts w:ascii="Arial" w:hAnsi="Arial" w:cs="Arial"/>
          <w:sz w:val="24"/>
          <w:szCs w:val="24"/>
        </w:rPr>
        <w:t xml:space="preserve"> actor</w:t>
      </w:r>
      <w:r w:rsidR="0039484D">
        <w:rPr>
          <w:rFonts w:ascii="Arial" w:hAnsi="Arial" w:cs="Arial"/>
          <w:sz w:val="24"/>
          <w:szCs w:val="24"/>
        </w:rPr>
        <w:t>a</w:t>
      </w:r>
      <w:r>
        <w:rPr>
          <w:rFonts w:ascii="Arial" w:hAnsi="Arial" w:cs="Arial"/>
          <w:sz w:val="24"/>
          <w:szCs w:val="24"/>
        </w:rPr>
        <w:t xml:space="preserve">; lo anterior en términos precisados en el considerando SEXTO de esta resolución. - - - - - - - </w:t>
      </w:r>
    </w:p>
    <w:p w14:paraId="706F01E5" w14:textId="77777777" w:rsidR="0039484D" w:rsidRDefault="007C7B26" w:rsidP="0039484D">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6DA8B24A" w14:textId="77777777" w:rsidR="004B6C8B" w:rsidRPr="00961528" w:rsidRDefault="004B6C8B" w:rsidP="004B6C8B">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7BCCA3B6" w14:textId="77777777" w:rsidR="00B544E2" w:rsidRPr="001B2D5E" w:rsidRDefault="00B544E2" w:rsidP="00B544E2"/>
    <w:p w14:paraId="74B16D6F" w14:textId="77777777" w:rsidR="00EB0680" w:rsidRPr="00B544E2" w:rsidRDefault="00EB0680" w:rsidP="00B544E2"/>
    <w:sectPr w:rsidR="00EB0680" w:rsidRPr="00B544E2" w:rsidSect="00C27F1A">
      <w:headerReference w:type="even" r:id="rId9"/>
      <w:headerReference w:type="default" r:id="rId10"/>
      <w:footerReference w:type="default" r:id="rId11"/>
      <w:headerReference w:type="first" r:id="rId12"/>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F153" w14:textId="77777777" w:rsidR="00BD2E39" w:rsidRDefault="00BD2E39" w:rsidP="007A5B5E">
      <w:pPr>
        <w:spacing w:after="0" w:line="240" w:lineRule="auto"/>
      </w:pPr>
      <w:r>
        <w:separator/>
      </w:r>
    </w:p>
  </w:endnote>
  <w:endnote w:type="continuationSeparator" w:id="0">
    <w:p w14:paraId="17AB9280"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67C791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3E14204" wp14:editId="73AE480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6990F1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23BF0" w:rsidRPr="00323BF0">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1420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6990F1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23BF0" w:rsidRPr="00323BF0">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1FF4" w14:textId="77777777" w:rsidR="00BD2E39" w:rsidRDefault="00BD2E39" w:rsidP="007A5B5E">
      <w:pPr>
        <w:spacing w:after="0" w:line="240" w:lineRule="auto"/>
      </w:pPr>
      <w:r>
        <w:separator/>
      </w:r>
    </w:p>
  </w:footnote>
  <w:footnote w:type="continuationSeparator" w:id="0">
    <w:p w14:paraId="1D399CFB"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73A6" w14:textId="77777777" w:rsidR="00BD2E39" w:rsidRDefault="00E047B8">
    <w:pPr>
      <w:pStyle w:val="Encabezado"/>
    </w:pPr>
    <w:r>
      <w:rPr>
        <w:noProof/>
        <w:lang w:eastAsia="es-MX"/>
      </w:rPr>
      <w:pict w14:anchorId="03E137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B46D" w14:textId="0E504FE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2223D17" wp14:editId="52BC2FD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BBA282D" w14:textId="77777777" w:rsidR="00BD2E39" w:rsidRDefault="00BD2E39" w:rsidP="002960E1">
                          <w:r>
                            <w:rPr>
                              <w:noProof/>
                              <w:lang w:eastAsia="es-MX"/>
                            </w:rPr>
                            <w:drawing>
                              <wp:inline distT="0" distB="0" distL="0" distR="0" wp14:anchorId="3AB1DA96" wp14:editId="541B8462">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223D1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BBA282D" w14:textId="77777777" w:rsidR="00BD2E39" w:rsidRDefault="00BD2E39" w:rsidP="002960E1">
                    <w:r>
                      <w:rPr>
                        <w:noProof/>
                        <w:lang w:eastAsia="es-MX"/>
                      </w:rPr>
                      <w:drawing>
                        <wp:inline distT="0" distB="0" distL="0" distR="0" wp14:anchorId="3AB1DA96" wp14:editId="541B8462">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B6B81">
      <w:rPr>
        <w:rFonts w:ascii="Bookman Old Style" w:hAnsi="Bookman Old Style"/>
        <w:b/>
        <w:sz w:val="24"/>
        <w:szCs w:val="24"/>
      </w:rPr>
      <w:t>009</w:t>
    </w:r>
    <w:r w:rsidRPr="00391F24">
      <w:rPr>
        <w:rFonts w:ascii="Bookman Old Style" w:hAnsi="Bookman Old Style"/>
        <w:b/>
        <w:sz w:val="24"/>
        <w:szCs w:val="24"/>
      </w:rPr>
      <w:t>/</w:t>
    </w:r>
    <w:r w:rsidR="00B544E2">
      <w:rPr>
        <w:rFonts w:ascii="Bookman Old Style" w:hAnsi="Bookman Old Style"/>
        <w:b/>
        <w:sz w:val="24"/>
        <w:szCs w:val="24"/>
      </w:rPr>
      <w:t>2020</w:t>
    </w:r>
  </w:p>
  <w:p w14:paraId="7B867743" w14:textId="3A16DF69" w:rsidR="00BD2E39" w:rsidRPr="00071C38" w:rsidRDefault="00E047B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4146C974" wp14:editId="294703CB">
              <wp:simplePos x="0" y="0"/>
              <wp:positionH relativeFrom="column">
                <wp:posOffset>-1285875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98DCFE3" w14:textId="77777777" w:rsidR="00E047B8" w:rsidRPr="003B6E97" w:rsidRDefault="00E047B8" w:rsidP="00E047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46C974" id="Cuadro de texto 3" o:spid="_x0000_s1027" type="#_x0000_t202" style="position:absolute;left:0;text-align:left;margin-left:-101.25pt;margin-top:323.25pt;width:93pt;height:12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">
              <v:textbox>
                <w:txbxContent>
                  <w:p w14:paraId="298DCFE3" w14:textId="77777777" w:rsidR="00E047B8" w:rsidRPr="003B6E97" w:rsidRDefault="00E047B8" w:rsidP="00E047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47A7D20F" wp14:editId="0C3261DE">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1E0B" w14:textId="77777777" w:rsidR="00BD2E39" w:rsidRDefault="00E047B8">
    <w:pPr>
      <w:pStyle w:val="Encabezado"/>
    </w:pPr>
    <w:r>
      <w:rPr>
        <w:noProof/>
        <w:lang w:eastAsia="es-MX"/>
      </w:rPr>
      <w:pict w14:anchorId="000F08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6A61"/>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396"/>
    <w:rsid w:val="00045647"/>
    <w:rsid w:val="00047223"/>
    <w:rsid w:val="00050977"/>
    <w:rsid w:val="00052B0A"/>
    <w:rsid w:val="0005388E"/>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80379"/>
    <w:rsid w:val="0008431D"/>
    <w:rsid w:val="00084FF9"/>
    <w:rsid w:val="00085C5D"/>
    <w:rsid w:val="00086629"/>
    <w:rsid w:val="000920FC"/>
    <w:rsid w:val="00092B13"/>
    <w:rsid w:val="00094496"/>
    <w:rsid w:val="000955E0"/>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37A6"/>
    <w:rsid w:val="000D6626"/>
    <w:rsid w:val="000D6D16"/>
    <w:rsid w:val="000D7002"/>
    <w:rsid w:val="000D7442"/>
    <w:rsid w:val="000D7ACA"/>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9CD"/>
    <w:rsid w:val="00282C25"/>
    <w:rsid w:val="0028392C"/>
    <w:rsid w:val="00284F95"/>
    <w:rsid w:val="0028642F"/>
    <w:rsid w:val="00293261"/>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BF0"/>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235"/>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6B81"/>
    <w:rsid w:val="004B6C8B"/>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E7EF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C64"/>
    <w:rsid w:val="0057749A"/>
    <w:rsid w:val="00580999"/>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66C5"/>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05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53F3"/>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1BB2"/>
    <w:rsid w:val="0071474B"/>
    <w:rsid w:val="00714E8F"/>
    <w:rsid w:val="0071537A"/>
    <w:rsid w:val="007171A5"/>
    <w:rsid w:val="007175DA"/>
    <w:rsid w:val="007200C8"/>
    <w:rsid w:val="00721EC8"/>
    <w:rsid w:val="00723AAA"/>
    <w:rsid w:val="00724ADE"/>
    <w:rsid w:val="00724C0B"/>
    <w:rsid w:val="00726144"/>
    <w:rsid w:val="00727727"/>
    <w:rsid w:val="007312A2"/>
    <w:rsid w:val="00732829"/>
    <w:rsid w:val="007373DB"/>
    <w:rsid w:val="0073781A"/>
    <w:rsid w:val="0074295B"/>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55A"/>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3FCA"/>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48ED"/>
    <w:rsid w:val="00875789"/>
    <w:rsid w:val="008846DD"/>
    <w:rsid w:val="008848C8"/>
    <w:rsid w:val="00885691"/>
    <w:rsid w:val="00886378"/>
    <w:rsid w:val="00890C8B"/>
    <w:rsid w:val="008911C8"/>
    <w:rsid w:val="008926C1"/>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330B"/>
    <w:rsid w:val="00944386"/>
    <w:rsid w:val="00944597"/>
    <w:rsid w:val="009468AA"/>
    <w:rsid w:val="00947085"/>
    <w:rsid w:val="00952BBB"/>
    <w:rsid w:val="00952DA2"/>
    <w:rsid w:val="00953189"/>
    <w:rsid w:val="009575F5"/>
    <w:rsid w:val="00961528"/>
    <w:rsid w:val="00961AB8"/>
    <w:rsid w:val="009652D6"/>
    <w:rsid w:val="00973D47"/>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39C"/>
    <w:rsid w:val="00A57E36"/>
    <w:rsid w:val="00A62BB9"/>
    <w:rsid w:val="00A640B9"/>
    <w:rsid w:val="00A659DE"/>
    <w:rsid w:val="00A75971"/>
    <w:rsid w:val="00A761F4"/>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B0B"/>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4F92"/>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1882"/>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092"/>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37"/>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976"/>
    <w:rsid w:val="00D60C60"/>
    <w:rsid w:val="00D65ECF"/>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47B8"/>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DD4"/>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CBC"/>
    <w:rsid w:val="00EE3204"/>
    <w:rsid w:val="00EE3B4D"/>
    <w:rsid w:val="00EE602E"/>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AA7"/>
    <w:rsid w:val="00F767DC"/>
    <w:rsid w:val="00F82D42"/>
    <w:rsid w:val="00F839F5"/>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0E2057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AED6E-FEA5-4DBF-86F2-613E87D6B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1962</TotalTime>
  <Pages>14</Pages>
  <Words>5315</Words>
  <Characters>29234</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1234</cp:revision>
  <cp:lastPrinted>2021-02-15T17:27:00Z</cp:lastPrinted>
  <dcterms:created xsi:type="dcterms:W3CDTF">2019-07-08T16:38:00Z</dcterms:created>
  <dcterms:modified xsi:type="dcterms:W3CDTF">2021-06-30T19:14:00Z</dcterms:modified>
</cp:coreProperties>
</file>