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947582" w14:textId="77777777" w:rsidR="00EC31D0" w:rsidRPr="00CB6405" w:rsidRDefault="00EC31D0" w:rsidP="00EC31D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656CAE0D" w14:textId="77777777" w:rsidR="00EC31D0" w:rsidRPr="00CB6405" w:rsidRDefault="00EC31D0" w:rsidP="00EC31D0">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Pr>
          <w:rFonts w:ascii="Arial" w:hAnsi="Arial" w:cs="Arial"/>
          <w:b/>
          <w:sz w:val="26"/>
          <w:szCs w:val="26"/>
        </w:rPr>
        <w:t>022/2020.</w:t>
      </w:r>
    </w:p>
    <w:p w14:paraId="155E20E9" w14:textId="77777777" w:rsidR="00EC31D0" w:rsidRDefault="00EC31D0" w:rsidP="00EC31D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0088/</w:t>
      </w:r>
      <w:r w:rsidRPr="00CB6405">
        <w:rPr>
          <w:rFonts w:ascii="Arial" w:hAnsi="Arial" w:cs="Arial"/>
          <w:b/>
          <w:sz w:val="26"/>
          <w:szCs w:val="26"/>
        </w:rPr>
        <w:t>201</w:t>
      </w:r>
      <w:r>
        <w:rPr>
          <w:rFonts w:ascii="Arial" w:hAnsi="Arial" w:cs="Arial"/>
          <w:b/>
          <w:sz w:val="26"/>
          <w:szCs w:val="26"/>
        </w:rPr>
        <w:t>7</w:t>
      </w:r>
      <w:r w:rsidRPr="00CB6405">
        <w:rPr>
          <w:rFonts w:ascii="Arial" w:hAnsi="Arial" w:cs="Arial"/>
          <w:b/>
          <w:sz w:val="26"/>
          <w:szCs w:val="26"/>
        </w:rPr>
        <w:t xml:space="preserve"> </w:t>
      </w:r>
      <w:r>
        <w:rPr>
          <w:rFonts w:ascii="Arial" w:hAnsi="Arial" w:cs="Arial"/>
          <w:b/>
          <w:sz w:val="26"/>
          <w:szCs w:val="26"/>
        </w:rPr>
        <w:t xml:space="preserve">CUARTA </w:t>
      </w:r>
      <w:r w:rsidRPr="00CB6405">
        <w:rPr>
          <w:rFonts w:ascii="Arial" w:hAnsi="Arial" w:cs="Arial"/>
          <w:b/>
          <w:sz w:val="26"/>
          <w:szCs w:val="26"/>
        </w:rPr>
        <w:t>SALA UNITARIA DE PRIMERA INSTANCIA</w:t>
      </w:r>
      <w:r>
        <w:rPr>
          <w:rFonts w:ascii="Arial" w:hAnsi="Arial" w:cs="Arial"/>
          <w:b/>
          <w:sz w:val="26"/>
          <w:szCs w:val="26"/>
        </w:rPr>
        <w:t>.</w:t>
      </w:r>
    </w:p>
    <w:p w14:paraId="57214B9B" w14:textId="77777777" w:rsidR="00EC31D0" w:rsidRDefault="00EC31D0" w:rsidP="00EC31D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14:paraId="335E65A8" w14:textId="77777777" w:rsidR="00EC31D0" w:rsidRDefault="00EC31D0" w:rsidP="00EC31D0">
      <w:pPr>
        <w:spacing w:before="240" w:line="360" w:lineRule="auto"/>
        <w:jc w:val="both"/>
        <w:rPr>
          <w:rFonts w:ascii="Arial" w:hAnsi="Arial" w:cs="Arial"/>
          <w:b/>
          <w:sz w:val="26"/>
          <w:szCs w:val="26"/>
        </w:rPr>
      </w:pPr>
    </w:p>
    <w:p w14:paraId="57E14CF7" w14:textId="77777777" w:rsidR="00EF59D2" w:rsidRDefault="00EC31D0" w:rsidP="006A4D3C">
      <w:pPr>
        <w:spacing w:before="240" w:line="360" w:lineRule="auto"/>
        <w:ind w:left="708"/>
        <w:jc w:val="both"/>
        <w:rPr>
          <w:rFonts w:ascii="Arial" w:hAnsi="Arial" w:cs="Arial"/>
          <w:b/>
          <w:sz w:val="26"/>
          <w:szCs w:val="26"/>
        </w:rPr>
      </w:pPr>
      <w:r>
        <w:rPr>
          <w:rFonts w:ascii="Arial" w:hAnsi="Arial" w:cs="Arial"/>
          <w:b/>
          <w:sz w:val="26"/>
          <w:szCs w:val="26"/>
        </w:rPr>
        <w:t xml:space="preserve">OAXACA DE JUÁREZ, OAXACA </w:t>
      </w:r>
      <w:r w:rsidR="006A4D3C">
        <w:rPr>
          <w:rFonts w:ascii="Arial" w:hAnsi="Arial" w:cs="Arial"/>
          <w:b/>
          <w:sz w:val="26"/>
          <w:szCs w:val="26"/>
        </w:rPr>
        <w:t xml:space="preserve">A ONCE </w:t>
      </w:r>
      <w:r>
        <w:rPr>
          <w:rFonts w:ascii="Arial" w:hAnsi="Arial" w:cs="Arial"/>
          <w:b/>
          <w:sz w:val="26"/>
          <w:szCs w:val="26"/>
        </w:rPr>
        <w:t xml:space="preserve">DE </w:t>
      </w:r>
      <w:r w:rsidR="006A4D3C">
        <w:rPr>
          <w:rFonts w:ascii="Arial" w:hAnsi="Arial" w:cs="Arial"/>
          <w:b/>
          <w:sz w:val="26"/>
          <w:szCs w:val="26"/>
        </w:rPr>
        <w:t xml:space="preserve">MARZO </w:t>
      </w:r>
      <w:r>
        <w:rPr>
          <w:rFonts w:ascii="Arial" w:hAnsi="Arial" w:cs="Arial"/>
          <w:b/>
          <w:sz w:val="26"/>
          <w:szCs w:val="26"/>
        </w:rPr>
        <w:t xml:space="preserve">DE DOS MIL VEINTIUNO. - - - - - - - - - - - - - - - - - - - - - - - - - - - - - - - - - - - </w:t>
      </w:r>
      <w:r w:rsidR="006A4D3C">
        <w:rPr>
          <w:rFonts w:ascii="Arial" w:hAnsi="Arial" w:cs="Arial"/>
          <w:b/>
          <w:sz w:val="26"/>
          <w:szCs w:val="26"/>
        </w:rPr>
        <w:t xml:space="preserve">  </w:t>
      </w:r>
    </w:p>
    <w:p w14:paraId="476EAA88" w14:textId="26CB4A53" w:rsidR="00EC31D0" w:rsidRDefault="006A4D3C" w:rsidP="00EF59D2">
      <w:pPr>
        <w:spacing w:before="240" w:line="360" w:lineRule="auto"/>
        <w:ind w:left="708" w:firstLine="708"/>
        <w:jc w:val="both"/>
        <w:rPr>
          <w:rFonts w:ascii="Arial" w:hAnsi="Arial" w:cs="Arial"/>
          <w:sz w:val="26"/>
          <w:szCs w:val="26"/>
        </w:rPr>
      </w:pPr>
      <w:r>
        <w:rPr>
          <w:rFonts w:ascii="Arial" w:hAnsi="Arial" w:cs="Arial"/>
          <w:b/>
          <w:sz w:val="26"/>
          <w:szCs w:val="26"/>
        </w:rPr>
        <w:t xml:space="preserve"> </w:t>
      </w:r>
      <w:r w:rsidR="00EC31D0">
        <w:rPr>
          <w:rFonts w:ascii="Arial" w:hAnsi="Arial" w:cs="Arial"/>
          <w:sz w:val="26"/>
          <w:szCs w:val="26"/>
        </w:rPr>
        <w:t>Se tiene por recibido el cuaderno de recurso de r</w:t>
      </w:r>
      <w:r w:rsidR="00EC31D0" w:rsidRPr="006E349D">
        <w:rPr>
          <w:rFonts w:ascii="Arial" w:hAnsi="Arial" w:cs="Arial"/>
          <w:sz w:val="26"/>
          <w:szCs w:val="26"/>
        </w:rPr>
        <w:t xml:space="preserve">evisión </w:t>
      </w:r>
      <w:r w:rsidR="00EC31D0" w:rsidRPr="00CB6405">
        <w:rPr>
          <w:rFonts w:ascii="Arial" w:hAnsi="Arial" w:cs="Arial"/>
          <w:b/>
          <w:sz w:val="26"/>
          <w:szCs w:val="26"/>
        </w:rPr>
        <w:t>0</w:t>
      </w:r>
      <w:r w:rsidR="00EC31D0">
        <w:rPr>
          <w:rFonts w:ascii="Arial" w:hAnsi="Arial" w:cs="Arial"/>
          <w:b/>
          <w:sz w:val="26"/>
          <w:szCs w:val="26"/>
        </w:rPr>
        <w:t>022</w:t>
      </w:r>
      <w:r w:rsidR="00EC31D0" w:rsidRPr="00CB6405">
        <w:rPr>
          <w:rFonts w:ascii="Arial" w:hAnsi="Arial" w:cs="Arial"/>
          <w:b/>
          <w:sz w:val="26"/>
          <w:szCs w:val="26"/>
        </w:rPr>
        <w:t>/20</w:t>
      </w:r>
      <w:r w:rsidR="00EC31D0">
        <w:rPr>
          <w:rFonts w:ascii="Arial" w:hAnsi="Arial" w:cs="Arial"/>
          <w:b/>
          <w:sz w:val="26"/>
          <w:szCs w:val="26"/>
        </w:rPr>
        <w:t>20</w:t>
      </w:r>
      <w:r w:rsidR="00EC31D0">
        <w:rPr>
          <w:rFonts w:ascii="Arial" w:hAnsi="Arial" w:cs="Arial"/>
          <w:sz w:val="26"/>
          <w:szCs w:val="26"/>
        </w:rPr>
        <w:t xml:space="preserve">, turnado por la Secretaría General de Acuerdos, con motivo del recurso de revisión interpuesto por el </w:t>
      </w:r>
      <w:r w:rsidR="00EC31D0">
        <w:rPr>
          <w:rFonts w:ascii="Arial" w:hAnsi="Arial" w:cs="Arial"/>
          <w:b/>
          <w:sz w:val="26"/>
          <w:szCs w:val="26"/>
        </w:rPr>
        <w:t>DIRECTOR DE LO CONTENCIOSO DE LA PROCURADURÍA FISCAL</w:t>
      </w:r>
      <w:r w:rsidR="00EC31D0" w:rsidRPr="00C2792A">
        <w:rPr>
          <w:rFonts w:ascii="Arial" w:hAnsi="Arial" w:cs="Arial"/>
          <w:b/>
          <w:sz w:val="26"/>
          <w:szCs w:val="26"/>
        </w:rPr>
        <w:t>,</w:t>
      </w:r>
      <w:r w:rsidR="00EC31D0">
        <w:rPr>
          <w:rFonts w:ascii="Arial" w:hAnsi="Arial" w:cs="Arial"/>
          <w:b/>
          <w:sz w:val="26"/>
          <w:szCs w:val="26"/>
        </w:rPr>
        <w:t xml:space="preserve"> DEPENDIENTE DE LA SUBSECRETARÍA DE INGRESOS DE LA SECRETARÍA DE FINANZAS DEL PODER EJECUTIVO DEL ESTADO,</w:t>
      </w:r>
      <w:r w:rsidR="00EC31D0">
        <w:rPr>
          <w:rFonts w:ascii="Arial" w:hAnsi="Arial" w:cs="Arial"/>
          <w:sz w:val="26"/>
          <w:szCs w:val="26"/>
        </w:rPr>
        <w:t xml:space="preserve"> en </w:t>
      </w:r>
      <w:r w:rsidR="00EC31D0" w:rsidRPr="006E349D">
        <w:rPr>
          <w:rFonts w:ascii="Arial" w:hAnsi="Arial" w:cs="Arial"/>
          <w:sz w:val="26"/>
          <w:szCs w:val="26"/>
        </w:rPr>
        <w:t>con</w:t>
      </w:r>
      <w:r w:rsidR="00EC31D0">
        <w:rPr>
          <w:rFonts w:ascii="Arial" w:hAnsi="Arial" w:cs="Arial"/>
          <w:sz w:val="26"/>
          <w:szCs w:val="26"/>
        </w:rPr>
        <w:t xml:space="preserve">tra de la sentencia de fecha veinticuatro de octubre de dos mil diecinueve, dictada en el expediente </w:t>
      </w:r>
      <w:r w:rsidR="00EC31D0">
        <w:rPr>
          <w:rFonts w:ascii="Arial" w:hAnsi="Arial" w:cs="Arial"/>
          <w:b/>
          <w:sz w:val="26"/>
          <w:szCs w:val="26"/>
        </w:rPr>
        <w:t xml:space="preserve">0088/2017 </w:t>
      </w:r>
      <w:r w:rsidR="00EC31D0">
        <w:rPr>
          <w:rFonts w:ascii="Arial" w:hAnsi="Arial" w:cs="Arial"/>
          <w:sz w:val="26"/>
          <w:szCs w:val="26"/>
        </w:rPr>
        <w:t xml:space="preserve">del índice de la Cuarta Sala Unitaria de Primera Instancia, relativo al juicio de nulidad promovido por </w:t>
      </w:r>
      <w:r w:rsidR="007F4196">
        <w:rPr>
          <w:rFonts w:ascii="Arial" w:hAnsi="Arial" w:cs="Arial"/>
          <w:b/>
          <w:sz w:val="26"/>
          <w:szCs w:val="26"/>
        </w:rPr>
        <w:t>***********</w:t>
      </w:r>
      <w:r w:rsidR="00EC31D0">
        <w:rPr>
          <w:rFonts w:ascii="Arial" w:hAnsi="Arial" w:cs="Arial"/>
          <w:b/>
          <w:sz w:val="26"/>
          <w:szCs w:val="26"/>
        </w:rPr>
        <w:t>,</w:t>
      </w:r>
      <w:r w:rsidR="00EC31D0">
        <w:rPr>
          <w:rFonts w:ascii="Arial" w:hAnsi="Arial" w:cs="Arial"/>
          <w:sz w:val="26"/>
          <w:szCs w:val="26"/>
        </w:rPr>
        <w:t xml:space="preserve"> en contra de la </w:t>
      </w:r>
      <w:r w:rsidR="00EC31D0">
        <w:rPr>
          <w:rFonts w:ascii="Arial" w:hAnsi="Arial" w:cs="Arial"/>
          <w:b/>
          <w:sz w:val="26"/>
          <w:szCs w:val="26"/>
        </w:rPr>
        <w:t>COORDINADORA TÉCNICA DE INGRESOS DE LA SECRETARÍA DE FINANZAS DEL ESTADO</w:t>
      </w:r>
      <w:r w:rsidR="00EC31D0" w:rsidRPr="0003266B">
        <w:rPr>
          <w:rFonts w:ascii="Arial" w:hAnsi="Arial" w:cs="Arial"/>
          <w:b/>
          <w:sz w:val="26"/>
          <w:szCs w:val="26"/>
        </w:rPr>
        <w:t>;</w:t>
      </w:r>
      <w:r w:rsidR="00EC31D0">
        <w:rPr>
          <w:rFonts w:ascii="Arial" w:hAnsi="Arial" w:cs="Arial"/>
          <w:sz w:val="26"/>
          <w:szCs w:val="26"/>
        </w:rPr>
        <w:t xml:space="preserve"> por lo que, con fundamento en los artículos 207 y 20</w:t>
      </w:r>
      <w:r w:rsidR="00EC31D0" w:rsidRPr="00671697">
        <w:rPr>
          <w:rFonts w:ascii="Arial" w:hAnsi="Arial" w:cs="Arial"/>
          <w:sz w:val="26"/>
          <w:szCs w:val="26"/>
        </w:rPr>
        <w:t>8</w:t>
      </w:r>
      <w:r w:rsidR="00EC31D0">
        <w:rPr>
          <w:rFonts w:ascii="Arial" w:hAnsi="Arial" w:cs="Arial"/>
          <w:sz w:val="26"/>
          <w:szCs w:val="26"/>
        </w:rPr>
        <w:t xml:space="preserve"> de la Ley de Justicia Administrativa para el Estado de Oaxaca, se admite. Por consiguiente, se procede a dictar resolución en los siguientes términos:</w:t>
      </w:r>
      <w:r w:rsidR="00EF59D2">
        <w:rPr>
          <w:rFonts w:ascii="Arial" w:hAnsi="Arial" w:cs="Arial"/>
          <w:sz w:val="26"/>
          <w:szCs w:val="26"/>
        </w:rPr>
        <w:t xml:space="preserve"> - - - - - - - - - - - - - - - - - - - - - - - - - - - - - - - - - </w:t>
      </w:r>
      <w:r w:rsidR="007F4196">
        <w:rPr>
          <w:rFonts w:ascii="Arial" w:hAnsi="Arial" w:cs="Arial"/>
          <w:sz w:val="26"/>
          <w:szCs w:val="26"/>
        </w:rPr>
        <w:t xml:space="preserve">- - - - - - - - </w:t>
      </w:r>
    </w:p>
    <w:p w14:paraId="7B910EB3" w14:textId="77777777" w:rsidR="00EC31D0" w:rsidRPr="00CB6405" w:rsidRDefault="00EC31D0" w:rsidP="00EC31D0">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6EDED6E" w14:textId="77777777" w:rsidR="00EC31D0" w:rsidRPr="00CB6405" w:rsidRDefault="00EC31D0" w:rsidP="00EC31D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veinticuatro de octubre de dos mil diecinueve,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Cuarta </w:t>
      </w:r>
      <w:r w:rsidRPr="00CB6405">
        <w:rPr>
          <w:rFonts w:ascii="Arial" w:hAnsi="Arial" w:cs="Arial"/>
          <w:sz w:val="26"/>
          <w:szCs w:val="26"/>
        </w:rPr>
        <w:t>Sala</w:t>
      </w:r>
      <w:r>
        <w:rPr>
          <w:rFonts w:ascii="Arial" w:hAnsi="Arial" w:cs="Arial"/>
          <w:sz w:val="26"/>
          <w:szCs w:val="26"/>
        </w:rPr>
        <w:t xml:space="preserve"> Unitaria de Primera Instancia, </w:t>
      </w:r>
      <w:r>
        <w:rPr>
          <w:rFonts w:ascii="Arial" w:hAnsi="Arial" w:cs="Arial"/>
          <w:b/>
          <w:sz w:val="26"/>
          <w:szCs w:val="26"/>
        </w:rPr>
        <w:t>el DIRECTOR DE LO CONTENCIOSO DE LA PROCURADURÍA FISCAL</w:t>
      </w:r>
      <w:r w:rsidRPr="00C2792A">
        <w:rPr>
          <w:rFonts w:ascii="Arial" w:hAnsi="Arial" w:cs="Arial"/>
          <w:b/>
          <w:sz w:val="26"/>
          <w:szCs w:val="26"/>
        </w:rPr>
        <w:t>,</w:t>
      </w:r>
      <w:r>
        <w:rPr>
          <w:rFonts w:ascii="Arial" w:hAnsi="Arial" w:cs="Arial"/>
          <w:b/>
          <w:sz w:val="26"/>
          <w:szCs w:val="26"/>
        </w:rPr>
        <w:t xml:space="preserve"> DEPENDIENTE DE LA SUBSECRETARÍA DE INGRESOS DE LA SECRETARÍA DE FINANZAS DEL PODER EJECUTIVO DEL ESTADO</w:t>
      </w:r>
      <w:r w:rsidRPr="00C2792A">
        <w:rPr>
          <w:rFonts w:ascii="Arial" w:hAnsi="Arial" w:cs="Arial"/>
          <w:b/>
          <w:sz w:val="26"/>
          <w:szCs w:val="26"/>
        </w:rPr>
        <w:t>,</w:t>
      </w:r>
      <w:r>
        <w:rPr>
          <w:rFonts w:ascii="Arial" w:hAnsi="Arial" w:cs="Arial"/>
          <w:b/>
          <w:sz w:val="26"/>
          <w:szCs w:val="26"/>
        </w:rPr>
        <w:t xml:space="preserve"> </w:t>
      </w:r>
      <w:r w:rsidRPr="00CB6405">
        <w:rPr>
          <w:rFonts w:ascii="Arial" w:hAnsi="Arial" w:cs="Arial"/>
          <w:sz w:val="26"/>
          <w:szCs w:val="26"/>
        </w:rPr>
        <w:t>interpuso en su contra recurso de revisión.</w:t>
      </w:r>
    </w:p>
    <w:p w14:paraId="70BA46EF" w14:textId="67D62A3E" w:rsidR="00EC31D0" w:rsidRDefault="00EC31D0" w:rsidP="00EC31D0">
      <w:pPr>
        <w:spacing w:after="0"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r w:rsidR="00EF59D2">
        <w:rPr>
          <w:rFonts w:ascii="Arial" w:hAnsi="Arial" w:cs="Arial"/>
          <w:bCs/>
          <w:sz w:val="26"/>
          <w:szCs w:val="26"/>
        </w:rPr>
        <w:t xml:space="preserve"> - - - - - - - - - - - - - - - - - - - - - - - - - - - - - - - - - - - - - - - - - </w:t>
      </w:r>
    </w:p>
    <w:p w14:paraId="354044F2" w14:textId="77777777" w:rsidR="00EC31D0" w:rsidRPr="00A103A2" w:rsidRDefault="00EC31D0" w:rsidP="00EC31D0">
      <w:pPr>
        <w:spacing w:line="360" w:lineRule="auto"/>
        <w:ind w:left="567" w:right="616"/>
        <w:jc w:val="both"/>
        <w:rPr>
          <w:rFonts w:ascii="Arial" w:hAnsi="Arial" w:cs="Arial"/>
          <w:i/>
        </w:rPr>
      </w:pPr>
      <w:r w:rsidRPr="00A103A2">
        <w:rPr>
          <w:rFonts w:ascii="Arial" w:eastAsia="Times New Roman" w:hAnsi="Arial" w:cs="Arial"/>
          <w:b/>
          <w:bCs/>
          <w:i/>
          <w:iCs/>
          <w:lang w:eastAsia="es-ES"/>
        </w:rPr>
        <w:lastRenderedPageBreak/>
        <w:t>“</w:t>
      </w:r>
      <w:r w:rsidRPr="00A103A2">
        <w:rPr>
          <w:rFonts w:ascii="Arial" w:hAnsi="Arial" w:cs="Arial"/>
          <w:b/>
          <w:i/>
        </w:rPr>
        <w:t>PRIMERO. –</w:t>
      </w:r>
      <w:r>
        <w:rPr>
          <w:rFonts w:ascii="Arial" w:hAnsi="Arial" w:cs="Arial"/>
          <w:i/>
        </w:rPr>
        <w:t xml:space="preserve"> Esta Cuarta Sala Unitaria fue</w:t>
      </w:r>
      <w:r>
        <w:rPr>
          <w:rFonts w:ascii="Arial" w:hAnsi="Arial" w:cs="Arial"/>
          <w:b/>
          <w:i/>
        </w:rPr>
        <w:t xml:space="preserve"> </w:t>
      </w:r>
      <w:r w:rsidRPr="00BF7DD1">
        <w:rPr>
          <w:rFonts w:ascii="Arial" w:hAnsi="Arial" w:cs="Arial"/>
          <w:i/>
        </w:rPr>
        <w:t>competente</w:t>
      </w:r>
      <w:r w:rsidRPr="00A103A2">
        <w:rPr>
          <w:rFonts w:ascii="Arial" w:hAnsi="Arial" w:cs="Arial"/>
          <w:i/>
        </w:rPr>
        <w:t xml:space="preserve"> para conocer y resolver el presente </w:t>
      </w:r>
      <w:r>
        <w:rPr>
          <w:rFonts w:ascii="Arial" w:hAnsi="Arial" w:cs="Arial"/>
          <w:i/>
        </w:rPr>
        <w:t>asunt</w:t>
      </w:r>
      <w:r w:rsidRPr="00A103A2">
        <w:rPr>
          <w:rFonts w:ascii="Arial" w:hAnsi="Arial" w:cs="Arial"/>
          <w:i/>
        </w:rPr>
        <w:t>o.</w:t>
      </w:r>
      <w:r>
        <w:rPr>
          <w:rFonts w:ascii="Arial" w:hAnsi="Arial" w:cs="Arial"/>
          <w:i/>
        </w:rPr>
        <w:t xml:space="preserve"> - - - - - - - - - - - - - - - - - - - - - - - - - - - - - - - - </w:t>
      </w:r>
    </w:p>
    <w:p w14:paraId="7DA1D725" w14:textId="77777777" w:rsidR="00EC31D0" w:rsidRPr="00A103A2" w:rsidRDefault="00EC31D0" w:rsidP="00EC31D0">
      <w:pPr>
        <w:spacing w:line="360" w:lineRule="auto"/>
        <w:ind w:left="567" w:right="616"/>
        <w:jc w:val="both"/>
        <w:rPr>
          <w:rFonts w:ascii="Arial" w:hAnsi="Arial" w:cs="Arial"/>
          <w:i/>
        </w:rPr>
      </w:pPr>
      <w:r w:rsidRPr="00A103A2">
        <w:rPr>
          <w:rFonts w:ascii="Arial" w:hAnsi="Arial" w:cs="Arial"/>
          <w:b/>
          <w:i/>
        </w:rPr>
        <w:t>SEGUNDO. –</w:t>
      </w:r>
      <w:r>
        <w:rPr>
          <w:rFonts w:ascii="Arial" w:hAnsi="Arial" w:cs="Arial"/>
          <w:b/>
          <w:i/>
        </w:rPr>
        <w:t xml:space="preserve"> </w:t>
      </w:r>
      <w:r>
        <w:rPr>
          <w:rFonts w:ascii="Arial" w:hAnsi="Arial" w:cs="Arial"/>
          <w:i/>
        </w:rPr>
        <w:t xml:space="preserve">La personalidad de las partes quedó acreditada en autos. </w:t>
      </w:r>
    </w:p>
    <w:p w14:paraId="44C7A179" w14:textId="77777777" w:rsidR="00EC31D0" w:rsidRPr="00A103A2" w:rsidRDefault="00EC31D0" w:rsidP="00EC31D0">
      <w:pPr>
        <w:spacing w:line="360" w:lineRule="auto"/>
        <w:ind w:left="567" w:right="616"/>
        <w:jc w:val="both"/>
        <w:rPr>
          <w:rFonts w:ascii="Arial" w:hAnsi="Arial" w:cs="Arial"/>
          <w:i/>
        </w:rPr>
      </w:pPr>
      <w:r w:rsidRPr="00A103A2">
        <w:rPr>
          <w:rFonts w:ascii="Arial" w:hAnsi="Arial" w:cs="Arial"/>
          <w:b/>
          <w:i/>
        </w:rPr>
        <w:t xml:space="preserve">TERCERO. - </w:t>
      </w:r>
      <w:r>
        <w:rPr>
          <w:rFonts w:ascii="Arial" w:hAnsi="Arial" w:cs="Arial"/>
          <w:i/>
        </w:rPr>
        <w:t xml:space="preserve">No se actualizaron causales de improcedencia hechas valer por la autoridad demandada, en consecuencia, </w:t>
      </w:r>
      <w:r>
        <w:rPr>
          <w:rFonts w:ascii="Arial" w:hAnsi="Arial" w:cs="Arial"/>
          <w:b/>
          <w:i/>
        </w:rPr>
        <w:t xml:space="preserve">NO SE SOBRESEE </w:t>
      </w:r>
      <w:r w:rsidRPr="00BF7DD1">
        <w:rPr>
          <w:rFonts w:ascii="Arial" w:hAnsi="Arial" w:cs="Arial"/>
          <w:i/>
        </w:rPr>
        <w:t>el juicio</w:t>
      </w:r>
      <w:r>
        <w:rPr>
          <w:rFonts w:ascii="Arial" w:hAnsi="Arial" w:cs="Arial"/>
          <w:b/>
          <w:i/>
        </w:rPr>
        <w:t>.</w:t>
      </w:r>
      <w:r>
        <w:rPr>
          <w:rFonts w:ascii="Arial" w:hAnsi="Arial" w:cs="Arial"/>
          <w:i/>
        </w:rPr>
        <w:t xml:space="preserve"> - - - - - - - - - - - - - - - - - - - - - - - - - - - - - - - - - - - - - - - - - - - - - - -</w:t>
      </w:r>
    </w:p>
    <w:p w14:paraId="398A82B0" w14:textId="292FB0FE" w:rsidR="00EC31D0" w:rsidRPr="006A205B" w:rsidRDefault="00EC31D0" w:rsidP="00EC31D0">
      <w:pPr>
        <w:spacing w:line="360" w:lineRule="auto"/>
        <w:ind w:left="567" w:right="616"/>
        <w:jc w:val="both"/>
        <w:rPr>
          <w:rFonts w:ascii="Arial" w:hAnsi="Arial" w:cs="Arial"/>
          <w:i/>
        </w:rPr>
      </w:pPr>
      <w:r>
        <w:rPr>
          <w:rFonts w:ascii="Arial" w:hAnsi="Arial" w:cs="Arial"/>
          <w:b/>
          <w:i/>
        </w:rPr>
        <w:t xml:space="preserve">CUARTO. </w:t>
      </w:r>
      <w:r>
        <w:rPr>
          <w:rFonts w:ascii="Arial" w:hAnsi="Arial" w:cs="Arial"/>
          <w:i/>
        </w:rPr>
        <w:t xml:space="preserve">Se declara la </w:t>
      </w:r>
      <w:r>
        <w:rPr>
          <w:rFonts w:ascii="Arial" w:hAnsi="Arial" w:cs="Arial"/>
          <w:b/>
          <w:i/>
        </w:rPr>
        <w:t xml:space="preserve">NULIDAD </w:t>
      </w:r>
      <w:r>
        <w:rPr>
          <w:rFonts w:ascii="Arial" w:hAnsi="Arial" w:cs="Arial"/>
          <w:i/>
        </w:rPr>
        <w:t xml:space="preserve">de la resolución contenida en el oficio </w:t>
      </w:r>
      <w:r w:rsidR="007F4196">
        <w:rPr>
          <w:rFonts w:ascii="Arial" w:hAnsi="Arial" w:cs="Arial"/>
          <w:b/>
          <w:sz w:val="26"/>
          <w:szCs w:val="26"/>
        </w:rPr>
        <w:t>***********</w:t>
      </w:r>
      <w:r w:rsidR="007F4196">
        <w:rPr>
          <w:rFonts w:ascii="Arial" w:hAnsi="Arial" w:cs="Arial"/>
          <w:b/>
          <w:sz w:val="26"/>
          <w:szCs w:val="26"/>
        </w:rPr>
        <w:t xml:space="preserve"> </w:t>
      </w:r>
      <w:r>
        <w:rPr>
          <w:rFonts w:ascii="Arial" w:hAnsi="Arial" w:cs="Arial"/>
          <w:i/>
        </w:rPr>
        <w:t xml:space="preserve">de veintiocho de junio de dos mil diecisiete, emitido por la </w:t>
      </w:r>
      <w:r>
        <w:rPr>
          <w:rFonts w:ascii="Arial" w:hAnsi="Arial" w:cs="Arial"/>
          <w:b/>
          <w:i/>
        </w:rPr>
        <w:t xml:space="preserve">Coordinadora Técnica de Ingresos de la Secretaria de Finanzas del Estado, PARA EL EFECTO </w:t>
      </w:r>
      <w:r>
        <w:rPr>
          <w:rFonts w:ascii="Arial" w:hAnsi="Arial" w:cs="Arial"/>
          <w:i/>
        </w:rPr>
        <w:t xml:space="preserve">precisado en el considerando quinto de esta sentencia. - - - - - - - - - - - - - - - - - - - - - - - - </w:t>
      </w:r>
      <w:r w:rsidR="007F4196">
        <w:rPr>
          <w:rFonts w:ascii="Arial" w:hAnsi="Arial" w:cs="Arial"/>
          <w:i/>
        </w:rPr>
        <w:t>- - - - - - - - - - - - - - - - - - - - -</w:t>
      </w:r>
    </w:p>
    <w:p w14:paraId="11C46AB7" w14:textId="77777777" w:rsidR="00EC31D0" w:rsidRPr="00165058" w:rsidRDefault="00EC31D0" w:rsidP="00EC31D0">
      <w:pPr>
        <w:spacing w:line="360" w:lineRule="auto"/>
        <w:ind w:left="567" w:right="616"/>
        <w:jc w:val="both"/>
        <w:rPr>
          <w:rFonts w:ascii="Arial" w:hAnsi="Arial" w:cs="Arial"/>
          <w:i/>
        </w:rPr>
      </w:pPr>
      <w:r>
        <w:rPr>
          <w:rFonts w:ascii="Arial" w:hAnsi="Arial" w:cs="Arial"/>
          <w:b/>
          <w:i/>
        </w:rPr>
        <w:t>QUINTO</w:t>
      </w:r>
      <w:r w:rsidRPr="00A103A2">
        <w:rPr>
          <w:rFonts w:ascii="Arial" w:hAnsi="Arial" w:cs="Arial"/>
          <w:b/>
          <w:i/>
        </w:rPr>
        <w:t>. –</w:t>
      </w:r>
      <w:r>
        <w:rPr>
          <w:rFonts w:ascii="Arial" w:hAnsi="Arial" w:cs="Arial"/>
          <w:i/>
        </w:rPr>
        <w:t xml:space="preserve"> </w:t>
      </w:r>
      <w:r>
        <w:rPr>
          <w:rFonts w:ascii="Arial" w:hAnsi="Arial" w:cs="Arial"/>
          <w:b/>
          <w:i/>
        </w:rPr>
        <w:t xml:space="preserve">NOTIFÍQUESE PERSONALMENTE AL ACTOR Y POR OFICIO A LA AUTORIDAD DEMANDADA, </w:t>
      </w:r>
      <w:r>
        <w:rPr>
          <w:rFonts w:ascii="Arial" w:hAnsi="Arial" w:cs="Arial"/>
          <w:i/>
        </w:rPr>
        <w:t>conforme a lo dispuesto en el artículo 142 fracción l y 143 fracciones l y ll, de la Ley de Justicia Administrativa para el Estado de Oaxaca, anterior a la vigente.</w:t>
      </w:r>
      <w:r w:rsidRPr="00A103A2">
        <w:rPr>
          <w:rFonts w:ascii="Arial" w:hAnsi="Arial" w:cs="Arial"/>
          <w:i/>
        </w:rPr>
        <w:t xml:space="preserve"> - - - - - - - </w:t>
      </w:r>
    </w:p>
    <w:p w14:paraId="373E9A9D" w14:textId="77777777" w:rsidR="00EC31D0" w:rsidRPr="00A103A2" w:rsidRDefault="00EC31D0" w:rsidP="00EC31D0">
      <w:pPr>
        <w:spacing w:line="360" w:lineRule="auto"/>
        <w:ind w:left="567" w:right="616"/>
        <w:jc w:val="both"/>
        <w:rPr>
          <w:rFonts w:ascii="Arial" w:eastAsia="Times New Roman" w:hAnsi="Arial" w:cs="Arial"/>
          <w:bCs/>
          <w:i/>
          <w:iCs/>
          <w:lang w:eastAsia="es-ES"/>
        </w:rPr>
      </w:pPr>
      <w:r w:rsidRPr="00A103A2">
        <w:rPr>
          <w:rFonts w:ascii="Arial" w:hAnsi="Arial" w:cs="Arial"/>
          <w:i/>
        </w:rPr>
        <w:t xml:space="preserve">Así lo resolvió y firma el </w:t>
      </w:r>
      <w:r>
        <w:rPr>
          <w:rFonts w:ascii="Arial" w:hAnsi="Arial" w:cs="Arial"/>
          <w:i/>
        </w:rPr>
        <w:t>Maestr</w:t>
      </w:r>
      <w:r w:rsidRPr="00A103A2">
        <w:rPr>
          <w:rFonts w:ascii="Arial" w:hAnsi="Arial" w:cs="Arial"/>
          <w:i/>
        </w:rPr>
        <w:t>o</w:t>
      </w:r>
      <w:r>
        <w:rPr>
          <w:rFonts w:ascii="Arial" w:hAnsi="Arial" w:cs="Arial"/>
          <w:i/>
        </w:rPr>
        <w:t xml:space="preserve"> en Derecho Pedro Carlos Zamora Martínez, Magistrado Titular</w:t>
      </w:r>
      <w:r w:rsidRPr="00A103A2">
        <w:rPr>
          <w:rFonts w:ascii="Arial" w:hAnsi="Arial" w:cs="Arial"/>
          <w:i/>
        </w:rPr>
        <w:t xml:space="preserve"> de la </w:t>
      </w:r>
      <w:r>
        <w:rPr>
          <w:rFonts w:ascii="Arial" w:hAnsi="Arial" w:cs="Arial"/>
          <w:i/>
        </w:rPr>
        <w:t>Cuar</w:t>
      </w:r>
      <w:r w:rsidRPr="00A103A2">
        <w:rPr>
          <w:rFonts w:ascii="Arial" w:hAnsi="Arial" w:cs="Arial"/>
          <w:i/>
        </w:rPr>
        <w:t>ta Sala Unitaria de Primera Instancia del Tribunal de Justicia Administrativa del Estado de Oaxaca,</w:t>
      </w:r>
      <w:r>
        <w:rPr>
          <w:rFonts w:ascii="Arial" w:hAnsi="Arial" w:cs="Arial"/>
          <w:i/>
        </w:rPr>
        <w:t xml:space="preserve"> quien actúa legalmente con</w:t>
      </w:r>
      <w:r w:rsidRPr="00A103A2">
        <w:rPr>
          <w:rFonts w:ascii="Arial" w:hAnsi="Arial" w:cs="Arial"/>
          <w:i/>
        </w:rPr>
        <w:t xml:space="preserve"> la Licenciada M</w:t>
      </w:r>
      <w:r>
        <w:rPr>
          <w:rFonts w:ascii="Arial" w:hAnsi="Arial" w:cs="Arial"/>
          <w:i/>
        </w:rPr>
        <w:t>onserrat García Altamirano, S</w:t>
      </w:r>
      <w:r w:rsidRPr="00A103A2">
        <w:rPr>
          <w:rFonts w:ascii="Arial" w:hAnsi="Arial" w:cs="Arial"/>
          <w:i/>
        </w:rPr>
        <w:t>e</w:t>
      </w:r>
      <w:r>
        <w:rPr>
          <w:rFonts w:ascii="Arial" w:hAnsi="Arial" w:cs="Arial"/>
          <w:i/>
        </w:rPr>
        <w:t>cre</w:t>
      </w:r>
      <w:r w:rsidRPr="00A103A2">
        <w:rPr>
          <w:rFonts w:ascii="Arial" w:hAnsi="Arial" w:cs="Arial"/>
          <w:i/>
        </w:rPr>
        <w:t>taria de Acuerdos</w:t>
      </w:r>
      <w:r>
        <w:rPr>
          <w:rFonts w:ascii="Arial" w:hAnsi="Arial" w:cs="Arial"/>
          <w:i/>
        </w:rPr>
        <w:t xml:space="preserve"> de esta Sala</w:t>
      </w:r>
      <w:r w:rsidRPr="00A103A2">
        <w:rPr>
          <w:rFonts w:ascii="Arial" w:hAnsi="Arial" w:cs="Arial"/>
          <w:i/>
        </w:rPr>
        <w:t>, que autoriza y da fe</w:t>
      </w:r>
      <w:r w:rsidRPr="00A103A2">
        <w:rPr>
          <w:rFonts w:ascii="Arial" w:eastAsia="Times New Roman" w:hAnsi="Arial" w:cs="Arial"/>
          <w:b/>
          <w:bCs/>
          <w:i/>
          <w:iCs/>
          <w:lang w:eastAsia="es-ES"/>
        </w:rPr>
        <w:t xml:space="preserve">.” </w:t>
      </w:r>
    </w:p>
    <w:p w14:paraId="77BE5259" w14:textId="77777777" w:rsidR="00EC31D0" w:rsidRDefault="00EC31D0" w:rsidP="00EC31D0">
      <w:pPr>
        <w:spacing w:before="240" w:line="360" w:lineRule="auto"/>
        <w:ind w:left="851" w:right="616"/>
        <w:jc w:val="center"/>
        <w:rPr>
          <w:rFonts w:ascii="Arial" w:eastAsia="Calibri" w:hAnsi="Arial" w:cs="Arial"/>
          <w:b/>
          <w:bCs/>
          <w:sz w:val="26"/>
          <w:szCs w:val="26"/>
        </w:rPr>
      </w:pPr>
    </w:p>
    <w:p w14:paraId="5B6A0DF3" w14:textId="77777777" w:rsidR="00EC31D0" w:rsidRPr="00CB6405" w:rsidRDefault="00EC31D0" w:rsidP="00EC31D0">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0EA61998" w14:textId="792C73F9" w:rsidR="00EC31D0" w:rsidRPr="00AE78C3" w:rsidRDefault="00EF59D2" w:rsidP="00EC31D0">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7 siete de noviembre de 2019 dos mil diecinueve; así como los diversos 86, 88, 92, 93, fracción I, 94, 201, 206 y 208, de la Ley de Justicia Administrativa para el Estado de Oaxaca, aplicable al estar vigente al inicio de juicio principal</w:t>
      </w:r>
      <w:r w:rsidR="00EC31D0">
        <w:rPr>
          <w:rFonts w:ascii="Arial" w:hAnsi="Arial" w:cs="Arial"/>
          <w:bCs/>
          <w:iCs/>
          <w:sz w:val="26"/>
          <w:szCs w:val="26"/>
        </w:rPr>
        <w:t xml:space="preserve">, </w:t>
      </w:r>
      <w:r w:rsidR="00EC31D0" w:rsidRPr="008E3662">
        <w:rPr>
          <w:rFonts w:ascii="Arial" w:hAnsi="Arial" w:cs="Arial"/>
          <w:bCs/>
          <w:iCs/>
          <w:sz w:val="26"/>
          <w:szCs w:val="26"/>
        </w:rPr>
        <w:t>dado que se trata de un recurso de revisión interpuesto en contra de la</w:t>
      </w:r>
      <w:r w:rsidR="00EC31D0">
        <w:rPr>
          <w:rFonts w:ascii="Arial" w:hAnsi="Arial" w:cs="Arial"/>
          <w:bCs/>
          <w:iCs/>
          <w:sz w:val="26"/>
          <w:szCs w:val="26"/>
        </w:rPr>
        <w:t xml:space="preserve"> sentencia de fecha veinticuatro de octubre de  dos mil diecinueve</w:t>
      </w:r>
      <w:r w:rsidR="00EC31D0" w:rsidRPr="008E3662">
        <w:rPr>
          <w:rFonts w:ascii="Arial" w:hAnsi="Arial" w:cs="Arial"/>
          <w:bCs/>
          <w:iCs/>
          <w:sz w:val="26"/>
          <w:szCs w:val="26"/>
        </w:rPr>
        <w:t xml:space="preserve">, dictada por la </w:t>
      </w:r>
      <w:r w:rsidR="00EC31D0">
        <w:rPr>
          <w:rFonts w:ascii="Arial" w:hAnsi="Arial" w:cs="Arial"/>
          <w:bCs/>
          <w:iCs/>
          <w:sz w:val="26"/>
          <w:szCs w:val="26"/>
        </w:rPr>
        <w:t>Cuart</w:t>
      </w:r>
      <w:r w:rsidR="00EC31D0" w:rsidRPr="008E3662">
        <w:rPr>
          <w:rFonts w:ascii="Arial" w:hAnsi="Arial" w:cs="Arial"/>
          <w:bCs/>
          <w:iCs/>
          <w:sz w:val="26"/>
          <w:szCs w:val="26"/>
        </w:rPr>
        <w:t>a Sala Unitaria de Primera Instancia de este Tribun</w:t>
      </w:r>
      <w:r w:rsidR="00EC31D0">
        <w:rPr>
          <w:rFonts w:ascii="Arial" w:hAnsi="Arial" w:cs="Arial"/>
          <w:bCs/>
          <w:iCs/>
          <w:sz w:val="26"/>
          <w:szCs w:val="26"/>
        </w:rPr>
        <w:t xml:space="preserve">al, en el juicio de nulidad </w:t>
      </w:r>
      <w:r w:rsidR="00EC31D0" w:rsidRPr="00AE78C3">
        <w:rPr>
          <w:rFonts w:ascii="Arial" w:hAnsi="Arial" w:cs="Arial"/>
          <w:b/>
          <w:bCs/>
          <w:iCs/>
          <w:sz w:val="26"/>
          <w:szCs w:val="26"/>
        </w:rPr>
        <w:t>0</w:t>
      </w:r>
      <w:r w:rsidR="00EC31D0">
        <w:rPr>
          <w:rFonts w:ascii="Arial" w:hAnsi="Arial" w:cs="Arial"/>
          <w:b/>
          <w:bCs/>
          <w:iCs/>
          <w:sz w:val="26"/>
          <w:szCs w:val="26"/>
        </w:rPr>
        <w:t>088</w:t>
      </w:r>
      <w:r w:rsidR="00EC31D0" w:rsidRPr="00AE78C3">
        <w:rPr>
          <w:rFonts w:ascii="Arial" w:hAnsi="Arial" w:cs="Arial"/>
          <w:b/>
          <w:bCs/>
          <w:iCs/>
          <w:sz w:val="26"/>
          <w:szCs w:val="26"/>
        </w:rPr>
        <w:t>/201</w:t>
      </w:r>
      <w:r w:rsidR="00EC31D0">
        <w:rPr>
          <w:rFonts w:ascii="Arial" w:hAnsi="Arial" w:cs="Arial"/>
          <w:b/>
          <w:bCs/>
          <w:iCs/>
          <w:sz w:val="26"/>
          <w:szCs w:val="26"/>
        </w:rPr>
        <w:t>7</w:t>
      </w:r>
      <w:r w:rsidR="00EC31D0" w:rsidRPr="00AE78C3">
        <w:rPr>
          <w:rFonts w:ascii="Arial" w:hAnsi="Arial" w:cs="Arial"/>
          <w:b/>
          <w:bCs/>
          <w:iCs/>
          <w:sz w:val="26"/>
          <w:szCs w:val="26"/>
        </w:rPr>
        <w:t>.</w:t>
      </w:r>
      <w:r w:rsidR="00E6055A">
        <w:rPr>
          <w:rFonts w:ascii="Arial" w:hAnsi="Arial" w:cs="Arial"/>
          <w:b/>
          <w:bCs/>
          <w:iCs/>
          <w:sz w:val="26"/>
          <w:szCs w:val="26"/>
        </w:rPr>
        <w:t xml:space="preserve"> - - - - - - - - - - - - - - - - - - - - - - - - - - - - - - - - - - - - - - - - - - - -</w:t>
      </w:r>
    </w:p>
    <w:p w14:paraId="1530886E" w14:textId="38357476" w:rsidR="00EC31D0" w:rsidRDefault="00EC31D0" w:rsidP="00EC31D0">
      <w:pPr>
        <w:spacing w:before="240" w:after="0" w:line="360" w:lineRule="auto"/>
        <w:ind w:firstLine="709"/>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Los agravios hechos valer se encuentran expuestos en el escrito respectivo d</w:t>
      </w:r>
      <w:r>
        <w:rPr>
          <w:rFonts w:ascii="Arial" w:hAnsi="Arial" w:cs="Arial"/>
          <w:sz w:val="26"/>
          <w:szCs w:val="26"/>
        </w:rPr>
        <w:t>e la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 </w:t>
      </w:r>
      <w:r>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E6055A">
        <w:rPr>
          <w:rFonts w:ascii="Arial" w:hAnsi="Arial" w:cs="Arial"/>
          <w:sz w:val="26"/>
          <w:szCs w:val="26"/>
        </w:rPr>
        <w:t xml:space="preserve"> - - - - - - - - - - - - - - - - - - - - - - - - - - - - - - - - - - - - - - - - - - - -</w:t>
      </w:r>
    </w:p>
    <w:p w14:paraId="01EE9DE2" w14:textId="77777777" w:rsidR="00EC31D0" w:rsidRPr="007E4000" w:rsidRDefault="00EC31D0" w:rsidP="00EC31D0">
      <w:pPr>
        <w:spacing w:before="240" w:after="0" w:line="360" w:lineRule="auto"/>
        <w:ind w:left="1134" w:right="616"/>
        <w:jc w:val="both"/>
        <w:rPr>
          <w:rFonts w:ascii="Arial" w:hAnsi="Arial" w:cs="Arial"/>
        </w:rPr>
      </w:pPr>
      <w:r w:rsidRPr="007E4000">
        <w:rPr>
          <w:rFonts w:ascii="Arial" w:hAnsi="Arial" w:cs="Arial"/>
        </w:rPr>
        <w:t>“</w:t>
      </w:r>
      <w:r w:rsidRPr="007E4000">
        <w:rPr>
          <w:rFonts w:ascii="Arial" w:hAnsi="Arial" w:cs="Arial"/>
          <w:b/>
          <w:i/>
        </w:rPr>
        <w:t>CONCEPTOS DE VIOLACIÓN. NO ES OBLIGATORIO TRANSCRIBIRLOS EN LA SENTENCIA</w:t>
      </w:r>
      <w:r w:rsidRPr="007E4000">
        <w:rPr>
          <w:rFonts w:ascii="Arial" w:hAnsi="Arial" w:cs="Arial"/>
        </w:rPr>
        <w:t xml:space="preserve">. </w:t>
      </w:r>
      <w:r w:rsidRPr="007E4000">
        <w:rPr>
          <w:rFonts w:ascii="Arial" w:hAnsi="Arial" w:cs="Arial"/>
          <w:i/>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7E4000">
        <w:rPr>
          <w:rFonts w:ascii="Arial" w:hAnsi="Arial" w:cs="Arial"/>
        </w:rPr>
        <w:t>.”</w:t>
      </w:r>
    </w:p>
    <w:p w14:paraId="3A2BAA3D" w14:textId="7EBAE234"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TERCERO</w:t>
      </w:r>
      <w:r w:rsidRPr="00C16F73">
        <w:rPr>
          <w:rFonts w:ascii="Arial" w:eastAsia="Calibri" w:hAnsi="Arial" w:cs="Arial"/>
          <w:bCs/>
          <w:sz w:val="26"/>
          <w:szCs w:val="26"/>
        </w:rPr>
        <w:t xml:space="preserve">. </w:t>
      </w:r>
      <w:r>
        <w:rPr>
          <w:rFonts w:ascii="Arial" w:eastAsia="Calibri" w:hAnsi="Arial" w:cs="Arial"/>
          <w:bCs/>
          <w:sz w:val="26"/>
          <w:szCs w:val="26"/>
        </w:rPr>
        <w:t>La autoridad inconforme expresa en su oficio de recurso de revisión que la sentencia de fecha veinticuatro de octubre de dos mil diecinueve, es ilegal y violatoria del artículo 207 párrafo primero fracción II de la Ley de Procedimiento y Justicia Administrativa para el Estado de Oaxaca, en razón de que dicha sentencia no se encuentra debidamente fundada y motivada en su considerando quinto (lo transcribe).</w:t>
      </w:r>
      <w:r w:rsidR="00E6055A">
        <w:rPr>
          <w:rFonts w:ascii="Arial" w:eastAsia="Calibri" w:hAnsi="Arial" w:cs="Arial"/>
          <w:bCs/>
          <w:sz w:val="26"/>
          <w:szCs w:val="26"/>
        </w:rPr>
        <w:t xml:space="preserve"> - - - - - - - - - - - - - - - - - - - - - - - - - - - - - - - - - - - - - - - - - - - </w:t>
      </w:r>
    </w:p>
    <w:p w14:paraId="382EB669" w14:textId="7E7243D2"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Alega que se puede constatar que la </w:t>
      </w:r>
      <w:r w:rsidRPr="00FF1536">
        <w:rPr>
          <w:rFonts w:ascii="Arial" w:eastAsia="Calibri" w:hAnsi="Arial" w:cs="Arial"/>
          <w:bCs/>
          <w:i/>
          <w:iCs/>
          <w:sz w:val="26"/>
          <w:szCs w:val="26"/>
        </w:rPr>
        <w:t>A quo</w:t>
      </w:r>
      <w:r>
        <w:rPr>
          <w:rFonts w:ascii="Arial" w:eastAsia="Calibri" w:hAnsi="Arial" w:cs="Arial"/>
          <w:bCs/>
          <w:sz w:val="26"/>
          <w:szCs w:val="26"/>
        </w:rPr>
        <w:t xml:space="preserve"> al resolver la sentencia combatida, dejó en estado de indefensión a su representada, ya que la parte actora en su escrito de trece de septiembre de dos mil diecisiete, en el capítulo denominado “PRUEBAS” ofrece la de informe, la cual deberá ser rendida por el “Director de Ingresos de la Secretaría de Finanzas del Gobierno del Estado de México, mismo que consistirá en informar si en su base de datos se encuentra registrado el vehículo de marca Honda con número de serie </w:t>
      </w:r>
      <w:r w:rsidR="007F4196">
        <w:rPr>
          <w:rFonts w:ascii="Arial" w:hAnsi="Arial" w:cs="Arial"/>
          <w:b/>
          <w:sz w:val="26"/>
          <w:szCs w:val="26"/>
        </w:rPr>
        <w:t>***********</w:t>
      </w:r>
      <w:r>
        <w:rPr>
          <w:rFonts w:ascii="Arial" w:eastAsia="Calibri" w:hAnsi="Arial" w:cs="Arial"/>
          <w:bCs/>
          <w:sz w:val="26"/>
          <w:szCs w:val="26"/>
        </w:rPr>
        <w:t xml:space="preserve"> y placas de circulación </w:t>
      </w:r>
      <w:r w:rsidR="007F4196">
        <w:rPr>
          <w:rFonts w:ascii="Arial" w:hAnsi="Arial" w:cs="Arial"/>
          <w:b/>
          <w:sz w:val="26"/>
          <w:szCs w:val="26"/>
        </w:rPr>
        <w:t>***********</w:t>
      </w:r>
      <w:r>
        <w:rPr>
          <w:rFonts w:ascii="Arial" w:eastAsia="Calibri" w:hAnsi="Arial" w:cs="Arial"/>
          <w:bCs/>
          <w:sz w:val="26"/>
          <w:szCs w:val="26"/>
        </w:rPr>
        <w:t xml:space="preserve"> del Estado de México y los años en que se han pagado las atenencias (sic) y uso de vehículo”, en ese sentido en su considerando quinto, la Sala de Primera Instancia hace referencia a la prueba de </w:t>
      </w:r>
      <w:r>
        <w:rPr>
          <w:rFonts w:ascii="Arial" w:eastAsia="Calibri" w:hAnsi="Arial" w:cs="Arial"/>
          <w:bCs/>
          <w:sz w:val="26"/>
          <w:szCs w:val="26"/>
        </w:rPr>
        <w:lastRenderedPageBreak/>
        <w:t xml:space="preserve">informe rendida mediante oficio número </w:t>
      </w:r>
      <w:r w:rsidR="007F4196">
        <w:rPr>
          <w:rFonts w:ascii="Arial" w:hAnsi="Arial" w:cs="Arial"/>
          <w:b/>
          <w:sz w:val="26"/>
          <w:szCs w:val="26"/>
        </w:rPr>
        <w:t>***********</w:t>
      </w:r>
      <w:r>
        <w:rPr>
          <w:rFonts w:ascii="Arial" w:eastAsia="Calibri" w:hAnsi="Arial" w:cs="Arial"/>
          <w:bCs/>
          <w:sz w:val="26"/>
          <w:szCs w:val="26"/>
        </w:rPr>
        <w:t xml:space="preserve">, por la Directora del Registro Estatal de Vehículos del Estado de México, en la cual se le hizo del conocimiento que la placa </w:t>
      </w:r>
      <w:r w:rsidR="007F4196">
        <w:rPr>
          <w:rFonts w:ascii="Arial" w:hAnsi="Arial" w:cs="Arial"/>
          <w:b/>
          <w:sz w:val="26"/>
          <w:szCs w:val="26"/>
        </w:rPr>
        <w:t>***********</w:t>
      </w:r>
      <w:r>
        <w:rPr>
          <w:rFonts w:ascii="Arial" w:eastAsia="Calibri" w:hAnsi="Arial" w:cs="Arial"/>
          <w:bCs/>
          <w:sz w:val="26"/>
          <w:szCs w:val="26"/>
        </w:rPr>
        <w:t xml:space="preserve"> del Estado de Oaxaca fue dada de baja y en su lugar se otorgó y se dio de alta la nueva placa </w:t>
      </w:r>
      <w:r w:rsidR="007F4196">
        <w:rPr>
          <w:rFonts w:ascii="Arial" w:hAnsi="Arial" w:cs="Arial"/>
          <w:b/>
          <w:sz w:val="26"/>
          <w:szCs w:val="26"/>
        </w:rPr>
        <w:t>***********</w:t>
      </w:r>
      <w:r>
        <w:rPr>
          <w:rFonts w:ascii="Arial" w:eastAsia="Calibri" w:hAnsi="Arial" w:cs="Arial"/>
          <w:bCs/>
          <w:sz w:val="26"/>
          <w:szCs w:val="26"/>
        </w:rPr>
        <w:t xml:space="preserve"> del Estado de México, correspondiente al vehículo marca Honda a favor de la ciudadana </w:t>
      </w:r>
      <w:r w:rsidR="007F4196">
        <w:rPr>
          <w:rFonts w:ascii="Arial" w:hAnsi="Arial" w:cs="Arial"/>
          <w:b/>
          <w:sz w:val="26"/>
          <w:szCs w:val="26"/>
        </w:rPr>
        <w:t>***********</w:t>
      </w:r>
      <w:r>
        <w:rPr>
          <w:rFonts w:ascii="Arial" w:eastAsia="Calibri" w:hAnsi="Arial" w:cs="Arial"/>
          <w:bCs/>
          <w:sz w:val="26"/>
          <w:szCs w:val="26"/>
        </w:rPr>
        <w:t>.</w:t>
      </w:r>
      <w:r w:rsidR="00E6055A">
        <w:rPr>
          <w:rFonts w:ascii="Arial" w:eastAsia="Calibri" w:hAnsi="Arial" w:cs="Arial"/>
          <w:bCs/>
          <w:sz w:val="26"/>
          <w:szCs w:val="26"/>
        </w:rPr>
        <w:t xml:space="preserve"> - - - - - - - - - - - - - - - - </w:t>
      </w:r>
      <w:r w:rsidR="007F4196">
        <w:rPr>
          <w:rFonts w:ascii="Arial" w:eastAsia="Calibri" w:hAnsi="Arial" w:cs="Arial"/>
          <w:bCs/>
          <w:sz w:val="26"/>
          <w:szCs w:val="26"/>
        </w:rPr>
        <w:t>- - - - - - - - - - - - - - - -</w:t>
      </w:r>
    </w:p>
    <w:p w14:paraId="7318B93A" w14:textId="3F663167"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Agrega que derivado de lo anterior, y como ya dijo con anterioridad la </w:t>
      </w:r>
      <w:r w:rsidRPr="0014698D">
        <w:rPr>
          <w:rFonts w:ascii="Arial" w:eastAsia="Calibri" w:hAnsi="Arial" w:cs="Arial"/>
          <w:bCs/>
          <w:i/>
          <w:iCs/>
          <w:sz w:val="26"/>
          <w:szCs w:val="26"/>
        </w:rPr>
        <w:t>A quo</w:t>
      </w:r>
      <w:r>
        <w:rPr>
          <w:rFonts w:ascii="Arial" w:eastAsia="Calibri" w:hAnsi="Arial" w:cs="Arial"/>
          <w:bCs/>
          <w:sz w:val="26"/>
          <w:szCs w:val="26"/>
        </w:rPr>
        <w:t xml:space="preserve"> dejó en estado de indefensión a su representada, toda vez que nunca se le corrió traslado de la prueba de informe solicitada por la hoy recurrente al Director de Ingresos de la Secretaría de Finanzas del Estado de México, por lo que resulta a todas luces ilegal la sentencia dictada por la Cuarta Sala de primera instancia, porque no se respetó la igual (sic) procesal que debe prevalecer en todo juicio. </w:t>
      </w:r>
      <w:r w:rsidR="00E6055A">
        <w:rPr>
          <w:rFonts w:ascii="Arial" w:eastAsia="Calibri" w:hAnsi="Arial" w:cs="Arial"/>
          <w:bCs/>
          <w:sz w:val="26"/>
          <w:szCs w:val="26"/>
        </w:rPr>
        <w:t xml:space="preserve"> - - - - - - - - - - - - </w:t>
      </w:r>
    </w:p>
    <w:p w14:paraId="1686D32B" w14:textId="42BFD8D6" w:rsidR="00EC31D0" w:rsidRDefault="00EC31D0" w:rsidP="00EC31D0">
      <w:pPr>
        <w:spacing w:before="240" w:line="360" w:lineRule="auto"/>
        <w:ind w:firstLine="708"/>
        <w:jc w:val="both"/>
        <w:rPr>
          <w:rFonts w:ascii="Arial" w:hAnsi="Arial" w:cs="Arial"/>
          <w:sz w:val="26"/>
          <w:szCs w:val="26"/>
        </w:rPr>
      </w:pPr>
      <w:r>
        <w:rPr>
          <w:rFonts w:ascii="Arial" w:eastAsia="Calibri" w:hAnsi="Arial" w:cs="Arial"/>
          <w:bCs/>
          <w:sz w:val="26"/>
          <w:szCs w:val="26"/>
        </w:rPr>
        <w:t xml:space="preserve">Esta Sala Superior estima que dichos argumentos son </w:t>
      </w:r>
      <w:r w:rsidRPr="00C36FD3">
        <w:rPr>
          <w:rFonts w:ascii="Arial" w:eastAsia="Calibri" w:hAnsi="Arial" w:cs="Arial"/>
          <w:b/>
          <w:sz w:val="26"/>
          <w:szCs w:val="26"/>
        </w:rPr>
        <w:t>inatendibles,</w:t>
      </w:r>
      <w:r>
        <w:rPr>
          <w:rFonts w:ascii="Arial" w:eastAsia="Calibri" w:hAnsi="Arial" w:cs="Arial"/>
          <w:bCs/>
          <w:sz w:val="26"/>
          <w:szCs w:val="26"/>
        </w:rPr>
        <w:t xml:space="preserve"> en virtud de que se advierte que la autoridad manifestó que no se le corrió traslado de una prueba que se admitió en el acuerdo de fecha veinte de noviembre de dos mil dieciocho</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alegaciones que están encaminadas a controvertir la diligencia de notificación de ese proveído, pero es pertinente señalar que el medio idóneo para impugnar las notificaciones realizadas en el juicio de nulidad, es el incidente de nulidad de notificaciones, mas no el recurso de revisión, como lo pretende hacer valer el recurrente en segunda instancia; ello conforme a lo establecido en el artículo 194 fracción II de la </w:t>
      </w:r>
      <w:r w:rsidRPr="00372D3D">
        <w:rPr>
          <w:rFonts w:ascii="Arial" w:hAnsi="Arial" w:cs="Arial"/>
          <w:sz w:val="26"/>
          <w:szCs w:val="26"/>
        </w:rPr>
        <w:t>Ley de Justicia Administrativa para el Estado</w:t>
      </w:r>
      <w:r>
        <w:rPr>
          <w:rFonts w:ascii="Arial" w:hAnsi="Arial" w:cs="Arial"/>
          <w:sz w:val="26"/>
          <w:szCs w:val="26"/>
        </w:rPr>
        <w:t xml:space="preserve"> de Oaxaca</w:t>
      </w:r>
      <w:r w:rsidRPr="00372D3D">
        <w:rPr>
          <w:rFonts w:ascii="Arial" w:hAnsi="Arial" w:cs="Arial"/>
          <w:sz w:val="26"/>
          <w:szCs w:val="26"/>
        </w:rPr>
        <w:t>,</w:t>
      </w:r>
      <w:r>
        <w:rPr>
          <w:rFonts w:ascii="Arial" w:hAnsi="Arial" w:cs="Arial"/>
          <w:sz w:val="26"/>
          <w:szCs w:val="26"/>
        </w:rPr>
        <w:t xml:space="preserve"> que se invoca a mayor abundamiento:</w:t>
      </w:r>
      <w:r w:rsidR="00E6055A">
        <w:rPr>
          <w:rFonts w:ascii="Arial" w:hAnsi="Arial" w:cs="Arial"/>
          <w:sz w:val="26"/>
          <w:szCs w:val="26"/>
        </w:rPr>
        <w:t xml:space="preserve"> - - - - - - - - - - - - - - - - - - - - - - - - - - - - - - - - - - - - - - - - </w:t>
      </w:r>
    </w:p>
    <w:p w14:paraId="4D5FDE14" w14:textId="77777777" w:rsidR="00EC31D0" w:rsidRPr="00542FCB" w:rsidRDefault="00EC31D0" w:rsidP="00EC31D0">
      <w:pPr>
        <w:pStyle w:val="Sinespaciado"/>
        <w:spacing w:line="360" w:lineRule="auto"/>
        <w:ind w:left="567" w:right="616"/>
        <w:jc w:val="both"/>
        <w:rPr>
          <w:rFonts w:ascii="Arial" w:eastAsia="Calibri" w:hAnsi="Arial" w:cs="Arial"/>
          <w:bCs/>
          <w:i/>
        </w:rPr>
      </w:pPr>
      <w:r>
        <w:rPr>
          <w:rFonts w:ascii="Arial" w:eastAsia="Calibri" w:hAnsi="Arial" w:cs="Arial"/>
          <w:bCs/>
          <w:i/>
        </w:rPr>
        <w:t>“</w:t>
      </w:r>
      <w:r w:rsidRPr="00542FCB">
        <w:rPr>
          <w:rFonts w:ascii="Arial" w:eastAsia="Calibri" w:hAnsi="Arial" w:cs="Arial"/>
          <w:b/>
          <w:bCs/>
          <w:i/>
        </w:rPr>
        <w:t>ARTÍCULO 194.-</w:t>
      </w:r>
      <w:r w:rsidRPr="00542FCB">
        <w:rPr>
          <w:rFonts w:ascii="Arial" w:eastAsia="Calibri" w:hAnsi="Arial" w:cs="Arial"/>
          <w:bCs/>
          <w:i/>
        </w:rPr>
        <w:t xml:space="preserve"> En el procedimiento contencioso administrativo, no habrá más incidentes que los establecidos en la presente Ley. Se tramitarán como de previo y especial pronunciamiento, con suspensión de la tramitación del juicio en lo principal. Procederán los siguientes: …</w:t>
      </w:r>
    </w:p>
    <w:p w14:paraId="71D78DB7" w14:textId="77777777" w:rsidR="00EC31D0" w:rsidRPr="00542FCB" w:rsidRDefault="00EC31D0" w:rsidP="00EC31D0">
      <w:pPr>
        <w:pStyle w:val="Sinespaciado"/>
        <w:spacing w:line="360" w:lineRule="auto"/>
        <w:ind w:left="567" w:right="616"/>
        <w:jc w:val="both"/>
        <w:rPr>
          <w:rFonts w:ascii="Arial" w:eastAsia="Calibri" w:hAnsi="Arial" w:cs="Arial"/>
          <w:bCs/>
          <w:i/>
        </w:rPr>
      </w:pPr>
      <w:r w:rsidRPr="00542FCB">
        <w:rPr>
          <w:rFonts w:ascii="Arial" w:eastAsia="Calibri" w:hAnsi="Arial" w:cs="Arial"/>
          <w:bCs/>
          <w:i/>
        </w:rPr>
        <w:t>II. El de nulidad de notificaciones, y</w:t>
      </w:r>
      <w:r>
        <w:rPr>
          <w:rFonts w:ascii="Arial" w:eastAsia="Calibri" w:hAnsi="Arial" w:cs="Arial"/>
          <w:bCs/>
          <w:i/>
        </w:rPr>
        <w:t xml:space="preserve"> …”</w:t>
      </w:r>
    </w:p>
    <w:p w14:paraId="75648742" w14:textId="77777777" w:rsidR="00EC31D0" w:rsidRDefault="00EC31D0" w:rsidP="00EC31D0">
      <w:pPr>
        <w:pStyle w:val="Sinespaciado"/>
        <w:spacing w:line="360" w:lineRule="auto"/>
        <w:ind w:firstLine="567"/>
        <w:jc w:val="both"/>
        <w:rPr>
          <w:rFonts w:ascii="Arial" w:hAnsi="Arial" w:cs="Arial"/>
          <w:bCs/>
          <w:color w:val="000000"/>
          <w:sz w:val="26"/>
          <w:szCs w:val="26"/>
          <w:lang w:val="es-MX"/>
        </w:rPr>
      </w:pPr>
    </w:p>
    <w:p w14:paraId="2CA5F0D4" w14:textId="77777777" w:rsidR="00EC31D0" w:rsidRDefault="00EC31D0" w:rsidP="00EC31D0">
      <w:pPr>
        <w:pStyle w:val="Sinespaciado"/>
        <w:spacing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De ahí lo </w:t>
      </w:r>
      <w:r w:rsidRPr="00AD589C">
        <w:rPr>
          <w:rFonts w:ascii="Arial" w:hAnsi="Arial" w:cs="Arial"/>
          <w:b/>
          <w:bCs/>
          <w:color w:val="000000"/>
          <w:sz w:val="26"/>
          <w:szCs w:val="26"/>
          <w:lang w:val="es-MX"/>
        </w:rPr>
        <w:t>infundado</w:t>
      </w:r>
      <w:r>
        <w:rPr>
          <w:rFonts w:ascii="Arial" w:hAnsi="Arial" w:cs="Arial"/>
          <w:bCs/>
          <w:color w:val="000000"/>
          <w:sz w:val="26"/>
          <w:szCs w:val="26"/>
          <w:lang w:val="es-MX"/>
        </w:rPr>
        <w:t xml:space="preserve"> del agravio esgrimido por el recurrente.</w:t>
      </w:r>
    </w:p>
    <w:p w14:paraId="7514C69C" w14:textId="772FC960" w:rsidR="00EC31D0" w:rsidRDefault="00EC31D0" w:rsidP="00EC31D0">
      <w:pPr>
        <w:pStyle w:val="Sinespaciado"/>
        <w:spacing w:line="360" w:lineRule="auto"/>
        <w:ind w:firstLine="567"/>
        <w:jc w:val="both"/>
        <w:rPr>
          <w:rFonts w:ascii="Arial" w:eastAsia="Calibri" w:hAnsi="Arial" w:cs="Arial"/>
          <w:bCs/>
          <w:sz w:val="26"/>
          <w:szCs w:val="26"/>
        </w:rPr>
      </w:pPr>
      <w:r>
        <w:rPr>
          <w:rFonts w:ascii="Arial" w:hAnsi="Arial" w:cs="Arial"/>
          <w:bCs/>
          <w:color w:val="000000"/>
          <w:sz w:val="26"/>
          <w:szCs w:val="26"/>
          <w:lang w:val="es-MX"/>
        </w:rPr>
        <w:t xml:space="preserve">Por otra parte, </w:t>
      </w:r>
      <w:r w:rsidR="00E6055A">
        <w:rPr>
          <w:rFonts w:ascii="Arial" w:eastAsia="Calibri" w:hAnsi="Arial" w:cs="Arial"/>
          <w:bCs/>
          <w:sz w:val="26"/>
          <w:szCs w:val="26"/>
        </w:rPr>
        <w:t>argumenta</w:t>
      </w:r>
      <w:r>
        <w:rPr>
          <w:rFonts w:ascii="Arial" w:eastAsia="Calibri" w:hAnsi="Arial" w:cs="Arial"/>
          <w:bCs/>
          <w:sz w:val="26"/>
          <w:szCs w:val="26"/>
        </w:rPr>
        <w:t xml:space="preserve"> la inconforme que no debe pasar desapercibido que la Sala de primera instancia, al momento de dictar sentencia además del informe referido en el párrafo anterior, tomó en </w:t>
      </w:r>
      <w:r>
        <w:rPr>
          <w:rFonts w:ascii="Arial" w:eastAsia="Calibri" w:hAnsi="Arial" w:cs="Arial"/>
          <w:bCs/>
          <w:sz w:val="26"/>
          <w:szCs w:val="26"/>
        </w:rPr>
        <w:lastRenderedPageBreak/>
        <w:t>cuenta las documentales que anexaron a la demanda en copias simples, las cuales carecen de valor probatorio pleno, pues son simples indicios carentes de valor probatorio pleno.</w:t>
      </w:r>
      <w:r w:rsidR="00E6055A">
        <w:rPr>
          <w:rFonts w:ascii="Arial" w:eastAsia="Calibri" w:hAnsi="Arial" w:cs="Arial"/>
          <w:bCs/>
          <w:sz w:val="26"/>
          <w:szCs w:val="26"/>
        </w:rPr>
        <w:t xml:space="preserve"> - - - - - - - - - - - - - - - - - - - - - - - - - - -</w:t>
      </w:r>
    </w:p>
    <w:p w14:paraId="39144775" w14:textId="77777777" w:rsidR="00EC31D0" w:rsidRDefault="00EC31D0" w:rsidP="00EC31D0">
      <w:pPr>
        <w:pStyle w:val="Sinespaciado"/>
        <w:spacing w:line="360" w:lineRule="auto"/>
        <w:ind w:firstLine="567"/>
        <w:jc w:val="both"/>
        <w:rPr>
          <w:rFonts w:ascii="Arial" w:eastAsia="Calibri" w:hAnsi="Arial" w:cs="Arial"/>
          <w:bCs/>
          <w:sz w:val="26"/>
          <w:szCs w:val="26"/>
        </w:rPr>
      </w:pPr>
      <w:r>
        <w:rPr>
          <w:rFonts w:ascii="Arial" w:eastAsia="Calibri" w:hAnsi="Arial" w:cs="Arial"/>
          <w:bCs/>
          <w:sz w:val="26"/>
          <w:szCs w:val="26"/>
        </w:rPr>
        <w:t xml:space="preserve">Esta Sala Superior califica como </w:t>
      </w:r>
      <w:r w:rsidRPr="003D2678">
        <w:rPr>
          <w:rFonts w:ascii="Arial" w:eastAsia="Calibri" w:hAnsi="Arial" w:cs="Arial"/>
          <w:b/>
          <w:sz w:val="26"/>
          <w:szCs w:val="26"/>
        </w:rPr>
        <w:t>inoperante</w:t>
      </w:r>
      <w:r>
        <w:rPr>
          <w:rFonts w:ascii="Arial" w:eastAsia="Calibri" w:hAnsi="Arial" w:cs="Arial"/>
          <w:bCs/>
          <w:sz w:val="26"/>
          <w:szCs w:val="26"/>
        </w:rPr>
        <w:t xml:space="preserve"> esta alegación, porque la recurrente realiza una mera afirmación sin precisar cuáles fueron las pruebas que a su juicio, carecen de valor probatorio pleno, y tampoco refiere de qué manera trascendió su contenido en la sentencia recurrida. </w:t>
      </w:r>
    </w:p>
    <w:p w14:paraId="5A0625D9" w14:textId="1AAF8170"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También manifiesta la recurrente que lo argumentado por la </w:t>
      </w:r>
      <w:r w:rsidRPr="0014698D">
        <w:rPr>
          <w:rFonts w:ascii="Arial" w:eastAsia="Calibri" w:hAnsi="Arial" w:cs="Arial"/>
          <w:bCs/>
          <w:i/>
          <w:iCs/>
          <w:sz w:val="26"/>
          <w:szCs w:val="26"/>
        </w:rPr>
        <w:t xml:space="preserve">A quo </w:t>
      </w:r>
      <w:r>
        <w:rPr>
          <w:rFonts w:ascii="Arial" w:eastAsia="Calibri" w:hAnsi="Arial" w:cs="Arial"/>
          <w:bCs/>
          <w:sz w:val="26"/>
          <w:szCs w:val="26"/>
        </w:rPr>
        <w:t xml:space="preserve">resulta infundado, toda vez que de conformidad con lo previsto en los artículos 35 y 36 de la Ley Estatal de Hacienda vigente a la emisión del acto, se advierte que el Impuesto sobre Tenencia o uso de vehículos, es (sic) los vehículos motorizados con la capacidad de </w:t>
      </w:r>
      <w:proofErr w:type="spellStart"/>
      <w:r w:rsidR="00E6055A">
        <w:rPr>
          <w:rFonts w:ascii="Arial" w:eastAsia="Calibri" w:hAnsi="Arial" w:cs="Arial"/>
          <w:bCs/>
          <w:sz w:val="26"/>
          <w:szCs w:val="26"/>
        </w:rPr>
        <w:t>automovimiento</w:t>
      </w:r>
      <w:proofErr w:type="spellEnd"/>
      <w:r>
        <w:rPr>
          <w:rFonts w:ascii="Arial" w:eastAsia="Calibri" w:hAnsi="Arial" w:cs="Arial"/>
          <w:bCs/>
          <w:sz w:val="26"/>
          <w:szCs w:val="26"/>
        </w:rPr>
        <w:t xml:space="preserve"> (sic) como lo es el vehículo de motor Marca Honda, modelo 2011, con número de serie </w:t>
      </w:r>
      <w:r w:rsidR="0026769B">
        <w:rPr>
          <w:rFonts w:ascii="Arial" w:hAnsi="Arial" w:cs="Arial"/>
          <w:b/>
          <w:sz w:val="26"/>
          <w:szCs w:val="26"/>
        </w:rPr>
        <w:t>***********</w:t>
      </w:r>
      <w:r>
        <w:rPr>
          <w:rFonts w:ascii="Arial" w:eastAsia="Calibri" w:hAnsi="Arial" w:cs="Arial"/>
          <w:bCs/>
          <w:sz w:val="26"/>
          <w:szCs w:val="26"/>
        </w:rPr>
        <w:t xml:space="preserve"> y número de placa </w:t>
      </w:r>
      <w:r w:rsidR="0026769B">
        <w:rPr>
          <w:rFonts w:ascii="Arial" w:hAnsi="Arial" w:cs="Arial"/>
          <w:b/>
          <w:sz w:val="26"/>
          <w:szCs w:val="26"/>
        </w:rPr>
        <w:t>***********</w:t>
      </w:r>
      <w:r>
        <w:rPr>
          <w:rFonts w:ascii="Arial" w:eastAsia="Calibri" w:hAnsi="Arial" w:cs="Arial"/>
          <w:bCs/>
          <w:sz w:val="26"/>
          <w:szCs w:val="26"/>
        </w:rPr>
        <w:t xml:space="preserve">, y que es sujeto de la aludida contribución, los propietarios y/o tenedores de vehículos en cualquiera de los supuestos jurídicos establecidos en el segundo de los preceptos mencionados; en ese sentido, se precisa que la hoy recurrente es sujeto del impuesto de mérito, hasta en tanto no se den de baja las placas, debido a que el vehículo referido se encuentra registrado en el Registro Estatal de Contribuyentes con que cuenta la Secretaría de Finanzas del Poder Ejecutivo del Estado de Oaxaca, a nombre de la ciudadana </w:t>
      </w:r>
      <w:r w:rsidR="0026769B">
        <w:rPr>
          <w:rFonts w:ascii="Arial" w:hAnsi="Arial" w:cs="Arial"/>
          <w:b/>
          <w:sz w:val="26"/>
          <w:szCs w:val="26"/>
        </w:rPr>
        <w:t>***********</w:t>
      </w:r>
      <w:r>
        <w:rPr>
          <w:rFonts w:ascii="Arial" w:eastAsia="Calibri" w:hAnsi="Arial" w:cs="Arial"/>
          <w:bCs/>
          <w:sz w:val="26"/>
          <w:szCs w:val="26"/>
        </w:rPr>
        <w:t>.</w:t>
      </w:r>
      <w:r w:rsidR="00042191">
        <w:rPr>
          <w:rFonts w:ascii="Arial" w:eastAsia="Calibri" w:hAnsi="Arial" w:cs="Arial"/>
          <w:bCs/>
          <w:sz w:val="26"/>
          <w:szCs w:val="26"/>
        </w:rPr>
        <w:t xml:space="preserve"> - - - - - -</w:t>
      </w:r>
      <w:r w:rsidR="0026769B">
        <w:rPr>
          <w:rFonts w:ascii="Arial" w:eastAsia="Calibri" w:hAnsi="Arial" w:cs="Arial"/>
          <w:bCs/>
          <w:sz w:val="26"/>
          <w:szCs w:val="26"/>
        </w:rPr>
        <w:t xml:space="preserve"> </w:t>
      </w:r>
      <w:r w:rsidR="00042191">
        <w:rPr>
          <w:rFonts w:ascii="Arial" w:eastAsia="Calibri" w:hAnsi="Arial" w:cs="Arial"/>
          <w:bCs/>
          <w:sz w:val="26"/>
          <w:szCs w:val="26"/>
        </w:rPr>
        <w:t>-</w:t>
      </w:r>
      <w:r w:rsidR="0026769B">
        <w:rPr>
          <w:rFonts w:ascii="Arial" w:eastAsia="Calibri" w:hAnsi="Arial" w:cs="Arial"/>
          <w:bCs/>
          <w:sz w:val="26"/>
          <w:szCs w:val="26"/>
        </w:rPr>
        <w:t xml:space="preserve"> - - - - - - - - - - - - - - - - - - - - - - - - - - - - - </w:t>
      </w:r>
      <w:r w:rsidR="00042191">
        <w:rPr>
          <w:rFonts w:ascii="Arial" w:eastAsia="Calibri" w:hAnsi="Arial" w:cs="Arial"/>
          <w:bCs/>
          <w:sz w:val="26"/>
          <w:szCs w:val="26"/>
        </w:rPr>
        <w:t xml:space="preserve"> </w:t>
      </w:r>
    </w:p>
    <w:p w14:paraId="38E6E793" w14:textId="0D83702E"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Afirma la autoridad inconforme que no debe pasar desapercibido en términos del artículo 44 párrafo primero fracción IV de la Ley Estatal de Hacienda vigente, que la ciudadana </w:t>
      </w:r>
      <w:r w:rsidR="0026769B">
        <w:rPr>
          <w:rFonts w:ascii="Arial" w:hAnsi="Arial" w:cs="Arial"/>
          <w:b/>
          <w:sz w:val="26"/>
          <w:szCs w:val="26"/>
        </w:rPr>
        <w:t>***********</w:t>
      </w:r>
      <w:r>
        <w:rPr>
          <w:rFonts w:ascii="Arial" w:eastAsia="Calibri" w:hAnsi="Arial" w:cs="Arial"/>
          <w:bCs/>
          <w:sz w:val="26"/>
          <w:szCs w:val="26"/>
        </w:rPr>
        <w:t>, también es responsable solidario de los adeudos del Impuesto sobre Tenencia o Uso de Vehículos que se generaron en los ejercicios fiscales 2012, 2013, 2014, 2015, 2016 y 2017, del vehículo de motor antes precisado, ya que si bien es cierto que los pagos de los referidos ejercicios fiscales los hizo en el Estado de México, también lo es que en la base de datos con que cuenta esta Secretaría de Finanzas del Poder Ejecutivo del Estado de Oaxaca, no se cuenta con registro alguno que la hoy recurrente haya solicitado la baja del mencionado vehículo ante esa autoridad, de ahí que subsista la obligación solidaria para cumplir con dicha obligación.</w:t>
      </w:r>
      <w:r w:rsidR="00042191">
        <w:rPr>
          <w:rFonts w:ascii="Arial" w:eastAsia="Calibri" w:hAnsi="Arial" w:cs="Arial"/>
          <w:bCs/>
          <w:sz w:val="26"/>
          <w:szCs w:val="26"/>
        </w:rPr>
        <w:t xml:space="preserve"> - </w:t>
      </w:r>
    </w:p>
    <w:p w14:paraId="0D4EC1E8" w14:textId="73C416CD" w:rsidR="00EC31D0" w:rsidRDefault="00EC31D0" w:rsidP="00EC31D0">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Finaliza sus argumentos la recurrente, señalando que la  Secretaría de Finanzas del Poder Ejecutivo del Estado de Oaxaca, no </w:t>
      </w:r>
      <w:r>
        <w:rPr>
          <w:rFonts w:ascii="Arial" w:eastAsia="Calibri" w:hAnsi="Arial" w:cs="Arial"/>
          <w:bCs/>
          <w:sz w:val="26"/>
          <w:szCs w:val="26"/>
        </w:rPr>
        <w:lastRenderedPageBreak/>
        <w:t xml:space="preserve">puede realizar la baja del vehículo marca honda modelo 2011, con número de serie </w:t>
      </w:r>
      <w:r w:rsidR="0026769B">
        <w:rPr>
          <w:rFonts w:ascii="Arial" w:hAnsi="Arial" w:cs="Arial"/>
          <w:b/>
          <w:sz w:val="26"/>
          <w:szCs w:val="26"/>
        </w:rPr>
        <w:t>***********</w:t>
      </w:r>
      <w:r>
        <w:rPr>
          <w:rFonts w:ascii="Arial" w:eastAsia="Calibri" w:hAnsi="Arial" w:cs="Arial"/>
          <w:bCs/>
          <w:sz w:val="26"/>
          <w:szCs w:val="26"/>
        </w:rPr>
        <w:t xml:space="preserve"> y número de placa </w:t>
      </w:r>
      <w:r w:rsidR="0026769B">
        <w:rPr>
          <w:rFonts w:ascii="Arial" w:hAnsi="Arial" w:cs="Arial"/>
          <w:b/>
          <w:sz w:val="26"/>
          <w:szCs w:val="26"/>
        </w:rPr>
        <w:t>***********</w:t>
      </w:r>
      <w:r>
        <w:rPr>
          <w:rFonts w:ascii="Arial" w:eastAsia="Calibri" w:hAnsi="Arial" w:cs="Arial"/>
          <w:bCs/>
          <w:sz w:val="26"/>
          <w:szCs w:val="26"/>
        </w:rPr>
        <w:t xml:space="preserve">, ya que la autoridad competente para ello es Tránsito del Estado, como lo refiere el artículo 28 párrafo primero, fracción I del Reglamento de la Ley de Tránsito Reformada del Estado de Oaxaca, el cual se encontraba vigente al momento de la emisión del acto. </w:t>
      </w:r>
      <w:r w:rsidR="00042191">
        <w:rPr>
          <w:rFonts w:ascii="Arial" w:eastAsia="Calibri" w:hAnsi="Arial" w:cs="Arial"/>
          <w:bCs/>
          <w:sz w:val="26"/>
          <w:szCs w:val="26"/>
        </w:rPr>
        <w:t>- - - - - - - - - - - - - -  - - - - - -</w:t>
      </w:r>
    </w:p>
    <w:p w14:paraId="21718A0B" w14:textId="1CBA2B26" w:rsidR="00EC31D0" w:rsidRDefault="00EC31D0" w:rsidP="00EC31D0">
      <w:pPr>
        <w:spacing w:after="0" w:line="360" w:lineRule="auto"/>
        <w:ind w:right="191" w:firstLine="567"/>
        <w:jc w:val="both"/>
        <w:rPr>
          <w:rFonts w:ascii="Arial" w:hAnsi="Arial" w:cs="Arial"/>
          <w:bCs/>
          <w:sz w:val="26"/>
          <w:szCs w:val="26"/>
        </w:rPr>
      </w:pPr>
      <w:r>
        <w:rPr>
          <w:rFonts w:ascii="Arial" w:hAnsi="Arial" w:cs="Arial"/>
          <w:bCs/>
          <w:iCs/>
          <w:sz w:val="26"/>
          <w:szCs w:val="26"/>
        </w:rPr>
        <w:t xml:space="preserve">Estos argumentos se califican como </w:t>
      </w:r>
      <w:r w:rsidRPr="00436933">
        <w:rPr>
          <w:rFonts w:ascii="Arial" w:hAnsi="Arial" w:cs="Arial"/>
          <w:b/>
          <w:iCs/>
          <w:sz w:val="26"/>
          <w:szCs w:val="26"/>
        </w:rPr>
        <w:t>in</w:t>
      </w:r>
      <w:r>
        <w:rPr>
          <w:rFonts w:ascii="Arial" w:hAnsi="Arial" w:cs="Arial"/>
          <w:b/>
          <w:iCs/>
          <w:sz w:val="26"/>
          <w:szCs w:val="26"/>
        </w:rPr>
        <w:t>operantes</w:t>
      </w:r>
      <w:r>
        <w:rPr>
          <w:rFonts w:ascii="Arial" w:hAnsi="Arial" w:cs="Arial"/>
          <w:bCs/>
          <w:iCs/>
          <w:sz w:val="26"/>
          <w:szCs w:val="26"/>
        </w:rPr>
        <w:t xml:space="preserve">, ya que de las constancias procesales que integran el juicio de primera instancia, </w:t>
      </w:r>
      <w:r w:rsidRPr="0065709E">
        <w:rPr>
          <w:rFonts w:ascii="Arial" w:hAnsi="Arial" w:cs="Arial"/>
          <w:bCs/>
          <w:sz w:val="26"/>
          <w:szCs w:val="26"/>
        </w:rPr>
        <w:t>a las que se les ha otorgado pleno valor probatorio conforme lo dispuesto por el artículo 173 fracción I</w:t>
      </w:r>
      <w:r w:rsidRPr="0065709E">
        <w:rPr>
          <w:rStyle w:val="Refdenotaalpie"/>
          <w:rFonts w:ascii="Arial" w:hAnsi="Arial" w:cs="Arial"/>
          <w:bCs/>
          <w:sz w:val="26"/>
          <w:szCs w:val="26"/>
        </w:rPr>
        <w:footnoteReference w:id="2"/>
      </w:r>
      <w:r w:rsidRPr="0065709E">
        <w:rPr>
          <w:rFonts w:ascii="Arial" w:hAnsi="Arial" w:cs="Arial"/>
          <w:bCs/>
          <w:sz w:val="26"/>
          <w:szCs w:val="26"/>
        </w:rPr>
        <w:t xml:space="preserve"> de la Ley de Justicia Administrativa para el Estado de Oaxaca, por tratarse de actuaciones judiciales, se advierte que</w:t>
      </w:r>
      <w:r>
        <w:rPr>
          <w:rFonts w:ascii="Arial" w:hAnsi="Arial" w:cs="Arial"/>
          <w:bCs/>
          <w:sz w:val="26"/>
          <w:szCs w:val="26"/>
        </w:rPr>
        <w:t xml:space="preserve"> la actora planteó en su escrito de demanda</w:t>
      </w:r>
      <w:r>
        <w:rPr>
          <w:rStyle w:val="Refdenotaalpie"/>
          <w:rFonts w:ascii="Arial" w:hAnsi="Arial" w:cs="Arial"/>
          <w:bCs/>
          <w:sz w:val="26"/>
          <w:szCs w:val="26"/>
        </w:rPr>
        <w:footnoteReference w:id="3"/>
      </w:r>
      <w:r>
        <w:rPr>
          <w:rFonts w:ascii="Arial" w:hAnsi="Arial" w:cs="Arial"/>
          <w:bCs/>
          <w:sz w:val="26"/>
          <w:szCs w:val="26"/>
        </w:rPr>
        <w:t xml:space="preserve"> que el pago realizado a la Secretaría de Finanzas del Estado de México, en los años 2012, 2013, 2014, 2015, 2016 y 2017 fue por concepto de tenencia del vehículo </w:t>
      </w:r>
      <w:r>
        <w:rPr>
          <w:rFonts w:ascii="Arial" w:eastAsia="Calibri" w:hAnsi="Arial" w:cs="Arial"/>
          <w:bCs/>
          <w:sz w:val="26"/>
          <w:szCs w:val="26"/>
        </w:rPr>
        <w:t xml:space="preserve">Marca Honda, modelo 2011, con número de serie </w:t>
      </w:r>
      <w:r w:rsidR="0032736E">
        <w:rPr>
          <w:rFonts w:ascii="Arial" w:hAnsi="Arial" w:cs="Arial"/>
          <w:b/>
          <w:sz w:val="26"/>
          <w:szCs w:val="26"/>
        </w:rPr>
        <w:t>***********</w:t>
      </w:r>
      <w:r>
        <w:rPr>
          <w:rFonts w:ascii="Arial" w:eastAsia="Calibri" w:hAnsi="Arial" w:cs="Arial"/>
          <w:bCs/>
          <w:sz w:val="26"/>
          <w:szCs w:val="26"/>
        </w:rPr>
        <w:t xml:space="preserve"> y número de placa </w:t>
      </w:r>
      <w:r w:rsidR="0032736E">
        <w:rPr>
          <w:rFonts w:ascii="Arial" w:hAnsi="Arial" w:cs="Arial"/>
          <w:b/>
          <w:sz w:val="26"/>
          <w:szCs w:val="26"/>
        </w:rPr>
        <w:t>***********</w:t>
      </w:r>
      <w:r>
        <w:rPr>
          <w:rFonts w:ascii="Arial" w:eastAsia="Calibri" w:hAnsi="Arial" w:cs="Arial"/>
          <w:bCs/>
          <w:sz w:val="26"/>
          <w:szCs w:val="26"/>
        </w:rPr>
        <w:t xml:space="preserve">, </w:t>
      </w:r>
      <w:r>
        <w:rPr>
          <w:rFonts w:ascii="Arial" w:hAnsi="Arial" w:cs="Arial"/>
          <w:bCs/>
          <w:sz w:val="26"/>
          <w:szCs w:val="26"/>
        </w:rPr>
        <w:t xml:space="preserve">en consecuencia, la oportunidad procesal que la autoridad recurrente tuvo para refutar el dicho de la actora, era al momento de formular su oficio de contestación de demanda, lo cual no hizo, como se desprende del contenido del oficio número </w:t>
      </w:r>
      <w:r w:rsidR="0032736E">
        <w:rPr>
          <w:rFonts w:ascii="Arial" w:hAnsi="Arial" w:cs="Arial"/>
          <w:b/>
          <w:sz w:val="26"/>
          <w:szCs w:val="26"/>
        </w:rPr>
        <w:t>***********</w:t>
      </w:r>
      <w:r w:rsidR="0032736E">
        <w:rPr>
          <w:rFonts w:ascii="Arial" w:hAnsi="Arial" w:cs="Arial"/>
          <w:b/>
          <w:sz w:val="26"/>
          <w:szCs w:val="26"/>
        </w:rPr>
        <w:t xml:space="preserve"> </w:t>
      </w:r>
      <w:r>
        <w:rPr>
          <w:rFonts w:ascii="Arial" w:hAnsi="Arial" w:cs="Arial"/>
          <w:bCs/>
          <w:sz w:val="26"/>
          <w:szCs w:val="26"/>
        </w:rPr>
        <w:t>de fecha veintidós de octubre de dos mil dieciocho</w:t>
      </w:r>
      <w:r>
        <w:rPr>
          <w:rStyle w:val="Refdenotaalpie"/>
          <w:rFonts w:ascii="Arial" w:hAnsi="Arial" w:cs="Arial"/>
          <w:bCs/>
          <w:sz w:val="26"/>
          <w:szCs w:val="26"/>
        </w:rPr>
        <w:footnoteReference w:id="4"/>
      </w:r>
      <w:r>
        <w:rPr>
          <w:rFonts w:ascii="Arial" w:hAnsi="Arial" w:cs="Arial"/>
          <w:bCs/>
          <w:sz w:val="26"/>
          <w:szCs w:val="26"/>
        </w:rPr>
        <w:t>,</w:t>
      </w:r>
      <w:r w:rsidRPr="00766B53">
        <w:rPr>
          <w:rFonts w:ascii="Arial" w:hAnsi="Arial" w:cs="Arial"/>
          <w:bCs/>
          <w:sz w:val="26"/>
          <w:szCs w:val="26"/>
        </w:rPr>
        <w:t xml:space="preserve"> </w:t>
      </w:r>
      <w:r>
        <w:rPr>
          <w:rFonts w:ascii="Arial" w:hAnsi="Arial" w:cs="Arial"/>
          <w:bCs/>
          <w:sz w:val="26"/>
          <w:szCs w:val="26"/>
        </w:rPr>
        <w:t xml:space="preserve">por lo tanto, al no haber sido explicados los argumentos previamente referidos en el momento procesal oportuno, no pueden ser analizados en esta Segunda Instancia. </w:t>
      </w:r>
      <w:r w:rsidR="00042191">
        <w:rPr>
          <w:rFonts w:ascii="Arial" w:hAnsi="Arial" w:cs="Arial"/>
          <w:bCs/>
          <w:sz w:val="26"/>
          <w:szCs w:val="26"/>
        </w:rPr>
        <w:t xml:space="preserve"> - - - - - - - - - - - </w:t>
      </w:r>
      <w:bookmarkStart w:id="0" w:name="_GoBack"/>
      <w:bookmarkEnd w:id="0"/>
    </w:p>
    <w:p w14:paraId="1BC99AA5" w14:textId="7588FE00" w:rsidR="00EC31D0" w:rsidRPr="00422BC2" w:rsidRDefault="00EC31D0" w:rsidP="00EC31D0">
      <w:pPr>
        <w:pStyle w:val="Sinespaciado"/>
        <w:spacing w:after="120"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emitida por la Segunda Sala de la Suprema Corte de Justicia de la Nación, en la Novena Época, con número de registro 1002996, visible en el Apéndice de 2011, Tomo II. Procesal Constitucional 1. Común Primera Parte - SCJN Décima Sección – Recursos, Página: 1263, que se cita a continuación: </w:t>
      </w:r>
      <w:r w:rsidR="00042191">
        <w:rPr>
          <w:rFonts w:ascii="Arial" w:hAnsi="Arial" w:cs="Arial"/>
          <w:sz w:val="26"/>
          <w:szCs w:val="26"/>
        </w:rPr>
        <w:t xml:space="preserve">- - - - - - - - - - - - - - - - - - - - - - - - - - - - - - - - - - - - - - - - - - </w:t>
      </w:r>
    </w:p>
    <w:p w14:paraId="203E6CD5" w14:textId="77777777" w:rsidR="00EC31D0" w:rsidRPr="00D853C2" w:rsidRDefault="00EC31D0" w:rsidP="00EC31D0">
      <w:pPr>
        <w:tabs>
          <w:tab w:val="left" w:pos="8364"/>
        </w:tabs>
        <w:autoSpaceDE w:val="0"/>
        <w:autoSpaceDN w:val="0"/>
        <w:adjustRightInd w:val="0"/>
        <w:spacing w:line="360" w:lineRule="auto"/>
        <w:ind w:left="567" w:right="758"/>
        <w:jc w:val="both"/>
        <w:rPr>
          <w:rFonts w:ascii="Arial" w:hAnsi="Arial" w:cs="Arial"/>
          <w:i/>
        </w:rPr>
      </w:pPr>
      <w:r w:rsidRPr="00D853C2">
        <w:rPr>
          <w:rFonts w:ascii="Arial" w:hAnsi="Arial" w:cs="Arial"/>
          <w:b/>
          <w:i/>
        </w:rPr>
        <w:t xml:space="preserve">AGRAVIOS INOPERANTES EN LA REVISIÓN. SON AQUELLOS QUE REITERAN LOS CONCEPTOS DE VIOLACIÓN, ABUNDAN SOBRE ELLOS O LOS COMPLEMENTAN, SIN COMBATIR LAS </w:t>
      </w:r>
      <w:r w:rsidRPr="00D853C2">
        <w:rPr>
          <w:rFonts w:ascii="Arial" w:hAnsi="Arial" w:cs="Arial"/>
          <w:b/>
          <w:i/>
        </w:rPr>
        <w:lastRenderedPageBreak/>
        <w:t xml:space="preserve">CONSIDERACIONES DE LA SENTENCIA RECURRIDA. </w:t>
      </w:r>
      <w:r w:rsidRPr="00D853C2">
        <w:rPr>
          <w:rFonts w:ascii="Arial" w:hAnsi="Arial" w:cs="Arial"/>
          <w:i/>
        </w:rPr>
        <w:t>Conforme al artículo 88 de la Ley de Amparo, el recurrente debe expresar los agravios que le causa la sentencia impugnada, lo que se traduce en que tenga la carga, en los casos en que no deba suplirse la queja deficiente en términos del artículo 76 Bis de la ley de la materia, de controvertir los razonamientos jurídicos sustentados por el órgano jurisdiccional que conoció del amparo en primera instancia. Consecuentemente, son inoperantes los agravios que en el recurso de revisión reiteran los conceptos de violación formulados en la demanda, abundan sobre ellos o los complementan, sin combatir las consideraciones de la sentencia recurrida.</w:t>
      </w:r>
    </w:p>
    <w:p w14:paraId="16508151" w14:textId="494A3AC6" w:rsidR="00EC31D0" w:rsidRPr="00403CFB" w:rsidRDefault="00EC31D0" w:rsidP="00EC31D0">
      <w:pPr>
        <w:spacing w:before="240" w:after="0" w:line="360" w:lineRule="auto"/>
        <w:ind w:firstLine="567"/>
        <w:jc w:val="both"/>
        <w:rPr>
          <w:rFonts w:ascii="Arial" w:hAnsi="Arial" w:cs="Arial"/>
          <w:sz w:val="26"/>
          <w:szCs w:val="26"/>
        </w:rPr>
      </w:pPr>
      <w:r>
        <w:rPr>
          <w:rFonts w:ascii="Arial" w:hAnsi="Arial" w:cs="Arial"/>
          <w:sz w:val="26"/>
          <w:szCs w:val="26"/>
        </w:rPr>
        <w:t>P</w:t>
      </w:r>
      <w:r w:rsidRPr="00403CFB">
        <w:rPr>
          <w:rFonts w:ascii="Arial" w:hAnsi="Arial" w:cs="Arial"/>
          <w:sz w:val="26"/>
          <w:szCs w:val="26"/>
        </w:rPr>
        <w:t>or las consideraciones</w:t>
      </w:r>
      <w:r>
        <w:rPr>
          <w:rFonts w:ascii="Arial" w:hAnsi="Arial" w:cs="Arial"/>
          <w:sz w:val="26"/>
          <w:szCs w:val="26"/>
        </w:rPr>
        <w:t xml:space="preserve"> antes expuestas</w:t>
      </w:r>
      <w:r w:rsidRPr="00403CFB">
        <w:rPr>
          <w:rFonts w:ascii="Arial" w:hAnsi="Arial" w:cs="Arial"/>
          <w:sz w:val="26"/>
          <w:szCs w:val="26"/>
        </w:rPr>
        <w:t xml:space="preserve">, </w:t>
      </w:r>
      <w:r>
        <w:rPr>
          <w:rFonts w:ascii="Arial" w:hAnsi="Arial" w:cs="Arial"/>
          <w:sz w:val="26"/>
          <w:szCs w:val="26"/>
        </w:rPr>
        <w:t xml:space="preserve">y dado lo </w:t>
      </w:r>
      <w:r w:rsidRPr="00061E08">
        <w:rPr>
          <w:rFonts w:ascii="Arial" w:hAnsi="Arial" w:cs="Arial"/>
          <w:b/>
          <w:bCs/>
          <w:sz w:val="26"/>
          <w:szCs w:val="26"/>
        </w:rPr>
        <w:t>inatendible</w:t>
      </w:r>
      <w:r>
        <w:rPr>
          <w:rFonts w:ascii="Arial" w:hAnsi="Arial" w:cs="Arial"/>
          <w:sz w:val="26"/>
          <w:szCs w:val="26"/>
        </w:rPr>
        <w:t xml:space="preserve"> e </w:t>
      </w:r>
      <w:r w:rsidRPr="005752D4">
        <w:rPr>
          <w:rFonts w:ascii="Arial" w:hAnsi="Arial" w:cs="Arial"/>
          <w:b/>
          <w:sz w:val="26"/>
          <w:szCs w:val="26"/>
        </w:rPr>
        <w:t>inoperante</w:t>
      </w:r>
      <w:r>
        <w:rPr>
          <w:rFonts w:ascii="Arial" w:hAnsi="Arial" w:cs="Arial"/>
          <w:sz w:val="26"/>
          <w:szCs w:val="26"/>
        </w:rPr>
        <w:t xml:space="preserve"> de l</w:t>
      </w:r>
      <w:r w:rsidRPr="00403CFB">
        <w:rPr>
          <w:rFonts w:ascii="Arial" w:hAnsi="Arial" w:cs="Arial"/>
          <w:sz w:val="26"/>
          <w:szCs w:val="26"/>
        </w:rPr>
        <w:t xml:space="preserve">os </w:t>
      </w:r>
      <w:r>
        <w:rPr>
          <w:rFonts w:ascii="Arial" w:hAnsi="Arial" w:cs="Arial"/>
          <w:sz w:val="26"/>
          <w:szCs w:val="26"/>
        </w:rPr>
        <w:t>agravios formulados por la autoridad inconforme,</w:t>
      </w:r>
      <w:r w:rsidRPr="00403CFB">
        <w:rPr>
          <w:rFonts w:ascii="Arial" w:hAnsi="Arial" w:cs="Arial"/>
          <w:sz w:val="26"/>
          <w:szCs w:val="26"/>
        </w:rPr>
        <w:t xml:space="preserve"> procede </w:t>
      </w:r>
      <w:r w:rsidRPr="00403CFB">
        <w:rPr>
          <w:rFonts w:ascii="Arial" w:hAnsi="Arial" w:cs="Arial"/>
          <w:b/>
          <w:sz w:val="26"/>
          <w:szCs w:val="26"/>
        </w:rPr>
        <w:t>CONFIRMAR</w:t>
      </w:r>
      <w:r w:rsidRPr="00403CFB">
        <w:rPr>
          <w:rFonts w:ascii="Arial" w:hAnsi="Arial" w:cs="Arial"/>
          <w:sz w:val="26"/>
          <w:szCs w:val="26"/>
        </w:rPr>
        <w:t xml:space="preserve"> la sentencia </w:t>
      </w:r>
      <w:r>
        <w:rPr>
          <w:rFonts w:ascii="Arial" w:hAnsi="Arial" w:cs="Arial"/>
          <w:sz w:val="26"/>
          <w:szCs w:val="26"/>
        </w:rPr>
        <w:t>en revisión</w:t>
      </w:r>
      <w:r w:rsidRPr="00403CFB">
        <w:rPr>
          <w:rFonts w:ascii="Arial" w:hAnsi="Arial" w:cs="Arial"/>
          <w:sz w:val="26"/>
          <w:szCs w:val="26"/>
        </w:rPr>
        <w:t xml:space="preserve">; y, </w:t>
      </w:r>
      <w:r w:rsidRPr="00403CFB">
        <w:rPr>
          <w:rFonts w:ascii="Arial" w:eastAsia="Calibri" w:hAnsi="Arial" w:cs="Arial"/>
          <w:bCs/>
          <w:sz w:val="26"/>
          <w:szCs w:val="26"/>
        </w:rPr>
        <w:t>c</w:t>
      </w:r>
      <w:r w:rsidRPr="00403CFB">
        <w:rPr>
          <w:rFonts w:ascii="Arial" w:hAnsi="Arial" w:cs="Arial"/>
          <w:sz w:val="26"/>
          <w:szCs w:val="26"/>
        </w:rPr>
        <w:t>on fundamento en los artículos 2</w:t>
      </w:r>
      <w:r>
        <w:rPr>
          <w:rFonts w:ascii="Arial" w:hAnsi="Arial" w:cs="Arial"/>
          <w:sz w:val="26"/>
          <w:szCs w:val="26"/>
        </w:rPr>
        <w:t>0</w:t>
      </w:r>
      <w:r w:rsidRPr="00403CFB">
        <w:rPr>
          <w:rFonts w:ascii="Arial" w:hAnsi="Arial" w:cs="Arial"/>
          <w:sz w:val="26"/>
          <w:szCs w:val="26"/>
        </w:rPr>
        <w:t>7 y 2</w:t>
      </w:r>
      <w:r>
        <w:rPr>
          <w:rFonts w:ascii="Arial" w:hAnsi="Arial" w:cs="Arial"/>
          <w:sz w:val="26"/>
          <w:szCs w:val="26"/>
        </w:rPr>
        <w:t>0</w:t>
      </w:r>
      <w:r w:rsidRPr="00403CFB">
        <w:rPr>
          <w:rFonts w:ascii="Arial" w:hAnsi="Arial" w:cs="Arial"/>
          <w:sz w:val="26"/>
          <w:szCs w:val="26"/>
        </w:rPr>
        <w:t>8 de la Ley de Justicia Administrativa para el Estado de Oaxaca, se:</w:t>
      </w:r>
      <w:r w:rsidR="00042191">
        <w:rPr>
          <w:rFonts w:ascii="Arial" w:hAnsi="Arial" w:cs="Arial"/>
          <w:sz w:val="26"/>
          <w:szCs w:val="26"/>
        </w:rPr>
        <w:t xml:space="preserve"> - - - - - - - - - - - - - - - - - - - - - - - - - - - - - - - - - - - - - - - - - </w:t>
      </w:r>
    </w:p>
    <w:p w14:paraId="2A67A751" w14:textId="77777777" w:rsidR="00EC31D0" w:rsidRPr="00061E08" w:rsidRDefault="00EC31D0" w:rsidP="00EC31D0">
      <w:pPr>
        <w:widowControl w:val="0"/>
        <w:tabs>
          <w:tab w:val="left" w:pos="0"/>
        </w:tabs>
        <w:spacing w:before="240" w:after="0" w:line="360" w:lineRule="auto"/>
        <w:ind w:right="18"/>
        <w:jc w:val="center"/>
        <w:rPr>
          <w:rFonts w:ascii="Arial" w:hAnsi="Arial" w:cs="Arial"/>
          <w:b/>
          <w:sz w:val="26"/>
          <w:szCs w:val="26"/>
        </w:rPr>
      </w:pPr>
      <w:r w:rsidRPr="00061E08">
        <w:rPr>
          <w:rFonts w:ascii="Arial" w:hAnsi="Arial" w:cs="Arial"/>
          <w:b/>
          <w:sz w:val="26"/>
          <w:szCs w:val="26"/>
        </w:rPr>
        <w:t>R E S U E L V E</w:t>
      </w:r>
    </w:p>
    <w:p w14:paraId="658AA557" w14:textId="4F5D0C22" w:rsidR="00EC31D0" w:rsidRDefault="00EC31D0" w:rsidP="00EC31D0">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883943">
        <w:rPr>
          <w:rFonts w:ascii="Arial" w:hAnsi="Arial" w:cs="Arial"/>
          <w:color w:val="000000"/>
          <w:sz w:val="26"/>
          <w:szCs w:val="26"/>
          <w:lang w:val="es-MX"/>
        </w:rPr>
        <w:t>la sentencia recurrida</w:t>
      </w:r>
      <w:r>
        <w:rPr>
          <w:rFonts w:ascii="Arial" w:hAnsi="Arial" w:cs="Arial"/>
          <w:color w:val="000000"/>
          <w:sz w:val="26"/>
          <w:szCs w:val="26"/>
          <w:lang w:val="es-MX"/>
        </w:rPr>
        <w:t>, por las razones expuestas en el considerando que antecede.</w:t>
      </w:r>
      <w:r w:rsidR="00042191">
        <w:rPr>
          <w:rFonts w:ascii="Arial" w:hAnsi="Arial" w:cs="Arial"/>
          <w:color w:val="000000"/>
          <w:sz w:val="26"/>
          <w:szCs w:val="26"/>
          <w:lang w:val="es-MX"/>
        </w:rPr>
        <w:t xml:space="preserve"> - - - - - - - - - - - - - </w:t>
      </w:r>
    </w:p>
    <w:p w14:paraId="12F5EF6C" w14:textId="3F1484B8" w:rsidR="00EC31D0" w:rsidRDefault="00EC31D0" w:rsidP="00EC31D0">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SEGUNDO.</w:t>
      </w:r>
      <w:r w:rsidR="00042191">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Cuarta Sala Unitaria de Primera Instancia de este Tribunal y en su oportunidad archívese el presente cuaderno de revisión como asunto concluido.</w:t>
      </w:r>
    </w:p>
    <w:p w14:paraId="372C74A3" w14:textId="77777777" w:rsidR="00042191" w:rsidRDefault="00042191" w:rsidP="00042191">
      <w:pPr>
        <w:pStyle w:val="Sinespaciado"/>
      </w:pPr>
    </w:p>
    <w:p w14:paraId="3F8360A4" w14:textId="77777777" w:rsidR="00042191" w:rsidRDefault="00042191" w:rsidP="00042191">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sz w:val="26"/>
          <w:szCs w:val="26"/>
        </w:rPr>
        <w:t xml:space="preserve">Por unanimidad de votos, lo resolvieron y firmaron los Magistrados integrantes de la Sala Superior quienes actúan con el Licenciado Juan Edy García Coronado, Secretario General de Acuerdos de este Tribunal, que autoriza y da fe. - - - - - - - - - - - - - - - - - - - - - - - - - - - - - - - - - - - - - </w:t>
      </w:r>
    </w:p>
    <w:p w14:paraId="2E1F3BBC" w14:textId="77777777" w:rsidR="00042191" w:rsidRDefault="00042191" w:rsidP="00042191">
      <w:pPr>
        <w:spacing w:before="240" w:line="360" w:lineRule="auto"/>
        <w:jc w:val="both"/>
        <w:rPr>
          <w:rFonts w:ascii="Arial" w:hAnsi="Arial" w:cs="Arial"/>
          <w:sz w:val="26"/>
          <w:szCs w:val="26"/>
        </w:rPr>
      </w:pPr>
    </w:p>
    <w:p w14:paraId="7A1C66E9" w14:textId="3E51EB03" w:rsidR="00042191" w:rsidRDefault="00042191" w:rsidP="00042191">
      <w:pPr>
        <w:tabs>
          <w:tab w:val="left" w:pos="1680"/>
          <w:tab w:val="center" w:pos="4277"/>
        </w:tabs>
        <w:spacing w:after="0"/>
        <w:jc w:val="center"/>
        <w:rPr>
          <w:rFonts w:ascii="Arial" w:hAnsi="Arial" w:cs="Arial"/>
          <w:sz w:val="26"/>
          <w:szCs w:val="26"/>
        </w:rPr>
      </w:pPr>
      <w:r>
        <w:rPr>
          <w:rFonts w:ascii="Arial" w:hAnsi="Arial" w:cs="Arial"/>
          <w:sz w:val="26"/>
          <w:szCs w:val="26"/>
        </w:rPr>
        <w:t>MAGISTRADO MANUEL VELASCO ALCÁNTARA</w:t>
      </w:r>
    </w:p>
    <w:p w14:paraId="2EA4E4D8" w14:textId="67B19992" w:rsidR="00042191" w:rsidRDefault="00042191" w:rsidP="00042191">
      <w:pPr>
        <w:tabs>
          <w:tab w:val="left" w:pos="1680"/>
          <w:tab w:val="center" w:pos="4277"/>
        </w:tabs>
        <w:spacing w:after="0"/>
        <w:jc w:val="center"/>
        <w:rPr>
          <w:rFonts w:ascii="Arial" w:hAnsi="Arial" w:cs="Arial"/>
          <w:sz w:val="26"/>
          <w:szCs w:val="26"/>
        </w:rPr>
      </w:pPr>
      <w:r>
        <w:rPr>
          <w:rFonts w:ascii="Arial" w:hAnsi="Arial" w:cs="Arial"/>
          <w:sz w:val="26"/>
          <w:szCs w:val="26"/>
        </w:rPr>
        <w:t>PRESIDENTE</w:t>
      </w:r>
    </w:p>
    <w:p w14:paraId="06EBF10A" w14:textId="77777777" w:rsidR="00042191" w:rsidRDefault="00042191" w:rsidP="00042191">
      <w:pPr>
        <w:tabs>
          <w:tab w:val="center" w:pos="4135"/>
          <w:tab w:val="left" w:pos="7515"/>
        </w:tabs>
        <w:jc w:val="center"/>
        <w:rPr>
          <w:rFonts w:ascii="Arial" w:hAnsi="Arial" w:cs="Arial"/>
          <w:b/>
          <w:bCs/>
          <w:sz w:val="14"/>
          <w:szCs w:val="14"/>
        </w:rPr>
      </w:pPr>
    </w:p>
    <w:p w14:paraId="248AB373" w14:textId="77777777" w:rsidR="00042191" w:rsidRDefault="00042191" w:rsidP="00042191">
      <w:pPr>
        <w:rPr>
          <w:rFonts w:ascii="Arial" w:hAnsi="Arial" w:cs="Arial"/>
          <w:sz w:val="26"/>
          <w:szCs w:val="26"/>
        </w:rPr>
      </w:pPr>
    </w:p>
    <w:p w14:paraId="4F71E987" w14:textId="57A84CA5" w:rsidR="00042191" w:rsidRPr="00A55538" w:rsidRDefault="00042191" w:rsidP="00042191">
      <w:pPr>
        <w:tabs>
          <w:tab w:val="center" w:pos="4135"/>
          <w:tab w:val="left" w:pos="7515"/>
        </w:tabs>
        <w:jc w:val="center"/>
        <w:rPr>
          <w:rFonts w:ascii="Arial" w:hAnsi="Arial" w:cs="Arial"/>
          <w:b/>
          <w:bCs/>
          <w:sz w:val="16"/>
          <w:szCs w:val="16"/>
        </w:rPr>
      </w:pPr>
      <w:r w:rsidRPr="00A55538">
        <w:rPr>
          <w:rFonts w:ascii="Arial" w:hAnsi="Arial" w:cs="Arial"/>
          <w:b/>
          <w:bCs/>
          <w:sz w:val="16"/>
          <w:szCs w:val="16"/>
        </w:rPr>
        <w:t xml:space="preserve">LAS PRESENTES FIRMAS CORRESPONDEN A LA RESOLUCIÓN DEL RECURSO DE REVISIÓN </w:t>
      </w:r>
      <w:r>
        <w:rPr>
          <w:rFonts w:ascii="Arial" w:hAnsi="Arial" w:cs="Arial"/>
          <w:b/>
          <w:bCs/>
          <w:sz w:val="16"/>
          <w:szCs w:val="16"/>
        </w:rPr>
        <w:t>22</w:t>
      </w:r>
      <w:r w:rsidRPr="00A55538">
        <w:rPr>
          <w:rFonts w:ascii="Arial" w:hAnsi="Arial" w:cs="Arial"/>
          <w:b/>
          <w:bCs/>
          <w:sz w:val="16"/>
          <w:szCs w:val="16"/>
        </w:rPr>
        <w:t>/2020</w:t>
      </w:r>
    </w:p>
    <w:p w14:paraId="7812F9B2" w14:textId="77777777" w:rsidR="00042191" w:rsidRDefault="00042191" w:rsidP="00042191">
      <w:pPr>
        <w:rPr>
          <w:rFonts w:ascii="Arial" w:hAnsi="Arial" w:cs="Arial"/>
          <w:b/>
          <w:bCs/>
          <w:sz w:val="14"/>
          <w:szCs w:val="14"/>
        </w:rPr>
      </w:pPr>
    </w:p>
    <w:p w14:paraId="0B022757" w14:textId="6E913BC4" w:rsidR="00042191" w:rsidRDefault="00042191" w:rsidP="00042191">
      <w:pPr>
        <w:rPr>
          <w:rFonts w:ascii="Arial" w:hAnsi="Arial" w:cs="Arial"/>
          <w:sz w:val="26"/>
          <w:szCs w:val="26"/>
        </w:rPr>
      </w:pPr>
    </w:p>
    <w:p w14:paraId="54AEC8A3" w14:textId="5053E78F" w:rsidR="00042191" w:rsidRDefault="00042191" w:rsidP="00042191">
      <w:pPr>
        <w:rPr>
          <w:rFonts w:ascii="Arial" w:hAnsi="Arial" w:cs="Arial"/>
          <w:sz w:val="26"/>
          <w:szCs w:val="26"/>
        </w:rPr>
      </w:pPr>
    </w:p>
    <w:p w14:paraId="3DE74AB1" w14:textId="6D2937CC" w:rsidR="00042191" w:rsidRDefault="00042191" w:rsidP="00042191">
      <w:pPr>
        <w:rPr>
          <w:rFonts w:ascii="Arial" w:hAnsi="Arial" w:cs="Arial"/>
          <w:sz w:val="26"/>
          <w:szCs w:val="26"/>
        </w:rPr>
      </w:pPr>
    </w:p>
    <w:p w14:paraId="614E8298" w14:textId="77777777" w:rsidR="00042191" w:rsidRDefault="00042191" w:rsidP="00042191">
      <w:pPr>
        <w:rPr>
          <w:rFonts w:ascii="Arial" w:hAnsi="Arial" w:cs="Arial"/>
          <w:sz w:val="26"/>
          <w:szCs w:val="26"/>
        </w:rPr>
      </w:pPr>
    </w:p>
    <w:p w14:paraId="6CABE9E1" w14:textId="77777777" w:rsidR="00042191" w:rsidRDefault="00042191" w:rsidP="00042191">
      <w:pPr>
        <w:tabs>
          <w:tab w:val="center" w:pos="4135"/>
          <w:tab w:val="left" w:pos="7515"/>
        </w:tabs>
        <w:jc w:val="center"/>
        <w:rPr>
          <w:rFonts w:ascii="Arial" w:hAnsi="Arial" w:cs="Arial"/>
          <w:sz w:val="26"/>
          <w:szCs w:val="26"/>
        </w:rPr>
      </w:pPr>
      <w:r>
        <w:rPr>
          <w:rFonts w:ascii="Arial" w:hAnsi="Arial" w:cs="Arial"/>
          <w:sz w:val="26"/>
          <w:szCs w:val="26"/>
        </w:rPr>
        <w:t>MAGISTRADO RAÚL PALOMARES PALOMINO</w:t>
      </w:r>
    </w:p>
    <w:p w14:paraId="1A383C33" w14:textId="77777777" w:rsidR="00042191" w:rsidRDefault="00042191" w:rsidP="00042191">
      <w:pPr>
        <w:tabs>
          <w:tab w:val="center" w:pos="4135"/>
          <w:tab w:val="left" w:pos="7515"/>
        </w:tabs>
        <w:rPr>
          <w:rFonts w:ascii="Arial" w:hAnsi="Arial" w:cs="Arial"/>
          <w:sz w:val="20"/>
          <w:szCs w:val="20"/>
        </w:rPr>
      </w:pPr>
    </w:p>
    <w:p w14:paraId="7A6A33E2" w14:textId="77777777" w:rsidR="00042191" w:rsidRDefault="00042191" w:rsidP="00042191">
      <w:pPr>
        <w:tabs>
          <w:tab w:val="center" w:pos="4135"/>
          <w:tab w:val="left" w:pos="7515"/>
        </w:tabs>
        <w:jc w:val="center"/>
        <w:rPr>
          <w:rFonts w:ascii="Arial" w:hAnsi="Arial" w:cs="Arial"/>
          <w:b/>
          <w:bCs/>
          <w:sz w:val="14"/>
          <w:szCs w:val="14"/>
        </w:rPr>
      </w:pPr>
    </w:p>
    <w:p w14:paraId="03CE3FA2" w14:textId="77777777" w:rsidR="00042191" w:rsidRDefault="00042191" w:rsidP="00042191">
      <w:pPr>
        <w:tabs>
          <w:tab w:val="center" w:pos="4135"/>
          <w:tab w:val="left" w:pos="7515"/>
        </w:tabs>
        <w:rPr>
          <w:rFonts w:ascii="Arial" w:hAnsi="Arial" w:cs="Arial"/>
          <w:sz w:val="26"/>
          <w:szCs w:val="26"/>
        </w:rPr>
      </w:pPr>
    </w:p>
    <w:p w14:paraId="1A6BE25A" w14:textId="77777777" w:rsidR="00042191" w:rsidRDefault="00042191" w:rsidP="00042191">
      <w:pPr>
        <w:tabs>
          <w:tab w:val="center" w:pos="4135"/>
          <w:tab w:val="left" w:pos="7515"/>
        </w:tabs>
        <w:rPr>
          <w:rFonts w:ascii="Arial" w:hAnsi="Arial" w:cs="Arial"/>
          <w:sz w:val="26"/>
          <w:szCs w:val="26"/>
        </w:rPr>
      </w:pPr>
    </w:p>
    <w:p w14:paraId="37D74886" w14:textId="77777777" w:rsidR="00042191" w:rsidRDefault="00042191" w:rsidP="00042191">
      <w:pPr>
        <w:tabs>
          <w:tab w:val="center" w:pos="4135"/>
          <w:tab w:val="left" w:pos="7515"/>
        </w:tabs>
        <w:rPr>
          <w:rFonts w:ascii="Arial" w:hAnsi="Arial" w:cs="Arial"/>
          <w:sz w:val="26"/>
          <w:szCs w:val="26"/>
        </w:rPr>
      </w:pPr>
    </w:p>
    <w:p w14:paraId="59060E80" w14:textId="77777777" w:rsidR="00042191" w:rsidRDefault="00042191" w:rsidP="00042191">
      <w:pPr>
        <w:tabs>
          <w:tab w:val="center" w:pos="4135"/>
          <w:tab w:val="left" w:pos="7515"/>
        </w:tabs>
        <w:rPr>
          <w:rFonts w:ascii="Arial" w:hAnsi="Arial" w:cs="Arial"/>
          <w:sz w:val="26"/>
          <w:szCs w:val="26"/>
        </w:rPr>
      </w:pPr>
    </w:p>
    <w:p w14:paraId="58672BD3" w14:textId="77777777" w:rsidR="00042191" w:rsidRDefault="00042191" w:rsidP="00042191">
      <w:pPr>
        <w:tabs>
          <w:tab w:val="center" w:pos="4135"/>
          <w:tab w:val="left" w:pos="7515"/>
        </w:tabs>
        <w:jc w:val="center"/>
        <w:rPr>
          <w:rFonts w:ascii="Arial" w:hAnsi="Arial" w:cs="Arial"/>
          <w:sz w:val="26"/>
          <w:szCs w:val="26"/>
        </w:rPr>
      </w:pPr>
      <w:r>
        <w:rPr>
          <w:rFonts w:ascii="Arial" w:hAnsi="Arial" w:cs="Arial"/>
          <w:sz w:val="26"/>
          <w:szCs w:val="26"/>
        </w:rPr>
        <w:t>MAGISTRADO ABRAHAM SANTIAGO SORIANO</w:t>
      </w:r>
    </w:p>
    <w:p w14:paraId="09092A01" w14:textId="77777777" w:rsidR="00042191" w:rsidRDefault="00042191" w:rsidP="00042191">
      <w:pPr>
        <w:tabs>
          <w:tab w:val="center" w:pos="4135"/>
          <w:tab w:val="left" w:pos="7515"/>
        </w:tabs>
        <w:jc w:val="center"/>
        <w:rPr>
          <w:rFonts w:ascii="Arial" w:hAnsi="Arial" w:cs="Arial"/>
          <w:sz w:val="26"/>
          <w:szCs w:val="26"/>
        </w:rPr>
      </w:pPr>
    </w:p>
    <w:p w14:paraId="3F9D0E81" w14:textId="77777777" w:rsidR="00042191" w:rsidRDefault="00042191" w:rsidP="00042191">
      <w:pPr>
        <w:tabs>
          <w:tab w:val="center" w:pos="4135"/>
          <w:tab w:val="left" w:pos="7515"/>
        </w:tabs>
        <w:jc w:val="center"/>
        <w:rPr>
          <w:rFonts w:ascii="Arial" w:hAnsi="Arial" w:cs="Arial"/>
          <w:sz w:val="26"/>
          <w:szCs w:val="26"/>
        </w:rPr>
      </w:pPr>
    </w:p>
    <w:p w14:paraId="07422FCD" w14:textId="77777777" w:rsidR="00042191" w:rsidRDefault="00042191" w:rsidP="00042191">
      <w:pPr>
        <w:tabs>
          <w:tab w:val="center" w:pos="4135"/>
          <w:tab w:val="left" w:pos="7515"/>
        </w:tabs>
        <w:rPr>
          <w:rFonts w:ascii="Arial" w:hAnsi="Arial" w:cs="Arial"/>
          <w:sz w:val="26"/>
          <w:szCs w:val="26"/>
        </w:rPr>
      </w:pPr>
    </w:p>
    <w:p w14:paraId="11308326" w14:textId="77777777" w:rsidR="00042191" w:rsidRDefault="00042191" w:rsidP="00042191">
      <w:pPr>
        <w:tabs>
          <w:tab w:val="center" w:pos="4135"/>
          <w:tab w:val="left" w:pos="7515"/>
        </w:tabs>
        <w:jc w:val="center"/>
        <w:rPr>
          <w:rFonts w:ascii="Arial" w:hAnsi="Arial" w:cs="Arial"/>
          <w:sz w:val="26"/>
          <w:szCs w:val="26"/>
        </w:rPr>
      </w:pPr>
    </w:p>
    <w:p w14:paraId="0D23FAB6" w14:textId="77777777" w:rsidR="00042191" w:rsidRDefault="00042191" w:rsidP="00042191">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GARCÍA CORONADO</w:t>
      </w:r>
    </w:p>
    <w:p w14:paraId="3855CA8B" w14:textId="77777777" w:rsidR="00042191" w:rsidRDefault="00042191" w:rsidP="00042191">
      <w:pPr>
        <w:spacing w:after="0" w:line="240" w:lineRule="auto"/>
        <w:jc w:val="center"/>
        <w:rPr>
          <w:rFonts w:ascii="Arial" w:hAnsi="Arial" w:cs="Arial"/>
          <w:sz w:val="14"/>
          <w:szCs w:val="26"/>
        </w:rPr>
      </w:pPr>
      <w:r>
        <w:rPr>
          <w:rFonts w:ascii="Arial" w:hAnsi="Arial" w:cs="Arial"/>
          <w:sz w:val="26"/>
          <w:szCs w:val="26"/>
        </w:rPr>
        <w:t>SECRETARIO GENERAL DE ACUERDOS</w:t>
      </w:r>
    </w:p>
    <w:p w14:paraId="50453FE0" w14:textId="4543053B" w:rsidR="00BA258A" w:rsidRPr="00EC31D0" w:rsidRDefault="00BA258A" w:rsidP="00042191">
      <w:pPr>
        <w:spacing w:before="240" w:line="360" w:lineRule="auto"/>
        <w:ind w:firstLine="708"/>
        <w:jc w:val="both"/>
      </w:pPr>
    </w:p>
    <w:sectPr w:rsidR="00BA258A" w:rsidRPr="00EC31D0"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1A6FD" w14:textId="77777777" w:rsidR="00972A0C" w:rsidRDefault="00972A0C">
      <w:pPr>
        <w:spacing w:after="0" w:line="240" w:lineRule="auto"/>
      </w:pPr>
      <w:r>
        <w:separator/>
      </w:r>
    </w:p>
  </w:endnote>
  <w:endnote w:type="continuationSeparator" w:id="0">
    <w:p w14:paraId="541E5561" w14:textId="77777777" w:rsidR="00972A0C" w:rsidRDefault="00972A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C2DDF4B" w:rsidR="00A80DC8" w:rsidRDefault="007F4196">
    <w:pPr>
      <w:pStyle w:val="Piedepgina"/>
      <w:jc w:val="center"/>
    </w:pPr>
    <w:r>
      <w:rPr>
        <w:noProof/>
      </w:rPr>
      <mc:AlternateContent>
        <mc:Choice Requires="wps">
          <w:drawing>
            <wp:anchor distT="45720" distB="45720" distL="114300" distR="114300" simplePos="0" relativeHeight="251667456" behindDoc="0" locked="0" layoutInCell="1" allowOverlap="1" wp14:anchorId="622E63E4" wp14:editId="01BC801E">
              <wp:simplePos x="0" y="0"/>
              <wp:positionH relativeFrom="column">
                <wp:posOffset>-1227538</wp:posOffset>
              </wp:positionH>
              <wp:positionV relativeFrom="paragraph">
                <wp:posOffset>-5013573</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4A9FD469" w14:textId="77777777" w:rsidR="007F4196" w:rsidRPr="00BB7E37" w:rsidRDefault="007F4196" w:rsidP="007F419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2E63E4" id="_x0000_t202" coordsize="21600,21600" o:spt="202" path="m,l,21600r21600,l21600,xe">
              <v:stroke joinstyle="miter"/>
              <v:path gradientshapeok="t" o:connecttype="rect"/>
            </v:shapetype>
            <v:shape id="Cuadro de texto 2" o:spid="_x0000_s1026" type="#_x0000_t202" style="position:absolute;left:0;text-align:left;margin-left:-96.65pt;margin-top:-394.75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MwHp2LjAAAADgEAAA8AAABkcnMvZG93bnJldi54&#10;bWxMj81OwzAQhO9IvIO1SFxQ6pSE1AlxKoQEojdoK7i6sZtE+CfYbhrenuUEt9md0ey39Xo2mkzK&#10;h8FZDstFCkTZ1snBdhz2u6eEAQlRWCm0s4rDtwqwbi4valFJd7ZvatrGjmCJDZXg0Mc4VpSGtldG&#10;hIUblUXv6LwREUffUenFGcuNprdpWlAjBosXejGqx161n9uT4cDyl+kjbLLX97Y46jLerKbnL8/5&#10;9dX8cA8kqjn+heEXH9GhQaaDO1kZiOaQLMsswyyqFSvvgGAmyRmuDiiKLGdAm5r+f6P5AQAA//8D&#10;AFBLAQItABQABgAIAAAAIQC2gziS/gAAAOEBAAATAAAAAAAAAAAAAAAAAAAAAABbQ29udGVudF9U&#10;eXBlc10ueG1sUEsBAi0AFAAGAAgAAAAhADj9If/WAAAAlAEAAAsAAAAAAAAAAAAAAAAALwEAAF9y&#10;ZWxzLy5yZWxzUEsBAi0AFAAGAAgAAAAhACcvOasoAgAATAQAAA4AAAAAAAAAAAAAAAAALgIAAGRy&#10;cy9lMm9Eb2MueG1sUEsBAi0AFAAGAAgAAAAhAMwHp2LjAAAADgEAAA8AAAAAAAAAAAAAAAAAggQA&#10;AGRycy9kb3ducmV2LnhtbFBLBQYAAAAABAAEAPMAAACSBQAAAAA=&#10;">
              <v:textbox>
                <w:txbxContent>
                  <w:p w14:paraId="4A9FD469" w14:textId="77777777" w:rsidR="007F4196" w:rsidRPr="00BB7E37" w:rsidRDefault="007F4196" w:rsidP="007F4196">
                    <w:pPr>
                      <w:rPr>
                        <w:sz w:val="16"/>
                        <w:szCs w:val="16"/>
                      </w:rPr>
                    </w:pPr>
                    <w:r w:rsidRPr="00BB7E37">
                      <w:rPr>
                        <w:sz w:val="16"/>
                        <w:szCs w:val="16"/>
                      </w:rPr>
                      <w:t>Los datos personales están protegidos por e</w:t>
                    </w:r>
                    <w:r>
                      <w:rPr>
                        <w:sz w:val="16"/>
                        <w:szCs w:val="16"/>
                      </w:rPr>
                      <w:t>l</w:t>
                    </w:r>
                    <w:r w:rsidRPr="00BB7E37">
                      <w:rPr>
                        <w:sz w:val="16"/>
                        <w:szCs w:val="16"/>
                      </w:rPr>
                      <w:t xml:space="preserve"> art.116 de la LGTAIP y el art. 56 de la LTAIPEO</w:t>
                    </w:r>
                  </w:p>
                </w:txbxContent>
              </v:textbox>
              <w10:wrap type="square"/>
            </v:shape>
          </w:pict>
        </mc:Fallback>
      </mc:AlternateContent>
    </w: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5BF4BB" w14:textId="77777777" w:rsidR="00972A0C" w:rsidRDefault="00972A0C">
      <w:pPr>
        <w:spacing w:after="0" w:line="240" w:lineRule="auto"/>
      </w:pPr>
      <w:r>
        <w:separator/>
      </w:r>
    </w:p>
  </w:footnote>
  <w:footnote w:type="continuationSeparator" w:id="0">
    <w:p w14:paraId="5CECCF2B" w14:textId="77777777" w:rsidR="00972A0C" w:rsidRDefault="00972A0C">
      <w:pPr>
        <w:spacing w:after="0" w:line="240" w:lineRule="auto"/>
      </w:pPr>
      <w:r>
        <w:continuationSeparator/>
      </w:r>
    </w:p>
  </w:footnote>
  <w:footnote w:id="1">
    <w:p w14:paraId="3A8D16E5" w14:textId="77777777" w:rsidR="00EC31D0" w:rsidRPr="00A511D5" w:rsidRDefault="00EC31D0" w:rsidP="00EC31D0">
      <w:pPr>
        <w:pStyle w:val="Textonotapie"/>
        <w:jc w:val="both"/>
      </w:pPr>
      <w:r>
        <w:rPr>
          <w:rStyle w:val="Refdenotaalpie"/>
        </w:rPr>
        <w:footnoteRef/>
      </w:r>
      <w:r>
        <w:t xml:space="preserve"> Consultable a fojas 87 (ochenta y siete) y 88 (ochenta y ocho) del expediente 088/2017 del índice de la Cuarta Sala de Primera Instancia. </w:t>
      </w:r>
    </w:p>
  </w:footnote>
  <w:footnote w:id="2">
    <w:p w14:paraId="51B418B2" w14:textId="77777777" w:rsidR="00EC31D0" w:rsidRPr="00B35C04" w:rsidRDefault="00EC31D0" w:rsidP="00EC31D0">
      <w:pPr>
        <w:pStyle w:val="Textonotapie"/>
        <w:jc w:val="both"/>
        <w:rPr>
          <w:rFonts w:ascii="Arial" w:hAnsi="Arial" w:cs="Arial"/>
          <w:i/>
        </w:rPr>
      </w:pPr>
      <w:r>
        <w:rPr>
          <w:rStyle w:val="Refdenotaalpie"/>
        </w:rPr>
        <w:footnoteRef/>
      </w:r>
      <w:r>
        <w:t xml:space="preserve"> </w:t>
      </w:r>
      <w:r w:rsidRPr="00B35C04">
        <w:rPr>
          <w:rFonts w:ascii="Arial" w:hAnsi="Arial" w:cs="Arial"/>
          <w:i/>
        </w:rPr>
        <w:t>“</w:t>
      </w:r>
      <w:r w:rsidRPr="00B35C04">
        <w:rPr>
          <w:rFonts w:ascii="Arial" w:hAnsi="Arial" w:cs="Arial"/>
          <w:b/>
          <w:i/>
        </w:rPr>
        <w:t>ARTÍCULO 173</w:t>
      </w:r>
      <w:r w:rsidRPr="00B35C04">
        <w:rPr>
          <w:rFonts w:ascii="Arial" w:hAnsi="Arial" w:cs="Arial"/>
          <w:i/>
        </w:rPr>
        <w:t>.- La valoración de las pruebas se hará de acuerdo con las siguientes reglas:</w:t>
      </w:r>
    </w:p>
    <w:p w14:paraId="052445C6" w14:textId="77777777" w:rsidR="00EC31D0" w:rsidRPr="00B35C04" w:rsidRDefault="00EC31D0" w:rsidP="00EC31D0">
      <w:pPr>
        <w:pStyle w:val="Textonotapie"/>
        <w:jc w:val="both"/>
        <w:rPr>
          <w:rFonts w:ascii="Arial" w:hAnsi="Arial" w:cs="Arial"/>
          <w:i/>
        </w:rPr>
      </w:pPr>
      <w:r w:rsidRPr="00B35C04">
        <w:rPr>
          <w:rFonts w:ascii="Arial" w:hAnsi="Arial" w:cs="Arial"/>
          <w:i/>
        </w:rPr>
        <w:t xml:space="preserve">   I. Harán prueba plena la confesión expresa de las partes y los actos contenidos en documentos públicos, si en éstos últimos se contiene declaraciones de verdad o manifestaciones de hechos de particulares, …”</w:t>
      </w:r>
    </w:p>
  </w:footnote>
  <w:footnote w:id="3">
    <w:p w14:paraId="5B957FFD" w14:textId="77777777" w:rsidR="00EC31D0" w:rsidRPr="00766B53" w:rsidRDefault="00EC31D0" w:rsidP="00EC31D0">
      <w:pPr>
        <w:pStyle w:val="Textonotapie"/>
        <w:jc w:val="both"/>
        <w:rPr>
          <w:rFonts w:ascii="Arial" w:hAnsi="Arial" w:cs="Arial"/>
          <w:i/>
        </w:rPr>
      </w:pPr>
      <w:r w:rsidRPr="00766B53">
        <w:rPr>
          <w:rStyle w:val="Refdenotaalpie"/>
          <w:rFonts w:ascii="Arial" w:hAnsi="Arial" w:cs="Arial"/>
          <w:i/>
        </w:rPr>
        <w:footnoteRef/>
      </w:r>
      <w:r w:rsidRPr="00766B53">
        <w:rPr>
          <w:rFonts w:ascii="Arial" w:hAnsi="Arial" w:cs="Arial"/>
          <w:i/>
        </w:rPr>
        <w:t xml:space="preserve"> Visibles a fojas 0</w:t>
      </w:r>
      <w:r>
        <w:rPr>
          <w:rFonts w:ascii="Arial" w:hAnsi="Arial" w:cs="Arial"/>
          <w:i/>
        </w:rPr>
        <w:t>1</w:t>
      </w:r>
      <w:r w:rsidRPr="00766B53">
        <w:rPr>
          <w:rFonts w:ascii="Arial" w:hAnsi="Arial" w:cs="Arial"/>
          <w:i/>
        </w:rPr>
        <w:t xml:space="preserve"> (</w:t>
      </w:r>
      <w:r>
        <w:rPr>
          <w:rFonts w:ascii="Arial" w:hAnsi="Arial" w:cs="Arial"/>
          <w:i/>
        </w:rPr>
        <w:t>uno</w:t>
      </w:r>
      <w:r w:rsidRPr="00766B53">
        <w:rPr>
          <w:rFonts w:ascii="Arial" w:hAnsi="Arial" w:cs="Arial"/>
          <w:i/>
        </w:rPr>
        <w:t xml:space="preserve">) a </w:t>
      </w:r>
      <w:r>
        <w:rPr>
          <w:rFonts w:ascii="Arial" w:hAnsi="Arial" w:cs="Arial"/>
          <w:i/>
        </w:rPr>
        <w:t>05</w:t>
      </w:r>
      <w:r w:rsidRPr="00766B53">
        <w:rPr>
          <w:rFonts w:ascii="Arial" w:hAnsi="Arial" w:cs="Arial"/>
          <w:i/>
        </w:rPr>
        <w:t xml:space="preserve"> (</w:t>
      </w:r>
      <w:r>
        <w:rPr>
          <w:rFonts w:ascii="Arial" w:hAnsi="Arial" w:cs="Arial"/>
          <w:i/>
        </w:rPr>
        <w:t>cinco</w:t>
      </w:r>
      <w:r w:rsidRPr="00766B53">
        <w:rPr>
          <w:rFonts w:ascii="Arial" w:hAnsi="Arial" w:cs="Arial"/>
          <w:i/>
        </w:rPr>
        <w:t>) del expediente 008</w:t>
      </w:r>
      <w:r>
        <w:rPr>
          <w:rFonts w:ascii="Arial" w:hAnsi="Arial" w:cs="Arial"/>
          <w:i/>
        </w:rPr>
        <w:t>8</w:t>
      </w:r>
      <w:r w:rsidRPr="00766B53">
        <w:rPr>
          <w:rFonts w:ascii="Arial" w:hAnsi="Arial" w:cs="Arial"/>
          <w:i/>
        </w:rPr>
        <w:t>/201</w:t>
      </w:r>
      <w:r>
        <w:rPr>
          <w:rFonts w:ascii="Arial" w:hAnsi="Arial" w:cs="Arial"/>
          <w:i/>
        </w:rPr>
        <w:t>7</w:t>
      </w:r>
      <w:r w:rsidRPr="00766B53">
        <w:rPr>
          <w:rFonts w:ascii="Arial" w:hAnsi="Arial" w:cs="Arial"/>
          <w:i/>
        </w:rPr>
        <w:t xml:space="preserve"> del índice de la </w:t>
      </w:r>
      <w:r>
        <w:rPr>
          <w:rFonts w:ascii="Arial" w:hAnsi="Arial" w:cs="Arial"/>
          <w:i/>
        </w:rPr>
        <w:t>Cuarta</w:t>
      </w:r>
      <w:r w:rsidRPr="00766B53">
        <w:rPr>
          <w:rFonts w:ascii="Arial" w:hAnsi="Arial" w:cs="Arial"/>
          <w:i/>
        </w:rPr>
        <w:t xml:space="preserve"> Sala de Primera Instancia. </w:t>
      </w:r>
    </w:p>
  </w:footnote>
  <w:footnote w:id="4">
    <w:p w14:paraId="115BFC8E" w14:textId="77777777" w:rsidR="00EC31D0" w:rsidRPr="00766B53" w:rsidRDefault="00EC31D0" w:rsidP="00EC31D0">
      <w:pPr>
        <w:pStyle w:val="Textonotapie"/>
        <w:jc w:val="both"/>
        <w:rPr>
          <w:rFonts w:ascii="Arial" w:hAnsi="Arial" w:cs="Arial"/>
          <w:i/>
        </w:rPr>
      </w:pPr>
      <w:r w:rsidRPr="00766B53">
        <w:rPr>
          <w:rStyle w:val="Refdenotaalpie"/>
          <w:rFonts w:ascii="Arial" w:hAnsi="Arial" w:cs="Arial"/>
          <w:i/>
        </w:rPr>
        <w:footnoteRef/>
      </w:r>
      <w:r w:rsidRPr="00766B53">
        <w:rPr>
          <w:rFonts w:ascii="Arial" w:hAnsi="Arial" w:cs="Arial"/>
          <w:i/>
        </w:rPr>
        <w:t xml:space="preserve"> Consultable a fojas 36 (treinta y seis) a 42 (cuarenta y dos)  del expediente 0080/2018 del índice de la Primera Sala de Primera Instancia. </w:t>
      </w:r>
    </w:p>
    <w:p w14:paraId="10F49FCB" w14:textId="77777777" w:rsidR="00EC31D0" w:rsidRPr="00766B53" w:rsidRDefault="00EC31D0" w:rsidP="00EC31D0">
      <w:pPr>
        <w:pStyle w:val="Textonotapie"/>
        <w:jc w:val="both"/>
        <w:rPr>
          <w:rFonts w:ascii="Arial" w:hAnsi="Arial" w:cs="Arial"/>
          <w:i/>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86E6144" w:rsidR="000F5C41" w:rsidRDefault="00972A0C">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B56493" w:rsidRPr="00B56493">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AA7F8AB" w:rsidR="000F5C41" w:rsidRDefault="00972A0C">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32736E" w:rsidRPr="0032736E">
          <w:rPr>
            <w:noProof/>
            <w:lang w:val="es-ES"/>
          </w:rPr>
          <w:t>7</w:t>
        </w:r>
        <w:r w:rsidR="000F5C41">
          <w:fldChar w:fldCharType="end"/>
        </w:r>
      </w:sdtContent>
    </w:sdt>
  </w:p>
  <w:p w14:paraId="51E22156" w14:textId="126AF461"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DA6CE89">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32B8DDD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72A0C">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191"/>
    <w:rsid w:val="00042473"/>
    <w:rsid w:val="00043077"/>
    <w:rsid w:val="000441B5"/>
    <w:rsid w:val="00044C5F"/>
    <w:rsid w:val="000450F5"/>
    <w:rsid w:val="000456C6"/>
    <w:rsid w:val="000466B1"/>
    <w:rsid w:val="000466D5"/>
    <w:rsid w:val="000525F8"/>
    <w:rsid w:val="0005285F"/>
    <w:rsid w:val="00053207"/>
    <w:rsid w:val="0005370C"/>
    <w:rsid w:val="000540E8"/>
    <w:rsid w:val="00054705"/>
    <w:rsid w:val="00054D3C"/>
    <w:rsid w:val="00055248"/>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6947"/>
    <w:rsid w:val="001C7EC3"/>
    <w:rsid w:val="001D07F6"/>
    <w:rsid w:val="001D0B4E"/>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5FE5"/>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69B"/>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5587"/>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36E"/>
    <w:rsid w:val="00327A8E"/>
    <w:rsid w:val="00327BDD"/>
    <w:rsid w:val="00331836"/>
    <w:rsid w:val="0033190E"/>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231"/>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042"/>
    <w:rsid w:val="004668E6"/>
    <w:rsid w:val="004673D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91E99"/>
    <w:rsid w:val="004929E7"/>
    <w:rsid w:val="0049318A"/>
    <w:rsid w:val="00493A5B"/>
    <w:rsid w:val="00494F0A"/>
    <w:rsid w:val="00495547"/>
    <w:rsid w:val="00495E9E"/>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4D3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BFA"/>
    <w:rsid w:val="00744DC2"/>
    <w:rsid w:val="00744E48"/>
    <w:rsid w:val="00744EED"/>
    <w:rsid w:val="00746015"/>
    <w:rsid w:val="00746730"/>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D7816"/>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196"/>
    <w:rsid w:val="007F425D"/>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943"/>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2FC8"/>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A0C"/>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2DC"/>
    <w:rsid w:val="00AB3569"/>
    <w:rsid w:val="00AB45BF"/>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702"/>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493"/>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8AD"/>
    <w:rsid w:val="00C14A18"/>
    <w:rsid w:val="00C14B07"/>
    <w:rsid w:val="00C14BF5"/>
    <w:rsid w:val="00C14D5F"/>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55A"/>
    <w:rsid w:val="00E60A17"/>
    <w:rsid w:val="00E621FE"/>
    <w:rsid w:val="00E62CBA"/>
    <w:rsid w:val="00E648F7"/>
    <w:rsid w:val="00E64CC9"/>
    <w:rsid w:val="00E65E40"/>
    <w:rsid w:val="00E6690D"/>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1D0"/>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9D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4EE4"/>
    <w:rsid w:val="00F2516C"/>
    <w:rsid w:val="00F2560A"/>
    <w:rsid w:val="00F25B7F"/>
    <w:rsid w:val="00F2644C"/>
    <w:rsid w:val="00F26992"/>
    <w:rsid w:val="00F26F0E"/>
    <w:rsid w:val="00F2789C"/>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2900"/>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EAA8C-E13B-441D-839C-99027D126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2455</Words>
  <Characters>13508</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13</cp:revision>
  <cp:lastPrinted>2021-03-12T18:00:00Z</cp:lastPrinted>
  <dcterms:created xsi:type="dcterms:W3CDTF">2021-02-26T19:14:00Z</dcterms:created>
  <dcterms:modified xsi:type="dcterms:W3CDTF">2021-05-11T22:41:00Z</dcterms:modified>
</cp:coreProperties>
</file>