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07393" w14:textId="77777777" w:rsidR="00EE3879" w:rsidRPr="00403CFB" w:rsidRDefault="00EE3879" w:rsidP="00181C40">
      <w:pPr>
        <w:spacing w:line="240" w:lineRule="auto"/>
        <w:ind w:left="2124"/>
        <w:jc w:val="both"/>
        <w:rPr>
          <w:rFonts w:ascii="Arial" w:hAnsi="Arial" w:cs="Arial"/>
          <w:b/>
          <w:sz w:val="26"/>
          <w:szCs w:val="26"/>
        </w:rPr>
      </w:pPr>
      <w:r w:rsidRPr="00403CFB">
        <w:rPr>
          <w:rFonts w:ascii="Arial" w:hAnsi="Arial" w:cs="Arial"/>
          <w:b/>
          <w:sz w:val="26"/>
          <w:szCs w:val="26"/>
        </w:rPr>
        <w:t>SALA SUPERIOR DEL TRIBUNAL DE JUSTICIA ADMINISTRATIVA DEL ESTADO DE OAXACA</w:t>
      </w:r>
    </w:p>
    <w:p w14:paraId="27FEB475" w14:textId="77777777" w:rsidR="00EE3879" w:rsidRPr="00403CFB" w:rsidRDefault="00EE3879" w:rsidP="00181C40">
      <w:pPr>
        <w:spacing w:line="240" w:lineRule="auto"/>
        <w:ind w:left="2124"/>
        <w:jc w:val="both"/>
        <w:rPr>
          <w:rFonts w:ascii="Arial" w:hAnsi="Arial" w:cs="Arial"/>
          <w:b/>
          <w:sz w:val="26"/>
          <w:szCs w:val="26"/>
        </w:rPr>
      </w:pPr>
      <w:r>
        <w:rPr>
          <w:rFonts w:ascii="Arial" w:hAnsi="Arial" w:cs="Arial"/>
          <w:b/>
          <w:sz w:val="26"/>
          <w:szCs w:val="26"/>
        </w:rPr>
        <w:t xml:space="preserve">RECURSO DE </w:t>
      </w:r>
      <w:bookmarkStart w:id="0" w:name="_GoBack"/>
      <w:bookmarkEnd w:id="0"/>
      <w:r>
        <w:rPr>
          <w:rFonts w:ascii="Arial" w:hAnsi="Arial" w:cs="Arial"/>
          <w:b/>
          <w:sz w:val="26"/>
          <w:szCs w:val="26"/>
        </w:rPr>
        <w:t>REVISIÓN:</w:t>
      </w:r>
      <w:r>
        <w:rPr>
          <w:rFonts w:ascii="Arial" w:hAnsi="Arial" w:cs="Arial"/>
          <w:b/>
          <w:sz w:val="26"/>
          <w:szCs w:val="26"/>
        </w:rPr>
        <w:tab/>
        <w:t>221</w:t>
      </w:r>
      <w:r w:rsidRPr="00403CFB">
        <w:rPr>
          <w:rFonts w:ascii="Arial" w:hAnsi="Arial" w:cs="Arial"/>
          <w:b/>
          <w:sz w:val="26"/>
          <w:szCs w:val="26"/>
        </w:rPr>
        <w:t>/20</w:t>
      </w:r>
      <w:r>
        <w:rPr>
          <w:rFonts w:ascii="Arial" w:hAnsi="Arial" w:cs="Arial"/>
          <w:b/>
          <w:sz w:val="26"/>
          <w:szCs w:val="26"/>
        </w:rPr>
        <w:t>20</w:t>
      </w:r>
    </w:p>
    <w:p w14:paraId="0C00108C" w14:textId="671B8716" w:rsidR="00181C40" w:rsidRPr="00C93DA1" w:rsidRDefault="00181C40" w:rsidP="00181C40">
      <w:pPr>
        <w:tabs>
          <w:tab w:val="center" w:pos="4252"/>
          <w:tab w:val="right" w:pos="8504"/>
        </w:tabs>
        <w:spacing w:after="0" w:line="240" w:lineRule="auto"/>
        <w:ind w:left="2127" w:right="709" w:hanging="1119"/>
        <w:jc w:val="both"/>
        <w:rPr>
          <w:rFonts w:ascii="Arial" w:eastAsia="PMingLiU" w:hAnsi="Arial" w:cs="Arial"/>
          <w:bCs/>
          <w:iCs/>
          <w:caps/>
          <w:sz w:val="26"/>
          <w:szCs w:val="26"/>
          <w:lang w:val="es-PE" w:eastAsia="zh-TW"/>
        </w:rPr>
      </w:pPr>
      <w:r>
        <w:rPr>
          <w:rFonts w:ascii="Arial" w:hAnsi="Arial" w:cs="Arial"/>
          <w:b/>
          <w:sz w:val="26"/>
          <w:szCs w:val="26"/>
        </w:rPr>
        <w:t xml:space="preserve">               </w:t>
      </w:r>
      <w:r w:rsidR="00EE3879">
        <w:rPr>
          <w:rFonts w:ascii="Arial" w:hAnsi="Arial" w:cs="Arial"/>
          <w:b/>
          <w:sz w:val="26"/>
          <w:szCs w:val="26"/>
        </w:rPr>
        <w:t>EXPEDIENTE:</w:t>
      </w:r>
      <w:r w:rsidR="00EE3879">
        <w:rPr>
          <w:rFonts w:ascii="Arial" w:hAnsi="Arial" w:cs="Arial"/>
          <w:b/>
          <w:sz w:val="26"/>
          <w:szCs w:val="26"/>
        </w:rPr>
        <w:tab/>
      </w:r>
      <w:r>
        <w:rPr>
          <w:rFonts w:ascii="Arial" w:hAnsi="Arial" w:cs="Arial"/>
          <w:b/>
          <w:sz w:val="26"/>
          <w:szCs w:val="26"/>
        </w:rPr>
        <w:t xml:space="preserve"> </w:t>
      </w:r>
      <w:r w:rsidR="00EE3879">
        <w:rPr>
          <w:rFonts w:ascii="Arial" w:hAnsi="Arial" w:cs="Arial"/>
          <w:b/>
          <w:sz w:val="26"/>
          <w:szCs w:val="26"/>
        </w:rPr>
        <w:t>76/2020</w:t>
      </w:r>
      <w:r w:rsidR="00223800">
        <w:rPr>
          <w:rFonts w:ascii="Arial" w:hAnsi="Arial" w:cs="Arial"/>
          <w:b/>
          <w:sz w:val="26"/>
          <w:szCs w:val="26"/>
        </w:rPr>
        <w:t xml:space="preserve"> </w:t>
      </w:r>
      <w:r w:rsidR="00EE3879">
        <w:rPr>
          <w:rFonts w:ascii="Arial" w:hAnsi="Arial" w:cs="Arial"/>
          <w:b/>
          <w:sz w:val="26"/>
          <w:szCs w:val="26"/>
        </w:rPr>
        <w:t>PRIMERA</w:t>
      </w:r>
      <w:r w:rsidR="00EE3879" w:rsidRPr="00403CFB">
        <w:rPr>
          <w:rFonts w:ascii="Arial" w:hAnsi="Arial" w:cs="Arial"/>
          <w:b/>
          <w:sz w:val="26"/>
          <w:szCs w:val="26"/>
        </w:rPr>
        <w:t xml:space="preserve"> SALA UNITARIA DE PRIMERA INSTANCIA</w:t>
      </w:r>
      <w:r>
        <w:rPr>
          <w:rFonts w:ascii="Arial" w:hAnsi="Arial" w:cs="Arial"/>
          <w:b/>
          <w:sz w:val="26"/>
          <w:szCs w:val="26"/>
        </w:rPr>
        <w:t xml:space="preserve"> </w:t>
      </w:r>
      <w:r w:rsidRPr="00C93DA1">
        <w:rPr>
          <w:rFonts w:ascii="Arial" w:eastAsia="PMingLiU" w:hAnsi="Arial" w:cs="Arial"/>
          <w:bCs/>
          <w:iCs/>
          <w:caps/>
          <w:sz w:val="26"/>
          <w:szCs w:val="26"/>
          <w:lang w:val="es-PE" w:eastAsia="zh-TW"/>
        </w:rPr>
        <w:t xml:space="preserve">(ANTES </w:t>
      </w:r>
      <w:r>
        <w:rPr>
          <w:rFonts w:ascii="Arial" w:eastAsia="PMingLiU" w:hAnsi="Arial" w:cs="Arial"/>
          <w:bCs/>
          <w:iCs/>
          <w:caps/>
          <w:sz w:val="26"/>
          <w:szCs w:val="26"/>
          <w:lang w:val="es-PE" w:eastAsia="zh-TW"/>
        </w:rPr>
        <w:t>15</w:t>
      </w:r>
      <w:r w:rsidRPr="00C93DA1">
        <w:rPr>
          <w:rFonts w:ascii="Arial" w:eastAsia="PMingLiU" w:hAnsi="Arial" w:cs="Arial"/>
          <w:bCs/>
          <w:iCs/>
          <w:caps/>
          <w:sz w:val="26"/>
          <w:szCs w:val="26"/>
          <w:lang w:val="es-PE" w:eastAsia="zh-TW"/>
        </w:rPr>
        <w:t>/201</w:t>
      </w:r>
      <w:r>
        <w:rPr>
          <w:rFonts w:ascii="Arial" w:eastAsia="PMingLiU" w:hAnsi="Arial" w:cs="Arial"/>
          <w:bCs/>
          <w:iCs/>
          <w:caps/>
          <w:sz w:val="26"/>
          <w:szCs w:val="26"/>
          <w:lang w:val="es-PE" w:eastAsia="zh-TW"/>
        </w:rPr>
        <w:t>7</w:t>
      </w:r>
      <w:r w:rsidRPr="00C93DA1">
        <w:rPr>
          <w:rFonts w:ascii="Arial" w:eastAsia="PMingLiU" w:hAnsi="Arial" w:cs="Arial"/>
          <w:bCs/>
          <w:iCs/>
          <w:caps/>
          <w:sz w:val="26"/>
          <w:szCs w:val="26"/>
          <w:lang w:val="es-PE" w:eastAsia="zh-TW"/>
        </w:rPr>
        <w:t xml:space="preserve"> DE LA SÉPTIMA SALA UNITARIA DE PRIMERA INSTANCIA.)</w:t>
      </w:r>
    </w:p>
    <w:p w14:paraId="32199779" w14:textId="79879064" w:rsidR="00EE3879" w:rsidRPr="00403CFB" w:rsidRDefault="00EE3879" w:rsidP="00D72F85">
      <w:pPr>
        <w:pStyle w:val="Sinespaciado"/>
      </w:pPr>
    </w:p>
    <w:p w14:paraId="1AD4D9CC" w14:textId="77777777" w:rsidR="00EE3879" w:rsidRPr="00403CFB" w:rsidRDefault="00EE3879" w:rsidP="00EE3879">
      <w:pPr>
        <w:spacing w:line="240" w:lineRule="auto"/>
        <w:ind w:left="2124"/>
        <w:jc w:val="both"/>
        <w:rPr>
          <w:rFonts w:ascii="Arial" w:hAnsi="Arial" w:cs="Arial"/>
          <w:b/>
          <w:sz w:val="26"/>
          <w:szCs w:val="26"/>
        </w:rPr>
      </w:pPr>
      <w:r w:rsidRPr="00403CFB">
        <w:rPr>
          <w:rFonts w:ascii="Arial" w:hAnsi="Arial" w:cs="Arial"/>
          <w:b/>
          <w:sz w:val="26"/>
          <w:szCs w:val="26"/>
        </w:rPr>
        <w:t xml:space="preserve">PONENTE: </w:t>
      </w:r>
      <w:r>
        <w:rPr>
          <w:rFonts w:ascii="Arial" w:hAnsi="Arial" w:cs="Arial"/>
          <w:b/>
          <w:sz w:val="26"/>
          <w:szCs w:val="26"/>
        </w:rPr>
        <w:t>MAGISTRADO ABRAHAM SANTIAGO SORIANO</w:t>
      </w:r>
      <w:r w:rsidRPr="00403CFB">
        <w:rPr>
          <w:rFonts w:ascii="Arial" w:hAnsi="Arial" w:cs="Arial"/>
          <w:b/>
          <w:sz w:val="26"/>
          <w:szCs w:val="26"/>
        </w:rPr>
        <w:t>.</w:t>
      </w:r>
    </w:p>
    <w:p w14:paraId="72B41C9B" w14:textId="77777777" w:rsidR="00EE3879" w:rsidRPr="00403CFB" w:rsidRDefault="00EE3879" w:rsidP="00EE3879">
      <w:pPr>
        <w:spacing w:line="240" w:lineRule="auto"/>
        <w:ind w:left="2124"/>
        <w:jc w:val="both"/>
        <w:rPr>
          <w:rFonts w:ascii="Arial" w:hAnsi="Arial" w:cs="Arial"/>
          <w:b/>
          <w:sz w:val="26"/>
          <w:szCs w:val="26"/>
        </w:rPr>
      </w:pPr>
    </w:p>
    <w:p w14:paraId="02BA5AAD" w14:textId="51118956" w:rsidR="00EE3879" w:rsidRPr="00403CFB" w:rsidRDefault="00EE3879" w:rsidP="00EE3879">
      <w:pPr>
        <w:spacing w:line="360" w:lineRule="auto"/>
        <w:jc w:val="both"/>
        <w:rPr>
          <w:rFonts w:ascii="Arial" w:hAnsi="Arial" w:cs="Arial"/>
          <w:b/>
          <w:sz w:val="26"/>
          <w:szCs w:val="26"/>
        </w:rPr>
      </w:pPr>
      <w:r w:rsidRPr="00403CFB">
        <w:rPr>
          <w:rFonts w:ascii="Arial" w:hAnsi="Arial" w:cs="Arial"/>
          <w:b/>
          <w:sz w:val="26"/>
          <w:szCs w:val="26"/>
        </w:rPr>
        <w:t>OAXACA DE</w:t>
      </w:r>
      <w:r>
        <w:rPr>
          <w:rFonts w:ascii="Arial" w:hAnsi="Arial" w:cs="Arial"/>
          <w:b/>
          <w:sz w:val="26"/>
          <w:szCs w:val="26"/>
        </w:rPr>
        <w:t xml:space="preserve"> JUÁREZ, OAXACA, A </w:t>
      </w:r>
      <w:r w:rsidR="00117B74">
        <w:rPr>
          <w:rFonts w:ascii="Arial" w:hAnsi="Arial" w:cs="Arial"/>
          <w:b/>
          <w:sz w:val="26"/>
          <w:szCs w:val="26"/>
        </w:rPr>
        <w:t>VEINTE</w:t>
      </w:r>
      <w:r>
        <w:rPr>
          <w:rFonts w:ascii="Arial" w:hAnsi="Arial" w:cs="Arial"/>
          <w:b/>
          <w:sz w:val="26"/>
          <w:szCs w:val="26"/>
        </w:rPr>
        <w:t xml:space="preserve"> DE MAYO</w:t>
      </w:r>
      <w:r w:rsidRPr="00403CFB">
        <w:rPr>
          <w:rFonts w:ascii="Arial" w:hAnsi="Arial" w:cs="Arial"/>
          <w:b/>
          <w:sz w:val="26"/>
          <w:szCs w:val="26"/>
        </w:rPr>
        <w:t xml:space="preserve"> DE DOS MIL </w:t>
      </w:r>
      <w:r>
        <w:rPr>
          <w:rFonts w:ascii="Arial" w:hAnsi="Arial" w:cs="Arial"/>
          <w:b/>
          <w:sz w:val="26"/>
          <w:szCs w:val="26"/>
        </w:rPr>
        <w:t>VEINTIUNO</w:t>
      </w:r>
      <w:r w:rsidRPr="00403CFB">
        <w:rPr>
          <w:rFonts w:ascii="Arial" w:hAnsi="Arial" w:cs="Arial"/>
          <w:b/>
          <w:sz w:val="26"/>
          <w:szCs w:val="26"/>
        </w:rPr>
        <w:t xml:space="preserve">. - - - - - - - - - - - - - - - - - - - - - - - - - - - - - - - - - - - - - - - - - </w:t>
      </w:r>
      <w:r>
        <w:rPr>
          <w:rFonts w:ascii="Arial" w:hAnsi="Arial" w:cs="Arial"/>
          <w:b/>
          <w:sz w:val="26"/>
          <w:szCs w:val="26"/>
        </w:rPr>
        <w:t xml:space="preserve">- - </w:t>
      </w:r>
    </w:p>
    <w:p w14:paraId="423555C5" w14:textId="5F3BCCAE" w:rsidR="00EE3879" w:rsidRPr="00403CFB" w:rsidRDefault="00EE3879" w:rsidP="00EE3879">
      <w:pPr>
        <w:spacing w:line="360" w:lineRule="auto"/>
        <w:jc w:val="both"/>
        <w:rPr>
          <w:rFonts w:ascii="Arial" w:hAnsi="Arial" w:cs="Arial"/>
          <w:sz w:val="26"/>
          <w:szCs w:val="26"/>
        </w:rPr>
      </w:pPr>
      <w:r>
        <w:rPr>
          <w:rFonts w:ascii="Arial" w:hAnsi="Arial" w:cs="Arial"/>
          <w:sz w:val="26"/>
          <w:szCs w:val="26"/>
        </w:rPr>
        <w:t xml:space="preserve">     </w:t>
      </w:r>
      <w:r w:rsidRPr="00403CFB">
        <w:rPr>
          <w:rFonts w:ascii="Arial" w:hAnsi="Arial" w:cs="Arial"/>
          <w:sz w:val="26"/>
          <w:szCs w:val="26"/>
        </w:rPr>
        <w:t xml:space="preserve">Por recibido el Cuaderno de Revisión </w:t>
      </w:r>
      <w:r>
        <w:rPr>
          <w:rFonts w:ascii="Arial" w:hAnsi="Arial" w:cs="Arial"/>
          <w:b/>
          <w:sz w:val="26"/>
          <w:szCs w:val="26"/>
        </w:rPr>
        <w:t>221/2020</w:t>
      </w:r>
      <w:r w:rsidRPr="00403CFB">
        <w:rPr>
          <w:rFonts w:ascii="Arial" w:hAnsi="Arial" w:cs="Arial"/>
          <w:sz w:val="26"/>
          <w:szCs w:val="26"/>
        </w:rPr>
        <w:t xml:space="preserve">, que remite la Secretaría General de Acuerdos, con motivo del recurso de revisión interpuesto por </w:t>
      </w:r>
      <w:r w:rsidR="00411009" w:rsidRPr="00836251">
        <w:rPr>
          <w:rFonts w:ascii="Arial" w:eastAsia="Calibri" w:hAnsi="Arial" w:cs="Arial"/>
          <w:b/>
          <w:sz w:val="26"/>
          <w:szCs w:val="26"/>
        </w:rPr>
        <w:t>***********</w:t>
      </w:r>
      <w:r w:rsidRPr="00836251">
        <w:rPr>
          <w:rFonts w:ascii="Arial" w:hAnsi="Arial" w:cs="Arial"/>
          <w:b/>
          <w:sz w:val="26"/>
          <w:szCs w:val="26"/>
        </w:rPr>
        <w:t>,</w:t>
      </w:r>
      <w:r w:rsidRPr="00403CFB">
        <w:rPr>
          <w:rFonts w:ascii="Arial" w:hAnsi="Arial" w:cs="Arial"/>
          <w:sz w:val="26"/>
          <w:szCs w:val="26"/>
        </w:rPr>
        <w:t xml:space="preserve"> en contra de la</w:t>
      </w:r>
      <w:r>
        <w:rPr>
          <w:rFonts w:ascii="Arial" w:hAnsi="Arial" w:cs="Arial"/>
          <w:sz w:val="26"/>
          <w:szCs w:val="26"/>
        </w:rPr>
        <w:t xml:space="preserve"> resolución de fecha ocho de octubre de dos mil veinte, emitida en el Recurso de Queja del índice de la Primera</w:t>
      </w:r>
      <w:r w:rsidRPr="00403CFB">
        <w:rPr>
          <w:rFonts w:ascii="Arial" w:hAnsi="Arial" w:cs="Arial"/>
          <w:sz w:val="26"/>
          <w:szCs w:val="26"/>
        </w:rPr>
        <w:t xml:space="preserve"> Sala Unitaria </w:t>
      </w:r>
      <w:r>
        <w:rPr>
          <w:rFonts w:ascii="Arial" w:hAnsi="Arial" w:cs="Arial"/>
          <w:sz w:val="26"/>
          <w:szCs w:val="26"/>
        </w:rPr>
        <w:t>de Primera Instancia</w:t>
      </w:r>
      <w:r w:rsidRPr="00403CFB">
        <w:rPr>
          <w:rFonts w:ascii="Arial" w:hAnsi="Arial" w:cs="Arial"/>
          <w:sz w:val="26"/>
          <w:szCs w:val="26"/>
        </w:rPr>
        <w:t xml:space="preserve"> </w:t>
      </w:r>
      <w:r>
        <w:rPr>
          <w:rFonts w:ascii="Arial" w:hAnsi="Arial" w:cs="Arial"/>
          <w:sz w:val="26"/>
          <w:szCs w:val="26"/>
        </w:rPr>
        <w:t>en el</w:t>
      </w:r>
      <w:r w:rsidRPr="00403CFB">
        <w:rPr>
          <w:rFonts w:ascii="Arial" w:hAnsi="Arial" w:cs="Arial"/>
          <w:sz w:val="26"/>
          <w:szCs w:val="26"/>
        </w:rPr>
        <w:t xml:space="preserve"> expediente </w:t>
      </w:r>
      <w:r>
        <w:rPr>
          <w:rFonts w:ascii="Arial" w:hAnsi="Arial" w:cs="Arial"/>
          <w:b/>
          <w:sz w:val="26"/>
          <w:szCs w:val="26"/>
        </w:rPr>
        <w:t>76/2020</w:t>
      </w:r>
      <w:r w:rsidRPr="00403CFB">
        <w:rPr>
          <w:rFonts w:ascii="Arial" w:hAnsi="Arial" w:cs="Arial"/>
          <w:sz w:val="26"/>
          <w:szCs w:val="26"/>
        </w:rPr>
        <w:t xml:space="preserve">, </w:t>
      </w:r>
      <w:r w:rsidR="003D5B62">
        <w:rPr>
          <w:rFonts w:ascii="Arial" w:hAnsi="Arial" w:cs="Arial"/>
          <w:sz w:val="26"/>
          <w:szCs w:val="26"/>
        </w:rPr>
        <w:t xml:space="preserve">anterior 15/2017 del índice de la entonces Séptima Unitaria de Primera Instancia, acorde a lo dispuesto en el Acuerdo General AG/TJAO/13/2020, del Pleno de este Tribunal, en el que se determinó la reasignación del presente expediente  </w:t>
      </w:r>
      <w:r w:rsidRPr="00403CFB">
        <w:rPr>
          <w:rFonts w:ascii="Arial" w:hAnsi="Arial" w:cs="Arial"/>
          <w:sz w:val="26"/>
          <w:szCs w:val="26"/>
        </w:rPr>
        <w:t>relativo al j</w:t>
      </w:r>
      <w:r>
        <w:rPr>
          <w:rFonts w:ascii="Arial" w:hAnsi="Arial" w:cs="Arial"/>
          <w:sz w:val="26"/>
          <w:szCs w:val="26"/>
        </w:rPr>
        <w:t>uicio de nulidad promovido por el</w:t>
      </w:r>
      <w:r w:rsidRPr="00403CFB">
        <w:rPr>
          <w:rFonts w:ascii="Arial" w:hAnsi="Arial" w:cs="Arial"/>
          <w:sz w:val="26"/>
          <w:szCs w:val="26"/>
        </w:rPr>
        <w:t xml:space="preserve"> </w:t>
      </w:r>
      <w:r w:rsidRPr="00403CFB">
        <w:rPr>
          <w:rFonts w:ascii="Arial" w:hAnsi="Arial" w:cs="Arial"/>
          <w:b/>
          <w:sz w:val="26"/>
          <w:szCs w:val="26"/>
        </w:rPr>
        <w:t xml:space="preserve">RECURRENTE </w:t>
      </w:r>
      <w:r>
        <w:rPr>
          <w:rFonts w:ascii="Arial" w:hAnsi="Arial" w:cs="Arial"/>
          <w:sz w:val="26"/>
          <w:szCs w:val="26"/>
        </w:rPr>
        <w:t xml:space="preserve">en contra del </w:t>
      </w:r>
      <w:r>
        <w:rPr>
          <w:rFonts w:ascii="Arial" w:hAnsi="Arial" w:cs="Arial"/>
          <w:b/>
          <w:sz w:val="26"/>
          <w:szCs w:val="26"/>
        </w:rPr>
        <w:t xml:space="preserve">CONSEJO DIRECTIVO Y DEL DIRECTOR GENERAL DE LA OFICINA DE PENSIONES DEL GOBIERNO DEL ESTADO DE OAXACA. </w:t>
      </w:r>
      <w:r w:rsidRPr="008936A5">
        <w:rPr>
          <w:rFonts w:ascii="Arial" w:hAnsi="Arial" w:cs="Arial"/>
          <w:bCs/>
          <w:sz w:val="26"/>
          <w:szCs w:val="26"/>
        </w:rPr>
        <w:t>En tal virtud,</w:t>
      </w:r>
      <w:r w:rsidRPr="00403CFB">
        <w:rPr>
          <w:rFonts w:ascii="Arial" w:hAnsi="Arial" w:cs="Arial"/>
          <w:sz w:val="26"/>
          <w:szCs w:val="26"/>
        </w:rPr>
        <w:t xml:space="preserve"> con fundamento e</w:t>
      </w:r>
      <w:r>
        <w:rPr>
          <w:rFonts w:ascii="Arial" w:hAnsi="Arial" w:cs="Arial"/>
          <w:sz w:val="26"/>
          <w:szCs w:val="26"/>
        </w:rPr>
        <w:t>n los artículos 2</w:t>
      </w:r>
      <w:r w:rsidR="009838BC">
        <w:rPr>
          <w:rFonts w:ascii="Arial" w:hAnsi="Arial" w:cs="Arial"/>
          <w:sz w:val="26"/>
          <w:szCs w:val="26"/>
        </w:rPr>
        <w:t>0</w:t>
      </w:r>
      <w:r>
        <w:rPr>
          <w:rFonts w:ascii="Arial" w:hAnsi="Arial" w:cs="Arial"/>
          <w:sz w:val="26"/>
          <w:szCs w:val="26"/>
        </w:rPr>
        <w:t>6, y 2</w:t>
      </w:r>
      <w:r w:rsidR="009838BC">
        <w:rPr>
          <w:rFonts w:ascii="Arial" w:hAnsi="Arial" w:cs="Arial"/>
          <w:sz w:val="26"/>
          <w:szCs w:val="26"/>
        </w:rPr>
        <w:t>0</w:t>
      </w:r>
      <w:r>
        <w:rPr>
          <w:rFonts w:ascii="Arial" w:hAnsi="Arial" w:cs="Arial"/>
          <w:sz w:val="26"/>
          <w:szCs w:val="26"/>
        </w:rPr>
        <w:t xml:space="preserve">7, de la Ley de </w:t>
      </w:r>
      <w:r w:rsidRPr="00403CFB">
        <w:rPr>
          <w:rFonts w:ascii="Arial" w:hAnsi="Arial" w:cs="Arial"/>
          <w:sz w:val="26"/>
          <w:szCs w:val="26"/>
        </w:rPr>
        <w:t xml:space="preserve">Justicia Administrativa para </w:t>
      </w:r>
      <w:r>
        <w:rPr>
          <w:rFonts w:ascii="Arial" w:hAnsi="Arial" w:cs="Arial"/>
          <w:sz w:val="26"/>
          <w:szCs w:val="26"/>
        </w:rPr>
        <w:t>el Estado de Oaxaca, se admite y, e</w:t>
      </w:r>
      <w:r w:rsidRPr="00403CFB">
        <w:rPr>
          <w:rFonts w:ascii="Arial" w:hAnsi="Arial" w:cs="Arial"/>
          <w:sz w:val="26"/>
          <w:szCs w:val="26"/>
        </w:rPr>
        <w:t>n consecuencia, se procede a dictar resolución en los siguientes términos:</w:t>
      </w:r>
      <w:r w:rsidR="00DF3AE1">
        <w:rPr>
          <w:rFonts w:ascii="Arial" w:hAnsi="Arial" w:cs="Arial"/>
          <w:sz w:val="26"/>
          <w:szCs w:val="26"/>
        </w:rPr>
        <w:t xml:space="preserve"> - - - - - - - - - - </w:t>
      </w:r>
      <w:r w:rsidR="00411009">
        <w:rPr>
          <w:rFonts w:ascii="Arial" w:hAnsi="Arial" w:cs="Arial"/>
          <w:sz w:val="26"/>
          <w:szCs w:val="26"/>
        </w:rPr>
        <w:t xml:space="preserve">- - - - - - - - - - - - - - - </w:t>
      </w:r>
    </w:p>
    <w:p w14:paraId="132845E1" w14:textId="5571C97C" w:rsidR="00EE3879" w:rsidRPr="00403CFB" w:rsidRDefault="00EE3879" w:rsidP="00EE3879">
      <w:pPr>
        <w:spacing w:line="360" w:lineRule="auto"/>
        <w:jc w:val="center"/>
        <w:rPr>
          <w:rFonts w:ascii="Arial" w:hAnsi="Arial" w:cs="Arial"/>
          <w:b/>
          <w:bCs/>
          <w:sz w:val="26"/>
          <w:szCs w:val="26"/>
        </w:rPr>
      </w:pPr>
      <w:r w:rsidRPr="00403CFB">
        <w:rPr>
          <w:rFonts w:ascii="Arial" w:hAnsi="Arial" w:cs="Arial"/>
          <w:b/>
          <w:bCs/>
          <w:sz w:val="26"/>
          <w:szCs w:val="26"/>
        </w:rPr>
        <w:t>R E S U L T A N D O</w:t>
      </w:r>
    </w:p>
    <w:p w14:paraId="0B0D9505" w14:textId="030387CE" w:rsidR="00EE3879" w:rsidRPr="00403CFB" w:rsidRDefault="00EE3879" w:rsidP="00EE3879">
      <w:pPr>
        <w:spacing w:line="360" w:lineRule="auto"/>
        <w:ind w:firstLine="709"/>
        <w:jc w:val="both"/>
        <w:rPr>
          <w:rFonts w:ascii="Arial" w:hAnsi="Arial" w:cs="Arial"/>
          <w:sz w:val="26"/>
          <w:szCs w:val="26"/>
        </w:rPr>
      </w:pPr>
      <w:r w:rsidRPr="00403CFB">
        <w:rPr>
          <w:rFonts w:ascii="Arial" w:hAnsi="Arial" w:cs="Arial"/>
          <w:b/>
          <w:bCs/>
          <w:sz w:val="26"/>
          <w:szCs w:val="26"/>
        </w:rPr>
        <w:t xml:space="preserve">PRIMERO. </w:t>
      </w:r>
      <w:r w:rsidRPr="00403CFB">
        <w:rPr>
          <w:rFonts w:ascii="Arial" w:hAnsi="Arial" w:cs="Arial"/>
          <w:sz w:val="26"/>
          <w:szCs w:val="26"/>
        </w:rPr>
        <w:t>Inconfor</w:t>
      </w:r>
      <w:r>
        <w:rPr>
          <w:rFonts w:ascii="Arial" w:hAnsi="Arial" w:cs="Arial"/>
          <w:sz w:val="26"/>
          <w:szCs w:val="26"/>
        </w:rPr>
        <w:t>me con la resolución de ocho de octubre de dos mil veinte, dictada en el Recurso de Queja por el resolutor de la Primera</w:t>
      </w:r>
      <w:r w:rsidRPr="00403CFB">
        <w:rPr>
          <w:rFonts w:ascii="Arial" w:hAnsi="Arial" w:cs="Arial"/>
          <w:sz w:val="26"/>
          <w:szCs w:val="26"/>
        </w:rPr>
        <w:t xml:space="preserve"> Sala Unitaria de Primera Instancia,</w:t>
      </w:r>
      <w:r>
        <w:rPr>
          <w:rFonts w:ascii="Arial" w:hAnsi="Arial" w:cs="Arial"/>
          <w:b/>
          <w:sz w:val="26"/>
          <w:szCs w:val="26"/>
        </w:rPr>
        <w:t xml:space="preserve"> </w:t>
      </w:r>
      <w:r w:rsidR="00411009" w:rsidRPr="00836251">
        <w:rPr>
          <w:rFonts w:ascii="Arial" w:eastAsia="Calibri" w:hAnsi="Arial" w:cs="Arial"/>
          <w:b/>
          <w:sz w:val="26"/>
          <w:szCs w:val="26"/>
        </w:rPr>
        <w:t>***********</w:t>
      </w:r>
      <w:r w:rsidRPr="00836251">
        <w:rPr>
          <w:rFonts w:ascii="Arial" w:hAnsi="Arial" w:cs="Arial"/>
          <w:b/>
          <w:sz w:val="26"/>
          <w:szCs w:val="26"/>
        </w:rPr>
        <w:t>,</w:t>
      </w:r>
      <w:r w:rsidRPr="00403CFB">
        <w:rPr>
          <w:rFonts w:ascii="Arial" w:hAnsi="Arial" w:cs="Arial"/>
          <w:sz w:val="26"/>
          <w:szCs w:val="26"/>
        </w:rPr>
        <w:t xml:space="preserve"> interpuso en su contra recurso de revisión.</w:t>
      </w:r>
      <w:r>
        <w:rPr>
          <w:rFonts w:ascii="Arial" w:hAnsi="Arial" w:cs="Arial"/>
          <w:sz w:val="26"/>
          <w:szCs w:val="26"/>
        </w:rPr>
        <w:t xml:space="preserve"> - - - - - - - - - - - - - - - -</w:t>
      </w:r>
      <w:r w:rsidR="00411009">
        <w:rPr>
          <w:rFonts w:ascii="Arial" w:hAnsi="Arial" w:cs="Arial"/>
          <w:sz w:val="26"/>
          <w:szCs w:val="26"/>
        </w:rPr>
        <w:t xml:space="preserve"> - - - - - - - - - - - - - - - - - </w:t>
      </w:r>
    </w:p>
    <w:p w14:paraId="231A90D9" w14:textId="03DCEF99" w:rsidR="00EE3879" w:rsidRPr="00403CFB" w:rsidRDefault="00EE3879" w:rsidP="00EE3879">
      <w:pPr>
        <w:spacing w:after="0" w:line="360" w:lineRule="auto"/>
        <w:jc w:val="both"/>
        <w:rPr>
          <w:rFonts w:ascii="Arial" w:eastAsia="Calibri" w:hAnsi="Arial" w:cs="Arial"/>
          <w:sz w:val="26"/>
          <w:szCs w:val="26"/>
        </w:rPr>
      </w:pPr>
      <w:r w:rsidRPr="00403CFB">
        <w:rPr>
          <w:rFonts w:ascii="Arial" w:hAnsi="Arial" w:cs="Arial"/>
          <w:b/>
          <w:bCs/>
          <w:sz w:val="26"/>
          <w:szCs w:val="26"/>
        </w:rPr>
        <w:tab/>
        <w:t xml:space="preserve">SEGUNDO. - </w:t>
      </w:r>
      <w:r w:rsidRPr="00403CFB">
        <w:rPr>
          <w:rFonts w:ascii="Arial" w:eastAsia="Calibri" w:hAnsi="Arial" w:cs="Arial"/>
          <w:sz w:val="26"/>
          <w:szCs w:val="26"/>
        </w:rPr>
        <w:t>Los pu</w:t>
      </w:r>
      <w:r>
        <w:rPr>
          <w:rFonts w:ascii="Arial" w:eastAsia="Calibri" w:hAnsi="Arial" w:cs="Arial"/>
          <w:sz w:val="26"/>
          <w:szCs w:val="26"/>
        </w:rPr>
        <w:t>ntos resolutivos de la resolución</w:t>
      </w:r>
      <w:r w:rsidRPr="00403CFB">
        <w:rPr>
          <w:rFonts w:ascii="Arial" w:eastAsia="Calibri" w:hAnsi="Arial" w:cs="Arial"/>
          <w:sz w:val="26"/>
          <w:szCs w:val="26"/>
        </w:rPr>
        <w:t xml:space="preserve"> recurrida son los siguientes:</w:t>
      </w:r>
      <w:r w:rsidR="003E14DE">
        <w:rPr>
          <w:rFonts w:ascii="Arial" w:eastAsia="Calibri" w:hAnsi="Arial" w:cs="Arial"/>
          <w:sz w:val="26"/>
          <w:szCs w:val="26"/>
        </w:rPr>
        <w:t xml:space="preserve"> - - - - - - - - - - - - - - - - - - - - - - - - - - - - - - - - - - - - - - - - - </w:t>
      </w:r>
    </w:p>
    <w:p w14:paraId="4D3398DE" w14:textId="37618A9D" w:rsidR="00EE3879" w:rsidRPr="001B1DC7" w:rsidRDefault="00EE3879" w:rsidP="00EE3879">
      <w:pPr>
        <w:spacing w:before="240" w:after="0"/>
        <w:ind w:left="851" w:right="191"/>
        <w:jc w:val="both"/>
        <w:rPr>
          <w:rFonts w:ascii="Arial" w:hAnsi="Arial" w:cs="Arial"/>
          <w:bCs/>
          <w:i/>
          <w:iCs/>
          <w:sz w:val="24"/>
          <w:szCs w:val="24"/>
        </w:rPr>
      </w:pPr>
      <w:r w:rsidRPr="001B1DC7">
        <w:rPr>
          <w:rFonts w:ascii="Arial" w:hAnsi="Arial" w:cs="Arial"/>
          <w:bCs/>
          <w:i/>
          <w:iCs/>
          <w:sz w:val="24"/>
          <w:szCs w:val="24"/>
        </w:rPr>
        <w:t>“</w:t>
      </w:r>
      <w:r w:rsidRPr="001B1DC7">
        <w:rPr>
          <w:rFonts w:ascii="Arial" w:hAnsi="Arial" w:cs="Arial"/>
          <w:b/>
          <w:bCs/>
          <w:i/>
          <w:iCs/>
          <w:sz w:val="24"/>
          <w:szCs w:val="24"/>
        </w:rPr>
        <w:t>PRIMERO. -</w:t>
      </w:r>
      <w:r w:rsidRPr="001B1DC7">
        <w:rPr>
          <w:rFonts w:ascii="Arial" w:hAnsi="Arial" w:cs="Arial"/>
          <w:bCs/>
          <w:i/>
          <w:iCs/>
          <w:sz w:val="24"/>
          <w:szCs w:val="24"/>
        </w:rPr>
        <w:t xml:space="preserve"> Esta Primera Sala Unitaria de Primera Instancia fue competente para conocer y resolver del presente recurso de queja.</w:t>
      </w:r>
      <w:r w:rsidR="00F20207" w:rsidRPr="001B1DC7">
        <w:rPr>
          <w:rFonts w:ascii="Arial" w:hAnsi="Arial" w:cs="Arial"/>
          <w:bCs/>
          <w:i/>
          <w:iCs/>
          <w:sz w:val="24"/>
          <w:szCs w:val="24"/>
        </w:rPr>
        <w:t xml:space="preserve">- </w:t>
      </w:r>
    </w:p>
    <w:p w14:paraId="4F7C53CA" w14:textId="12565DC0" w:rsidR="00EE3879" w:rsidRPr="001B1DC7" w:rsidRDefault="00EE3879" w:rsidP="00EE3879">
      <w:pPr>
        <w:spacing w:before="240" w:after="0"/>
        <w:ind w:left="851" w:right="191"/>
        <w:jc w:val="both"/>
        <w:rPr>
          <w:rFonts w:ascii="Arial" w:hAnsi="Arial" w:cs="Arial"/>
          <w:i/>
          <w:iCs/>
          <w:sz w:val="24"/>
          <w:szCs w:val="24"/>
        </w:rPr>
      </w:pPr>
      <w:r w:rsidRPr="001B1DC7">
        <w:rPr>
          <w:rFonts w:ascii="Arial" w:hAnsi="Arial" w:cs="Arial"/>
          <w:bCs/>
          <w:i/>
          <w:iCs/>
          <w:sz w:val="24"/>
          <w:szCs w:val="24"/>
        </w:rPr>
        <w:lastRenderedPageBreak/>
        <w:t xml:space="preserve"> </w:t>
      </w:r>
      <w:r w:rsidRPr="001B1DC7">
        <w:rPr>
          <w:rFonts w:ascii="Arial" w:hAnsi="Arial" w:cs="Arial"/>
          <w:b/>
          <w:bCs/>
          <w:i/>
          <w:iCs/>
          <w:sz w:val="24"/>
          <w:szCs w:val="24"/>
        </w:rPr>
        <w:t xml:space="preserve">SEGUNDO. - </w:t>
      </w:r>
      <w:r w:rsidRPr="001B1DC7">
        <w:rPr>
          <w:rFonts w:ascii="Arial" w:hAnsi="Arial" w:cs="Arial"/>
          <w:bCs/>
          <w:i/>
          <w:iCs/>
          <w:sz w:val="24"/>
          <w:szCs w:val="24"/>
        </w:rPr>
        <w:t xml:space="preserve">Se declara </w:t>
      </w:r>
      <w:r w:rsidRPr="001B1DC7">
        <w:rPr>
          <w:rFonts w:ascii="Arial" w:hAnsi="Arial" w:cs="Arial"/>
          <w:b/>
          <w:bCs/>
          <w:i/>
          <w:iCs/>
          <w:sz w:val="24"/>
          <w:szCs w:val="24"/>
        </w:rPr>
        <w:t xml:space="preserve">IMPROCEDENTE </w:t>
      </w:r>
      <w:r w:rsidRPr="001B1DC7">
        <w:rPr>
          <w:rFonts w:ascii="Arial" w:hAnsi="Arial" w:cs="Arial"/>
          <w:i/>
          <w:iCs/>
          <w:sz w:val="24"/>
          <w:szCs w:val="24"/>
        </w:rPr>
        <w:t>el RECURSO DE QUEJA tramitado. - - - - - - - - - - - - - - - - - - - - - - - - - - - - - - - - - - -</w:t>
      </w:r>
      <w:r w:rsidR="002B6B23" w:rsidRPr="001B1DC7">
        <w:rPr>
          <w:rFonts w:ascii="Arial" w:hAnsi="Arial" w:cs="Arial"/>
          <w:i/>
          <w:iCs/>
          <w:sz w:val="24"/>
          <w:szCs w:val="24"/>
        </w:rPr>
        <w:t xml:space="preserve"> - </w:t>
      </w:r>
    </w:p>
    <w:p w14:paraId="6FA74FBC" w14:textId="77777777" w:rsidR="00EE3879" w:rsidRPr="001B1DC7" w:rsidRDefault="00EE3879" w:rsidP="003A4BB5">
      <w:pPr>
        <w:pStyle w:val="Sinespaciado"/>
        <w:rPr>
          <w:sz w:val="24"/>
          <w:szCs w:val="24"/>
        </w:rPr>
      </w:pPr>
    </w:p>
    <w:p w14:paraId="00AAD9F5" w14:textId="34FE5ACB" w:rsidR="00EE3879" w:rsidRPr="001B1DC7" w:rsidRDefault="00EE3879" w:rsidP="00EE3879">
      <w:pPr>
        <w:spacing w:after="0"/>
        <w:ind w:left="851" w:right="191"/>
        <w:jc w:val="both"/>
        <w:rPr>
          <w:rFonts w:ascii="Arial" w:hAnsi="Arial" w:cs="Arial"/>
          <w:bCs/>
          <w:i/>
          <w:iCs/>
          <w:sz w:val="24"/>
          <w:szCs w:val="24"/>
        </w:rPr>
      </w:pPr>
      <w:r w:rsidRPr="001B1DC7">
        <w:rPr>
          <w:rFonts w:ascii="Arial" w:hAnsi="Arial" w:cs="Arial"/>
          <w:b/>
          <w:bCs/>
          <w:i/>
          <w:iCs/>
          <w:sz w:val="24"/>
          <w:szCs w:val="24"/>
        </w:rPr>
        <w:t xml:space="preserve">TERCERO. -  </w:t>
      </w:r>
      <w:r w:rsidRPr="001B1DC7">
        <w:rPr>
          <w:rFonts w:ascii="Arial" w:hAnsi="Arial" w:cs="Arial"/>
          <w:i/>
          <w:iCs/>
          <w:sz w:val="24"/>
          <w:szCs w:val="24"/>
        </w:rPr>
        <w:t>Con fundamento en los artículos 147 fracción I y 173 fracciones I y II</w:t>
      </w:r>
      <w:r w:rsidRPr="001B1DC7">
        <w:rPr>
          <w:rFonts w:ascii="Arial" w:hAnsi="Arial" w:cs="Arial"/>
          <w:bCs/>
          <w:i/>
          <w:iCs/>
          <w:sz w:val="24"/>
          <w:szCs w:val="24"/>
        </w:rPr>
        <w:t xml:space="preserve"> de la Ley de Procedimiento y Justicia Administrativa para el Estado de Oaxaca. </w:t>
      </w:r>
      <w:r w:rsidRPr="001B1DC7">
        <w:rPr>
          <w:rFonts w:ascii="Arial" w:hAnsi="Arial" w:cs="Arial"/>
          <w:b/>
          <w:bCs/>
          <w:i/>
          <w:iCs/>
          <w:sz w:val="24"/>
          <w:szCs w:val="24"/>
        </w:rPr>
        <w:t>NOTIFÍQUESE PERSONALMENTE A LA PARTE ACTORA Y POR OFICIO A LAS DEMANDADAS. CÚMPLASE.</w:t>
      </w:r>
      <w:r w:rsidRPr="001B1DC7">
        <w:rPr>
          <w:rFonts w:ascii="Arial" w:hAnsi="Arial" w:cs="Arial"/>
          <w:bCs/>
          <w:i/>
          <w:iCs/>
          <w:sz w:val="24"/>
          <w:szCs w:val="24"/>
        </w:rPr>
        <w:t xml:space="preserve">” </w:t>
      </w:r>
    </w:p>
    <w:p w14:paraId="35784CD1" w14:textId="77777777" w:rsidR="00EE3879" w:rsidRPr="00403CFB" w:rsidRDefault="00EE3879" w:rsidP="00EE3879">
      <w:pPr>
        <w:spacing w:before="240" w:line="360" w:lineRule="auto"/>
        <w:jc w:val="center"/>
        <w:rPr>
          <w:rFonts w:ascii="Arial" w:hAnsi="Arial" w:cs="Arial"/>
          <w:b/>
          <w:bCs/>
          <w:sz w:val="26"/>
          <w:szCs w:val="26"/>
        </w:rPr>
      </w:pPr>
      <w:r w:rsidRPr="00403CFB">
        <w:rPr>
          <w:rFonts w:ascii="Arial" w:hAnsi="Arial" w:cs="Arial"/>
          <w:b/>
          <w:bCs/>
          <w:sz w:val="26"/>
          <w:szCs w:val="26"/>
        </w:rPr>
        <w:t>C O N S I D E R A N D O</w:t>
      </w:r>
    </w:p>
    <w:p w14:paraId="6327CC56" w14:textId="7325A221" w:rsidR="00EE3879" w:rsidRPr="00403CFB" w:rsidRDefault="005222C2" w:rsidP="00EE3879">
      <w:pPr>
        <w:spacing w:before="240" w:line="360" w:lineRule="auto"/>
        <w:ind w:firstLine="708"/>
        <w:jc w:val="both"/>
        <w:rPr>
          <w:rFonts w:ascii="Arial" w:hAnsi="Arial" w:cs="Arial"/>
          <w:b/>
          <w:bCs/>
          <w:iCs/>
          <w:sz w:val="26"/>
          <w:szCs w:val="26"/>
        </w:rPr>
      </w:pPr>
      <w:r w:rsidRPr="00EE2E2F">
        <w:rPr>
          <w:rFonts w:ascii="Arial" w:hAnsi="Arial" w:cs="Arial"/>
          <w:b/>
          <w:bCs/>
          <w:iCs/>
          <w:sz w:val="26"/>
          <w:szCs w:val="26"/>
          <w:lang w:eastAsia="es-ES"/>
        </w:rPr>
        <w:t>PRIMERO.</w:t>
      </w:r>
      <w:r w:rsidRPr="00EE2E2F">
        <w:rPr>
          <w:rFonts w:ascii="Arial" w:hAnsi="Arial" w:cs="Arial"/>
          <w:b/>
          <w:bCs/>
          <w:iCs/>
          <w:sz w:val="26"/>
          <w:szCs w:val="26"/>
        </w:rPr>
        <w:t xml:space="preserve"> </w:t>
      </w:r>
      <w:r w:rsidRPr="00EE2E2F">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Pr="00EE2E2F">
        <w:rPr>
          <w:rFonts w:ascii="Arial" w:hAnsi="Arial" w:cs="Arial"/>
          <w:bCs/>
          <w:iCs/>
          <w:sz w:val="26"/>
          <w:szCs w:val="26"/>
          <w:lang w:eastAsia="es-ES"/>
        </w:rPr>
        <w:t xml:space="preserve"> 1 párrafo segundo, 2 párrafos primero y cuarto, 4 fracción VIII, 23, 24 fracción I, 25 fracción I, 26 y 27 de la Ley Orgánica del Tribunal de Justicia Administrativa del Estado de Oaxaca, publicada en el Periódico Oficial del Estado de Oaxaca el 7 siete de noviembre del año 2019 dos mil diecinueve; 86, 88, 92, 93 fracción I, 94, 201, 206 fracción VIII y 208 </w:t>
      </w:r>
      <w:r w:rsidRPr="00EE2E2F">
        <w:rPr>
          <w:rFonts w:ascii="Arial" w:hAnsi="Arial" w:cs="Arial"/>
          <w:bCs/>
          <w:iCs/>
          <w:sz w:val="26"/>
          <w:szCs w:val="26"/>
        </w:rPr>
        <w:t>de la Ley de Justicia Administrativa para el Estado de Oaxaca, aplicable al caso</w:t>
      </w:r>
      <w:r w:rsidRPr="00EE2E2F">
        <w:rPr>
          <w:rFonts w:ascii="Arial" w:hAnsi="Arial" w:cs="Arial"/>
          <w:sz w:val="26"/>
          <w:szCs w:val="26"/>
        </w:rPr>
        <w:t xml:space="preserve">, </w:t>
      </w:r>
      <w:r w:rsidR="00EE3879">
        <w:rPr>
          <w:rFonts w:ascii="Arial" w:hAnsi="Arial" w:cs="Arial"/>
          <w:bCs/>
          <w:iCs/>
          <w:sz w:val="26"/>
          <w:szCs w:val="26"/>
        </w:rPr>
        <w:t>dado que se trata de un r</w:t>
      </w:r>
      <w:r w:rsidR="00EE3879" w:rsidRPr="00F41CAF">
        <w:rPr>
          <w:rFonts w:ascii="Arial" w:hAnsi="Arial" w:cs="Arial"/>
          <w:bCs/>
          <w:iCs/>
          <w:sz w:val="26"/>
          <w:szCs w:val="26"/>
        </w:rPr>
        <w:t>ecurso de Revisión interpues</w:t>
      </w:r>
      <w:r w:rsidR="00EE3879">
        <w:rPr>
          <w:rFonts w:ascii="Arial" w:hAnsi="Arial" w:cs="Arial"/>
          <w:bCs/>
          <w:iCs/>
          <w:sz w:val="26"/>
          <w:szCs w:val="26"/>
        </w:rPr>
        <w:t>to en contra de la resolución de fecha ocho de octubre de dos mil veinte, que puso fin al procedimiento de ejecución de sentencia, en el recurso de queja d</w:t>
      </w:r>
      <w:r w:rsidR="00EE3879">
        <w:rPr>
          <w:rFonts w:ascii="Arial" w:hAnsi="Arial" w:cs="Arial"/>
          <w:sz w:val="26"/>
          <w:szCs w:val="26"/>
        </w:rPr>
        <w:t>el expediente</w:t>
      </w:r>
      <w:r w:rsidR="00EE3879" w:rsidRPr="00F41CAF">
        <w:rPr>
          <w:rFonts w:ascii="Arial" w:hAnsi="Arial" w:cs="Arial"/>
          <w:sz w:val="26"/>
          <w:szCs w:val="26"/>
        </w:rPr>
        <w:t xml:space="preserve"> </w:t>
      </w:r>
      <w:r w:rsidR="00EE3879">
        <w:rPr>
          <w:rFonts w:ascii="Arial" w:hAnsi="Arial" w:cs="Arial"/>
          <w:b/>
          <w:sz w:val="26"/>
          <w:szCs w:val="26"/>
        </w:rPr>
        <w:t>76/2020</w:t>
      </w:r>
      <w:r w:rsidR="00EE3879" w:rsidRPr="00F41CAF">
        <w:rPr>
          <w:rFonts w:ascii="Arial" w:hAnsi="Arial" w:cs="Arial"/>
          <w:b/>
          <w:sz w:val="26"/>
          <w:szCs w:val="26"/>
        </w:rPr>
        <w:t xml:space="preserve"> </w:t>
      </w:r>
      <w:r w:rsidR="00EE3879" w:rsidRPr="00F41CAF">
        <w:rPr>
          <w:rFonts w:ascii="Arial" w:hAnsi="Arial" w:cs="Arial"/>
          <w:sz w:val="26"/>
          <w:szCs w:val="26"/>
        </w:rPr>
        <w:t>del índice de</w:t>
      </w:r>
      <w:r w:rsidR="00EE3879">
        <w:rPr>
          <w:rFonts w:ascii="Arial" w:hAnsi="Arial" w:cs="Arial"/>
          <w:sz w:val="26"/>
          <w:szCs w:val="26"/>
        </w:rPr>
        <w:t xml:space="preserve"> la Primera </w:t>
      </w:r>
      <w:r w:rsidR="00EE3879" w:rsidRPr="00F41CAF">
        <w:rPr>
          <w:rFonts w:ascii="Arial" w:hAnsi="Arial" w:cs="Arial"/>
          <w:sz w:val="26"/>
          <w:szCs w:val="26"/>
        </w:rPr>
        <w:t>Sala Unitaria de Primera Instancia</w:t>
      </w:r>
      <w:r w:rsidR="00EE3879" w:rsidRPr="00F41CAF">
        <w:rPr>
          <w:rFonts w:ascii="Arial" w:hAnsi="Arial" w:cs="Arial"/>
          <w:b/>
          <w:bCs/>
          <w:sz w:val="26"/>
          <w:szCs w:val="26"/>
        </w:rPr>
        <w:t xml:space="preserve">. </w:t>
      </w:r>
      <w:r w:rsidR="00EE3879">
        <w:rPr>
          <w:rFonts w:ascii="Arial" w:hAnsi="Arial" w:cs="Arial"/>
          <w:sz w:val="26"/>
          <w:szCs w:val="26"/>
        </w:rPr>
        <w:t xml:space="preserve">- - - - - - - - - - - - - - - - </w:t>
      </w:r>
      <w:r w:rsidR="00DD416C">
        <w:rPr>
          <w:rFonts w:ascii="Arial" w:hAnsi="Arial" w:cs="Arial"/>
          <w:sz w:val="26"/>
          <w:szCs w:val="26"/>
        </w:rPr>
        <w:t xml:space="preserve">- - - - - - - - - - - - - - </w:t>
      </w:r>
    </w:p>
    <w:p w14:paraId="08D6DF74" w14:textId="4553F669" w:rsidR="00EE3879" w:rsidRPr="00A35ED0" w:rsidRDefault="00EE3879" w:rsidP="00EE3879">
      <w:pPr>
        <w:spacing w:line="360" w:lineRule="auto"/>
        <w:ind w:firstLine="708"/>
        <w:jc w:val="both"/>
        <w:rPr>
          <w:rFonts w:ascii="Arial" w:hAnsi="Arial" w:cs="Arial"/>
          <w:sz w:val="26"/>
          <w:szCs w:val="26"/>
        </w:rPr>
      </w:pPr>
      <w:r w:rsidRPr="00403CFB">
        <w:rPr>
          <w:rFonts w:ascii="Arial" w:hAnsi="Arial" w:cs="Arial"/>
          <w:b/>
          <w:bCs/>
          <w:sz w:val="26"/>
          <w:szCs w:val="26"/>
        </w:rPr>
        <w:t>SEGUNDO.</w:t>
      </w:r>
      <w:r w:rsidRPr="00403CFB">
        <w:rPr>
          <w:rFonts w:ascii="Arial" w:hAnsi="Arial" w:cs="Arial"/>
          <w:bCs/>
          <w:sz w:val="26"/>
          <w:szCs w:val="26"/>
        </w:rPr>
        <w:t xml:space="preserve"> </w:t>
      </w:r>
      <w:r w:rsidRPr="00A35ED0">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Pr="00A35ED0">
        <w:rPr>
          <w:rFonts w:ascii="Arial" w:hAnsi="Arial" w:cs="Arial"/>
          <w:sz w:val="26"/>
          <w:szCs w:val="26"/>
        </w:rPr>
        <w:t>. En apoyo a lo anterior, se invoca el criterio Jurisprudencial</w:t>
      </w:r>
      <w:r w:rsidRPr="00A35ED0">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3E14DE">
        <w:rPr>
          <w:rFonts w:ascii="Arial" w:hAnsi="Arial" w:cs="Arial"/>
          <w:bCs/>
          <w:color w:val="000000"/>
          <w:sz w:val="26"/>
          <w:szCs w:val="26"/>
        </w:rPr>
        <w:t xml:space="preserve"> - - - - - - - - - - - - -</w:t>
      </w:r>
    </w:p>
    <w:p w14:paraId="3647214F" w14:textId="77777777" w:rsidR="00EE3879" w:rsidRPr="001B1DC7" w:rsidRDefault="00EE3879" w:rsidP="00EE3879">
      <w:pPr>
        <w:spacing w:before="240"/>
        <w:ind w:left="567" w:right="474"/>
        <w:jc w:val="both"/>
        <w:rPr>
          <w:rFonts w:ascii="Arial" w:eastAsia="Calibri" w:hAnsi="Arial" w:cs="Arial"/>
          <w:b/>
          <w:bCs/>
          <w:i/>
          <w:sz w:val="24"/>
          <w:szCs w:val="24"/>
        </w:rPr>
      </w:pPr>
      <w:r w:rsidRPr="001B1DC7">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1B1DC7">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w:t>
      </w:r>
      <w:r w:rsidRPr="001B1DC7">
        <w:rPr>
          <w:rFonts w:ascii="Arial" w:eastAsia="Calibri" w:hAnsi="Arial" w:cs="Arial"/>
          <w:bCs/>
          <w:i/>
          <w:sz w:val="24"/>
          <w:szCs w:val="24"/>
        </w:rPr>
        <w:lastRenderedPageBreak/>
        <w:t>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1D5A811" w14:textId="77777777" w:rsidR="00EE3879" w:rsidRPr="00D23C79" w:rsidRDefault="00EE3879" w:rsidP="001B1DC7">
      <w:pPr>
        <w:pStyle w:val="Sinespaciado"/>
        <w:rPr>
          <w:rFonts w:eastAsia="Calibri"/>
          <w:highlight w:val="yellow"/>
        </w:rPr>
      </w:pPr>
    </w:p>
    <w:p w14:paraId="5C9D823E" w14:textId="020BD2B7" w:rsidR="00EE3879" w:rsidRPr="006A085D" w:rsidRDefault="00EE3879" w:rsidP="00EE3879">
      <w:pPr>
        <w:pStyle w:val="Sinespaciado"/>
        <w:spacing w:line="360" w:lineRule="auto"/>
        <w:ind w:firstLine="708"/>
        <w:jc w:val="both"/>
        <w:rPr>
          <w:rFonts w:ascii="Arial" w:hAnsi="Arial" w:cs="Arial"/>
          <w:bCs/>
          <w:color w:val="000000"/>
          <w:sz w:val="26"/>
          <w:szCs w:val="26"/>
        </w:rPr>
      </w:pPr>
      <w:r w:rsidRPr="00403CFB">
        <w:rPr>
          <w:rFonts w:ascii="Arial" w:hAnsi="Arial" w:cs="Arial"/>
          <w:b/>
          <w:bCs/>
          <w:sz w:val="26"/>
          <w:szCs w:val="26"/>
          <w:lang w:val="es-MX"/>
        </w:rPr>
        <w:t xml:space="preserve">TERCERO. </w:t>
      </w:r>
      <w:r>
        <w:rPr>
          <w:rFonts w:ascii="Arial" w:hAnsi="Arial" w:cs="Arial"/>
          <w:bCs/>
          <w:color w:val="000000"/>
          <w:sz w:val="26"/>
          <w:szCs w:val="26"/>
        </w:rPr>
        <w:t xml:space="preserve">Previo a la emisión de la resolución en el presente recurso de revisión, se puntualiza que la resolución que se controvierte es la relativa a aquella que </w:t>
      </w:r>
      <w:r w:rsidR="007C6731">
        <w:rPr>
          <w:rFonts w:ascii="Arial" w:hAnsi="Arial" w:cs="Arial"/>
          <w:bCs/>
          <w:color w:val="000000"/>
          <w:sz w:val="26"/>
          <w:szCs w:val="26"/>
        </w:rPr>
        <w:t>decidió</w:t>
      </w:r>
      <w:r>
        <w:rPr>
          <w:rFonts w:ascii="Arial" w:hAnsi="Arial" w:cs="Arial"/>
          <w:bCs/>
          <w:color w:val="000000"/>
          <w:sz w:val="26"/>
          <w:szCs w:val="26"/>
        </w:rPr>
        <w:t xml:space="preserve"> el recurso de queja interpuesto por el aquí recurrente, en contra del cumplimiento de sentencia que realiza la autoridad demandada en el expediente 76/2020, del índice de la Primera Sala Unitaria de Primera Instancia; recurso de revisión que es improcedente en términos del artículo 2</w:t>
      </w:r>
      <w:r w:rsidR="005B6071">
        <w:rPr>
          <w:rFonts w:ascii="Arial" w:hAnsi="Arial" w:cs="Arial"/>
          <w:bCs/>
          <w:color w:val="000000"/>
          <w:sz w:val="26"/>
          <w:szCs w:val="26"/>
        </w:rPr>
        <w:t>0</w:t>
      </w:r>
      <w:r>
        <w:rPr>
          <w:rFonts w:ascii="Arial" w:hAnsi="Arial" w:cs="Arial"/>
          <w:bCs/>
          <w:color w:val="000000"/>
          <w:sz w:val="26"/>
          <w:szCs w:val="26"/>
        </w:rPr>
        <w:t>6, de la Ley de Justicia Administrativa para el Estado de Oaxaca</w:t>
      </w:r>
      <w:r>
        <w:rPr>
          <w:rStyle w:val="Refdenotaalpie"/>
          <w:rFonts w:ascii="Arial" w:hAnsi="Arial" w:cs="Arial"/>
          <w:bCs/>
          <w:color w:val="000000"/>
          <w:sz w:val="26"/>
          <w:szCs w:val="26"/>
        </w:rPr>
        <w:footnoteReference w:id="1"/>
      </w:r>
      <w:r>
        <w:rPr>
          <w:rFonts w:ascii="Arial" w:hAnsi="Arial" w:cs="Arial"/>
          <w:bCs/>
          <w:color w:val="000000"/>
          <w:sz w:val="26"/>
          <w:szCs w:val="26"/>
        </w:rPr>
        <w:t xml:space="preserve">, al no encontrarse dentro de los supuestos previstos en dicho numeral; </w:t>
      </w:r>
      <w:r>
        <w:rPr>
          <w:rFonts w:ascii="Arial" w:hAnsi="Arial" w:cs="Arial"/>
          <w:b/>
          <w:bCs/>
          <w:color w:val="000000"/>
          <w:sz w:val="26"/>
          <w:szCs w:val="26"/>
        </w:rPr>
        <w:t>sin embargo</w:t>
      </w:r>
      <w:r>
        <w:rPr>
          <w:rFonts w:ascii="Arial" w:hAnsi="Arial" w:cs="Arial"/>
          <w:bCs/>
          <w:color w:val="000000"/>
          <w:sz w:val="26"/>
          <w:szCs w:val="26"/>
        </w:rPr>
        <w:t xml:space="preserve">, dado que en el último párrafo del Considerando Sexto de la citada resolución, el resolutor de Primera Instancia, </w:t>
      </w:r>
      <w:r w:rsidR="007C6731">
        <w:rPr>
          <w:rFonts w:ascii="Arial" w:hAnsi="Arial" w:cs="Arial"/>
          <w:bCs/>
          <w:color w:val="000000"/>
          <w:sz w:val="26"/>
          <w:szCs w:val="26"/>
        </w:rPr>
        <w:t>señaló</w:t>
      </w:r>
      <w:r>
        <w:rPr>
          <w:rFonts w:ascii="Arial" w:hAnsi="Arial" w:cs="Arial"/>
          <w:bCs/>
          <w:color w:val="000000"/>
          <w:sz w:val="26"/>
          <w:szCs w:val="26"/>
        </w:rPr>
        <w:t xml:space="preserve"> que: </w:t>
      </w:r>
      <w:r>
        <w:rPr>
          <w:rFonts w:ascii="Arial" w:hAnsi="Arial" w:cs="Arial"/>
          <w:bCs/>
          <w:i/>
          <w:color w:val="000000"/>
          <w:sz w:val="24"/>
          <w:szCs w:val="24"/>
        </w:rPr>
        <w:t>“</w:t>
      </w:r>
      <w:r w:rsidRPr="009146E4">
        <w:rPr>
          <w:rFonts w:ascii="Arial" w:hAnsi="Arial" w:cs="Arial"/>
          <w:bCs/>
          <w:i/>
          <w:color w:val="000000"/>
          <w:sz w:val="24"/>
          <w:szCs w:val="24"/>
        </w:rPr>
        <w:t xml:space="preserve"> </w:t>
      </w:r>
      <w:r>
        <w:rPr>
          <w:rFonts w:ascii="Arial" w:hAnsi="Arial" w:cs="Arial"/>
          <w:bCs/>
          <w:i/>
          <w:color w:val="000000"/>
          <w:sz w:val="24"/>
          <w:szCs w:val="24"/>
        </w:rPr>
        <w:t xml:space="preserve">En esas consideraciones, con los oficios </w:t>
      </w:r>
      <w:r w:rsidR="00411009" w:rsidRPr="00836251">
        <w:rPr>
          <w:rFonts w:ascii="Arial" w:eastAsia="Calibri" w:hAnsi="Arial" w:cs="Arial"/>
          <w:b/>
          <w:sz w:val="26"/>
          <w:szCs w:val="26"/>
        </w:rPr>
        <w:t>***********</w:t>
      </w:r>
      <w:r w:rsidR="00411009" w:rsidRPr="00836251">
        <w:rPr>
          <w:rFonts w:ascii="Arial" w:hAnsi="Arial" w:cs="Arial"/>
          <w:b/>
          <w:bCs/>
          <w:i/>
          <w:color w:val="000000"/>
          <w:sz w:val="24"/>
          <w:szCs w:val="24"/>
        </w:rPr>
        <w:t xml:space="preserve"> </w:t>
      </w:r>
      <w:r w:rsidR="00411009">
        <w:rPr>
          <w:rFonts w:ascii="Arial" w:hAnsi="Arial" w:cs="Arial"/>
          <w:bCs/>
          <w:i/>
          <w:color w:val="000000"/>
          <w:sz w:val="24"/>
          <w:szCs w:val="24"/>
        </w:rPr>
        <w:t xml:space="preserve"> </w:t>
      </w:r>
      <w:r>
        <w:rPr>
          <w:rFonts w:ascii="Arial" w:hAnsi="Arial" w:cs="Arial"/>
          <w:bCs/>
          <w:i/>
          <w:color w:val="000000"/>
          <w:sz w:val="24"/>
          <w:szCs w:val="24"/>
        </w:rPr>
        <w:t xml:space="preserve">(sic) y </w:t>
      </w:r>
      <w:r w:rsidR="00836251">
        <w:rPr>
          <w:rFonts w:ascii="Arial" w:eastAsia="Calibri" w:hAnsi="Arial" w:cs="Arial"/>
          <w:b/>
          <w:sz w:val="26"/>
          <w:szCs w:val="26"/>
        </w:rPr>
        <w:t>***********</w:t>
      </w:r>
      <w:r w:rsidR="00411009">
        <w:rPr>
          <w:rFonts w:ascii="Arial" w:eastAsia="Calibri" w:hAnsi="Arial" w:cs="Arial"/>
          <w:sz w:val="26"/>
          <w:szCs w:val="26"/>
        </w:rPr>
        <w:t xml:space="preserve"> </w:t>
      </w:r>
      <w:r>
        <w:rPr>
          <w:rFonts w:ascii="Arial" w:hAnsi="Arial" w:cs="Arial"/>
          <w:bCs/>
          <w:i/>
          <w:color w:val="000000"/>
          <w:sz w:val="24"/>
          <w:szCs w:val="24"/>
        </w:rPr>
        <w:t>del DIRECTOR GENERAL DE LA OFICINA DE PENSIONES DEL ESTADO DE OAXACA, se tiene por cumplida la sentencia de veintiocho de febrero de dos mil diecinueve y por ende, una vez notificada la presente resolución se ordena el archivo del presente asunto como total y definitivamente concluido</w:t>
      </w:r>
      <w:r w:rsidRPr="009146E4">
        <w:rPr>
          <w:rFonts w:ascii="Arial" w:hAnsi="Arial" w:cs="Arial"/>
          <w:bCs/>
          <w:i/>
          <w:color w:val="000000"/>
          <w:sz w:val="24"/>
          <w:szCs w:val="24"/>
        </w:rPr>
        <w:t>”</w:t>
      </w:r>
      <w:r>
        <w:rPr>
          <w:rFonts w:ascii="Arial" w:hAnsi="Arial" w:cs="Arial"/>
          <w:bCs/>
          <w:color w:val="000000"/>
          <w:sz w:val="26"/>
          <w:szCs w:val="26"/>
        </w:rPr>
        <w:t xml:space="preserve">, se advierte que con esta determinación la Sala de origen, ha puesto fin al procedimiento de ejecución de sentencia; </w:t>
      </w:r>
      <w:r w:rsidRPr="009146E4">
        <w:rPr>
          <w:rFonts w:ascii="Arial" w:hAnsi="Arial" w:cs="Arial"/>
          <w:b/>
          <w:bCs/>
          <w:color w:val="000000"/>
          <w:sz w:val="26"/>
          <w:szCs w:val="26"/>
        </w:rPr>
        <w:t>de ahí que</w:t>
      </w:r>
      <w:r>
        <w:rPr>
          <w:rFonts w:ascii="Arial" w:hAnsi="Arial" w:cs="Arial"/>
          <w:bCs/>
          <w:color w:val="000000"/>
          <w:sz w:val="26"/>
          <w:szCs w:val="26"/>
        </w:rPr>
        <w:t xml:space="preserve">, se admita a trámite el presente recurso de revisión en términos de lo estatuido por la fracción, </w:t>
      </w:r>
      <w:r w:rsidR="00291F2E">
        <w:rPr>
          <w:rFonts w:ascii="Arial" w:hAnsi="Arial" w:cs="Arial"/>
          <w:bCs/>
          <w:color w:val="000000"/>
          <w:sz w:val="26"/>
          <w:szCs w:val="26"/>
        </w:rPr>
        <w:t>V</w:t>
      </w:r>
      <w:r w:rsidR="00CD1742">
        <w:rPr>
          <w:rFonts w:ascii="Arial" w:hAnsi="Arial" w:cs="Arial"/>
          <w:bCs/>
          <w:color w:val="000000"/>
          <w:sz w:val="26"/>
          <w:szCs w:val="26"/>
        </w:rPr>
        <w:t>III</w:t>
      </w:r>
      <w:r>
        <w:rPr>
          <w:rFonts w:ascii="Arial" w:hAnsi="Arial" w:cs="Arial"/>
          <w:bCs/>
          <w:color w:val="000000"/>
          <w:sz w:val="26"/>
          <w:szCs w:val="26"/>
        </w:rPr>
        <w:t xml:space="preserve"> del artículo 2</w:t>
      </w:r>
      <w:r w:rsidR="00B14D57">
        <w:rPr>
          <w:rFonts w:ascii="Arial" w:hAnsi="Arial" w:cs="Arial"/>
          <w:bCs/>
          <w:color w:val="000000"/>
          <w:sz w:val="26"/>
          <w:szCs w:val="26"/>
        </w:rPr>
        <w:t>0</w:t>
      </w:r>
      <w:r>
        <w:rPr>
          <w:rFonts w:ascii="Arial" w:hAnsi="Arial" w:cs="Arial"/>
          <w:bCs/>
          <w:color w:val="000000"/>
          <w:sz w:val="26"/>
          <w:szCs w:val="26"/>
        </w:rPr>
        <w:t xml:space="preserve">6, de la Ley invocada. - - - - - - - - - - - - - - - - - - - - - - - - - - - - </w:t>
      </w:r>
    </w:p>
    <w:p w14:paraId="219A7E36" w14:textId="77777777" w:rsidR="00EE3879" w:rsidRDefault="00EE3879" w:rsidP="00EE3879">
      <w:pPr>
        <w:spacing w:before="240" w:after="0" w:line="360" w:lineRule="auto"/>
        <w:jc w:val="both"/>
        <w:rPr>
          <w:rFonts w:ascii="Arial" w:hAnsi="Arial" w:cs="Arial"/>
          <w:sz w:val="26"/>
          <w:szCs w:val="26"/>
        </w:rPr>
      </w:pPr>
      <w:r>
        <w:rPr>
          <w:rFonts w:ascii="Arial" w:hAnsi="Arial" w:cs="Arial"/>
          <w:b/>
          <w:bCs/>
          <w:sz w:val="26"/>
          <w:szCs w:val="26"/>
        </w:rPr>
        <w:lastRenderedPageBreak/>
        <w:t xml:space="preserve">      CUARTO. </w:t>
      </w:r>
      <w:r w:rsidRPr="00273DC5">
        <w:rPr>
          <w:rFonts w:ascii="Arial" w:hAnsi="Arial" w:cs="Arial"/>
          <w:bCs/>
          <w:sz w:val="26"/>
          <w:szCs w:val="26"/>
        </w:rPr>
        <w:t xml:space="preserve">El </w:t>
      </w:r>
      <w:r>
        <w:rPr>
          <w:rFonts w:ascii="Arial" w:hAnsi="Arial" w:cs="Arial"/>
          <w:bCs/>
          <w:sz w:val="26"/>
          <w:szCs w:val="26"/>
        </w:rPr>
        <w:t>recurrente argumenta</w:t>
      </w:r>
      <w:r w:rsidRPr="00403CFB">
        <w:rPr>
          <w:rFonts w:ascii="Arial" w:hAnsi="Arial" w:cs="Arial"/>
          <w:b/>
          <w:bCs/>
          <w:sz w:val="26"/>
          <w:szCs w:val="26"/>
        </w:rPr>
        <w:t xml:space="preserve"> </w:t>
      </w:r>
      <w:r w:rsidRPr="00DB54CE">
        <w:rPr>
          <w:rFonts w:ascii="Arial" w:hAnsi="Arial" w:cs="Arial"/>
          <w:bCs/>
          <w:sz w:val="26"/>
          <w:szCs w:val="26"/>
        </w:rPr>
        <w:t>en esencia</w:t>
      </w:r>
      <w:r>
        <w:rPr>
          <w:rFonts w:ascii="Arial" w:hAnsi="Arial" w:cs="Arial"/>
          <w:b/>
          <w:bCs/>
          <w:sz w:val="26"/>
          <w:szCs w:val="26"/>
        </w:rPr>
        <w:t xml:space="preserve"> </w:t>
      </w:r>
      <w:r w:rsidRPr="00403CFB">
        <w:rPr>
          <w:rFonts w:ascii="Arial" w:hAnsi="Arial" w:cs="Arial"/>
          <w:sz w:val="26"/>
          <w:szCs w:val="26"/>
        </w:rPr>
        <w:t>qu</w:t>
      </w:r>
      <w:r>
        <w:rPr>
          <w:rFonts w:ascii="Arial" w:hAnsi="Arial" w:cs="Arial"/>
          <w:sz w:val="26"/>
          <w:szCs w:val="26"/>
        </w:rPr>
        <w:t>e le causa agravio el considerando SEXTO de la resolución de fecha ocho de octubre de dos mil veinte, dictada por la Primera Sala Unitaria de Primera instancia en el recurso de queja contenido en el expediente 76/2020, al declarar improcedente el recurso de queja, al estar indebidamente fundado y motivado, al señalar el Magistrado de la Sala Unitaria que debió haber solicitado aclaración o interpuesto recurso de revisión para inconformarse. - - - - - - - - - - - - - - - - - - - - - - - - - - - - - - - - - - - - - - - - -</w:t>
      </w:r>
    </w:p>
    <w:p w14:paraId="3EE8907E" w14:textId="0E98EEE8" w:rsidR="00EE3879" w:rsidRDefault="00EE3879" w:rsidP="00EE3879">
      <w:pPr>
        <w:spacing w:before="240" w:after="0" w:line="360" w:lineRule="auto"/>
        <w:jc w:val="both"/>
        <w:rPr>
          <w:rFonts w:ascii="Arial" w:hAnsi="Arial" w:cs="Arial"/>
          <w:sz w:val="26"/>
          <w:szCs w:val="26"/>
        </w:rPr>
      </w:pPr>
      <w:r>
        <w:rPr>
          <w:rFonts w:ascii="Arial" w:hAnsi="Arial" w:cs="Arial"/>
          <w:sz w:val="26"/>
          <w:szCs w:val="26"/>
        </w:rPr>
        <w:t xml:space="preserve">      Por ello, </w:t>
      </w:r>
      <w:r w:rsidR="007C6731">
        <w:rPr>
          <w:rFonts w:ascii="Arial" w:hAnsi="Arial" w:cs="Arial"/>
          <w:sz w:val="26"/>
          <w:szCs w:val="26"/>
        </w:rPr>
        <w:t>el recurrente í</w:t>
      </w:r>
      <w:r>
        <w:rPr>
          <w:rFonts w:ascii="Arial" w:hAnsi="Arial" w:cs="Arial"/>
          <w:sz w:val="26"/>
          <w:szCs w:val="26"/>
        </w:rPr>
        <w:t xml:space="preserve">ndica que no había porque presentar aclaración de sentencia al haberle sido favorable, es decir, se le ordenó a la autoridad demandada dictar otro dictamen de pensión por jubilación en el que se le consideraran las prestaciones que solicitó; máxime que la aclaración de sentencia procede cuando existe contradicción, ambigüedad u oscuridad en la sentencia, es decir, su objeto es hacer comprensibles conceptos ambiguos, rectificar los contradictorios y corregir errores o defectos. - - - - - - - - - - - - - - - - - - - - - - - - - - - - - - - - </w:t>
      </w:r>
    </w:p>
    <w:p w14:paraId="7AFC186C" w14:textId="77777777" w:rsidR="00EE3879" w:rsidRDefault="00EE3879" w:rsidP="00EE3879">
      <w:pPr>
        <w:spacing w:before="240" w:after="0" w:line="360" w:lineRule="auto"/>
        <w:jc w:val="both"/>
        <w:rPr>
          <w:rFonts w:ascii="Arial" w:hAnsi="Arial" w:cs="Arial"/>
          <w:sz w:val="26"/>
          <w:szCs w:val="26"/>
        </w:rPr>
      </w:pPr>
      <w:r>
        <w:rPr>
          <w:rFonts w:ascii="Arial" w:hAnsi="Arial" w:cs="Arial"/>
          <w:sz w:val="26"/>
          <w:szCs w:val="26"/>
        </w:rPr>
        <w:t xml:space="preserve">    Asimismo, alega que el recurso de revisión no procedía, pues reitera, no había sido negada su pretensión; precisando que tratándose del pensionado que reclama una correcta cuantificación de su pensión conforme al Protocolo Adicional a la Convención Americana sobre Derechos Humanos en Materia de Derechos Económicos Sociales y Culturales “Protocolo de San Salvador” y el “Pacto Internacional de Derechos Económicos, Sociales y Culturales”, que establecen el derecho de toda persona a disfrutar de una seguridad social que le proteja contra las consecuencias de la vejez para obtener los medios para llevar una vida digna y decorosa, es decir, la interpretación de la ley de optimizarse en favor del pensionado, al encontrarse en desventaja y desigualdad respecto a su contraparte, por lo que debe operar a su favor la suplencia de la deficiencia de la queja. - - - - - - - - - - - - - - - - - - - - - -</w:t>
      </w:r>
    </w:p>
    <w:p w14:paraId="3441E198" w14:textId="15CC0C9D" w:rsidR="00EE3879" w:rsidRDefault="00EE3879" w:rsidP="00EE3879">
      <w:pPr>
        <w:spacing w:before="240" w:after="0" w:line="360" w:lineRule="auto"/>
        <w:jc w:val="both"/>
        <w:rPr>
          <w:rFonts w:ascii="Arial" w:hAnsi="Arial" w:cs="Arial"/>
          <w:sz w:val="26"/>
          <w:szCs w:val="26"/>
        </w:rPr>
      </w:pPr>
      <w:r>
        <w:rPr>
          <w:rFonts w:ascii="Arial" w:hAnsi="Arial" w:cs="Arial"/>
          <w:sz w:val="26"/>
          <w:szCs w:val="26"/>
        </w:rPr>
        <w:t xml:space="preserve">   Por otra parte, alega el recurrente que de las documentales con las que pretende cumplir con la sentencia la autoridad demandada, se advierte que se trata de conceptos de pago distintos a los realizados al recurrente, ya que al señalar la sentencia que declaraba la nulidad para efecto de que dicte un nuevo dictamen, se traduce en que debe producir efectos retroactivos desde la fecha en que fue autorizada la pensión por jubilación, esto es, desde julio de dos mil dieciséis, lo anterior con fundamento  en el artículo 8, fracción II, de la Ley de Justicia </w:t>
      </w:r>
      <w:r>
        <w:rPr>
          <w:rFonts w:ascii="Arial" w:hAnsi="Arial" w:cs="Arial"/>
          <w:sz w:val="26"/>
          <w:szCs w:val="26"/>
        </w:rPr>
        <w:lastRenderedPageBreak/>
        <w:t>Administrativa para el Estado de Oaxaca, el cual establece que la declaración de nulidad producirá efectos retroactivos. - - - - - - - - - - -</w:t>
      </w:r>
      <w:r w:rsidR="00B455E1">
        <w:rPr>
          <w:rFonts w:ascii="Arial" w:hAnsi="Arial" w:cs="Arial"/>
          <w:sz w:val="26"/>
          <w:szCs w:val="26"/>
        </w:rPr>
        <w:t xml:space="preserve"> - - </w:t>
      </w:r>
    </w:p>
    <w:p w14:paraId="5E784F85" w14:textId="77777777" w:rsidR="00EE3879" w:rsidRPr="00273DC5" w:rsidRDefault="00EE3879" w:rsidP="00EE3879">
      <w:pPr>
        <w:spacing w:before="240" w:after="0" w:line="360" w:lineRule="auto"/>
        <w:jc w:val="both"/>
        <w:rPr>
          <w:rFonts w:ascii="Arial" w:hAnsi="Arial" w:cs="Arial"/>
          <w:sz w:val="26"/>
          <w:szCs w:val="26"/>
        </w:rPr>
      </w:pPr>
      <w:r>
        <w:rPr>
          <w:rFonts w:ascii="Arial" w:hAnsi="Arial" w:cs="Arial"/>
          <w:sz w:val="26"/>
          <w:szCs w:val="26"/>
        </w:rPr>
        <w:t xml:space="preserve">   Agrega el recurrente, que cuando un juzgador determina emitir una nulidad para efectos, implícitamente le está dando como consecuencia dejar sin efecto todo lo realizado con posterioridad a la emisión del acto declarado nulo, es decir, la consecuencia de una nulidad para efectos consiste en retrotraer las cosas al estado en que se encontraban antes de la emisión del acto administrativo; por lo que debe ordenarse el pago de las prestaciones detalladas a partir del mes de julio de dos mil dieciséis al mes de abril de dos mil diecinueve, ya que en mayo de dos mil diecinueve se regularizó su pago, tal y como obra en el talón de pago que obra en autos. - - - - - - - - - - - - - - - - - - - -  - - - - - - - - - - - - - - - - -</w:t>
      </w:r>
    </w:p>
    <w:p w14:paraId="488F9036" w14:textId="475AFFB7" w:rsidR="00EE3879" w:rsidRPr="00403CFB" w:rsidRDefault="00EE3879" w:rsidP="00EE3879">
      <w:pPr>
        <w:spacing w:before="240" w:after="0" w:line="360" w:lineRule="auto"/>
        <w:ind w:firstLine="708"/>
        <w:jc w:val="both"/>
        <w:rPr>
          <w:rFonts w:ascii="Arial" w:hAnsi="Arial" w:cs="Arial"/>
          <w:bCs/>
          <w:sz w:val="26"/>
          <w:szCs w:val="26"/>
        </w:rPr>
      </w:pPr>
      <w:r>
        <w:rPr>
          <w:rFonts w:ascii="Arial" w:hAnsi="Arial" w:cs="Arial"/>
          <w:b/>
          <w:sz w:val="26"/>
          <w:szCs w:val="26"/>
        </w:rPr>
        <w:t xml:space="preserve">Ahora, </w:t>
      </w:r>
      <w:r>
        <w:rPr>
          <w:rFonts w:ascii="Arial" w:hAnsi="Arial" w:cs="Arial"/>
          <w:bCs/>
          <w:sz w:val="26"/>
          <w:szCs w:val="26"/>
        </w:rPr>
        <w:t>de las</w:t>
      </w:r>
      <w:r w:rsidRPr="00403CFB">
        <w:rPr>
          <w:rFonts w:ascii="Arial" w:hAnsi="Arial" w:cs="Arial"/>
          <w:bCs/>
          <w:sz w:val="26"/>
          <w:szCs w:val="26"/>
        </w:rPr>
        <w:t xml:space="preserve"> constancias </w:t>
      </w:r>
      <w:r w:rsidRPr="00845CB2">
        <w:rPr>
          <w:rFonts w:ascii="Arial" w:hAnsi="Arial" w:cs="Arial"/>
          <w:bCs/>
          <w:color w:val="000000"/>
          <w:sz w:val="26"/>
          <w:szCs w:val="26"/>
        </w:rPr>
        <w:t>que integran los autos del juicio remitidos para la solución del presente asunto</w:t>
      </w:r>
      <w:r>
        <w:rPr>
          <w:rFonts w:ascii="Arial" w:hAnsi="Arial" w:cs="Arial"/>
          <w:bCs/>
          <w:color w:val="000000"/>
          <w:sz w:val="26"/>
          <w:szCs w:val="26"/>
        </w:rPr>
        <w:t>,</w:t>
      </w:r>
      <w:r w:rsidRPr="00845CB2">
        <w:rPr>
          <w:rFonts w:ascii="Arial" w:hAnsi="Arial" w:cs="Arial"/>
          <w:bCs/>
          <w:color w:val="000000"/>
          <w:sz w:val="26"/>
          <w:szCs w:val="26"/>
        </w:rPr>
        <w:t xml:space="preserve"> </w:t>
      </w:r>
      <w:r>
        <w:rPr>
          <w:rFonts w:ascii="Arial" w:hAnsi="Arial" w:cs="Arial"/>
          <w:bCs/>
          <w:sz w:val="26"/>
          <w:szCs w:val="26"/>
        </w:rPr>
        <w:t>que tienen pleno valor probatorio</w:t>
      </w:r>
      <w:r w:rsidRPr="00403CFB">
        <w:rPr>
          <w:rFonts w:ascii="Arial" w:hAnsi="Arial" w:cs="Arial"/>
          <w:bCs/>
          <w:sz w:val="26"/>
          <w:szCs w:val="26"/>
        </w:rPr>
        <w:t xml:space="preserve"> por tratarse de actuac</w:t>
      </w:r>
      <w:r>
        <w:rPr>
          <w:rFonts w:ascii="Arial" w:hAnsi="Arial" w:cs="Arial"/>
          <w:bCs/>
          <w:sz w:val="26"/>
          <w:szCs w:val="26"/>
        </w:rPr>
        <w:t>iones procesales,</w:t>
      </w:r>
      <w:r w:rsidRPr="00403CFB">
        <w:rPr>
          <w:rFonts w:ascii="Arial" w:hAnsi="Arial" w:cs="Arial"/>
          <w:bCs/>
          <w:sz w:val="26"/>
          <w:szCs w:val="26"/>
        </w:rPr>
        <w:t xml:space="preserve"> conforme </w:t>
      </w:r>
      <w:r>
        <w:rPr>
          <w:rFonts w:ascii="Arial" w:hAnsi="Arial" w:cs="Arial"/>
          <w:bCs/>
          <w:sz w:val="26"/>
          <w:szCs w:val="26"/>
        </w:rPr>
        <w:t>a lo dispuesto en</w:t>
      </w:r>
      <w:r w:rsidRPr="00403CFB">
        <w:rPr>
          <w:rFonts w:ascii="Arial" w:hAnsi="Arial" w:cs="Arial"/>
          <w:bCs/>
          <w:sz w:val="26"/>
          <w:szCs w:val="26"/>
        </w:rPr>
        <w:t xml:space="preserve"> el </w:t>
      </w:r>
      <w:r>
        <w:rPr>
          <w:rFonts w:ascii="Arial" w:hAnsi="Arial" w:cs="Arial"/>
          <w:bCs/>
          <w:sz w:val="26"/>
          <w:szCs w:val="26"/>
        </w:rPr>
        <w:t xml:space="preserve">artículo </w:t>
      </w:r>
      <w:r w:rsidR="00B557EE">
        <w:rPr>
          <w:rFonts w:ascii="Arial" w:hAnsi="Arial" w:cs="Arial"/>
          <w:bCs/>
          <w:sz w:val="26"/>
          <w:szCs w:val="26"/>
        </w:rPr>
        <w:t>17</w:t>
      </w:r>
      <w:r>
        <w:rPr>
          <w:rFonts w:ascii="Arial" w:hAnsi="Arial" w:cs="Arial"/>
          <w:bCs/>
          <w:sz w:val="26"/>
          <w:szCs w:val="26"/>
        </w:rPr>
        <w:t>3,</w:t>
      </w:r>
      <w:r w:rsidRPr="00403CFB">
        <w:rPr>
          <w:rFonts w:ascii="Arial" w:hAnsi="Arial" w:cs="Arial"/>
          <w:bCs/>
          <w:sz w:val="26"/>
          <w:szCs w:val="26"/>
        </w:rPr>
        <w:t xml:space="preserve"> fracción I</w:t>
      </w:r>
      <w:r>
        <w:rPr>
          <w:rFonts w:ascii="Arial" w:hAnsi="Arial" w:cs="Arial"/>
          <w:bCs/>
          <w:sz w:val="26"/>
          <w:szCs w:val="26"/>
        </w:rPr>
        <w:t xml:space="preserve">, de la Ley de </w:t>
      </w:r>
      <w:r w:rsidRPr="00403CFB">
        <w:rPr>
          <w:rFonts w:ascii="Arial" w:hAnsi="Arial" w:cs="Arial"/>
          <w:bCs/>
          <w:sz w:val="26"/>
          <w:szCs w:val="26"/>
        </w:rPr>
        <w:t>Justicia Administrativa para el Estado de Oaxaca,</w:t>
      </w:r>
      <w:r>
        <w:rPr>
          <w:rFonts w:ascii="Arial" w:hAnsi="Arial" w:cs="Arial"/>
          <w:bCs/>
          <w:sz w:val="26"/>
          <w:szCs w:val="26"/>
        </w:rPr>
        <w:t xml:space="preserve"> se señalan los siguientes </w:t>
      </w:r>
      <w:r w:rsidR="007A3444">
        <w:rPr>
          <w:rFonts w:ascii="Arial" w:hAnsi="Arial" w:cs="Arial"/>
          <w:bCs/>
          <w:sz w:val="26"/>
          <w:szCs w:val="26"/>
        </w:rPr>
        <w:t>antecedentes: -</w:t>
      </w:r>
      <w:r w:rsidR="00DF7063">
        <w:rPr>
          <w:rFonts w:ascii="Arial" w:hAnsi="Arial" w:cs="Arial"/>
          <w:bCs/>
          <w:sz w:val="26"/>
          <w:szCs w:val="26"/>
        </w:rPr>
        <w:t xml:space="preserve"> - - - - - - - - - - - - - - - - - - - - - - - - - - - - - - - - - </w:t>
      </w:r>
      <w:r w:rsidR="005B74AB">
        <w:rPr>
          <w:rFonts w:ascii="Arial" w:hAnsi="Arial" w:cs="Arial"/>
          <w:bCs/>
          <w:sz w:val="26"/>
          <w:szCs w:val="26"/>
        </w:rPr>
        <w:t xml:space="preserve">- - - - - - - - </w:t>
      </w:r>
    </w:p>
    <w:p w14:paraId="469C3ADD" w14:textId="0EA3BC6C" w:rsidR="00EE3879" w:rsidRPr="00117B74" w:rsidRDefault="00EE3879" w:rsidP="00EE3879">
      <w:pPr>
        <w:pStyle w:val="Prrafodelista"/>
        <w:numPr>
          <w:ilvl w:val="0"/>
          <w:numId w:val="22"/>
        </w:numPr>
        <w:tabs>
          <w:tab w:val="left" w:pos="7797"/>
        </w:tabs>
        <w:spacing w:before="240" w:after="0" w:line="360" w:lineRule="auto"/>
        <w:ind w:right="474"/>
        <w:jc w:val="both"/>
        <w:rPr>
          <w:rFonts w:ascii="Arial" w:hAnsi="Arial" w:cs="Arial"/>
          <w:bCs/>
          <w:sz w:val="26"/>
          <w:szCs w:val="26"/>
        </w:rPr>
      </w:pPr>
      <w:r w:rsidRPr="00117B74">
        <w:rPr>
          <w:rFonts w:ascii="Arial" w:hAnsi="Arial" w:cs="Arial"/>
          <w:bCs/>
          <w:sz w:val="26"/>
          <w:szCs w:val="26"/>
        </w:rPr>
        <w:t xml:space="preserve">La actora con fecha nueve 9 nueve de febrero de 2017 dos mil diecisiete, presentó demanda de nulidad ante la Oficialía de Partes Común del otrora Tribunal de lo Contencioso Administrativo y de Cuentas del Poder Judicial del Estado de Oaxaca; quien señaló como pretensión, que se </w:t>
      </w:r>
      <w:r w:rsidRPr="00056F69">
        <w:rPr>
          <w:rFonts w:ascii="Arial" w:hAnsi="Arial" w:cs="Arial"/>
          <w:bCs/>
          <w:sz w:val="26"/>
          <w:szCs w:val="26"/>
        </w:rPr>
        <w:t>declarar</w:t>
      </w:r>
      <w:r w:rsidR="00117B74" w:rsidRPr="00056F69">
        <w:rPr>
          <w:rFonts w:ascii="Arial" w:hAnsi="Arial" w:cs="Arial"/>
          <w:bCs/>
          <w:sz w:val="26"/>
          <w:szCs w:val="26"/>
        </w:rPr>
        <w:t>a</w:t>
      </w:r>
      <w:r w:rsidRPr="00117B74">
        <w:rPr>
          <w:rFonts w:ascii="Arial" w:hAnsi="Arial" w:cs="Arial"/>
          <w:bCs/>
          <w:sz w:val="26"/>
          <w:szCs w:val="26"/>
        </w:rPr>
        <w:t xml:space="preserve"> la nulidad lisa y llana del acto impugnado y como consecuencia se le restituyera en el pleno goce de sus derechos indebidamente afectados, obligando a la autoridad demandada a considerar como sueldo el salario integrado con las siguientes prestaciones: previsión social múltiple, despensa, vida cara, quinquenios, aguinaldo, estímulo del día del jubilado, canasta navideña, sin importar si se trataba de personal de base o de confianza. - - - - - - - - - - - - - - - - - - - - - </w:t>
      </w:r>
    </w:p>
    <w:p w14:paraId="728B028E" w14:textId="181AA169" w:rsidR="00EE3879" w:rsidRPr="00117B74" w:rsidRDefault="00EE3879" w:rsidP="00EE3879">
      <w:pPr>
        <w:pStyle w:val="Prrafodelista"/>
        <w:numPr>
          <w:ilvl w:val="0"/>
          <w:numId w:val="22"/>
        </w:numPr>
        <w:tabs>
          <w:tab w:val="left" w:pos="7797"/>
        </w:tabs>
        <w:spacing w:before="240" w:after="0" w:line="360" w:lineRule="auto"/>
        <w:ind w:right="474"/>
        <w:jc w:val="both"/>
        <w:rPr>
          <w:rFonts w:ascii="Arial" w:hAnsi="Arial" w:cs="Arial"/>
          <w:bCs/>
          <w:sz w:val="26"/>
          <w:szCs w:val="26"/>
        </w:rPr>
      </w:pPr>
      <w:r w:rsidRPr="00117B74">
        <w:rPr>
          <w:rFonts w:ascii="Arial" w:hAnsi="Arial" w:cs="Arial"/>
          <w:bCs/>
          <w:sz w:val="26"/>
          <w:szCs w:val="26"/>
        </w:rPr>
        <w:t xml:space="preserve">La resolutora de la entonces denominada Séptima Sala del Tribunal de Justicia Administrativa del Estado de Oaxaca, dictó sentencia de fecha </w:t>
      </w:r>
      <w:bookmarkStart w:id="1" w:name="_Hlk70511749"/>
      <w:r w:rsidRPr="00117B74">
        <w:rPr>
          <w:rFonts w:ascii="Arial" w:hAnsi="Arial" w:cs="Arial"/>
          <w:bCs/>
          <w:sz w:val="26"/>
          <w:szCs w:val="26"/>
        </w:rPr>
        <w:t>28 veintiocho de febrero de 2019 dos mil diecinueve</w:t>
      </w:r>
      <w:bookmarkEnd w:id="1"/>
      <w:r w:rsidRPr="00117B74">
        <w:rPr>
          <w:rFonts w:ascii="Arial" w:hAnsi="Arial" w:cs="Arial"/>
          <w:bCs/>
          <w:sz w:val="26"/>
          <w:szCs w:val="26"/>
        </w:rPr>
        <w:t>, que en la parte que interesa, la r</w:t>
      </w:r>
      <w:r w:rsidR="00411009">
        <w:rPr>
          <w:rFonts w:ascii="Arial" w:hAnsi="Arial" w:cs="Arial"/>
          <w:bCs/>
          <w:sz w:val="26"/>
          <w:szCs w:val="26"/>
        </w:rPr>
        <w:t>esolutora de primera instancia</w:t>
      </w:r>
      <w:r w:rsidRPr="00117B74">
        <w:rPr>
          <w:rFonts w:ascii="Arial" w:hAnsi="Arial" w:cs="Arial"/>
          <w:bCs/>
          <w:sz w:val="26"/>
          <w:szCs w:val="26"/>
        </w:rPr>
        <w:t xml:space="preserve"> resolvió: </w:t>
      </w:r>
      <w:r w:rsidRPr="00117B74">
        <w:rPr>
          <w:rFonts w:ascii="Arial" w:hAnsi="Arial" w:cs="Arial"/>
          <w:bCs/>
          <w:i/>
          <w:sz w:val="26"/>
          <w:szCs w:val="26"/>
        </w:rPr>
        <w:t xml:space="preserve">“Consecuentemente, para asegurar la primacía, y aplicación efectiva de los derechos humanos </w:t>
      </w:r>
      <w:r w:rsidRPr="00117B74">
        <w:rPr>
          <w:rFonts w:ascii="Arial" w:hAnsi="Arial" w:cs="Arial"/>
          <w:bCs/>
          <w:i/>
          <w:sz w:val="26"/>
          <w:szCs w:val="26"/>
        </w:rPr>
        <w:lastRenderedPageBreak/>
        <w:t xml:space="preserve">establecidos en la Constitución Política de los Estados Unidos Mexicanos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que para la protección del derecho a la seguridad social del actor, dispuesto en el artículo 123, Apartado B, fracciones XI y XIV, de la Ley Suprema, el cual encuentra eco en la legislación internacional ya referida, lo procedente es </w:t>
      </w:r>
      <w:r w:rsidRPr="00117B74">
        <w:rPr>
          <w:rFonts w:ascii="Arial" w:hAnsi="Arial" w:cs="Arial"/>
          <w:b/>
          <w:i/>
          <w:sz w:val="26"/>
          <w:szCs w:val="26"/>
        </w:rPr>
        <w:t>INAPLICAR</w:t>
      </w:r>
      <w:r w:rsidRPr="00117B74">
        <w:rPr>
          <w:rFonts w:ascii="Arial" w:hAnsi="Arial" w:cs="Arial"/>
          <w:bCs/>
          <w:i/>
          <w:sz w:val="26"/>
          <w:szCs w:val="26"/>
        </w:rPr>
        <w:t xml:space="preserve"> la disposición del artículo 54 fracción I de la Ley de Pensiones para los Trabajadores del Gobierno del Estado de Oaxaca, que únicamente considera las prestaciones de previsión social múltiple, despensa, vida cara, quinquenios, aguinaldo, estímulo del día del jubilado, día de las madres y canasta navideña, para los trabajadores de base, pues en el caso particular </w:t>
      </w:r>
      <w:r w:rsidR="00836251">
        <w:rPr>
          <w:rFonts w:ascii="Arial" w:eastAsia="Calibri" w:hAnsi="Arial" w:cs="Arial"/>
          <w:b/>
          <w:sz w:val="26"/>
          <w:szCs w:val="26"/>
        </w:rPr>
        <w:t>***********,</w:t>
      </w:r>
      <w:r w:rsidRPr="00117B74">
        <w:rPr>
          <w:rFonts w:ascii="Arial" w:hAnsi="Arial" w:cs="Arial"/>
          <w:bCs/>
          <w:i/>
          <w:sz w:val="26"/>
          <w:szCs w:val="26"/>
        </w:rPr>
        <w:t xml:space="preserve"> debe obtener esas prestaciones evitando la discriminación; en consecuencia, se declara la </w:t>
      </w:r>
      <w:r w:rsidRPr="00117B74">
        <w:rPr>
          <w:rFonts w:ascii="Arial" w:hAnsi="Arial" w:cs="Arial"/>
          <w:b/>
          <w:i/>
          <w:sz w:val="26"/>
          <w:szCs w:val="26"/>
        </w:rPr>
        <w:t>NULIDAD</w:t>
      </w:r>
      <w:r w:rsidRPr="00117B74">
        <w:rPr>
          <w:rFonts w:ascii="Arial" w:hAnsi="Arial" w:cs="Arial"/>
          <w:bCs/>
          <w:i/>
          <w:sz w:val="26"/>
          <w:szCs w:val="26"/>
        </w:rPr>
        <w:t xml:space="preserve"> de los oficios </w:t>
      </w:r>
      <w:r w:rsidR="00411009" w:rsidRPr="00836251">
        <w:rPr>
          <w:rFonts w:ascii="Arial" w:eastAsia="Calibri" w:hAnsi="Arial" w:cs="Arial"/>
          <w:b/>
          <w:sz w:val="26"/>
          <w:szCs w:val="26"/>
        </w:rPr>
        <w:t>***********</w:t>
      </w:r>
      <w:r w:rsidRPr="00836251">
        <w:rPr>
          <w:rFonts w:ascii="Arial" w:hAnsi="Arial" w:cs="Arial"/>
          <w:b/>
          <w:bCs/>
          <w:i/>
          <w:sz w:val="26"/>
          <w:szCs w:val="26"/>
        </w:rPr>
        <w:t xml:space="preserve"> </w:t>
      </w:r>
      <w:r w:rsidRPr="00117B74">
        <w:rPr>
          <w:rFonts w:ascii="Arial" w:hAnsi="Arial" w:cs="Arial"/>
          <w:bCs/>
          <w:i/>
          <w:sz w:val="26"/>
          <w:szCs w:val="26"/>
        </w:rPr>
        <w:t xml:space="preserve">y </w:t>
      </w:r>
      <w:r w:rsidR="00411009" w:rsidRPr="00836251">
        <w:rPr>
          <w:rFonts w:ascii="Arial" w:eastAsia="Calibri" w:hAnsi="Arial" w:cs="Arial"/>
          <w:b/>
          <w:sz w:val="26"/>
          <w:szCs w:val="26"/>
        </w:rPr>
        <w:t>***********</w:t>
      </w:r>
      <w:r w:rsidRPr="00836251">
        <w:rPr>
          <w:rFonts w:ascii="Arial" w:hAnsi="Arial" w:cs="Arial"/>
          <w:b/>
          <w:bCs/>
          <w:i/>
          <w:sz w:val="26"/>
          <w:szCs w:val="26"/>
        </w:rPr>
        <w:t>,</w:t>
      </w:r>
      <w:r w:rsidRPr="00117B74">
        <w:rPr>
          <w:rFonts w:ascii="Arial" w:hAnsi="Arial" w:cs="Arial"/>
          <w:bCs/>
          <w:i/>
          <w:sz w:val="26"/>
          <w:szCs w:val="26"/>
        </w:rPr>
        <w:t xml:space="preserve"> el primero de fecha veinte de diciembre  de dos mil dieciséis (20/12/2016), y el segundo de fecha treinta y uno de marzo de dos mil dieciséis (31/03/2016</w:t>
      </w:r>
      <w:r w:rsidR="00624481">
        <w:rPr>
          <w:rFonts w:ascii="Arial" w:hAnsi="Arial" w:cs="Arial"/>
          <w:bCs/>
          <w:i/>
          <w:sz w:val="26"/>
          <w:szCs w:val="26"/>
        </w:rPr>
        <w:t>)</w:t>
      </w:r>
      <w:r w:rsidRPr="00117B74">
        <w:rPr>
          <w:rFonts w:ascii="Arial" w:hAnsi="Arial" w:cs="Arial"/>
          <w:bCs/>
          <w:i/>
          <w:sz w:val="26"/>
          <w:szCs w:val="26"/>
        </w:rPr>
        <w:t xml:space="preserve">, emitidos ambos por el Director General de la Oficina de Pensiones del Estado de Oaxaca, así como del dictamen de pensión por jubilación expedido a favor del actor, emitido por el Consejo Directivo de Pensiones el veinte de diciembre  de dos mil dieciséis (20/12/2016), para el </w:t>
      </w:r>
      <w:r w:rsidRPr="00117B74">
        <w:rPr>
          <w:rFonts w:ascii="Arial" w:hAnsi="Arial" w:cs="Arial"/>
          <w:b/>
          <w:i/>
          <w:sz w:val="26"/>
          <w:szCs w:val="26"/>
        </w:rPr>
        <w:t>EFECTO</w:t>
      </w:r>
      <w:r w:rsidRPr="00117B74">
        <w:rPr>
          <w:rFonts w:ascii="Arial" w:hAnsi="Arial" w:cs="Arial"/>
          <w:bCs/>
          <w:i/>
          <w:sz w:val="26"/>
          <w:szCs w:val="26"/>
        </w:rPr>
        <w:t>, de que la autoridad demandada dicte otro, en el que además de la pensión por jubilación otorgada a favor del actor, conceda las prestaciones ya precisadas en esta resolución, lo anterior de conformidad con lo dispuesto en los artículos 207, 208, y 209 de la Ley de Procedimiento y Justicia Administrativa para el Estado de Oaxaca .”</w:t>
      </w:r>
      <w:r w:rsidR="00117B74">
        <w:rPr>
          <w:rFonts w:ascii="Arial" w:hAnsi="Arial" w:cs="Arial"/>
          <w:bCs/>
          <w:i/>
          <w:sz w:val="26"/>
          <w:szCs w:val="26"/>
        </w:rPr>
        <w:t xml:space="preserve"> - - - - - - - - - - - - - - - - - - - - - - - - </w:t>
      </w:r>
      <w:r w:rsidR="00411009">
        <w:rPr>
          <w:rFonts w:ascii="Arial" w:hAnsi="Arial" w:cs="Arial"/>
          <w:bCs/>
          <w:i/>
          <w:sz w:val="26"/>
          <w:szCs w:val="26"/>
        </w:rPr>
        <w:t xml:space="preserve">- - - - - - </w:t>
      </w:r>
    </w:p>
    <w:p w14:paraId="59EDEC5C" w14:textId="106C9807" w:rsidR="00EE3879" w:rsidRPr="00117B74" w:rsidRDefault="00EE3879" w:rsidP="00EE3879">
      <w:pPr>
        <w:pStyle w:val="Prrafodelista"/>
        <w:numPr>
          <w:ilvl w:val="0"/>
          <w:numId w:val="22"/>
        </w:numPr>
        <w:spacing w:before="240" w:after="0" w:line="360" w:lineRule="auto"/>
        <w:ind w:right="474"/>
        <w:jc w:val="both"/>
        <w:rPr>
          <w:rFonts w:ascii="Arial" w:hAnsi="Arial" w:cs="Arial"/>
          <w:bCs/>
          <w:sz w:val="26"/>
          <w:szCs w:val="26"/>
        </w:rPr>
      </w:pPr>
      <w:r w:rsidRPr="00117B74">
        <w:rPr>
          <w:rFonts w:ascii="Arial" w:hAnsi="Arial" w:cs="Arial"/>
          <w:bCs/>
          <w:sz w:val="26"/>
          <w:szCs w:val="26"/>
        </w:rPr>
        <w:t xml:space="preserve">Mediante proveído de fecha 21 veintiuno de marzo de 2019 dos mil diecinueve, la resolutora de Primera Instancia acordó que, al haber fenecido el plazo para la interposición del recurso de revisión, sin que ninguna de las partes en el juicio lo hiciera, causó estado la sentencia de fecha 28 veintiocho de febrero </w:t>
      </w:r>
      <w:r w:rsidRPr="00117B74">
        <w:rPr>
          <w:rFonts w:ascii="Arial" w:hAnsi="Arial" w:cs="Arial"/>
          <w:bCs/>
          <w:sz w:val="26"/>
          <w:szCs w:val="26"/>
        </w:rPr>
        <w:lastRenderedPageBreak/>
        <w:t xml:space="preserve">de 2019 dos mil diecinueve y, en consecuencia, se inició la etapa de ejecución de la misma, ordenando requerir a las autoridades demandadas para que la cumplimentaran. - - - - - </w:t>
      </w:r>
    </w:p>
    <w:p w14:paraId="1791591F" w14:textId="11CE0EC5" w:rsidR="00EE3879" w:rsidRPr="00117B74" w:rsidRDefault="00EE3879" w:rsidP="00EE3879">
      <w:pPr>
        <w:pStyle w:val="Prrafodelista"/>
        <w:numPr>
          <w:ilvl w:val="0"/>
          <w:numId w:val="22"/>
        </w:numPr>
        <w:spacing w:before="240" w:after="0" w:line="360" w:lineRule="auto"/>
        <w:ind w:right="474"/>
        <w:jc w:val="both"/>
        <w:rPr>
          <w:rFonts w:ascii="Arial" w:hAnsi="Arial" w:cs="Arial"/>
          <w:bCs/>
          <w:sz w:val="26"/>
          <w:szCs w:val="26"/>
        </w:rPr>
      </w:pPr>
      <w:r w:rsidRPr="00117B74">
        <w:rPr>
          <w:rFonts w:ascii="Arial" w:hAnsi="Arial" w:cs="Arial"/>
          <w:bCs/>
          <w:sz w:val="26"/>
          <w:szCs w:val="26"/>
        </w:rPr>
        <w:t xml:space="preserve">Por acuerdo de 26 veintiséis de abril de 2019 dos mil diecinueve, la Sala de origen tuvo a la autoridad demandada informando sobre el cumplimiento a la sentencia, al presentar el oficio </w:t>
      </w:r>
      <w:r w:rsidR="00411009" w:rsidRPr="00836251">
        <w:rPr>
          <w:rFonts w:ascii="Arial" w:eastAsia="Calibri" w:hAnsi="Arial" w:cs="Arial"/>
          <w:b/>
          <w:sz w:val="26"/>
          <w:szCs w:val="26"/>
        </w:rPr>
        <w:t>***********</w:t>
      </w:r>
      <w:r w:rsidR="00411009">
        <w:rPr>
          <w:rFonts w:ascii="Arial" w:eastAsia="Calibri" w:hAnsi="Arial" w:cs="Arial"/>
          <w:sz w:val="26"/>
          <w:szCs w:val="26"/>
        </w:rPr>
        <w:t xml:space="preserve"> </w:t>
      </w:r>
      <w:r w:rsidRPr="00117B74">
        <w:rPr>
          <w:rFonts w:ascii="Arial" w:hAnsi="Arial" w:cs="Arial"/>
          <w:bCs/>
          <w:sz w:val="26"/>
          <w:szCs w:val="26"/>
        </w:rPr>
        <w:t xml:space="preserve">de fecha 27 veintisiete de marzo de 2019 dos mil diecinueve, con el cual se dio vista a la parte actora para que manifestara lo que en derecho conviniera. - - </w:t>
      </w:r>
      <w:r w:rsidR="00411009">
        <w:rPr>
          <w:rFonts w:ascii="Arial" w:hAnsi="Arial" w:cs="Arial"/>
          <w:bCs/>
          <w:sz w:val="26"/>
          <w:szCs w:val="26"/>
        </w:rPr>
        <w:t xml:space="preserve">- - - - - </w:t>
      </w:r>
    </w:p>
    <w:p w14:paraId="3E14A99E" w14:textId="692FB687" w:rsidR="00EE3879" w:rsidRPr="00117B74" w:rsidRDefault="00EE3879" w:rsidP="00EE3879">
      <w:pPr>
        <w:pStyle w:val="Prrafodelista"/>
        <w:numPr>
          <w:ilvl w:val="0"/>
          <w:numId w:val="22"/>
        </w:numPr>
        <w:spacing w:before="240" w:after="0" w:line="360" w:lineRule="auto"/>
        <w:ind w:right="474"/>
        <w:jc w:val="both"/>
        <w:rPr>
          <w:rFonts w:ascii="Arial" w:hAnsi="Arial" w:cs="Arial"/>
          <w:bCs/>
          <w:sz w:val="26"/>
          <w:szCs w:val="26"/>
        </w:rPr>
      </w:pPr>
      <w:r w:rsidRPr="00117B74">
        <w:rPr>
          <w:rFonts w:ascii="Arial" w:hAnsi="Arial" w:cs="Arial"/>
          <w:bCs/>
          <w:sz w:val="26"/>
          <w:szCs w:val="26"/>
        </w:rPr>
        <w:t xml:space="preserve">Por acuerdo de 29 veintinueve de mayo de 2019 dos mil diecinueve, la Sala Unitaria tuvo al actor haciendo sus manifestaciones, relacionadas a que la demandada debe hacer el pago retroactivo a partir del mes de julio de dos mil dieciséis a abril de dos mil diecinueve, con las prestaciones establecidas en el artículo 54 fracción I, de la Ley de Pensiones para los Trabadores del Gobierno del Estado de Oaxaca, por lo que solicitó no se tuviera por cumplida la sentencia.- - - - - - </w:t>
      </w:r>
    </w:p>
    <w:p w14:paraId="39BBE472" w14:textId="27109D75" w:rsidR="00EE3879" w:rsidRPr="00117B74" w:rsidRDefault="00EE3879" w:rsidP="00EE3879">
      <w:pPr>
        <w:pStyle w:val="Prrafodelista"/>
        <w:numPr>
          <w:ilvl w:val="0"/>
          <w:numId w:val="22"/>
        </w:numPr>
        <w:spacing w:before="240" w:after="0" w:line="360" w:lineRule="auto"/>
        <w:ind w:right="474"/>
        <w:jc w:val="both"/>
        <w:rPr>
          <w:rFonts w:ascii="Arial" w:hAnsi="Arial" w:cs="Arial"/>
          <w:bCs/>
          <w:sz w:val="26"/>
          <w:szCs w:val="26"/>
        </w:rPr>
      </w:pPr>
      <w:r w:rsidRPr="00117B74">
        <w:rPr>
          <w:rFonts w:ascii="Arial" w:hAnsi="Arial" w:cs="Arial"/>
          <w:bCs/>
          <w:sz w:val="26"/>
          <w:szCs w:val="26"/>
        </w:rPr>
        <w:t>Por acuerdo de 12 doce de agosto de 2019 dos mil diecinueve, la autoridad demandada en cumplimiento al requerimiento que antecede, manifestó que la materialización del cumplimiento a la sentencia tuvo lugar hasta el pago de pensión correspondiente al mes de mayo de dos mil diecinueve, en razón que la nómina se paga el último día del mes inmediato anterior y, debido a que requerimiento lo recibió el 27 veintisiete de marzo del mismo año, en ese momento la nómina de jubilados pensionados y pensionistas ya estaba elaborada. - - - - - - - - - - - - - - - - - - - - - - - - - - - - - - - - -</w:t>
      </w:r>
      <w:r w:rsidR="00117B74">
        <w:rPr>
          <w:rFonts w:ascii="Arial" w:hAnsi="Arial" w:cs="Arial"/>
          <w:bCs/>
          <w:sz w:val="26"/>
          <w:szCs w:val="26"/>
        </w:rPr>
        <w:t xml:space="preserve"> - - - -</w:t>
      </w:r>
    </w:p>
    <w:p w14:paraId="7837BF47" w14:textId="77777777" w:rsidR="00EE3879" w:rsidRPr="00117B74" w:rsidRDefault="00EE3879" w:rsidP="00EE3879">
      <w:pPr>
        <w:pStyle w:val="Prrafodelista"/>
        <w:numPr>
          <w:ilvl w:val="0"/>
          <w:numId w:val="22"/>
        </w:numPr>
        <w:spacing w:before="240" w:after="0" w:line="360" w:lineRule="auto"/>
        <w:ind w:right="474"/>
        <w:jc w:val="both"/>
        <w:rPr>
          <w:rFonts w:ascii="Arial" w:hAnsi="Arial" w:cs="Arial"/>
          <w:bCs/>
          <w:sz w:val="26"/>
          <w:szCs w:val="26"/>
        </w:rPr>
      </w:pPr>
      <w:r w:rsidRPr="00117B74">
        <w:rPr>
          <w:rFonts w:ascii="Arial" w:hAnsi="Arial" w:cs="Arial"/>
          <w:bCs/>
          <w:sz w:val="26"/>
          <w:szCs w:val="26"/>
        </w:rPr>
        <w:t xml:space="preserve">Mediante acuerdo de fecha 23 veintitrés de octubre de 2019 dos mil diecinueve, la Sala de Primera Instancia admitió a trámite el recurso de queja debido a que las autoridades demandadas no han dado total cumplimiento a la sentencia. - </w:t>
      </w:r>
    </w:p>
    <w:p w14:paraId="0DB20D25" w14:textId="77777777" w:rsidR="00EE3879" w:rsidRPr="00117B74" w:rsidRDefault="00EE3879" w:rsidP="00EE3879">
      <w:pPr>
        <w:pStyle w:val="Prrafodelista"/>
        <w:numPr>
          <w:ilvl w:val="0"/>
          <w:numId w:val="22"/>
        </w:numPr>
        <w:spacing w:before="240" w:after="0" w:line="360" w:lineRule="auto"/>
        <w:ind w:right="474"/>
        <w:jc w:val="both"/>
        <w:rPr>
          <w:rFonts w:ascii="Arial" w:hAnsi="Arial" w:cs="Arial"/>
          <w:bCs/>
          <w:sz w:val="26"/>
          <w:szCs w:val="26"/>
        </w:rPr>
      </w:pPr>
      <w:r w:rsidRPr="00117B74">
        <w:rPr>
          <w:rFonts w:ascii="Arial" w:hAnsi="Arial" w:cs="Arial"/>
          <w:bCs/>
          <w:sz w:val="26"/>
          <w:szCs w:val="26"/>
        </w:rPr>
        <w:t xml:space="preserve">Con fecha 8 ocho de octubre de 2020 dos mil veinte la Sala Unitaria emitió resolución en el recurso de queja interpuesto por la parte actora, declarándolo improcedente. - - - - - - - - - - </w:t>
      </w:r>
    </w:p>
    <w:p w14:paraId="02AEEBC8" w14:textId="77777777" w:rsidR="00EE3879" w:rsidRPr="00623D31" w:rsidRDefault="00EE3879" w:rsidP="00EE3879">
      <w:pPr>
        <w:pStyle w:val="Prrafodelista"/>
        <w:spacing w:before="240" w:after="0" w:line="360" w:lineRule="auto"/>
        <w:ind w:left="645" w:right="474"/>
        <w:jc w:val="both"/>
        <w:rPr>
          <w:rFonts w:ascii="Arial" w:hAnsi="Arial" w:cs="Arial"/>
          <w:bCs/>
          <w:sz w:val="26"/>
          <w:szCs w:val="26"/>
        </w:rPr>
      </w:pPr>
    </w:p>
    <w:p w14:paraId="0B9818FF" w14:textId="15123B6E" w:rsidR="00EE3879" w:rsidRDefault="00EE3879" w:rsidP="00EE3879">
      <w:pPr>
        <w:spacing w:line="360" w:lineRule="auto"/>
        <w:ind w:firstLine="705"/>
        <w:jc w:val="both"/>
        <w:rPr>
          <w:rFonts w:ascii="Arial" w:hAnsi="Arial" w:cs="Arial"/>
          <w:bCs/>
          <w:color w:val="000000"/>
          <w:sz w:val="26"/>
          <w:szCs w:val="26"/>
        </w:rPr>
      </w:pPr>
      <w:r w:rsidRPr="00685BF9">
        <w:rPr>
          <w:rFonts w:ascii="Arial" w:hAnsi="Arial" w:cs="Arial"/>
          <w:b/>
          <w:color w:val="000000"/>
          <w:sz w:val="26"/>
          <w:szCs w:val="26"/>
        </w:rPr>
        <w:t>Ahora bien</w:t>
      </w:r>
      <w:r>
        <w:rPr>
          <w:rFonts w:ascii="Arial" w:hAnsi="Arial" w:cs="Arial"/>
          <w:bCs/>
          <w:color w:val="000000"/>
          <w:sz w:val="26"/>
          <w:szCs w:val="26"/>
        </w:rPr>
        <w:t xml:space="preserve">, para efecto de que esta Sala Superior emita una resolución congruente y exhaustiva, se debe confrontar  lo determinado en </w:t>
      </w:r>
      <w:r w:rsidRPr="00442484">
        <w:rPr>
          <w:rFonts w:ascii="Arial" w:hAnsi="Arial" w:cs="Arial"/>
          <w:bCs/>
          <w:color w:val="000000"/>
          <w:sz w:val="26"/>
          <w:szCs w:val="26"/>
        </w:rPr>
        <w:t xml:space="preserve">la sentencia de primera instancia de fecha veintiocho de febrero de </w:t>
      </w:r>
      <w:r w:rsidRPr="00442484">
        <w:rPr>
          <w:rFonts w:ascii="Arial" w:hAnsi="Arial" w:cs="Arial"/>
          <w:bCs/>
          <w:color w:val="000000"/>
          <w:sz w:val="26"/>
          <w:szCs w:val="26"/>
        </w:rPr>
        <w:lastRenderedPageBreak/>
        <w:t xml:space="preserve">dos mil diecinueve, con el cumplimiento de la autoridad demandada realizado mediante el oficio </w:t>
      </w:r>
      <w:r w:rsidR="00411009" w:rsidRPr="00836251">
        <w:rPr>
          <w:rFonts w:ascii="Arial" w:eastAsia="Calibri" w:hAnsi="Arial" w:cs="Arial"/>
          <w:b/>
          <w:sz w:val="26"/>
          <w:szCs w:val="26"/>
        </w:rPr>
        <w:t>***********</w:t>
      </w:r>
      <w:r w:rsidRPr="00836251">
        <w:rPr>
          <w:rFonts w:ascii="Arial" w:hAnsi="Arial" w:cs="Arial"/>
          <w:b/>
          <w:bCs/>
          <w:color w:val="000000"/>
          <w:sz w:val="26"/>
          <w:szCs w:val="26"/>
        </w:rPr>
        <w:t xml:space="preserve">, </w:t>
      </w:r>
      <w:r>
        <w:rPr>
          <w:rFonts w:ascii="Arial" w:hAnsi="Arial" w:cs="Arial"/>
          <w:bCs/>
          <w:color w:val="000000"/>
          <w:sz w:val="26"/>
          <w:szCs w:val="26"/>
        </w:rPr>
        <w:t>para verificar que</w:t>
      </w:r>
      <w:r w:rsidRPr="00442484">
        <w:rPr>
          <w:rFonts w:ascii="Arial" w:hAnsi="Arial" w:cs="Arial"/>
          <w:bCs/>
          <w:color w:val="000000"/>
          <w:sz w:val="26"/>
          <w:szCs w:val="26"/>
        </w:rPr>
        <w:t xml:space="preserve"> la resolución del recurso de queja</w:t>
      </w:r>
      <w:r>
        <w:rPr>
          <w:rFonts w:ascii="Arial" w:hAnsi="Arial" w:cs="Arial"/>
          <w:bCs/>
          <w:color w:val="000000"/>
          <w:sz w:val="26"/>
          <w:szCs w:val="26"/>
        </w:rPr>
        <w:t xml:space="preserve"> de fecha ocho de octubre de dos mil veinte, que aquí se impugna, fue emitida sin incurrir en ninguna ilegalidad; desprendiéndose de tales actuaciones lo siguiente:</w:t>
      </w:r>
      <w:r w:rsidR="00430884" w:rsidRPr="00430884">
        <w:rPr>
          <w:rFonts w:ascii="Arial" w:hAnsi="Arial" w:cs="Arial"/>
          <w:bCs/>
          <w:color w:val="000000"/>
          <w:sz w:val="26"/>
          <w:szCs w:val="26"/>
        </w:rPr>
        <w:t xml:space="preserve"> </w:t>
      </w:r>
      <w:r w:rsidR="00430884">
        <w:rPr>
          <w:rFonts w:ascii="Arial" w:hAnsi="Arial" w:cs="Arial"/>
          <w:bCs/>
          <w:color w:val="000000"/>
          <w:sz w:val="26"/>
          <w:szCs w:val="26"/>
        </w:rPr>
        <w:t xml:space="preserve">- - - - - - - </w:t>
      </w:r>
      <w:r w:rsidR="00411009">
        <w:rPr>
          <w:rFonts w:ascii="Arial" w:hAnsi="Arial" w:cs="Arial"/>
          <w:bCs/>
          <w:color w:val="000000"/>
          <w:sz w:val="26"/>
          <w:szCs w:val="26"/>
        </w:rPr>
        <w:t xml:space="preserve">- - - - - - - - </w:t>
      </w:r>
    </w:p>
    <w:p w14:paraId="6503B119" w14:textId="38662137" w:rsidR="00EE3879" w:rsidRPr="00755A32" w:rsidRDefault="00EE3879" w:rsidP="00EE3879">
      <w:pPr>
        <w:spacing w:line="360" w:lineRule="auto"/>
        <w:ind w:firstLine="705"/>
        <w:jc w:val="both"/>
        <w:rPr>
          <w:rFonts w:ascii="Arial" w:hAnsi="Arial" w:cs="Arial"/>
          <w:bCs/>
          <w:i/>
          <w:sz w:val="24"/>
          <w:szCs w:val="24"/>
        </w:rPr>
      </w:pPr>
      <w:r w:rsidRPr="000F3EE5">
        <w:rPr>
          <w:rFonts w:ascii="Arial" w:hAnsi="Arial" w:cs="Arial"/>
          <w:b/>
          <w:color w:val="000000"/>
          <w:sz w:val="26"/>
          <w:szCs w:val="26"/>
        </w:rPr>
        <w:t>a)</w:t>
      </w:r>
      <w:r>
        <w:rPr>
          <w:rFonts w:ascii="Arial" w:hAnsi="Arial" w:cs="Arial"/>
          <w:bCs/>
          <w:color w:val="000000"/>
          <w:sz w:val="26"/>
          <w:szCs w:val="26"/>
        </w:rPr>
        <w:t xml:space="preserve"> La sentencia de fecha veintiocho de febrero de dos mil diecinueve, dictada por la resolutora de la entonces denominada Séptima Sala Unitaria de Primera Instancia, ahora asignado el expediente a la Primera Sala Unitaria de Primera Instancia, resolvió lo siguiente: </w:t>
      </w:r>
      <w:r w:rsidRPr="00755A32">
        <w:rPr>
          <w:rFonts w:ascii="Arial" w:hAnsi="Arial" w:cs="Arial"/>
          <w:bCs/>
          <w:color w:val="000000"/>
          <w:sz w:val="24"/>
          <w:szCs w:val="24"/>
        </w:rPr>
        <w:t>“…</w:t>
      </w:r>
      <w:r w:rsidRPr="00755A32">
        <w:rPr>
          <w:rFonts w:ascii="Arial" w:hAnsi="Arial" w:cs="Arial"/>
          <w:bCs/>
          <w:i/>
          <w:sz w:val="24"/>
          <w:szCs w:val="24"/>
        </w:rPr>
        <w:t xml:space="preserve">Consecuentemente, para asegurar la primacía,  y aplicación efectiva de los derechos humanos establecidos en la Constitución Política de los Estados Unidos Mexicanos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que para la protección del derecho a la seguridad social del actor, dispuesto en el artículo 123, Apartado B, fracciones XI y XIV, de la Ley Suprema, el cual encuentra eco en la legislación internacional ya referida, lo procedente es </w:t>
      </w:r>
      <w:r w:rsidRPr="00755A32">
        <w:rPr>
          <w:rFonts w:ascii="Arial" w:hAnsi="Arial" w:cs="Arial"/>
          <w:b/>
          <w:i/>
          <w:sz w:val="24"/>
          <w:szCs w:val="24"/>
        </w:rPr>
        <w:t>INAPLICAR</w:t>
      </w:r>
      <w:r w:rsidRPr="00755A32">
        <w:rPr>
          <w:rFonts w:ascii="Arial" w:hAnsi="Arial" w:cs="Arial"/>
          <w:bCs/>
          <w:i/>
          <w:sz w:val="24"/>
          <w:szCs w:val="24"/>
        </w:rPr>
        <w:t xml:space="preserve"> la disposición del artículo 54 fracción I de la Ley de Pensiones para los Trabajadores del Gobierno del Estado de Oaxaca, que únicamente considera las prestaciones de previsión social múltiple, despensa, vida cara, quinquenios, aguinaldo, estímulo del día del jubilado, día de las madres y canasta navideña, para los trabajadores de base, pues en el caso particular </w:t>
      </w:r>
      <w:r w:rsidR="00411009" w:rsidRPr="00836251">
        <w:rPr>
          <w:rFonts w:ascii="Arial" w:eastAsia="Calibri" w:hAnsi="Arial" w:cs="Arial"/>
          <w:b/>
          <w:sz w:val="26"/>
          <w:szCs w:val="26"/>
        </w:rPr>
        <w:t xml:space="preserve">***********, </w:t>
      </w:r>
      <w:r w:rsidRPr="00755A32">
        <w:rPr>
          <w:rFonts w:ascii="Arial" w:hAnsi="Arial" w:cs="Arial"/>
          <w:bCs/>
          <w:i/>
          <w:sz w:val="24"/>
          <w:szCs w:val="24"/>
        </w:rPr>
        <w:t xml:space="preserve">debe obtener esas prestaciones evitando la discriminación; en consecuencia, se declara la </w:t>
      </w:r>
      <w:r w:rsidRPr="00755A32">
        <w:rPr>
          <w:rFonts w:ascii="Arial" w:hAnsi="Arial" w:cs="Arial"/>
          <w:b/>
          <w:i/>
          <w:sz w:val="24"/>
          <w:szCs w:val="24"/>
        </w:rPr>
        <w:t>NULIDAD</w:t>
      </w:r>
      <w:r w:rsidRPr="00755A32">
        <w:rPr>
          <w:rFonts w:ascii="Arial" w:hAnsi="Arial" w:cs="Arial"/>
          <w:bCs/>
          <w:i/>
          <w:sz w:val="24"/>
          <w:szCs w:val="24"/>
        </w:rPr>
        <w:t xml:space="preserve"> de los oficios </w:t>
      </w:r>
      <w:r w:rsidR="00411009" w:rsidRPr="00836251">
        <w:rPr>
          <w:rFonts w:ascii="Arial" w:eastAsia="Calibri" w:hAnsi="Arial" w:cs="Arial"/>
          <w:b/>
          <w:sz w:val="26"/>
          <w:szCs w:val="26"/>
        </w:rPr>
        <w:t>***********</w:t>
      </w:r>
      <w:r w:rsidRPr="00836251">
        <w:rPr>
          <w:rFonts w:ascii="Arial" w:hAnsi="Arial" w:cs="Arial"/>
          <w:b/>
          <w:bCs/>
          <w:i/>
          <w:sz w:val="24"/>
          <w:szCs w:val="24"/>
        </w:rPr>
        <w:t xml:space="preserve"> </w:t>
      </w:r>
      <w:r w:rsidRPr="00755A32">
        <w:rPr>
          <w:rFonts w:ascii="Arial" w:hAnsi="Arial" w:cs="Arial"/>
          <w:bCs/>
          <w:i/>
          <w:sz w:val="24"/>
          <w:szCs w:val="24"/>
        </w:rPr>
        <w:t xml:space="preserve">y </w:t>
      </w:r>
      <w:r w:rsidR="00411009" w:rsidRPr="00836251">
        <w:rPr>
          <w:rFonts w:ascii="Arial" w:eastAsia="Calibri" w:hAnsi="Arial" w:cs="Arial"/>
          <w:b/>
          <w:sz w:val="26"/>
          <w:szCs w:val="26"/>
        </w:rPr>
        <w:t>***********</w:t>
      </w:r>
      <w:r w:rsidRPr="00836251">
        <w:rPr>
          <w:rFonts w:ascii="Arial" w:hAnsi="Arial" w:cs="Arial"/>
          <w:b/>
          <w:bCs/>
          <w:i/>
          <w:sz w:val="24"/>
          <w:szCs w:val="24"/>
        </w:rPr>
        <w:t xml:space="preserve">, </w:t>
      </w:r>
      <w:r w:rsidRPr="00755A32">
        <w:rPr>
          <w:rFonts w:ascii="Arial" w:hAnsi="Arial" w:cs="Arial"/>
          <w:bCs/>
          <w:i/>
          <w:sz w:val="24"/>
          <w:szCs w:val="24"/>
        </w:rPr>
        <w:t xml:space="preserve">el primero de fecha veinte de diciembre  de dos mil dieciséis (20/12/2016), y el segundo de fecha treinta y uno de marzo de dos mil dieciséis (31/03/2016, emitidos ambos por el Director General de la Oficina de Pensiones del Estado de Oaxaca, así como del dictamen de pensión por jubilación expedido a favor del actor, emitido por el Consejo Directivo de Pensiones el veinte de diciembre  de dos mil dieciséis (20/12/2016), para el </w:t>
      </w:r>
      <w:r w:rsidRPr="00755A32">
        <w:rPr>
          <w:rFonts w:ascii="Arial" w:hAnsi="Arial" w:cs="Arial"/>
          <w:b/>
          <w:i/>
          <w:sz w:val="24"/>
          <w:szCs w:val="24"/>
        </w:rPr>
        <w:t>EFECTO</w:t>
      </w:r>
      <w:r w:rsidRPr="00755A32">
        <w:rPr>
          <w:rFonts w:ascii="Arial" w:hAnsi="Arial" w:cs="Arial"/>
          <w:bCs/>
          <w:i/>
          <w:sz w:val="24"/>
          <w:szCs w:val="24"/>
        </w:rPr>
        <w:t xml:space="preserve">, de que la autoridad demandada dicte otro, en el que además de la pensión por jubilación otorgada a favor del actor, conceda las prestaciones ya precisadas en esta resolución, lo anterior de conformidad con lo dispuesto en los artículos 207, 208, y 209 de la Ley de Procedimiento y Justicia Administrativa para el Estado de Oaxaca…”. </w:t>
      </w:r>
    </w:p>
    <w:p w14:paraId="59AE0156" w14:textId="0AEE59CF" w:rsidR="00EE3879" w:rsidRPr="005F37DF" w:rsidRDefault="00EE3879" w:rsidP="00EE3879">
      <w:pPr>
        <w:spacing w:line="360" w:lineRule="auto"/>
        <w:ind w:firstLine="705"/>
        <w:jc w:val="both"/>
        <w:rPr>
          <w:rFonts w:ascii="Arial" w:hAnsi="Arial" w:cs="Arial"/>
          <w:bCs/>
          <w:i/>
          <w:iCs/>
          <w:color w:val="000000"/>
          <w:sz w:val="26"/>
          <w:szCs w:val="26"/>
        </w:rPr>
      </w:pPr>
      <w:r w:rsidRPr="000F3EE5">
        <w:rPr>
          <w:rFonts w:ascii="Arial" w:hAnsi="Arial" w:cs="Arial"/>
          <w:b/>
          <w:color w:val="000000"/>
          <w:sz w:val="26"/>
          <w:szCs w:val="26"/>
        </w:rPr>
        <w:t>b)</w:t>
      </w:r>
      <w:r>
        <w:rPr>
          <w:rFonts w:ascii="Arial" w:hAnsi="Arial" w:cs="Arial"/>
          <w:bCs/>
          <w:color w:val="000000"/>
          <w:sz w:val="26"/>
          <w:szCs w:val="26"/>
        </w:rPr>
        <w:t xml:space="preserve"> El Director General y Apoderado Legal del Consejo Directivo de la Oficina de Pensiones del Estado de Oaxaca, en cumplimiento a la sentencia dictada por la resolutora de la Séptima Sala Unitaria de </w:t>
      </w:r>
      <w:r>
        <w:rPr>
          <w:rFonts w:ascii="Arial" w:hAnsi="Arial" w:cs="Arial"/>
          <w:bCs/>
          <w:color w:val="000000"/>
          <w:sz w:val="26"/>
          <w:szCs w:val="26"/>
        </w:rPr>
        <w:lastRenderedPageBreak/>
        <w:t>Primera Instancia, emitió el oficio</w:t>
      </w:r>
      <w:r w:rsidRPr="00836251">
        <w:rPr>
          <w:rFonts w:ascii="Arial" w:hAnsi="Arial" w:cs="Arial"/>
          <w:b/>
          <w:bCs/>
          <w:color w:val="000000"/>
          <w:sz w:val="26"/>
          <w:szCs w:val="26"/>
        </w:rPr>
        <w:t xml:space="preserve"> </w:t>
      </w:r>
      <w:r w:rsidR="00411009" w:rsidRPr="00836251">
        <w:rPr>
          <w:rFonts w:ascii="Arial" w:eastAsia="Calibri" w:hAnsi="Arial" w:cs="Arial"/>
          <w:b/>
          <w:sz w:val="26"/>
          <w:szCs w:val="26"/>
        </w:rPr>
        <w:t>***********</w:t>
      </w:r>
      <w:r w:rsidR="00411009">
        <w:rPr>
          <w:rFonts w:ascii="Arial" w:eastAsia="Calibri" w:hAnsi="Arial" w:cs="Arial"/>
          <w:sz w:val="26"/>
          <w:szCs w:val="26"/>
        </w:rPr>
        <w:t xml:space="preserve"> </w:t>
      </w:r>
      <w:r>
        <w:rPr>
          <w:rFonts w:ascii="Arial" w:hAnsi="Arial" w:cs="Arial"/>
          <w:bCs/>
          <w:color w:val="000000"/>
          <w:sz w:val="26"/>
          <w:szCs w:val="26"/>
        </w:rPr>
        <w:t xml:space="preserve">de fecha dos de abril de dos mil diecinueve, mediante el cual adjuntó copia certificada de los oficios </w:t>
      </w:r>
      <w:r w:rsidR="00411009" w:rsidRPr="00836251">
        <w:rPr>
          <w:rFonts w:ascii="Arial" w:eastAsia="Calibri" w:hAnsi="Arial" w:cs="Arial"/>
          <w:b/>
          <w:sz w:val="26"/>
          <w:szCs w:val="26"/>
        </w:rPr>
        <w:t xml:space="preserve">*********** </w:t>
      </w:r>
      <w:r>
        <w:rPr>
          <w:rFonts w:ascii="Arial" w:hAnsi="Arial" w:cs="Arial"/>
          <w:bCs/>
          <w:color w:val="000000"/>
          <w:sz w:val="26"/>
          <w:szCs w:val="26"/>
        </w:rPr>
        <w:t xml:space="preserve">de fecha veintisiete de marzo de dos mil diecinueve y del oficio </w:t>
      </w:r>
      <w:r w:rsidR="00411009" w:rsidRPr="00836251">
        <w:rPr>
          <w:rFonts w:ascii="Arial" w:eastAsia="Calibri" w:hAnsi="Arial" w:cs="Arial"/>
          <w:b/>
          <w:sz w:val="26"/>
          <w:szCs w:val="26"/>
        </w:rPr>
        <w:t>***********</w:t>
      </w:r>
      <w:r w:rsidR="00411009">
        <w:rPr>
          <w:rFonts w:ascii="Arial" w:eastAsia="Calibri" w:hAnsi="Arial" w:cs="Arial"/>
          <w:sz w:val="26"/>
          <w:szCs w:val="26"/>
        </w:rPr>
        <w:t xml:space="preserve"> </w:t>
      </w:r>
      <w:r>
        <w:rPr>
          <w:rFonts w:ascii="Arial" w:hAnsi="Arial" w:cs="Arial"/>
          <w:bCs/>
          <w:color w:val="000000"/>
          <w:sz w:val="26"/>
          <w:szCs w:val="26"/>
        </w:rPr>
        <w:t xml:space="preserve">de fecha veintinueve de marzo de dos mil diecinueve, precisando lo siguiente: </w:t>
      </w:r>
      <w:r w:rsidRPr="005F37DF">
        <w:rPr>
          <w:rFonts w:ascii="Arial" w:hAnsi="Arial" w:cs="Arial"/>
          <w:bCs/>
          <w:i/>
          <w:iCs/>
          <w:color w:val="000000"/>
          <w:sz w:val="24"/>
          <w:szCs w:val="24"/>
        </w:rPr>
        <w:t xml:space="preserve">“…En atención a su oficio </w:t>
      </w:r>
      <w:r w:rsidR="00411009" w:rsidRPr="00836251">
        <w:rPr>
          <w:rFonts w:ascii="Arial" w:eastAsia="Calibri" w:hAnsi="Arial" w:cs="Arial"/>
          <w:b/>
          <w:sz w:val="26"/>
          <w:szCs w:val="26"/>
        </w:rPr>
        <w:t>***********</w:t>
      </w:r>
      <w:r w:rsidR="00411009">
        <w:rPr>
          <w:rFonts w:ascii="Arial" w:eastAsia="Calibri" w:hAnsi="Arial" w:cs="Arial"/>
          <w:sz w:val="26"/>
          <w:szCs w:val="26"/>
        </w:rPr>
        <w:t xml:space="preserve"> </w:t>
      </w:r>
      <w:r w:rsidRPr="005F37DF">
        <w:rPr>
          <w:rFonts w:ascii="Arial" w:hAnsi="Arial" w:cs="Arial"/>
          <w:bCs/>
          <w:i/>
          <w:iCs/>
          <w:color w:val="000000"/>
          <w:sz w:val="24"/>
          <w:szCs w:val="24"/>
        </w:rPr>
        <w:t xml:space="preserve">de fecha veintinueve de marzo de dos mil diecinueve; mediante el cual requiere el cumplimiento de la sentencia de fecha veintiocho de febrero de dos mil diecinueve, adjunto al presente la siguiente documentación. 1. Copia certificada del oficio </w:t>
      </w:r>
      <w:r w:rsidR="00411009" w:rsidRPr="00836251">
        <w:rPr>
          <w:rFonts w:ascii="Arial" w:eastAsia="Calibri" w:hAnsi="Arial" w:cs="Arial"/>
          <w:b/>
          <w:sz w:val="26"/>
          <w:szCs w:val="26"/>
        </w:rPr>
        <w:t>***********</w:t>
      </w:r>
      <w:r w:rsidR="00411009">
        <w:rPr>
          <w:rFonts w:ascii="Arial" w:eastAsia="Calibri" w:hAnsi="Arial" w:cs="Arial"/>
          <w:sz w:val="26"/>
          <w:szCs w:val="26"/>
        </w:rPr>
        <w:t xml:space="preserve"> </w:t>
      </w:r>
      <w:r w:rsidRPr="005F37DF">
        <w:rPr>
          <w:rFonts w:ascii="Arial" w:hAnsi="Arial" w:cs="Arial"/>
          <w:bCs/>
          <w:i/>
          <w:iCs/>
          <w:color w:val="000000"/>
          <w:sz w:val="24"/>
          <w:szCs w:val="24"/>
        </w:rPr>
        <w:t xml:space="preserve">de fecha veintisiete de marzo de dos mil diecinueve, mediante el cual se han dejado sin efecto los oficios </w:t>
      </w:r>
      <w:r w:rsidR="00411009" w:rsidRPr="00836251">
        <w:rPr>
          <w:rFonts w:ascii="Arial" w:eastAsia="Calibri" w:hAnsi="Arial" w:cs="Arial"/>
          <w:b/>
          <w:sz w:val="26"/>
          <w:szCs w:val="26"/>
        </w:rPr>
        <w:t xml:space="preserve">*********** </w:t>
      </w:r>
      <w:r w:rsidRPr="005F37DF">
        <w:rPr>
          <w:rFonts w:ascii="Arial" w:hAnsi="Arial" w:cs="Arial"/>
          <w:bCs/>
          <w:i/>
          <w:iCs/>
          <w:color w:val="000000"/>
          <w:sz w:val="24"/>
          <w:szCs w:val="24"/>
        </w:rPr>
        <w:t xml:space="preserve">y </w:t>
      </w:r>
      <w:r w:rsidR="00411009" w:rsidRPr="00836251">
        <w:rPr>
          <w:rFonts w:ascii="Arial" w:eastAsia="Calibri" w:hAnsi="Arial" w:cs="Arial"/>
          <w:b/>
          <w:sz w:val="26"/>
          <w:szCs w:val="26"/>
        </w:rPr>
        <w:t>***********</w:t>
      </w:r>
      <w:r w:rsidRPr="00836251">
        <w:rPr>
          <w:rFonts w:ascii="Arial" w:hAnsi="Arial" w:cs="Arial"/>
          <w:b/>
          <w:bCs/>
          <w:i/>
          <w:iCs/>
          <w:color w:val="000000"/>
          <w:sz w:val="24"/>
          <w:szCs w:val="24"/>
        </w:rPr>
        <w:t>,</w:t>
      </w:r>
      <w:r w:rsidRPr="005F37DF">
        <w:rPr>
          <w:rFonts w:ascii="Arial" w:hAnsi="Arial" w:cs="Arial"/>
          <w:bCs/>
          <w:i/>
          <w:iCs/>
          <w:color w:val="000000"/>
          <w:sz w:val="24"/>
          <w:szCs w:val="24"/>
        </w:rPr>
        <w:t xml:space="preserve"> el primero de fecha veinte de diciembre  de dos mil dieciséis y el segundo de fecha treinta y uno de marzo de dos mil dieciséis</w:t>
      </w:r>
      <w:r w:rsidR="00411009">
        <w:rPr>
          <w:rFonts w:ascii="Arial" w:hAnsi="Arial" w:cs="Arial"/>
          <w:bCs/>
          <w:i/>
          <w:iCs/>
          <w:color w:val="000000"/>
          <w:sz w:val="24"/>
          <w:szCs w:val="24"/>
        </w:rPr>
        <w:t xml:space="preserve"> y se ordena pagar al ciudadano</w:t>
      </w:r>
      <w:r w:rsidRPr="005F37DF">
        <w:rPr>
          <w:rFonts w:ascii="Arial" w:hAnsi="Arial" w:cs="Arial"/>
          <w:bCs/>
          <w:i/>
          <w:iCs/>
          <w:color w:val="000000"/>
          <w:sz w:val="24"/>
          <w:szCs w:val="24"/>
        </w:rPr>
        <w:t xml:space="preserve"> </w:t>
      </w:r>
      <w:r w:rsidR="00411009" w:rsidRPr="00836251">
        <w:rPr>
          <w:rFonts w:ascii="Arial" w:eastAsia="Calibri" w:hAnsi="Arial" w:cs="Arial"/>
          <w:b/>
          <w:sz w:val="26"/>
          <w:szCs w:val="26"/>
        </w:rPr>
        <w:t>***********</w:t>
      </w:r>
      <w:r w:rsidR="00411009">
        <w:rPr>
          <w:rFonts w:ascii="Arial" w:eastAsia="Calibri" w:hAnsi="Arial" w:cs="Arial"/>
          <w:sz w:val="26"/>
          <w:szCs w:val="26"/>
        </w:rPr>
        <w:t xml:space="preserve"> </w:t>
      </w:r>
      <w:r w:rsidRPr="005F37DF">
        <w:rPr>
          <w:rFonts w:ascii="Arial" w:hAnsi="Arial" w:cs="Arial"/>
          <w:bCs/>
          <w:i/>
          <w:iCs/>
          <w:color w:val="000000"/>
          <w:sz w:val="24"/>
          <w:szCs w:val="24"/>
        </w:rPr>
        <w:t xml:space="preserve">una pensión del 100% del sueldo base integrándosele las prestaciones establecidas en el artículo 54 fracción I de la Ley de Pensiones para los Trabajadores del Gobierno del Estado de Oaxaca. 2. Copia certificada del oficio </w:t>
      </w:r>
      <w:r w:rsidR="00411009" w:rsidRPr="00836251">
        <w:rPr>
          <w:rFonts w:ascii="Arial" w:eastAsia="Calibri" w:hAnsi="Arial" w:cs="Arial"/>
          <w:b/>
          <w:sz w:val="26"/>
          <w:szCs w:val="26"/>
        </w:rPr>
        <w:t>***********</w:t>
      </w:r>
      <w:r w:rsidR="00411009">
        <w:rPr>
          <w:rFonts w:ascii="Arial" w:eastAsia="Calibri" w:hAnsi="Arial" w:cs="Arial"/>
          <w:sz w:val="26"/>
          <w:szCs w:val="26"/>
        </w:rPr>
        <w:t xml:space="preserve"> </w:t>
      </w:r>
      <w:r w:rsidRPr="005F37DF">
        <w:rPr>
          <w:rFonts w:ascii="Arial" w:hAnsi="Arial" w:cs="Arial"/>
          <w:bCs/>
          <w:i/>
          <w:iCs/>
          <w:color w:val="000000"/>
          <w:sz w:val="24"/>
          <w:szCs w:val="24"/>
        </w:rPr>
        <w:t>de fecha veintinueve de marzo de 2019, mediante el cual hago de su conocimiento que a partir del próximo pago de pensión se integran las prestaciones establecidas en el artículo 54 de la Ley de Pensiones para los Trabajadores del Gobierno del Estado de Oaxaca; no obstante lo anterior, informo que en virtud de que la nómina correspondiente al mes de abril del presente año ya fue pagada el último días del mes inmediato anterior de conformidad con lo dispuesto por el artículo 52 del Reglamento de Operación de la Oficina de Pensiones; como consecuencia las prestaciones serán integradas a partir del pago de pensión del mes de mayo de 2019. Respecto al aguinaldo, estímulo del día del jubilado, día de las madres y canasta navideña, se informa que dichos conceptos ya han sido pagados en tiempo y en forma en los periodos correspondientes…”</w:t>
      </w:r>
      <w:r w:rsidRPr="005F37DF">
        <w:rPr>
          <w:rFonts w:ascii="Arial" w:hAnsi="Arial" w:cs="Arial"/>
          <w:bCs/>
          <w:i/>
          <w:iCs/>
          <w:color w:val="000000"/>
          <w:sz w:val="26"/>
          <w:szCs w:val="26"/>
        </w:rPr>
        <w:t xml:space="preserve">. - - - - - - </w:t>
      </w:r>
    </w:p>
    <w:p w14:paraId="03761511" w14:textId="6806F949" w:rsidR="00EE3879" w:rsidRPr="005F37DF" w:rsidRDefault="00EE3879" w:rsidP="00EE3879">
      <w:pPr>
        <w:spacing w:line="360" w:lineRule="auto"/>
        <w:ind w:firstLine="705"/>
        <w:jc w:val="both"/>
        <w:rPr>
          <w:rFonts w:ascii="Arial" w:hAnsi="Arial" w:cs="Arial"/>
          <w:bCs/>
          <w:i/>
          <w:iCs/>
          <w:color w:val="000000"/>
          <w:sz w:val="24"/>
          <w:szCs w:val="24"/>
        </w:rPr>
      </w:pPr>
      <w:r w:rsidRPr="005F37DF">
        <w:rPr>
          <w:rFonts w:ascii="Arial" w:hAnsi="Arial" w:cs="Arial"/>
          <w:bCs/>
          <w:i/>
          <w:iCs/>
          <w:color w:val="000000"/>
          <w:sz w:val="26"/>
          <w:szCs w:val="26"/>
        </w:rPr>
        <w:t xml:space="preserve">c) La resolución de fecha ocho de octubre de dos mil veinte, emitida por la Sala Unitaria de Primera Instancia, resolvió lo siguiente: </w:t>
      </w:r>
      <w:r w:rsidRPr="005F37DF">
        <w:rPr>
          <w:rFonts w:ascii="Arial" w:hAnsi="Arial" w:cs="Arial"/>
          <w:bCs/>
          <w:i/>
          <w:iCs/>
          <w:color w:val="000000"/>
          <w:sz w:val="24"/>
          <w:szCs w:val="24"/>
        </w:rPr>
        <w:t xml:space="preserve">“…Conforme a la transcripción se obtiene que en la sentencia se estableció que debían pagarse a </w:t>
      </w:r>
      <w:r w:rsidR="00411009" w:rsidRPr="00836251">
        <w:rPr>
          <w:rFonts w:ascii="Arial" w:eastAsia="Calibri" w:hAnsi="Arial" w:cs="Arial"/>
          <w:b/>
          <w:sz w:val="26"/>
          <w:szCs w:val="26"/>
        </w:rPr>
        <w:t xml:space="preserve">*********** </w:t>
      </w:r>
      <w:r w:rsidRPr="005F37DF">
        <w:rPr>
          <w:rFonts w:ascii="Arial" w:hAnsi="Arial" w:cs="Arial"/>
          <w:bCs/>
          <w:i/>
          <w:iCs/>
          <w:color w:val="000000"/>
          <w:sz w:val="24"/>
          <w:szCs w:val="24"/>
        </w:rPr>
        <w:t xml:space="preserve">las prestaciones consistentes en previsión social múltiple, despensa, vida cara, quinquenios, aguinaldo, estímulo del día del jubilado, día de las madres y canasta navideña, al haber inaplicado el artículo  54, fracción I de la Ley de Pensiones para los Trabajadores del Gobierno del Estado de Oaxaca que considera que dichas prestaciones son exclusivas de los trabajadores de base, y la citada sentencia, como quedó anotado en los resultandos causó estado el veintiuno de marzo de dos mil diecinueve, quedando firmes las determinaciones en ellas contenidas. Y, de la sentencia en comento, no se desprende que se haya establecido que la demandada debía pagar al actor las prestaciones que condenó desde el año </w:t>
      </w:r>
      <w:r w:rsidRPr="005F37DF">
        <w:rPr>
          <w:rFonts w:ascii="Arial" w:hAnsi="Arial" w:cs="Arial"/>
          <w:bCs/>
          <w:i/>
          <w:iCs/>
          <w:color w:val="000000"/>
          <w:sz w:val="24"/>
          <w:szCs w:val="24"/>
        </w:rPr>
        <w:lastRenderedPageBreak/>
        <w:t xml:space="preserve">dos mil dieciséis, ni la parte actora solicitó aclaración o interpuso en su caso recurso de revisión para inconformarse de esta situación. Es pertinente precisar que la sentencia al haber quedado firme, es cosa juzgada, por tanto, no es posible que sea modificada a estas alturas del juicio. Con base en lo anterior y dado que el pago como lo indica la parte actora, es decir, el pago de las prestaciones otorgadas no comprende desde el año dos mil dieciséis no fue delimitado por la sentencia, resulta improcedente la queja…”. - - - - - - - - - </w:t>
      </w:r>
    </w:p>
    <w:p w14:paraId="6412D1F7" w14:textId="77777777" w:rsidR="00EE3879" w:rsidRDefault="00EE3879" w:rsidP="00EE3879">
      <w:pPr>
        <w:spacing w:line="360" w:lineRule="auto"/>
        <w:jc w:val="both"/>
        <w:rPr>
          <w:rFonts w:ascii="Arial" w:hAnsi="Arial" w:cs="Arial"/>
          <w:bCs/>
          <w:color w:val="000000"/>
          <w:sz w:val="26"/>
          <w:szCs w:val="26"/>
        </w:rPr>
      </w:pPr>
      <w:r w:rsidRPr="00BA7740">
        <w:rPr>
          <w:rFonts w:ascii="Arial" w:hAnsi="Arial" w:cs="Arial"/>
          <w:b/>
          <w:color w:val="000000"/>
          <w:sz w:val="26"/>
          <w:szCs w:val="26"/>
        </w:rPr>
        <w:t xml:space="preserve">      Antes</w:t>
      </w:r>
      <w:r w:rsidRPr="0074744C">
        <w:rPr>
          <w:rFonts w:ascii="Arial" w:hAnsi="Arial" w:cs="Arial"/>
          <w:bCs/>
          <w:color w:val="000000"/>
          <w:sz w:val="26"/>
          <w:szCs w:val="26"/>
        </w:rPr>
        <w:t xml:space="preserve"> de iniciar con el estudio de fondo del presente recurso de revisión, es necesario precisar que esta Sala de alzada debe suplir la deficiencia de los agravios de la recurrente, </w:t>
      </w:r>
      <w:r>
        <w:rPr>
          <w:rFonts w:ascii="Arial" w:hAnsi="Arial" w:cs="Arial"/>
          <w:bCs/>
          <w:color w:val="000000"/>
          <w:sz w:val="26"/>
          <w:szCs w:val="26"/>
        </w:rPr>
        <w:t xml:space="preserve"> ya que dicha obligación no se agota con motivo de la jubilación o retiro, sino que incluso se agudizan; por ello, en los asuntos donde se controvierta el otorgamiento y los ajustes de pensiones, así como cualquier otra prestación derivada de éstas, la autoridad jurisdiccional queda obligada a suplir la deficiencia de la queja, en la inteligencia de que este deber sólo tiene razón de ser, cuando existan causas jurídicamente válidas para preservar u otorgar algún derecho. - - - - - - - - - - - - - - - - - - - - - - - - - - - - - - - - - - - - - - - - -</w:t>
      </w:r>
    </w:p>
    <w:p w14:paraId="410DD1B0" w14:textId="77777777" w:rsidR="00EE3879" w:rsidRDefault="00EE3879" w:rsidP="00EE3879">
      <w:pPr>
        <w:spacing w:line="360" w:lineRule="auto"/>
        <w:jc w:val="both"/>
        <w:rPr>
          <w:rFonts w:ascii="Arial" w:hAnsi="Arial" w:cs="Arial"/>
          <w:bCs/>
          <w:color w:val="000000"/>
          <w:sz w:val="26"/>
          <w:szCs w:val="26"/>
        </w:rPr>
      </w:pPr>
      <w:r>
        <w:rPr>
          <w:rFonts w:ascii="Arial" w:hAnsi="Arial" w:cs="Arial"/>
          <w:bCs/>
          <w:color w:val="000000"/>
          <w:sz w:val="26"/>
          <w:szCs w:val="26"/>
        </w:rPr>
        <w:t xml:space="preserve">       Sirve de orientación para esta consideración, la Tesis Aislada 2a. XCV/2014 de la Décima Época, publicada por la Segunda Sala de la Suprema Corte de Justicia de la Nación, en la Gaceta del Semanario Judicial , Libro 11, Octubre de 2014, Tomo I, página 1106, con registro digital 2007681, de rubro y texto siguiente:</w:t>
      </w:r>
    </w:p>
    <w:p w14:paraId="4A32286D" w14:textId="77777777" w:rsidR="00EE3879" w:rsidRPr="001B1DC7" w:rsidRDefault="00EE3879" w:rsidP="00EE3879">
      <w:pPr>
        <w:ind w:left="567" w:right="333"/>
        <w:jc w:val="both"/>
        <w:rPr>
          <w:rFonts w:ascii="Arial" w:hAnsi="Arial" w:cs="Arial"/>
          <w:b/>
          <w:i/>
          <w:iCs/>
          <w:color w:val="000000"/>
          <w:sz w:val="24"/>
          <w:szCs w:val="24"/>
        </w:rPr>
      </w:pPr>
      <w:r w:rsidRPr="001B1DC7">
        <w:rPr>
          <w:rFonts w:ascii="Arial" w:hAnsi="Arial" w:cs="Arial"/>
          <w:bCs/>
          <w:i/>
          <w:iCs/>
          <w:color w:val="000000"/>
          <w:sz w:val="24"/>
          <w:szCs w:val="24"/>
        </w:rPr>
        <w:t>“</w:t>
      </w:r>
      <w:r w:rsidRPr="001B1DC7">
        <w:rPr>
          <w:rFonts w:ascii="Arial" w:hAnsi="Arial" w:cs="Arial"/>
          <w:b/>
          <w:i/>
          <w:iCs/>
          <w:color w:val="000000"/>
          <w:sz w:val="24"/>
          <w:szCs w:val="24"/>
        </w:rPr>
        <w:t xml:space="preserve">SUPLENCIA DE LA QUEJA DEFICIENTE EN MATERIA LABORAL. OPERA EN FAVOR DE LOS PENSIONADOS Y DE SUS BENEFICIARIOS. </w:t>
      </w:r>
      <w:r w:rsidRPr="001B1DC7">
        <w:rPr>
          <w:rFonts w:ascii="Arial" w:hAnsi="Arial" w:cs="Arial"/>
          <w:bCs/>
          <w:i/>
          <w:iCs/>
          <w:color w:val="000000"/>
          <w:sz w:val="24"/>
          <w:szCs w:val="24"/>
        </w:rPr>
        <w:t>Conforme al artículo 79, fracción V, de la Ley de Amparo, la autoridad que conozca del juicio deberá suplir la deficiencia de los conceptos de violación o agravios, en materia laboral, en favor del trabajador, con independencia de que la relación entre empleador y empleado esté regulada por el derecho laboral o por el administrativo; de lo cual se deduce que si bien esta norma se refiere a determinados sujetos y a dos tipos de relaciones jurídicas específicas, como son, por un lado, las personas que cumplen con su deber social y su derecho al trabajo y, por otra, quienes las emplean, ya sea dentro de un vínculo laboral o de orden administrativo, lo cierto es que las razones que en estos supuestos inspiran la obligación del órgano de amparo para suplir la deficiencia de la queja a favor del trabajador no se agotan con motivo de la jubilación o retiro de quien había estado subordinado a un empleador, pues las causas que originaron el auxilio que la ley les brindaba durante su época laboralmente activa no sólo se mantienen, sino que incluso se agudizan, porque lo habitual es que como pensionistas sus ingresos se reduzcan y, con ello, la posibilidad de contar con asesoría legal adecuada. Así, esta Segunda Sala determina que tratándose de juicios de amparo deducidos de asuntos laborales o contencioso-</w:t>
      </w:r>
      <w:r w:rsidRPr="001B1DC7">
        <w:rPr>
          <w:rFonts w:ascii="Arial" w:hAnsi="Arial" w:cs="Arial"/>
          <w:bCs/>
          <w:i/>
          <w:iCs/>
          <w:color w:val="000000"/>
          <w:sz w:val="24"/>
          <w:szCs w:val="24"/>
        </w:rPr>
        <w:lastRenderedPageBreak/>
        <w:t>administrativos, en los que se controviertan el otorgamiento y los ajustes de pensiones, así como de cualquiera otra prestación derivada de éstas, ya sea por los interesados o por sus beneficiarios, el órgano de amparo queda obligado a suplir la deficiencia de la queja en favor de los demandantes de tales pretensiones, en la inteligencia de que este deber sólo tiene razón de ser cuando existan causas jurídicamente válidas para preservar u otorgar algún derecho, pues si el juzgador no advierte que dicha suplencia lo conduzca a esta finalidad provechosa para el particular, bastará con que así lo declare sin necesidad de que haga un estudio oficioso del asunto, el cual, por carecer de un sentido práctico, sólo entorpecería la pronta solución del litigio en perjuicio de los propios justiciables.”</w:t>
      </w:r>
    </w:p>
    <w:p w14:paraId="0145AF20" w14:textId="6454512D" w:rsidR="00EE3879" w:rsidRDefault="00EE3879" w:rsidP="00EE3879">
      <w:pPr>
        <w:spacing w:line="360" w:lineRule="auto"/>
        <w:ind w:firstLine="705"/>
        <w:jc w:val="both"/>
        <w:rPr>
          <w:rFonts w:ascii="Arial" w:hAnsi="Arial" w:cs="Arial"/>
          <w:bCs/>
          <w:color w:val="000000"/>
          <w:sz w:val="26"/>
          <w:szCs w:val="26"/>
        </w:rPr>
      </w:pPr>
      <w:r w:rsidRPr="001F7EFD">
        <w:rPr>
          <w:rFonts w:ascii="Arial" w:hAnsi="Arial" w:cs="Arial"/>
          <w:b/>
          <w:color w:val="000000"/>
          <w:sz w:val="26"/>
          <w:szCs w:val="26"/>
        </w:rPr>
        <w:t>Es sustancialmente fundado el agravio</w:t>
      </w:r>
      <w:r>
        <w:rPr>
          <w:rFonts w:ascii="Arial" w:hAnsi="Arial" w:cs="Arial"/>
          <w:bCs/>
          <w:color w:val="000000"/>
          <w:sz w:val="26"/>
          <w:szCs w:val="26"/>
        </w:rPr>
        <w:t xml:space="preserve"> esgrimido por el actor, por las siguientes </w:t>
      </w:r>
      <w:r w:rsidR="00791866">
        <w:rPr>
          <w:rFonts w:ascii="Arial" w:hAnsi="Arial" w:cs="Arial"/>
          <w:bCs/>
          <w:color w:val="000000"/>
          <w:sz w:val="26"/>
          <w:szCs w:val="26"/>
        </w:rPr>
        <w:t>consideraciones: -</w:t>
      </w:r>
      <w:r w:rsidR="00B56B19">
        <w:rPr>
          <w:rFonts w:ascii="Arial" w:hAnsi="Arial" w:cs="Arial"/>
          <w:bCs/>
          <w:color w:val="000000"/>
          <w:sz w:val="26"/>
          <w:szCs w:val="26"/>
        </w:rPr>
        <w:t xml:space="preserve"> - - - - - - - - - - - - - - - - - - - - - - - - -</w:t>
      </w:r>
    </w:p>
    <w:p w14:paraId="695C03B6" w14:textId="77777777" w:rsidR="00EE3879" w:rsidRDefault="00EE3879" w:rsidP="00EE3879">
      <w:pPr>
        <w:spacing w:line="360" w:lineRule="auto"/>
        <w:ind w:firstLine="705"/>
        <w:jc w:val="both"/>
        <w:rPr>
          <w:rFonts w:ascii="Arial" w:hAnsi="Arial" w:cs="Arial"/>
          <w:bCs/>
          <w:color w:val="000000"/>
          <w:sz w:val="26"/>
          <w:szCs w:val="26"/>
        </w:rPr>
      </w:pPr>
      <w:r>
        <w:rPr>
          <w:rFonts w:ascii="Arial" w:hAnsi="Arial" w:cs="Arial"/>
          <w:bCs/>
          <w:color w:val="000000"/>
          <w:sz w:val="26"/>
          <w:szCs w:val="26"/>
        </w:rPr>
        <w:t xml:space="preserve">De la confrontación que se realiza entre dichas actuaciones, se advierte que la resolución del recurso de queja impugnada, carece de una debida fundamentación y motivación; esto es así, porque en la parte conclusiva de su resolución, </w:t>
      </w:r>
      <w:r w:rsidRPr="000F6328">
        <w:rPr>
          <w:rFonts w:ascii="Arial" w:hAnsi="Arial" w:cs="Arial"/>
          <w:bCs/>
          <w:color w:val="000000"/>
          <w:sz w:val="26"/>
          <w:szCs w:val="26"/>
        </w:rPr>
        <w:t>no fundó debidamente su determinación</w:t>
      </w:r>
      <w:r>
        <w:rPr>
          <w:rFonts w:ascii="Arial" w:hAnsi="Arial" w:cs="Arial"/>
          <w:bCs/>
          <w:color w:val="000000"/>
          <w:sz w:val="26"/>
          <w:szCs w:val="26"/>
        </w:rPr>
        <w:t xml:space="preserve"> para resolver que es improcedente el recurso de queja, al señalar que la parte actora no solicitó aclaración o interpuso recurso de revisión para inconformarse de la sentencia, es decir, no invocó precepto legal o criterio jurídico alguno para apoyar el sentido de su determinación, dejando en estado de indefensión al actor. - - - - - - - - - - - - - - - - - - - - - </w:t>
      </w:r>
    </w:p>
    <w:p w14:paraId="0A0759F4" w14:textId="77777777" w:rsidR="00EE3879" w:rsidRPr="003F6D21" w:rsidRDefault="00EE3879" w:rsidP="00EE3879">
      <w:pPr>
        <w:tabs>
          <w:tab w:val="left" w:pos="6663"/>
        </w:tabs>
        <w:spacing w:line="360" w:lineRule="auto"/>
        <w:ind w:firstLine="567"/>
        <w:jc w:val="both"/>
        <w:rPr>
          <w:rFonts w:ascii="Arial" w:hAnsi="Arial" w:cs="Arial"/>
          <w:sz w:val="26"/>
          <w:szCs w:val="26"/>
        </w:rPr>
      </w:pPr>
      <w:r>
        <w:rPr>
          <w:rFonts w:ascii="Arial" w:hAnsi="Arial" w:cs="Arial"/>
          <w:sz w:val="26"/>
          <w:szCs w:val="26"/>
        </w:rPr>
        <w:t>Sirve de apoyo para esta consideración,</w:t>
      </w:r>
      <w:r w:rsidRPr="003F6D21">
        <w:rPr>
          <w:rFonts w:ascii="Arial" w:hAnsi="Arial" w:cs="Arial"/>
          <w:sz w:val="26"/>
          <w:szCs w:val="26"/>
        </w:rPr>
        <w:t xml:space="preserve"> el criterio establecido por la Segunda Sala de la Suprema Corte de Justicia de la Nación mediante tesis Jurisprudencial publicada en la página 143 del Semanario Judicial de la Federación, Séptima Época</w:t>
      </w:r>
      <w:r>
        <w:rPr>
          <w:rFonts w:ascii="Arial" w:hAnsi="Arial" w:cs="Arial"/>
          <w:sz w:val="26"/>
          <w:szCs w:val="26"/>
        </w:rPr>
        <w:t>, con registro digital 238212,</w:t>
      </w:r>
      <w:r w:rsidRPr="003F6D21">
        <w:rPr>
          <w:rFonts w:ascii="Arial" w:hAnsi="Arial" w:cs="Arial"/>
          <w:sz w:val="26"/>
          <w:szCs w:val="26"/>
        </w:rPr>
        <w:t xml:space="preserve"> de rubro y texto siguiente:</w:t>
      </w:r>
    </w:p>
    <w:p w14:paraId="571295BE" w14:textId="77777777" w:rsidR="00EE3879" w:rsidRPr="001B1DC7" w:rsidRDefault="00EE3879" w:rsidP="00EE3879">
      <w:pPr>
        <w:tabs>
          <w:tab w:val="left" w:pos="6663"/>
        </w:tabs>
        <w:ind w:left="709" w:right="616" w:hanging="1"/>
        <w:jc w:val="both"/>
        <w:rPr>
          <w:rFonts w:ascii="Arial" w:hAnsi="Arial" w:cs="Arial"/>
          <w:b/>
          <w:i/>
          <w:iCs/>
          <w:sz w:val="24"/>
          <w:szCs w:val="24"/>
        </w:rPr>
      </w:pPr>
      <w:r w:rsidRPr="001B1DC7">
        <w:rPr>
          <w:rFonts w:ascii="Arial" w:hAnsi="Arial" w:cs="Arial"/>
          <w:b/>
          <w:i/>
          <w:iCs/>
          <w:sz w:val="24"/>
          <w:szCs w:val="24"/>
        </w:rPr>
        <w:t xml:space="preserve">“FUNDAMENTACION Y MOTIVACION. </w:t>
      </w:r>
      <w:r w:rsidRPr="001B1DC7">
        <w:rPr>
          <w:rFonts w:ascii="Arial" w:hAnsi="Arial" w:cs="Arial"/>
          <w:i/>
          <w:iCs/>
          <w:sz w:val="24"/>
          <w:szCs w:val="24"/>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F078B63" w14:textId="319DEB3D" w:rsidR="00EE3879" w:rsidRPr="00DE44C7" w:rsidRDefault="00EE3879" w:rsidP="00EE3879">
      <w:pPr>
        <w:spacing w:line="360" w:lineRule="auto"/>
        <w:ind w:firstLine="705"/>
        <w:jc w:val="both"/>
        <w:rPr>
          <w:rFonts w:ascii="Arial" w:hAnsi="Arial" w:cs="Arial"/>
          <w:sz w:val="26"/>
          <w:szCs w:val="26"/>
        </w:rPr>
      </w:pPr>
      <w:r>
        <w:rPr>
          <w:rFonts w:ascii="Arial" w:hAnsi="Arial" w:cs="Arial"/>
          <w:bCs/>
          <w:color w:val="000000"/>
          <w:sz w:val="26"/>
          <w:szCs w:val="26"/>
        </w:rPr>
        <w:t>Asimismo, como bien lo señala el actor en su alegaciones, la Sala de Primera Instancia inobservó lo establecido en la fracción II</w:t>
      </w:r>
      <w:r>
        <w:rPr>
          <w:rStyle w:val="Refdenotaalpie"/>
          <w:rFonts w:ascii="Arial" w:hAnsi="Arial" w:cs="Arial"/>
          <w:bCs/>
          <w:color w:val="000000"/>
          <w:sz w:val="26"/>
          <w:szCs w:val="26"/>
        </w:rPr>
        <w:footnoteReference w:id="2"/>
      </w:r>
      <w:r>
        <w:rPr>
          <w:rFonts w:ascii="Arial" w:hAnsi="Arial" w:cs="Arial"/>
          <w:bCs/>
          <w:color w:val="000000"/>
          <w:sz w:val="26"/>
          <w:szCs w:val="26"/>
        </w:rPr>
        <w:t xml:space="preserve">, del </w:t>
      </w:r>
      <w:r>
        <w:rPr>
          <w:rFonts w:ascii="Arial" w:hAnsi="Arial" w:cs="Arial"/>
          <w:bCs/>
          <w:color w:val="000000"/>
          <w:sz w:val="26"/>
          <w:szCs w:val="26"/>
        </w:rPr>
        <w:lastRenderedPageBreak/>
        <w:t xml:space="preserve">artículo  8, de la Ley de Justicia Administrativa para el Estado de Oaxaca, que establece claramente que cuando </w:t>
      </w:r>
      <w:r w:rsidRPr="0044410C">
        <w:rPr>
          <w:rFonts w:ascii="Arial" w:hAnsi="Arial" w:cs="Arial"/>
          <w:sz w:val="26"/>
          <w:szCs w:val="26"/>
        </w:rPr>
        <w:t>se declare</w:t>
      </w:r>
      <w:r>
        <w:t xml:space="preserve"> </w:t>
      </w:r>
      <w:r w:rsidRPr="0044410C">
        <w:rPr>
          <w:rFonts w:ascii="Arial" w:hAnsi="Arial" w:cs="Arial"/>
          <w:sz w:val="26"/>
          <w:szCs w:val="26"/>
        </w:rPr>
        <w:t>que el acto administrativo</w:t>
      </w:r>
      <w:r>
        <w:rPr>
          <w:rFonts w:ascii="Arial" w:hAnsi="Arial" w:cs="Arial"/>
          <w:sz w:val="26"/>
          <w:szCs w:val="26"/>
        </w:rPr>
        <w:t xml:space="preserve"> es</w:t>
      </w:r>
      <w:r>
        <w:t xml:space="preserve"> </w:t>
      </w:r>
      <w:r w:rsidRPr="0044410C">
        <w:rPr>
          <w:rFonts w:ascii="Arial" w:hAnsi="Arial" w:cs="Arial"/>
          <w:sz w:val="26"/>
          <w:szCs w:val="26"/>
        </w:rPr>
        <w:t>jurídicamente nulo será inválido</w:t>
      </w:r>
      <w:r>
        <w:rPr>
          <w:rFonts w:ascii="Arial" w:hAnsi="Arial" w:cs="Arial"/>
          <w:sz w:val="26"/>
          <w:szCs w:val="26"/>
        </w:rPr>
        <w:t xml:space="preserve"> y que dicha</w:t>
      </w:r>
      <w:r w:rsidRPr="0044410C">
        <w:rPr>
          <w:rFonts w:ascii="Arial" w:hAnsi="Arial" w:cs="Arial"/>
          <w:sz w:val="26"/>
          <w:szCs w:val="26"/>
        </w:rPr>
        <w:t xml:space="preserve"> declaración de nulidad producirá efectos retroactivos</w:t>
      </w:r>
      <w:r>
        <w:rPr>
          <w:rFonts w:ascii="Arial" w:hAnsi="Arial" w:cs="Arial"/>
          <w:sz w:val="26"/>
          <w:szCs w:val="26"/>
        </w:rPr>
        <w:t>, es decir, la nulidad se da en el dictado de una sentencia favorable</w:t>
      </w:r>
      <w:r>
        <w:rPr>
          <w:rStyle w:val="Refdenotaalpie"/>
          <w:rFonts w:ascii="Arial" w:hAnsi="Arial" w:cs="Arial"/>
          <w:sz w:val="26"/>
          <w:szCs w:val="26"/>
        </w:rPr>
        <w:footnoteReference w:id="3"/>
      </w:r>
      <w:r>
        <w:rPr>
          <w:rFonts w:ascii="Arial" w:hAnsi="Arial" w:cs="Arial"/>
          <w:sz w:val="26"/>
          <w:szCs w:val="26"/>
        </w:rPr>
        <w:t>, que resuelve de manera absoluta la pretensión de la parte actora y que le otorga el máximo beneficio sin posibilidad de una afectación posterior; por ello, ante la nulidad del dictamen respectivo, la autoridad demandada debió conceder las prestaciones comprendidas en la fracción I, del artículo 54 de la Ley de Pensiones para los Trabajadores del Gobierno del Estado de Oaxaca, a partir de la fecha en que el actor recibió su primer pago como jubilado de confianza. -desde el mes de julio de dos mil dieciséis-</w:t>
      </w:r>
    </w:p>
    <w:p w14:paraId="5F7B4E59" w14:textId="77777777" w:rsidR="00EE3879" w:rsidRDefault="00EE3879" w:rsidP="00EE3879">
      <w:pPr>
        <w:spacing w:line="360" w:lineRule="auto"/>
        <w:ind w:firstLine="705"/>
        <w:jc w:val="both"/>
        <w:rPr>
          <w:rFonts w:ascii="Arial" w:hAnsi="Arial" w:cs="Arial"/>
          <w:bCs/>
          <w:color w:val="000000"/>
          <w:sz w:val="26"/>
          <w:szCs w:val="26"/>
        </w:rPr>
      </w:pPr>
      <w:r>
        <w:rPr>
          <w:rFonts w:ascii="Arial" w:hAnsi="Arial" w:cs="Arial"/>
          <w:bCs/>
          <w:color w:val="000000"/>
          <w:sz w:val="26"/>
          <w:szCs w:val="26"/>
        </w:rPr>
        <w:t>Sirve de orientación, la tesis aislada I.4o.A.455 A, publicada por los Tribunales Colegiados de Circuito en el Tomo XX, Diciembre de 2004, página 1454 del Semanario Judicial de la Federación y su Gaceta, Novena Época, con registro digital 179740, de rubro y texto siguiente:</w:t>
      </w:r>
    </w:p>
    <w:p w14:paraId="18799010" w14:textId="5B50396D" w:rsidR="00EE3879" w:rsidRPr="00460CD3" w:rsidRDefault="00EE3879" w:rsidP="00EE3879">
      <w:pPr>
        <w:tabs>
          <w:tab w:val="left" w:pos="7655"/>
        </w:tabs>
        <w:ind w:left="426" w:right="616"/>
        <w:jc w:val="both"/>
        <w:rPr>
          <w:rFonts w:ascii="Arial" w:hAnsi="Arial" w:cs="Arial"/>
          <w:b/>
          <w:i/>
          <w:iCs/>
          <w:color w:val="000000"/>
          <w:sz w:val="24"/>
          <w:szCs w:val="24"/>
        </w:rPr>
      </w:pPr>
      <w:r w:rsidRPr="00460CD3">
        <w:rPr>
          <w:rFonts w:ascii="Arial" w:hAnsi="Arial" w:cs="Arial"/>
          <w:b/>
          <w:i/>
          <w:iCs/>
          <w:color w:val="000000"/>
          <w:sz w:val="24"/>
          <w:szCs w:val="24"/>
        </w:rPr>
        <w:t xml:space="preserve"> </w:t>
      </w:r>
      <w:r w:rsidRPr="00460CD3">
        <w:rPr>
          <w:rFonts w:ascii="Arial" w:hAnsi="Arial" w:cs="Arial"/>
          <w:bCs/>
          <w:i/>
          <w:iCs/>
          <w:color w:val="000000"/>
          <w:sz w:val="24"/>
          <w:szCs w:val="24"/>
        </w:rPr>
        <w:t>“</w:t>
      </w:r>
      <w:r w:rsidRPr="00460CD3">
        <w:rPr>
          <w:rFonts w:ascii="Arial" w:hAnsi="Arial" w:cs="Arial"/>
          <w:b/>
          <w:i/>
          <w:iCs/>
          <w:color w:val="000000"/>
          <w:sz w:val="24"/>
          <w:szCs w:val="24"/>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460CD3">
        <w:rPr>
          <w:rFonts w:ascii="Arial" w:hAnsi="Arial" w:cs="Arial"/>
          <w:bCs/>
          <w:i/>
          <w:iCs/>
          <w:color w:val="000000"/>
          <w:sz w:val="24"/>
          <w:szCs w:val="24"/>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w:t>
      </w:r>
      <w:r w:rsidRPr="00460CD3">
        <w:rPr>
          <w:rFonts w:ascii="Arial" w:hAnsi="Arial" w:cs="Arial"/>
          <w:bCs/>
          <w:i/>
          <w:iCs/>
          <w:color w:val="000000"/>
          <w:sz w:val="24"/>
          <w:szCs w:val="24"/>
          <w:u w:val="single"/>
        </w:rPr>
        <w:t>En efecto, la nulidad de la resolución impugnada que priva al actor de sus derechos de manera ilegal, necesariamente debe tener como efecto su restitución pues, de no ser así, no tendría sentido la declaración de nulidad</w:t>
      </w:r>
      <w:r w:rsidRPr="00460CD3">
        <w:rPr>
          <w:rFonts w:ascii="Arial" w:hAnsi="Arial" w:cs="Arial"/>
          <w:bCs/>
          <w:i/>
          <w:iCs/>
          <w:color w:val="000000"/>
          <w:sz w:val="24"/>
          <w:szCs w:val="24"/>
        </w:rPr>
        <w:t>.” -el subrayado es nuestro-</w:t>
      </w:r>
    </w:p>
    <w:p w14:paraId="0A988697" w14:textId="77777777" w:rsidR="00EE3879" w:rsidRPr="00FD4DEC" w:rsidRDefault="00EE3879" w:rsidP="00EE3879">
      <w:pPr>
        <w:spacing w:line="360" w:lineRule="auto"/>
        <w:ind w:firstLine="705"/>
        <w:jc w:val="both"/>
        <w:rPr>
          <w:rFonts w:ascii="Arial" w:hAnsi="Arial" w:cs="Arial"/>
          <w:bCs/>
          <w:color w:val="000000"/>
          <w:sz w:val="26"/>
          <w:szCs w:val="26"/>
        </w:rPr>
      </w:pPr>
      <w:r w:rsidRPr="00BA7740">
        <w:rPr>
          <w:rFonts w:ascii="Arial" w:hAnsi="Arial" w:cs="Arial"/>
          <w:b/>
          <w:color w:val="000000"/>
          <w:sz w:val="26"/>
          <w:szCs w:val="26"/>
        </w:rPr>
        <w:lastRenderedPageBreak/>
        <w:t>Aunando a lo anterior</w:t>
      </w:r>
      <w:r w:rsidRPr="00FD4DEC">
        <w:rPr>
          <w:rFonts w:ascii="Arial" w:hAnsi="Arial" w:cs="Arial"/>
          <w:bCs/>
          <w:color w:val="000000"/>
          <w:sz w:val="26"/>
          <w:szCs w:val="26"/>
        </w:rPr>
        <w:t>, es necesario</w:t>
      </w:r>
      <w:r w:rsidRPr="00FD4DEC">
        <w:rPr>
          <w:rFonts w:ascii="Arial" w:hAnsi="Arial" w:cs="Arial"/>
          <w:sz w:val="26"/>
          <w:szCs w:val="26"/>
        </w:rPr>
        <w:t xml:space="preserve"> observar el artículo 1°, párrafos primero</w:t>
      </w:r>
      <w:r>
        <w:rPr>
          <w:rFonts w:ascii="Arial" w:hAnsi="Arial" w:cs="Arial"/>
          <w:sz w:val="26"/>
          <w:szCs w:val="26"/>
        </w:rPr>
        <w:t>,</w:t>
      </w:r>
      <w:r w:rsidRPr="00FD4DEC">
        <w:rPr>
          <w:rFonts w:ascii="Arial" w:hAnsi="Arial" w:cs="Arial"/>
          <w:sz w:val="26"/>
          <w:szCs w:val="26"/>
        </w:rPr>
        <w:t xml:space="preserve"> y segundo, de la Constitución Política de los Estados Unidos Mexicanos, establece:</w:t>
      </w:r>
    </w:p>
    <w:p w14:paraId="186FFAFE" w14:textId="77777777" w:rsidR="00EE3879" w:rsidRPr="00AA3F54" w:rsidRDefault="00EE3879" w:rsidP="00EE3879">
      <w:pPr>
        <w:spacing w:after="0"/>
        <w:ind w:left="567" w:right="616" w:firstLine="567"/>
        <w:jc w:val="both"/>
        <w:rPr>
          <w:rFonts w:ascii="Arial" w:hAnsi="Arial" w:cs="Arial"/>
          <w:i/>
          <w:sz w:val="24"/>
          <w:szCs w:val="24"/>
        </w:rPr>
      </w:pPr>
      <w:r w:rsidRPr="00AA3F54">
        <w:rPr>
          <w:rFonts w:ascii="Arial" w:hAnsi="Arial" w:cs="Arial"/>
          <w:i/>
          <w:sz w:val="24"/>
          <w:szCs w:val="24"/>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AFC953A" w14:textId="77777777" w:rsidR="00EE3879" w:rsidRPr="00AA3F54" w:rsidRDefault="00EE3879" w:rsidP="00EE3879">
      <w:pPr>
        <w:spacing w:after="0"/>
        <w:ind w:left="567" w:right="616" w:firstLine="567"/>
        <w:jc w:val="both"/>
        <w:rPr>
          <w:rFonts w:ascii="Arial" w:hAnsi="Arial" w:cs="Arial"/>
          <w:i/>
          <w:sz w:val="24"/>
          <w:szCs w:val="24"/>
        </w:rPr>
      </w:pPr>
    </w:p>
    <w:p w14:paraId="66F59953" w14:textId="77777777" w:rsidR="00EE3879" w:rsidRPr="00AA3F54" w:rsidRDefault="00EE3879" w:rsidP="00EE3879">
      <w:pPr>
        <w:spacing w:after="0"/>
        <w:ind w:left="567" w:right="616" w:firstLine="567"/>
        <w:jc w:val="both"/>
        <w:rPr>
          <w:rFonts w:ascii="Arial" w:hAnsi="Arial" w:cs="Arial"/>
          <w:i/>
          <w:sz w:val="24"/>
          <w:szCs w:val="24"/>
        </w:rPr>
      </w:pPr>
      <w:r w:rsidRPr="00AA3F54">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7707FB63" w14:textId="77777777" w:rsidR="00EE3879" w:rsidRPr="00874097" w:rsidRDefault="00EE3879" w:rsidP="00EE3879">
      <w:pPr>
        <w:spacing w:after="0"/>
        <w:jc w:val="both"/>
        <w:rPr>
          <w:rFonts w:ascii="Arial" w:hAnsi="Arial" w:cs="Arial"/>
        </w:rPr>
      </w:pPr>
    </w:p>
    <w:p w14:paraId="0843F6EF" w14:textId="77777777" w:rsidR="00EE3879" w:rsidRPr="00FD4DEC" w:rsidRDefault="00EE3879" w:rsidP="00EE3879">
      <w:pPr>
        <w:spacing w:after="0" w:line="360" w:lineRule="auto"/>
        <w:ind w:firstLine="567"/>
        <w:jc w:val="both"/>
        <w:rPr>
          <w:rFonts w:ascii="Arial" w:hAnsi="Arial" w:cs="Arial"/>
          <w:b/>
          <w:color w:val="FF0000"/>
          <w:sz w:val="26"/>
          <w:szCs w:val="26"/>
        </w:rPr>
      </w:pPr>
      <w:r w:rsidRPr="00FD4DEC">
        <w:rPr>
          <w:rFonts w:ascii="Arial" w:hAnsi="Arial" w:cs="Arial"/>
          <w:sz w:val="26"/>
          <w:szCs w:val="26"/>
        </w:rPr>
        <w:t xml:space="preserve"> Por lo que, las normas relativas a los derechos humanos en el ámbito de nuestra competencia, es obligación de esta autoridad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FD4DEC">
        <w:rPr>
          <w:rFonts w:ascii="Arial" w:hAnsi="Arial" w:cs="Arial"/>
          <w:bCs/>
          <w:sz w:val="26"/>
          <w:szCs w:val="26"/>
        </w:rPr>
        <w:t xml:space="preserve">principio </w:t>
      </w:r>
      <w:r>
        <w:rPr>
          <w:rFonts w:ascii="Arial" w:hAnsi="Arial" w:cs="Arial"/>
          <w:bCs/>
          <w:sz w:val="26"/>
          <w:szCs w:val="26"/>
        </w:rPr>
        <w:t>P</w:t>
      </w:r>
      <w:r w:rsidRPr="00FD4DEC">
        <w:rPr>
          <w:rFonts w:ascii="Arial" w:hAnsi="Arial" w:cs="Arial"/>
          <w:bCs/>
          <w:sz w:val="26"/>
          <w:szCs w:val="26"/>
        </w:rPr>
        <w:t>ro-</w:t>
      </w:r>
      <w:r>
        <w:rPr>
          <w:rFonts w:ascii="Arial" w:hAnsi="Arial" w:cs="Arial"/>
          <w:bCs/>
          <w:sz w:val="26"/>
          <w:szCs w:val="26"/>
        </w:rPr>
        <w:t>P</w:t>
      </w:r>
      <w:r w:rsidRPr="00FD4DEC">
        <w:rPr>
          <w:rFonts w:ascii="Arial" w:hAnsi="Arial" w:cs="Arial"/>
          <w:bCs/>
          <w:sz w:val="26"/>
          <w:szCs w:val="26"/>
        </w:rPr>
        <w:t>ersona.</w:t>
      </w:r>
      <w:r w:rsidRPr="00FD4DEC">
        <w:rPr>
          <w:rFonts w:ascii="Arial" w:hAnsi="Arial" w:cs="Arial"/>
          <w:b/>
          <w:sz w:val="26"/>
          <w:szCs w:val="26"/>
        </w:rPr>
        <w:t xml:space="preserve"> </w:t>
      </w:r>
      <w:r w:rsidRPr="00FD4DEC">
        <w:rPr>
          <w:rFonts w:ascii="Arial" w:hAnsi="Arial" w:cs="Arial"/>
          <w:sz w:val="26"/>
          <w:szCs w:val="26"/>
        </w:rPr>
        <w:t xml:space="preserve">- - - - - - - - - - - - - - - - - - - - - - - - - - - - - - - - - - - - </w:t>
      </w:r>
    </w:p>
    <w:p w14:paraId="3264ECF1" w14:textId="77777777" w:rsidR="00EE3879" w:rsidRPr="00FD4DEC" w:rsidRDefault="00EE3879" w:rsidP="00EE3879">
      <w:pPr>
        <w:spacing w:after="0"/>
        <w:jc w:val="both"/>
        <w:rPr>
          <w:rFonts w:ascii="Arial" w:hAnsi="Arial" w:cs="Arial"/>
          <w:sz w:val="26"/>
          <w:szCs w:val="26"/>
        </w:rPr>
      </w:pPr>
    </w:p>
    <w:p w14:paraId="64E2A347" w14:textId="473CA0DD" w:rsidR="00EE3879" w:rsidRPr="00FD4DEC" w:rsidRDefault="00EE3879" w:rsidP="00EE3879">
      <w:pPr>
        <w:spacing w:after="0"/>
        <w:ind w:firstLine="567"/>
        <w:jc w:val="both"/>
        <w:rPr>
          <w:rFonts w:ascii="Arial" w:hAnsi="Arial" w:cs="Arial"/>
          <w:sz w:val="26"/>
          <w:szCs w:val="26"/>
        </w:rPr>
      </w:pPr>
      <w:r w:rsidRPr="00FD4DEC">
        <w:rPr>
          <w:rFonts w:ascii="Arial" w:hAnsi="Arial" w:cs="Arial"/>
          <w:sz w:val="26"/>
          <w:szCs w:val="26"/>
        </w:rPr>
        <w:t xml:space="preserve">Es aplicable al caso la jurisprudencia de la Suprema Corte de Justicia, con número de registro 2002000, de la Décima Época, Instancia: Primera Sala, Fuente: Semanario Judicial de la Federación y su Gaceta Libro XIII, Octubre de 2012, Tomo 2, Materia (s): Constitucional, Tesis: 1 a./J. 107/2012 (10 a.), pagina 799, con el rubro y texto siguiente: </w:t>
      </w:r>
      <w:r w:rsidR="008D1747">
        <w:rPr>
          <w:rFonts w:ascii="Arial" w:hAnsi="Arial" w:cs="Arial"/>
          <w:sz w:val="26"/>
          <w:szCs w:val="26"/>
        </w:rPr>
        <w:t>- - - - - - - - - - - - - - - - - - - - - - - - - - - - - - - - - - - - - - - -</w:t>
      </w:r>
    </w:p>
    <w:p w14:paraId="659ED0CE" w14:textId="77777777" w:rsidR="00EE3879" w:rsidRPr="00874097" w:rsidRDefault="00EE3879" w:rsidP="00EE3879">
      <w:pPr>
        <w:spacing w:after="0"/>
        <w:jc w:val="both"/>
        <w:rPr>
          <w:rFonts w:ascii="Arial" w:hAnsi="Arial" w:cs="Arial"/>
        </w:rPr>
      </w:pPr>
    </w:p>
    <w:p w14:paraId="18BD4BE6" w14:textId="77777777" w:rsidR="00EE3879" w:rsidRPr="00456513" w:rsidRDefault="00EE3879" w:rsidP="00EE3879">
      <w:pPr>
        <w:spacing w:after="0"/>
        <w:ind w:left="567" w:right="616"/>
        <w:jc w:val="both"/>
        <w:rPr>
          <w:rFonts w:ascii="Arial" w:hAnsi="Arial" w:cs="Arial"/>
          <w:i/>
          <w:sz w:val="24"/>
          <w:szCs w:val="24"/>
        </w:rPr>
      </w:pPr>
      <w:r w:rsidRPr="00456513">
        <w:rPr>
          <w:rFonts w:ascii="Arial" w:hAnsi="Arial" w:cs="Arial"/>
          <w:i/>
          <w:sz w:val="24"/>
          <w:szCs w:val="24"/>
        </w:rPr>
        <w:t>“</w:t>
      </w:r>
      <w:r w:rsidRPr="00456513">
        <w:rPr>
          <w:rFonts w:ascii="Arial" w:hAnsi="Arial" w:cs="Arial"/>
          <w:b/>
          <w:i/>
          <w:sz w:val="24"/>
          <w:szCs w:val="24"/>
        </w:rPr>
        <w:t>PRINCIPIO PRO PERSONA. CRITERIO DE SELECCIÓN DE LA NORMA DE DERECHO FUNDAMENTAL APLICABLE.</w:t>
      </w:r>
      <w:r w:rsidRPr="00456513">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w:t>
      </w:r>
      <w:r w:rsidRPr="00456513">
        <w:rPr>
          <w:rFonts w:ascii="Arial" w:hAnsi="Arial" w:cs="Arial"/>
          <w:i/>
          <w:sz w:val="24"/>
          <w:szCs w:val="24"/>
        </w:rPr>
        <w:lastRenderedPageBreak/>
        <w:t xml:space="preserve">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456513">
        <w:rPr>
          <w:rFonts w:ascii="Arial" w:hAnsi="Arial" w:cs="Arial"/>
          <w:i/>
          <w:sz w:val="24"/>
          <w:szCs w:val="24"/>
        </w:rPr>
        <w:t>pro</w:t>
      </w:r>
      <w:proofErr w:type="spellEnd"/>
      <w:r w:rsidRPr="00456513">
        <w:rPr>
          <w:rFonts w:ascii="Arial" w:hAnsi="Arial" w:cs="Arial"/>
          <w:i/>
          <w:sz w:val="24"/>
          <w:szCs w:val="24"/>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311580F6" w14:textId="77777777" w:rsidR="00EE3879" w:rsidRPr="00874097" w:rsidRDefault="00EE3879" w:rsidP="00EE3879">
      <w:pPr>
        <w:spacing w:after="0"/>
        <w:jc w:val="both"/>
        <w:rPr>
          <w:rFonts w:ascii="Arial" w:hAnsi="Arial" w:cs="Arial"/>
        </w:rPr>
      </w:pPr>
    </w:p>
    <w:p w14:paraId="21011F02" w14:textId="77777777" w:rsidR="00EE3879" w:rsidRPr="00B3357D" w:rsidRDefault="00EE3879" w:rsidP="00EE3879">
      <w:pPr>
        <w:spacing w:after="0" w:line="360" w:lineRule="auto"/>
        <w:ind w:firstLine="567"/>
        <w:jc w:val="both"/>
        <w:rPr>
          <w:rFonts w:ascii="Arial" w:hAnsi="Arial" w:cs="Arial"/>
          <w:sz w:val="26"/>
          <w:szCs w:val="26"/>
        </w:rPr>
      </w:pPr>
      <w:r w:rsidRPr="00264243">
        <w:rPr>
          <w:rFonts w:ascii="Arial" w:hAnsi="Arial" w:cs="Arial"/>
          <w:sz w:val="26"/>
          <w:szCs w:val="26"/>
        </w:rPr>
        <w:t xml:space="preserve">En tal virtud, conforme en el artículo 1° Constitucional, y en cumplimiento al principio </w:t>
      </w:r>
      <w:r w:rsidRPr="00264243">
        <w:rPr>
          <w:rFonts w:ascii="Arial" w:hAnsi="Arial" w:cs="Arial"/>
          <w:b/>
          <w:i/>
          <w:sz w:val="26"/>
          <w:szCs w:val="26"/>
        </w:rPr>
        <w:t>pro persona</w:t>
      </w:r>
      <w:r w:rsidRPr="00264243">
        <w:rPr>
          <w:rFonts w:ascii="Arial" w:hAnsi="Arial" w:cs="Arial"/>
          <w:sz w:val="26"/>
          <w:szCs w:val="26"/>
        </w:rPr>
        <w:t xml:space="preserve"> que implica que la interpretación jurídica siempre debe buscar el mayor beneficio para la persona, acudiendo a la norma más amplia o a la </w:t>
      </w:r>
      <w:r w:rsidRPr="00264243">
        <w:rPr>
          <w:rFonts w:ascii="Arial" w:hAnsi="Arial" w:cs="Arial"/>
          <w:b/>
          <w:sz w:val="26"/>
          <w:szCs w:val="26"/>
        </w:rPr>
        <w:t xml:space="preserve">interpretación más favorable, </w:t>
      </w:r>
      <w:r w:rsidRPr="00264243">
        <w:rPr>
          <w:rFonts w:ascii="Arial" w:hAnsi="Arial" w:cs="Arial"/>
          <w:sz w:val="26"/>
          <w:szCs w:val="26"/>
        </w:rPr>
        <w:t>cuando se trata de derechos protegidos</w:t>
      </w:r>
      <w:r>
        <w:rPr>
          <w:rFonts w:ascii="Arial" w:hAnsi="Arial" w:cs="Arial"/>
          <w:sz w:val="26"/>
          <w:szCs w:val="26"/>
        </w:rPr>
        <w:t>, porque toda persona tiene derecho a disfrutar de una seguridad social que le proteja contra de las consecuencias de la vejez, para obtener los medios para llevar una vida digna y decorosa;</w:t>
      </w:r>
      <w:r w:rsidRPr="00264243">
        <w:rPr>
          <w:rFonts w:ascii="Arial" w:hAnsi="Arial" w:cs="Arial"/>
          <w:sz w:val="26"/>
          <w:szCs w:val="26"/>
        </w:rPr>
        <w:t xml:space="preserve"> </w:t>
      </w:r>
      <w:r>
        <w:rPr>
          <w:rFonts w:ascii="Arial" w:hAnsi="Arial" w:cs="Arial"/>
          <w:sz w:val="26"/>
          <w:szCs w:val="26"/>
        </w:rPr>
        <w:t xml:space="preserve">por lo que </w:t>
      </w:r>
      <w:r w:rsidRPr="00264243">
        <w:rPr>
          <w:rFonts w:ascii="Arial" w:hAnsi="Arial" w:cs="Arial"/>
          <w:sz w:val="26"/>
          <w:szCs w:val="26"/>
        </w:rPr>
        <w:t>es indudable que la determinación de la Primera Sala Unitaria de Primera Instancia al declarar cumplida la sentencia en l</w:t>
      </w:r>
      <w:r>
        <w:rPr>
          <w:rFonts w:ascii="Arial" w:hAnsi="Arial" w:cs="Arial"/>
          <w:sz w:val="26"/>
          <w:szCs w:val="26"/>
        </w:rPr>
        <w:t>a</w:t>
      </w:r>
      <w:r w:rsidRPr="00264243">
        <w:rPr>
          <w:rFonts w:ascii="Arial" w:hAnsi="Arial" w:cs="Arial"/>
          <w:sz w:val="26"/>
          <w:szCs w:val="26"/>
        </w:rPr>
        <w:t xml:space="preserve"> resolución del recurso de queja</w:t>
      </w:r>
      <w:r>
        <w:rPr>
          <w:rFonts w:ascii="Arial" w:hAnsi="Arial" w:cs="Arial"/>
          <w:sz w:val="26"/>
          <w:szCs w:val="26"/>
        </w:rPr>
        <w:t>,</w:t>
      </w:r>
      <w:r w:rsidRPr="00264243">
        <w:rPr>
          <w:rFonts w:ascii="Arial" w:hAnsi="Arial" w:cs="Arial"/>
          <w:sz w:val="26"/>
          <w:szCs w:val="26"/>
        </w:rPr>
        <w:t xml:space="preserve"> sin que se le haya pagado al actor de forma retroactiva las prestaciones </w:t>
      </w:r>
      <w:r>
        <w:rPr>
          <w:rFonts w:ascii="Arial" w:hAnsi="Arial" w:cs="Arial"/>
          <w:sz w:val="26"/>
          <w:szCs w:val="26"/>
        </w:rPr>
        <w:t xml:space="preserve">que le concedió, </w:t>
      </w:r>
      <w:r w:rsidRPr="00264243">
        <w:rPr>
          <w:rFonts w:ascii="Arial" w:hAnsi="Arial" w:cs="Arial"/>
          <w:sz w:val="26"/>
          <w:szCs w:val="26"/>
        </w:rPr>
        <w:t>previstas en la fracción I, del artículo 54, de la Ley de Pensiones para los Trabajadores del Gobierno del Estado de Oaxaca</w:t>
      </w:r>
      <w:r>
        <w:rPr>
          <w:rFonts w:ascii="Arial" w:hAnsi="Arial" w:cs="Arial"/>
          <w:sz w:val="26"/>
          <w:szCs w:val="26"/>
        </w:rPr>
        <w:t>,</w:t>
      </w:r>
      <w:r w:rsidRPr="00264243">
        <w:rPr>
          <w:rFonts w:ascii="Arial" w:hAnsi="Arial" w:cs="Arial"/>
          <w:sz w:val="26"/>
          <w:szCs w:val="26"/>
        </w:rPr>
        <w:t xml:space="preserve"> </w:t>
      </w:r>
      <w:r w:rsidRPr="00264243">
        <w:rPr>
          <w:rFonts w:ascii="Arial" w:hAnsi="Arial" w:cs="Arial"/>
          <w:b/>
          <w:sz w:val="26"/>
          <w:szCs w:val="26"/>
        </w:rPr>
        <w:t>es violatori</w:t>
      </w:r>
      <w:r>
        <w:rPr>
          <w:rFonts w:ascii="Arial" w:hAnsi="Arial" w:cs="Arial"/>
          <w:b/>
          <w:sz w:val="26"/>
          <w:szCs w:val="26"/>
        </w:rPr>
        <w:t>a</w:t>
      </w:r>
      <w:r w:rsidRPr="00264243">
        <w:rPr>
          <w:rFonts w:ascii="Arial" w:hAnsi="Arial" w:cs="Arial"/>
          <w:b/>
          <w:sz w:val="26"/>
          <w:szCs w:val="26"/>
        </w:rPr>
        <w:t xml:space="preserve"> de los derechos humanos contenidos en la Constitución Federal</w:t>
      </w:r>
      <w:r>
        <w:rPr>
          <w:rFonts w:ascii="Arial" w:hAnsi="Arial" w:cs="Arial"/>
          <w:sz w:val="26"/>
          <w:szCs w:val="26"/>
        </w:rPr>
        <w:t xml:space="preserve"> </w:t>
      </w:r>
      <w:r w:rsidRPr="00B3357D">
        <w:rPr>
          <w:rFonts w:ascii="Arial" w:hAnsi="Arial" w:cs="Arial"/>
          <w:b/>
          <w:bCs/>
          <w:sz w:val="26"/>
          <w:szCs w:val="26"/>
        </w:rPr>
        <w:t>y, en la Convención Americana sobre Derechos Humanos</w:t>
      </w:r>
      <w:r>
        <w:rPr>
          <w:rFonts w:ascii="Arial" w:hAnsi="Arial" w:cs="Arial"/>
          <w:b/>
          <w:bCs/>
          <w:sz w:val="26"/>
          <w:szCs w:val="26"/>
        </w:rPr>
        <w:t>,</w:t>
      </w:r>
      <w:r w:rsidRPr="00264243">
        <w:rPr>
          <w:rFonts w:ascii="Arial" w:hAnsi="Arial" w:cs="Arial"/>
          <w:sz w:val="26"/>
          <w:szCs w:val="26"/>
        </w:rPr>
        <w:t xml:space="preserve"> </w:t>
      </w:r>
      <w:r w:rsidRPr="0042210D">
        <w:rPr>
          <w:rFonts w:ascii="Arial" w:hAnsi="Arial" w:cs="Arial"/>
          <w:sz w:val="24"/>
          <w:szCs w:val="24"/>
        </w:rPr>
        <w:t xml:space="preserve">que en su artículo 25, numeral 1, señala: </w:t>
      </w:r>
      <w:r w:rsidRPr="0042210D">
        <w:rPr>
          <w:rFonts w:ascii="Arial" w:hAnsi="Arial" w:cs="Arial"/>
          <w:i/>
          <w:iCs/>
          <w:sz w:val="24"/>
          <w:szCs w:val="24"/>
        </w:rPr>
        <w:t>“Artículo 25. Protección Judicial. 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 - - - - - - - - - - - - - - - - - - -</w:t>
      </w:r>
    </w:p>
    <w:p w14:paraId="430F47B3" w14:textId="77777777" w:rsidR="00EE3879" w:rsidRDefault="00EE3879" w:rsidP="00EE3879">
      <w:pPr>
        <w:spacing w:before="240" w:line="360" w:lineRule="auto"/>
        <w:ind w:right="49" w:firstLine="709"/>
        <w:jc w:val="both"/>
        <w:rPr>
          <w:rFonts w:ascii="Arial" w:eastAsia="Times New Roman" w:hAnsi="Arial" w:cs="Arial"/>
          <w:sz w:val="26"/>
          <w:szCs w:val="26"/>
          <w:lang w:eastAsia="es-ES"/>
        </w:rPr>
      </w:pPr>
      <w:r w:rsidRPr="005A0CF1">
        <w:rPr>
          <w:rFonts w:ascii="Arial" w:eastAsia="Times New Roman" w:hAnsi="Arial" w:cs="Arial"/>
          <w:color w:val="000000" w:themeColor="text1"/>
          <w:sz w:val="26"/>
          <w:szCs w:val="26"/>
          <w:lang w:eastAsia="es-ES"/>
        </w:rPr>
        <w:t xml:space="preserve">Bajo esa </w:t>
      </w:r>
      <w:r w:rsidRPr="005A0CF1">
        <w:rPr>
          <w:rFonts w:ascii="Arial" w:eastAsia="Times New Roman" w:hAnsi="Arial" w:cs="Arial"/>
          <w:sz w:val="26"/>
          <w:szCs w:val="26"/>
          <w:lang w:eastAsia="es-ES"/>
        </w:rPr>
        <w:t xml:space="preserve">tesitura, </w:t>
      </w:r>
      <w:r w:rsidRPr="00482C4A">
        <w:rPr>
          <w:rFonts w:ascii="Arial" w:eastAsia="Times New Roman" w:hAnsi="Arial" w:cs="Arial"/>
          <w:b/>
          <w:bCs/>
          <w:sz w:val="26"/>
          <w:szCs w:val="26"/>
          <w:lang w:eastAsia="es-ES"/>
        </w:rPr>
        <w:t>resulta ilegal la improcedencia del recurso de queja</w:t>
      </w:r>
      <w:r>
        <w:rPr>
          <w:rFonts w:ascii="Arial" w:eastAsia="Times New Roman" w:hAnsi="Arial" w:cs="Arial"/>
          <w:sz w:val="26"/>
          <w:szCs w:val="26"/>
          <w:lang w:eastAsia="es-ES"/>
        </w:rPr>
        <w:t xml:space="preserve"> dictada por el resolutor de la Primera Sala Unitaria de Primera Instancia con fecha ocho de octubre de dos mil veinte y, que declaró cumplida la sentencia de veintiocho de febrero de dos mil diecinueve emitida en el juicio de nulidad de origen 76/2020; por tanto</w:t>
      </w:r>
      <w:r w:rsidRPr="005A0CF1">
        <w:rPr>
          <w:rFonts w:ascii="Arial" w:eastAsia="Times New Roman" w:hAnsi="Arial" w:cs="Arial"/>
          <w:sz w:val="26"/>
          <w:szCs w:val="26"/>
          <w:lang w:eastAsia="es-ES"/>
        </w:rPr>
        <w:t xml:space="preserve">, a efecto de reparar el agravio causado al recurrente, lo procedente es </w:t>
      </w:r>
      <w:r>
        <w:rPr>
          <w:rFonts w:ascii="Arial" w:eastAsia="Times New Roman" w:hAnsi="Arial" w:cs="Arial"/>
          <w:b/>
          <w:sz w:val="26"/>
          <w:szCs w:val="26"/>
          <w:lang w:eastAsia="es-ES"/>
        </w:rPr>
        <w:t xml:space="preserve">REVOCAR </w:t>
      </w:r>
      <w:r>
        <w:rPr>
          <w:rFonts w:ascii="Arial" w:eastAsia="Times New Roman" w:hAnsi="Arial" w:cs="Arial"/>
          <w:b/>
          <w:bCs/>
          <w:sz w:val="26"/>
          <w:szCs w:val="26"/>
          <w:lang w:eastAsia="es-ES"/>
        </w:rPr>
        <w:t>la resolución</w:t>
      </w:r>
      <w:r w:rsidRPr="00770F7F">
        <w:rPr>
          <w:rFonts w:ascii="Arial" w:eastAsia="Times New Roman" w:hAnsi="Arial" w:cs="Arial"/>
          <w:b/>
          <w:bCs/>
          <w:sz w:val="26"/>
          <w:szCs w:val="26"/>
          <w:lang w:eastAsia="es-ES"/>
        </w:rPr>
        <w:t xml:space="preserve"> impugnad</w:t>
      </w:r>
      <w:r>
        <w:rPr>
          <w:rFonts w:ascii="Arial" w:eastAsia="Times New Roman" w:hAnsi="Arial" w:cs="Arial"/>
          <w:b/>
          <w:bCs/>
          <w:sz w:val="26"/>
          <w:szCs w:val="26"/>
          <w:lang w:eastAsia="es-ES"/>
        </w:rPr>
        <w:t>a</w:t>
      </w:r>
      <w:r w:rsidRPr="005A0CF1">
        <w:rPr>
          <w:rFonts w:ascii="Arial" w:eastAsia="Times New Roman" w:hAnsi="Arial" w:cs="Arial"/>
          <w:sz w:val="26"/>
          <w:szCs w:val="26"/>
          <w:lang w:eastAsia="es-ES"/>
        </w:rPr>
        <w:t xml:space="preserve"> materia del presente recurso</w:t>
      </w:r>
      <w:r>
        <w:rPr>
          <w:rFonts w:ascii="Arial" w:eastAsia="Times New Roman" w:hAnsi="Arial" w:cs="Arial"/>
          <w:sz w:val="26"/>
          <w:szCs w:val="26"/>
          <w:lang w:eastAsia="es-ES"/>
        </w:rPr>
        <w:t xml:space="preserve"> y, en </w:t>
      </w:r>
      <w:r>
        <w:rPr>
          <w:rFonts w:ascii="Arial" w:eastAsia="Times New Roman" w:hAnsi="Arial" w:cs="Arial"/>
          <w:sz w:val="26"/>
          <w:szCs w:val="26"/>
          <w:lang w:eastAsia="es-ES"/>
        </w:rPr>
        <w:lastRenderedPageBreak/>
        <w:t xml:space="preserve">consecuencia </w:t>
      </w:r>
      <w:r w:rsidRPr="00682E6C">
        <w:rPr>
          <w:rFonts w:ascii="Arial" w:eastAsia="Times New Roman" w:hAnsi="Arial" w:cs="Arial"/>
          <w:b/>
          <w:bCs/>
          <w:sz w:val="26"/>
          <w:szCs w:val="26"/>
          <w:lang w:eastAsia="es-ES"/>
        </w:rPr>
        <w:t>no se tiene por cumplida la sentencia</w:t>
      </w:r>
      <w:r>
        <w:rPr>
          <w:rFonts w:ascii="Arial" w:eastAsia="Times New Roman" w:hAnsi="Arial" w:cs="Arial"/>
          <w:sz w:val="26"/>
          <w:szCs w:val="26"/>
          <w:lang w:eastAsia="es-ES"/>
        </w:rPr>
        <w:t xml:space="preserve">, al no haber pagado la autoridad demandada al actor de forma retroactiva las prestaciones establecidas en la fracción I, del artículo 54, de la Ley de Pensiones de los Trabajadores del Gobierno del Estado de Oaxaca, es decir, desde el mes de julio de dos mil dieciséis al mes de abril de dos mil diecinueve. - - - - - - - - - - - - - - - - - - - - - - - - - - - - - - - - - - - - - -  - - </w:t>
      </w:r>
    </w:p>
    <w:p w14:paraId="3C3E6BCE" w14:textId="3BA36817" w:rsidR="00EE3879" w:rsidRDefault="00EE3879" w:rsidP="00EE3879">
      <w:pPr>
        <w:spacing w:before="240" w:line="360" w:lineRule="auto"/>
        <w:ind w:right="49" w:firstLine="709"/>
        <w:jc w:val="both"/>
        <w:rPr>
          <w:rFonts w:ascii="Arial" w:eastAsia="Times New Roman" w:hAnsi="Arial" w:cs="Arial"/>
          <w:sz w:val="26"/>
          <w:szCs w:val="26"/>
          <w:lang w:eastAsia="es-ES"/>
        </w:rPr>
      </w:pPr>
      <w:r w:rsidRPr="00682E6C">
        <w:rPr>
          <w:rFonts w:ascii="Arial" w:eastAsia="Times New Roman" w:hAnsi="Arial" w:cs="Arial"/>
          <w:sz w:val="26"/>
          <w:szCs w:val="26"/>
          <w:lang w:eastAsia="es-ES"/>
        </w:rPr>
        <w:t xml:space="preserve">Es entonces, que </w:t>
      </w:r>
      <w:r w:rsidRPr="00682E6C">
        <w:rPr>
          <w:rFonts w:ascii="Arial" w:hAnsi="Arial" w:cs="Arial"/>
          <w:sz w:val="26"/>
          <w:szCs w:val="26"/>
        </w:rPr>
        <w:t xml:space="preserve">con fundamento en el artículo 213 de la Ley de Procedimiento y Justicia Administrativa para el Estado de Oaxaca, </w:t>
      </w:r>
      <w:r w:rsidRPr="00682E6C">
        <w:rPr>
          <w:rFonts w:ascii="Arial" w:hAnsi="Arial" w:cs="Arial"/>
          <w:b/>
          <w:sz w:val="26"/>
          <w:szCs w:val="26"/>
        </w:rPr>
        <w:t xml:space="preserve">se requiere a la autoridad demandada para que dentro del plazo de veinticuatro horas </w:t>
      </w:r>
      <w:r w:rsidRPr="00682E6C">
        <w:rPr>
          <w:rFonts w:ascii="Arial" w:hAnsi="Arial" w:cs="Arial"/>
          <w:sz w:val="26"/>
          <w:szCs w:val="26"/>
        </w:rPr>
        <w:t>contadas a partir de la hora en que quede legalmente notificad</w:t>
      </w:r>
      <w:r>
        <w:rPr>
          <w:rFonts w:ascii="Arial" w:hAnsi="Arial" w:cs="Arial"/>
          <w:sz w:val="26"/>
          <w:szCs w:val="26"/>
        </w:rPr>
        <w:t xml:space="preserve">a, </w:t>
      </w:r>
      <w:r w:rsidRPr="00C83587">
        <w:rPr>
          <w:rFonts w:ascii="Arial" w:hAnsi="Arial" w:cs="Arial"/>
          <w:b/>
          <w:bCs/>
          <w:sz w:val="26"/>
          <w:szCs w:val="26"/>
        </w:rPr>
        <w:t xml:space="preserve">para que pague </w:t>
      </w:r>
      <w:r>
        <w:rPr>
          <w:rFonts w:ascii="Arial" w:hAnsi="Arial" w:cs="Arial"/>
          <w:b/>
          <w:bCs/>
          <w:sz w:val="26"/>
          <w:szCs w:val="26"/>
        </w:rPr>
        <w:t xml:space="preserve">de forma retroactiva </w:t>
      </w:r>
      <w:r w:rsidRPr="00C83587">
        <w:rPr>
          <w:rFonts w:ascii="Arial" w:hAnsi="Arial" w:cs="Arial"/>
          <w:b/>
          <w:bCs/>
          <w:sz w:val="26"/>
          <w:szCs w:val="26"/>
        </w:rPr>
        <w:t xml:space="preserve">a </w:t>
      </w:r>
      <w:r w:rsidR="00A324E1">
        <w:rPr>
          <w:rFonts w:ascii="Arial" w:hAnsi="Arial" w:cs="Arial"/>
          <w:b/>
          <w:bCs/>
          <w:sz w:val="26"/>
          <w:szCs w:val="26"/>
        </w:rPr>
        <w:t>***********</w:t>
      </w:r>
      <w:r>
        <w:rPr>
          <w:rFonts w:ascii="Arial" w:hAnsi="Arial" w:cs="Arial"/>
          <w:b/>
          <w:bCs/>
          <w:sz w:val="26"/>
          <w:szCs w:val="26"/>
        </w:rPr>
        <w:t>,</w:t>
      </w:r>
      <w:r w:rsidRPr="00C83587">
        <w:rPr>
          <w:rFonts w:ascii="Arial" w:hAnsi="Arial" w:cs="Arial"/>
          <w:b/>
          <w:bCs/>
          <w:sz w:val="26"/>
          <w:szCs w:val="26"/>
        </w:rPr>
        <w:t xml:space="preserve"> las prestaciones previstas en la fracción I, del artículo 54 de la</w:t>
      </w:r>
      <w:r w:rsidRPr="00C83587">
        <w:rPr>
          <w:rFonts w:ascii="Arial" w:eastAsia="Times New Roman" w:hAnsi="Arial" w:cs="Arial"/>
          <w:b/>
          <w:bCs/>
          <w:sz w:val="26"/>
          <w:szCs w:val="26"/>
          <w:lang w:eastAsia="es-ES"/>
        </w:rPr>
        <w:t xml:space="preserve"> Ley de Pensiones de los Trabajadores del Gobierno del Estado de Oaxaca, desde el mes de julio de dos mil dieciséis al mes de abril de dos mil diecinueve</w:t>
      </w:r>
      <w:r>
        <w:rPr>
          <w:rFonts w:ascii="Arial" w:eastAsia="Times New Roman" w:hAnsi="Arial" w:cs="Arial"/>
          <w:sz w:val="26"/>
          <w:szCs w:val="26"/>
          <w:lang w:eastAsia="es-ES"/>
        </w:rPr>
        <w:t xml:space="preserve">; debiendo acreditarlo fehacientemente ante la Sala de Primera Instancia. Apercibida la autoridad demandada que, en caso de incumplir de forma injustificada con este requerimiento, se procederá de conformidad en el artículo </w:t>
      </w:r>
      <w:r w:rsidR="00570E7F">
        <w:rPr>
          <w:rFonts w:ascii="Arial" w:eastAsia="Times New Roman" w:hAnsi="Arial" w:cs="Arial"/>
          <w:sz w:val="26"/>
          <w:szCs w:val="26"/>
          <w:lang w:eastAsia="es-ES"/>
        </w:rPr>
        <w:t>184</w:t>
      </w:r>
      <w:r>
        <w:rPr>
          <w:rFonts w:ascii="Arial" w:eastAsia="Times New Roman" w:hAnsi="Arial" w:cs="Arial"/>
          <w:sz w:val="26"/>
          <w:szCs w:val="26"/>
          <w:lang w:eastAsia="es-ES"/>
        </w:rPr>
        <w:t xml:space="preserve">, de la Ley de Justicia Administrativa para el Estado de Oaxaca. - - - - - - </w:t>
      </w:r>
      <w:r w:rsidR="00A324E1">
        <w:rPr>
          <w:rFonts w:ascii="Arial" w:eastAsia="Times New Roman" w:hAnsi="Arial" w:cs="Arial"/>
          <w:sz w:val="26"/>
          <w:szCs w:val="26"/>
          <w:lang w:eastAsia="es-ES"/>
        </w:rPr>
        <w:t xml:space="preserve">- - - - - - - - - - - - - - - </w:t>
      </w:r>
    </w:p>
    <w:p w14:paraId="41BA8624" w14:textId="1907CBFD" w:rsidR="00EE3879" w:rsidRDefault="00EE3879" w:rsidP="00EE3879">
      <w:pPr>
        <w:spacing w:before="240" w:line="360" w:lineRule="auto"/>
        <w:jc w:val="both"/>
        <w:rPr>
          <w:rFonts w:ascii="Arial" w:hAnsi="Arial" w:cs="Arial"/>
          <w:sz w:val="26"/>
          <w:szCs w:val="26"/>
        </w:rPr>
      </w:pPr>
      <w:r>
        <w:rPr>
          <w:rFonts w:ascii="Arial" w:hAnsi="Arial" w:cs="Arial"/>
          <w:b/>
          <w:sz w:val="26"/>
          <w:szCs w:val="26"/>
        </w:rPr>
        <w:t xml:space="preserve">      </w:t>
      </w:r>
      <w:r>
        <w:rPr>
          <w:rFonts w:ascii="Arial" w:hAnsi="Arial" w:cs="Arial"/>
          <w:sz w:val="26"/>
          <w:szCs w:val="26"/>
        </w:rPr>
        <w:t>En mérito de lo anterior, con fundamento en los artículos 2</w:t>
      </w:r>
      <w:r w:rsidR="00742773">
        <w:rPr>
          <w:rFonts w:ascii="Arial" w:hAnsi="Arial" w:cs="Arial"/>
          <w:sz w:val="26"/>
          <w:szCs w:val="26"/>
        </w:rPr>
        <w:t>0</w:t>
      </w:r>
      <w:r>
        <w:rPr>
          <w:rFonts w:ascii="Arial" w:hAnsi="Arial" w:cs="Arial"/>
          <w:sz w:val="26"/>
          <w:szCs w:val="26"/>
        </w:rPr>
        <w:t>7 y 2</w:t>
      </w:r>
      <w:r w:rsidR="00742773">
        <w:rPr>
          <w:rFonts w:ascii="Arial" w:hAnsi="Arial" w:cs="Arial"/>
          <w:sz w:val="26"/>
          <w:szCs w:val="26"/>
        </w:rPr>
        <w:t>0</w:t>
      </w:r>
      <w:r>
        <w:rPr>
          <w:rFonts w:ascii="Arial" w:hAnsi="Arial" w:cs="Arial"/>
          <w:sz w:val="26"/>
          <w:szCs w:val="26"/>
        </w:rPr>
        <w:t>8 de la Ley de Justicia Administrativa para el Estado, aplicable por ser la que estaba vigente al inicio del juicio principal, se:</w:t>
      </w:r>
      <w:r w:rsidR="00742773">
        <w:rPr>
          <w:rFonts w:ascii="Arial" w:hAnsi="Arial" w:cs="Arial"/>
          <w:sz w:val="26"/>
          <w:szCs w:val="26"/>
        </w:rPr>
        <w:t xml:space="preserve"> - - - - - - - - - - - - - - - - </w:t>
      </w:r>
    </w:p>
    <w:p w14:paraId="2BB8F7C9" w14:textId="77777777" w:rsidR="00EE3879" w:rsidRPr="00403CFB" w:rsidRDefault="00EE3879" w:rsidP="00EE3879">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7206924A" w14:textId="77777777" w:rsidR="00EE3879" w:rsidRDefault="00EE3879" w:rsidP="00EE3879">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 xml:space="preserve">REVOCA </w:t>
      </w:r>
      <w:r>
        <w:rPr>
          <w:rFonts w:ascii="Arial" w:hAnsi="Arial" w:cs="Arial"/>
          <w:sz w:val="26"/>
          <w:szCs w:val="26"/>
        </w:rPr>
        <w:t>la resolución de fecha ocho de octubre de dos mil veinte, dictada en el recurso de queja por el resolutor de la Primera Sala Unitaria de Primera Instancia de este Tribunal</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 - - - - - - - - - - - - </w:t>
      </w:r>
    </w:p>
    <w:p w14:paraId="01270A89" w14:textId="77777777" w:rsidR="00EE3879" w:rsidRPr="00F6121C" w:rsidRDefault="00EE3879" w:rsidP="00EE3879">
      <w:pPr>
        <w:spacing w:before="240" w:line="360" w:lineRule="auto"/>
        <w:ind w:firstLine="708"/>
        <w:jc w:val="both"/>
        <w:rPr>
          <w:rFonts w:ascii="Arial" w:hAnsi="Arial" w:cs="Arial"/>
          <w:sz w:val="26"/>
          <w:szCs w:val="26"/>
        </w:rPr>
      </w:pPr>
      <w:r w:rsidRPr="009F5AA4">
        <w:rPr>
          <w:rFonts w:ascii="Arial" w:eastAsia="Calibri" w:hAnsi="Arial" w:cs="Arial"/>
          <w:b/>
          <w:sz w:val="26"/>
          <w:szCs w:val="26"/>
        </w:rPr>
        <w:t>SEGUNDO.</w:t>
      </w:r>
      <w:r>
        <w:rPr>
          <w:rFonts w:ascii="Arial" w:eastAsia="Calibri" w:hAnsi="Arial" w:cs="Arial"/>
          <w:sz w:val="26"/>
          <w:szCs w:val="26"/>
        </w:rPr>
        <w:t xml:space="preserve"> </w:t>
      </w:r>
      <w:r w:rsidRPr="00403CFB">
        <w:rPr>
          <w:rFonts w:ascii="Arial" w:hAnsi="Arial" w:cs="Arial"/>
          <w:b/>
          <w:sz w:val="26"/>
          <w:szCs w:val="26"/>
        </w:rPr>
        <w:t>NOTIFÍQUESE Y CUMPLASE,</w:t>
      </w:r>
      <w:r w:rsidRPr="00403CFB">
        <w:rPr>
          <w:rFonts w:ascii="Arial" w:hAnsi="Arial" w:cs="Arial"/>
          <w:sz w:val="26"/>
          <w:szCs w:val="26"/>
        </w:rPr>
        <w:t xml:space="preserve"> </w:t>
      </w:r>
      <w:r>
        <w:rPr>
          <w:rFonts w:ascii="Arial" w:hAnsi="Arial" w:cs="Arial"/>
          <w:sz w:val="26"/>
          <w:szCs w:val="26"/>
        </w:rPr>
        <w:t>con</w:t>
      </w:r>
      <w:r w:rsidRPr="00403CFB">
        <w:rPr>
          <w:rFonts w:ascii="Arial" w:hAnsi="Arial" w:cs="Arial"/>
          <w:sz w:val="26"/>
          <w:szCs w:val="26"/>
        </w:rPr>
        <w:t xml:space="preserve"> copia certi</w:t>
      </w:r>
      <w:r>
        <w:rPr>
          <w:rFonts w:ascii="Arial" w:hAnsi="Arial" w:cs="Arial"/>
          <w:sz w:val="26"/>
          <w:szCs w:val="26"/>
        </w:rPr>
        <w:t>ficada de la misma</w:t>
      </w:r>
      <w:r w:rsidRPr="00403CFB">
        <w:rPr>
          <w:rFonts w:ascii="Arial" w:hAnsi="Arial" w:cs="Arial"/>
          <w:sz w:val="26"/>
          <w:szCs w:val="26"/>
        </w:rPr>
        <w:t>, vuelvan las co</w:t>
      </w:r>
      <w:r>
        <w:rPr>
          <w:rFonts w:ascii="Arial" w:hAnsi="Arial" w:cs="Arial"/>
          <w:sz w:val="26"/>
          <w:szCs w:val="26"/>
        </w:rPr>
        <w:t>nstancias remitidas a la Primera</w:t>
      </w:r>
      <w:r w:rsidRPr="00403CFB">
        <w:rPr>
          <w:rFonts w:ascii="Arial" w:hAnsi="Arial" w:cs="Arial"/>
          <w:sz w:val="26"/>
          <w:szCs w:val="26"/>
        </w:rPr>
        <w:t xml:space="preserve"> Sala Unitaria de Primera Instancia, </w:t>
      </w:r>
      <w:r w:rsidRPr="00403CFB">
        <w:rPr>
          <w:rFonts w:ascii="Arial" w:eastAsia="Calibri" w:hAnsi="Arial" w:cs="Arial"/>
          <w:sz w:val="26"/>
          <w:szCs w:val="26"/>
        </w:rPr>
        <w:t xml:space="preserve">y en su oportunidad archívese el cuaderno de revisión como concluido. - - - - - - - - - - - - - - - - - - - - - - - - </w:t>
      </w:r>
      <w:r>
        <w:rPr>
          <w:rFonts w:ascii="Arial" w:eastAsia="Calibri" w:hAnsi="Arial" w:cs="Arial"/>
          <w:sz w:val="26"/>
          <w:szCs w:val="26"/>
        </w:rPr>
        <w:t xml:space="preserve">- - - - - - - - - - </w:t>
      </w:r>
    </w:p>
    <w:p w14:paraId="51CBE1BD" w14:textId="14DA035E" w:rsidR="00EE3879" w:rsidRDefault="00EE3879" w:rsidP="00EE3879">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Manuel Velasco Alcántara, </w:t>
      </w:r>
      <w:r w:rsidR="00117B74" w:rsidRPr="00AA0160">
        <w:rPr>
          <w:rFonts w:ascii="Arial" w:hAnsi="Arial" w:cs="Arial"/>
          <w:sz w:val="26"/>
          <w:szCs w:val="26"/>
        </w:rPr>
        <w:t xml:space="preserve">Abraham Santiago Soriano </w:t>
      </w:r>
      <w:r w:rsidR="00117B74" w:rsidRPr="00AA0160">
        <w:rPr>
          <w:rFonts w:ascii="Arial" w:hAnsi="Arial" w:cs="Arial"/>
          <w:b/>
          <w:bCs/>
          <w:sz w:val="26"/>
          <w:szCs w:val="26"/>
        </w:rPr>
        <w:t xml:space="preserve">(ponente), </w:t>
      </w:r>
      <w:r w:rsidRPr="00AA0160">
        <w:rPr>
          <w:rFonts w:ascii="Arial" w:hAnsi="Arial" w:cs="Arial"/>
          <w:sz w:val="26"/>
          <w:szCs w:val="26"/>
        </w:rPr>
        <w:t>Raúl Palomares Palomino,</w:t>
      </w:r>
      <w:r w:rsidR="00117B74" w:rsidRPr="00AA0160">
        <w:rPr>
          <w:rFonts w:ascii="Arial" w:hAnsi="Arial" w:cs="Arial"/>
          <w:sz w:val="26"/>
          <w:szCs w:val="26"/>
        </w:rPr>
        <w:t xml:space="preserve"> </w:t>
      </w:r>
      <w:r w:rsidRPr="00AA0160">
        <w:rPr>
          <w:rFonts w:ascii="Arial" w:hAnsi="Arial" w:cs="Arial"/>
          <w:sz w:val="26"/>
          <w:szCs w:val="26"/>
        </w:rPr>
        <w:t>Gloria del</w:t>
      </w:r>
      <w:r>
        <w:rPr>
          <w:rFonts w:ascii="Arial" w:hAnsi="Arial" w:cs="Arial"/>
          <w:sz w:val="26"/>
          <w:szCs w:val="26"/>
        </w:rPr>
        <w:t xml:space="preserve"> Carmen Camacho Meza y Paulo José Luis Tapia Palacios; quienes actúan con el Licenciado Juan Edy García </w:t>
      </w:r>
      <w:r>
        <w:rPr>
          <w:rFonts w:ascii="Arial" w:hAnsi="Arial" w:cs="Arial"/>
          <w:sz w:val="26"/>
          <w:szCs w:val="26"/>
        </w:rPr>
        <w:lastRenderedPageBreak/>
        <w:t xml:space="preserve">Coronado, Secretario General de Acuerdos de este Tribunal, que autoriza y da fe.- - - - - - - - - - - - - - - - - - - - - - - - - - - - - - - - - - - - - - - - - </w:t>
      </w:r>
    </w:p>
    <w:p w14:paraId="002CFF61" w14:textId="4EB049B1" w:rsidR="009319EA" w:rsidRDefault="009319EA" w:rsidP="00BC436C">
      <w:pPr>
        <w:pStyle w:val="Sinespaciado"/>
        <w:rPr>
          <w:rFonts w:ascii="Arial" w:hAnsi="Arial" w:cs="Arial"/>
          <w:sz w:val="26"/>
          <w:szCs w:val="26"/>
        </w:rPr>
      </w:pPr>
    </w:p>
    <w:p w14:paraId="5C07E849" w14:textId="7AD64903" w:rsidR="009319EA" w:rsidRDefault="009319EA" w:rsidP="009319EA">
      <w:pPr>
        <w:pStyle w:val="Sinespaciado"/>
        <w:jc w:val="center"/>
        <w:rPr>
          <w:rFonts w:ascii="Arial" w:hAnsi="Arial" w:cs="Arial"/>
          <w:sz w:val="26"/>
          <w:szCs w:val="26"/>
        </w:rPr>
      </w:pPr>
    </w:p>
    <w:p w14:paraId="09BBF094" w14:textId="77777777" w:rsidR="00626A0E" w:rsidRDefault="00626A0E" w:rsidP="009319EA">
      <w:pPr>
        <w:pStyle w:val="Sinespaciado"/>
        <w:jc w:val="center"/>
        <w:rPr>
          <w:rFonts w:ascii="Arial" w:hAnsi="Arial" w:cs="Arial"/>
          <w:sz w:val="26"/>
          <w:szCs w:val="26"/>
        </w:rPr>
      </w:pPr>
    </w:p>
    <w:p w14:paraId="14D25F8A" w14:textId="77777777" w:rsidR="00626A0E" w:rsidRDefault="00626A0E" w:rsidP="009319EA">
      <w:pPr>
        <w:pStyle w:val="Sinespaciado"/>
        <w:jc w:val="center"/>
        <w:rPr>
          <w:rFonts w:ascii="Arial" w:hAnsi="Arial" w:cs="Arial"/>
          <w:sz w:val="26"/>
          <w:szCs w:val="26"/>
        </w:rPr>
      </w:pPr>
    </w:p>
    <w:p w14:paraId="54325D32" w14:textId="77777777" w:rsidR="009319EA" w:rsidRDefault="009319EA" w:rsidP="009319EA">
      <w:pPr>
        <w:pStyle w:val="Sinespaciado"/>
        <w:jc w:val="center"/>
        <w:rPr>
          <w:rFonts w:ascii="Arial" w:hAnsi="Arial" w:cs="Arial"/>
          <w:sz w:val="26"/>
          <w:szCs w:val="26"/>
        </w:rPr>
      </w:pPr>
    </w:p>
    <w:p w14:paraId="36BEA33E" w14:textId="02D8DA11" w:rsidR="00EE3879" w:rsidRPr="009319EA" w:rsidRDefault="00EE3879" w:rsidP="009319EA">
      <w:pPr>
        <w:pStyle w:val="Sinespaciado"/>
        <w:jc w:val="center"/>
        <w:rPr>
          <w:rFonts w:ascii="Arial" w:hAnsi="Arial" w:cs="Arial"/>
          <w:sz w:val="26"/>
          <w:szCs w:val="26"/>
        </w:rPr>
      </w:pPr>
      <w:r w:rsidRPr="009319EA">
        <w:rPr>
          <w:rFonts w:ascii="Arial" w:hAnsi="Arial" w:cs="Arial"/>
          <w:sz w:val="26"/>
          <w:szCs w:val="26"/>
        </w:rPr>
        <w:t>MAGISTRADO MANUEL VELASCO ALCÁNTARA</w:t>
      </w:r>
    </w:p>
    <w:p w14:paraId="3301C48C" w14:textId="737CE81A" w:rsidR="00EE3879" w:rsidRDefault="00EE3879" w:rsidP="00BC436C">
      <w:pPr>
        <w:pStyle w:val="Sinespaciado"/>
        <w:jc w:val="center"/>
        <w:rPr>
          <w:rFonts w:ascii="Arial" w:hAnsi="Arial" w:cs="Arial"/>
          <w:sz w:val="26"/>
          <w:szCs w:val="26"/>
        </w:rPr>
      </w:pPr>
      <w:r w:rsidRPr="009319EA">
        <w:rPr>
          <w:rFonts w:ascii="Arial" w:hAnsi="Arial" w:cs="Arial"/>
          <w:sz w:val="26"/>
          <w:szCs w:val="26"/>
        </w:rPr>
        <w:t>PRESIDENTE</w:t>
      </w:r>
    </w:p>
    <w:p w14:paraId="068899BD" w14:textId="4CFABBB9" w:rsidR="009319EA" w:rsidRDefault="009319EA" w:rsidP="009319EA">
      <w:pPr>
        <w:tabs>
          <w:tab w:val="center" w:pos="4135"/>
          <w:tab w:val="left" w:pos="7515"/>
        </w:tabs>
        <w:spacing w:line="360" w:lineRule="auto"/>
        <w:rPr>
          <w:rFonts w:ascii="Arial" w:hAnsi="Arial" w:cs="Arial"/>
          <w:sz w:val="26"/>
          <w:szCs w:val="26"/>
        </w:rPr>
      </w:pPr>
    </w:p>
    <w:p w14:paraId="0D031698" w14:textId="016FFAE2" w:rsidR="009319EA" w:rsidRDefault="009319EA" w:rsidP="00EE3879">
      <w:pPr>
        <w:tabs>
          <w:tab w:val="center" w:pos="4135"/>
          <w:tab w:val="left" w:pos="7515"/>
        </w:tabs>
        <w:spacing w:line="360" w:lineRule="auto"/>
        <w:jc w:val="center"/>
        <w:rPr>
          <w:rFonts w:ascii="Arial" w:hAnsi="Arial" w:cs="Arial"/>
          <w:sz w:val="26"/>
          <w:szCs w:val="26"/>
        </w:rPr>
      </w:pPr>
    </w:p>
    <w:p w14:paraId="3FF85471" w14:textId="77777777" w:rsidR="00C770E5" w:rsidRDefault="00C770E5" w:rsidP="00EE3879">
      <w:pPr>
        <w:tabs>
          <w:tab w:val="center" w:pos="4135"/>
          <w:tab w:val="left" w:pos="7515"/>
        </w:tabs>
        <w:spacing w:line="360" w:lineRule="auto"/>
        <w:jc w:val="center"/>
        <w:rPr>
          <w:rFonts w:ascii="Arial" w:hAnsi="Arial" w:cs="Arial"/>
          <w:sz w:val="26"/>
          <w:szCs w:val="26"/>
        </w:rPr>
      </w:pPr>
    </w:p>
    <w:p w14:paraId="65DE0A32" w14:textId="63A9DCCD" w:rsidR="00EE3879" w:rsidRDefault="00EE3879" w:rsidP="00EE387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F15D443" w14:textId="34CC5090" w:rsidR="00BC436C" w:rsidRDefault="00BC436C" w:rsidP="00EE3879">
      <w:pPr>
        <w:tabs>
          <w:tab w:val="left" w:pos="1925"/>
          <w:tab w:val="center" w:pos="4135"/>
        </w:tabs>
        <w:rPr>
          <w:rFonts w:ascii="Arial" w:hAnsi="Arial" w:cs="Arial"/>
          <w:sz w:val="26"/>
          <w:szCs w:val="26"/>
        </w:rPr>
      </w:pPr>
    </w:p>
    <w:p w14:paraId="32ED1992" w14:textId="77777777" w:rsidR="00626A0E" w:rsidRDefault="00626A0E" w:rsidP="00EE3879">
      <w:pPr>
        <w:tabs>
          <w:tab w:val="left" w:pos="1925"/>
          <w:tab w:val="center" w:pos="4135"/>
        </w:tabs>
        <w:rPr>
          <w:rFonts w:ascii="Arial" w:hAnsi="Arial" w:cs="Arial"/>
          <w:sz w:val="26"/>
          <w:szCs w:val="26"/>
        </w:rPr>
      </w:pPr>
    </w:p>
    <w:p w14:paraId="6C5C652C" w14:textId="77777777" w:rsidR="00BC436C" w:rsidRDefault="00BC436C" w:rsidP="00EE3879">
      <w:pPr>
        <w:tabs>
          <w:tab w:val="left" w:pos="1925"/>
          <w:tab w:val="center" w:pos="4135"/>
        </w:tabs>
        <w:rPr>
          <w:rFonts w:ascii="Arial" w:hAnsi="Arial" w:cs="Arial"/>
          <w:sz w:val="26"/>
          <w:szCs w:val="26"/>
        </w:rPr>
      </w:pPr>
    </w:p>
    <w:p w14:paraId="48E8F05F" w14:textId="2FA2442B" w:rsidR="00BC436C" w:rsidRDefault="00BC436C" w:rsidP="00BC436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31D2C1A" w14:textId="77777777" w:rsidR="00BC436C" w:rsidRPr="00BC436C" w:rsidRDefault="00BC436C" w:rsidP="00BC436C">
      <w:pPr>
        <w:tabs>
          <w:tab w:val="left" w:pos="1925"/>
          <w:tab w:val="center" w:pos="4135"/>
        </w:tabs>
        <w:jc w:val="center"/>
        <w:rPr>
          <w:rFonts w:ascii="Arial" w:hAnsi="Arial" w:cs="Arial"/>
          <w:b/>
          <w:bCs/>
          <w:sz w:val="18"/>
          <w:szCs w:val="18"/>
        </w:rPr>
      </w:pPr>
    </w:p>
    <w:p w14:paraId="57A2CE3B" w14:textId="4F3637F5" w:rsidR="00EE3879" w:rsidRDefault="00EE3879" w:rsidP="00EE3879">
      <w:pPr>
        <w:tabs>
          <w:tab w:val="left" w:pos="1925"/>
          <w:tab w:val="center" w:pos="4135"/>
        </w:tabs>
        <w:jc w:val="center"/>
        <w:rPr>
          <w:rFonts w:ascii="Arial" w:hAnsi="Arial" w:cs="Arial"/>
          <w:sz w:val="26"/>
          <w:szCs w:val="26"/>
        </w:rPr>
      </w:pPr>
    </w:p>
    <w:p w14:paraId="01D8742B" w14:textId="77777777" w:rsidR="009319EA" w:rsidRDefault="009319EA" w:rsidP="00C770E5">
      <w:pPr>
        <w:tabs>
          <w:tab w:val="left" w:pos="1925"/>
          <w:tab w:val="center" w:pos="4135"/>
        </w:tabs>
        <w:rPr>
          <w:rFonts w:ascii="Arial" w:hAnsi="Arial" w:cs="Arial"/>
          <w:sz w:val="26"/>
          <w:szCs w:val="26"/>
        </w:rPr>
      </w:pPr>
    </w:p>
    <w:p w14:paraId="1BCE8327" w14:textId="77777777" w:rsidR="00EE3879" w:rsidRDefault="00EE3879" w:rsidP="00EE387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5C8A4137" w14:textId="77777777" w:rsidR="00EE3879" w:rsidRDefault="00EE3879" w:rsidP="00EE3879">
      <w:pPr>
        <w:tabs>
          <w:tab w:val="left" w:pos="1925"/>
          <w:tab w:val="center" w:pos="4135"/>
        </w:tabs>
        <w:jc w:val="center"/>
        <w:rPr>
          <w:rFonts w:ascii="Arial" w:hAnsi="Arial" w:cs="Arial"/>
          <w:sz w:val="26"/>
          <w:szCs w:val="26"/>
        </w:rPr>
      </w:pPr>
    </w:p>
    <w:p w14:paraId="15DD9876" w14:textId="37107193" w:rsidR="009319EA" w:rsidRDefault="009319EA" w:rsidP="00C770E5">
      <w:pPr>
        <w:tabs>
          <w:tab w:val="left" w:pos="1925"/>
          <w:tab w:val="center" w:pos="4135"/>
        </w:tabs>
        <w:rPr>
          <w:rFonts w:ascii="Arial" w:hAnsi="Arial" w:cs="Arial"/>
          <w:sz w:val="26"/>
          <w:szCs w:val="26"/>
        </w:rPr>
      </w:pPr>
    </w:p>
    <w:p w14:paraId="2692F4BC" w14:textId="77777777" w:rsidR="009319EA" w:rsidRDefault="009319EA" w:rsidP="00EE3879">
      <w:pPr>
        <w:tabs>
          <w:tab w:val="left" w:pos="1925"/>
          <w:tab w:val="center" w:pos="4135"/>
        </w:tabs>
        <w:jc w:val="center"/>
        <w:rPr>
          <w:rFonts w:ascii="Arial" w:hAnsi="Arial" w:cs="Arial"/>
          <w:sz w:val="26"/>
          <w:szCs w:val="26"/>
        </w:rPr>
      </w:pPr>
    </w:p>
    <w:p w14:paraId="4C3154D1" w14:textId="2AB15679" w:rsidR="00EE3879" w:rsidRDefault="00EE3879" w:rsidP="00626A0E">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00F4B34" w14:textId="2323D909" w:rsidR="00626A0E" w:rsidRDefault="00626A0E" w:rsidP="00626A0E">
      <w:pPr>
        <w:tabs>
          <w:tab w:val="left" w:pos="1925"/>
          <w:tab w:val="center" w:pos="4135"/>
        </w:tabs>
        <w:jc w:val="center"/>
        <w:rPr>
          <w:rFonts w:ascii="Arial" w:hAnsi="Arial" w:cs="Arial"/>
          <w:sz w:val="26"/>
          <w:szCs w:val="26"/>
        </w:rPr>
      </w:pPr>
    </w:p>
    <w:p w14:paraId="3149E4AB" w14:textId="77777777" w:rsidR="00626A0E" w:rsidRDefault="00626A0E" w:rsidP="00626A0E">
      <w:pPr>
        <w:tabs>
          <w:tab w:val="left" w:pos="1925"/>
          <w:tab w:val="center" w:pos="4135"/>
        </w:tabs>
        <w:jc w:val="center"/>
        <w:rPr>
          <w:rFonts w:ascii="Arial" w:hAnsi="Arial" w:cs="Arial"/>
          <w:sz w:val="26"/>
          <w:szCs w:val="26"/>
        </w:rPr>
      </w:pPr>
    </w:p>
    <w:p w14:paraId="199FD10F" w14:textId="77777777" w:rsidR="00626A0E" w:rsidRDefault="00626A0E" w:rsidP="00626A0E">
      <w:pPr>
        <w:tabs>
          <w:tab w:val="left" w:pos="1925"/>
          <w:tab w:val="center" w:pos="4135"/>
        </w:tabs>
        <w:jc w:val="center"/>
        <w:rPr>
          <w:rFonts w:ascii="Arial" w:hAnsi="Arial" w:cs="Arial"/>
          <w:sz w:val="26"/>
          <w:szCs w:val="26"/>
        </w:rPr>
      </w:pPr>
    </w:p>
    <w:p w14:paraId="4ECFD596" w14:textId="77777777" w:rsidR="00EE3879" w:rsidRPr="009319EA" w:rsidRDefault="00EE3879" w:rsidP="009319EA">
      <w:pPr>
        <w:pStyle w:val="Sinespaciado"/>
        <w:jc w:val="center"/>
        <w:rPr>
          <w:rFonts w:ascii="Arial" w:hAnsi="Arial" w:cs="Arial"/>
          <w:sz w:val="26"/>
          <w:szCs w:val="26"/>
        </w:rPr>
      </w:pPr>
      <w:r w:rsidRPr="009319EA">
        <w:rPr>
          <w:rFonts w:ascii="Arial" w:hAnsi="Arial" w:cs="Arial"/>
          <w:sz w:val="26"/>
          <w:szCs w:val="26"/>
        </w:rPr>
        <w:t>LIC. JUAN EDY GARCÍA CORONADO</w:t>
      </w:r>
    </w:p>
    <w:p w14:paraId="1641B988" w14:textId="77777777" w:rsidR="00EE3879" w:rsidRPr="009319EA" w:rsidRDefault="00EE3879" w:rsidP="009319EA">
      <w:pPr>
        <w:pStyle w:val="Sinespaciado"/>
        <w:jc w:val="center"/>
        <w:rPr>
          <w:rFonts w:ascii="Arial" w:hAnsi="Arial" w:cs="Arial"/>
          <w:sz w:val="26"/>
          <w:szCs w:val="26"/>
        </w:rPr>
      </w:pPr>
      <w:r w:rsidRPr="009319EA">
        <w:rPr>
          <w:rFonts w:ascii="Arial" w:hAnsi="Arial" w:cs="Arial"/>
          <w:sz w:val="26"/>
          <w:szCs w:val="26"/>
        </w:rPr>
        <w:t>SECRETARIO GENERAL DE ACUERDOS</w:t>
      </w:r>
    </w:p>
    <w:p w14:paraId="7277484E" w14:textId="77777777" w:rsidR="00EE3879" w:rsidRPr="006D1DB2" w:rsidRDefault="00EE3879" w:rsidP="00EE3879">
      <w:pPr>
        <w:spacing w:after="0" w:line="240" w:lineRule="auto"/>
        <w:jc w:val="center"/>
      </w:pPr>
      <w:r>
        <w:t xml:space="preserve">  </w:t>
      </w:r>
    </w:p>
    <w:p w14:paraId="651DD77D" w14:textId="77777777" w:rsidR="00EE3879" w:rsidRPr="00D10FBD" w:rsidRDefault="00EE3879" w:rsidP="00EE3879">
      <w:pPr>
        <w:pStyle w:val="Sinespaciado"/>
        <w:jc w:val="center"/>
        <w:rPr>
          <w:rFonts w:ascii="Arial" w:hAnsi="Arial" w:cs="Arial"/>
          <w:sz w:val="26"/>
          <w:szCs w:val="26"/>
        </w:rPr>
      </w:pPr>
    </w:p>
    <w:p w14:paraId="50453FE0" w14:textId="03FD9C74" w:rsidR="00BA258A" w:rsidRPr="00EE3879" w:rsidRDefault="00AA7F37" w:rsidP="00EE3879">
      <w:r w:rsidRPr="00EE3879">
        <w:t xml:space="preserve"> </w:t>
      </w:r>
    </w:p>
    <w:sectPr w:rsidR="00BA258A" w:rsidRPr="00EE3879" w:rsidSect="003E14D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2E4287" w14:textId="77777777" w:rsidR="00F8671E" w:rsidRDefault="00F8671E">
      <w:pPr>
        <w:spacing w:after="0" w:line="240" w:lineRule="auto"/>
      </w:pPr>
      <w:r>
        <w:separator/>
      </w:r>
    </w:p>
  </w:endnote>
  <w:endnote w:type="continuationSeparator" w:id="0">
    <w:p w14:paraId="5EC4A47F" w14:textId="77777777" w:rsidR="00F8671E" w:rsidRDefault="00F86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004B2B8" w:rsidR="0019343F" w:rsidRDefault="00BC6ECB">
    <w:pPr>
      <w:pStyle w:val="Piedepgina"/>
      <w:jc w:val="center"/>
    </w:pPr>
    <w:r>
      <w:rPr>
        <w:noProof/>
      </w:rPr>
      <mc:AlternateContent>
        <mc:Choice Requires="wps">
          <w:drawing>
            <wp:anchor distT="45720" distB="45720" distL="114300" distR="114300" simplePos="0" relativeHeight="251667456" behindDoc="0" locked="0" layoutInCell="1" allowOverlap="1" wp14:anchorId="77E46D62" wp14:editId="1047066E">
              <wp:simplePos x="0" y="0"/>
              <wp:positionH relativeFrom="column">
                <wp:posOffset>-1190625</wp:posOffset>
              </wp:positionH>
              <wp:positionV relativeFrom="paragraph">
                <wp:posOffset>-4933315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587A0AE" w14:textId="77777777" w:rsidR="00BC6ECB" w:rsidRPr="00BB7E37" w:rsidRDefault="00BC6ECB" w:rsidP="00BC6EC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46D62" id="_x0000_t202" coordsize="21600,21600" o:spt="202" path="m,l,21600r21600,l21600,xe">
              <v:stroke joinstyle="miter"/>
              <v:path gradientshapeok="t" o:connecttype="rect"/>
            </v:shapetype>
            <v:shape id="Cuadro de texto 2" o:spid="_x0000_s1026" type="#_x0000_t202" style="position:absolute;left:0;text-align:left;margin-left:-93.75pt;margin-top:-388.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">
              <v:textbox>
                <w:txbxContent>
                  <w:p w14:paraId="0587A0AE" w14:textId="77777777" w:rsidR="00BC6ECB" w:rsidRPr="00BB7E37" w:rsidRDefault="00BC6ECB" w:rsidP="00BC6EC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1CE01" w14:textId="77777777" w:rsidR="00F8671E" w:rsidRDefault="00F8671E">
      <w:pPr>
        <w:spacing w:after="0" w:line="240" w:lineRule="auto"/>
      </w:pPr>
      <w:r>
        <w:separator/>
      </w:r>
    </w:p>
  </w:footnote>
  <w:footnote w:type="continuationSeparator" w:id="0">
    <w:p w14:paraId="477E7585" w14:textId="77777777" w:rsidR="00F8671E" w:rsidRDefault="00F8671E">
      <w:pPr>
        <w:spacing w:after="0" w:line="240" w:lineRule="auto"/>
      </w:pPr>
      <w:r>
        <w:continuationSeparator/>
      </w:r>
    </w:p>
  </w:footnote>
  <w:footnote w:id="1">
    <w:p w14:paraId="44E0B9B1" w14:textId="354E0D1D" w:rsidR="00EE3879" w:rsidRPr="001B1DC7" w:rsidRDefault="00EE3879" w:rsidP="00EE3879">
      <w:pPr>
        <w:pStyle w:val="Textonotapie"/>
        <w:jc w:val="both"/>
        <w:rPr>
          <w:rFonts w:ascii="Arial" w:hAnsi="Arial" w:cs="Arial"/>
        </w:rPr>
      </w:pPr>
      <w:r w:rsidRPr="001B1DC7">
        <w:rPr>
          <w:rStyle w:val="Refdenotaalpie"/>
        </w:rPr>
        <w:footnoteRef/>
      </w:r>
      <w:r w:rsidRPr="001B1DC7">
        <w:t xml:space="preserve"> </w:t>
      </w:r>
      <w:r w:rsidRPr="001B1DC7">
        <w:rPr>
          <w:rFonts w:ascii="Arial" w:hAnsi="Arial" w:cs="Arial"/>
        </w:rPr>
        <w:t>“</w:t>
      </w:r>
      <w:r w:rsidRPr="001B1DC7">
        <w:rPr>
          <w:rFonts w:ascii="Arial" w:hAnsi="Arial" w:cs="Arial"/>
          <w:b/>
        </w:rPr>
        <w:t>Artículo 2</w:t>
      </w:r>
      <w:r w:rsidR="00BA7E4A" w:rsidRPr="001B1DC7">
        <w:rPr>
          <w:rFonts w:ascii="Arial" w:hAnsi="Arial" w:cs="Arial"/>
          <w:b/>
        </w:rPr>
        <w:t>0</w:t>
      </w:r>
      <w:r w:rsidRPr="001B1DC7">
        <w:rPr>
          <w:rFonts w:ascii="Arial" w:hAnsi="Arial" w:cs="Arial"/>
          <w:b/>
        </w:rPr>
        <w:t xml:space="preserve">6.- </w:t>
      </w:r>
      <w:r w:rsidRPr="001B1DC7">
        <w:rPr>
          <w:rFonts w:ascii="Arial" w:hAnsi="Arial" w:cs="Arial"/>
        </w:rPr>
        <w:t>Contra los acuerdos y resoluciones dictados por las salas unitarias de primera instancia, procede el recurso de revisión, cuyo conocimiento y resolución corresponde a la Sala Superior.</w:t>
      </w:r>
    </w:p>
    <w:p w14:paraId="7C4088A0" w14:textId="77777777" w:rsidR="00EE3879" w:rsidRPr="001B1DC7" w:rsidRDefault="00EE3879" w:rsidP="00EE3879">
      <w:pPr>
        <w:pStyle w:val="Textonotapie"/>
        <w:jc w:val="both"/>
        <w:rPr>
          <w:rFonts w:ascii="Arial" w:hAnsi="Arial" w:cs="Arial"/>
        </w:rPr>
      </w:pPr>
      <w:r w:rsidRPr="001B1DC7">
        <w:rPr>
          <w:rFonts w:ascii="Arial" w:hAnsi="Arial" w:cs="Arial"/>
        </w:rPr>
        <w:t>Podrán ser impugnadas por las partes, mediante recurso de revisión:</w:t>
      </w:r>
    </w:p>
    <w:p w14:paraId="5B3A5D3F"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I.- Los acuerdos que admitan o desechen la demanda, su contestación o ampliación;</w:t>
      </w:r>
    </w:p>
    <w:p w14:paraId="6918270E"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II.- El acuerdo que deseche pruebas;</w:t>
      </w:r>
    </w:p>
    <w:p w14:paraId="5E9F36E0"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III.- El acuerdo que rechace la intervención del tercero;</w:t>
      </w:r>
    </w:p>
    <w:p w14:paraId="1D0913B5"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IV.- Los acuerdos que decreten, nieguen o revoquen la suspensión;</w:t>
      </w:r>
    </w:p>
    <w:p w14:paraId="0045C28D"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V.- Las resoluciones que decidan incidentes;</w:t>
      </w:r>
    </w:p>
    <w:p w14:paraId="0F454CC1"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VI.- Las resoluciones que decreten o nieguen el sobreseimiento;</w:t>
      </w:r>
    </w:p>
    <w:p w14:paraId="709E3E0F"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VII.- Las sentencias que decidan la cuestión planteada. Por violaciones cometidas durante el procedimiento del juicio, cuando hayan dejado sin defensa al recurrente y trasciendan al sentido de la sentencia; y</w:t>
      </w:r>
    </w:p>
    <w:p w14:paraId="01BFCBA2" w14:textId="77777777" w:rsidR="00853C52" w:rsidRPr="001B1DC7" w:rsidRDefault="00853C52" w:rsidP="00853C52">
      <w:pPr>
        <w:spacing w:after="0" w:line="240" w:lineRule="auto"/>
        <w:ind w:right="758"/>
        <w:jc w:val="both"/>
        <w:rPr>
          <w:rFonts w:ascii="Arial" w:eastAsia="Calibri" w:hAnsi="Arial" w:cs="Arial"/>
          <w:bCs/>
          <w:iCs/>
          <w:sz w:val="20"/>
          <w:szCs w:val="20"/>
        </w:rPr>
      </w:pPr>
      <w:r w:rsidRPr="001B1DC7">
        <w:rPr>
          <w:rFonts w:ascii="Arial" w:eastAsia="Calibri" w:hAnsi="Arial" w:cs="Arial"/>
          <w:bCs/>
          <w:iCs/>
          <w:sz w:val="20"/>
          <w:szCs w:val="20"/>
        </w:rPr>
        <w:t>VIII.- Las resoluciones que pongan fin al procedimiento de ejecución de la sentencia.”</w:t>
      </w:r>
    </w:p>
    <w:p w14:paraId="606DD0C8" w14:textId="5587F121" w:rsidR="00EE3879" w:rsidRPr="001B1DC7" w:rsidRDefault="00EE3879" w:rsidP="00EE3879">
      <w:pPr>
        <w:pStyle w:val="Textonotapie"/>
        <w:spacing w:line="360" w:lineRule="auto"/>
        <w:jc w:val="both"/>
        <w:rPr>
          <w:rFonts w:ascii="Arial" w:hAnsi="Arial" w:cs="Arial"/>
        </w:rPr>
      </w:pPr>
    </w:p>
  </w:footnote>
  <w:footnote w:id="2">
    <w:p w14:paraId="6FEF785F" w14:textId="37DD3A3D" w:rsidR="00EE3879" w:rsidRPr="00243E21" w:rsidRDefault="00EE3879" w:rsidP="00EE3879">
      <w:pPr>
        <w:pStyle w:val="Textonotapie"/>
        <w:jc w:val="both"/>
        <w:rPr>
          <w:rFonts w:ascii="Arial" w:hAnsi="Arial" w:cs="Arial"/>
          <w:sz w:val="18"/>
          <w:szCs w:val="18"/>
        </w:rPr>
      </w:pPr>
      <w:r w:rsidRPr="00243E21">
        <w:rPr>
          <w:rStyle w:val="Refdenotaalpie"/>
          <w:rFonts w:ascii="Arial" w:hAnsi="Arial" w:cs="Arial"/>
          <w:sz w:val="18"/>
          <w:szCs w:val="18"/>
        </w:rPr>
        <w:footnoteRef/>
      </w:r>
      <w:r w:rsidRPr="00243E21">
        <w:rPr>
          <w:rFonts w:ascii="Arial" w:hAnsi="Arial" w:cs="Arial"/>
          <w:sz w:val="18"/>
          <w:szCs w:val="18"/>
        </w:rPr>
        <w:t xml:space="preserve"> “</w:t>
      </w:r>
      <w:r w:rsidRPr="00243E21">
        <w:rPr>
          <w:rFonts w:ascii="Arial" w:hAnsi="Arial" w:cs="Arial"/>
          <w:b/>
          <w:bCs/>
          <w:sz w:val="18"/>
          <w:szCs w:val="18"/>
        </w:rPr>
        <w:t>ARTÍCULO 8.-</w:t>
      </w:r>
      <w:r w:rsidRPr="00243E21">
        <w:rPr>
          <w:rFonts w:ascii="Arial" w:hAnsi="Arial" w:cs="Arial"/>
          <w:sz w:val="18"/>
          <w:szCs w:val="18"/>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 </w:t>
      </w:r>
    </w:p>
    <w:p w14:paraId="50E9CE0B" w14:textId="77777777" w:rsidR="00EE3879" w:rsidRPr="00243E21" w:rsidRDefault="00EE3879" w:rsidP="00EE3879">
      <w:pPr>
        <w:pStyle w:val="Textonotapie"/>
        <w:jc w:val="both"/>
        <w:rPr>
          <w:rFonts w:ascii="Arial" w:hAnsi="Arial" w:cs="Arial"/>
          <w:sz w:val="18"/>
          <w:szCs w:val="18"/>
        </w:rPr>
      </w:pPr>
      <w:r w:rsidRPr="00243E21">
        <w:rPr>
          <w:rFonts w:ascii="Arial" w:hAnsi="Arial" w:cs="Arial"/>
          <w:sz w:val="18"/>
          <w:szCs w:val="18"/>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(sic) ejecutar el acto, fundando y motivando tal negativa. La declaración de nulidad producirá efectos retroactivos; …”.</w:t>
      </w:r>
    </w:p>
  </w:footnote>
  <w:footnote w:id="3">
    <w:p w14:paraId="34926DD0" w14:textId="77777777" w:rsidR="00EE3879" w:rsidRPr="00243E21" w:rsidRDefault="00EE3879" w:rsidP="00EE3879">
      <w:pPr>
        <w:pStyle w:val="Textonotapie"/>
        <w:jc w:val="both"/>
        <w:rPr>
          <w:rFonts w:ascii="Arial" w:hAnsi="Arial" w:cs="Arial"/>
        </w:rPr>
      </w:pPr>
      <w:r w:rsidRPr="00243E21">
        <w:rPr>
          <w:rStyle w:val="Refdenotaalpie"/>
          <w:rFonts w:ascii="Arial" w:hAnsi="Arial" w:cs="Arial"/>
          <w:sz w:val="18"/>
          <w:szCs w:val="18"/>
        </w:rPr>
        <w:footnoteRef/>
      </w:r>
      <w:r w:rsidRPr="00243E21">
        <w:rPr>
          <w:rFonts w:ascii="Arial" w:hAnsi="Arial" w:cs="Arial"/>
          <w:sz w:val="18"/>
          <w:szCs w:val="18"/>
        </w:rPr>
        <w:t xml:space="preserve"> Sirve de apoyo para esta consideración la jurisprudencia 2a./J. 121/2015, de la Décima Época, publicada por la Segunda Sala de la Suprema Corte de Justicia de la Nación en la Gaceta del Semanario Judicial de la Federación, Libro 21, Agosto de 2015, Tomo I, página 505, con registro digital 2009825, de rubro y texto siguiente:  "</w:t>
      </w:r>
      <w:r w:rsidRPr="00243E21">
        <w:rPr>
          <w:rFonts w:ascii="Arial" w:hAnsi="Arial" w:cs="Arial"/>
          <w:b/>
          <w:bCs/>
          <w:sz w:val="18"/>
          <w:szCs w:val="18"/>
        </w:rPr>
        <w:t>RESOLUCIÓN FAVORABLE". SU CONCEPTO CONFORME AL ARTÍCULO 170, FRACCIÓN II, DE LA LEY DE AMPARO.</w:t>
      </w:r>
      <w:r w:rsidRPr="00243E21">
        <w:rPr>
          <w:rFonts w:ascii="Arial" w:hAnsi="Arial" w:cs="Arial"/>
          <w:sz w:val="18"/>
          <w:szCs w:val="18"/>
        </w:rPr>
        <w:t xml:space="preserve"> </w:t>
      </w:r>
      <w:r w:rsidRPr="00243E21">
        <w:rPr>
          <w:rFonts w:ascii="Arial" w:hAnsi="Arial" w:cs="Arial"/>
          <w:sz w:val="18"/>
          <w:szCs w:val="18"/>
          <w:u w:val="single"/>
        </w:rPr>
        <w:t>El concepto de "resolución favorable", en la lógica del artículo 170, fracción II, de la Ley de Amparo, supone el dictado de una sentencia que resuelva de manera absoluta la pretensión de la parte actora y que le otorgue el máximo beneficio sin posibilidad de una afectación posterior, con independencia del tipo de nulidad declarada</w:t>
      </w:r>
      <w:r w:rsidRPr="00243E21">
        <w:rPr>
          <w:rFonts w:ascii="Arial" w:hAnsi="Arial" w:cs="Arial"/>
          <w:sz w:val="18"/>
          <w:szCs w:val="18"/>
        </w:rPr>
        <w:t>; es, en otras palabras, aquella sentencia que implica que el acto impugnado sea irrepetible al proscribir toda circunstancia que provoque que la autoridad pueda emitir un nuevo acto en el mismo sentido que el declarado nulo, en tanto que el vicio que dio lugar a tal declaratoria no puede ser subsanado.” -el subrayado es nuestro-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F8671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00BC6ECB" w:rsidRPr="00BC6ECB">
          <w:rPr>
            <w:noProof/>
            <w:lang w:val="es-ES"/>
          </w:rPr>
          <w:t>16</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F8671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00BC6ECB" w:rsidRPr="00BC6ECB">
          <w:rPr>
            <w:noProof/>
            <w:lang w:val="es-ES"/>
          </w:rPr>
          <w:t>15</w:t>
        </w:r>
        <w:r w:rsidR="0019343F">
          <w:fldChar w:fldCharType="end"/>
        </w:r>
      </w:sdtContent>
    </w:sdt>
  </w:p>
  <w:p w14:paraId="51E22156" w14:textId="0D6B14AC"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F65267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38EFA9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F8671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53E1E07"/>
    <w:multiLevelType w:val="hybridMultilevel"/>
    <w:tmpl w:val="8E58535A"/>
    <w:lvl w:ilvl="0" w:tplc="3AD8C734">
      <w:start w:val="1"/>
      <w:numFmt w:val="lowerLetter"/>
      <w:lvlText w:val="%1)"/>
      <w:lvlJc w:val="left"/>
      <w:pPr>
        <w:ind w:left="645" w:hanging="360"/>
      </w:pPr>
      <w:rPr>
        <w:rFonts w:hint="default"/>
        <w:sz w:val="26"/>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20"/>
  </w:num>
  <w:num w:numId="2">
    <w:abstractNumId w:val="6"/>
  </w:num>
  <w:num w:numId="3">
    <w:abstractNumId w:val="3"/>
  </w:num>
  <w:num w:numId="4">
    <w:abstractNumId w:val="16"/>
  </w:num>
  <w:num w:numId="5">
    <w:abstractNumId w:val="19"/>
  </w:num>
  <w:num w:numId="6">
    <w:abstractNumId w:val="11"/>
  </w:num>
  <w:num w:numId="7">
    <w:abstractNumId w:val="9"/>
  </w:num>
  <w:num w:numId="8">
    <w:abstractNumId w:val="5"/>
  </w:num>
  <w:num w:numId="9">
    <w:abstractNumId w:val="8"/>
  </w:num>
  <w:num w:numId="10">
    <w:abstractNumId w:val="14"/>
  </w:num>
  <w:num w:numId="11">
    <w:abstractNumId w:val="17"/>
  </w:num>
  <w:num w:numId="12">
    <w:abstractNumId w:val="4"/>
  </w:num>
  <w:num w:numId="13">
    <w:abstractNumId w:val="7"/>
  </w:num>
  <w:num w:numId="14">
    <w:abstractNumId w:val="0"/>
  </w:num>
  <w:num w:numId="15">
    <w:abstractNumId w:val="18"/>
  </w:num>
  <w:num w:numId="16">
    <w:abstractNumId w:val="1"/>
  </w:num>
  <w:num w:numId="17">
    <w:abstractNumId w:val="2"/>
  </w:num>
  <w:num w:numId="18">
    <w:abstractNumId w:val="13"/>
  </w:num>
  <w:num w:numId="19">
    <w:abstractNumId w:val="10"/>
  </w:num>
  <w:num w:numId="20">
    <w:abstractNumId w:val="12"/>
  </w:num>
  <w:num w:numId="21">
    <w:abstractNumId w:val="2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3BA6"/>
    <w:rsid w:val="000540E8"/>
    <w:rsid w:val="00054705"/>
    <w:rsid w:val="00054D3C"/>
    <w:rsid w:val="00055248"/>
    <w:rsid w:val="00055F66"/>
    <w:rsid w:val="000562FB"/>
    <w:rsid w:val="000565B2"/>
    <w:rsid w:val="00056F69"/>
    <w:rsid w:val="00060DBB"/>
    <w:rsid w:val="00061268"/>
    <w:rsid w:val="00061610"/>
    <w:rsid w:val="000616B5"/>
    <w:rsid w:val="00061C4C"/>
    <w:rsid w:val="0006202A"/>
    <w:rsid w:val="000620CD"/>
    <w:rsid w:val="00062802"/>
    <w:rsid w:val="00062BE3"/>
    <w:rsid w:val="00063759"/>
    <w:rsid w:val="00064906"/>
    <w:rsid w:val="00064DD2"/>
    <w:rsid w:val="00064FD9"/>
    <w:rsid w:val="00067246"/>
    <w:rsid w:val="00067B5A"/>
    <w:rsid w:val="00070777"/>
    <w:rsid w:val="00070AA4"/>
    <w:rsid w:val="00071883"/>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3C51"/>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191"/>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17B74"/>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55B"/>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C40"/>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0AD"/>
    <w:rsid w:val="001A6EBE"/>
    <w:rsid w:val="001A6F68"/>
    <w:rsid w:val="001A7533"/>
    <w:rsid w:val="001A77FB"/>
    <w:rsid w:val="001B009D"/>
    <w:rsid w:val="001B035C"/>
    <w:rsid w:val="001B046F"/>
    <w:rsid w:val="001B13DB"/>
    <w:rsid w:val="001B17F6"/>
    <w:rsid w:val="001B1DC7"/>
    <w:rsid w:val="001B341D"/>
    <w:rsid w:val="001B3A10"/>
    <w:rsid w:val="001B3B5C"/>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142"/>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800"/>
    <w:rsid w:val="00223F75"/>
    <w:rsid w:val="002241C3"/>
    <w:rsid w:val="00224412"/>
    <w:rsid w:val="002246DF"/>
    <w:rsid w:val="002248E9"/>
    <w:rsid w:val="00225069"/>
    <w:rsid w:val="002256A3"/>
    <w:rsid w:val="00227445"/>
    <w:rsid w:val="00227471"/>
    <w:rsid w:val="00230D10"/>
    <w:rsid w:val="00231036"/>
    <w:rsid w:val="00232D7F"/>
    <w:rsid w:val="0023417B"/>
    <w:rsid w:val="002350A1"/>
    <w:rsid w:val="00235B8F"/>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21"/>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F2E"/>
    <w:rsid w:val="002926B1"/>
    <w:rsid w:val="00292CA5"/>
    <w:rsid w:val="002937DD"/>
    <w:rsid w:val="00293B1D"/>
    <w:rsid w:val="00293E41"/>
    <w:rsid w:val="00296748"/>
    <w:rsid w:val="0029713B"/>
    <w:rsid w:val="002973E7"/>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2B36"/>
    <w:rsid w:val="002B3BA3"/>
    <w:rsid w:val="002B4040"/>
    <w:rsid w:val="002B5C09"/>
    <w:rsid w:val="002B5C82"/>
    <w:rsid w:val="002B62B3"/>
    <w:rsid w:val="002B6893"/>
    <w:rsid w:val="002B6B23"/>
    <w:rsid w:val="002B6B9D"/>
    <w:rsid w:val="002B6C19"/>
    <w:rsid w:val="002B6D0D"/>
    <w:rsid w:val="002B79C4"/>
    <w:rsid w:val="002B7ADB"/>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6FF0"/>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1DDF"/>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07E"/>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780"/>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524"/>
    <w:rsid w:val="00334A65"/>
    <w:rsid w:val="003364DB"/>
    <w:rsid w:val="00336A8D"/>
    <w:rsid w:val="00337583"/>
    <w:rsid w:val="00337978"/>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4F9"/>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604"/>
    <w:rsid w:val="003A3EA0"/>
    <w:rsid w:val="003A4BB5"/>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62"/>
    <w:rsid w:val="003D5BAD"/>
    <w:rsid w:val="003D5F20"/>
    <w:rsid w:val="003D6E19"/>
    <w:rsid w:val="003D737D"/>
    <w:rsid w:val="003D7E33"/>
    <w:rsid w:val="003E0C30"/>
    <w:rsid w:val="003E0F2A"/>
    <w:rsid w:val="003E14DE"/>
    <w:rsid w:val="003E1CD9"/>
    <w:rsid w:val="003E2CF8"/>
    <w:rsid w:val="003E3169"/>
    <w:rsid w:val="003E35FB"/>
    <w:rsid w:val="003E3999"/>
    <w:rsid w:val="003E43BE"/>
    <w:rsid w:val="003E4A4E"/>
    <w:rsid w:val="003E504F"/>
    <w:rsid w:val="003E5B17"/>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009"/>
    <w:rsid w:val="00411707"/>
    <w:rsid w:val="0041258E"/>
    <w:rsid w:val="00412C2F"/>
    <w:rsid w:val="0041486D"/>
    <w:rsid w:val="0041584F"/>
    <w:rsid w:val="00415924"/>
    <w:rsid w:val="004165A7"/>
    <w:rsid w:val="00416F89"/>
    <w:rsid w:val="00417B7B"/>
    <w:rsid w:val="004211BE"/>
    <w:rsid w:val="0042205F"/>
    <w:rsid w:val="0042210D"/>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884"/>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6513"/>
    <w:rsid w:val="004572E7"/>
    <w:rsid w:val="00457778"/>
    <w:rsid w:val="00457FE0"/>
    <w:rsid w:val="004606DA"/>
    <w:rsid w:val="00460CD3"/>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79D"/>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28C"/>
    <w:rsid w:val="00515288"/>
    <w:rsid w:val="00515B21"/>
    <w:rsid w:val="00515CF2"/>
    <w:rsid w:val="00517079"/>
    <w:rsid w:val="00520023"/>
    <w:rsid w:val="005201C4"/>
    <w:rsid w:val="00520569"/>
    <w:rsid w:val="005212AE"/>
    <w:rsid w:val="005222C2"/>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0E7F"/>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26"/>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071"/>
    <w:rsid w:val="005B68CE"/>
    <w:rsid w:val="005B69DA"/>
    <w:rsid w:val="005B6E2C"/>
    <w:rsid w:val="005B74AB"/>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7DF"/>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37D"/>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86E"/>
    <w:rsid w:val="00624481"/>
    <w:rsid w:val="00624802"/>
    <w:rsid w:val="00624F20"/>
    <w:rsid w:val="00625F4E"/>
    <w:rsid w:val="00626A0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1D7"/>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1F8E"/>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2773"/>
    <w:rsid w:val="00743E50"/>
    <w:rsid w:val="00743F9C"/>
    <w:rsid w:val="00744DC2"/>
    <w:rsid w:val="00744E48"/>
    <w:rsid w:val="00744EED"/>
    <w:rsid w:val="00746015"/>
    <w:rsid w:val="00746730"/>
    <w:rsid w:val="0075000B"/>
    <w:rsid w:val="00751760"/>
    <w:rsid w:val="00752C85"/>
    <w:rsid w:val="00752CFC"/>
    <w:rsid w:val="00754055"/>
    <w:rsid w:val="00755A32"/>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0C19"/>
    <w:rsid w:val="007711A1"/>
    <w:rsid w:val="00771AF2"/>
    <w:rsid w:val="007722CF"/>
    <w:rsid w:val="00772E06"/>
    <w:rsid w:val="00773946"/>
    <w:rsid w:val="00773C44"/>
    <w:rsid w:val="00774396"/>
    <w:rsid w:val="007743DD"/>
    <w:rsid w:val="007758EE"/>
    <w:rsid w:val="00775BD0"/>
    <w:rsid w:val="007779BF"/>
    <w:rsid w:val="00777B9A"/>
    <w:rsid w:val="00777CFA"/>
    <w:rsid w:val="00777F6C"/>
    <w:rsid w:val="007806D4"/>
    <w:rsid w:val="00781E84"/>
    <w:rsid w:val="00781EFF"/>
    <w:rsid w:val="00782019"/>
    <w:rsid w:val="00783865"/>
    <w:rsid w:val="007841D1"/>
    <w:rsid w:val="00786A0E"/>
    <w:rsid w:val="00787328"/>
    <w:rsid w:val="00787403"/>
    <w:rsid w:val="00787FF8"/>
    <w:rsid w:val="007904C9"/>
    <w:rsid w:val="00790CF4"/>
    <w:rsid w:val="00790DA7"/>
    <w:rsid w:val="00791866"/>
    <w:rsid w:val="00791F5C"/>
    <w:rsid w:val="007927EC"/>
    <w:rsid w:val="00792B4F"/>
    <w:rsid w:val="00792E46"/>
    <w:rsid w:val="00792E5F"/>
    <w:rsid w:val="007934FC"/>
    <w:rsid w:val="00793C07"/>
    <w:rsid w:val="00794C8F"/>
    <w:rsid w:val="00795A12"/>
    <w:rsid w:val="00796315"/>
    <w:rsid w:val="00796538"/>
    <w:rsid w:val="00796AB8"/>
    <w:rsid w:val="00796CE5"/>
    <w:rsid w:val="007A0C87"/>
    <w:rsid w:val="007A0DD5"/>
    <w:rsid w:val="007A1877"/>
    <w:rsid w:val="007A1A79"/>
    <w:rsid w:val="007A3444"/>
    <w:rsid w:val="007A367E"/>
    <w:rsid w:val="007A3AF8"/>
    <w:rsid w:val="007A43A0"/>
    <w:rsid w:val="007A47F2"/>
    <w:rsid w:val="007A490A"/>
    <w:rsid w:val="007A530A"/>
    <w:rsid w:val="007A65AF"/>
    <w:rsid w:val="007A719C"/>
    <w:rsid w:val="007A726F"/>
    <w:rsid w:val="007A757A"/>
    <w:rsid w:val="007A78AD"/>
    <w:rsid w:val="007A7CB6"/>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6731"/>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0AE9"/>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17C35"/>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6251"/>
    <w:rsid w:val="008370CF"/>
    <w:rsid w:val="00837CEF"/>
    <w:rsid w:val="00840C89"/>
    <w:rsid w:val="0084114B"/>
    <w:rsid w:val="00841D66"/>
    <w:rsid w:val="00842756"/>
    <w:rsid w:val="008430AD"/>
    <w:rsid w:val="008433AE"/>
    <w:rsid w:val="0084355F"/>
    <w:rsid w:val="00843D17"/>
    <w:rsid w:val="00845324"/>
    <w:rsid w:val="00846DD0"/>
    <w:rsid w:val="0084703C"/>
    <w:rsid w:val="008473A8"/>
    <w:rsid w:val="00847424"/>
    <w:rsid w:val="00847B25"/>
    <w:rsid w:val="00850061"/>
    <w:rsid w:val="00850259"/>
    <w:rsid w:val="008504C8"/>
    <w:rsid w:val="00851000"/>
    <w:rsid w:val="00851789"/>
    <w:rsid w:val="00853C52"/>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2BD"/>
    <w:rsid w:val="0088412E"/>
    <w:rsid w:val="00884613"/>
    <w:rsid w:val="00884F71"/>
    <w:rsid w:val="0088509D"/>
    <w:rsid w:val="00885A50"/>
    <w:rsid w:val="00885AF1"/>
    <w:rsid w:val="008866BD"/>
    <w:rsid w:val="00887311"/>
    <w:rsid w:val="00887B04"/>
    <w:rsid w:val="00890833"/>
    <w:rsid w:val="00890BC5"/>
    <w:rsid w:val="00890E9C"/>
    <w:rsid w:val="00891864"/>
    <w:rsid w:val="008927FE"/>
    <w:rsid w:val="00893B24"/>
    <w:rsid w:val="00894002"/>
    <w:rsid w:val="00894406"/>
    <w:rsid w:val="008946EA"/>
    <w:rsid w:val="00894A6C"/>
    <w:rsid w:val="00894D4A"/>
    <w:rsid w:val="0089545F"/>
    <w:rsid w:val="0089557F"/>
    <w:rsid w:val="008959BA"/>
    <w:rsid w:val="00896821"/>
    <w:rsid w:val="00896F48"/>
    <w:rsid w:val="0089766D"/>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885"/>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747"/>
    <w:rsid w:val="008D1EDE"/>
    <w:rsid w:val="008D32AD"/>
    <w:rsid w:val="008D3620"/>
    <w:rsid w:val="008D37F7"/>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E548F"/>
    <w:rsid w:val="008F0205"/>
    <w:rsid w:val="008F0667"/>
    <w:rsid w:val="008F0DCC"/>
    <w:rsid w:val="008F188C"/>
    <w:rsid w:val="008F1EB2"/>
    <w:rsid w:val="008F284E"/>
    <w:rsid w:val="008F2BAD"/>
    <w:rsid w:val="008F2CAE"/>
    <w:rsid w:val="008F39F2"/>
    <w:rsid w:val="008F45EB"/>
    <w:rsid w:val="008F471E"/>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19EA"/>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8BC"/>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92"/>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C18"/>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4E1"/>
    <w:rsid w:val="00A32881"/>
    <w:rsid w:val="00A32E73"/>
    <w:rsid w:val="00A3359F"/>
    <w:rsid w:val="00A33F3B"/>
    <w:rsid w:val="00A352E3"/>
    <w:rsid w:val="00A35446"/>
    <w:rsid w:val="00A35615"/>
    <w:rsid w:val="00A3583F"/>
    <w:rsid w:val="00A35EA5"/>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60"/>
    <w:rsid w:val="00AA0197"/>
    <w:rsid w:val="00AA029D"/>
    <w:rsid w:val="00AA0D66"/>
    <w:rsid w:val="00AA11A2"/>
    <w:rsid w:val="00AA20E4"/>
    <w:rsid w:val="00AA221F"/>
    <w:rsid w:val="00AA2502"/>
    <w:rsid w:val="00AA2C0B"/>
    <w:rsid w:val="00AA2CA6"/>
    <w:rsid w:val="00AA3786"/>
    <w:rsid w:val="00AA38B9"/>
    <w:rsid w:val="00AA3F54"/>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18B"/>
    <w:rsid w:val="00AD77FD"/>
    <w:rsid w:val="00AD79E2"/>
    <w:rsid w:val="00AD7FFB"/>
    <w:rsid w:val="00AE0003"/>
    <w:rsid w:val="00AE1C5C"/>
    <w:rsid w:val="00AE271F"/>
    <w:rsid w:val="00AE2B81"/>
    <w:rsid w:val="00AE2DD8"/>
    <w:rsid w:val="00AE3DF5"/>
    <w:rsid w:val="00AE4CFF"/>
    <w:rsid w:val="00AE4E46"/>
    <w:rsid w:val="00AE52B0"/>
    <w:rsid w:val="00AE54F8"/>
    <w:rsid w:val="00AE5C7F"/>
    <w:rsid w:val="00AE77BA"/>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6E0F"/>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E8D"/>
    <w:rsid w:val="00B14D57"/>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6666"/>
    <w:rsid w:val="00B372E3"/>
    <w:rsid w:val="00B37C1A"/>
    <w:rsid w:val="00B37D09"/>
    <w:rsid w:val="00B40212"/>
    <w:rsid w:val="00B40B0C"/>
    <w:rsid w:val="00B40B73"/>
    <w:rsid w:val="00B41312"/>
    <w:rsid w:val="00B417BF"/>
    <w:rsid w:val="00B42215"/>
    <w:rsid w:val="00B438BE"/>
    <w:rsid w:val="00B453AD"/>
    <w:rsid w:val="00B455E1"/>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7EE"/>
    <w:rsid w:val="00B558B6"/>
    <w:rsid w:val="00B55AEC"/>
    <w:rsid w:val="00B55C20"/>
    <w:rsid w:val="00B56166"/>
    <w:rsid w:val="00B565A9"/>
    <w:rsid w:val="00B5681F"/>
    <w:rsid w:val="00B56B19"/>
    <w:rsid w:val="00B56F11"/>
    <w:rsid w:val="00B60E54"/>
    <w:rsid w:val="00B6152A"/>
    <w:rsid w:val="00B61A36"/>
    <w:rsid w:val="00B61E5C"/>
    <w:rsid w:val="00B6208F"/>
    <w:rsid w:val="00B6219D"/>
    <w:rsid w:val="00B6293F"/>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EA"/>
    <w:rsid w:val="00BA258A"/>
    <w:rsid w:val="00BA2A3D"/>
    <w:rsid w:val="00BA31EF"/>
    <w:rsid w:val="00BA3677"/>
    <w:rsid w:val="00BA3973"/>
    <w:rsid w:val="00BA42E0"/>
    <w:rsid w:val="00BA5246"/>
    <w:rsid w:val="00BA59AD"/>
    <w:rsid w:val="00BA63BB"/>
    <w:rsid w:val="00BA65C8"/>
    <w:rsid w:val="00BA6A89"/>
    <w:rsid w:val="00BA6F7A"/>
    <w:rsid w:val="00BA756A"/>
    <w:rsid w:val="00BA79B7"/>
    <w:rsid w:val="00BA7E4A"/>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36C"/>
    <w:rsid w:val="00BC45CE"/>
    <w:rsid w:val="00BC4F3D"/>
    <w:rsid w:val="00BC64CE"/>
    <w:rsid w:val="00BC6509"/>
    <w:rsid w:val="00BC68AD"/>
    <w:rsid w:val="00BC6ECB"/>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DF7"/>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A02"/>
    <w:rsid w:val="00C26147"/>
    <w:rsid w:val="00C268F6"/>
    <w:rsid w:val="00C27D1A"/>
    <w:rsid w:val="00C31200"/>
    <w:rsid w:val="00C31A08"/>
    <w:rsid w:val="00C31BE7"/>
    <w:rsid w:val="00C32229"/>
    <w:rsid w:val="00C32DE7"/>
    <w:rsid w:val="00C32F73"/>
    <w:rsid w:val="00C32FD3"/>
    <w:rsid w:val="00C341CB"/>
    <w:rsid w:val="00C3542E"/>
    <w:rsid w:val="00C359AB"/>
    <w:rsid w:val="00C35B5E"/>
    <w:rsid w:val="00C370A0"/>
    <w:rsid w:val="00C4017A"/>
    <w:rsid w:val="00C404FF"/>
    <w:rsid w:val="00C40770"/>
    <w:rsid w:val="00C41357"/>
    <w:rsid w:val="00C41799"/>
    <w:rsid w:val="00C41B56"/>
    <w:rsid w:val="00C4244D"/>
    <w:rsid w:val="00C42C2F"/>
    <w:rsid w:val="00C43455"/>
    <w:rsid w:val="00C43B8F"/>
    <w:rsid w:val="00C4450E"/>
    <w:rsid w:val="00C44980"/>
    <w:rsid w:val="00C45268"/>
    <w:rsid w:val="00C455CD"/>
    <w:rsid w:val="00C45BBF"/>
    <w:rsid w:val="00C46708"/>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61AC"/>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770E5"/>
    <w:rsid w:val="00C80261"/>
    <w:rsid w:val="00C808D5"/>
    <w:rsid w:val="00C810FC"/>
    <w:rsid w:val="00C82139"/>
    <w:rsid w:val="00C83543"/>
    <w:rsid w:val="00C83651"/>
    <w:rsid w:val="00C83754"/>
    <w:rsid w:val="00C83F2B"/>
    <w:rsid w:val="00C843FD"/>
    <w:rsid w:val="00C84998"/>
    <w:rsid w:val="00C855DB"/>
    <w:rsid w:val="00C85611"/>
    <w:rsid w:val="00C9111E"/>
    <w:rsid w:val="00C91446"/>
    <w:rsid w:val="00C919AB"/>
    <w:rsid w:val="00C91D5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A6D"/>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1742"/>
    <w:rsid w:val="00CD2580"/>
    <w:rsid w:val="00CD3739"/>
    <w:rsid w:val="00CD3AE0"/>
    <w:rsid w:val="00CD3B16"/>
    <w:rsid w:val="00CD4B83"/>
    <w:rsid w:val="00CD5020"/>
    <w:rsid w:val="00CD58BA"/>
    <w:rsid w:val="00CD6145"/>
    <w:rsid w:val="00CD64DE"/>
    <w:rsid w:val="00CD6D50"/>
    <w:rsid w:val="00CD7638"/>
    <w:rsid w:val="00CD7E0D"/>
    <w:rsid w:val="00CD7E95"/>
    <w:rsid w:val="00CE0367"/>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1B1"/>
    <w:rsid w:val="00D30447"/>
    <w:rsid w:val="00D30DBA"/>
    <w:rsid w:val="00D30EC7"/>
    <w:rsid w:val="00D33362"/>
    <w:rsid w:val="00D33C0D"/>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2F85"/>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2B7"/>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3192"/>
    <w:rsid w:val="00DB45FD"/>
    <w:rsid w:val="00DB48F6"/>
    <w:rsid w:val="00DB4D86"/>
    <w:rsid w:val="00DB516F"/>
    <w:rsid w:val="00DB5935"/>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16C"/>
    <w:rsid w:val="00DD476F"/>
    <w:rsid w:val="00DD4E98"/>
    <w:rsid w:val="00DD5490"/>
    <w:rsid w:val="00DD58B8"/>
    <w:rsid w:val="00DD5EFB"/>
    <w:rsid w:val="00DD618F"/>
    <w:rsid w:val="00DD674C"/>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870"/>
    <w:rsid w:val="00DF2FA1"/>
    <w:rsid w:val="00DF3AE1"/>
    <w:rsid w:val="00DF5862"/>
    <w:rsid w:val="00DF5E93"/>
    <w:rsid w:val="00DF66BB"/>
    <w:rsid w:val="00DF7063"/>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90A"/>
    <w:rsid w:val="00E1063D"/>
    <w:rsid w:val="00E10676"/>
    <w:rsid w:val="00E10E12"/>
    <w:rsid w:val="00E119EA"/>
    <w:rsid w:val="00E11DB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7E1"/>
    <w:rsid w:val="00E239BA"/>
    <w:rsid w:val="00E241BE"/>
    <w:rsid w:val="00E24415"/>
    <w:rsid w:val="00E24BEF"/>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0BFC"/>
    <w:rsid w:val="00E8167D"/>
    <w:rsid w:val="00E81BCF"/>
    <w:rsid w:val="00E8217A"/>
    <w:rsid w:val="00E82708"/>
    <w:rsid w:val="00E8399A"/>
    <w:rsid w:val="00E839A4"/>
    <w:rsid w:val="00E839CE"/>
    <w:rsid w:val="00E83AB6"/>
    <w:rsid w:val="00E83EE2"/>
    <w:rsid w:val="00E86047"/>
    <w:rsid w:val="00E86520"/>
    <w:rsid w:val="00E86711"/>
    <w:rsid w:val="00E86798"/>
    <w:rsid w:val="00E90BD7"/>
    <w:rsid w:val="00E90CAB"/>
    <w:rsid w:val="00E90E54"/>
    <w:rsid w:val="00E9118C"/>
    <w:rsid w:val="00E911AC"/>
    <w:rsid w:val="00E914A9"/>
    <w:rsid w:val="00E92595"/>
    <w:rsid w:val="00E92824"/>
    <w:rsid w:val="00E92FE6"/>
    <w:rsid w:val="00E93342"/>
    <w:rsid w:val="00E94929"/>
    <w:rsid w:val="00E9535A"/>
    <w:rsid w:val="00E9569C"/>
    <w:rsid w:val="00E968B6"/>
    <w:rsid w:val="00E96D3C"/>
    <w:rsid w:val="00E97839"/>
    <w:rsid w:val="00E97BE5"/>
    <w:rsid w:val="00EA1685"/>
    <w:rsid w:val="00EA2148"/>
    <w:rsid w:val="00EA2C19"/>
    <w:rsid w:val="00EA3031"/>
    <w:rsid w:val="00EA3072"/>
    <w:rsid w:val="00EA3B39"/>
    <w:rsid w:val="00EA3B87"/>
    <w:rsid w:val="00EA3BBF"/>
    <w:rsid w:val="00EA3EA7"/>
    <w:rsid w:val="00EA4E47"/>
    <w:rsid w:val="00EA4F63"/>
    <w:rsid w:val="00EA5703"/>
    <w:rsid w:val="00EA689E"/>
    <w:rsid w:val="00EA7C5F"/>
    <w:rsid w:val="00EA7FAC"/>
    <w:rsid w:val="00EB0480"/>
    <w:rsid w:val="00EB0B1A"/>
    <w:rsid w:val="00EB0B56"/>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515"/>
    <w:rsid w:val="00EE1CC8"/>
    <w:rsid w:val="00EE236A"/>
    <w:rsid w:val="00EE23FE"/>
    <w:rsid w:val="00EE2649"/>
    <w:rsid w:val="00EE3015"/>
    <w:rsid w:val="00EE31AF"/>
    <w:rsid w:val="00EE34A1"/>
    <w:rsid w:val="00EE3879"/>
    <w:rsid w:val="00EE41A1"/>
    <w:rsid w:val="00EE50C5"/>
    <w:rsid w:val="00EE536C"/>
    <w:rsid w:val="00EE53E7"/>
    <w:rsid w:val="00EE71BF"/>
    <w:rsid w:val="00EE73E5"/>
    <w:rsid w:val="00EE7B44"/>
    <w:rsid w:val="00EE7D04"/>
    <w:rsid w:val="00EE7FB9"/>
    <w:rsid w:val="00EF09AC"/>
    <w:rsid w:val="00EF14D1"/>
    <w:rsid w:val="00EF1DD2"/>
    <w:rsid w:val="00EF53BA"/>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207"/>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27B"/>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830"/>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96F"/>
    <w:rsid w:val="00F80DF4"/>
    <w:rsid w:val="00F8181F"/>
    <w:rsid w:val="00F8258C"/>
    <w:rsid w:val="00F826FD"/>
    <w:rsid w:val="00F82984"/>
    <w:rsid w:val="00F82BC8"/>
    <w:rsid w:val="00F82E77"/>
    <w:rsid w:val="00F838C1"/>
    <w:rsid w:val="00F83C99"/>
    <w:rsid w:val="00F84C3A"/>
    <w:rsid w:val="00F85662"/>
    <w:rsid w:val="00F8671E"/>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B6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D5D"/>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E9633-0EB6-40BA-886F-2D570CF6A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16</Pages>
  <Words>5950</Words>
  <Characters>32726</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142</cp:revision>
  <cp:lastPrinted>2021-06-10T16:39:00Z</cp:lastPrinted>
  <dcterms:created xsi:type="dcterms:W3CDTF">2021-05-07T14:07:00Z</dcterms:created>
  <dcterms:modified xsi:type="dcterms:W3CDTF">2021-09-21T19:28:00Z</dcterms:modified>
</cp:coreProperties>
</file>