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389E6" w14:textId="77777777" w:rsidR="00150A73" w:rsidRPr="00CB6405" w:rsidRDefault="00150A73" w:rsidP="004D1236">
      <w:pPr>
        <w:spacing w:line="240" w:lineRule="auto"/>
        <w:ind w:left="2268"/>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402E417A" w14:textId="1DE362AB" w:rsidR="00150A73" w:rsidRPr="00A240AA" w:rsidRDefault="00E91497" w:rsidP="004D1236">
      <w:pPr>
        <w:spacing w:line="240" w:lineRule="auto"/>
        <w:ind w:left="2268"/>
        <w:jc w:val="both"/>
        <w:rPr>
          <w:rFonts w:ascii="Arial" w:hAnsi="Arial" w:cs="Arial"/>
          <w:b/>
          <w:sz w:val="26"/>
          <w:szCs w:val="26"/>
        </w:rPr>
      </w:pPr>
      <w:r>
        <w:rPr>
          <w:rFonts w:ascii="Arial" w:hAnsi="Arial" w:cs="Arial"/>
          <w:b/>
          <w:sz w:val="26"/>
          <w:szCs w:val="26"/>
        </w:rPr>
        <w:t xml:space="preserve">RECURSO DE REVISIÓN: </w:t>
      </w:r>
      <w:r w:rsidR="00051CE2">
        <w:rPr>
          <w:rFonts w:ascii="Arial" w:hAnsi="Arial" w:cs="Arial"/>
          <w:b/>
          <w:iCs/>
          <w:caps/>
          <w:sz w:val="26"/>
          <w:szCs w:val="26"/>
        </w:rPr>
        <w:t>0223/2020</w:t>
      </w:r>
    </w:p>
    <w:p w14:paraId="4992C827" w14:textId="48935C3C" w:rsidR="00150A73" w:rsidRPr="00CB6405" w:rsidRDefault="00150A73" w:rsidP="004D1236">
      <w:pPr>
        <w:spacing w:line="240" w:lineRule="auto"/>
        <w:ind w:left="226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051CE2">
        <w:rPr>
          <w:rFonts w:ascii="Arial" w:hAnsi="Arial" w:cs="Arial"/>
          <w:b/>
          <w:iCs/>
          <w:caps/>
          <w:sz w:val="26"/>
          <w:szCs w:val="26"/>
        </w:rPr>
        <w:t xml:space="preserve">0114/2017 </w:t>
      </w:r>
      <w:r w:rsidR="00B879FE">
        <w:rPr>
          <w:rFonts w:ascii="Arial" w:hAnsi="Arial" w:cs="Arial"/>
          <w:b/>
          <w:iCs/>
          <w:caps/>
          <w:sz w:val="26"/>
          <w:szCs w:val="26"/>
        </w:rPr>
        <w:t xml:space="preserve">DE LA </w:t>
      </w:r>
      <w:r w:rsidR="00051CE2">
        <w:rPr>
          <w:rFonts w:ascii="Arial" w:hAnsi="Arial" w:cs="Arial"/>
          <w:b/>
          <w:iCs/>
          <w:caps/>
          <w:sz w:val="26"/>
          <w:szCs w:val="26"/>
        </w:rPr>
        <w:t>SEGUNDA</w:t>
      </w:r>
      <w:r w:rsidR="00234D98" w:rsidRPr="002C2607">
        <w:rPr>
          <w:rFonts w:ascii="Arial" w:hAnsi="Arial" w:cs="Arial"/>
          <w:b/>
          <w:iCs/>
          <w:caps/>
          <w:sz w:val="26"/>
          <w:szCs w:val="26"/>
        </w:rPr>
        <w:t xml:space="preserve"> </w:t>
      </w:r>
      <w:r w:rsidRPr="00CB6405">
        <w:rPr>
          <w:rFonts w:ascii="Arial" w:hAnsi="Arial" w:cs="Arial"/>
          <w:b/>
          <w:sz w:val="26"/>
          <w:szCs w:val="26"/>
        </w:rPr>
        <w:t>SALA UNITARIA DE PRIMERA INSTANCIA</w:t>
      </w:r>
      <w:r w:rsidR="00823AF1">
        <w:rPr>
          <w:rFonts w:ascii="Arial" w:hAnsi="Arial" w:cs="Arial"/>
          <w:b/>
          <w:sz w:val="26"/>
          <w:szCs w:val="26"/>
        </w:rPr>
        <w:t>.</w:t>
      </w:r>
    </w:p>
    <w:p w14:paraId="1F154A0D" w14:textId="77777777" w:rsidR="00150A73" w:rsidRPr="00CB6405" w:rsidRDefault="00150A73" w:rsidP="004D1236">
      <w:pPr>
        <w:spacing w:line="240" w:lineRule="auto"/>
        <w:ind w:left="226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EC68BF3"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71F397BB" w14:textId="005AA7D3"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481564">
        <w:rPr>
          <w:rFonts w:ascii="Arial" w:hAnsi="Arial" w:cs="Arial"/>
          <w:b/>
          <w:sz w:val="26"/>
          <w:szCs w:val="26"/>
        </w:rPr>
        <w:t xml:space="preserve">A </w:t>
      </w:r>
      <w:r w:rsidR="00B46B05">
        <w:rPr>
          <w:rFonts w:ascii="Arial" w:hAnsi="Arial" w:cs="Arial"/>
          <w:b/>
          <w:sz w:val="26"/>
          <w:szCs w:val="26"/>
        </w:rPr>
        <w:t xml:space="preserve">VEINTINUEVE DE SEPTIEMBRE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w:t>
      </w:r>
      <w:r w:rsidR="00051CE2">
        <w:rPr>
          <w:rFonts w:ascii="Arial" w:hAnsi="Arial" w:cs="Arial"/>
          <w:b/>
          <w:sz w:val="26"/>
          <w:szCs w:val="26"/>
        </w:rPr>
        <w:t>MIL VEINTIUNO</w:t>
      </w:r>
      <w:r w:rsidRPr="00CB6405">
        <w:rPr>
          <w:rFonts w:ascii="Arial" w:hAnsi="Arial" w:cs="Arial"/>
          <w:b/>
          <w:sz w:val="26"/>
          <w:szCs w:val="26"/>
        </w:rPr>
        <w:t>.</w:t>
      </w:r>
      <w:r w:rsidR="00351DF6">
        <w:rPr>
          <w:rFonts w:ascii="Arial" w:hAnsi="Arial" w:cs="Arial"/>
          <w:b/>
          <w:sz w:val="26"/>
          <w:szCs w:val="26"/>
        </w:rPr>
        <w:t xml:space="preserve"> - - - - - - - - - - - - - - - - - - - - - - - - - </w:t>
      </w:r>
      <w:r w:rsidR="00051CE2">
        <w:rPr>
          <w:rFonts w:ascii="Arial" w:hAnsi="Arial" w:cs="Arial"/>
          <w:b/>
          <w:sz w:val="26"/>
          <w:szCs w:val="26"/>
        </w:rPr>
        <w:t>- -</w:t>
      </w:r>
    </w:p>
    <w:p w14:paraId="2910D274" w14:textId="287CBED8" w:rsidR="00150A73" w:rsidRPr="002F4DA5" w:rsidRDefault="00150A73" w:rsidP="002F4DA5">
      <w:pPr>
        <w:spacing w:line="360" w:lineRule="auto"/>
        <w:ind w:firstLine="708"/>
        <w:jc w:val="both"/>
        <w:rPr>
          <w:rFonts w:ascii="Arial" w:hAnsi="Arial" w:cs="Arial"/>
          <w:b/>
          <w:sz w:val="26"/>
          <w:szCs w:val="26"/>
          <w:lang w:val="es-MX"/>
        </w:rPr>
      </w:pPr>
      <w:r w:rsidRPr="00CB6405">
        <w:rPr>
          <w:rFonts w:ascii="Arial" w:hAnsi="Arial" w:cs="Arial"/>
          <w:sz w:val="26"/>
          <w:szCs w:val="26"/>
        </w:rPr>
        <w:t xml:space="preserve">Por recibido el Cuaderno de Revisión </w:t>
      </w:r>
      <w:r w:rsidR="00051CE2">
        <w:rPr>
          <w:rFonts w:ascii="Arial" w:hAnsi="Arial" w:cs="Arial"/>
          <w:b/>
          <w:sz w:val="26"/>
          <w:szCs w:val="26"/>
        </w:rPr>
        <w:t>0223/2020</w:t>
      </w:r>
      <w:r w:rsidRPr="00CB6405">
        <w:rPr>
          <w:rFonts w:ascii="Arial" w:hAnsi="Arial" w:cs="Arial"/>
          <w:sz w:val="26"/>
          <w:szCs w:val="26"/>
        </w:rPr>
        <w:t xml:space="preserve">, que remite la Secretaría General de Acuerdos, con motivo del recurso de revisión interpuesto por </w:t>
      </w:r>
      <w:r w:rsidR="00F332E4" w:rsidRPr="00F332E4">
        <w:rPr>
          <w:rFonts w:ascii="Arial" w:hAnsi="Arial" w:cs="Arial"/>
          <w:bCs/>
          <w:sz w:val="26"/>
          <w:szCs w:val="26"/>
          <w:lang w:val="es-MX"/>
        </w:rPr>
        <w:t>la</w:t>
      </w:r>
      <w:r w:rsidR="00051CE2">
        <w:rPr>
          <w:rFonts w:ascii="Arial" w:hAnsi="Arial" w:cs="Arial"/>
          <w:b/>
          <w:sz w:val="26"/>
          <w:szCs w:val="26"/>
          <w:lang w:val="es-MX"/>
        </w:rPr>
        <w:t xml:space="preserve"> TESORERA  MUNICIPAL DE</w:t>
      </w:r>
      <w:r w:rsidR="00F332E4">
        <w:rPr>
          <w:rFonts w:ascii="Arial" w:hAnsi="Arial" w:cs="Arial"/>
          <w:b/>
          <w:sz w:val="26"/>
          <w:szCs w:val="26"/>
          <w:lang w:val="es-MX"/>
        </w:rPr>
        <w:t>L MUNICIPIO DE</w:t>
      </w:r>
      <w:r w:rsidR="00051CE2">
        <w:rPr>
          <w:rFonts w:ascii="Arial" w:hAnsi="Arial" w:cs="Arial"/>
          <w:b/>
          <w:sz w:val="26"/>
          <w:szCs w:val="26"/>
          <w:lang w:val="es-MX"/>
        </w:rPr>
        <w:t xml:space="preserve"> OAXACA DE JUÁREZ, OAXACA</w:t>
      </w:r>
      <w:r w:rsidRPr="00CB6405">
        <w:rPr>
          <w:rFonts w:ascii="Arial" w:hAnsi="Arial" w:cs="Arial"/>
          <w:sz w:val="26"/>
          <w:szCs w:val="26"/>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w:t>
      </w:r>
      <w:r w:rsidR="00051CE2">
        <w:rPr>
          <w:rFonts w:ascii="Arial" w:hAnsi="Arial" w:cs="Arial"/>
          <w:sz w:val="26"/>
          <w:szCs w:val="26"/>
        </w:rPr>
        <w:t>de catorce de agosto de dos mil veinte</w:t>
      </w:r>
      <w:r w:rsidRPr="00A240AA">
        <w:rPr>
          <w:rFonts w:ascii="Arial" w:hAnsi="Arial" w:cs="Arial"/>
          <w:sz w:val="26"/>
          <w:szCs w:val="26"/>
        </w:rPr>
        <w:t xml:space="preserve">, dictada en el expediente </w:t>
      </w:r>
      <w:r w:rsidR="00051CE2">
        <w:rPr>
          <w:rFonts w:ascii="Arial" w:hAnsi="Arial" w:cs="Arial"/>
          <w:b/>
          <w:iCs/>
          <w:caps/>
          <w:sz w:val="26"/>
          <w:szCs w:val="26"/>
        </w:rPr>
        <w:t>0114/2017</w:t>
      </w:r>
      <w:r w:rsidRPr="00A240AA">
        <w:rPr>
          <w:rFonts w:ascii="Arial" w:hAnsi="Arial" w:cs="Arial"/>
          <w:b/>
          <w:sz w:val="26"/>
          <w:szCs w:val="26"/>
        </w:rPr>
        <w:t>,</w:t>
      </w:r>
      <w:r w:rsidRPr="00CB6405">
        <w:rPr>
          <w:rFonts w:ascii="Arial" w:hAnsi="Arial" w:cs="Arial"/>
          <w:sz w:val="26"/>
          <w:szCs w:val="26"/>
        </w:rPr>
        <w:t xml:space="preserve"> de la </w:t>
      </w:r>
      <w:r w:rsidR="00051CE2">
        <w:rPr>
          <w:rFonts w:ascii="Arial" w:hAnsi="Arial" w:cs="Arial"/>
          <w:sz w:val="26"/>
          <w:szCs w:val="26"/>
        </w:rPr>
        <w:t>Segunda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F332E4" w:rsidRPr="00F332E4">
        <w:rPr>
          <w:rFonts w:ascii="Arial" w:hAnsi="Arial" w:cs="Arial"/>
          <w:bCs/>
          <w:sz w:val="26"/>
          <w:szCs w:val="26"/>
          <w:lang w:val="es-MX"/>
        </w:rPr>
        <w:t>el</w:t>
      </w:r>
      <w:r w:rsidR="00051CE2">
        <w:rPr>
          <w:rFonts w:ascii="Arial" w:hAnsi="Arial" w:cs="Arial"/>
          <w:b/>
          <w:sz w:val="26"/>
          <w:szCs w:val="26"/>
          <w:lang w:val="es-MX"/>
        </w:rPr>
        <w:t xml:space="preserve"> DIRECTOR JURÍDICO DEL INSTITUTO DE SEGURIDAD SOCIAL</w:t>
      </w:r>
      <w:r w:rsidR="002F4DA5">
        <w:rPr>
          <w:rFonts w:ascii="Arial" w:hAnsi="Arial" w:cs="Arial"/>
          <w:b/>
          <w:sz w:val="26"/>
          <w:szCs w:val="26"/>
          <w:lang w:val="es-MX"/>
        </w:rPr>
        <w:t xml:space="preserve"> PARA LAS </w:t>
      </w:r>
      <w:r w:rsidR="00051CE2">
        <w:rPr>
          <w:rFonts w:ascii="Arial" w:hAnsi="Arial" w:cs="Arial"/>
          <w:b/>
          <w:sz w:val="26"/>
          <w:szCs w:val="26"/>
          <w:lang w:val="es-MX"/>
        </w:rPr>
        <w:t>FUERZAS ARMADAS MEXICANAS</w:t>
      </w:r>
      <w:r w:rsidR="00F332E4">
        <w:rPr>
          <w:rFonts w:ascii="Arial" w:hAnsi="Arial" w:cs="Arial"/>
          <w:b/>
          <w:sz w:val="26"/>
          <w:szCs w:val="26"/>
          <w:lang w:val="es-MX"/>
        </w:rPr>
        <w:t xml:space="preserve"> Y APODERADO LEGAL DEL CITADO INSTITUTO</w:t>
      </w:r>
      <w:r w:rsidRPr="00CB6405">
        <w:rPr>
          <w:rFonts w:ascii="Arial" w:hAnsi="Arial" w:cs="Arial"/>
          <w:b/>
          <w:sz w:val="26"/>
          <w:szCs w:val="26"/>
        </w:rPr>
        <w:t xml:space="preserve">, </w:t>
      </w:r>
      <w:r w:rsidRPr="00CB6405">
        <w:rPr>
          <w:rFonts w:ascii="Arial" w:hAnsi="Arial" w:cs="Arial"/>
          <w:sz w:val="26"/>
          <w:szCs w:val="26"/>
        </w:rPr>
        <w:t xml:space="preserve">en contra de </w:t>
      </w:r>
      <w:r w:rsidR="002F4DA5" w:rsidRPr="002F4DA5">
        <w:rPr>
          <w:rFonts w:ascii="Arial" w:hAnsi="Arial" w:cs="Arial"/>
          <w:sz w:val="26"/>
          <w:szCs w:val="26"/>
          <w:lang w:val="es-MX"/>
        </w:rPr>
        <w:t>la</w:t>
      </w:r>
      <w:r w:rsidR="002F4DA5">
        <w:rPr>
          <w:rFonts w:ascii="Arial" w:hAnsi="Arial" w:cs="Arial"/>
          <w:b/>
          <w:sz w:val="26"/>
          <w:szCs w:val="26"/>
          <w:lang w:val="es-MX"/>
        </w:rPr>
        <w:t xml:space="preserve"> SUBDIRECTORA DE INGRESOS DEL MUNICIPIO DE OAXACA DE JUÁREZ,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D224D5">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D224D5">
        <w:rPr>
          <w:rFonts w:ascii="Arial" w:hAnsi="Arial" w:cs="Arial"/>
          <w:sz w:val="26"/>
          <w:szCs w:val="26"/>
        </w:rPr>
        <w:t>3</w:t>
      </w:r>
      <w:r w:rsidRPr="00CB6405">
        <w:rPr>
          <w:rFonts w:ascii="Arial" w:hAnsi="Arial" w:cs="Arial"/>
          <w:sz w:val="26"/>
          <w:szCs w:val="26"/>
        </w:rPr>
        <w:t xml:space="preserve">8 de la Ley de </w:t>
      </w:r>
      <w:r w:rsidR="00D224D5">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14:paraId="056666D0"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482F5A8" w14:textId="107B2B55"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2F4DA5">
        <w:rPr>
          <w:rFonts w:ascii="Arial" w:hAnsi="Arial" w:cs="Arial"/>
          <w:sz w:val="26"/>
          <w:szCs w:val="26"/>
        </w:rPr>
        <w:t>la sentencia de catorce de agosto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F4DA5">
        <w:rPr>
          <w:rFonts w:ascii="Arial" w:hAnsi="Arial" w:cs="Arial"/>
          <w:sz w:val="26"/>
          <w:szCs w:val="26"/>
        </w:rPr>
        <w:t>Segunda</w:t>
      </w:r>
      <w:r>
        <w:rPr>
          <w:rFonts w:ascii="Arial" w:hAnsi="Arial" w:cs="Arial"/>
          <w:sz w:val="26"/>
          <w:szCs w:val="26"/>
        </w:rPr>
        <w:t xml:space="preserve"> </w:t>
      </w:r>
      <w:r w:rsidRPr="00CB6405">
        <w:rPr>
          <w:rFonts w:ascii="Arial" w:hAnsi="Arial" w:cs="Arial"/>
          <w:sz w:val="26"/>
          <w:szCs w:val="26"/>
        </w:rPr>
        <w:t>Sala</w:t>
      </w:r>
      <w:r w:rsidR="002F4DA5">
        <w:rPr>
          <w:rFonts w:ascii="Arial" w:hAnsi="Arial" w:cs="Arial"/>
          <w:sz w:val="26"/>
          <w:szCs w:val="26"/>
        </w:rPr>
        <w:t xml:space="preserve"> Unitaria de Primera Instancia, </w:t>
      </w:r>
      <w:r w:rsidR="00F332E4" w:rsidRPr="00F332E4">
        <w:rPr>
          <w:rFonts w:ascii="Arial" w:hAnsi="Arial" w:cs="Arial"/>
          <w:bCs/>
          <w:sz w:val="26"/>
          <w:szCs w:val="26"/>
          <w:lang w:val="es-MX"/>
        </w:rPr>
        <w:t>la</w:t>
      </w:r>
      <w:r w:rsidR="002F4DA5">
        <w:rPr>
          <w:rFonts w:ascii="Arial" w:hAnsi="Arial" w:cs="Arial"/>
          <w:b/>
          <w:sz w:val="26"/>
          <w:szCs w:val="26"/>
          <w:lang w:val="es-MX"/>
        </w:rPr>
        <w:t xml:space="preserve"> TESORERA MUNICIPAL DEL MUNICIPIO DE OAXACA DE JUÁREZ, OAXACA</w:t>
      </w:r>
      <w:r w:rsidRPr="00CB6405">
        <w:rPr>
          <w:rFonts w:ascii="Arial" w:hAnsi="Arial" w:cs="Arial"/>
          <w:sz w:val="26"/>
          <w:szCs w:val="26"/>
        </w:rPr>
        <w:t>, interpuso en su contra recurso de revisión.</w:t>
      </w:r>
      <w:r w:rsidR="00481564">
        <w:rPr>
          <w:rFonts w:ascii="Arial" w:hAnsi="Arial" w:cs="Arial"/>
          <w:sz w:val="26"/>
          <w:szCs w:val="26"/>
        </w:rPr>
        <w:t xml:space="preserve"> - - - </w:t>
      </w:r>
    </w:p>
    <w:p w14:paraId="6F16FB6E" w14:textId="70BF9F03"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481564">
        <w:rPr>
          <w:rFonts w:ascii="Arial" w:hAnsi="Arial" w:cs="Arial"/>
          <w:bCs/>
          <w:sz w:val="26"/>
          <w:szCs w:val="26"/>
        </w:rPr>
        <w:t xml:space="preserve"> - - - - - - - - - - - - - - - - - - - - - - - - - - - - - - - - - - - - - - - - -</w:t>
      </w:r>
    </w:p>
    <w:p w14:paraId="77750C72" w14:textId="2CBBD85D" w:rsidR="00401F03" w:rsidRPr="00754D2D" w:rsidRDefault="002F4DA5" w:rsidP="00754D2D">
      <w:pPr>
        <w:widowControl w:val="0"/>
        <w:tabs>
          <w:tab w:val="left" w:pos="7938"/>
        </w:tabs>
        <w:spacing w:before="240" w:after="0"/>
        <w:ind w:left="1134" w:right="616"/>
        <w:jc w:val="both"/>
        <w:rPr>
          <w:rFonts w:ascii="Arial" w:eastAsia="Times New Roman" w:hAnsi="Arial" w:cs="Arial"/>
          <w:bCs/>
          <w:i/>
          <w:iCs/>
          <w:lang w:eastAsia="es-ES"/>
        </w:rPr>
      </w:pPr>
      <w:r w:rsidRPr="00754D2D">
        <w:rPr>
          <w:rFonts w:ascii="Arial" w:eastAsia="Times New Roman" w:hAnsi="Arial" w:cs="Arial"/>
          <w:bCs/>
          <w:i/>
          <w:iCs/>
          <w:sz w:val="24"/>
          <w:szCs w:val="24"/>
          <w:lang w:eastAsia="es-ES"/>
        </w:rPr>
        <w:t>“</w:t>
      </w:r>
      <w:r w:rsidR="001D0994" w:rsidRPr="00754D2D">
        <w:rPr>
          <w:rFonts w:ascii="Arial" w:hAnsi="Arial" w:cs="Arial"/>
          <w:b/>
          <w:i/>
        </w:rPr>
        <w:t>PRIMERO</w:t>
      </w:r>
      <w:r w:rsidR="0028088E">
        <w:rPr>
          <w:rFonts w:ascii="Arial" w:hAnsi="Arial" w:cs="Arial"/>
          <w:b/>
          <w:i/>
        </w:rPr>
        <w:t>.</w:t>
      </w:r>
      <w:r w:rsidR="001D0994" w:rsidRPr="00754D2D">
        <w:rPr>
          <w:rFonts w:ascii="Arial" w:hAnsi="Arial" w:cs="Arial"/>
          <w:b/>
          <w:i/>
        </w:rPr>
        <w:t xml:space="preserve"> </w:t>
      </w:r>
      <w:r w:rsidR="00401F03" w:rsidRPr="00754D2D">
        <w:rPr>
          <w:rFonts w:ascii="Arial" w:eastAsia="Times New Roman" w:hAnsi="Arial" w:cs="Arial"/>
          <w:bCs/>
          <w:i/>
          <w:iCs/>
          <w:lang w:eastAsia="es-ES"/>
        </w:rPr>
        <w:t>Esta Segunda Sala Unitaria del Tribunal de Justicia Administrativa del Estado de Oaxaca, es competente para conocer y resolver del presente Juicio.</w:t>
      </w:r>
    </w:p>
    <w:p w14:paraId="4871B41D" w14:textId="3D682633" w:rsidR="001D0994" w:rsidRPr="00754D2D" w:rsidRDefault="001D0994" w:rsidP="00754D2D">
      <w:pPr>
        <w:widowControl w:val="0"/>
        <w:tabs>
          <w:tab w:val="left" w:pos="7938"/>
        </w:tabs>
        <w:spacing w:before="240" w:after="0"/>
        <w:ind w:left="1134" w:right="616"/>
        <w:jc w:val="both"/>
        <w:rPr>
          <w:rFonts w:ascii="Arial" w:eastAsia="Times New Roman" w:hAnsi="Arial" w:cs="Arial"/>
          <w:bCs/>
          <w:i/>
          <w:iCs/>
          <w:lang w:eastAsia="es-ES"/>
        </w:rPr>
      </w:pPr>
      <w:r w:rsidRPr="00754D2D">
        <w:rPr>
          <w:rFonts w:ascii="Arial" w:hAnsi="Arial" w:cs="Arial"/>
          <w:b/>
          <w:i/>
        </w:rPr>
        <w:t xml:space="preserve">SEGUNDO. </w:t>
      </w:r>
      <w:r w:rsidR="00401F03" w:rsidRPr="00754D2D">
        <w:rPr>
          <w:rFonts w:ascii="Arial" w:eastAsia="Times New Roman" w:hAnsi="Arial" w:cs="Arial"/>
          <w:bCs/>
          <w:i/>
          <w:iCs/>
          <w:lang w:eastAsia="es-ES"/>
        </w:rPr>
        <w:t>La personalidad de las partes quedó acreditada en autos</w:t>
      </w:r>
      <w:r w:rsidRPr="00754D2D">
        <w:rPr>
          <w:rFonts w:ascii="Arial" w:hAnsi="Arial" w:cs="Arial"/>
          <w:i/>
        </w:rPr>
        <w:t xml:space="preserve">. </w:t>
      </w:r>
    </w:p>
    <w:p w14:paraId="6B1D615D" w14:textId="5F8E5821" w:rsidR="005D5D95" w:rsidRPr="00754D2D" w:rsidRDefault="001D0994" w:rsidP="00754D2D">
      <w:pPr>
        <w:ind w:left="1134" w:right="758"/>
        <w:jc w:val="both"/>
        <w:rPr>
          <w:rFonts w:ascii="Arial" w:hAnsi="Arial" w:cs="Arial"/>
          <w:i/>
        </w:rPr>
      </w:pPr>
      <w:r w:rsidRPr="00754D2D">
        <w:rPr>
          <w:rFonts w:ascii="Arial" w:hAnsi="Arial" w:cs="Arial"/>
          <w:b/>
          <w:i/>
        </w:rPr>
        <w:lastRenderedPageBreak/>
        <w:t xml:space="preserve">TERCERO. </w:t>
      </w:r>
      <w:r w:rsidR="00401F03" w:rsidRPr="00754D2D">
        <w:rPr>
          <w:rFonts w:ascii="Arial" w:eastAsia="Times New Roman" w:hAnsi="Arial" w:cs="Arial"/>
          <w:bCs/>
          <w:i/>
          <w:iCs/>
          <w:lang w:eastAsia="es-ES"/>
        </w:rPr>
        <w:t xml:space="preserve">Esta Sala Unitaria advierte que, en el presente juicio no se configura alguna causal de improcedencia o sobreseimiento, por tanto, </w:t>
      </w:r>
      <w:r w:rsidR="00401F03" w:rsidRPr="00754D2D">
        <w:rPr>
          <w:rFonts w:ascii="Arial" w:eastAsia="Times New Roman" w:hAnsi="Arial" w:cs="Arial"/>
          <w:b/>
          <w:bCs/>
          <w:i/>
          <w:iCs/>
          <w:lang w:eastAsia="es-ES"/>
        </w:rPr>
        <w:t>NO SE SOBRESEE.</w:t>
      </w:r>
    </w:p>
    <w:p w14:paraId="4B7D22D6" w14:textId="77777777" w:rsidR="00F332E4" w:rsidRPr="00754D2D" w:rsidRDefault="001D0994" w:rsidP="00754D2D">
      <w:pPr>
        <w:widowControl w:val="0"/>
        <w:tabs>
          <w:tab w:val="left" w:pos="7938"/>
        </w:tabs>
        <w:spacing w:before="240" w:after="0"/>
        <w:ind w:left="1134" w:right="616"/>
        <w:jc w:val="both"/>
        <w:rPr>
          <w:rFonts w:ascii="Arial" w:eastAsia="Times New Roman" w:hAnsi="Arial" w:cs="Arial"/>
          <w:bCs/>
          <w:i/>
          <w:iCs/>
          <w:lang w:eastAsia="es-ES"/>
        </w:rPr>
      </w:pPr>
      <w:r w:rsidRPr="00754D2D">
        <w:rPr>
          <w:rFonts w:ascii="Arial" w:hAnsi="Arial" w:cs="Arial"/>
          <w:b/>
          <w:i/>
        </w:rPr>
        <w:t>CUARTO</w:t>
      </w:r>
      <w:r w:rsidRPr="00754D2D">
        <w:rPr>
          <w:rFonts w:ascii="Arial" w:hAnsi="Arial" w:cs="Arial"/>
          <w:i/>
        </w:rPr>
        <w:t xml:space="preserve">.- </w:t>
      </w:r>
      <w:r w:rsidR="00401F03" w:rsidRPr="00754D2D">
        <w:rPr>
          <w:rFonts w:ascii="Arial" w:eastAsia="Times New Roman" w:hAnsi="Arial" w:cs="Arial"/>
          <w:bCs/>
          <w:i/>
          <w:iCs/>
          <w:lang w:eastAsia="es-ES"/>
        </w:rPr>
        <w:t xml:space="preserve">Se declara la </w:t>
      </w:r>
      <w:r w:rsidR="00401F03" w:rsidRPr="00754D2D">
        <w:rPr>
          <w:rFonts w:ascii="Arial" w:eastAsia="Times New Roman" w:hAnsi="Arial" w:cs="Arial"/>
          <w:b/>
          <w:bCs/>
          <w:i/>
          <w:iCs/>
          <w:lang w:eastAsia="es-ES"/>
        </w:rPr>
        <w:t xml:space="preserve">NULIDAD LISA Y LLANA </w:t>
      </w:r>
      <w:r w:rsidR="00401F03" w:rsidRPr="00754D2D">
        <w:rPr>
          <w:rFonts w:ascii="Arial" w:eastAsia="Times New Roman" w:hAnsi="Arial" w:cs="Arial"/>
          <w:bCs/>
          <w:i/>
          <w:iCs/>
          <w:lang w:eastAsia="es-ES"/>
        </w:rPr>
        <w:t xml:space="preserve">del Acuerdo Municipal número CFA/TM/DICF/575/2017, de fecha treinta y uno de julio de dos mil diecisiete, emitido por la Directora de Ingresos y Control Fiscal del Ayuntamiento de Oaxaca de Juárez, Oaxaca (ahora Subdirectora de Ingresos del Municipio de Oaxaca de Juárez, Oaxaca); en consecuencia, </w:t>
      </w:r>
      <w:r w:rsidR="00401F03" w:rsidRPr="00754D2D">
        <w:rPr>
          <w:rFonts w:ascii="Arial" w:eastAsia="Times New Roman" w:hAnsi="Arial" w:cs="Arial"/>
          <w:b/>
          <w:bCs/>
          <w:i/>
          <w:iCs/>
          <w:lang w:eastAsia="es-ES"/>
        </w:rPr>
        <w:t xml:space="preserve">se ordena </w:t>
      </w:r>
      <w:r w:rsidR="00401F03" w:rsidRPr="00754D2D">
        <w:rPr>
          <w:rFonts w:ascii="Arial" w:eastAsia="Times New Roman" w:hAnsi="Arial" w:cs="Arial"/>
          <w:bCs/>
          <w:i/>
          <w:iCs/>
          <w:lang w:eastAsia="es-ES"/>
        </w:rPr>
        <w:t xml:space="preserve">a dicha autoridad para que a través de sí misma o de quien sea legalmente competente para ello, realice la baja de dicho acuerdo, de igual forma, y atención (sic) a que el acto reclamado se originó en respuesta a una solicitud hecha por el accionante en ejercicio del derecho de petición consagrado en el artículo 8 de la Constitución Política de los Estados Unidos Mexicanos, y para no vulnerar dicho derecho y que quede su solicitud sin respuesta alguna, </w:t>
      </w:r>
      <w:r w:rsidR="00401F03" w:rsidRPr="00754D2D">
        <w:rPr>
          <w:rFonts w:ascii="Arial" w:eastAsia="Times New Roman" w:hAnsi="Arial" w:cs="Arial"/>
          <w:b/>
          <w:bCs/>
          <w:i/>
          <w:iCs/>
          <w:lang w:eastAsia="es-ES"/>
        </w:rPr>
        <w:t xml:space="preserve">se ordena </w:t>
      </w:r>
      <w:r w:rsidR="00401F03" w:rsidRPr="00754D2D">
        <w:rPr>
          <w:rFonts w:ascii="Arial" w:eastAsia="Times New Roman" w:hAnsi="Arial" w:cs="Arial"/>
          <w:bCs/>
          <w:i/>
          <w:iCs/>
          <w:lang w:eastAsia="es-ES"/>
        </w:rPr>
        <w:t>a la autoridad demandada que emita un nuevo acto, debidamente fundado y motivado en los términos y sentido de esa resolución, y en atención a ello y con la finalidad de verificar el cumplimiento a lo ordenado, la autoridad demandada deberá enviar informes del cumplimiento de lo aquí lo (sic) ordenado, no obstante lo anterior, es pertinente precisarle a la autoridad demanda que de ser contumaz, esta Sala Unitaria le impondrá uno de los medios de apremio a que se refiere el artículo 155 de la Ley de Procedimiento y Justicia Administrativa para el Estado de Oaxaca, por las razones ya expuestas en los considerandos CUARTO (sic) de esta sentencia.</w:t>
      </w:r>
    </w:p>
    <w:p w14:paraId="5AD3EE47" w14:textId="487682FF" w:rsidR="00401F03" w:rsidRPr="00754D2D" w:rsidRDefault="00F332E4" w:rsidP="00754D2D">
      <w:pPr>
        <w:widowControl w:val="0"/>
        <w:tabs>
          <w:tab w:val="left" w:pos="7938"/>
        </w:tabs>
        <w:spacing w:before="240" w:after="0"/>
        <w:ind w:left="1134" w:right="616"/>
        <w:jc w:val="both"/>
        <w:rPr>
          <w:rFonts w:ascii="Arial" w:eastAsia="Times New Roman" w:hAnsi="Arial" w:cs="Arial"/>
          <w:bCs/>
          <w:i/>
          <w:iCs/>
          <w:lang w:eastAsia="es-ES"/>
        </w:rPr>
      </w:pPr>
      <w:r w:rsidRPr="00754D2D">
        <w:rPr>
          <w:rFonts w:ascii="Arial" w:hAnsi="Arial" w:cs="Arial"/>
          <w:b/>
          <w:i/>
        </w:rPr>
        <w:t>…</w:t>
      </w:r>
      <w:r w:rsidRPr="00754D2D">
        <w:rPr>
          <w:rFonts w:ascii="Arial" w:eastAsia="Times New Roman" w:hAnsi="Arial" w:cs="Arial"/>
          <w:bCs/>
          <w:i/>
          <w:iCs/>
          <w:lang w:eastAsia="es-ES"/>
        </w:rPr>
        <w:t>”</w:t>
      </w:r>
    </w:p>
    <w:p w14:paraId="36DE6362" w14:textId="713718A4" w:rsidR="00150A73" w:rsidRPr="00CB6405" w:rsidRDefault="00150A73" w:rsidP="00401F03">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0C978278" w14:textId="01A9AC39" w:rsidR="002557D6" w:rsidRDefault="00150A73" w:rsidP="002557D6">
      <w:pPr>
        <w:pStyle w:val="Textoindependiente21"/>
        <w:spacing w:before="240" w:line="360" w:lineRule="auto"/>
        <w:ind w:right="18" w:firstLine="0"/>
        <w:rPr>
          <w:rFonts w:ascii="Arial" w:hAnsi="Arial" w:cs="Arial"/>
          <w:b/>
          <w:bCs/>
          <w:iCs/>
          <w:sz w:val="26"/>
          <w:szCs w:val="26"/>
        </w:rPr>
      </w:pPr>
      <w:r w:rsidRPr="00CB6405">
        <w:rPr>
          <w:rFonts w:ascii="Arial" w:hAnsi="Arial" w:cs="Arial"/>
          <w:b/>
          <w:bCs/>
          <w:iCs/>
          <w:sz w:val="26"/>
          <w:szCs w:val="26"/>
        </w:rPr>
        <w:t xml:space="preserve">PRIMERO. </w:t>
      </w:r>
      <w:r w:rsidR="001E4549" w:rsidRPr="00403CFB">
        <w:rPr>
          <w:rFonts w:ascii="Arial" w:hAnsi="Arial" w:cs="Arial"/>
          <w:bCs/>
          <w:iCs/>
          <w:sz w:val="26"/>
          <w:szCs w:val="26"/>
        </w:rPr>
        <w:t xml:space="preserve">Esta Sala Superior es competente para conocer del presente asunto, </w:t>
      </w:r>
      <w:r w:rsidR="001E4549">
        <w:rPr>
          <w:rFonts w:ascii="Arial" w:hAnsi="Arial" w:cs="Arial"/>
          <w:bCs/>
          <w:iCs/>
          <w:sz w:val="26"/>
          <w:szCs w:val="26"/>
        </w:rPr>
        <w:t>conforme a</w:t>
      </w:r>
      <w:r w:rsidR="001E4549" w:rsidRPr="00403CFB">
        <w:rPr>
          <w:rFonts w:ascii="Arial" w:hAnsi="Arial" w:cs="Arial"/>
          <w:bCs/>
          <w:iCs/>
          <w:sz w:val="26"/>
          <w:szCs w:val="26"/>
        </w:rPr>
        <w:t xml:space="preserve"> lo dispuesto por los artículos 114 QUÁTER de la Constitución Política del Estado Libre y Soberano de Oaxaca;</w:t>
      </w:r>
      <w:r w:rsidR="001E4549">
        <w:rPr>
          <w:rFonts w:ascii="Arial" w:hAnsi="Arial" w:cs="Arial"/>
          <w:bCs/>
          <w:iCs/>
          <w:sz w:val="26"/>
          <w:szCs w:val="26"/>
        </w:rPr>
        <w:t xml:space="preserve"> </w:t>
      </w:r>
      <w:r w:rsidR="001E4549" w:rsidRPr="00455424">
        <w:rPr>
          <w:rFonts w:ascii="Arial" w:hAnsi="Arial" w:cs="Arial"/>
          <w:bCs/>
          <w:iCs/>
          <w:sz w:val="26"/>
          <w:szCs w:val="26"/>
        </w:rPr>
        <w:t>1 párrafo segundo, 2, 4 fracción VIII, 2</w:t>
      </w:r>
      <w:r w:rsidR="001E4549">
        <w:rPr>
          <w:rFonts w:ascii="Arial" w:hAnsi="Arial" w:cs="Arial"/>
          <w:bCs/>
          <w:iCs/>
          <w:sz w:val="26"/>
          <w:szCs w:val="26"/>
        </w:rPr>
        <w:t>3, 24 fracción I, 25 fracción I y</w:t>
      </w:r>
      <w:r w:rsidR="001E4549"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E4549">
        <w:rPr>
          <w:rFonts w:ascii="Arial" w:hAnsi="Arial" w:cs="Arial"/>
          <w:bCs/>
          <w:iCs/>
          <w:sz w:val="26"/>
          <w:szCs w:val="26"/>
        </w:rPr>
        <w:t xml:space="preserve"> 120</w:t>
      </w:r>
      <w:r w:rsidR="00464010">
        <w:rPr>
          <w:rFonts w:ascii="Arial" w:hAnsi="Arial" w:cs="Arial"/>
          <w:bCs/>
          <w:iCs/>
          <w:sz w:val="26"/>
          <w:szCs w:val="26"/>
        </w:rPr>
        <w:t xml:space="preserve"> fracción I</w:t>
      </w:r>
      <w:r w:rsidR="001E4549" w:rsidRPr="00624207">
        <w:rPr>
          <w:rFonts w:ascii="Arial" w:hAnsi="Arial" w:cs="Arial"/>
          <w:bCs/>
          <w:iCs/>
          <w:sz w:val="26"/>
          <w:szCs w:val="26"/>
        </w:rPr>
        <w:t xml:space="preserve">, </w:t>
      </w:r>
      <w:r w:rsidR="001E4549">
        <w:rPr>
          <w:rFonts w:ascii="Arial" w:hAnsi="Arial" w:cs="Arial"/>
          <w:bCs/>
          <w:iCs/>
          <w:sz w:val="26"/>
          <w:szCs w:val="26"/>
        </w:rPr>
        <w:t>125</w:t>
      </w:r>
      <w:r w:rsidR="001E4549" w:rsidRPr="00624207">
        <w:rPr>
          <w:rFonts w:ascii="Arial" w:hAnsi="Arial" w:cs="Arial"/>
          <w:bCs/>
          <w:iCs/>
          <w:sz w:val="26"/>
          <w:szCs w:val="26"/>
        </w:rPr>
        <w:t xml:space="preserve">, </w:t>
      </w:r>
      <w:r w:rsidR="001E4549">
        <w:rPr>
          <w:rFonts w:ascii="Arial" w:hAnsi="Arial" w:cs="Arial"/>
          <w:bCs/>
          <w:iCs/>
          <w:sz w:val="26"/>
          <w:szCs w:val="26"/>
        </w:rPr>
        <w:t>127</w:t>
      </w:r>
      <w:r w:rsidR="001E4549" w:rsidRPr="00624207">
        <w:rPr>
          <w:rFonts w:ascii="Arial" w:hAnsi="Arial" w:cs="Arial"/>
          <w:bCs/>
          <w:iCs/>
          <w:sz w:val="26"/>
          <w:szCs w:val="26"/>
        </w:rPr>
        <w:t xml:space="preserve">, </w:t>
      </w:r>
      <w:r w:rsidR="001E4549">
        <w:rPr>
          <w:rFonts w:ascii="Arial" w:hAnsi="Arial" w:cs="Arial"/>
          <w:bCs/>
          <w:iCs/>
          <w:sz w:val="26"/>
          <w:szCs w:val="26"/>
        </w:rPr>
        <w:t>12</w:t>
      </w:r>
      <w:r w:rsidR="001E4549" w:rsidRPr="00624207">
        <w:rPr>
          <w:rFonts w:ascii="Arial" w:hAnsi="Arial" w:cs="Arial"/>
          <w:bCs/>
          <w:iCs/>
          <w:sz w:val="26"/>
          <w:szCs w:val="26"/>
        </w:rPr>
        <w:t>9</w:t>
      </w:r>
      <w:r w:rsidR="001E4549">
        <w:rPr>
          <w:rFonts w:ascii="Arial" w:hAnsi="Arial" w:cs="Arial"/>
          <w:bCs/>
          <w:iCs/>
          <w:sz w:val="26"/>
          <w:szCs w:val="26"/>
        </w:rPr>
        <w:t>,</w:t>
      </w:r>
      <w:r w:rsidR="00464010">
        <w:rPr>
          <w:rFonts w:ascii="Arial" w:hAnsi="Arial" w:cs="Arial"/>
          <w:bCs/>
          <w:iCs/>
          <w:sz w:val="26"/>
          <w:szCs w:val="26"/>
        </w:rPr>
        <w:t xml:space="preserve"> </w:t>
      </w:r>
      <w:r w:rsidR="001E4549">
        <w:rPr>
          <w:rFonts w:ascii="Arial" w:hAnsi="Arial" w:cs="Arial"/>
          <w:bCs/>
          <w:iCs/>
          <w:sz w:val="26"/>
          <w:szCs w:val="26"/>
        </w:rPr>
        <w:t>130 fracción</w:t>
      </w:r>
      <w:r w:rsidR="001E4549" w:rsidRPr="00624207">
        <w:rPr>
          <w:rFonts w:ascii="Arial" w:hAnsi="Arial" w:cs="Arial"/>
          <w:bCs/>
          <w:iCs/>
          <w:sz w:val="26"/>
          <w:szCs w:val="26"/>
        </w:rPr>
        <w:t xml:space="preserve"> </w:t>
      </w:r>
      <w:r w:rsidR="001E4549">
        <w:rPr>
          <w:rFonts w:ascii="Arial" w:hAnsi="Arial" w:cs="Arial"/>
          <w:bCs/>
          <w:iCs/>
          <w:sz w:val="26"/>
          <w:szCs w:val="26"/>
        </w:rPr>
        <w:t>l</w:t>
      </w:r>
      <w:r w:rsidR="001E4549" w:rsidRPr="00624207">
        <w:rPr>
          <w:rFonts w:ascii="Arial" w:hAnsi="Arial" w:cs="Arial"/>
          <w:bCs/>
          <w:iCs/>
          <w:sz w:val="26"/>
          <w:szCs w:val="26"/>
        </w:rPr>
        <w:t xml:space="preserve">, </w:t>
      </w:r>
      <w:r w:rsidR="001E4549">
        <w:rPr>
          <w:rFonts w:ascii="Arial" w:hAnsi="Arial" w:cs="Arial"/>
          <w:bCs/>
          <w:iCs/>
          <w:sz w:val="26"/>
          <w:szCs w:val="26"/>
        </w:rPr>
        <w:t>131,</w:t>
      </w:r>
      <w:r w:rsidR="00464010">
        <w:rPr>
          <w:rFonts w:ascii="Arial" w:hAnsi="Arial" w:cs="Arial"/>
          <w:bCs/>
          <w:iCs/>
          <w:sz w:val="26"/>
          <w:szCs w:val="26"/>
        </w:rPr>
        <w:t xml:space="preserve"> </w:t>
      </w:r>
      <w:r w:rsidR="001E4549">
        <w:rPr>
          <w:rFonts w:ascii="Arial" w:hAnsi="Arial" w:cs="Arial"/>
          <w:bCs/>
          <w:iCs/>
          <w:sz w:val="26"/>
          <w:szCs w:val="26"/>
        </w:rPr>
        <w:t>231, 236</w:t>
      </w:r>
      <w:r w:rsidR="001E4549" w:rsidRPr="00624207">
        <w:rPr>
          <w:rFonts w:ascii="Arial" w:hAnsi="Arial" w:cs="Arial"/>
          <w:bCs/>
          <w:iCs/>
          <w:sz w:val="26"/>
          <w:szCs w:val="26"/>
        </w:rPr>
        <w:t xml:space="preserve"> y 2</w:t>
      </w:r>
      <w:r w:rsidR="001E4549">
        <w:rPr>
          <w:rFonts w:ascii="Arial" w:hAnsi="Arial" w:cs="Arial"/>
          <w:bCs/>
          <w:iCs/>
          <w:sz w:val="26"/>
          <w:szCs w:val="26"/>
        </w:rPr>
        <w:t>3</w:t>
      </w:r>
      <w:r w:rsidR="001E4549" w:rsidRPr="00624207">
        <w:rPr>
          <w:rFonts w:ascii="Arial" w:hAnsi="Arial" w:cs="Arial"/>
          <w:bCs/>
          <w:iCs/>
          <w:sz w:val="26"/>
          <w:szCs w:val="26"/>
        </w:rPr>
        <w:t xml:space="preserve">8 de la Ley de </w:t>
      </w:r>
      <w:r w:rsidR="001E4549">
        <w:rPr>
          <w:rFonts w:ascii="Arial" w:hAnsi="Arial" w:cs="Arial"/>
          <w:bCs/>
          <w:iCs/>
          <w:sz w:val="26"/>
          <w:szCs w:val="26"/>
        </w:rPr>
        <w:t xml:space="preserve">Procedimiento y </w:t>
      </w:r>
      <w:r w:rsidR="001E4549" w:rsidRPr="00624207">
        <w:rPr>
          <w:rFonts w:ascii="Arial" w:hAnsi="Arial" w:cs="Arial"/>
          <w:bCs/>
          <w:iCs/>
          <w:sz w:val="26"/>
          <w:szCs w:val="26"/>
        </w:rPr>
        <w:t xml:space="preserve">Justicia Administrativa para el Estado de Oaxaca, </w:t>
      </w:r>
      <w:r w:rsidR="00C33665">
        <w:rPr>
          <w:rFonts w:ascii="Arial" w:hAnsi="Arial" w:cs="Arial"/>
          <w:bCs/>
          <w:iCs/>
          <w:sz w:val="26"/>
          <w:szCs w:val="26"/>
        </w:rPr>
        <w:t xml:space="preserve">dado que se trata de un </w:t>
      </w:r>
      <w:r w:rsidR="002557D6" w:rsidRPr="00F37C43">
        <w:rPr>
          <w:rFonts w:ascii="Arial" w:hAnsi="Arial" w:cs="Arial"/>
          <w:bCs/>
          <w:iCs/>
          <w:sz w:val="26"/>
          <w:szCs w:val="26"/>
        </w:rPr>
        <w:t>Recurso de</w:t>
      </w:r>
      <w:r w:rsidR="00401F03">
        <w:rPr>
          <w:rFonts w:ascii="Arial" w:hAnsi="Arial" w:cs="Arial"/>
          <w:bCs/>
          <w:iCs/>
          <w:sz w:val="26"/>
          <w:szCs w:val="26"/>
        </w:rPr>
        <w:t xml:space="preserve"> Revisión interpuesto en contra de la sentencia de catorce de agosto de dos mil veinte</w:t>
      </w:r>
      <w:r w:rsidR="001D0994" w:rsidRPr="001F567B">
        <w:rPr>
          <w:rFonts w:ascii="Arial" w:hAnsi="Arial" w:cs="Arial"/>
          <w:sz w:val="26"/>
          <w:szCs w:val="26"/>
          <w:lang w:val="es-MX"/>
        </w:rPr>
        <w:t xml:space="preserve">, dictada </w:t>
      </w:r>
      <w:r w:rsidR="001C3433" w:rsidRPr="001F567B">
        <w:rPr>
          <w:rFonts w:ascii="Arial" w:hAnsi="Arial" w:cs="Arial"/>
          <w:bCs/>
          <w:iCs/>
          <w:sz w:val="26"/>
          <w:szCs w:val="26"/>
        </w:rPr>
        <w:t xml:space="preserve">en el expediente relativo al Juicio de nulidad </w:t>
      </w:r>
      <w:r w:rsidR="001C3433">
        <w:rPr>
          <w:rFonts w:ascii="Arial" w:hAnsi="Arial" w:cs="Arial"/>
          <w:b/>
          <w:bCs/>
          <w:iCs/>
          <w:sz w:val="26"/>
          <w:szCs w:val="26"/>
        </w:rPr>
        <w:t xml:space="preserve">0114/2017, </w:t>
      </w:r>
      <w:r w:rsidR="001C3433" w:rsidRPr="001C3433">
        <w:rPr>
          <w:rFonts w:ascii="Arial" w:hAnsi="Arial" w:cs="Arial"/>
          <w:iCs/>
          <w:sz w:val="26"/>
          <w:szCs w:val="26"/>
        </w:rPr>
        <w:t xml:space="preserve">de </w:t>
      </w:r>
      <w:r w:rsidR="001D0994" w:rsidRPr="001F567B">
        <w:rPr>
          <w:rFonts w:ascii="Arial" w:hAnsi="Arial" w:cs="Arial"/>
          <w:sz w:val="26"/>
          <w:szCs w:val="26"/>
          <w:lang w:val="es-MX"/>
        </w:rPr>
        <w:t xml:space="preserve">la </w:t>
      </w:r>
      <w:r w:rsidR="00401F03">
        <w:rPr>
          <w:rFonts w:ascii="Arial" w:hAnsi="Arial" w:cs="Arial"/>
          <w:sz w:val="26"/>
          <w:szCs w:val="26"/>
          <w:lang w:val="es-MX"/>
        </w:rPr>
        <w:t>Segunda</w:t>
      </w:r>
      <w:r w:rsidR="002557D6" w:rsidRPr="001F567B">
        <w:rPr>
          <w:rFonts w:ascii="Arial" w:hAnsi="Arial" w:cs="Arial"/>
          <w:sz w:val="26"/>
          <w:szCs w:val="26"/>
          <w:lang w:val="es-MX"/>
        </w:rPr>
        <w:t xml:space="preserve"> Sala Unitaria de Primera Instancia</w:t>
      </w:r>
      <w:r w:rsidR="002557D6" w:rsidRPr="001F567B">
        <w:rPr>
          <w:rFonts w:ascii="Arial" w:hAnsi="Arial" w:cs="Arial"/>
          <w:b/>
          <w:bCs/>
          <w:iCs/>
          <w:sz w:val="26"/>
          <w:szCs w:val="26"/>
        </w:rPr>
        <w:t>.</w:t>
      </w:r>
      <w:r w:rsidR="00481564">
        <w:rPr>
          <w:rFonts w:ascii="Arial" w:hAnsi="Arial" w:cs="Arial"/>
          <w:b/>
          <w:bCs/>
          <w:iCs/>
          <w:sz w:val="26"/>
          <w:szCs w:val="26"/>
        </w:rPr>
        <w:t xml:space="preserve">  </w:t>
      </w:r>
    </w:p>
    <w:p w14:paraId="2B74DD3B" w14:textId="00168489" w:rsidR="002557D6" w:rsidRDefault="002557D6" w:rsidP="00897740">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481564">
        <w:rPr>
          <w:rFonts w:ascii="Arial" w:hAnsi="Arial" w:cs="Arial"/>
          <w:bCs/>
          <w:color w:val="000000"/>
          <w:sz w:val="26"/>
          <w:szCs w:val="26"/>
          <w:lang w:val="es-MX"/>
        </w:rPr>
        <w:t xml:space="preserve">- - - - - - - - - - - - - - - - - - - - - - - - - - - - - - - - </w:t>
      </w:r>
      <w:r w:rsidRPr="00D63A6F">
        <w:rPr>
          <w:rFonts w:ascii="Arial" w:hAnsi="Arial" w:cs="Arial"/>
          <w:bCs/>
          <w:color w:val="000000"/>
          <w:sz w:val="26"/>
          <w:szCs w:val="26"/>
          <w:lang w:val="es-MX"/>
        </w:rPr>
        <w:t xml:space="preserve"> </w:t>
      </w:r>
    </w:p>
    <w:p w14:paraId="1AF39148" w14:textId="1673E359" w:rsidR="00897740" w:rsidRPr="00897740" w:rsidRDefault="00897740" w:rsidP="00897740">
      <w:pPr>
        <w:shd w:val="clear" w:color="auto" w:fill="FFFFFF"/>
        <w:spacing w:line="360" w:lineRule="auto"/>
        <w:ind w:firstLine="567"/>
        <w:jc w:val="both"/>
        <w:rPr>
          <w:rFonts w:ascii="Arial" w:eastAsiaTheme="minorEastAsia" w:hAnsi="Arial" w:cs="Arial"/>
          <w:bCs/>
          <w:sz w:val="26"/>
          <w:szCs w:val="26"/>
          <w:lang w:val="es-MX" w:eastAsia="es-MX"/>
        </w:rPr>
      </w:pPr>
      <w:r w:rsidRPr="00897740">
        <w:rPr>
          <w:rFonts w:ascii="Arial" w:eastAsiaTheme="minorEastAsia" w:hAnsi="Arial" w:cs="Arial"/>
          <w:bCs/>
          <w:sz w:val="26"/>
          <w:szCs w:val="26"/>
          <w:lang w:val="es-MX" w:eastAsia="es-MX"/>
        </w:rPr>
        <w:lastRenderedPageBreak/>
        <w:t xml:space="preserve">Se invoca en apoyo a lo anterior, la jurisprudencia en materia común, número </w:t>
      </w:r>
      <w:r w:rsidRPr="00897740">
        <w:rPr>
          <w:rFonts w:ascii="Arial" w:eastAsia="Times New Roman" w:hAnsi="Arial" w:cs="Arial"/>
          <w:sz w:val="26"/>
          <w:szCs w:val="26"/>
          <w:lang w:val="es-MX" w:eastAsia="es-MX"/>
        </w:rPr>
        <w:t xml:space="preserve">2a./J. 58/2010, de la Novena Época, emitida por la Segunda Sala de la Suprema Corte de Justicia de la Nación, </w:t>
      </w:r>
      <w:r w:rsidRPr="00897740">
        <w:rPr>
          <w:rFonts w:ascii="Arial" w:eastAsiaTheme="minorEastAsia" w:hAnsi="Arial" w:cs="Arial"/>
          <w:bCs/>
          <w:sz w:val="26"/>
          <w:szCs w:val="26"/>
          <w:lang w:val="es-MX" w:eastAsia="es-MX"/>
        </w:rPr>
        <w:t xml:space="preserve">con número de registro digital </w:t>
      </w:r>
      <w:r w:rsidRPr="00897740">
        <w:rPr>
          <w:rFonts w:ascii="Arial" w:eastAsia="Times New Roman" w:hAnsi="Arial" w:cs="Arial"/>
          <w:sz w:val="26"/>
          <w:szCs w:val="26"/>
          <w:lang w:val="es-MX" w:eastAsia="es-MX"/>
        </w:rPr>
        <w:t xml:space="preserve">164618, publicada en el Semanario Judicial de la Federación y su Gaceta. En el Tomo XXXI, Mayo de 2010, visible a página 830, </w:t>
      </w:r>
      <w:r w:rsidRPr="00897740">
        <w:rPr>
          <w:rFonts w:ascii="Arial" w:eastAsiaTheme="minorEastAsia" w:hAnsi="Arial" w:cs="Arial"/>
          <w:bCs/>
          <w:sz w:val="26"/>
          <w:szCs w:val="26"/>
          <w:lang w:val="es-MX" w:eastAsia="es-MX"/>
        </w:rPr>
        <w:t xml:space="preserve">bajo el rubro y texto siguiente: </w:t>
      </w:r>
      <w:r w:rsidR="00B43E78">
        <w:rPr>
          <w:rFonts w:ascii="Arial" w:eastAsiaTheme="minorEastAsia" w:hAnsi="Arial" w:cs="Arial"/>
          <w:bCs/>
          <w:sz w:val="26"/>
          <w:szCs w:val="26"/>
          <w:lang w:val="es-MX" w:eastAsia="es-MX"/>
        </w:rPr>
        <w:t xml:space="preserve">- - - - - - - - - - - - - - - - - - - - - </w:t>
      </w:r>
    </w:p>
    <w:p w14:paraId="0D19484F" w14:textId="77777777" w:rsidR="00897740" w:rsidRPr="00B43E78" w:rsidRDefault="00897740" w:rsidP="00B43E78">
      <w:pPr>
        <w:spacing w:before="240"/>
        <w:ind w:left="567" w:right="616"/>
        <w:jc w:val="both"/>
        <w:rPr>
          <w:rFonts w:ascii="Arial" w:eastAsia="Times New Roman" w:hAnsi="Arial" w:cs="Arial"/>
          <w:i/>
          <w:iCs/>
          <w:lang w:val="es-MX" w:eastAsia="es-MX"/>
        </w:rPr>
      </w:pPr>
      <w:r w:rsidRPr="00B43E78">
        <w:rPr>
          <w:rFonts w:ascii="Arial" w:eastAsia="Times New Roman" w:hAnsi="Arial" w:cs="Arial"/>
          <w:b/>
          <w:bCs/>
          <w:i/>
          <w:iCs/>
          <w:lang w:val="es-MX" w:eastAsia="es-MX"/>
        </w:rPr>
        <w:t xml:space="preserve">“CONCEPTOS DE VIOLACIÓN O AGRAVIOS. PARA CUMPLIR CON LOS PRINCIPIOS DE CONGRUENCIA Y EXHAUSTIVIDAD EN LAS SENTENCIAS DE AMPARO ES INNECESARIA SU TRANSCRIPCIÓN. </w:t>
      </w:r>
      <w:r w:rsidRPr="00B43E78">
        <w:rPr>
          <w:rFonts w:ascii="Arial" w:eastAsia="Times New Roman" w:hAnsi="Arial" w:cs="Arial"/>
          <w:i/>
          <w:iCs/>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3647748" w14:textId="6A677AC9" w:rsidR="00015CE8" w:rsidRDefault="002D1E6E" w:rsidP="00897740">
      <w:pPr>
        <w:spacing w:line="360" w:lineRule="auto"/>
        <w:ind w:firstLine="708"/>
        <w:jc w:val="both"/>
        <w:rPr>
          <w:rFonts w:ascii="Arial" w:hAnsi="Arial" w:cs="Arial"/>
          <w:bCs/>
          <w:sz w:val="26"/>
          <w:szCs w:val="26"/>
          <w:lang w:val="es-MX"/>
        </w:rPr>
      </w:pPr>
      <w:r>
        <w:rPr>
          <w:rFonts w:ascii="Arial" w:hAnsi="Arial" w:cs="Arial"/>
          <w:b/>
          <w:bCs/>
          <w:sz w:val="26"/>
          <w:szCs w:val="26"/>
          <w:lang w:val="es-MX"/>
        </w:rPr>
        <w:t>TERCERO.</w:t>
      </w:r>
      <w:r w:rsidRPr="00817600">
        <w:rPr>
          <w:rFonts w:ascii="Arial" w:hAnsi="Arial" w:cs="Arial"/>
          <w:bCs/>
          <w:sz w:val="26"/>
          <w:szCs w:val="26"/>
          <w:lang w:val="es-MX"/>
        </w:rPr>
        <w:t xml:space="preserve"> Arguye</w:t>
      </w:r>
      <w:r w:rsidR="002557D6" w:rsidRPr="00817600">
        <w:rPr>
          <w:rFonts w:ascii="Arial" w:hAnsi="Arial" w:cs="Arial"/>
          <w:bCs/>
          <w:sz w:val="26"/>
          <w:szCs w:val="26"/>
          <w:lang w:val="es-MX"/>
        </w:rPr>
        <w:t xml:space="preserve"> </w:t>
      </w:r>
      <w:r w:rsidR="000867F6">
        <w:rPr>
          <w:rFonts w:ascii="Arial" w:hAnsi="Arial" w:cs="Arial"/>
          <w:bCs/>
          <w:sz w:val="26"/>
          <w:szCs w:val="26"/>
          <w:lang w:val="es-MX"/>
        </w:rPr>
        <w:t>la</w:t>
      </w:r>
      <w:r w:rsidR="002557D6" w:rsidRPr="00817600">
        <w:rPr>
          <w:rFonts w:ascii="Arial" w:hAnsi="Arial" w:cs="Arial"/>
          <w:bCs/>
          <w:sz w:val="26"/>
          <w:szCs w:val="26"/>
          <w:lang w:val="es-MX"/>
        </w:rPr>
        <w:t xml:space="preserve"> recurrente le causa agravio el considerando </w:t>
      </w:r>
      <w:r w:rsidR="00401F03">
        <w:rPr>
          <w:rFonts w:ascii="Arial" w:hAnsi="Arial" w:cs="Arial"/>
          <w:bCs/>
          <w:sz w:val="26"/>
          <w:szCs w:val="26"/>
          <w:lang w:val="es-MX"/>
        </w:rPr>
        <w:t>cuarto</w:t>
      </w:r>
      <w:r w:rsidR="002557D6" w:rsidRPr="00817600">
        <w:rPr>
          <w:rFonts w:ascii="Arial" w:hAnsi="Arial" w:cs="Arial"/>
          <w:bCs/>
          <w:sz w:val="26"/>
          <w:szCs w:val="26"/>
          <w:lang w:val="es-MX"/>
        </w:rPr>
        <w:t xml:space="preserve"> de la se</w:t>
      </w:r>
      <w:r w:rsidR="005D5D95">
        <w:rPr>
          <w:rFonts w:ascii="Arial" w:hAnsi="Arial" w:cs="Arial"/>
          <w:bCs/>
          <w:sz w:val="26"/>
          <w:szCs w:val="26"/>
          <w:lang w:val="es-MX"/>
        </w:rPr>
        <w:t xml:space="preserve">ntencia </w:t>
      </w:r>
      <w:r w:rsidR="00163540">
        <w:rPr>
          <w:rFonts w:ascii="Arial" w:hAnsi="Arial" w:cs="Arial"/>
          <w:bCs/>
          <w:sz w:val="26"/>
          <w:szCs w:val="26"/>
          <w:lang w:val="es-MX"/>
        </w:rPr>
        <w:t>que combate</w:t>
      </w:r>
      <w:r w:rsidR="00B0110A" w:rsidRPr="00817600">
        <w:rPr>
          <w:rFonts w:ascii="Arial" w:hAnsi="Arial" w:cs="Arial"/>
          <w:bCs/>
          <w:sz w:val="26"/>
          <w:szCs w:val="26"/>
          <w:lang w:val="es-MX"/>
        </w:rPr>
        <w:t xml:space="preserve">, </w:t>
      </w:r>
      <w:r w:rsidR="00163540">
        <w:rPr>
          <w:rFonts w:ascii="Arial" w:hAnsi="Arial" w:cs="Arial"/>
          <w:bCs/>
          <w:sz w:val="26"/>
          <w:szCs w:val="26"/>
          <w:lang w:val="es-MX"/>
        </w:rPr>
        <w:t xml:space="preserve">ya que la misma viola en perjuicio de la autoridad que representa los artículos 14 y 16 de la Constitución Política de los Estados Unidos Mexicanos, y 207, fracción II de la Ley de Procedimiento y Justicia Administrativa para el Estado de Oaxaca, en virtud de que no </w:t>
      </w:r>
      <w:r w:rsidR="00DA4ECB">
        <w:rPr>
          <w:rFonts w:ascii="Arial" w:hAnsi="Arial" w:cs="Arial"/>
          <w:bCs/>
          <w:sz w:val="26"/>
          <w:szCs w:val="26"/>
          <w:lang w:val="es-MX"/>
        </w:rPr>
        <w:t>está emitida en forma co</w:t>
      </w:r>
      <w:r w:rsidR="000B71BF">
        <w:rPr>
          <w:rFonts w:ascii="Arial" w:hAnsi="Arial" w:cs="Arial"/>
          <w:bCs/>
          <w:sz w:val="26"/>
          <w:szCs w:val="26"/>
          <w:lang w:val="es-MX"/>
        </w:rPr>
        <w:t>ngruente con el acto impugnado</w:t>
      </w:r>
      <w:r w:rsidR="00163540">
        <w:rPr>
          <w:rFonts w:ascii="Arial" w:hAnsi="Arial" w:cs="Arial"/>
          <w:bCs/>
          <w:sz w:val="26"/>
          <w:szCs w:val="26"/>
          <w:lang w:val="es-MX"/>
        </w:rPr>
        <w:t xml:space="preserve"> el cual es válido por contener </w:t>
      </w:r>
      <w:r w:rsidR="00DA4ECB">
        <w:rPr>
          <w:rFonts w:ascii="Arial" w:hAnsi="Arial" w:cs="Arial"/>
          <w:bCs/>
          <w:sz w:val="26"/>
          <w:szCs w:val="26"/>
          <w:lang w:val="es-MX"/>
        </w:rPr>
        <w:t>la correcta</w:t>
      </w:r>
      <w:r w:rsidR="00163540">
        <w:rPr>
          <w:rFonts w:ascii="Arial" w:hAnsi="Arial" w:cs="Arial"/>
          <w:bCs/>
          <w:sz w:val="26"/>
          <w:szCs w:val="26"/>
          <w:lang w:val="es-MX"/>
        </w:rPr>
        <w:t xml:space="preserve"> su </w:t>
      </w:r>
      <w:r w:rsidR="00DA4ECB">
        <w:rPr>
          <w:rFonts w:ascii="Arial" w:hAnsi="Arial" w:cs="Arial"/>
          <w:bCs/>
          <w:sz w:val="26"/>
          <w:szCs w:val="26"/>
          <w:lang w:val="es-MX"/>
        </w:rPr>
        <w:t>fundamentación y motivación</w:t>
      </w:r>
      <w:r w:rsidR="00015CE8">
        <w:rPr>
          <w:rFonts w:ascii="Arial" w:hAnsi="Arial" w:cs="Arial"/>
          <w:bCs/>
          <w:sz w:val="26"/>
          <w:szCs w:val="26"/>
          <w:lang w:val="es-MX"/>
        </w:rPr>
        <w:t xml:space="preserve">; sin embargo la </w:t>
      </w:r>
      <w:r w:rsidR="00DA4ECB" w:rsidRPr="00015CE8">
        <w:rPr>
          <w:rFonts w:ascii="Arial" w:hAnsi="Arial" w:cs="Arial"/>
          <w:bCs/>
          <w:i/>
          <w:iCs/>
          <w:sz w:val="26"/>
          <w:szCs w:val="26"/>
          <w:lang w:val="es-MX"/>
        </w:rPr>
        <w:t>A quo</w:t>
      </w:r>
      <w:r w:rsidR="002B5200" w:rsidRPr="00817600">
        <w:rPr>
          <w:rFonts w:ascii="Arial" w:hAnsi="Arial" w:cs="Arial"/>
          <w:bCs/>
          <w:sz w:val="26"/>
          <w:szCs w:val="26"/>
          <w:lang w:val="es-MX"/>
        </w:rPr>
        <w:t xml:space="preserve"> </w:t>
      </w:r>
      <w:r w:rsidR="00015CE8">
        <w:rPr>
          <w:rFonts w:ascii="Arial" w:hAnsi="Arial" w:cs="Arial"/>
          <w:bCs/>
          <w:sz w:val="26"/>
          <w:szCs w:val="26"/>
          <w:lang w:val="es-MX"/>
        </w:rPr>
        <w:t>declaró su</w:t>
      </w:r>
      <w:r w:rsidR="000867F6">
        <w:rPr>
          <w:rFonts w:ascii="Arial" w:hAnsi="Arial" w:cs="Arial"/>
          <w:bCs/>
          <w:sz w:val="26"/>
          <w:szCs w:val="26"/>
          <w:lang w:val="es-MX"/>
        </w:rPr>
        <w:t xml:space="preserve"> nulidad lisa y llana</w:t>
      </w:r>
      <w:r w:rsidR="00015CE8">
        <w:rPr>
          <w:rFonts w:ascii="Arial" w:hAnsi="Arial" w:cs="Arial"/>
          <w:bCs/>
          <w:sz w:val="26"/>
          <w:szCs w:val="26"/>
          <w:lang w:val="es-MX"/>
        </w:rPr>
        <w:t>.</w:t>
      </w:r>
      <w:r w:rsidR="00270203">
        <w:rPr>
          <w:rFonts w:ascii="Arial" w:hAnsi="Arial" w:cs="Arial"/>
          <w:bCs/>
          <w:sz w:val="26"/>
          <w:szCs w:val="26"/>
          <w:lang w:val="es-MX"/>
        </w:rPr>
        <w:t>- - - - -</w:t>
      </w:r>
    </w:p>
    <w:p w14:paraId="269D5748" w14:textId="35AAF6EB" w:rsidR="000F528F" w:rsidRDefault="00015CE8" w:rsidP="00897740">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Alega que </w:t>
      </w:r>
      <w:r w:rsidR="00C4391B" w:rsidRPr="0092135E">
        <w:rPr>
          <w:rFonts w:ascii="Arial" w:hAnsi="Arial" w:cs="Arial"/>
          <w:bCs/>
          <w:sz w:val="26"/>
          <w:szCs w:val="26"/>
          <w:lang w:val="es-MX"/>
        </w:rPr>
        <w:t>contrario a lo afirmado por la</w:t>
      </w:r>
      <w:r w:rsidR="00BC29D4" w:rsidRPr="0092135E">
        <w:rPr>
          <w:rFonts w:ascii="Arial" w:hAnsi="Arial" w:cs="Arial"/>
          <w:bCs/>
          <w:sz w:val="26"/>
          <w:szCs w:val="26"/>
          <w:lang w:val="es-MX"/>
        </w:rPr>
        <w:t xml:space="preserve"> parte actora</w:t>
      </w:r>
      <w:r>
        <w:rPr>
          <w:rFonts w:ascii="Arial" w:hAnsi="Arial" w:cs="Arial"/>
          <w:bCs/>
          <w:sz w:val="26"/>
          <w:szCs w:val="26"/>
          <w:lang w:val="es-MX"/>
        </w:rPr>
        <w:t xml:space="preserve">, </w:t>
      </w:r>
      <w:r w:rsidR="0082280A" w:rsidRPr="0092135E">
        <w:rPr>
          <w:rFonts w:ascii="Arial" w:hAnsi="Arial" w:cs="Arial"/>
          <w:bCs/>
          <w:sz w:val="26"/>
          <w:szCs w:val="26"/>
          <w:lang w:val="es-MX"/>
        </w:rPr>
        <w:t>exist</w:t>
      </w:r>
      <w:r>
        <w:rPr>
          <w:rFonts w:ascii="Arial" w:hAnsi="Arial" w:cs="Arial"/>
          <w:bCs/>
          <w:sz w:val="26"/>
          <w:szCs w:val="26"/>
          <w:lang w:val="es-MX"/>
        </w:rPr>
        <w:t>e</w:t>
      </w:r>
      <w:r w:rsidR="00C4391B" w:rsidRPr="0092135E">
        <w:rPr>
          <w:rFonts w:ascii="Arial" w:hAnsi="Arial" w:cs="Arial"/>
          <w:bCs/>
          <w:sz w:val="26"/>
          <w:szCs w:val="26"/>
          <w:lang w:val="es-MX"/>
        </w:rPr>
        <w:t xml:space="preserve"> el</w:t>
      </w:r>
      <w:r w:rsidR="00BC29D4" w:rsidRPr="0092135E">
        <w:rPr>
          <w:rFonts w:ascii="Arial" w:hAnsi="Arial" w:cs="Arial"/>
          <w:bCs/>
          <w:sz w:val="26"/>
          <w:szCs w:val="26"/>
          <w:lang w:val="es-MX"/>
        </w:rPr>
        <w:t xml:space="preserve"> supuesto</w:t>
      </w:r>
      <w:r w:rsidR="00C4391B" w:rsidRPr="0092135E">
        <w:rPr>
          <w:rFonts w:ascii="Arial" w:hAnsi="Arial" w:cs="Arial"/>
          <w:bCs/>
          <w:sz w:val="26"/>
          <w:szCs w:val="26"/>
          <w:lang w:val="es-MX"/>
        </w:rPr>
        <w:t xml:space="preserve"> jurídico</w:t>
      </w:r>
      <w:r w:rsidR="00BC29D4" w:rsidRPr="0092135E">
        <w:rPr>
          <w:rFonts w:ascii="Arial" w:hAnsi="Arial" w:cs="Arial"/>
          <w:bCs/>
          <w:sz w:val="26"/>
          <w:szCs w:val="26"/>
          <w:lang w:val="es-MX"/>
        </w:rPr>
        <w:t xml:space="preserve"> de que</w:t>
      </w:r>
      <w:r>
        <w:rPr>
          <w:rFonts w:ascii="Arial" w:hAnsi="Arial" w:cs="Arial"/>
          <w:bCs/>
          <w:sz w:val="26"/>
          <w:szCs w:val="26"/>
          <w:lang w:val="es-MX"/>
        </w:rPr>
        <w:t xml:space="preserve"> el contribuyente acredite </w:t>
      </w:r>
      <w:r w:rsidR="000F528F">
        <w:rPr>
          <w:rFonts w:ascii="Arial" w:hAnsi="Arial" w:cs="Arial"/>
          <w:bCs/>
          <w:sz w:val="26"/>
          <w:szCs w:val="26"/>
          <w:lang w:val="es-MX"/>
        </w:rPr>
        <w:t xml:space="preserve">los requisitos contemplados en las disposiciones normativas aplicables, para que </w:t>
      </w:r>
      <w:r>
        <w:rPr>
          <w:rFonts w:ascii="Arial" w:hAnsi="Arial" w:cs="Arial"/>
          <w:bCs/>
          <w:sz w:val="26"/>
          <w:szCs w:val="26"/>
          <w:lang w:val="es-MX"/>
        </w:rPr>
        <w:t>los bienes a que se refier</w:t>
      </w:r>
      <w:r w:rsidR="000F528F">
        <w:rPr>
          <w:rFonts w:ascii="Arial" w:hAnsi="Arial" w:cs="Arial"/>
          <w:bCs/>
          <w:sz w:val="26"/>
          <w:szCs w:val="26"/>
          <w:lang w:val="es-MX"/>
        </w:rPr>
        <w:t>e</w:t>
      </w:r>
      <w:r>
        <w:rPr>
          <w:rFonts w:ascii="Arial" w:hAnsi="Arial" w:cs="Arial"/>
          <w:bCs/>
          <w:sz w:val="26"/>
          <w:szCs w:val="26"/>
          <w:lang w:val="es-MX"/>
        </w:rPr>
        <w:t xml:space="preserve">, se destinen a un servicio público para ser acreedor a la exención de pago, situación que </w:t>
      </w:r>
      <w:r w:rsidR="000F528F">
        <w:rPr>
          <w:rFonts w:ascii="Arial" w:hAnsi="Arial" w:cs="Arial"/>
          <w:bCs/>
          <w:sz w:val="26"/>
          <w:szCs w:val="26"/>
          <w:lang w:val="es-MX"/>
        </w:rPr>
        <w:t xml:space="preserve">no </w:t>
      </w:r>
      <w:r>
        <w:rPr>
          <w:rFonts w:ascii="Arial" w:hAnsi="Arial" w:cs="Arial"/>
          <w:bCs/>
          <w:sz w:val="26"/>
          <w:szCs w:val="26"/>
          <w:lang w:val="es-MX"/>
        </w:rPr>
        <w:t>se contempló en este caso</w:t>
      </w:r>
      <w:r w:rsidR="00F10F8B">
        <w:rPr>
          <w:rFonts w:ascii="Arial" w:hAnsi="Arial" w:cs="Arial"/>
          <w:bCs/>
          <w:sz w:val="26"/>
          <w:szCs w:val="26"/>
          <w:lang w:val="es-MX"/>
        </w:rPr>
        <w:t xml:space="preserve">; pues </w:t>
      </w:r>
      <w:r w:rsidR="006B2E3E">
        <w:rPr>
          <w:rFonts w:ascii="Arial" w:hAnsi="Arial" w:cs="Arial"/>
          <w:bCs/>
          <w:sz w:val="26"/>
          <w:szCs w:val="26"/>
          <w:lang w:val="es-MX"/>
        </w:rPr>
        <w:t xml:space="preserve">la autoridad que representa sí fundó y motivó que el inmueble en cuestión no se está utilizando para los fines establecidos en la ley, por lo que </w:t>
      </w:r>
      <w:r w:rsidR="00F10F8B">
        <w:rPr>
          <w:rFonts w:ascii="Arial" w:hAnsi="Arial" w:cs="Arial"/>
          <w:bCs/>
          <w:sz w:val="26"/>
          <w:szCs w:val="26"/>
          <w:lang w:val="es-MX"/>
        </w:rPr>
        <w:t xml:space="preserve">le </w:t>
      </w:r>
      <w:r w:rsidR="006B2E3E">
        <w:rPr>
          <w:rFonts w:ascii="Arial" w:hAnsi="Arial" w:cs="Arial"/>
          <w:bCs/>
          <w:sz w:val="26"/>
          <w:szCs w:val="26"/>
          <w:lang w:val="es-MX"/>
        </w:rPr>
        <w:t>negó tal exención</w:t>
      </w:r>
      <w:r w:rsidR="00F10F8B">
        <w:rPr>
          <w:rFonts w:ascii="Arial" w:hAnsi="Arial" w:cs="Arial"/>
          <w:bCs/>
          <w:sz w:val="26"/>
          <w:szCs w:val="26"/>
          <w:lang w:val="es-MX"/>
        </w:rPr>
        <w:t xml:space="preserve">; ya que la recaudación de impuestos es </w:t>
      </w:r>
      <w:r w:rsidR="00F10F8B" w:rsidRPr="00F55E47">
        <w:rPr>
          <w:rFonts w:ascii="Arial" w:hAnsi="Arial" w:cs="Arial"/>
          <w:bCs/>
          <w:sz w:val="26"/>
          <w:szCs w:val="26"/>
          <w:lang w:val="es-MX"/>
        </w:rPr>
        <w:t xml:space="preserve">de </w:t>
      </w:r>
      <w:r w:rsidR="000233D0" w:rsidRPr="00F55E47">
        <w:rPr>
          <w:rFonts w:ascii="Arial" w:hAnsi="Arial" w:cs="Arial"/>
          <w:bCs/>
          <w:sz w:val="26"/>
          <w:szCs w:val="26"/>
          <w:lang w:val="es-MX"/>
        </w:rPr>
        <w:t>dominio público de la federación</w:t>
      </w:r>
      <w:r w:rsidR="00F10F8B">
        <w:rPr>
          <w:rFonts w:ascii="Arial" w:hAnsi="Arial" w:cs="Arial"/>
          <w:bCs/>
          <w:sz w:val="26"/>
          <w:szCs w:val="26"/>
          <w:lang w:val="es-MX"/>
        </w:rPr>
        <w:t xml:space="preserve">, por lo que se debe cumplir y </w:t>
      </w:r>
      <w:r w:rsidR="00F10F8B">
        <w:rPr>
          <w:rFonts w:ascii="Arial" w:hAnsi="Arial" w:cs="Arial"/>
          <w:bCs/>
          <w:sz w:val="26"/>
          <w:szCs w:val="26"/>
          <w:lang w:val="es-MX"/>
        </w:rPr>
        <w:lastRenderedPageBreak/>
        <w:t>obedecer el principio de legalidad, para no afectar a la colectividad al verse reducida la hacienda pública con la exención del impuesto predial</w:t>
      </w:r>
      <w:r w:rsidR="0005729C">
        <w:rPr>
          <w:rFonts w:ascii="Arial" w:hAnsi="Arial" w:cs="Arial"/>
          <w:bCs/>
          <w:sz w:val="26"/>
          <w:szCs w:val="26"/>
          <w:lang w:val="es-MX"/>
        </w:rPr>
        <w:t>, debido a que solo están exentos los bienes de dominio público de la Federación</w:t>
      </w:r>
      <w:r w:rsidR="00E57175">
        <w:rPr>
          <w:rFonts w:ascii="Arial" w:hAnsi="Arial" w:cs="Arial"/>
          <w:bCs/>
          <w:sz w:val="26"/>
          <w:szCs w:val="26"/>
          <w:lang w:val="es-MX"/>
        </w:rPr>
        <w:t>,</w:t>
      </w:r>
      <w:r w:rsidR="0005729C">
        <w:rPr>
          <w:rFonts w:ascii="Arial" w:hAnsi="Arial" w:cs="Arial"/>
          <w:bCs/>
          <w:sz w:val="26"/>
          <w:szCs w:val="26"/>
          <w:lang w:val="es-MX"/>
        </w:rPr>
        <w:t xml:space="preserve"> de los Estados o los Municipios, salvo que sean utilizados por entidades paraestatales o por particulares, bajo cualquier título, para fines administrativos o propósitos distintos a los de su objeto público, por tal motivo la exención solo opera con las contribuciones establecidas sobre la propiedad inmobiliaria que tenga la calidad de bien de dominio público</w:t>
      </w:r>
      <w:r w:rsidR="009D0CAE">
        <w:rPr>
          <w:rFonts w:ascii="Arial" w:hAnsi="Arial" w:cs="Arial"/>
          <w:bCs/>
          <w:sz w:val="26"/>
          <w:szCs w:val="26"/>
          <w:lang w:val="es-MX"/>
        </w:rPr>
        <w:t>, por ende la autoridad que representa solicitó que el contribuyente acreditara tales circunstancias, para estar en condiciones de resolver a su favor, situación que no sucedió.</w:t>
      </w:r>
      <w:r w:rsidR="0005729C">
        <w:rPr>
          <w:rFonts w:ascii="Arial" w:hAnsi="Arial" w:cs="Arial"/>
          <w:bCs/>
          <w:sz w:val="26"/>
          <w:szCs w:val="26"/>
          <w:lang w:val="es-MX"/>
        </w:rPr>
        <w:t xml:space="preserve"> </w:t>
      </w:r>
      <w:r w:rsidR="00E57175">
        <w:rPr>
          <w:rFonts w:ascii="Arial" w:hAnsi="Arial" w:cs="Arial"/>
          <w:bCs/>
          <w:sz w:val="26"/>
          <w:szCs w:val="26"/>
          <w:lang w:val="es-MX"/>
        </w:rPr>
        <w:t>- - - - - - - - - - - - - - - - -</w:t>
      </w:r>
    </w:p>
    <w:p w14:paraId="40E56745" w14:textId="7D1DF435" w:rsidR="002557D6" w:rsidRDefault="004519AE" w:rsidP="00304F0C">
      <w:pPr>
        <w:spacing w:line="360" w:lineRule="auto"/>
        <w:ind w:firstLine="708"/>
        <w:jc w:val="both"/>
        <w:rPr>
          <w:rFonts w:ascii="Arial" w:hAnsi="Arial" w:cs="Arial"/>
          <w:bCs/>
          <w:sz w:val="26"/>
          <w:szCs w:val="26"/>
          <w:lang w:val="es-MX"/>
        </w:rPr>
      </w:pPr>
      <w:r>
        <w:rPr>
          <w:rFonts w:ascii="Arial" w:hAnsi="Arial" w:cs="Arial"/>
          <w:bCs/>
          <w:sz w:val="26"/>
          <w:szCs w:val="26"/>
          <w:lang w:val="es-MX"/>
        </w:rPr>
        <w:t>Por último debate la revisionista que la sentencia que recurre, fue dictad</w:t>
      </w:r>
      <w:r w:rsidR="00E57175">
        <w:rPr>
          <w:rFonts w:ascii="Arial" w:hAnsi="Arial" w:cs="Arial"/>
          <w:bCs/>
          <w:sz w:val="26"/>
          <w:szCs w:val="26"/>
          <w:lang w:val="es-MX"/>
        </w:rPr>
        <w:t>a</w:t>
      </w:r>
      <w:r>
        <w:rPr>
          <w:rFonts w:ascii="Arial" w:hAnsi="Arial" w:cs="Arial"/>
          <w:bCs/>
          <w:sz w:val="26"/>
          <w:szCs w:val="26"/>
          <w:lang w:val="es-MX"/>
        </w:rPr>
        <w:t xml:space="preserve"> en contravención al artículo 207 de la Ley de Procedimiento y Justicia Administrativa para el Estado de Oaxaca – lo transcribió -, de ahí que deba arribarse a la conclusión de que la autoridad que representa, procedió de acuerdo a sus facultades previstas en el artículo 115, fracción IV, inciso a), al negar la exención del impuesto predial que pretendió la parte actora, por no cumplir los requisitos establecidos  en la ley respectiva.</w:t>
      </w:r>
      <w:r w:rsidR="00ED052D">
        <w:rPr>
          <w:rFonts w:ascii="Arial" w:hAnsi="Arial" w:cs="Arial"/>
          <w:bCs/>
          <w:sz w:val="26"/>
          <w:szCs w:val="26"/>
          <w:lang w:val="es-MX"/>
        </w:rPr>
        <w:t xml:space="preserve"> - - - - - - - - - - - - - - - - - - - - - - - - - - - - - - - - - - - - - - - -</w:t>
      </w:r>
    </w:p>
    <w:p w14:paraId="0B17095B" w14:textId="3B76E230" w:rsidR="00FE6FB7" w:rsidRDefault="005E3ABC" w:rsidP="00FE6FB7">
      <w:pPr>
        <w:widowControl w:val="0"/>
        <w:autoSpaceDE w:val="0"/>
        <w:autoSpaceDN w:val="0"/>
        <w:adjustRightInd w:val="0"/>
        <w:spacing w:line="360" w:lineRule="auto"/>
        <w:ind w:right="49" w:firstLine="708"/>
        <w:jc w:val="both"/>
        <w:rPr>
          <w:rFonts w:ascii="Arial" w:eastAsia="Calibri" w:hAnsi="Arial" w:cs="Times New Roman"/>
          <w:color w:val="000000"/>
          <w:sz w:val="26"/>
          <w:szCs w:val="26"/>
          <w:lang w:val="es-MX"/>
        </w:rPr>
      </w:pPr>
      <w:r>
        <w:rPr>
          <w:rFonts w:ascii="Arial" w:eastAsia="Calibri" w:hAnsi="Arial" w:cs="Times New Roman"/>
          <w:color w:val="000000"/>
          <w:sz w:val="26"/>
          <w:szCs w:val="26"/>
          <w:lang w:val="es-MX"/>
        </w:rPr>
        <w:t xml:space="preserve">De </w:t>
      </w:r>
      <w:r>
        <w:rPr>
          <w:rFonts w:ascii="Arial" w:hAnsi="Arial" w:cs="Arial"/>
          <w:sz w:val="26"/>
          <w:szCs w:val="26"/>
        </w:rPr>
        <w:t xml:space="preserve">las constancias de autos que fueron remitidas para la substanciación del presente asunto, que hacen prueba plena en términos del artículo </w:t>
      </w:r>
      <w:r w:rsidR="00870158">
        <w:rPr>
          <w:rFonts w:ascii="Arial" w:hAnsi="Arial" w:cs="Arial"/>
          <w:sz w:val="26"/>
          <w:szCs w:val="26"/>
        </w:rPr>
        <w:t>20</w:t>
      </w:r>
      <w:r>
        <w:rPr>
          <w:rFonts w:ascii="Arial" w:hAnsi="Arial" w:cs="Arial"/>
          <w:sz w:val="26"/>
          <w:szCs w:val="26"/>
        </w:rPr>
        <w:t xml:space="preserve">3, fracción I, de la Ley de </w:t>
      </w:r>
      <w:r w:rsidR="00870158">
        <w:rPr>
          <w:rFonts w:ascii="Arial" w:hAnsi="Arial" w:cs="Arial"/>
          <w:sz w:val="26"/>
          <w:szCs w:val="26"/>
        </w:rPr>
        <w:t xml:space="preserve">Procedimiento y </w:t>
      </w:r>
      <w:r>
        <w:rPr>
          <w:rFonts w:ascii="Arial" w:hAnsi="Arial" w:cs="Arial"/>
          <w:sz w:val="26"/>
          <w:szCs w:val="26"/>
        </w:rPr>
        <w:t>Justicia Administrativa para el Estado de Oaxaca, por tratarse de actuaciones judiciales; se advierte que el acto impugnado en primera instancia, la constituye</w:t>
      </w:r>
      <w:r w:rsidR="00E262C5">
        <w:rPr>
          <w:rFonts w:ascii="Arial" w:hAnsi="Arial" w:cs="Arial"/>
          <w:sz w:val="26"/>
          <w:szCs w:val="26"/>
        </w:rPr>
        <w:t xml:space="preserve"> el acuerdo municipal número CFA/TM/DICF/575/2017, de treinta y uno de julio de dos mil diecisiete, emitido por la otrora Directora de Ingresos y Control Fiscal del Ayuntamiento de Oaxaca de Juárez, Oaxaca, ahora Subdirectora de Ingresos del Municipio de Oaxaca de Juárez, Oaxaca</w:t>
      </w:r>
      <w:r w:rsidR="00135578">
        <w:rPr>
          <w:rFonts w:ascii="Arial" w:hAnsi="Arial" w:cs="Arial"/>
          <w:sz w:val="26"/>
          <w:szCs w:val="26"/>
        </w:rPr>
        <w:t xml:space="preserve"> -  visible a fojas ciento dieciséis a ciento dieciocho de los autos -; </w:t>
      </w:r>
      <w:r w:rsidR="00E262C5">
        <w:rPr>
          <w:rFonts w:ascii="Arial" w:hAnsi="Arial" w:cs="Arial"/>
          <w:sz w:val="26"/>
          <w:szCs w:val="26"/>
        </w:rPr>
        <w:t xml:space="preserve"> del cual se declaró la nulidad lisa y llana</w:t>
      </w:r>
      <w:r w:rsidR="00FE6FB7">
        <w:rPr>
          <w:rFonts w:ascii="Arial" w:hAnsi="Arial" w:cs="Arial"/>
          <w:sz w:val="26"/>
          <w:szCs w:val="26"/>
        </w:rPr>
        <w:t xml:space="preserve">; sin embargo, </w:t>
      </w:r>
      <w:r w:rsidR="00FE6FB7" w:rsidRPr="00167105">
        <w:rPr>
          <w:rFonts w:ascii="Arial" w:eastAsia="Calibri" w:hAnsi="Arial" w:cs="Times New Roman"/>
          <w:color w:val="000000"/>
          <w:sz w:val="26"/>
          <w:szCs w:val="26"/>
          <w:lang w:val="es-MX"/>
        </w:rPr>
        <w:t xml:space="preserve">no </w:t>
      </w:r>
      <w:r w:rsidR="00FE6FB7">
        <w:rPr>
          <w:rFonts w:ascii="Arial" w:eastAsia="Calibri" w:hAnsi="Arial" w:cs="Times New Roman"/>
          <w:color w:val="000000"/>
          <w:sz w:val="26"/>
          <w:szCs w:val="26"/>
          <w:lang w:val="es-MX"/>
        </w:rPr>
        <w:t xml:space="preserve">le es </w:t>
      </w:r>
      <w:r w:rsidR="00FE6FB7" w:rsidRPr="00167105">
        <w:rPr>
          <w:rFonts w:ascii="Arial" w:eastAsia="Calibri" w:hAnsi="Arial" w:cs="Times New Roman"/>
          <w:color w:val="000000"/>
          <w:sz w:val="26"/>
          <w:szCs w:val="26"/>
          <w:lang w:val="es-MX"/>
        </w:rPr>
        <w:t>imputable</w:t>
      </w:r>
      <w:r w:rsidR="00FE6FB7">
        <w:rPr>
          <w:rFonts w:ascii="Arial" w:eastAsia="Calibri" w:hAnsi="Arial" w:cs="Times New Roman"/>
          <w:color w:val="000000"/>
          <w:sz w:val="26"/>
          <w:szCs w:val="26"/>
          <w:lang w:val="es-MX"/>
        </w:rPr>
        <w:t xml:space="preserve"> el aludido acto de autoridad</w:t>
      </w:r>
      <w:r w:rsidR="00FE6FB7" w:rsidRPr="00167105">
        <w:rPr>
          <w:rFonts w:ascii="Arial" w:eastAsia="Calibri" w:hAnsi="Arial" w:cs="Times New Roman"/>
          <w:color w:val="000000"/>
          <w:sz w:val="26"/>
          <w:szCs w:val="26"/>
          <w:lang w:val="es-MX"/>
        </w:rPr>
        <w:t xml:space="preserve">, por no haber sido </w:t>
      </w:r>
      <w:r w:rsidR="00FE6FB7">
        <w:rPr>
          <w:rFonts w:ascii="Arial" w:eastAsia="Calibri" w:hAnsi="Arial" w:cs="Times New Roman"/>
          <w:color w:val="000000"/>
          <w:sz w:val="26"/>
          <w:szCs w:val="26"/>
          <w:lang w:val="es-MX"/>
        </w:rPr>
        <w:t xml:space="preserve">quien la emitió, </w:t>
      </w:r>
      <w:r w:rsidR="00FE6FB7" w:rsidRPr="00167105">
        <w:rPr>
          <w:rFonts w:ascii="Arial" w:eastAsia="Calibri" w:hAnsi="Arial" w:cs="Times New Roman"/>
          <w:color w:val="000000"/>
          <w:sz w:val="26"/>
          <w:szCs w:val="26"/>
          <w:lang w:val="es-MX"/>
        </w:rPr>
        <w:t xml:space="preserve">por lo que, no tiene legitimación para controvertir </w:t>
      </w:r>
      <w:r w:rsidR="00FE6FB7">
        <w:rPr>
          <w:rFonts w:ascii="Arial" w:eastAsia="Calibri" w:hAnsi="Arial" w:cs="Times New Roman"/>
          <w:color w:val="000000"/>
          <w:sz w:val="26"/>
          <w:szCs w:val="26"/>
          <w:lang w:val="es-MX"/>
        </w:rPr>
        <w:t>la determinación de la Primera Instancia</w:t>
      </w:r>
      <w:r w:rsidR="00FE6FB7" w:rsidRPr="00167105">
        <w:rPr>
          <w:rFonts w:ascii="Arial" w:eastAsia="Calibri" w:hAnsi="Arial" w:cs="Times New Roman"/>
          <w:color w:val="000000"/>
          <w:sz w:val="26"/>
          <w:szCs w:val="26"/>
          <w:lang w:val="es-MX"/>
        </w:rPr>
        <w:t xml:space="preserve">; en este sentido, los argumentos que vierte la recurrente contra el </w:t>
      </w:r>
      <w:r w:rsidR="00FE6FB7">
        <w:rPr>
          <w:rFonts w:ascii="Arial" w:eastAsia="Calibri" w:hAnsi="Arial" w:cs="Times New Roman"/>
          <w:color w:val="000000"/>
          <w:sz w:val="26"/>
          <w:szCs w:val="26"/>
          <w:lang w:val="es-MX"/>
        </w:rPr>
        <w:t xml:space="preserve">fallo </w:t>
      </w:r>
      <w:r w:rsidR="00FE6FB7" w:rsidRPr="00167105">
        <w:rPr>
          <w:rFonts w:ascii="Arial" w:eastAsia="Calibri" w:hAnsi="Arial" w:cs="Times New Roman"/>
          <w:color w:val="000000"/>
          <w:sz w:val="26"/>
          <w:szCs w:val="26"/>
          <w:lang w:val="es-MX"/>
        </w:rPr>
        <w:t>son ineficaces</w:t>
      </w:r>
      <w:r w:rsidR="00FE6FB7" w:rsidRPr="00167105">
        <w:rPr>
          <w:rFonts w:ascii="Arial" w:eastAsia="Calibri" w:hAnsi="Arial" w:cs="Times New Roman"/>
          <w:b/>
          <w:color w:val="000000"/>
          <w:sz w:val="26"/>
          <w:szCs w:val="26"/>
          <w:lang w:val="es-MX"/>
        </w:rPr>
        <w:t>,</w:t>
      </w:r>
      <w:r w:rsidR="00FE6FB7" w:rsidRPr="00167105">
        <w:rPr>
          <w:rFonts w:ascii="Arial" w:eastAsia="Calibri" w:hAnsi="Arial" w:cs="Times New Roman"/>
          <w:color w:val="000000"/>
          <w:sz w:val="26"/>
          <w:szCs w:val="26"/>
          <w:lang w:val="es-MX"/>
        </w:rPr>
        <w:t xml:space="preserve"> dado que la determinación de decretar la nulidad lisa y llana de tal acto administrativo no puede agraviarl</w:t>
      </w:r>
      <w:r w:rsidR="00FE6FB7">
        <w:rPr>
          <w:rFonts w:ascii="Arial" w:eastAsia="Calibri" w:hAnsi="Arial" w:cs="Times New Roman"/>
          <w:color w:val="000000"/>
          <w:sz w:val="26"/>
          <w:szCs w:val="26"/>
          <w:lang w:val="es-MX"/>
        </w:rPr>
        <w:t>a</w:t>
      </w:r>
      <w:r w:rsidR="00FE6FB7" w:rsidRPr="00167105">
        <w:rPr>
          <w:rFonts w:ascii="Arial" w:eastAsia="Calibri" w:hAnsi="Arial" w:cs="Times New Roman"/>
          <w:color w:val="000000"/>
          <w:sz w:val="26"/>
          <w:szCs w:val="26"/>
          <w:lang w:val="es-MX"/>
        </w:rPr>
        <w:t xml:space="preserve">, por no emanar </w:t>
      </w:r>
      <w:r w:rsidR="00FE6FB7">
        <w:rPr>
          <w:rFonts w:ascii="Arial" w:eastAsia="Calibri" w:hAnsi="Arial" w:cs="Times New Roman"/>
          <w:color w:val="000000"/>
          <w:sz w:val="26"/>
          <w:szCs w:val="26"/>
          <w:lang w:val="es-MX"/>
        </w:rPr>
        <w:t>estos</w:t>
      </w:r>
      <w:r w:rsidR="00FE6FB7" w:rsidRPr="00167105">
        <w:rPr>
          <w:rFonts w:ascii="Arial" w:eastAsia="Calibri" w:hAnsi="Arial" w:cs="Times New Roman"/>
          <w:color w:val="000000"/>
          <w:sz w:val="26"/>
          <w:szCs w:val="26"/>
          <w:lang w:val="es-MX"/>
        </w:rPr>
        <w:t xml:space="preserve"> de su autoridad, pues como ya se dijo, no le es imputable.</w:t>
      </w:r>
      <w:r w:rsidR="00F83DD7">
        <w:rPr>
          <w:rFonts w:ascii="Arial" w:eastAsia="Calibri" w:hAnsi="Arial" w:cs="Times New Roman"/>
          <w:color w:val="000000"/>
          <w:sz w:val="26"/>
          <w:szCs w:val="26"/>
          <w:lang w:val="es-MX"/>
        </w:rPr>
        <w:t xml:space="preserve"> - - - - - - - - - </w:t>
      </w:r>
    </w:p>
    <w:p w14:paraId="134F712B" w14:textId="027B28A1" w:rsidR="005542E9" w:rsidRDefault="005542E9" w:rsidP="005542E9">
      <w:pPr>
        <w:widowControl w:val="0"/>
        <w:autoSpaceDE w:val="0"/>
        <w:autoSpaceDN w:val="0"/>
        <w:adjustRightInd w:val="0"/>
        <w:spacing w:before="240" w:after="0" w:line="360" w:lineRule="auto"/>
        <w:ind w:firstLine="708"/>
        <w:jc w:val="both"/>
        <w:rPr>
          <w:rFonts w:ascii="Arial" w:eastAsia="Calibri" w:hAnsi="Arial" w:cs="Arial"/>
          <w:bCs/>
          <w:sz w:val="26"/>
          <w:szCs w:val="26"/>
        </w:rPr>
      </w:pPr>
      <w:r w:rsidRPr="00167105">
        <w:rPr>
          <w:rFonts w:ascii="Arial" w:eastAsia="Calibri" w:hAnsi="Arial" w:cs="Arial"/>
          <w:bCs/>
          <w:sz w:val="26"/>
          <w:szCs w:val="26"/>
        </w:rPr>
        <w:lastRenderedPageBreak/>
        <w:t>De tal manera que</w:t>
      </w:r>
      <w:r>
        <w:rPr>
          <w:rFonts w:ascii="Arial" w:eastAsia="Calibri" w:hAnsi="Arial" w:cs="Arial"/>
          <w:bCs/>
          <w:sz w:val="26"/>
          <w:szCs w:val="26"/>
        </w:rPr>
        <w:t>,</w:t>
      </w:r>
      <w:r w:rsidRPr="00167105">
        <w:rPr>
          <w:rFonts w:ascii="Arial" w:eastAsia="Calibri" w:hAnsi="Arial" w:cs="Arial"/>
          <w:bCs/>
          <w:sz w:val="26"/>
          <w:szCs w:val="26"/>
        </w:rPr>
        <w:t xml:space="preserve"> como sucede en la especie, la nulidad decretada fue respecto d</w:t>
      </w:r>
      <w:r>
        <w:rPr>
          <w:rFonts w:ascii="Arial" w:eastAsia="Calibri" w:hAnsi="Arial" w:cs="Arial"/>
          <w:bCs/>
          <w:sz w:val="26"/>
          <w:szCs w:val="26"/>
        </w:rPr>
        <w:t xml:space="preserve">el </w:t>
      </w:r>
      <w:r>
        <w:rPr>
          <w:rFonts w:ascii="Arial" w:hAnsi="Arial" w:cs="Arial"/>
          <w:sz w:val="26"/>
          <w:szCs w:val="26"/>
        </w:rPr>
        <w:t>acuerdo municipal número CFA/TM/DICF/575/2017, de treinta y uno de julio de dos mil diecisiete, emitido por la otrora Directora de Ingresos y Control Fiscal del Ayuntamiento de Oaxaca de Juárez, Oaxaca, actualmente Subdirectora de Ingresos del Municipio de Oaxaca de Juárez, Oaxaca</w:t>
      </w:r>
      <w:r w:rsidRPr="00167105">
        <w:rPr>
          <w:rFonts w:ascii="Arial" w:eastAsia="Calibri" w:hAnsi="Arial" w:cs="Arial"/>
          <w:bCs/>
          <w:sz w:val="26"/>
          <w:szCs w:val="26"/>
        </w:rPr>
        <w:t xml:space="preserve">, </w:t>
      </w:r>
      <w:r>
        <w:rPr>
          <w:rFonts w:ascii="Arial" w:eastAsia="Calibri" w:hAnsi="Arial" w:cs="Arial"/>
          <w:bCs/>
          <w:sz w:val="26"/>
          <w:szCs w:val="26"/>
        </w:rPr>
        <w:t xml:space="preserve">por lo que </w:t>
      </w:r>
      <w:r w:rsidRPr="00167105">
        <w:rPr>
          <w:rFonts w:ascii="Arial" w:eastAsia="Calibri" w:hAnsi="Arial" w:cs="Arial"/>
          <w:bCs/>
          <w:sz w:val="26"/>
          <w:szCs w:val="26"/>
        </w:rPr>
        <w:t>sólo a dicha autoridad corresponde la legitimación para impugnarla en lo atinente a tal declaración de nulidad y sus efectos.</w:t>
      </w:r>
      <w:r w:rsidR="00D660B1">
        <w:rPr>
          <w:rFonts w:ascii="Arial" w:eastAsia="Calibri" w:hAnsi="Arial" w:cs="Arial"/>
          <w:bCs/>
          <w:sz w:val="26"/>
          <w:szCs w:val="26"/>
        </w:rPr>
        <w:t xml:space="preserve"> - - - - - - - - - - - - - - -</w:t>
      </w:r>
    </w:p>
    <w:p w14:paraId="4148930F" w14:textId="41E6ACD7" w:rsidR="00B615EF" w:rsidRDefault="00B615EF" w:rsidP="00B615EF">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Cabe precisar que la legitimación de las partes procesales, puede ser:</w:t>
      </w:r>
      <w:r w:rsidR="00D660B1">
        <w:rPr>
          <w:rFonts w:ascii="Arial" w:eastAsia="Calibri" w:hAnsi="Arial" w:cs="Arial"/>
          <w:bCs/>
          <w:sz w:val="26"/>
          <w:szCs w:val="26"/>
        </w:rPr>
        <w:t xml:space="preserve"> - - - - - - - - - - - - - - - - - - - - - - - - - - - - - - - - - - - - - - - - - - - - - - - - - </w:t>
      </w:r>
    </w:p>
    <w:p w14:paraId="183E737A" w14:textId="77777777" w:rsidR="00B615EF" w:rsidRDefault="00B615EF" w:rsidP="00B615EF">
      <w:pPr>
        <w:pStyle w:val="Prrafodelista"/>
        <w:widowControl w:val="0"/>
        <w:numPr>
          <w:ilvl w:val="0"/>
          <w:numId w:val="12"/>
        </w:numPr>
        <w:autoSpaceDE w:val="0"/>
        <w:autoSpaceDN w:val="0"/>
        <w:adjustRightInd w:val="0"/>
        <w:spacing w:before="240" w:after="0" w:line="360" w:lineRule="auto"/>
        <w:jc w:val="both"/>
        <w:rPr>
          <w:rFonts w:ascii="Arial" w:eastAsia="Calibri" w:hAnsi="Arial" w:cs="Arial"/>
          <w:bCs/>
          <w:sz w:val="26"/>
          <w:szCs w:val="26"/>
        </w:rPr>
      </w:pPr>
      <w:r w:rsidRPr="009B5EEF">
        <w:rPr>
          <w:rFonts w:ascii="Arial" w:eastAsia="Calibri" w:hAnsi="Arial" w:cs="Arial"/>
          <w:bCs/>
          <w:sz w:val="26"/>
          <w:szCs w:val="26"/>
        </w:rPr>
        <w:t xml:space="preserve">Legitimación en la causa. Se refiere a la identidad del actor, </w:t>
      </w:r>
      <w:r>
        <w:rPr>
          <w:rFonts w:ascii="Arial" w:eastAsia="Calibri" w:hAnsi="Arial" w:cs="Arial"/>
          <w:bCs/>
          <w:sz w:val="26"/>
          <w:szCs w:val="26"/>
        </w:rPr>
        <w:t xml:space="preserve">del </w:t>
      </w:r>
      <w:r w:rsidRPr="009B5EEF">
        <w:rPr>
          <w:rFonts w:ascii="Arial" w:eastAsia="Calibri" w:hAnsi="Arial" w:cs="Arial"/>
          <w:bCs/>
          <w:sz w:val="26"/>
          <w:szCs w:val="26"/>
        </w:rPr>
        <w:t xml:space="preserve">demandado, o de los terceros, </w:t>
      </w:r>
      <w:r>
        <w:rPr>
          <w:rFonts w:ascii="Arial" w:eastAsia="Calibri" w:hAnsi="Arial" w:cs="Arial"/>
          <w:bCs/>
          <w:sz w:val="26"/>
          <w:szCs w:val="26"/>
        </w:rPr>
        <w:t>como</w:t>
      </w:r>
      <w:r w:rsidRPr="009B5EEF">
        <w:rPr>
          <w:rFonts w:ascii="Arial" w:eastAsia="Calibri" w:hAnsi="Arial" w:cs="Arial"/>
          <w:bCs/>
          <w:sz w:val="26"/>
          <w:szCs w:val="26"/>
        </w:rPr>
        <w:t xml:space="preserve"> titulares de un derecho subjetivo cuya aplicación y respeto piden al órgano jurisdiccional, dado que es una cuestión referente al fondo del asunto sólo puede analizar</w:t>
      </w:r>
      <w:r>
        <w:rPr>
          <w:rFonts w:ascii="Arial" w:eastAsia="Calibri" w:hAnsi="Arial" w:cs="Arial"/>
          <w:bCs/>
          <w:sz w:val="26"/>
          <w:szCs w:val="26"/>
        </w:rPr>
        <w:t xml:space="preserve">lo el Juzgador al momento de </w:t>
      </w:r>
      <w:r w:rsidRPr="009B5EEF">
        <w:rPr>
          <w:rFonts w:ascii="Arial" w:eastAsia="Calibri" w:hAnsi="Arial" w:cs="Arial"/>
          <w:bCs/>
          <w:sz w:val="26"/>
          <w:szCs w:val="26"/>
        </w:rPr>
        <w:t>dictar sentencia.</w:t>
      </w:r>
    </w:p>
    <w:p w14:paraId="2EE0DEAC" w14:textId="77777777" w:rsidR="00B615EF" w:rsidRPr="00815123" w:rsidRDefault="00B615EF" w:rsidP="00B615EF">
      <w:pPr>
        <w:pStyle w:val="Prrafodelista"/>
        <w:widowControl w:val="0"/>
        <w:numPr>
          <w:ilvl w:val="0"/>
          <w:numId w:val="12"/>
        </w:numPr>
        <w:autoSpaceDE w:val="0"/>
        <w:autoSpaceDN w:val="0"/>
        <w:adjustRightInd w:val="0"/>
        <w:spacing w:before="240" w:after="0" w:line="360" w:lineRule="auto"/>
        <w:jc w:val="both"/>
        <w:rPr>
          <w:rFonts w:ascii="Arial" w:eastAsia="Calibri" w:hAnsi="Arial" w:cs="Arial"/>
          <w:sz w:val="26"/>
          <w:szCs w:val="26"/>
        </w:rPr>
      </w:pPr>
      <w:r w:rsidRPr="00E246F2">
        <w:rPr>
          <w:rFonts w:ascii="Arial" w:eastAsia="Calibri" w:hAnsi="Arial" w:cs="Arial"/>
          <w:bCs/>
          <w:sz w:val="26"/>
          <w:szCs w:val="26"/>
        </w:rPr>
        <w:t xml:space="preserve">Legitimación procesal.  Es la capacidad que tiene un sujeto para realizar válidamente actos procesales, bien sea porque actúe por su propio derecho o en representación de otra persona titular del derecho violentado o bien de quien estima se ha transgredido su esfera de derechos, por lo que implica un presupuesto procesal de fondo que debe demostrarse en el juicio. </w:t>
      </w:r>
    </w:p>
    <w:p w14:paraId="0D45A775" w14:textId="605A7270" w:rsidR="005542E9" w:rsidRDefault="005542E9" w:rsidP="005542E9">
      <w:pPr>
        <w:widowControl w:val="0"/>
        <w:autoSpaceDE w:val="0"/>
        <w:autoSpaceDN w:val="0"/>
        <w:adjustRightInd w:val="0"/>
        <w:spacing w:before="240" w:after="0" w:line="360" w:lineRule="auto"/>
        <w:ind w:firstLine="708"/>
        <w:jc w:val="both"/>
        <w:rPr>
          <w:rFonts w:ascii="Arial" w:eastAsiaTheme="minorEastAsia" w:hAnsi="Arial" w:cs="Arial"/>
          <w:bCs/>
          <w:color w:val="000000"/>
          <w:sz w:val="26"/>
          <w:szCs w:val="26"/>
          <w:lang w:val="es-MX" w:eastAsia="es-MX"/>
        </w:rPr>
      </w:pPr>
      <w:r w:rsidRPr="00815123">
        <w:rPr>
          <w:rFonts w:ascii="Arial" w:hAnsi="Arial"/>
          <w:color w:val="000000"/>
          <w:sz w:val="26"/>
          <w:szCs w:val="26"/>
          <w:lang w:val="es-MX"/>
        </w:rPr>
        <w:t xml:space="preserve">Dado que, la hoy recurrente, Tesorera del Municipio de Oaxaca de Juárez, Oaxaca, pretende impugnar la sentencia dictada en Primera Instancia, como superior jerárquica de la Subdirectora de Ingresos del citado municipio, siendo esta última quien adquirió la calidad de autoridad demandada en el juicio de nulidad, visible a fojas ciento ochenta y cuatro a ciento ochenta y ocho de los autos; de lo que se evidencia que quien interpuso el medio de impugnación no es parte en el juicio, sin que su nivel jerárquico justifique su intervención para combatir la sentencia, pues </w:t>
      </w:r>
      <w:r w:rsidRPr="00815123">
        <w:rPr>
          <w:rFonts w:ascii="Arial" w:eastAsiaTheme="minorEastAsia" w:hAnsi="Arial" w:cs="Arial"/>
          <w:sz w:val="26"/>
          <w:szCs w:val="26"/>
          <w:lang w:val="es-MX" w:eastAsia="es-MX"/>
        </w:rPr>
        <w:t xml:space="preserve">de las noventa y dos obligaciones y atribuciones que el artículo 138 del Bando de Policía y Buen Gobierno del Municipio de Oaxaca de Juárez vigente, le confiere a dicha Tesorera Municipal, ninguna de ellas la faculta para actuar en representación de </w:t>
      </w:r>
      <w:r w:rsidRPr="00815123">
        <w:rPr>
          <w:rFonts w:ascii="Arial" w:eastAsiaTheme="minorEastAsia" w:hAnsi="Arial" w:cs="Arial"/>
          <w:sz w:val="26"/>
          <w:szCs w:val="26"/>
          <w:lang w:val="es-MX" w:eastAsia="es-MX"/>
        </w:rPr>
        <w:lastRenderedPageBreak/>
        <w:t>sus subalternos en los juicios que se tramiten ante autoridades jurisdiccionales, como en el presente caso; por el contrario la fracción XX</w:t>
      </w:r>
      <w:r>
        <w:rPr>
          <w:rFonts w:ascii="Arial" w:eastAsiaTheme="minorEastAsia" w:hAnsi="Arial" w:cs="Arial"/>
          <w:sz w:val="26"/>
          <w:szCs w:val="26"/>
          <w:lang w:val="es-MX" w:eastAsia="es-MX"/>
        </w:rPr>
        <w:t>,</w:t>
      </w:r>
      <w:r w:rsidRPr="00815123">
        <w:rPr>
          <w:rFonts w:ascii="Arial" w:eastAsiaTheme="minorEastAsia" w:hAnsi="Arial" w:cs="Arial"/>
          <w:sz w:val="26"/>
          <w:szCs w:val="26"/>
          <w:lang w:val="es-MX" w:eastAsia="es-MX"/>
        </w:rPr>
        <w:t xml:space="preserve"> del citado artículo,</w:t>
      </w:r>
      <w:r w:rsidRPr="00815123">
        <w:rPr>
          <w:rFonts w:ascii="Arial" w:eastAsiaTheme="minorEastAsia" w:hAnsi="Arial" w:cs="Arial"/>
          <w:bCs/>
          <w:color w:val="000000"/>
          <w:sz w:val="26"/>
          <w:szCs w:val="26"/>
          <w:lang w:val="es-MX" w:eastAsia="es-MX"/>
        </w:rPr>
        <w:t xml:space="preserve"> establece:</w:t>
      </w:r>
      <w:r w:rsidR="00D660B1">
        <w:rPr>
          <w:rFonts w:ascii="Arial" w:eastAsiaTheme="minorEastAsia" w:hAnsi="Arial" w:cs="Arial"/>
          <w:bCs/>
          <w:color w:val="000000"/>
          <w:sz w:val="26"/>
          <w:szCs w:val="26"/>
          <w:lang w:val="es-MX" w:eastAsia="es-MX"/>
        </w:rPr>
        <w:t xml:space="preserve"> - - - - - - - - - - - - - - - - - - - - - - - - - - - -</w:t>
      </w:r>
    </w:p>
    <w:p w14:paraId="08E51DEA" w14:textId="77777777" w:rsidR="00D660B1" w:rsidRPr="00910C14" w:rsidRDefault="00D660B1" w:rsidP="00D660B1">
      <w:pPr>
        <w:pStyle w:val="Sinespaciado"/>
        <w:rPr>
          <w:rFonts w:ascii="Arial" w:hAnsi="Arial" w:cs="Arial"/>
          <w:i/>
          <w:iCs/>
        </w:rPr>
      </w:pPr>
    </w:p>
    <w:p w14:paraId="4435E362" w14:textId="77777777" w:rsidR="005542E9" w:rsidRPr="00910C14" w:rsidRDefault="005542E9" w:rsidP="005542E9">
      <w:pPr>
        <w:pStyle w:val="Prrafodelista"/>
        <w:spacing w:line="240" w:lineRule="auto"/>
        <w:ind w:left="1068" w:right="616"/>
        <w:jc w:val="both"/>
        <w:rPr>
          <w:rFonts w:ascii="Arial" w:hAnsi="Arial" w:cs="Arial"/>
          <w:i/>
          <w:iCs/>
        </w:rPr>
      </w:pPr>
      <w:r w:rsidRPr="00910C14">
        <w:rPr>
          <w:rFonts w:ascii="Arial" w:eastAsiaTheme="minorEastAsia" w:hAnsi="Arial" w:cs="Arial"/>
          <w:bCs/>
          <w:i/>
          <w:iCs/>
          <w:color w:val="000000"/>
          <w:lang w:val="es-MX" w:eastAsia="es-MX"/>
        </w:rPr>
        <w:t>“</w:t>
      </w:r>
      <w:r w:rsidRPr="00910C14">
        <w:rPr>
          <w:rFonts w:ascii="Arial" w:hAnsi="Arial" w:cs="Arial"/>
          <w:i/>
          <w:iCs/>
        </w:rPr>
        <w:t xml:space="preserve">ARTÍCULO 138.- La Tesorería Municipal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El Tesorero Municipal ejercerá su jurisdicción dentro del territorio municipal y tendrá las siguientes obligaciones y atribuciones: </w:t>
      </w:r>
    </w:p>
    <w:p w14:paraId="62610310" w14:textId="77777777" w:rsidR="005542E9" w:rsidRPr="00910C14" w:rsidRDefault="005542E9" w:rsidP="005542E9">
      <w:pPr>
        <w:pStyle w:val="Prrafodelista"/>
        <w:spacing w:line="240" w:lineRule="auto"/>
        <w:ind w:left="1068" w:right="616"/>
        <w:jc w:val="both"/>
        <w:rPr>
          <w:rFonts w:ascii="Arial" w:hAnsi="Arial" w:cs="Arial"/>
          <w:i/>
          <w:iCs/>
        </w:rPr>
      </w:pPr>
      <w:r w:rsidRPr="00910C14">
        <w:rPr>
          <w:rFonts w:ascii="Arial" w:hAnsi="Arial" w:cs="Arial"/>
          <w:i/>
          <w:iCs/>
        </w:rPr>
        <w:t>…</w:t>
      </w:r>
    </w:p>
    <w:p w14:paraId="3EBF5C32" w14:textId="77777777" w:rsidR="005542E9" w:rsidRPr="00910C14" w:rsidRDefault="005542E9" w:rsidP="005542E9">
      <w:pPr>
        <w:pStyle w:val="Prrafodelista"/>
        <w:spacing w:line="240" w:lineRule="auto"/>
        <w:ind w:left="1068" w:right="616"/>
        <w:jc w:val="both"/>
        <w:rPr>
          <w:rFonts w:ascii="Arial" w:hAnsi="Arial" w:cs="Arial"/>
          <w:i/>
          <w:iCs/>
        </w:rPr>
      </w:pPr>
      <w:r w:rsidRPr="00910C14">
        <w:rPr>
          <w:rFonts w:ascii="Arial" w:hAnsi="Arial" w:cs="Arial"/>
          <w:i/>
          <w:iCs/>
        </w:rPr>
        <w:t xml:space="preserve">XX. </w:t>
      </w:r>
      <w:r w:rsidRPr="00910C14">
        <w:rPr>
          <w:rFonts w:ascii="Arial" w:hAnsi="Arial" w:cs="Arial"/>
          <w:b/>
          <w:bCs/>
          <w:i/>
          <w:iCs/>
        </w:rPr>
        <w:t>Coadyuvar</w:t>
      </w:r>
      <w:r w:rsidRPr="00910C14">
        <w:rPr>
          <w:rFonts w:ascii="Arial" w:hAnsi="Arial" w:cs="Arial"/>
          <w:i/>
          <w:iCs/>
        </w:rPr>
        <w:t xml:space="preserve"> con los Síndicos y el Consejero Jurídico en los juicios de carácter fiscal que se ventilen ante cualquier Tribunal, en representación del Municipio de Oaxaca de Juárez, cuando tenga interés la Hacienda Pública Municipal;</w:t>
      </w:r>
    </w:p>
    <w:p w14:paraId="4E40CCC5" w14:textId="77777777" w:rsidR="005542E9" w:rsidRPr="00910C14" w:rsidRDefault="005542E9" w:rsidP="005542E9">
      <w:pPr>
        <w:pStyle w:val="Prrafodelista"/>
        <w:spacing w:line="240" w:lineRule="auto"/>
        <w:ind w:left="1068" w:right="616"/>
        <w:jc w:val="both"/>
        <w:rPr>
          <w:rFonts w:ascii="Arial" w:hAnsi="Arial" w:cs="Arial"/>
          <w:i/>
          <w:iCs/>
        </w:rPr>
      </w:pPr>
      <w:r w:rsidRPr="00910C14">
        <w:rPr>
          <w:rFonts w:ascii="Arial" w:hAnsi="Arial" w:cs="Arial"/>
          <w:i/>
          <w:iCs/>
        </w:rPr>
        <w:t xml:space="preserve">…” </w:t>
      </w:r>
    </w:p>
    <w:p w14:paraId="26FC7CE8" w14:textId="48EF911A" w:rsidR="005542E9" w:rsidRPr="00815123" w:rsidRDefault="005542E9" w:rsidP="005542E9">
      <w:pPr>
        <w:spacing w:before="240" w:line="360" w:lineRule="auto"/>
        <w:ind w:firstLine="708"/>
        <w:jc w:val="both"/>
        <w:rPr>
          <w:rFonts w:ascii="Arial" w:eastAsiaTheme="minorEastAsia" w:hAnsi="Arial" w:cs="Arial"/>
          <w:bCs/>
          <w:color w:val="000000"/>
          <w:sz w:val="26"/>
          <w:szCs w:val="26"/>
          <w:lang w:val="es-MX" w:eastAsia="es-MX"/>
        </w:rPr>
      </w:pPr>
      <w:r w:rsidRPr="00815123">
        <w:rPr>
          <w:rFonts w:ascii="Arial" w:eastAsiaTheme="minorEastAsia" w:hAnsi="Arial" w:cs="Arial"/>
          <w:sz w:val="26"/>
          <w:szCs w:val="26"/>
          <w:lang w:val="es-MX" w:eastAsia="es-MX"/>
        </w:rPr>
        <w:t xml:space="preserve">Es decir, que cuando tenga interés la Hacienda Pública Municipal, la Tesorera Municipal de Oaxaca de Juárez, Oaxaca, </w:t>
      </w:r>
      <w:r w:rsidRPr="00815123">
        <w:rPr>
          <w:rFonts w:ascii="Arial" w:eastAsiaTheme="minorEastAsia" w:hAnsi="Arial" w:cs="Arial"/>
          <w:bCs/>
          <w:color w:val="000000"/>
          <w:sz w:val="26"/>
          <w:szCs w:val="26"/>
          <w:lang w:val="es-MX" w:eastAsia="es-MX"/>
        </w:rPr>
        <w:t xml:space="preserve">obligatoriamente coadyuvará con los Síndicos y el Consejero Jurídico </w:t>
      </w:r>
      <w:r w:rsidRPr="00815123">
        <w:rPr>
          <w:rFonts w:ascii="Arial" w:eastAsiaTheme="minorEastAsia" w:hAnsi="Arial" w:cs="Arial"/>
          <w:sz w:val="26"/>
          <w:szCs w:val="26"/>
          <w:lang w:val="es-MX" w:eastAsia="es-MX"/>
        </w:rPr>
        <w:t>en los juicios de carácter fiscal que se ventilen ante cualquier Tribunal, en representación del Municipio de Oaxaca de Juárez.</w:t>
      </w:r>
      <w:r w:rsidR="004D3925">
        <w:rPr>
          <w:rFonts w:ascii="Arial" w:eastAsiaTheme="minorEastAsia" w:hAnsi="Arial" w:cs="Arial"/>
          <w:sz w:val="26"/>
          <w:szCs w:val="26"/>
          <w:lang w:val="es-MX" w:eastAsia="es-MX"/>
        </w:rPr>
        <w:t xml:space="preserve"> - - - - - - - - - - - - - - - - - - - - - - - - - -</w:t>
      </w:r>
    </w:p>
    <w:p w14:paraId="3F5093DE" w14:textId="7EE7C801" w:rsidR="005542E9" w:rsidRPr="00815123" w:rsidRDefault="005542E9" w:rsidP="005542E9">
      <w:pPr>
        <w:spacing w:line="360" w:lineRule="auto"/>
        <w:ind w:firstLine="708"/>
        <w:jc w:val="both"/>
        <w:rPr>
          <w:rFonts w:ascii="Arial" w:eastAsiaTheme="minorEastAsia" w:hAnsi="Arial" w:cs="Arial"/>
          <w:bCs/>
          <w:color w:val="000000"/>
          <w:sz w:val="26"/>
          <w:szCs w:val="26"/>
          <w:lang w:val="es-MX" w:eastAsia="es-MX"/>
        </w:rPr>
      </w:pPr>
      <w:r w:rsidRPr="00815123">
        <w:rPr>
          <w:rFonts w:ascii="Arial" w:eastAsiaTheme="minorEastAsia" w:hAnsi="Arial" w:cs="Arial"/>
          <w:bCs/>
          <w:color w:val="000000"/>
          <w:sz w:val="26"/>
          <w:szCs w:val="26"/>
          <w:lang w:val="es-MX" w:eastAsia="es-MX"/>
        </w:rPr>
        <w:t>Tomando en consideración que el artículo 203, fracción XIV, del citado Bando de Policía y Buen Gobierno del Municipio de Oaxaca de Juárez vigente, dispone:</w:t>
      </w:r>
      <w:r w:rsidR="004D3925">
        <w:rPr>
          <w:rFonts w:ascii="Arial" w:eastAsiaTheme="minorEastAsia" w:hAnsi="Arial" w:cs="Arial"/>
          <w:bCs/>
          <w:color w:val="000000"/>
          <w:sz w:val="26"/>
          <w:szCs w:val="26"/>
          <w:lang w:val="es-MX" w:eastAsia="es-MX"/>
        </w:rPr>
        <w:t xml:space="preserve"> - - - - - - - - - - - - - - - - - - - - - - - - - - - - - - - - - -</w:t>
      </w:r>
    </w:p>
    <w:p w14:paraId="11457F59" w14:textId="77777777" w:rsidR="005542E9" w:rsidRPr="004D3925" w:rsidRDefault="005542E9" w:rsidP="005542E9">
      <w:pPr>
        <w:pStyle w:val="Prrafodelista"/>
        <w:spacing w:line="240" w:lineRule="auto"/>
        <w:ind w:left="1068" w:right="616"/>
        <w:jc w:val="both"/>
        <w:rPr>
          <w:rFonts w:ascii="Arial" w:eastAsiaTheme="minorEastAsia" w:hAnsi="Arial" w:cs="Arial"/>
          <w:i/>
          <w:iCs/>
          <w:lang w:val="es-MX" w:eastAsia="es-MX"/>
        </w:rPr>
      </w:pPr>
      <w:r w:rsidRPr="004D3925">
        <w:rPr>
          <w:rFonts w:ascii="Arial" w:eastAsiaTheme="minorEastAsia" w:hAnsi="Arial" w:cs="Arial"/>
          <w:bCs/>
          <w:i/>
          <w:iCs/>
          <w:color w:val="000000"/>
          <w:lang w:val="es-MX" w:eastAsia="es-MX"/>
        </w:rPr>
        <w:t>“</w:t>
      </w:r>
      <w:r w:rsidRPr="004D3925">
        <w:rPr>
          <w:rFonts w:ascii="Arial" w:eastAsiaTheme="minorEastAsia" w:hAnsi="Arial" w:cs="Arial"/>
          <w:b/>
          <w:i/>
          <w:iCs/>
          <w:color w:val="000000"/>
          <w:lang w:val="es-MX" w:eastAsia="es-MX"/>
        </w:rPr>
        <w:t>ARTÍCULO 203.-</w:t>
      </w:r>
      <w:r w:rsidRPr="004D3925">
        <w:rPr>
          <w:rFonts w:ascii="Arial" w:eastAsiaTheme="minorEastAsia" w:hAnsi="Arial" w:cs="Arial"/>
          <w:bCs/>
          <w:i/>
          <w:iCs/>
          <w:color w:val="000000"/>
          <w:lang w:val="es-MX" w:eastAsia="es-MX"/>
        </w:rPr>
        <w:t xml:space="preserve"> </w:t>
      </w:r>
      <w:r w:rsidRPr="004D3925">
        <w:rPr>
          <w:rFonts w:ascii="Arial" w:eastAsiaTheme="minorEastAsia" w:hAnsi="Arial" w:cs="Arial"/>
          <w:b/>
          <w:i/>
          <w:iCs/>
          <w:color w:val="000000"/>
          <w:lang w:val="es-MX" w:eastAsia="es-MX"/>
        </w:rPr>
        <w:t>A la Consejería Jurídica le corresponde</w:t>
      </w:r>
      <w:r w:rsidRPr="004D3925">
        <w:rPr>
          <w:rFonts w:ascii="Arial" w:eastAsiaTheme="minorEastAsia" w:hAnsi="Arial" w:cs="Arial"/>
          <w:bCs/>
          <w:i/>
          <w:iCs/>
          <w:color w:val="000000"/>
          <w:lang w:val="es-MX" w:eastAsia="es-MX"/>
        </w:rPr>
        <w:t xml:space="preserve"> analizar, dictaminar, </w:t>
      </w:r>
      <w:r w:rsidRPr="004D3925">
        <w:rPr>
          <w:rFonts w:ascii="Arial" w:eastAsiaTheme="minorEastAsia" w:hAnsi="Arial" w:cs="Arial"/>
          <w:b/>
          <w:i/>
          <w:iCs/>
          <w:color w:val="000000"/>
          <w:lang w:val="es-MX" w:eastAsia="es-MX"/>
        </w:rPr>
        <w:t>asesorar</w:t>
      </w:r>
      <w:r w:rsidRPr="004D3925">
        <w:rPr>
          <w:rFonts w:ascii="Arial" w:eastAsiaTheme="minorEastAsia" w:hAnsi="Arial" w:cs="Arial"/>
          <w:bCs/>
          <w:i/>
          <w:iCs/>
          <w:color w:val="000000"/>
          <w:lang w:val="es-MX" w:eastAsia="es-MX"/>
        </w:rPr>
        <w:t xml:space="preserve"> e intervenir </w:t>
      </w:r>
      <w:r w:rsidRPr="004D3925">
        <w:rPr>
          <w:rFonts w:ascii="Arial" w:eastAsiaTheme="minorEastAsia" w:hAnsi="Arial" w:cs="Arial"/>
          <w:b/>
          <w:i/>
          <w:iCs/>
          <w:color w:val="000000"/>
          <w:lang w:val="es-MX" w:eastAsia="es-MX"/>
        </w:rPr>
        <w:t>en los asuntos de controversia jurídica que se presenten en relación al Municipio con la ciudadanía</w:t>
      </w:r>
      <w:r w:rsidRPr="004D3925">
        <w:rPr>
          <w:rFonts w:ascii="Arial" w:eastAsiaTheme="minorEastAsia" w:hAnsi="Arial" w:cs="Arial"/>
          <w:bCs/>
          <w:i/>
          <w:iCs/>
          <w:color w:val="000000"/>
          <w:lang w:val="es-MX" w:eastAsia="es-MX"/>
        </w:rPr>
        <w:t xml:space="preserve">, con los trabajadores del Municipio, con otros Municipios o dependencias federales y estatales </w:t>
      </w:r>
    </w:p>
    <w:p w14:paraId="323328B0" w14:textId="77777777" w:rsidR="005542E9" w:rsidRPr="004D3925" w:rsidRDefault="005542E9" w:rsidP="005542E9">
      <w:pPr>
        <w:pStyle w:val="Prrafodelista"/>
        <w:spacing w:line="240" w:lineRule="auto"/>
        <w:ind w:left="1068" w:right="616"/>
        <w:jc w:val="both"/>
        <w:rPr>
          <w:rFonts w:ascii="Arial" w:eastAsiaTheme="minorEastAsia" w:hAnsi="Arial" w:cs="Arial"/>
          <w:i/>
          <w:iCs/>
          <w:lang w:val="es-MX" w:eastAsia="es-MX"/>
        </w:rPr>
      </w:pPr>
      <w:r w:rsidRPr="004D3925">
        <w:rPr>
          <w:rFonts w:ascii="Arial" w:eastAsiaTheme="minorEastAsia" w:hAnsi="Arial" w:cs="Arial"/>
          <w:i/>
          <w:iCs/>
          <w:lang w:val="es-MX" w:eastAsia="es-MX"/>
        </w:rPr>
        <w:t>Tendrá las siguientes obligaciones y atribuciones:</w:t>
      </w:r>
    </w:p>
    <w:p w14:paraId="6FACB9FB" w14:textId="77777777" w:rsidR="005542E9" w:rsidRPr="004D3925" w:rsidRDefault="005542E9" w:rsidP="005542E9">
      <w:pPr>
        <w:pStyle w:val="Prrafodelista"/>
        <w:spacing w:line="240" w:lineRule="auto"/>
        <w:ind w:left="1068" w:right="616"/>
        <w:jc w:val="both"/>
        <w:rPr>
          <w:rFonts w:ascii="Arial" w:eastAsiaTheme="minorEastAsia" w:hAnsi="Arial" w:cs="Arial"/>
          <w:i/>
          <w:iCs/>
          <w:lang w:val="es-MX" w:eastAsia="es-MX"/>
        </w:rPr>
      </w:pPr>
      <w:r w:rsidRPr="004D3925">
        <w:rPr>
          <w:rFonts w:ascii="Arial" w:eastAsiaTheme="minorEastAsia" w:hAnsi="Arial" w:cs="Arial"/>
          <w:i/>
          <w:iCs/>
          <w:lang w:val="es-MX" w:eastAsia="es-MX"/>
        </w:rPr>
        <w:t>…</w:t>
      </w:r>
    </w:p>
    <w:p w14:paraId="5067CE6A" w14:textId="77777777" w:rsidR="005542E9" w:rsidRPr="004D3925" w:rsidRDefault="005542E9" w:rsidP="005542E9">
      <w:pPr>
        <w:pStyle w:val="Prrafodelista"/>
        <w:spacing w:line="240" w:lineRule="auto"/>
        <w:ind w:left="1068" w:right="616"/>
        <w:jc w:val="both"/>
        <w:rPr>
          <w:rFonts w:ascii="Arial" w:eastAsiaTheme="minorEastAsia" w:hAnsi="Arial" w:cs="Arial"/>
          <w:i/>
          <w:iCs/>
          <w:lang w:val="es-MX" w:eastAsia="es-MX"/>
        </w:rPr>
      </w:pPr>
      <w:r w:rsidRPr="004D3925">
        <w:rPr>
          <w:rFonts w:ascii="Arial" w:eastAsiaTheme="minorEastAsia" w:hAnsi="Arial" w:cs="Arial"/>
          <w:b/>
          <w:bCs/>
          <w:i/>
          <w:iCs/>
          <w:lang w:val="es-MX" w:eastAsia="es-MX"/>
        </w:rPr>
        <w:t>XIV.</w:t>
      </w:r>
      <w:r w:rsidRPr="004D3925">
        <w:rPr>
          <w:rFonts w:ascii="Arial" w:eastAsiaTheme="minorEastAsia" w:hAnsi="Arial" w:cs="Arial"/>
          <w:i/>
          <w:iCs/>
          <w:lang w:val="es-MX" w:eastAsia="es-MX"/>
        </w:rPr>
        <w:t xml:space="preserve"> </w:t>
      </w:r>
      <w:r w:rsidRPr="004D3925">
        <w:rPr>
          <w:rFonts w:ascii="Arial" w:eastAsiaTheme="minorEastAsia" w:hAnsi="Arial" w:cs="Arial"/>
          <w:b/>
          <w:bCs/>
          <w:i/>
          <w:iCs/>
          <w:lang w:val="es-MX" w:eastAsia="es-MX"/>
        </w:rPr>
        <w:t xml:space="preserve">Auxiliar </w:t>
      </w:r>
      <w:r w:rsidRPr="004D3925">
        <w:rPr>
          <w:rFonts w:ascii="Arial" w:eastAsiaTheme="minorEastAsia" w:hAnsi="Arial" w:cs="Arial"/>
          <w:i/>
          <w:iCs/>
          <w:lang w:val="es-MX" w:eastAsia="es-MX"/>
        </w:rPr>
        <w:t>en la elaboración de las promociones</w:t>
      </w:r>
      <w:r w:rsidRPr="004D3925">
        <w:rPr>
          <w:rFonts w:ascii="Arial" w:eastAsiaTheme="minorEastAsia" w:hAnsi="Arial" w:cs="Arial"/>
          <w:b/>
          <w:bCs/>
          <w:i/>
          <w:iCs/>
          <w:lang w:val="es-MX" w:eastAsia="es-MX"/>
        </w:rPr>
        <w:t xml:space="preserve"> </w:t>
      </w:r>
      <w:r w:rsidRPr="004D3925">
        <w:rPr>
          <w:rFonts w:ascii="Arial" w:eastAsiaTheme="minorEastAsia" w:hAnsi="Arial" w:cs="Arial"/>
          <w:i/>
          <w:iCs/>
          <w:lang w:val="es-MX" w:eastAsia="es-MX"/>
        </w:rPr>
        <w:t xml:space="preserve">que deban interponer las distintas dependencias, órganos y unidades de la Administración Pública Municipal conforme a la Ley, ante cualquier autoridad, </w:t>
      </w:r>
      <w:r w:rsidRPr="004D3925">
        <w:rPr>
          <w:rFonts w:ascii="Arial" w:eastAsiaTheme="minorEastAsia" w:hAnsi="Arial" w:cs="Arial"/>
          <w:b/>
          <w:bCs/>
          <w:i/>
          <w:iCs/>
          <w:lang w:val="es-MX" w:eastAsia="es-MX"/>
        </w:rPr>
        <w:t>respecto a controversias y demandas, que deban presentarse ante los Tribunales</w:t>
      </w:r>
      <w:r w:rsidRPr="004D3925">
        <w:rPr>
          <w:rFonts w:ascii="Arial" w:eastAsiaTheme="minorEastAsia" w:hAnsi="Arial" w:cs="Arial"/>
          <w:i/>
          <w:iCs/>
          <w:lang w:val="es-MX" w:eastAsia="es-MX"/>
        </w:rPr>
        <w:t xml:space="preserve"> u órganos Administrativos legalmente establecidos, </w:t>
      </w:r>
      <w:r w:rsidRPr="004D3925">
        <w:rPr>
          <w:rFonts w:ascii="Arial" w:eastAsiaTheme="minorEastAsia" w:hAnsi="Arial" w:cs="Arial"/>
          <w:b/>
          <w:bCs/>
          <w:i/>
          <w:iCs/>
          <w:lang w:val="es-MX" w:eastAsia="es-MX"/>
        </w:rPr>
        <w:t>en coordinación con el Presidente Municipal y el Síndico</w:t>
      </w:r>
      <w:r w:rsidRPr="004D3925">
        <w:rPr>
          <w:rFonts w:ascii="Arial" w:eastAsiaTheme="minorEastAsia" w:hAnsi="Arial" w:cs="Arial"/>
          <w:i/>
          <w:iCs/>
          <w:lang w:val="es-MX" w:eastAsia="es-MX"/>
        </w:rPr>
        <w:t xml:space="preserve">; en su caso, elaborar la contestación e intervenir en las mismas; </w:t>
      </w:r>
    </w:p>
    <w:p w14:paraId="396698A4" w14:textId="77777777" w:rsidR="005542E9" w:rsidRPr="00815123" w:rsidRDefault="005542E9" w:rsidP="005542E9">
      <w:pPr>
        <w:pStyle w:val="Prrafodelista"/>
        <w:spacing w:line="240" w:lineRule="auto"/>
        <w:ind w:left="1068" w:right="616"/>
        <w:jc w:val="both"/>
        <w:rPr>
          <w:rFonts w:ascii="Arial" w:eastAsiaTheme="minorEastAsia" w:hAnsi="Arial" w:cs="Arial"/>
          <w:sz w:val="26"/>
          <w:szCs w:val="26"/>
          <w:lang w:val="es-MX" w:eastAsia="es-MX"/>
        </w:rPr>
      </w:pPr>
      <w:r w:rsidRPr="00815123">
        <w:rPr>
          <w:rFonts w:eastAsiaTheme="minorEastAsia" w:cstheme="minorHAnsi"/>
          <w:b/>
          <w:bCs/>
          <w:lang w:val="es-MX" w:eastAsia="es-MX"/>
        </w:rPr>
        <w:t>…</w:t>
      </w:r>
      <w:r w:rsidRPr="00815123">
        <w:rPr>
          <w:rFonts w:eastAsiaTheme="minorEastAsia" w:cstheme="minorHAnsi"/>
          <w:lang w:val="es-MX" w:eastAsia="es-MX"/>
        </w:rPr>
        <w:t>”</w:t>
      </w:r>
      <w:r>
        <w:rPr>
          <w:rFonts w:eastAsiaTheme="minorEastAsia" w:cstheme="minorHAnsi"/>
          <w:lang w:val="es-MX" w:eastAsia="es-MX"/>
        </w:rPr>
        <w:t xml:space="preserve"> </w:t>
      </w:r>
      <w:r w:rsidRPr="00815123">
        <w:rPr>
          <w:rFonts w:ascii="Arial" w:eastAsiaTheme="minorEastAsia" w:hAnsi="Arial" w:cs="Arial"/>
          <w:sz w:val="26"/>
          <w:szCs w:val="26"/>
          <w:lang w:val="es-MX" w:eastAsia="es-MX"/>
        </w:rPr>
        <w:t>(Lo resaltado es propio)</w:t>
      </w:r>
    </w:p>
    <w:p w14:paraId="2FFAA724" w14:textId="77777777" w:rsidR="005542E9" w:rsidRPr="00815123" w:rsidRDefault="005542E9" w:rsidP="005542E9">
      <w:pPr>
        <w:pStyle w:val="Prrafodelista"/>
        <w:spacing w:line="240" w:lineRule="auto"/>
        <w:ind w:left="1068" w:right="616"/>
        <w:jc w:val="both"/>
        <w:rPr>
          <w:rFonts w:eastAsiaTheme="minorEastAsia" w:cstheme="minorHAnsi"/>
          <w:lang w:val="es-MX" w:eastAsia="es-MX"/>
        </w:rPr>
      </w:pPr>
    </w:p>
    <w:p w14:paraId="28D879F2" w14:textId="0C794415" w:rsidR="009D1364" w:rsidRDefault="009D1364" w:rsidP="005542E9">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Aunado a que, el artículo 1</w:t>
      </w:r>
      <w:r w:rsidR="00464010">
        <w:rPr>
          <w:rFonts w:ascii="Arial" w:eastAsiaTheme="minorEastAsia" w:hAnsi="Arial" w:cs="Arial"/>
          <w:sz w:val="26"/>
          <w:szCs w:val="26"/>
          <w:lang w:val="es-MX" w:eastAsia="es-MX"/>
        </w:rPr>
        <w:t>48</w:t>
      </w:r>
      <w:r>
        <w:rPr>
          <w:rFonts w:ascii="Arial" w:eastAsiaTheme="minorEastAsia" w:hAnsi="Arial" w:cs="Arial"/>
          <w:sz w:val="26"/>
          <w:szCs w:val="26"/>
          <w:lang w:val="es-MX" w:eastAsia="es-MX"/>
        </w:rPr>
        <w:t>, cuarto párrafo, de la Ley de</w:t>
      </w:r>
      <w:r w:rsidR="00464010">
        <w:rPr>
          <w:rFonts w:ascii="Arial" w:eastAsiaTheme="minorEastAsia" w:hAnsi="Arial" w:cs="Arial"/>
          <w:sz w:val="26"/>
          <w:szCs w:val="26"/>
          <w:lang w:val="es-MX" w:eastAsia="es-MX"/>
        </w:rPr>
        <w:t xml:space="preserve"> Procedimiento y</w:t>
      </w:r>
      <w:r>
        <w:rPr>
          <w:rFonts w:ascii="Arial" w:eastAsiaTheme="minorEastAsia" w:hAnsi="Arial" w:cs="Arial"/>
          <w:sz w:val="26"/>
          <w:szCs w:val="26"/>
          <w:lang w:val="es-MX" w:eastAsia="es-MX"/>
        </w:rPr>
        <w:t xml:space="preserve"> Justicia Administrativa para el Estado de Oaxaca, establece:</w:t>
      </w:r>
      <w:r w:rsidR="00120466">
        <w:rPr>
          <w:rFonts w:ascii="Arial" w:eastAsiaTheme="minorEastAsia" w:hAnsi="Arial" w:cs="Arial"/>
          <w:sz w:val="26"/>
          <w:szCs w:val="26"/>
          <w:lang w:val="es-MX" w:eastAsia="es-MX"/>
        </w:rPr>
        <w:t xml:space="preserve"> - - - - - - - - - - - - - - - - - - - - - - - - - - - - - - - - - - - - - - - - - - - - </w:t>
      </w:r>
    </w:p>
    <w:p w14:paraId="7263DE3B" w14:textId="204063E1" w:rsidR="009D1364" w:rsidRPr="00120466" w:rsidRDefault="009D1364" w:rsidP="009D1364">
      <w:pPr>
        <w:spacing w:line="240" w:lineRule="auto"/>
        <w:ind w:left="567" w:right="616"/>
        <w:jc w:val="both"/>
        <w:rPr>
          <w:rFonts w:ascii="Arial" w:hAnsi="Arial" w:cs="Arial"/>
          <w:i/>
          <w:iCs/>
        </w:rPr>
      </w:pPr>
      <w:r w:rsidRPr="00120466">
        <w:rPr>
          <w:rFonts w:ascii="Arial" w:hAnsi="Arial" w:cs="Arial"/>
          <w:i/>
          <w:iCs/>
        </w:rPr>
        <w:t>“ARTICULO 1</w:t>
      </w:r>
      <w:r w:rsidR="00464010" w:rsidRPr="00120466">
        <w:rPr>
          <w:rFonts w:ascii="Arial" w:hAnsi="Arial" w:cs="Arial"/>
          <w:i/>
          <w:iCs/>
        </w:rPr>
        <w:t>48</w:t>
      </w:r>
      <w:r w:rsidRPr="00120466">
        <w:rPr>
          <w:rFonts w:ascii="Arial" w:hAnsi="Arial" w:cs="Arial"/>
          <w:i/>
          <w:iCs/>
        </w:rPr>
        <w:t>.-…</w:t>
      </w:r>
    </w:p>
    <w:p w14:paraId="69707C55" w14:textId="4BEF6E57" w:rsidR="009D1364" w:rsidRPr="00120466" w:rsidRDefault="009D1364" w:rsidP="009D1364">
      <w:pPr>
        <w:spacing w:before="240" w:line="240" w:lineRule="auto"/>
        <w:ind w:left="567" w:right="616"/>
        <w:jc w:val="both"/>
        <w:rPr>
          <w:rFonts w:ascii="Arial" w:eastAsiaTheme="minorEastAsia" w:hAnsi="Arial" w:cs="Arial"/>
          <w:i/>
          <w:iCs/>
          <w:sz w:val="26"/>
          <w:szCs w:val="26"/>
          <w:lang w:val="es-MX" w:eastAsia="es-MX"/>
        </w:rPr>
      </w:pPr>
      <w:r w:rsidRPr="00120466">
        <w:rPr>
          <w:rFonts w:ascii="Arial" w:hAnsi="Arial" w:cs="Arial"/>
          <w:i/>
          <w:iCs/>
        </w:rPr>
        <w:t xml:space="preserve">La representación de las autoridades corresponderá a los titulares de las mismas por si o a través de las unidades administrativas encargadas de </w:t>
      </w:r>
      <w:r w:rsidRPr="00120466">
        <w:rPr>
          <w:rFonts w:ascii="Arial" w:hAnsi="Arial" w:cs="Arial"/>
          <w:i/>
          <w:iCs/>
        </w:rPr>
        <w:lastRenderedPageBreak/>
        <w:t>su defensa jurídica, conforme lo establezcan las disposiciones legales aplicables.”</w:t>
      </w:r>
    </w:p>
    <w:p w14:paraId="3DEAE892" w14:textId="74C84413" w:rsidR="005542E9" w:rsidRDefault="005542E9" w:rsidP="009D1364">
      <w:pPr>
        <w:spacing w:before="240" w:line="360" w:lineRule="auto"/>
        <w:ind w:firstLine="708"/>
        <w:jc w:val="both"/>
        <w:rPr>
          <w:rFonts w:ascii="Arial" w:eastAsiaTheme="minorEastAsia" w:hAnsi="Arial" w:cs="Arial"/>
          <w:sz w:val="26"/>
          <w:szCs w:val="26"/>
          <w:lang w:val="es-MX" w:eastAsia="es-MX"/>
        </w:rPr>
      </w:pPr>
      <w:r w:rsidRPr="00815123">
        <w:rPr>
          <w:rFonts w:ascii="Arial" w:eastAsiaTheme="minorEastAsia" w:hAnsi="Arial" w:cs="Arial"/>
          <w:sz w:val="26"/>
          <w:szCs w:val="26"/>
          <w:lang w:val="es-MX" w:eastAsia="es-MX"/>
        </w:rPr>
        <w:t>De lo</w:t>
      </w:r>
      <w:r w:rsidR="009D1364">
        <w:rPr>
          <w:rFonts w:ascii="Arial" w:eastAsiaTheme="minorEastAsia" w:hAnsi="Arial" w:cs="Arial"/>
          <w:sz w:val="26"/>
          <w:szCs w:val="26"/>
          <w:lang w:val="es-MX" w:eastAsia="es-MX"/>
        </w:rPr>
        <w:t xml:space="preserve">s artículos supra citados, </w:t>
      </w:r>
      <w:r w:rsidRPr="00815123">
        <w:rPr>
          <w:rFonts w:ascii="Arial" w:eastAsiaTheme="minorEastAsia" w:hAnsi="Arial" w:cs="Arial"/>
          <w:sz w:val="26"/>
          <w:szCs w:val="26"/>
          <w:lang w:val="es-MX" w:eastAsia="es-MX"/>
        </w:rPr>
        <w:t>se advierte que</w:t>
      </w:r>
      <w:r w:rsidR="009D1364">
        <w:rPr>
          <w:rFonts w:ascii="Arial" w:eastAsiaTheme="minorEastAsia" w:hAnsi="Arial" w:cs="Arial"/>
          <w:sz w:val="26"/>
          <w:szCs w:val="26"/>
          <w:lang w:val="es-MX" w:eastAsia="es-MX"/>
        </w:rPr>
        <w:t xml:space="preserve">, en el presente caso, </w:t>
      </w:r>
      <w:r w:rsidRPr="00815123">
        <w:rPr>
          <w:rFonts w:ascii="Arial" w:eastAsiaTheme="minorEastAsia" w:hAnsi="Arial" w:cs="Arial"/>
          <w:sz w:val="26"/>
          <w:szCs w:val="26"/>
          <w:lang w:val="es-MX" w:eastAsia="es-MX"/>
        </w:rPr>
        <w:t>la Tesorera Municipal del Municipio de Oaxaca de Juárez, Oaxaca</w:t>
      </w:r>
      <w:r w:rsidRPr="00815123">
        <w:rPr>
          <w:rFonts w:ascii="Arial" w:eastAsiaTheme="minorEastAsia" w:hAnsi="Arial" w:cs="Arial"/>
          <w:bCs/>
          <w:color w:val="000000"/>
          <w:sz w:val="26"/>
          <w:szCs w:val="26"/>
          <w:lang w:val="es-MX" w:eastAsia="es-MX"/>
        </w:rPr>
        <w:t xml:space="preserve">, </w:t>
      </w:r>
      <w:r w:rsidRPr="00815123">
        <w:rPr>
          <w:rFonts w:ascii="Arial" w:eastAsiaTheme="minorEastAsia" w:hAnsi="Arial" w:cs="Arial"/>
          <w:sz w:val="26"/>
          <w:szCs w:val="26"/>
          <w:lang w:val="es-MX" w:eastAsia="es-MX"/>
        </w:rPr>
        <w:t xml:space="preserve">no se encuentra facultada </w:t>
      </w:r>
      <w:r>
        <w:rPr>
          <w:rFonts w:ascii="Arial" w:eastAsiaTheme="minorEastAsia" w:hAnsi="Arial" w:cs="Arial"/>
          <w:sz w:val="26"/>
          <w:szCs w:val="26"/>
          <w:lang w:val="es-MX" w:eastAsia="es-MX"/>
        </w:rPr>
        <w:t xml:space="preserve">como tampoco legitimada, </w:t>
      </w:r>
      <w:r w:rsidRPr="00815123">
        <w:rPr>
          <w:rFonts w:ascii="Arial" w:eastAsiaTheme="minorEastAsia" w:hAnsi="Arial" w:cs="Arial"/>
          <w:sz w:val="26"/>
          <w:szCs w:val="26"/>
          <w:lang w:val="es-MX" w:eastAsia="es-MX"/>
        </w:rPr>
        <w:t xml:space="preserve">para </w:t>
      </w:r>
      <w:r>
        <w:rPr>
          <w:rFonts w:ascii="Arial" w:eastAsiaTheme="minorEastAsia" w:hAnsi="Arial" w:cs="Arial"/>
          <w:sz w:val="26"/>
          <w:szCs w:val="26"/>
          <w:lang w:val="es-MX" w:eastAsia="es-MX"/>
        </w:rPr>
        <w:t xml:space="preserve">actuar en </w:t>
      </w:r>
      <w:r w:rsidRPr="00815123">
        <w:rPr>
          <w:rFonts w:ascii="Arial" w:eastAsiaTheme="minorEastAsia" w:hAnsi="Arial" w:cs="Arial"/>
          <w:sz w:val="26"/>
          <w:szCs w:val="26"/>
          <w:lang w:val="es-MX" w:eastAsia="es-MX"/>
        </w:rPr>
        <w:t>representa</w:t>
      </w:r>
      <w:r>
        <w:rPr>
          <w:rFonts w:ascii="Arial" w:eastAsiaTheme="minorEastAsia" w:hAnsi="Arial" w:cs="Arial"/>
          <w:sz w:val="26"/>
          <w:szCs w:val="26"/>
          <w:lang w:val="es-MX" w:eastAsia="es-MX"/>
        </w:rPr>
        <w:t>ción de</w:t>
      </w:r>
      <w:r w:rsidRPr="00815123">
        <w:rPr>
          <w:rFonts w:ascii="Arial" w:eastAsiaTheme="minorEastAsia" w:hAnsi="Arial" w:cs="Arial"/>
          <w:sz w:val="26"/>
          <w:szCs w:val="26"/>
          <w:lang w:val="es-MX" w:eastAsia="es-MX"/>
        </w:rPr>
        <w:t xml:space="preserve"> su subalterna demandada, e intervenir en </w:t>
      </w:r>
      <w:r>
        <w:rPr>
          <w:rFonts w:ascii="Arial" w:eastAsiaTheme="minorEastAsia" w:hAnsi="Arial" w:cs="Arial"/>
          <w:sz w:val="26"/>
          <w:szCs w:val="26"/>
          <w:lang w:val="es-MX" w:eastAsia="es-MX"/>
        </w:rPr>
        <w:t>el</w:t>
      </w:r>
      <w:r w:rsidRPr="00815123">
        <w:rPr>
          <w:rFonts w:ascii="Arial" w:eastAsiaTheme="minorEastAsia" w:hAnsi="Arial" w:cs="Arial"/>
          <w:sz w:val="26"/>
          <w:szCs w:val="26"/>
          <w:lang w:val="es-MX" w:eastAsia="es-MX"/>
        </w:rPr>
        <w:t xml:space="preserve"> juicio, vía recurso de revisión que interpuso</w:t>
      </w:r>
      <w:r w:rsidR="009D1364">
        <w:rPr>
          <w:rFonts w:ascii="Arial" w:eastAsiaTheme="minorEastAsia" w:hAnsi="Arial" w:cs="Arial"/>
          <w:sz w:val="26"/>
          <w:szCs w:val="26"/>
          <w:lang w:val="es-MX" w:eastAsia="es-MX"/>
        </w:rPr>
        <w:t>, por las razones expuestas en párrafos anteriores.</w:t>
      </w:r>
      <w:r w:rsidR="007B7465">
        <w:rPr>
          <w:rFonts w:ascii="Arial" w:eastAsiaTheme="minorEastAsia" w:hAnsi="Arial" w:cs="Arial"/>
          <w:sz w:val="26"/>
          <w:szCs w:val="26"/>
          <w:lang w:val="es-MX" w:eastAsia="es-MX"/>
        </w:rPr>
        <w:t xml:space="preserve"> - - - - - - - - - - - - - - - - - - - - - - - - - - - - - - - - - - - - - - - - - - - -</w:t>
      </w:r>
    </w:p>
    <w:p w14:paraId="77E8F05E" w14:textId="508F87D4" w:rsidR="005542E9" w:rsidRDefault="005542E9" w:rsidP="005542E9">
      <w:pPr>
        <w:spacing w:line="360" w:lineRule="auto"/>
        <w:ind w:firstLine="708"/>
        <w:jc w:val="both"/>
        <w:rPr>
          <w:rFonts w:ascii="Arial" w:eastAsia="Times New Roman" w:hAnsi="Arial" w:cs="Times New Roman"/>
          <w:color w:val="000000"/>
          <w:sz w:val="26"/>
          <w:szCs w:val="26"/>
        </w:rPr>
      </w:pPr>
      <w:r w:rsidRPr="00167105">
        <w:rPr>
          <w:rFonts w:ascii="Arial" w:eastAsia="Calibri" w:hAnsi="Arial" w:cs="Arial"/>
          <w:bCs/>
          <w:sz w:val="26"/>
          <w:szCs w:val="26"/>
        </w:rPr>
        <w:t>Al respecto resulta aplicable el criterio emitido por el Octavo Tribunal Colegiado en materia Administrativa del Primer Circuito, novena</w:t>
      </w:r>
      <w:r w:rsidRPr="00167105">
        <w:rPr>
          <w:rFonts w:ascii="Arial" w:eastAsia="Times New Roman" w:hAnsi="Arial" w:cs="Times New Roman"/>
          <w:color w:val="000000"/>
          <w:sz w:val="26"/>
          <w:szCs w:val="26"/>
        </w:rPr>
        <w:t xml:space="preserve"> época, Tomo XXIX, en mayo de 2009, consultable a página 1119, publicada en la Gaceta del Semanario Judicial de la Federación, cuyo rubro y texto es el siguiente:</w:t>
      </w:r>
      <w:r w:rsidR="00001F3A">
        <w:rPr>
          <w:rFonts w:ascii="Arial" w:eastAsia="Times New Roman" w:hAnsi="Arial" w:cs="Times New Roman"/>
          <w:color w:val="000000"/>
          <w:sz w:val="26"/>
          <w:szCs w:val="26"/>
        </w:rPr>
        <w:t xml:space="preserve"> - - - - - - - - - - - - - - - - - - - - - - - - - - - - - - -</w:t>
      </w:r>
    </w:p>
    <w:p w14:paraId="3E5A435B" w14:textId="77777777" w:rsidR="005542E9" w:rsidRPr="00AB0533" w:rsidRDefault="005542E9" w:rsidP="005542E9">
      <w:pPr>
        <w:widowControl w:val="0"/>
        <w:autoSpaceDE w:val="0"/>
        <w:autoSpaceDN w:val="0"/>
        <w:adjustRightInd w:val="0"/>
        <w:spacing w:before="240" w:after="0" w:line="240" w:lineRule="auto"/>
        <w:ind w:left="1134" w:right="758"/>
        <w:jc w:val="both"/>
        <w:rPr>
          <w:rFonts w:ascii="Arial" w:eastAsia="Calibri" w:hAnsi="Arial" w:cs="Arial"/>
          <w:bCs/>
          <w:i/>
          <w:iCs/>
        </w:rPr>
      </w:pPr>
      <w:r w:rsidRPr="00AB0533">
        <w:rPr>
          <w:rFonts w:ascii="Arial" w:eastAsia="Calibri" w:hAnsi="Arial" w:cs="Arial"/>
          <w:bCs/>
          <w:i/>
          <w:iCs/>
        </w:rPr>
        <w:t>“</w:t>
      </w:r>
      <w:r w:rsidRPr="00AB0533">
        <w:rPr>
          <w:rFonts w:ascii="Arial" w:eastAsia="Calibri" w:hAnsi="Arial" w:cs="Arial"/>
          <w:b/>
          <w:bCs/>
          <w:i/>
          <w:iCs/>
        </w:rPr>
        <w:t>REVISIÓN CONTENCIOSA ADMINISTRATIVA. LA LEGITIMACIÓN PARA INTERPONER DICHO RECURSO NO SÓLO IMPLICA QUE EL PROMOVENTE SEA AUTORIDAD, SINO TAMBIÉN QUE LA SENTENCIA IMPUGNADA LE AGRAVIE</w:t>
      </w:r>
      <w:r w:rsidRPr="00AB0533">
        <w:rPr>
          <w:rFonts w:ascii="Arial" w:eastAsia="Calibri" w:hAnsi="Arial" w:cs="Arial"/>
          <w:bCs/>
          <w:i/>
          <w:iC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14:paraId="546E8246" w14:textId="7AA8A973" w:rsidR="00F07A70" w:rsidRPr="005542E9" w:rsidRDefault="00F07A70" w:rsidP="00F07A70">
      <w:pPr>
        <w:spacing w:before="240" w:after="0" w:line="360" w:lineRule="auto"/>
        <w:ind w:firstLine="708"/>
        <w:jc w:val="both"/>
        <w:rPr>
          <w:rFonts w:ascii="Arial" w:hAnsi="Arial" w:cs="Arial"/>
          <w:sz w:val="26"/>
          <w:szCs w:val="26"/>
          <w:lang w:val="es-MX"/>
        </w:rPr>
      </w:pPr>
      <w:r w:rsidRPr="005542E9">
        <w:rPr>
          <w:rFonts w:ascii="Arial" w:hAnsi="Arial" w:cs="Arial"/>
          <w:sz w:val="26"/>
          <w:szCs w:val="26"/>
          <w:lang w:val="es-MX"/>
        </w:rPr>
        <w:t>En este tenor, cabe señalar que el artículo 2</w:t>
      </w:r>
      <w:r w:rsidR="00CE7FE6">
        <w:rPr>
          <w:rFonts w:ascii="Arial" w:hAnsi="Arial" w:cs="Arial"/>
          <w:sz w:val="26"/>
          <w:szCs w:val="26"/>
          <w:lang w:val="es-MX"/>
        </w:rPr>
        <w:t>3</w:t>
      </w:r>
      <w:r w:rsidRPr="005542E9">
        <w:rPr>
          <w:rFonts w:ascii="Arial" w:hAnsi="Arial" w:cs="Arial"/>
          <w:sz w:val="26"/>
          <w:szCs w:val="26"/>
          <w:lang w:val="es-MX"/>
        </w:rPr>
        <w:t>6, en relación con el diverso 1</w:t>
      </w:r>
      <w:r w:rsidR="00CE7FE6">
        <w:rPr>
          <w:rFonts w:ascii="Arial" w:hAnsi="Arial" w:cs="Arial"/>
          <w:sz w:val="26"/>
          <w:szCs w:val="26"/>
          <w:lang w:val="es-MX"/>
        </w:rPr>
        <w:t>6</w:t>
      </w:r>
      <w:r w:rsidRPr="005542E9">
        <w:rPr>
          <w:rFonts w:ascii="Arial" w:hAnsi="Arial" w:cs="Arial"/>
          <w:sz w:val="26"/>
          <w:szCs w:val="26"/>
          <w:lang w:val="es-MX"/>
        </w:rPr>
        <w:t>3</w:t>
      </w:r>
      <w:r w:rsidR="00D85203" w:rsidRPr="005542E9">
        <w:rPr>
          <w:rFonts w:ascii="Arial" w:hAnsi="Arial" w:cs="Arial"/>
          <w:sz w:val="26"/>
          <w:szCs w:val="26"/>
          <w:lang w:val="es-MX"/>
        </w:rPr>
        <w:t xml:space="preserve">, fracción II, inciso </w:t>
      </w:r>
      <w:r w:rsidR="004A5E03" w:rsidRPr="005542E9">
        <w:rPr>
          <w:rFonts w:ascii="Arial" w:hAnsi="Arial" w:cs="Arial"/>
          <w:sz w:val="26"/>
          <w:szCs w:val="26"/>
          <w:lang w:val="es-MX"/>
        </w:rPr>
        <w:t>a</w:t>
      </w:r>
      <w:r w:rsidR="00D85203" w:rsidRPr="005542E9">
        <w:rPr>
          <w:rFonts w:ascii="Arial" w:hAnsi="Arial" w:cs="Arial"/>
          <w:sz w:val="26"/>
          <w:szCs w:val="26"/>
          <w:lang w:val="es-MX"/>
        </w:rPr>
        <w:t xml:space="preserve">), </w:t>
      </w:r>
      <w:r w:rsidRPr="005542E9">
        <w:rPr>
          <w:rFonts w:ascii="Arial" w:hAnsi="Arial" w:cs="Arial"/>
          <w:sz w:val="26"/>
          <w:szCs w:val="26"/>
          <w:lang w:val="es-MX"/>
        </w:rPr>
        <w:t xml:space="preserve">de la Ley </w:t>
      </w:r>
      <w:r w:rsidR="00F55E47">
        <w:rPr>
          <w:rFonts w:ascii="Arial" w:hAnsi="Arial" w:cs="Arial"/>
          <w:sz w:val="26"/>
          <w:szCs w:val="26"/>
          <w:lang w:val="es-MX"/>
        </w:rPr>
        <w:t>que rige el procedimiento</w:t>
      </w:r>
      <w:r w:rsidRPr="005542E9">
        <w:rPr>
          <w:rFonts w:ascii="Arial" w:hAnsi="Arial" w:cs="Arial"/>
          <w:sz w:val="26"/>
          <w:szCs w:val="26"/>
          <w:lang w:val="es-MX"/>
        </w:rPr>
        <w:t>, establece</w:t>
      </w:r>
      <w:r w:rsidR="00CE7FE6">
        <w:rPr>
          <w:rFonts w:ascii="Arial" w:hAnsi="Arial" w:cs="Arial"/>
          <w:sz w:val="26"/>
          <w:szCs w:val="26"/>
          <w:lang w:val="es-MX"/>
        </w:rPr>
        <w:t>n</w:t>
      </w:r>
      <w:r w:rsidRPr="005542E9">
        <w:rPr>
          <w:rFonts w:ascii="Arial" w:hAnsi="Arial" w:cs="Arial"/>
          <w:sz w:val="26"/>
          <w:szCs w:val="26"/>
          <w:lang w:val="es-MX"/>
        </w:rPr>
        <w:t xml:space="preserve">: </w:t>
      </w:r>
      <w:r w:rsidR="00D17BF2">
        <w:rPr>
          <w:rFonts w:ascii="Arial" w:hAnsi="Arial" w:cs="Arial"/>
          <w:sz w:val="26"/>
          <w:szCs w:val="26"/>
          <w:lang w:val="es-MX"/>
        </w:rPr>
        <w:t xml:space="preserve"> - - - - - - - - - - - - - - - - - - - - - - - - - - - - - - - - - - - - - - - - - - -</w:t>
      </w:r>
    </w:p>
    <w:p w14:paraId="410AF900" w14:textId="77777777" w:rsidR="00CE7FE6" w:rsidRPr="009C399D" w:rsidRDefault="00F07A70" w:rsidP="00CE7FE6">
      <w:pPr>
        <w:spacing w:before="240" w:line="240" w:lineRule="auto"/>
        <w:ind w:left="567" w:right="474" w:firstLine="568"/>
        <w:jc w:val="both"/>
        <w:rPr>
          <w:rFonts w:ascii="Arial" w:hAnsi="Arial" w:cs="Arial"/>
          <w:i/>
        </w:rPr>
      </w:pPr>
      <w:r w:rsidRPr="009C399D">
        <w:rPr>
          <w:rFonts w:ascii="Arial" w:hAnsi="Arial" w:cs="Arial"/>
          <w:i/>
          <w:sz w:val="24"/>
          <w:szCs w:val="24"/>
          <w:lang w:val="es-MX"/>
        </w:rPr>
        <w:t>“</w:t>
      </w:r>
      <w:r w:rsidR="00CE7FE6" w:rsidRPr="009C399D">
        <w:rPr>
          <w:rFonts w:ascii="Arial" w:hAnsi="Arial" w:cs="Arial"/>
          <w:i/>
        </w:rPr>
        <w:t xml:space="preserve">ARTÍCULO 236.- Contra los acuerdos y resoluciones dictados por las salas unitarias de primera instancia, procede el recurso de revisión, cuyo conocimiento y resolución corresponde a la Sala Superior. </w:t>
      </w:r>
    </w:p>
    <w:p w14:paraId="4797B5C3" w14:textId="77777777" w:rsidR="00CE7FE6" w:rsidRPr="009C399D" w:rsidRDefault="00CE7FE6" w:rsidP="00CE7FE6">
      <w:pPr>
        <w:spacing w:before="240" w:line="240" w:lineRule="auto"/>
        <w:ind w:left="567" w:right="474" w:firstLine="568"/>
        <w:jc w:val="both"/>
        <w:rPr>
          <w:rFonts w:ascii="Arial" w:hAnsi="Arial" w:cs="Arial"/>
          <w:i/>
        </w:rPr>
      </w:pPr>
      <w:r w:rsidRPr="009C399D">
        <w:rPr>
          <w:rFonts w:ascii="Arial" w:hAnsi="Arial" w:cs="Arial"/>
          <w:i/>
        </w:rPr>
        <w:t xml:space="preserve">Podrán ser impugnadas por las partes, mediante recurso de revisión: </w:t>
      </w:r>
    </w:p>
    <w:p w14:paraId="355B8817"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Los acuerdos que admitan o desechen la demanda, su contestación o ampliación;</w:t>
      </w:r>
    </w:p>
    <w:p w14:paraId="7B497B53" w14:textId="3A8ADF04"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 xml:space="preserve">El acuerdo que deseche pruebas; </w:t>
      </w:r>
    </w:p>
    <w:p w14:paraId="4CF30337"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 xml:space="preserve">El acuerdo que rechace la intervención del tercero; </w:t>
      </w:r>
    </w:p>
    <w:p w14:paraId="73EC24A1"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 xml:space="preserve">Los acuerdos que decreten, nieguen o revoquen la suspensión; </w:t>
      </w:r>
    </w:p>
    <w:p w14:paraId="4FE9B846"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 xml:space="preserve">Las resoluciones que decidan los incidentes a que se refiere el artículo 224 de esta Ley; </w:t>
      </w:r>
    </w:p>
    <w:p w14:paraId="32991D55"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Las resoluciones que decreten o nieguen el sobreseimiento;</w:t>
      </w:r>
    </w:p>
    <w:p w14:paraId="56E1D509"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 xml:space="preserve">Las sentencias que decidan la cuestión planteada; </w:t>
      </w:r>
    </w:p>
    <w:p w14:paraId="4BCA6880" w14:textId="77777777"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lastRenderedPageBreak/>
        <w:t xml:space="preserve">Por violaciones cometidas durante el procedimiento del juicio, cuando hayan dejado sin defensa al recurrente y trasciendan al sentido de la sentencia; y </w:t>
      </w:r>
    </w:p>
    <w:p w14:paraId="6A1526A0" w14:textId="5A6168E9" w:rsidR="00CE7FE6" w:rsidRPr="009C399D" w:rsidRDefault="00CE7FE6" w:rsidP="00CE7FE6">
      <w:pPr>
        <w:pStyle w:val="Prrafodelista"/>
        <w:numPr>
          <w:ilvl w:val="0"/>
          <w:numId w:val="13"/>
        </w:numPr>
        <w:spacing w:before="240" w:line="240" w:lineRule="auto"/>
        <w:ind w:right="474"/>
        <w:jc w:val="both"/>
        <w:rPr>
          <w:rFonts w:ascii="Arial" w:hAnsi="Arial" w:cs="Arial"/>
          <w:i/>
        </w:rPr>
      </w:pPr>
      <w:r w:rsidRPr="009C399D">
        <w:rPr>
          <w:rFonts w:ascii="Arial" w:hAnsi="Arial" w:cs="Arial"/>
          <w:i/>
        </w:rPr>
        <w:t>Las resoluciones que pongan fin al procedimiento de ejecución de la sentencia.”</w:t>
      </w:r>
    </w:p>
    <w:p w14:paraId="0A150098" w14:textId="77777777" w:rsidR="00CE7FE6" w:rsidRPr="009C399D" w:rsidRDefault="00CE7FE6" w:rsidP="00CE7FE6">
      <w:pPr>
        <w:spacing w:before="240" w:line="240" w:lineRule="auto"/>
        <w:ind w:left="567" w:right="474" w:firstLine="568"/>
        <w:jc w:val="both"/>
        <w:rPr>
          <w:rFonts w:ascii="Arial" w:hAnsi="Arial" w:cs="Arial"/>
          <w:i/>
        </w:rPr>
      </w:pPr>
      <w:r w:rsidRPr="009C399D">
        <w:rPr>
          <w:rFonts w:ascii="Arial" w:hAnsi="Arial" w:cs="Arial"/>
          <w:i/>
        </w:rPr>
        <w:t xml:space="preserve">“ARTÍCULO 163.- Son partes en el juicio contencioso administrativo: </w:t>
      </w:r>
    </w:p>
    <w:p w14:paraId="2B15D9B5" w14:textId="77777777" w:rsidR="00CE7FE6" w:rsidRPr="009C399D" w:rsidRDefault="00CE7FE6" w:rsidP="00CE7FE6">
      <w:pPr>
        <w:spacing w:before="240" w:line="240" w:lineRule="auto"/>
        <w:ind w:left="567" w:right="474" w:firstLine="568"/>
        <w:jc w:val="both"/>
        <w:rPr>
          <w:rFonts w:ascii="Arial" w:hAnsi="Arial" w:cs="Arial"/>
          <w:i/>
        </w:rPr>
      </w:pPr>
      <w:r w:rsidRPr="009C399D">
        <w:rPr>
          <w:rFonts w:ascii="Arial" w:hAnsi="Arial" w:cs="Arial"/>
          <w:i/>
        </w:rPr>
        <w:t>…</w:t>
      </w:r>
    </w:p>
    <w:p w14:paraId="409FF58F" w14:textId="77777777" w:rsidR="00CE7FE6" w:rsidRPr="009C399D" w:rsidRDefault="00CE7FE6" w:rsidP="00CE7FE6">
      <w:pPr>
        <w:spacing w:before="240" w:line="240" w:lineRule="auto"/>
        <w:ind w:left="567" w:right="474" w:firstLine="568"/>
        <w:jc w:val="both"/>
        <w:rPr>
          <w:rFonts w:ascii="Arial" w:hAnsi="Arial" w:cs="Arial"/>
          <w:i/>
        </w:rPr>
      </w:pPr>
      <w:r w:rsidRPr="009C399D">
        <w:rPr>
          <w:rFonts w:ascii="Arial" w:hAnsi="Arial" w:cs="Arial"/>
          <w:i/>
        </w:rPr>
        <w:t xml:space="preserve">II. El demandado. Tendrá ese carácter: </w:t>
      </w:r>
    </w:p>
    <w:p w14:paraId="51457CA1" w14:textId="77777777" w:rsidR="00CE7FE6" w:rsidRPr="009C399D" w:rsidRDefault="00CE7FE6" w:rsidP="00CE7FE6">
      <w:pPr>
        <w:spacing w:before="240" w:line="240" w:lineRule="auto"/>
        <w:ind w:left="567" w:right="474" w:firstLine="568"/>
        <w:jc w:val="both"/>
        <w:rPr>
          <w:rFonts w:ascii="Arial" w:hAnsi="Arial" w:cs="Arial"/>
          <w:i/>
        </w:rPr>
      </w:pPr>
      <w:r w:rsidRPr="009C399D">
        <w:rPr>
          <w:rFonts w:ascii="Arial" w:hAnsi="Arial" w:cs="Arial"/>
          <w:i/>
        </w:rPr>
        <w:t>a) La autoridad que dicte, ordene, ejecute o trate de ejecutar el acto impugnado, o que omita dar respuesta a las peticiones o instancias de los particulares;</w:t>
      </w:r>
    </w:p>
    <w:p w14:paraId="06A1DF59" w14:textId="45D15132" w:rsidR="00CE7FE6" w:rsidRPr="009C399D" w:rsidRDefault="00CE7FE6" w:rsidP="00CE7FE6">
      <w:pPr>
        <w:spacing w:before="240" w:line="240" w:lineRule="auto"/>
        <w:ind w:left="567" w:right="474" w:firstLine="568"/>
        <w:jc w:val="both"/>
        <w:rPr>
          <w:rFonts w:ascii="Arial" w:hAnsi="Arial" w:cs="Arial"/>
          <w:i/>
          <w:sz w:val="24"/>
          <w:szCs w:val="24"/>
          <w:lang w:val="es-MX"/>
        </w:rPr>
      </w:pPr>
      <w:r w:rsidRPr="009C399D">
        <w:rPr>
          <w:rFonts w:ascii="Arial" w:hAnsi="Arial" w:cs="Arial"/>
          <w:i/>
        </w:rPr>
        <w:t>...”</w:t>
      </w:r>
    </w:p>
    <w:p w14:paraId="339CB5BB" w14:textId="1DF49F5A" w:rsidR="008E7EE1" w:rsidRPr="009C399D" w:rsidRDefault="008E7EE1" w:rsidP="00F07A70">
      <w:pPr>
        <w:pStyle w:val="Default"/>
        <w:ind w:left="709" w:right="709" w:firstLine="707"/>
        <w:jc w:val="both"/>
        <w:rPr>
          <w:i/>
        </w:rPr>
      </w:pPr>
    </w:p>
    <w:p w14:paraId="3C81A288" w14:textId="18A6536F" w:rsidR="008E7EE1" w:rsidRPr="00167105" w:rsidRDefault="008E7EE1" w:rsidP="000F099B">
      <w:pPr>
        <w:spacing w:line="360" w:lineRule="auto"/>
        <w:ind w:firstLine="708"/>
        <w:jc w:val="both"/>
        <w:rPr>
          <w:rFonts w:ascii="Arial" w:eastAsia="Calibri" w:hAnsi="Arial" w:cs="Arial"/>
          <w:sz w:val="26"/>
          <w:szCs w:val="26"/>
        </w:rPr>
      </w:pPr>
      <w:r w:rsidRPr="00815123">
        <w:rPr>
          <w:rFonts w:ascii="Arial" w:eastAsia="Calibri" w:hAnsi="Arial" w:cs="Arial"/>
          <w:sz w:val="26"/>
          <w:szCs w:val="26"/>
          <w:lang w:val="es-MX"/>
        </w:rPr>
        <w:t xml:space="preserve">Así, de la transcripción de los artículos anteriores, se advierte que en el presente caso, </w:t>
      </w:r>
      <w:bookmarkStart w:id="1" w:name="_Hlk65678479"/>
      <w:r w:rsidRPr="00815123">
        <w:rPr>
          <w:rFonts w:ascii="Arial" w:eastAsia="Calibri" w:hAnsi="Arial" w:cs="Arial"/>
          <w:sz w:val="26"/>
          <w:szCs w:val="26"/>
          <w:lang w:val="es-MX"/>
        </w:rPr>
        <w:t xml:space="preserve">la </w:t>
      </w:r>
      <w:r w:rsidRPr="00815123">
        <w:rPr>
          <w:rFonts w:ascii="Arial" w:hAnsi="Arial" w:cs="Arial"/>
          <w:sz w:val="26"/>
          <w:szCs w:val="26"/>
        </w:rPr>
        <w:t xml:space="preserve">Tesorera Municipal </w:t>
      </w:r>
      <w:bookmarkEnd w:id="1"/>
      <w:r w:rsidRPr="00815123">
        <w:rPr>
          <w:rFonts w:ascii="Arial" w:hAnsi="Arial" w:cs="Arial"/>
          <w:sz w:val="26"/>
          <w:szCs w:val="26"/>
        </w:rPr>
        <w:t>no</w:t>
      </w:r>
      <w:r w:rsidRPr="00815123">
        <w:rPr>
          <w:rFonts w:ascii="Arial" w:eastAsia="Calibri" w:hAnsi="Arial" w:cs="Arial"/>
          <w:sz w:val="26"/>
          <w:szCs w:val="26"/>
          <w:lang w:val="es-MX"/>
        </w:rPr>
        <w:t xml:space="preserve"> es parte en el juicio natural, debido a que el acto de autoridad proviene de autoridad distinta a la recurrente</w:t>
      </w:r>
      <w:r w:rsidR="00D26410" w:rsidRPr="00815123">
        <w:rPr>
          <w:rFonts w:ascii="Arial" w:eastAsia="Calibri" w:hAnsi="Arial" w:cs="Arial"/>
          <w:sz w:val="26"/>
          <w:szCs w:val="26"/>
          <w:lang w:val="es-MX"/>
        </w:rPr>
        <w:t>,</w:t>
      </w:r>
      <w:r w:rsidRPr="00815123">
        <w:rPr>
          <w:rFonts w:ascii="Arial" w:eastAsia="Calibri" w:hAnsi="Arial" w:cs="Arial"/>
          <w:sz w:val="26"/>
          <w:szCs w:val="26"/>
          <w:lang w:val="es-MX"/>
        </w:rPr>
        <w:t xml:space="preserve"> </w:t>
      </w:r>
      <w:r w:rsidR="00D26410" w:rsidRPr="00815123">
        <w:rPr>
          <w:rFonts w:ascii="Arial" w:eastAsia="Calibri" w:hAnsi="Arial" w:cs="Arial"/>
          <w:sz w:val="26"/>
          <w:szCs w:val="26"/>
          <w:lang w:val="es-MX"/>
        </w:rPr>
        <w:t>con independencia</w:t>
      </w:r>
      <w:r w:rsidR="00D26410">
        <w:rPr>
          <w:rFonts w:ascii="Arial" w:eastAsia="Calibri" w:hAnsi="Arial" w:cs="Arial"/>
          <w:sz w:val="26"/>
          <w:szCs w:val="26"/>
          <w:lang w:val="es-MX"/>
        </w:rPr>
        <w:t xml:space="preserve"> de que se encuentre bajo su adscripción; pues la nulidad decretada en la sentencia que intenta impugnar n</w:t>
      </w:r>
      <w:r w:rsidRPr="00167105">
        <w:rPr>
          <w:rFonts w:ascii="Arial" w:eastAsia="Calibri" w:hAnsi="Arial" w:cs="Arial"/>
          <w:sz w:val="26"/>
          <w:szCs w:val="26"/>
        </w:rPr>
        <w:t xml:space="preserve">o </w:t>
      </w:r>
      <w:r w:rsidR="00D26410">
        <w:rPr>
          <w:rFonts w:ascii="Arial" w:eastAsia="Calibri" w:hAnsi="Arial" w:cs="Arial"/>
          <w:sz w:val="26"/>
          <w:szCs w:val="26"/>
        </w:rPr>
        <w:t>le agravia</w:t>
      </w:r>
      <w:r w:rsidRPr="00167105">
        <w:rPr>
          <w:rFonts w:ascii="Arial" w:eastAsia="Calibri" w:hAnsi="Arial" w:cs="Arial"/>
          <w:sz w:val="26"/>
          <w:szCs w:val="26"/>
        </w:rPr>
        <w:t>, por las siguientes razones:</w:t>
      </w:r>
      <w:r w:rsidR="00743A44">
        <w:rPr>
          <w:rFonts w:ascii="Arial" w:eastAsia="Calibri" w:hAnsi="Arial" w:cs="Arial"/>
          <w:sz w:val="26"/>
          <w:szCs w:val="26"/>
        </w:rPr>
        <w:t xml:space="preserve"> - - - - - - - - - - - - - - -</w:t>
      </w:r>
    </w:p>
    <w:p w14:paraId="54450C1A" w14:textId="785B10C0" w:rsidR="008E7EE1" w:rsidRPr="00167105" w:rsidRDefault="008E7EE1" w:rsidP="000F099B">
      <w:pPr>
        <w:spacing w:line="360" w:lineRule="auto"/>
        <w:ind w:firstLine="708"/>
        <w:jc w:val="both"/>
        <w:rPr>
          <w:rFonts w:ascii="Arial" w:eastAsia="Calibri" w:hAnsi="Arial" w:cs="Arial"/>
          <w:sz w:val="26"/>
          <w:szCs w:val="26"/>
        </w:rPr>
      </w:pPr>
      <w:r w:rsidRPr="00167105">
        <w:rPr>
          <w:rFonts w:ascii="Arial" w:eastAsia="Calibri" w:hAnsi="Arial" w:cs="Arial"/>
          <w:b/>
          <w:sz w:val="26"/>
          <w:szCs w:val="26"/>
        </w:rPr>
        <w:t xml:space="preserve">a) </w:t>
      </w:r>
      <w:r>
        <w:rPr>
          <w:rFonts w:ascii="Arial" w:eastAsia="Calibri" w:hAnsi="Arial" w:cs="Arial"/>
          <w:sz w:val="26"/>
          <w:szCs w:val="26"/>
        </w:rPr>
        <w:t>E</w:t>
      </w:r>
      <w:r w:rsidRPr="00167105">
        <w:rPr>
          <w:rFonts w:ascii="Arial" w:eastAsia="Calibri" w:hAnsi="Arial" w:cs="Arial"/>
          <w:sz w:val="26"/>
          <w:szCs w:val="26"/>
        </w:rPr>
        <w:t xml:space="preserve">l acto combatido </w:t>
      </w:r>
      <w:r w:rsidR="00C86DEB">
        <w:rPr>
          <w:rFonts w:ascii="Arial" w:eastAsia="Calibri" w:hAnsi="Arial" w:cs="Arial"/>
          <w:sz w:val="26"/>
          <w:szCs w:val="26"/>
        </w:rPr>
        <w:t xml:space="preserve">- </w:t>
      </w:r>
      <w:r w:rsidR="00C86DEB">
        <w:rPr>
          <w:rFonts w:ascii="Arial" w:hAnsi="Arial" w:cs="Arial"/>
          <w:sz w:val="26"/>
          <w:szCs w:val="26"/>
        </w:rPr>
        <w:t>acuerdo municipal número CFA/TM/DICF/575/2017, de treinta y uno de julio de dos mil diecisiete, emitido por la otrora Directora de Ingresos y Control Fiscal del Ayuntamiento de Oaxaca de Juárez, Oaxaca, ahora Subdirectora de Ingresos del Municipio de Oaxaca de Juárez, Oaxaca -,</w:t>
      </w:r>
      <w:r w:rsidRPr="00167105">
        <w:rPr>
          <w:rFonts w:ascii="Arial" w:eastAsia="Calibri" w:hAnsi="Arial" w:cs="Arial"/>
          <w:sz w:val="26"/>
          <w:szCs w:val="26"/>
        </w:rPr>
        <w:t xml:space="preserve"> fue emitido por autoridad diversa, por tanto la validez o nulidad decretada no interfiere </w:t>
      </w:r>
      <w:r w:rsidR="00350BF5">
        <w:rPr>
          <w:rFonts w:ascii="Arial" w:eastAsia="Calibri" w:hAnsi="Arial" w:cs="Arial"/>
          <w:sz w:val="26"/>
          <w:szCs w:val="26"/>
        </w:rPr>
        <w:t>las funciones que la revisionista desempeña.</w:t>
      </w:r>
      <w:r w:rsidR="002D24A4">
        <w:rPr>
          <w:rFonts w:ascii="Arial" w:eastAsia="Calibri" w:hAnsi="Arial" w:cs="Arial"/>
          <w:sz w:val="26"/>
          <w:szCs w:val="26"/>
        </w:rPr>
        <w:t xml:space="preserve"> - - - - - - - - - - - - - - - - - - -</w:t>
      </w:r>
    </w:p>
    <w:p w14:paraId="77EE3355" w14:textId="2E2495E1" w:rsidR="008E7EE1" w:rsidRDefault="008E7EE1" w:rsidP="000F099B">
      <w:pPr>
        <w:spacing w:line="360" w:lineRule="auto"/>
        <w:ind w:firstLine="708"/>
        <w:jc w:val="both"/>
        <w:rPr>
          <w:rFonts w:ascii="Arial" w:eastAsia="Calibri" w:hAnsi="Arial" w:cs="Arial"/>
          <w:sz w:val="26"/>
          <w:szCs w:val="26"/>
        </w:rPr>
      </w:pPr>
      <w:r w:rsidRPr="00167105">
        <w:rPr>
          <w:rFonts w:ascii="Arial" w:eastAsia="Calibri" w:hAnsi="Arial" w:cs="Arial"/>
          <w:b/>
          <w:sz w:val="26"/>
          <w:szCs w:val="26"/>
        </w:rPr>
        <w:t xml:space="preserve">b) </w:t>
      </w:r>
      <w:r>
        <w:rPr>
          <w:rFonts w:ascii="Arial" w:eastAsia="Calibri" w:hAnsi="Arial" w:cs="Arial"/>
          <w:sz w:val="26"/>
          <w:szCs w:val="26"/>
        </w:rPr>
        <w:t>L</w:t>
      </w:r>
      <w:r w:rsidRPr="00167105">
        <w:rPr>
          <w:rFonts w:ascii="Arial" w:eastAsia="Calibri" w:hAnsi="Arial" w:cs="Arial"/>
          <w:sz w:val="26"/>
          <w:szCs w:val="26"/>
        </w:rPr>
        <w:t xml:space="preserve">a recurrente no puede válidamente defender una actuación que le es ajena, porque sería imposible jurídica y fácticamente que realice la defensa sobre actos respecto de los cuales desconoce </w:t>
      </w:r>
      <w:r>
        <w:rPr>
          <w:rFonts w:ascii="Arial" w:eastAsia="Calibri" w:hAnsi="Arial" w:cs="Arial"/>
          <w:sz w:val="26"/>
          <w:szCs w:val="26"/>
        </w:rPr>
        <w:t>el</w:t>
      </w:r>
      <w:r w:rsidRPr="00167105">
        <w:rPr>
          <w:rFonts w:ascii="Arial" w:eastAsia="Calibri" w:hAnsi="Arial" w:cs="Arial"/>
          <w:sz w:val="26"/>
          <w:szCs w:val="26"/>
        </w:rPr>
        <w:t xml:space="preserve"> origen y el motivo de su existencia, máxime que </w:t>
      </w:r>
      <w:r w:rsidR="00C86DEB">
        <w:rPr>
          <w:rFonts w:ascii="Arial" w:eastAsia="Calibri" w:hAnsi="Arial" w:cs="Arial"/>
          <w:sz w:val="26"/>
          <w:szCs w:val="26"/>
        </w:rPr>
        <w:t xml:space="preserve">el </w:t>
      </w:r>
      <w:r w:rsidR="00C86DEB">
        <w:rPr>
          <w:rFonts w:ascii="Arial" w:hAnsi="Arial" w:cs="Arial"/>
          <w:sz w:val="26"/>
          <w:szCs w:val="26"/>
        </w:rPr>
        <w:t xml:space="preserve">acuerdo municipal número CFA/TM/DICF/575/2017, de treinta y uno de julio de dos mil diecisiete, </w:t>
      </w:r>
      <w:r w:rsidRPr="00167105">
        <w:rPr>
          <w:rFonts w:ascii="Arial" w:eastAsia="Calibri" w:hAnsi="Arial" w:cs="Arial"/>
          <w:sz w:val="26"/>
          <w:szCs w:val="26"/>
        </w:rPr>
        <w:t>no constituye un acto que le correspond</w:t>
      </w:r>
      <w:r w:rsidR="00C86DEB">
        <w:rPr>
          <w:rFonts w:ascii="Arial" w:eastAsia="Calibri" w:hAnsi="Arial" w:cs="Arial"/>
          <w:sz w:val="26"/>
          <w:szCs w:val="26"/>
        </w:rPr>
        <w:t xml:space="preserve">ió </w:t>
      </w:r>
      <w:r w:rsidRPr="00167105">
        <w:rPr>
          <w:rFonts w:ascii="Arial" w:eastAsia="Calibri" w:hAnsi="Arial" w:cs="Arial"/>
          <w:sz w:val="26"/>
          <w:szCs w:val="26"/>
        </w:rPr>
        <w:t>emitir en el ejercicio de sus atribuciones y,</w:t>
      </w:r>
      <w:r w:rsidR="00A2222E">
        <w:rPr>
          <w:rFonts w:ascii="Arial" w:eastAsia="Calibri" w:hAnsi="Arial" w:cs="Arial"/>
          <w:sz w:val="26"/>
          <w:szCs w:val="26"/>
        </w:rPr>
        <w:t xml:space="preserve"> - - - - - - - - - - - - - - - - - - - - - - - - - - - - - - - - - - - -</w:t>
      </w:r>
    </w:p>
    <w:p w14:paraId="083447AE" w14:textId="674A9226" w:rsidR="008E7EE1" w:rsidRDefault="008E7EE1" w:rsidP="000F099B">
      <w:pPr>
        <w:spacing w:line="360" w:lineRule="auto"/>
        <w:ind w:firstLine="708"/>
        <w:jc w:val="both"/>
        <w:rPr>
          <w:rFonts w:ascii="Arial" w:eastAsia="Calibri" w:hAnsi="Arial" w:cs="Arial"/>
          <w:sz w:val="26"/>
          <w:szCs w:val="26"/>
        </w:rPr>
      </w:pPr>
      <w:r w:rsidRPr="00167105">
        <w:rPr>
          <w:rFonts w:ascii="Arial" w:eastAsia="Calibri" w:hAnsi="Arial" w:cs="Arial"/>
          <w:b/>
          <w:sz w:val="26"/>
          <w:szCs w:val="26"/>
        </w:rPr>
        <w:t xml:space="preserve">c)  </w:t>
      </w:r>
      <w:r>
        <w:rPr>
          <w:rFonts w:ascii="Arial" w:eastAsia="Calibri" w:hAnsi="Arial" w:cs="Arial"/>
          <w:sz w:val="26"/>
          <w:szCs w:val="26"/>
        </w:rPr>
        <w:t>E</w:t>
      </w:r>
      <w:r w:rsidRPr="00167105">
        <w:rPr>
          <w:rFonts w:ascii="Arial" w:eastAsia="Calibri" w:hAnsi="Arial" w:cs="Arial"/>
          <w:sz w:val="26"/>
          <w:szCs w:val="26"/>
        </w:rPr>
        <w:t xml:space="preserve">n la sentencia se decretó la nulidad </w:t>
      </w:r>
      <w:r w:rsidR="00C86DEB">
        <w:rPr>
          <w:rFonts w:ascii="Arial" w:eastAsia="Calibri" w:hAnsi="Arial" w:cs="Arial"/>
          <w:sz w:val="26"/>
          <w:szCs w:val="26"/>
        </w:rPr>
        <w:t xml:space="preserve">del </w:t>
      </w:r>
      <w:r w:rsidR="00C86DEB">
        <w:rPr>
          <w:rFonts w:ascii="Arial" w:hAnsi="Arial" w:cs="Arial"/>
          <w:sz w:val="26"/>
          <w:szCs w:val="26"/>
        </w:rPr>
        <w:t>acuerdo municipal número CFA/TM/DICF/575/2017, de treinta y uno de julio de dos mil diecisiete, mas</w:t>
      </w:r>
      <w:r w:rsidRPr="00167105">
        <w:rPr>
          <w:rFonts w:ascii="Arial" w:eastAsia="Calibri" w:hAnsi="Arial" w:cs="Arial"/>
          <w:sz w:val="26"/>
          <w:szCs w:val="26"/>
        </w:rPr>
        <w:t xml:space="preserve"> no la nulidad de </w:t>
      </w:r>
      <w:r w:rsidR="000F099B">
        <w:rPr>
          <w:rFonts w:ascii="Arial" w:eastAsia="Calibri" w:hAnsi="Arial" w:cs="Arial"/>
          <w:sz w:val="26"/>
          <w:szCs w:val="26"/>
        </w:rPr>
        <w:t>un</w:t>
      </w:r>
      <w:r w:rsidRPr="00167105">
        <w:rPr>
          <w:rFonts w:ascii="Arial" w:eastAsia="Calibri" w:hAnsi="Arial" w:cs="Arial"/>
          <w:sz w:val="26"/>
          <w:szCs w:val="26"/>
        </w:rPr>
        <w:t xml:space="preserve">a actuación de la aquí </w:t>
      </w:r>
      <w:r w:rsidR="00A2222E" w:rsidRPr="00167105">
        <w:rPr>
          <w:rFonts w:ascii="Arial" w:eastAsia="Calibri" w:hAnsi="Arial" w:cs="Arial"/>
          <w:sz w:val="26"/>
          <w:szCs w:val="26"/>
        </w:rPr>
        <w:t>disconforme.</w:t>
      </w:r>
      <w:r w:rsidR="00A2222E">
        <w:rPr>
          <w:rFonts w:ascii="Arial" w:eastAsia="Calibri" w:hAnsi="Arial" w:cs="Arial"/>
          <w:sz w:val="26"/>
          <w:szCs w:val="26"/>
        </w:rPr>
        <w:t xml:space="preserve"> - </w:t>
      </w:r>
    </w:p>
    <w:p w14:paraId="3BED7724" w14:textId="2DF10049" w:rsidR="001D010B" w:rsidRPr="00167105" w:rsidRDefault="001D010B" w:rsidP="005542E9">
      <w:pPr>
        <w:spacing w:line="360" w:lineRule="auto"/>
        <w:ind w:firstLine="708"/>
        <w:jc w:val="both"/>
        <w:rPr>
          <w:rFonts w:ascii="Arial" w:eastAsia="Calibri" w:hAnsi="Arial" w:cs="Arial"/>
          <w:sz w:val="26"/>
          <w:szCs w:val="26"/>
        </w:rPr>
      </w:pPr>
      <w:r w:rsidRPr="00167105">
        <w:rPr>
          <w:rFonts w:ascii="Arial" w:eastAsia="Calibri" w:hAnsi="Arial" w:cs="Arial"/>
          <w:sz w:val="26"/>
          <w:szCs w:val="26"/>
        </w:rPr>
        <w:t>Por tanto, de una interpretación armónica de los artículos 2</w:t>
      </w:r>
      <w:r w:rsidR="00870158">
        <w:rPr>
          <w:rFonts w:ascii="Arial" w:eastAsia="Calibri" w:hAnsi="Arial" w:cs="Arial"/>
          <w:sz w:val="26"/>
          <w:szCs w:val="26"/>
        </w:rPr>
        <w:t>3</w:t>
      </w:r>
      <w:r w:rsidRPr="00167105">
        <w:rPr>
          <w:rFonts w:ascii="Arial" w:eastAsia="Calibri" w:hAnsi="Arial" w:cs="Arial"/>
          <w:sz w:val="26"/>
          <w:szCs w:val="26"/>
        </w:rPr>
        <w:t>6 y 1</w:t>
      </w:r>
      <w:r w:rsidR="00870158">
        <w:rPr>
          <w:rFonts w:ascii="Arial" w:eastAsia="Calibri" w:hAnsi="Arial" w:cs="Arial"/>
          <w:sz w:val="26"/>
          <w:szCs w:val="26"/>
        </w:rPr>
        <w:t>6</w:t>
      </w:r>
      <w:r w:rsidRPr="00167105">
        <w:rPr>
          <w:rFonts w:ascii="Arial" w:eastAsia="Calibri" w:hAnsi="Arial" w:cs="Arial"/>
          <w:sz w:val="26"/>
          <w:szCs w:val="26"/>
        </w:rPr>
        <w:t xml:space="preserve">3 </w:t>
      </w:r>
      <w:r>
        <w:rPr>
          <w:rFonts w:ascii="Arial" w:eastAsia="Calibri" w:hAnsi="Arial" w:cs="Arial"/>
          <w:sz w:val="26"/>
          <w:szCs w:val="26"/>
        </w:rPr>
        <w:t>fracción II, inciso a), transcritos anteriormente</w:t>
      </w:r>
      <w:r w:rsidRPr="00167105">
        <w:rPr>
          <w:rFonts w:ascii="Arial" w:eastAsia="Calibri" w:hAnsi="Arial" w:cs="Arial"/>
          <w:sz w:val="26"/>
          <w:szCs w:val="26"/>
        </w:rPr>
        <w:t xml:space="preserve">, se concluye que el recurso de revisión únicamente puede interponerse por la parte legitimada para hacerlo, que </w:t>
      </w:r>
      <w:r>
        <w:rPr>
          <w:rFonts w:ascii="Arial" w:eastAsia="Calibri" w:hAnsi="Arial" w:cs="Arial"/>
          <w:sz w:val="26"/>
          <w:szCs w:val="26"/>
        </w:rPr>
        <w:t xml:space="preserve">son </w:t>
      </w:r>
      <w:r w:rsidRPr="00167105">
        <w:rPr>
          <w:rFonts w:ascii="Arial" w:eastAsia="Calibri" w:hAnsi="Arial" w:cs="Arial"/>
          <w:sz w:val="26"/>
          <w:szCs w:val="26"/>
        </w:rPr>
        <w:t>aquell</w:t>
      </w:r>
      <w:r>
        <w:rPr>
          <w:rFonts w:ascii="Arial" w:eastAsia="Calibri" w:hAnsi="Arial" w:cs="Arial"/>
          <w:sz w:val="26"/>
          <w:szCs w:val="26"/>
        </w:rPr>
        <w:t xml:space="preserve">os </w:t>
      </w:r>
      <w:r w:rsidRPr="00167105">
        <w:rPr>
          <w:rFonts w:ascii="Arial" w:eastAsia="Calibri" w:hAnsi="Arial" w:cs="Arial"/>
          <w:sz w:val="26"/>
          <w:szCs w:val="26"/>
        </w:rPr>
        <w:t>a quien</w:t>
      </w:r>
      <w:r>
        <w:rPr>
          <w:rFonts w:ascii="Arial" w:eastAsia="Calibri" w:hAnsi="Arial" w:cs="Arial"/>
          <w:sz w:val="26"/>
          <w:szCs w:val="26"/>
        </w:rPr>
        <w:t>es</w:t>
      </w:r>
      <w:r w:rsidRPr="00167105">
        <w:rPr>
          <w:rFonts w:ascii="Arial" w:eastAsia="Calibri" w:hAnsi="Arial" w:cs="Arial"/>
          <w:sz w:val="26"/>
          <w:szCs w:val="26"/>
        </w:rPr>
        <w:t xml:space="preserve"> en forma directa </w:t>
      </w:r>
      <w:r w:rsidRPr="00167105">
        <w:rPr>
          <w:rFonts w:ascii="Arial" w:eastAsia="Calibri" w:hAnsi="Arial" w:cs="Arial"/>
          <w:sz w:val="26"/>
          <w:szCs w:val="26"/>
        </w:rPr>
        <w:lastRenderedPageBreak/>
        <w:t xml:space="preserve">agravia la resolución, al ser </w:t>
      </w:r>
      <w:r>
        <w:rPr>
          <w:rFonts w:ascii="Arial" w:eastAsia="Calibri" w:hAnsi="Arial" w:cs="Arial"/>
          <w:sz w:val="26"/>
          <w:szCs w:val="26"/>
        </w:rPr>
        <w:t>quien</w:t>
      </w:r>
      <w:r w:rsidRPr="00167105">
        <w:rPr>
          <w:rFonts w:ascii="Arial" w:eastAsia="Calibri" w:hAnsi="Arial" w:cs="Arial"/>
          <w:sz w:val="26"/>
          <w:szCs w:val="26"/>
        </w:rPr>
        <w:t xml:space="preserve"> emiti</w:t>
      </w:r>
      <w:r>
        <w:rPr>
          <w:rFonts w:ascii="Arial" w:eastAsia="Calibri" w:hAnsi="Arial" w:cs="Arial"/>
          <w:sz w:val="26"/>
          <w:szCs w:val="26"/>
        </w:rPr>
        <w:t>ó el</w:t>
      </w:r>
      <w:r w:rsidRPr="00167105">
        <w:rPr>
          <w:rFonts w:ascii="Arial" w:eastAsia="Calibri" w:hAnsi="Arial" w:cs="Arial"/>
          <w:sz w:val="26"/>
          <w:szCs w:val="26"/>
        </w:rPr>
        <w:t xml:space="preserve"> acto impugnado, y cuya nulidad lisa y llana fue de</w:t>
      </w:r>
      <w:r>
        <w:rPr>
          <w:rFonts w:ascii="Arial" w:eastAsia="Calibri" w:hAnsi="Arial" w:cs="Arial"/>
          <w:sz w:val="26"/>
          <w:szCs w:val="26"/>
        </w:rPr>
        <w:t>clarada, circunstancia que en su</w:t>
      </w:r>
      <w:r w:rsidRPr="00167105">
        <w:rPr>
          <w:rFonts w:ascii="Arial" w:eastAsia="Calibri" w:hAnsi="Arial" w:cs="Arial"/>
          <w:sz w:val="26"/>
          <w:szCs w:val="26"/>
        </w:rPr>
        <w:t xml:space="preserve"> caso no acontece, según lo expuesto en párrafos precedentes.</w:t>
      </w:r>
      <w:r w:rsidR="00E97E4A">
        <w:rPr>
          <w:rFonts w:ascii="Arial" w:eastAsia="Calibri" w:hAnsi="Arial" w:cs="Arial"/>
          <w:sz w:val="26"/>
          <w:szCs w:val="26"/>
        </w:rPr>
        <w:t xml:space="preserve"> - - - - - - - - - - - - </w:t>
      </w:r>
    </w:p>
    <w:p w14:paraId="20006504" w14:textId="5C4261C7" w:rsidR="001D010B" w:rsidRPr="00167105" w:rsidRDefault="001D010B" w:rsidP="001D010B">
      <w:pPr>
        <w:spacing w:line="360" w:lineRule="auto"/>
        <w:ind w:firstLine="708"/>
        <w:jc w:val="both"/>
        <w:rPr>
          <w:rFonts w:ascii="Arial" w:eastAsia="Calibri" w:hAnsi="Arial" w:cs="Arial"/>
          <w:sz w:val="26"/>
          <w:szCs w:val="26"/>
        </w:rPr>
      </w:pPr>
      <w:r w:rsidRPr="00167105">
        <w:rPr>
          <w:rFonts w:ascii="Arial" w:eastAsia="Calibri" w:hAnsi="Arial" w:cs="Arial"/>
          <w:sz w:val="26"/>
          <w:szCs w:val="26"/>
        </w:rPr>
        <w:t>Tal interpretación, se basa en la naturaleza misma del proceso contencioso administrativo, que tiende a la celeridad de su trámite y resolución, pues así se colige de lo dispuesto en el artículo 1</w:t>
      </w:r>
      <w:r w:rsidR="00870158">
        <w:rPr>
          <w:rFonts w:ascii="Arial" w:eastAsia="Calibri" w:hAnsi="Arial" w:cs="Arial"/>
          <w:sz w:val="26"/>
          <w:szCs w:val="26"/>
        </w:rPr>
        <w:t xml:space="preserve">58 </w:t>
      </w:r>
      <w:r w:rsidRPr="00167105">
        <w:rPr>
          <w:rFonts w:ascii="Arial" w:eastAsia="Calibri" w:hAnsi="Arial" w:cs="Arial"/>
          <w:sz w:val="26"/>
          <w:szCs w:val="26"/>
        </w:rPr>
        <w:t xml:space="preserve">de la Ley </w:t>
      </w:r>
      <w:r w:rsidR="00F55E47">
        <w:rPr>
          <w:rFonts w:ascii="Arial" w:eastAsia="Calibri" w:hAnsi="Arial" w:cs="Arial"/>
          <w:sz w:val="26"/>
          <w:szCs w:val="26"/>
        </w:rPr>
        <w:t>de la materia,</w:t>
      </w:r>
      <w:r w:rsidRPr="00167105">
        <w:rPr>
          <w:rFonts w:ascii="Arial" w:eastAsia="Calibri" w:hAnsi="Arial" w:cs="Arial"/>
          <w:sz w:val="26"/>
          <w:szCs w:val="26"/>
        </w:rPr>
        <w:t xml:space="preserve"> al otorgar facultades que procuren evitar dilación en los procesos, al establecer:</w:t>
      </w:r>
      <w:r w:rsidR="00E97E4A">
        <w:rPr>
          <w:rFonts w:ascii="Arial" w:eastAsia="Calibri" w:hAnsi="Arial" w:cs="Arial"/>
          <w:sz w:val="26"/>
          <w:szCs w:val="26"/>
        </w:rPr>
        <w:t xml:space="preserve"> - - - - - - - - - - - - - - - - - - - - - - - - - - - - - - - - - - </w:t>
      </w:r>
    </w:p>
    <w:p w14:paraId="4A300220" w14:textId="374EED49" w:rsidR="001D010B" w:rsidRPr="009F4BEF" w:rsidRDefault="001D010B" w:rsidP="001D010B">
      <w:pPr>
        <w:autoSpaceDE w:val="0"/>
        <w:autoSpaceDN w:val="0"/>
        <w:adjustRightInd w:val="0"/>
        <w:spacing w:after="0" w:line="240" w:lineRule="auto"/>
        <w:ind w:left="709" w:right="709"/>
        <w:jc w:val="both"/>
        <w:rPr>
          <w:rFonts w:ascii="Arial" w:eastAsia="Calibri" w:hAnsi="Arial" w:cs="Arial"/>
          <w:i/>
          <w:lang w:val="es-MX"/>
        </w:rPr>
      </w:pPr>
      <w:r w:rsidRPr="009F4BEF">
        <w:rPr>
          <w:rFonts w:ascii="Arial" w:eastAsia="Calibri" w:hAnsi="Arial" w:cs="Arial"/>
          <w:i/>
          <w:lang w:val="es-MX"/>
        </w:rPr>
        <w:t>“ARTICULO 1</w:t>
      </w:r>
      <w:r w:rsidR="00870158" w:rsidRPr="009F4BEF">
        <w:rPr>
          <w:rFonts w:ascii="Arial" w:eastAsia="Calibri" w:hAnsi="Arial" w:cs="Arial"/>
          <w:i/>
          <w:lang w:val="es-MX"/>
        </w:rPr>
        <w:t>58</w:t>
      </w:r>
      <w:r w:rsidRPr="009F4BEF">
        <w:rPr>
          <w:rFonts w:ascii="Arial" w:eastAsia="Calibri" w:hAnsi="Arial" w:cs="Arial"/>
          <w:i/>
          <w:lang w:val="es-MX"/>
        </w:rPr>
        <w:t>.-</w:t>
      </w:r>
      <w:r w:rsidRPr="009F4BEF">
        <w:rPr>
          <w:rFonts w:ascii="Arial" w:eastAsia="Calibri" w:hAnsi="Arial" w:cs="Arial"/>
          <w:b/>
          <w:bCs/>
          <w:i/>
          <w:lang w:val="es-MX"/>
        </w:rPr>
        <w:t xml:space="preserve"> </w:t>
      </w:r>
      <w:r w:rsidRPr="009F4BEF">
        <w:rPr>
          <w:rFonts w:ascii="Arial" w:eastAsia="Calibri" w:hAnsi="Arial" w:cs="Arial"/>
          <w:i/>
          <w:lang w:val="es-MX"/>
        </w:rPr>
        <w:t>El Tribunal está facultado para desechar de plano las promociones notoriamente improcedentes, o que se interpongan con el fin evidente de dilatar otro procedimiento”.</w:t>
      </w:r>
    </w:p>
    <w:p w14:paraId="2ECE5DE4" w14:textId="598D3046" w:rsidR="001D010B" w:rsidRPr="00167105" w:rsidRDefault="001D010B" w:rsidP="001D010B">
      <w:pPr>
        <w:widowControl w:val="0"/>
        <w:autoSpaceDE w:val="0"/>
        <w:autoSpaceDN w:val="0"/>
        <w:adjustRightInd w:val="0"/>
        <w:spacing w:before="240" w:after="0" w:line="360" w:lineRule="auto"/>
        <w:ind w:firstLine="708"/>
        <w:jc w:val="both"/>
        <w:rPr>
          <w:rFonts w:ascii="Arial" w:eastAsia="Calibri" w:hAnsi="Arial" w:cs="Arial"/>
          <w:sz w:val="26"/>
          <w:szCs w:val="26"/>
        </w:rPr>
      </w:pPr>
      <w:r w:rsidRPr="00167105">
        <w:rPr>
          <w:rFonts w:ascii="Arial" w:eastAsia="Calibri" w:hAnsi="Arial" w:cs="Arial"/>
          <w:sz w:val="26"/>
          <w:szCs w:val="26"/>
        </w:rPr>
        <w:t>Entonces, interpretar el artículo 2</w:t>
      </w:r>
      <w:r w:rsidR="00870158">
        <w:rPr>
          <w:rFonts w:ascii="Arial" w:eastAsia="Calibri" w:hAnsi="Arial" w:cs="Arial"/>
          <w:sz w:val="26"/>
          <w:szCs w:val="26"/>
        </w:rPr>
        <w:t>3</w:t>
      </w:r>
      <w:r w:rsidRPr="00167105">
        <w:rPr>
          <w:rFonts w:ascii="Arial" w:eastAsia="Calibri" w:hAnsi="Arial" w:cs="Arial"/>
          <w:sz w:val="26"/>
          <w:szCs w:val="26"/>
        </w:rPr>
        <w:t xml:space="preserve">6 de la Ley de </w:t>
      </w:r>
      <w:r w:rsidR="00870158">
        <w:rPr>
          <w:rFonts w:ascii="Arial" w:eastAsia="Calibri" w:hAnsi="Arial" w:cs="Arial"/>
          <w:sz w:val="26"/>
          <w:szCs w:val="26"/>
        </w:rPr>
        <w:t xml:space="preserve">Procedimiento y Justicia Administrativa para el Estado de Oaxaca, </w:t>
      </w:r>
      <w:r w:rsidRPr="00167105">
        <w:rPr>
          <w:rFonts w:ascii="Arial" w:eastAsia="Calibri" w:hAnsi="Arial" w:cs="Arial"/>
          <w:sz w:val="26"/>
          <w:szCs w:val="26"/>
        </w:rPr>
        <w:t>en el sentido de que todas las autoridades demandadas que fueron parte en el juicio de nulidad pudieran interponer el recurso, aun cuando no hayan intervenido en la emisión de</w:t>
      </w:r>
      <w:r>
        <w:rPr>
          <w:rFonts w:ascii="Arial" w:eastAsia="Calibri" w:hAnsi="Arial" w:cs="Arial"/>
          <w:sz w:val="26"/>
          <w:szCs w:val="26"/>
        </w:rPr>
        <w:t xml:space="preserve"> </w:t>
      </w:r>
      <w:r w:rsidRPr="00167105">
        <w:rPr>
          <w:rFonts w:ascii="Arial" w:eastAsia="Calibri" w:hAnsi="Arial" w:cs="Arial"/>
          <w:sz w:val="26"/>
          <w:szCs w:val="26"/>
        </w:rPr>
        <w:t>l</w:t>
      </w:r>
      <w:r>
        <w:rPr>
          <w:rFonts w:ascii="Arial" w:eastAsia="Calibri" w:hAnsi="Arial" w:cs="Arial"/>
          <w:sz w:val="26"/>
          <w:szCs w:val="26"/>
        </w:rPr>
        <w:t>os</w:t>
      </w:r>
      <w:r w:rsidRPr="00167105">
        <w:rPr>
          <w:rFonts w:ascii="Arial" w:eastAsia="Calibri" w:hAnsi="Arial" w:cs="Arial"/>
          <w:sz w:val="26"/>
          <w:szCs w:val="26"/>
        </w:rPr>
        <w:t xml:space="preserve"> acto</w:t>
      </w:r>
      <w:r>
        <w:rPr>
          <w:rFonts w:ascii="Arial" w:eastAsia="Calibri" w:hAnsi="Arial" w:cs="Arial"/>
          <w:sz w:val="26"/>
          <w:szCs w:val="26"/>
        </w:rPr>
        <w:t>s</w:t>
      </w:r>
      <w:r w:rsidRPr="00167105">
        <w:rPr>
          <w:rFonts w:ascii="Arial" w:eastAsia="Calibri" w:hAnsi="Arial" w:cs="Arial"/>
          <w:sz w:val="26"/>
          <w:szCs w:val="26"/>
        </w:rPr>
        <w:t xml:space="preserve"> declarado</w:t>
      </w:r>
      <w:r>
        <w:rPr>
          <w:rFonts w:ascii="Arial" w:eastAsia="Calibri" w:hAnsi="Arial" w:cs="Arial"/>
          <w:sz w:val="26"/>
          <w:szCs w:val="26"/>
        </w:rPr>
        <w:t>s</w:t>
      </w:r>
      <w:r w:rsidRPr="00167105">
        <w:rPr>
          <w:rFonts w:ascii="Arial" w:eastAsia="Calibri" w:hAnsi="Arial" w:cs="Arial"/>
          <w:sz w:val="26"/>
          <w:szCs w:val="26"/>
        </w:rPr>
        <w:t xml:space="preserve"> nulo</w:t>
      </w:r>
      <w:r>
        <w:rPr>
          <w:rFonts w:ascii="Arial" w:eastAsia="Calibri" w:hAnsi="Arial" w:cs="Arial"/>
          <w:sz w:val="26"/>
          <w:szCs w:val="26"/>
        </w:rPr>
        <w:t>s</w:t>
      </w:r>
      <w:r w:rsidRPr="00167105">
        <w:rPr>
          <w:rFonts w:ascii="Arial" w:eastAsia="Calibri" w:hAnsi="Arial" w:cs="Arial"/>
          <w:sz w:val="26"/>
          <w:szCs w:val="26"/>
        </w:rPr>
        <w:t xml:space="preserve"> en el juicio de primera instancia, implicaría sin duda, dilación en el trámite y resolución de los juicios.</w:t>
      </w:r>
      <w:r w:rsidR="00D7205B">
        <w:rPr>
          <w:rFonts w:ascii="Arial" w:eastAsia="Calibri" w:hAnsi="Arial" w:cs="Arial"/>
          <w:sz w:val="26"/>
          <w:szCs w:val="26"/>
        </w:rPr>
        <w:t xml:space="preserve"> - - - - - - - - - - - - - - - - - - - - - - - - - - - - - - - - - - - - - - - - - - - - - - -</w:t>
      </w:r>
    </w:p>
    <w:p w14:paraId="6BE33D16" w14:textId="77777777" w:rsidR="008E7EE1" w:rsidRPr="00070A79" w:rsidRDefault="008E7EE1" w:rsidP="00F07A70">
      <w:pPr>
        <w:pStyle w:val="Default"/>
        <w:ind w:left="709" w:right="709" w:firstLine="707"/>
        <w:jc w:val="both"/>
        <w:rPr>
          <w:rFonts w:asciiTheme="minorHAnsi" w:hAnsiTheme="minorHAnsi" w:cstheme="minorHAnsi"/>
          <w:i/>
          <w:sz w:val="22"/>
          <w:szCs w:val="22"/>
        </w:rPr>
      </w:pPr>
    </w:p>
    <w:p w14:paraId="5ECCF588" w14:textId="14467829" w:rsidR="00C52EE7" w:rsidRPr="00F35707" w:rsidRDefault="00B615EF" w:rsidP="00C52EE7">
      <w:pPr>
        <w:shd w:val="clear" w:color="auto" w:fill="FFFFFF"/>
        <w:spacing w:after="0" w:line="360" w:lineRule="auto"/>
        <w:ind w:firstLine="708"/>
        <w:jc w:val="both"/>
        <w:rPr>
          <w:rFonts w:ascii="Arial" w:eastAsia="Times New Roman" w:hAnsi="Arial" w:cs="Arial"/>
          <w:sz w:val="26"/>
          <w:szCs w:val="26"/>
          <w:lang w:val="es-MX" w:eastAsia="es-MX"/>
        </w:rPr>
      </w:pPr>
      <w:r>
        <w:rPr>
          <w:rFonts w:ascii="Arial" w:eastAsia="Calibri" w:hAnsi="Arial" w:cs="Arial"/>
          <w:bCs/>
          <w:sz w:val="26"/>
          <w:szCs w:val="26"/>
        </w:rPr>
        <w:t>P</w:t>
      </w:r>
      <w:r w:rsidR="00F35707" w:rsidRPr="00C52EE7">
        <w:rPr>
          <w:rFonts w:ascii="Arial" w:eastAsia="Calibri" w:hAnsi="Arial" w:cs="Arial"/>
          <w:bCs/>
          <w:sz w:val="26"/>
          <w:szCs w:val="26"/>
        </w:rPr>
        <w:t xml:space="preserve">or similitud </w:t>
      </w:r>
      <w:r>
        <w:rPr>
          <w:rFonts w:ascii="Arial" w:eastAsia="Calibri" w:hAnsi="Arial" w:cs="Arial"/>
          <w:bCs/>
          <w:sz w:val="26"/>
          <w:szCs w:val="26"/>
        </w:rPr>
        <w:t>jurídica, es aplicable</w:t>
      </w:r>
      <w:r w:rsidR="00F35707" w:rsidRPr="00C52EE7">
        <w:rPr>
          <w:rFonts w:ascii="Arial" w:eastAsia="Calibri" w:hAnsi="Arial" w:cs="Arial"/>
          <w:bCs/>
          <w:sz w:val="26"/>
          <w:szCs w:val="26"/>
        </w:rPr>
        <w:t xml:space="preserve"> la jurisprudencia en materia administrativa, número </w:t>
      </w:r>
      <w:r w:rsidR="00F35707" w:rsidRPr="00F35707">
        <w:rPr>
          <w:rFonts w:ascii="Arial" w:eastAsia="Times New Roman" w:hAnsi="Arial" w:cs="Arial"/>
          <w:sz w:val="26"/>
          <w:szCs w:val="26"/>
          <w:lang w:val="es-MX" w:eastAsia="es-MX"/>
        </w:rPr>
        <w:t>I.5o.A. J/4</w:t>
      </w:r>
      <w:r w:rsidR="00F35707" w:rsidRPr="00C52EE7">
        <w:rPr>
          <w:rFonts w:ascii="Arial" w:eastAsia="Times New Roman" w:hAnsi="Arial" w:cs="Arial"/>
          <w:sz w:val="26"/>
          <w:szCs w:val="26"/>
          <w:lang w:val="es-MX" w:eastAsia="es-MX"/>
        </w:rPr>
        <w:t xml:space="preserve">, con número de registro </w:t>
      </w:r>
      <w:r w:rsidR="00F35707" w:rsidRPr="00F35707">
        <w:rPr>
          <w:rFonts w:ascii="Arial" w:eastAsia="Times New Roman" w:hAnsi="Arial" w:cs="Arial"/>
          <w:sz w:val="26"/>
          <w:szCs w:val="26"/>
          <w:lang w:val="es-MX" w:eastAsia="es-MX"/>
        </w:rPr>
        <w:t>176462</w:t>
      </w:r>
      <w:r w:rsidR="00F35707" w:rsidRPr="00C52EE7">
        <w:rPr>
          <w:rFonts w:ascii="Arial" w:eastAsia="Times New Roman" w:hAnsi="Arial" w:cs="Arial"/>
          <w:sz w:val="26"/>
          <w:szCs w:val="26"/>
          <w:lang w:val="es-MX" w:eastAsia="es-MX"/>
        </w:rPr>
        <w:t xml:space="preserve">, de la </w:t>
      </w:r>
      <w:r w:rsidR="00C52EE7" w:rsidRPr="00C52EE7">
        <w:rPr>
          <w:rFonts w:ascii="Arial" w:eastAsia="Times New Roman" w:hAnsi="Arial" w:cs="Arial"/>
          <w:sz w:val="26"/>
          <w:szCs w:val="26"/>
          <w:lang w:val="es-MX" w:eastAsia="es-MX"/>
        </w:rPr>
        <w:t xml:space="preserve">Novena Época, </w:t>
      </w:r>
      <w:r w:rsidR="00C52EE7">
        <w:rPr>
          <w:rFonts w:ascii="Arial" w:eastAsia="Times New Roman" w:hAnsi="Arial" w:cs="Arial"/>
          <w:sz w:val="26"/>
          <w:szCs w:val="26"/>
          <w:lang w:val="es-MX" w:eastAsia="es-MX"/>
        </w:rPr>
        <w:t xml:space="preserve">emitida por los Tribunales Colegiados de Circuito, </w:t>
      </w:r>
      <w:r w:rsidR="00C52EE7" w:rsidRPr="00C52EE7">
        <w:rPr>
          <w:rFonts w:ascii="Arial" w:eastAsia="Times New Roman" w:hAnsi="Arial" w:cs="Arial"/>
          <w:sz w:val="26"/>
          <w:szCs w:val="26"/>
          <w:lang w:val="es-MX" w:eastAsia="es-MX"/>
        </w:rPr>
        <w:t xml:space="preserve">publicada en el </w:t>
      </w:r>
      <w:r w:rsidR="00C52EE7" w:rsidRPr="00F35707">
        <w:rPr>
          <w:rFonts w:ascii="Arial" w:eastAsia="Times New Roman" w:hAnsi="Arial" w:cs="Arial"/>
          <w:sz w:val="26"/>
          <w:szCs w:val="26"/>
          <w:lang w:val="es-MX" w:eastAsia="es-MX"/>
        </w:rPr>
        <w:t>Semanario Judicial de la Federación y su Gaceta</w:t>
      </w:r>
      <w:r w:rsidR="00C52EE7" w:rsidRPr="00C52EE7">
        <w:rPr>
          <w:rFonts w:ascii="Arial" w:eastAsia="Times New Roman" w:hAnsi="Arial" w:cs="Arial"/>
          <w:sz w:val="26"/>
          <w:szCs w:val="26"/>
          <w:lang w:val="es-MX" w:eastAsia="es-MX"/>
        </w:rPr>
        <w:t xml:space="preserve">; en el </w:t>
      </w:r>
      <w:r w:rsidR="00C52EE7" w:rsidRPr="00F35707">
        <w:rPr>
          <w:rFonts w:ascii="Arial" w:eastAsia="Times New Roman" w:hAnsi="Arial" w:cs="Arial"/>
          <w:sz w:val="26"/>
          <w:szCs w:val="26"/>
          <w:lang w:val="es-MX" w:eastAsia="es-MX"/>
        </w:rPr>
        <w:t xml:space="preserve">Tomo XXII, </w:t>
      </w:r>
      <w:r w:rsidR="00C52EE7">
        <w:rPr>
          <w:rFonts w:ascii="Arial" w:eastAsia="Times New Roman" w:hAnsi="Arial" w:cs="Arial"/>
          <w:sz w:val="26"/>
          <w:szCs w:val="26"/>
          <w:lang w:val="es-MX" w:eastAsia="es-MX"/>
        </w:rPr>
        <w:t xml:space="preserve">de </w:t>
      </w:r>
      <w:r w:rsidR="00C52EE7" w:rsidRPr="00F35707">
        <w:rPr>
          <w:rFonts w:ascii="Arial" w:eastAsia="Times New Roman" w:hAnsi="Arial" w:cs="Arial"/>
          <w:sz w:val="26"/>
          <w:szCs w:val="26"/>
          <w:lang w:val="es-MX" w:eastAsia="es-MX"/>
        </w:rPr>
        <w:t xml:space="preserve">Diciembre de 2005, </w:t>
      </w:r>
      <w:r w:rsidR="00C52EE7" w:rsidRPr="00C52EE7">
        <w:rPr>
          <w:rFonts w:ascii="Arial" w:eastAsia="Times New Roman" w:hAnsi="Arial" w:cs="Arial"/>
          <w:sz w:val="26"/>
          <w:szCs w:val="26"/>
          <w:lang w:val="es-MX" w:eastAsia="es-MX"/>
        </w:rPr>
        <w:t>visible a página</w:t>
      </w:r>
      <w:r w:rsidR="00C52EE7" w:rsidRPr="00F35707">
        <w:rPr>
          <w:rFonts w:ascii="Arial" w:eastAsia="Times New Roman" w:hAnsi="Arial" w:cs="Arial"/>
          <w:sz w:val="26"/>
          <w:szCs w:val="26"/>
          <w:lang w:val="es-MX" w:eastAsia="es-MX"/>
        </w:rPr>
        <w:t xml:space="preserve"> 2473</w:t>
      </w:r>
      <w:r w:rsidR="00C52EE7" w:rsidRPr="00C52EE7">
        <w:rPr>
          <w:rFonts w:ascii="Arial" w:eastAsia="Times New Roman" w:hAnsi="Arial" w:cs="Arial"/>
          <w:sz w:val="26"/>
          <w:szCs w:val="26"/>
          <w:lang w:val="es-MX" w:eastAsia="es-MX"/>
        </w:rPr>
        <w:t>, de ru</w:t>
      </w:r>
      <w:r w:rsidR="00C52EE7">
        <w:rPr>
          <w:rFonts w:ascii="Arial" w:eastAsia="Times New Roman" w:hAnsi="Arial" w:cs="Arial"/>
          <w:sz w:val="26"/>
          <w:szCs w:val="26"/>
          <w:lang w:val="es-MX" w:eastAsia="es-MX"/>
        </w:rPr>
        <w:t>br</w:t>
      </w:r>
      <w:r w:rsidR="00C52EE7" w:rsidRPr="00C52EE7">
        <w:rPr>
          <w:rFonts w:ascii="Arial" w:eastAsia="Times New Roman" w:hAnsi="Arial" w:cs="Arial"/>
          <w:sz w:val="26"/>
          <w:szCs w:val="26"/>
          <w:lang w:val="es-MX" w:eastAsia="es-MX"/>
        </w:rPr>
        <w:t xml:space="preserve">o y texto siguiente: </w:t>
      </w:r>
      <w:r w:rsidR="00FC5BF3">
        <w:rPr>
          <w:rFonts w:ascii="Arial" w:eastAsia="Times New Roman" w:hAnsi="Arial" w:cs="Arial"/>
          <w:sz w:val="26"/>
          <w:szCs w:val="26"/>
          <w:lang w:val="es-MX" w:eastAsia="es-MX"/>
        </w:rPr>
        <w:t>- - - - - - - - - - - - - - - - - - - - - - - - - - - - - - - - - - - - - - - - - - - - -</w:t>
      </w:r>
    </w:p>
    <w:p w14:paraId="44AF9731" w14:textId="423DC93F" w:rsidR="00F35707" w:rsidRPr="00B4227D" w:rsidRDefault="00C52EE7" w:rsidP="00C52EE7">
      <w:pPr>
        <w:shd w:val="clear" w:color="auto" w:fill="FFFFFF"/>
        <w:spacing w:before="100" w:beforeAutospacing="1" w:after="100" w:afterAutospacing="1" w:line="240" w:lineRule="auto"/>
        <w:ind w:left="567" w:right="616"/>
        <w:jc w:val="both"/>
        <w:rPr>
          <w:rFonts w:ascii="Arial" w:eastAsia="Times New Roman" w:hAnsi="Arial" w:cs="Arial"/>
          <w:i/>
          <w:iCs/>
          <w:color w:val="212529"/>
          <w:lang w:val="es-MX" w:eastAsia="es-MX"/>
        </w:rPr>
      </w:pPr>
      <w:r w:rsidRPr="00B4227D">
        <w:rPr>
          <w:rFonts w:ascii="Arial" w:eastAsia="Times New Roman" w:hAnsi="Arial" w:cs="Arial"/>
          <w:b/>
          <w:bCs/>
          <w:i/>
          <w:iCs/>
          <w:color w:val="212529"/>
          <w:lang w:val="es-MX" w:eastAsia="es-MX"/>
        </w:rPr>
        <w:t>“</w:t>
      </w:r>
      <w:r w:rsidR="00F35707" w:rsidRPr="00B4227D">
        <w:rPr>
          <w:rFonts w:ascii="Arial" w:eastAsia="Times New Roman" w:hAnsi="Arial" w:cs="Arial"/>
          <w:b/>
          <w:bCs/>
          <w:i/>
          <w:iCs/>
          <w:color w:val="212529"/>
          <w:lang w:val="es-MX" w:eastAsia="es-MX"/>
        </w:rPr>
        <w:t>REVISIÓN CONTENCIOSA ADMINISTRATIVA. EL PRESIDENTE DEL TRIBUNAL COLEGIADO DE CIRCUITO TIENE FACULTADES PARA DECRETAR SU DESECHAMIENTO.</w:t>
      </w:r>
      <w:r w:rsidRPr="00B4227D">
        <w:rPr>
          <w:rFonts w:ascii="Arial" w:eastAsia="Times New Roman" w:hAnsi="Arial" w:cs="Arial"/>
          <w:b/>
          <w:bCs/>
          <w:i/>
          <w:iCs/>
          <w:color w:val="212529"/>
          <w:lang w:val="es-MX" w:eastAsia="es-MX"/>
        </w:rPr>
        <w:t xml:space="preserve"> </w:t>
      </w:r>
      <w:r w:rsidR="00F35707" w:rsidRPr="00B4227D">
        <w:rPr>
          <w:rFonts w:ascii="Arial" w:eastAsia="Times New Roman" w:hAnsi="Arial" w:cs="Arial"/>
          <w:i/>
          <w:iCs/>
          <w:color w:val="212529"/>
          <w:lang w:val="es-MX" w:eastAsia="es-MX"/>
        </w:rPr>
        <w:t>El artículo </w:t>
      </w:r>
      <w:hyperlink r:id="rId8" w:history="1">
        <w:r w:rsidR="00F35707" w:rsidRPr="00B4227D">
          <w:rPr>
            <w:rFonts w:ascii="Arial" w:eastAsia="Times New Roman" w:hAnsi="Arial" w:cs="Arial"/>
            <w:i/>
            <w:iCs/>
            <w:lang w:val="es-MX" w:eastAsia="es-MX"/>
          </w:rPr>
          <w:t>104, fracción I-B, de la Constitución Política de los Estados Unidos Mexicanos</w:t>
        </w:r>
      </w:hyperlink>
      <w:r w:rsidR="00F35707" w:rsidRPr="00B4227D">
        <w:rPr>
          <w:rFonts w:ascii="Arial" w:eastAsia="Times New Roman" w:hAnsi="Arial" w:cs="Arial"/>
          <w:i/>
          <w:iCs/>
          <w:color w:val="212529"/>
          <w:lang w:val="es-MX" w:eastAsia="es-MX"/>
        </w:rPr>
        <w:t>, establece que el recurso de revisión que se interponga contra las resoluciones definitivas de los tribunales de lo contencioso-administrativo, debe tramitarse conforme a las reglas de la Ley de Amparo relativas al recurso de revisión en amparo indirecto. Al respecto el diverso numeral </w:t>
      </w:r>
      <w:hyperlink r:id="rId9" w:history="1">
        <w:r w:rsidR="00F35707" w:rsidRPr="00B4227D">
          <w:rPr>
            <w:rFonts w:ascii="Arial" w:eastAsia="Times New Roman" w:hAnsi="Arial" w:cs="Arial"/>
            <w:i/>
            <w:iCs/>
            <w:lang w:val="es-MX" w:eastAsia="es-MX"/>
          </w:rPr>
          <w:t>90, párrafo primero</w:t>
        </w:r>
      </w:hyperlink>
      <w:r w:rsidR="00F35707" w:rsidRPr="00B4227D">
        <w:rPr>
          <w:rFonts w:ascii="Arial" w:eastAsia="Times New Roman" w:hAnsi="Arial" w:cs="Arial"/>
          <w:i/>
          <w:iCs/>
          <w:lang w:val="es-MX" w:eastAsia="es-MX"/>
        </w:rPr>
        <w:t>,</w:t>
      </w:r>
      <w:r w:rsidR="00F35707" w:rsidRPr="00B4227D">
        <w:rPr>
          <w:rFonts w:ascii="Arial" w:eastAsia="Times New Roman" w:hAnsi="Arial" w:cs="Arial"/>
          <w:i/>
          <w:iCs/>
          <w:color w:val="212529"/>
          <w:lang w:val="es-MX" w:eastAsia="es-MX"/>
        </w:rPr>
        <w:t xml:space="preserve"> de tal ley, dispone que el presidente de la Suprema Corte de Justicia de la Nación, o el Tribunal Colegiado de Circuito, según corresponda, calificarán la procedencia del recurso de revisión, admitiéndolo o desechándolo. A su vez, el artículo </w:t>
      </w:r>
      <w:hyperlink r:id="rId10" w:history="1">
        <w:r w:rsidR="00F35707" w:rsidRPr="00B4227D">
          <w:rPr>
            <w:rFonts w:ascii="Arial" w:eastAsia="Times New Roman" w:hAnsi="Arial" w:cs="Arial"/>
            <w:i/>
            <w:iCs/>
            <w:lang w:val="es-MX" w:eastAsia="es-MX"/>
          </w:rPr>
          <w:t>41, fracción III, de la Ley Orgánica del Poder Judicial de la Federación</w:t>
        </w:r>
      </w:hyperlink>
      <w:r w:rsidR="00F35707" w:rsidRPr="00B4227D">
        <w:rPr>
          <w:rFonts w:ascii="Arial" w:eastAsia="Times New Roman" w:hAnsi="Arial" w:cs="Arial"/>
          <w:i/>
          <w:iCs/>
          <w:color w:val="212529"/>
          <w:lang w:val="es-MX" w:eastAsia="es-MX"/>
        </w:rPr>
        <w:t xml:space="preserve">, prevé que el presidente del Tribunal Colegiado de Circuito, tiene atribuciones para dictar los trámites necesarios que procedan en los asuntos de la competencia del tribunal hasta ponerlos en estado de resolución y en caso de que estime dudoso o trascendente algún trámite, dispondrá que se dé cuenta al tribunal para que este último determine lo que deba corresponder. Consecuentemente, al tenor de las disposiciones invocadas, el presidente del Tribunal Colegiado tiene facultad para desechar el recurso de revisión </w:t>
      </w:r>
      <w:r w:rsidR="00F35707" w:rsidRPr="00B4227D">
        <w:rPr>
          <w:rFonts w:ascii="Arial" w:eastAsia="Times New Roman" w:hAnsi="Arial" w:cs="Arial"/>
          <w:i/>
          <w:iCs/>
          <w:color w:val="212529"/>
          <w:lang w:val="es-MX" w:eastAsia="es-MX"/>
        </w:rPr>
        <w:lastRenderedPageBreak/>
        <w:t xml:space="preserve">contenciosa administrativa, sin que de dichos preceptos se advierta que ésta está encaminada únicamente a aspectos tales como la competencia del tribunal, la legitimación de quien intenta el recurso o la oportunidad de su presentación, en atención a que en términos de la tesis 1a. XLVIII/98, emitida por la Primera Sala de la Suprema Corte de Justicia de la Nación, consultable en la página trescientos cuarenta y uno del Tomo VIII de diciembre de mil novecientos noventa y ocho, del Semanario Judicial de la Federación y su Gaceta, bajo el rubro: </w:t>
      </w:r>
      <w:r w:rsidR="00F35707" w:rsidRPr="00B4227D">
        <w:rPr>
          <w:rFonts w:ascii="Arial" w:eastAsia="Times New Roman" w:hAnsi="Arial" w:cs="Arial"/>
          <w:i/>
          <w:iCs/>
          <w:lang w:val="es-MX" w:eastAsia="es-MX"/>
        </w:rPr>
        <w:t>"</w:t>
      </w:r>
      <w:hyperlink r:id="rId11" w:tgtFrame="_blank" w:history="1">
        <w:r w:rsidR="00F35707" w:rsidRPr="00B4227D">
          <w:rPr>
            <w:rFonts w:ascii="Arial" w:eastAsia="Times New Roman" w:hAnsi="Arial" w:cs="Arial"/>
            <w:i/>
            <w:iCs/>
            <w:lang w:val="es-MX" w:eastAsia="es-MX"/>
          </w:rPr>
          <w:t>INCONFORMIDAD, DESECHAMIENTO DEL RECURSO, COMPETENCIA DEL PRESIDENTE DE LA SUPREMA CORTE DE JUSTICIA DE LA NACIÓN PARA DECRETARLO</w:t>
        </w:r>
      </w:hyperlink>
      <w:r w:rsidR="00F35707" w:rsidRPr="00B4227D">
        <w:rPr>
          <w:rFonts w:ascii="Arial" w:eastAsia="Times New Roman" w:hAnsi="Arial" w:cs="Arial"/>
          <w:i/>
          <w:iCs/>
          <w:lang w:val="es-MX" w:eastAsia="es-MX"/>
        </w:rPr>
        <w:t>."</w:t>
      </w:r>
      <w:r w:rsidR="00F35707" w:rsidRPr="00B4227D">
        <w:rPr>
          <w:rFonts w:ascii="Arial" w:eastAsia="Times New Roman" w:hAnsi="Arial" w:cs="Arial"/>
          <w:i/>
          <w:iCs/>
          <w:color w:val="212529"/>
          <w:lang w:val="es-MX" w:eastAsia="es-MX"/>
        </w:rPr>
        <w:t xml:space="preserve">, la palabra "tramitar", debe entenderse como efectuar los trámites necesarios a fin de poner el asunto en estado de resolución y tomando en consideración que previamente a la resolución de un asunto, deben analizarse los requisitos de </w:t>
      </w:r>
      <w:proofErr w:type="spellStart"/>
      <w:r w:rsidR="00F35707" w:rsidRPr="00B4227D">
        <w:rPr>
          <w:rFonts w:ascii="Arial" w:eastAsia="Times New Roman" w:hAnsi="Arial" w:cs="Arial"/>
          <w:i/>
          <w:iCs/>
          <w:color w:val="212529"/>
          <w:lang w:val="es-MX" w:eastAsia="es-MX"/>
        </w:rPr>
        <w:t>procedibilidad</w:t>
      </w:r>
      <w:proofErr w:type="spellEnd"/>
      <w:r w:rsidR="00F35707" w:rsidRPr="00B4227D">
        <w:rPr>
          <w:rFonts w:ascii="Arial" w:eastAsia="Times New Roman" w:hAnsi="Arial" w:cs="Arial"/>
          <w:i/>
          <w:iCs/>
          <w:color w:val="212529"/>
          <w:lang w:val="es-MX" w:eastAsia="es-MX"/>
        </w:rPr>
        <w:t xml:space="preserve">, el </w:t>
      </w:r>
      <w:proofErr w:type="spellStart"/>
      <w:r w:rsidR="00F35707" w:rsidRPr="00B4227D">
        <w:rPr>
          <w:rFonts w:ascii="Arial" w:eastAsia="Times New Roman" w:hAnsi="Arial" w:cs="Arial"/>
          <w:i/>
          <w:iCs/>
          <w:color w:val="212529"/>
          <w:lang w:val="es-MX" w:eastAsia="es-MX"/>
        </w:rPr>
        <w:t>desechamiento</w:t>
      </w:r>
      <w:proofErr w:type="spellEnd"/>
      <w:r w:rsidR="00F35707" w:rsidRPr="00B4227D">
        <w:rPr>
          <w:rFonts w:ascii="Arial" w:eastAsia="Times New Roman" w:hAnsi="Arial" w:cs="Arial"/>
          <w:i/>
          <w:iCs/>
          <w:color w:val="212529"/>
          <w:lang w:val="es-MX" w:eastAsia="es-MX"/>
        </w:rPr>
        <w:t xml:space="preserve"> que en su caso se determine, corresponde al propio trámite del asunto.</w:t>
      </w:r>
      <w:r w:rsidRPr="00B4227D">
        <w:rPr>
          <w:rFonts w:ascii="Arial" w:eastAsia="Times New Roman" w:hAnsi="Arial" w:cs="Arial"/>
          <w:i/>
          <w:iCs/>
          <w:color w:val="212529"/>
          <w:lang w:val="es-MX" w:eastAsia="es-MX"/>
        </w:rPr>
        <w:t>”</w:t>
      </w:r>
    </w:p>
    <w:p w14:paraId="12B88DDF" w14:textId="030565D0" w:rsidR="00D6149D" w:rsidRPr="00320C6E" w:rsidRDefault="00D6149D" w:rsidP="00D6149D">
      <w:pPr>
        <w:widowControl w:val="0"/>
        <w:autoSpaceDE w:val="0"/>
        <w:autoSpaceDN w:val="0"/>
        <w:adjustRightInd w:val="0"/>
        <w:spacing w:before="240" w:after="0" w:line="360" w:lineRule="auto"/>
        <w:ind w:firstLine="708"/>
        <w:jc w:val="both"/>
        <w:rPr>
          <w:rFonts w:ascii="Arial" w:hAnsi="Arial" w:cs="Arial"/>
          <w:sz w:val="26"/>
          <w:szCs w:val="26"/>
        </w:rPr>
      </w:pPr>
      <w:r w:rsidRPr="00320C6E">
        <w:rPr>
          <w:rFonts w:ascii="Arial" w:hAnsi="Arial" w:cs="Arial"/>
          <w:sz w:val="26"/>
          <w:szCs w:val="26"/>
        </w:rPr>
        <w:t xml:space="preserve">En mérito de lo anterior, </w:t>
      </w:r>
      <w:r w:rsidR="002B45B7">
        <w:rPr>
          <w:rFonts w:ascii="Arial" w:hAnsi="Arial" w:cs="Arial"/>
          <w:sz w:val="26"/>
          <w:szCs w:val="26"/>
        </w:rPr>
        <w:t xml:space="preserve">conforme a lo dispuesto por </w:t>
      </w:r>
      <w:r w:rsidR="00B615EF">
        <w:rPr>
          <w:rFonts w:ascii="Arial" w:hAnsi="Arial" w:cs="Arial"/>
          <w:sz w:val="26"/>
          <w:szCs w:val="26"/>
        </w:rPr>
        <w:t>los</w:t>
      </w:r>
      <w:r>
        <w:rPr>
          <w:rFonts w:ascii="Arial" w:hAnsi="Arial" w:cs="Arial"/>
          <w:sz w:val="26"/>
          <w:szCs w:val="26"/>
        </w:rPr>
        <w:t xml:space="preserve"> artículo</w:t>
      </w:r>
      <w:r w:rsidR="00B615EF">
        <w:rPr>
          <w:rFonts w:ascii="Arial" w:hAnsi="Arial" w:cs="Arial"/>
          <w:sz w:val="26"/>
          <w:szCs w:val="26"/>
        </w:rPr>
        <w:t>s 1</w:t>
      </w:r>
      <w:r w:rsidR="00870158">
        <w:rPr>
          <w:rFonts w:ascii="Arial" w:hAnsi="Arial" w:cs="Arial"/>
          <w:sz w:val="26"/>
          <w:szCs w:val="26"/>
        </w:rPr>
        <w:t>48</w:t>
      </w:r>
      <w:r w:rsidR="008F75B9">
        <w:rPr>
          <w:rFonts w:ascii="Arial" w:hAnsi="Arial" w:cs="Arial"/>
          <w:sz w:val="26"/>
          <w:szCs w:val="26"/>
        </w:rPr>
        <w:t>, 1</w:t>
      </w:r>
      <w:r w:rsidR="00870158">
        <w:rPr>
          <w:rFonts w:ascii="Arial" w:hAnsi="Arial" w:cs="Arial"/>
          <w:sz w:val="26"/>
          <w:szCs w:val="26"/>
        </w:rPr>
        <w:t>58</w:t>
      </w:r>
      <w:r w:rsidR="008F75B9">
        <w:rPr>
          <w:rFonts w:ascii="Arial" w:hAnsi="Arial" w:cs="Arial"/>
          <w:sz w:val="26"/>
          <w:szCs w:val="26"/>
        </w:rPr>
        <w:t xml:space="preserve"> </w:t>
      </w:r>
      <w:r w:rsidR="00B615EF">
        <w:rPr>
          <w:rFonts w:ascii="Arial" w:hAnsi="Arial" w:cs="Arial"/>
          <w:sz w:val="26"/>
          <w:szCs w:val="26"/>
        </w:rPr>
        <w:t xml:space="preserve">y </w:t>
      </w:r>
      <w:r>
        <w:rPr>
          <w:rFonts w:ascii="Arial" w:hAnsi="Arial" w:cs="Arial"/>
          <w:sz w:val="26"/>
          <w:szCs w:val="26"/>
        </w:rPr>
        <w:t>1</w:t>
      </w:r>
      <w:r w:rsidR="00870158">
        <w:rPr>
          <w:rFonts w:ascii="Arial" w:hAnsi="Arial" w:cs="Arial"/>
          <w:sz w:val="26"/>
          <w:szCs w:val="26"/>
        </w:rPr>
        <w:t>6</w:t>
      </w:r>
      <w:r>
        <w:rPr>
          <w:rFonts w:ascii="Arial" w:hAnsi="Arial" w:cs="Arial"/>
          <w:sz w:val="26"/>
          <w:szCs w:val="26"/>
        </w:rPr>
        <w:t xml:space="preserve">1, fracción X, y último párrafo, </w:t>
      </w:r>
      <w:r w:rsidRPr="00320C6E">
        <w:rPr>
          <w:rFonts w:ascii="Arial" w:hAnsi="Arial" w:cs="Arial"/>
          <w:sz w:val="26"/>
          <w:szCs w:val="26"/>
        </w:rPr>
        <w:t xml:space="preserve">de la Ley de </w:t>
      </w:r>
      <w:r w:rsidR="00870158">
        <w:rPr>
          <w:rFonts w:ascii="Arial" w:hAnsi="Arial" w:cs="Arial"/>
          <w:sz w:val="26"/>
          <w:szCs w:val="26"/>
        </w:rPr>
        <w:t xml:space="preserve">Procedimiento y </w:t>
      </w:r>
      <w:r w:rsidRPr="00320C6E">
        <w:rPr>
          <w:rFonts w:ascii="Arial" w:hAnsi="Arial" w:cs="Arial"/>
          <w:sz w:val="26"/>
          <w:szCs w:val="26"/>
        </w:rPr>
        <w:t>Justicia Administrativa para el Estado</w:t>
      </w:r>
      <w:r>
        <w:rPr>
          <w:rFonts w:ascii="Arial" w:hAnsi="Arial" w:cs="Arial"/>
          <w:sz w:val="26"/>
          <w:szCs w:val="26"/>
        </w:rPr>
        <w:t xml:space="preserve"> de Oaxaca,</w:t>
      </w:r>
      <w:r>
        <w:rPr>
          <w:rFonts w:ascii="Arial" w:hAnsi="Arial" w:cs="Arial"/>
          <w:bCs/>
          <w:sz w:val="26"/>
          <w:szCs w:val="26"/>
        </w:rPr>
        <w:t xml:space="preserve"> se </w:t>
      </w:r>
      <w:r w:rsidRPr="006D52B1">
        <w:rPr>
          <w:rFonts w:ascii="Arial" w:hAnsi="Arial" w:cs="Arial"/>
          <w:b/>
          <w:bCs/>
          <w:sz w:val="26"/>
          <w:szCs w:val="26"/>
        </w:rPr>
        <w:t>DESECHA</w:t>
      </w:r>
      <w:r>
        <w:rPr>
          <w:rFonts w:ascii="Arial" w:hAnsi="Arial" w:cs="Arial"/>
          <w:bCs/>
          <w:sz w:val="26"/>
          <w:szCs w:val="26"/>
        </w:rPr>
        <w:t xml:space="preserve"> por </w:t>
      </w:r>
      <w:r w:rsidRPr="006D52B1">
        <w:rPr>
          <w:rFonts w:ascii="Arial" w:hAnsi="Arial" w:cs="Arial"/>
          <w:b/>
          <w:bCs/>
          <w:sz w:val="26"/>
          <w:szCs w:val="26"/>
        </w:rPr>
        <w:t>IMPROCEDENTE</w:t>
      </w:r>
      <w:r>
        <w:rPr>
          <w:rFonts w:ascii="Arial" w:hAnsi="Arial" w:cs="Arial"/>
          <w:bCs/>
          <w:sz w:val="26"/>
          <w:szCs w:val="26"/>
        </w:rPr>
        <w:t xml:space="preserve"> el recurso de revisión planteado, </w:t>
      </w:r>
      <w:r w:rsidRPr="00D6149D">
        <w:rPr>
          <w:rFonts w:ascii="Arial" w:hAnsi="Arial" w:cs="Arial"/>
          <w:bCs/>
          <w:sz w:val="26"/>
          <w:szCs w:val="26"/>
        </w:rPr>
        <w:t xml:space="preserve">por lo que </w:t>
      </w:r>
      <w:r w:rsidRPr="00D6149D">
        <w:rPr>
          <w:rFonts w:ascii="Arial" w:hAnsi="Arial" w:cs="Arial"/>
          <w:sz w:val="26"/>
          <w:szCs w:val="26"/>
        </w:rPr>
        <w:t>con fundamento en lo dispuesto</w:t>
      </w:r>
      <w:r>
        <w:rPr>
          <w:rFonts w:ascii="Arial" w:hAnsi="Arial" w:cs="Arial"/>
          <w:sz w:val="26"/>
          <w:szCs w:val="26"/>
        </w:rPr>
        <w:t xml:space="preserve"> por los artículos </w:t>
      </w:r>
      <w:r w:rsidRPr="00320C6E">
        <w:rPr>
          <w:rFonts w:ascii="Arial" w:hAnsi="Arial" w:cs="Arial"/>
          <w:sz w:val="26"/>
          <w:szCs w:val="26"/>
        </w:rPr>
        <w:t>2</w:t>
      </w:r>
      <w:r w:rsidR="00870158">
        <w:rPr>
          <w:rFonts w:ascii="Arial" w:hAnsi="Arial" w:cs="Arial"/>
          <w:sz w:val="26"/>
          <w:szCs w:val="26"/>
        </w:rPr>
        <w:t>3</w:t>
      </w:r>
      <w:r w:rsidRPr="00320C6E">
        <w:rPr>
          <w:rFonts w:ascii="Arial" w:hAnsi="Arial" w:cs="Arial"/>
          <w:sz w:val="26"/>
          <w:szCs w:val="26"/>
        </w:rPr>
        <w:t>7 y 2</w:t>
      </w:r>
      <w:r w:rsidR="00870158">
        <w:rPr>
          <w:rFonts w:ascii="Arial" w:hAnsi="Arial" w:cs="Arial"/>
          <w:sz w:val="26"/>
          <w:szCs w:val="26"/>
        </w:rPr>
        <w:t>3</w:t>
      </w:r>
      <w:r w:rsidRPr="00320C6E">
        <w:rPr>
          <w:rFonts w:ascii="Arial" w:hAnsi="Arial" w:cs="Arial"/>
          <w:sz w:val="26"/>
          <w:szCs w:val="26"/>
        </w:rPr>
        <w:t xml:space="preserve">8 de la Ley </w:t>
      </w:r>
      <w:r>
        <w:rPr>
          <w:rFonts w:ascii="Arial" w:hAnsi="Arial" w:cs="Arial"/>
          <w:sz w:val="26"/>
          <w:szCs w:val="26"/>
        </w:rPr>
        <w:t>en cita</w:t>
      </w:r>
      <w:r w:rsidRPr="00320C6E">
        <w:rPr>
          <w:rFonts w:ascii="Arial" w:hAnsi="Arial" w:cs="Arial"/>
          <w:sz w:val="26"/>
          <w:szCs w:val="26"/>
        </w:rPr>
        <w:t>, se:</w:t>
      </w:r>
      <w:r w:rsidR="00EB6621">
        <w:rPr>
          <w:rFonts w:ascii="Arial" w:hAnsi="Arial" w:cs="Arial"/>
          <w:sz w:val="26"/>
          <w:szCs w:val="26"/>
        </w:rPr>
        <w:t xml:space="preserve"> - - - - - - - - - - - - - - - - - - - - - - - - - - - - - - - - - - - - - - - - - - - - - - - - - -</w:t>
      </w:r>
    </w:p>
    <w:p w14:paraId="4D27583C" w14:textId="637FF7FE" w:rsidR="00D6149D" w:rsidRPr="00423F1A" w:rsidRDefault="008F75B9" w:rsidP="00D6149D">
      <w:pPr>
        <w:tabs>
          <w:tab w:val="left" w:pos="1134"/>
        </w:tabs>
        <w:spacing w:before="240" w:line="360" w:lineRule="auto"/>
        <w:jc w:val="center"/>
        <w:rPr>
          <w:rFonts w:ascii="Arial" w:hAnsi="Arial" w:cs="Arial"/>
          <w:b/>
          <w:sz w:val="26"/>
          <w:szCs w:val="26"/>
        </w:rPr>
      </w:pPr>
      <w:r>
        <w:rPr>
          <w:rFonts w:ascii="Arial" w:hAnsi="Arial" w:cs="Arial"/>
          <w:b/>
          <w:sz w:val="26"/>
          <w:szCs w:val="26"/>
        </w:rPr>
        <w:t>R</w:t>
      </w:r>
      <w:r w:rsidR="00D6149D" w:rsidRPr="00423F1A">
        <w:rPr>
          <w:rFonts w:ascii="Arial" w:hAnsi="Arial" w:cs="Arial"/>
          <w:b/>
          <w:sz w:val="26"/>
          <w:szCs w:val="26"/>
        </w:rPr>
        <w:t xml:space="preserve"> E S U E L V E</w:t>
      </w:r>
    </w:p>
    <w:p w14:paraId="7970E6C9" w14:textId="5341B1A4" w:rsidR="00D6149D" w:rsidRDefault="00D6149D" w:rsidP="00D6149D">
      <w:pPr>
        <w:spacing w:after="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sidRPr="00D6149D">
        <w:rPr>
          <w:rFonts w:ascii="Arial" w:hAnsi="Arial" w:cs="Arial"/>
          <w:color w:val="000000"/>
          <w:sz w:val="26"/>
          <w:szCs w:val="26"/>
        </w:rPr>
        <w:t xml:space="preserve">Se </w:t>
      </w:r>
      <w:r w:rsidRPr="00D6149D">
        <w:rPr>
          <w:rFonts w:ascii="Arial" w:hAnsi="Arial" w:cs="Arial"/>
          <w:b/>
          <w:bCs/>
          <w:color w:val="000000"/>
          <w:sz w:val="26"/>
          <w:szCs w:val="26"/>
        </w:rPr>
        <w:t>DESECH</w:t>
      </w:r>
      <w:r w:rsidRPr="00D6149D">
        <w:rPr>
          <w:rFonts w:ascii="Arial" w:hAnsi="Arial" w:cs="Arial"/>
          <w:b/>
          <w:color w:val="000000"/>
          <w:sz w:val="26"/>
          <w:szCs w:val="26"/>
        </w:rPr>
        <w:t xml:space="preserve">A </w:t>
      </w:r>
      <w:r w:rsidRPr="00D6149D">
        <w:rPr>
          <w:rFonts w:ascii="Arial" w:hAnsi="Arial" w:cs="Arial"/>
          <w:color w:val="000000"/>
          <w:sz w:val="26"/>
          <w:szCs w:val="26"/>
        </w:rPr>
        <w:t xml:space="preserve">por </w:t>
      </w:r>
      <w:r w:rsidRPr="00D6149D">
        <w:rPr>
          <w:rFonts w:ascii="Arial" w:hAnsi="Arial" w:cs="Arial"/>
          <w:b/>
          <w:bCs/>
          <w:color w:val="000000"/>
          <w:sz w:val="26"/>
          <w:szCs w:val="26"/>
        </w:rPr>
        <w:t>IMPROCEDENTE</w:t>
      </w:r>
      <w:r w:rsidRPr="00D6149D">
        <w:rPr>
          <w:rFonts w:ascii="Arial" w:hAnsi="Arial" w:cs="Arial"/>
          <w:color w:val="000000"/>
          <w:sz w:val="26"/>
          <w:szCs w:val="26"/>
        </w:rPr>
        <w:t xml:space="preserve"> el recurso de revisión planteado</w:t>
      </w:r>
      <w:r>
        <w:rPr>
          <w:rFonts w:ascii="Arial" w:hAnsi="Arial" w:cs="Arial"/>
          <w:color w:val="000000"/>
          <w:sz w:val="26"/>
          <w:szCs w:val="26"/>
        </w:rPr>
        <w:t xml:space="preserve">, por las razones expuestas en el considerando que antecede. - - - - - - - - - - - - - - - - - - - - - - - - - - - - - - - - - - - - - - - - - - - - - </w:t>
      </w:r>
    </w:p>
    <w:p w14:paraId="7B52A9EC" w14:textId="108392C6" w:rsidR="00D6149D" w:rsidRDefault="00D6149D" w:rsidP="00D6149D">
      <w:pPr>
        <w:spacing w:before="240"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Pr>
          <w:rFonts w:ascii="Arial" w:hAnsi="Arial" w:cs="Arial"/>
          <w:sz w:val="26"/>
          <w:szCs w:val="26"/>
        </w:rPr>
        <w:t xml:space="preserve"> </w:t>
      </w:r>
      <w:r w:rsidRPr="006E349D">
        <w:rPr>
          <w:rFonts w:ascii="Arial" w:hAnsi="Arial" w:cs="Arial"/>
          <w:sz w:val="26"/>
          <w:szCs w:val="26"/>
        </w:rPr>
        <w:t xml:space="preserve">- - - - -  </w:t>
      </w:r>
      <w:r>
        <w:rPr>
          <w:rFonts w:ascii="Arial" w:hAnsi="Arial" w:cs="Arial"/>
          <w:sz w:val="26"/>
          <w:szCs w:val="26"/>
        </w:rPr>
        <w:t xml:space="preserve">- - - - - - - - - - - - - - </w:t>
      </w:r>
    </w:p>
    <w:p w14:paraId="2E4EAA4E" w14:textId="77777777" w:rsidR="001679AB" w:rsidRPr="001679AB" w:rsidRDefault="001679AB" w:rsidP="00BB6195">
      <w:pPr>
        <w:spacing w:before="240" w:after="0" w:line="360" w:lineRule="auto"/>
        <w:ind w:firstLine="567"/>
        <w:jc w:val="both"/>
        <w:rPr>
          <w:rFonts w:ascii="Arial" w:hAnsi="Arial" w:cs="Arial"/>
          <w:sz w:val="26"/>
          <w:szCs w:val="26"/>
          <w:lang w:eastAsia="es-MX"/>
        </w:rPr>
      </w:pPr>
      <w:r w:rsidRPr="001679AB">
        <w:rPr>
          <w:rFonts w:ascii="Arial" w:eastAsia="Calibri" w:hAnsi="Arial" w:cs="Arial"/>
          <w:sz w:val="26"/>
          <w:szCs w:val="26"/>
          <w:lang w:eastAsia="es-MX"/>
        </w:rPr>
        <w:t xml:space="preserve">Así por unanimidad de votos, lo resolvieron y firmaron </w:t>
      </w:r>
      <w:r w:rsidRPr="001679AB">
        <w:rPr>
          <w:rFonts w:ascii="Arial" w:eastAsiaTheme="minorEastAsia" w:hAnsi="Arial" w:cs="Arial"/>
          <w:sz w:val="26"/>
          <w:szCs w:val="26"/>
          <w:lang w:eastAsia="es-MX"/>
        </w:rPr>
        <w:t xml:space="preserve">los Magistrados integrantes de la Sala Superior, Manuel Velasco Alcántara </w:t>
      </w:r>
      <w:r w:rsidRPr="001679AB">
        <w:rPr>
          <w:rFonts w:ascii="Arial" w:eastAsiaTheme="minorEastAsia" w:hAnsi="Arial" w:cs="Arial"/>
          <w:b/>
          <w:bCs/>
          <w:sz w:val="26"/>
          <w:szCs w:val="26"/>
          <w:lang w:eastAsia="es-MX"/>
        </w:rPr>
        <w:t>(ponente)</w:t>
      </w:r>
      <w:r w:rsidRPr="001679AB">
        <w:rPr>
          <w:rFonts w:ascii="Arial" w:eastAsiaTheme="minorEastAsia" w:hAnsi="Arial" w:cs="Arial"/>
          <w:sz w:val="26"/>
          <w:szCs w:val="26"/>
          <w:lang w:eastAsia="es-MX"/>
        </w:rPr>
        <w:t xml:space="preserve">, Abraham Santiago Soriano, Raúl Palomares Palomino, Gloria del Carmen Camacho Meza y Paulo José Luis Tapia Palacios, quienes actúan con el Secretario General de Acuerdos de este Tribunal, que autoriza y da fe. - - - - - - - - - - - - - - - - - - - - - - - - - - - - - - - - - - - - - </w:t>
      </w:r>
    </w:p>
    <w:p w14:paraId="1AE850D3" w14:textId="77777777" w:rsidR="001679AB" w:rsidRPr="001679AB" w:rsidRDefault="001679AB" w:rsidP="001679AB">
      <w:pPr>
        <w:spacing w:after="0" w:line="360" w:lineRule="auto"/>
        <w:ind w:right="51"/>
        <w:jc w:val="both"/>
        <w:rPr>
          <w:rFonts w:ascii="Arial" w:eastAsia="Calibri" w:hAnsi="Arial" w:cs="Arial"/>
          <w:bCs/>
          <w:sz w:val="26"/>
          <w:szCs w:val="26"/>
          <w:lang w:val="es-MX" w:eastAsia="es-MX"/>
        </w:rPr>
      </w:pPr>
    </w:p>
    <w:p w14:paraId="7109934B" w14:textId="0158A282" w:rsidR="00DF5C2E" w:rsidRDefault="00DF5C2E" w:rsidP="001679AB">
      <w:pPr>
        <w:spacing w:after="0" w:line="360" w:lineRule="auto"/>
        <w:ind w:right="51" w:firstLine="567"/>
        <w:jc w:val="both"/>
        <w:rPr>
          <w:rFonts w:ascii="Arial" w:eastAsia="Calibri" w:hAnsi="Arial" w:cs="Arial"/>
          <w:bCs/>
          <w:sz w:val="26"/>
          <w:szCs w:val="26"/>
          <w:lang w:val="es-MX" w:eastAsia="es-MX"/>
        </w:rPr>
      </w:pPr>
    </w:p>
    <w:p w14:paraId="405EFFF0" w14:textId="178D6233" w:rsidR="00DF5C2E" w:rsidRDefault="00DF5C2E" w:rsidP="001679AB">
      <w:pPr>
        <w:spacing w:after="0" w:line="360" w:lineRule="auto"/>
        <w:ind w:right="51" w:firstLine="567"/>
        <w:jc w:val="both"/>
        <w:rPr>
          <w:rFonts w:ascii="Arial" w:eastAsia="Calibri" w:hAnsi="Arial" w:cs="Arial"/>
          <w:bCs/>
          <w:sz w:val="26"/>
          <w:szCs w:val="26"/>
          <w:lang w:val="es-MX" w:eastAsia="es-MX"/>
        </w:rPr>
      </w:pPr>
    </w:p>
    <w:p w14:paraId="25FCEC76" w14:textId="77777777" w:rsidR="00DF5C2E" w:rsidRPr="001679AB" w:rsidRDefault="00DF5C2E" w:rsidP="001679AB">
      <w:pPr>
        <w:spacing w:after="0" w:line="360" w:lineRule="auto"/>
        <w:ind w:right="51" w:firstLine="567"/>
        <w:jc w:val="both"/>
        <w:rPr>
          <w:rFonts w:ascii="Arial" w:eastAsia="Calibri" w:hAnsi="Arial" w:cs="Arial"/>
          <w:bCs/>
          <w:sz w:val="26"/>
          <w:szCs w:val="26"/>
          <w:lang w:val="es-MX" w:eastAsia="es-MX"/>
        </w:rPr>
      </w:pPr>
    </w:p>
    <w:p w14:paraId="62163A6D" w14:textId="77777777" w:rsidR="001679AB" w:rsidRPr="001679AB" w:rsidRDefault="001679AB" w:rsidP="001679AB">
      <w:pPr>
        <w:spacing w:after="0" w:line="240" w:lineRule="auto"/>
        <w:rPr>
          <w:rFonts w:ascii="Arial" w:eastAsia="Times New Roman" w:hAnsi="Arial" w:cs="Arial"/>
          <w:sz w:val="26"/>
          <w:szCs w:val="26"/>
          <w:lang w:val="es-MX" w:eastAsia="es-MX"/>
        </w:rPr>
      </w:pPr>
    </w:p>
    <w:p w14:paraId="09CC4D0E" w14:textId="77777777" w:rsidR="001679AB" w:rsidRPr="001679AB" w:rsidRDefault="001679AB" w:rsidP="001679AB">
      <w:pPr>
        <w:spacing w:after="0" w:line="240" w:lineRule="auto"/>
        <w:ind w:firstLine="567"/>
        <w:jc w:val="center"/>
        <w:rPr>
          <w:rFonts w:ascii="Arial" w:hAnsi="Arial" w:cs="Arial"/>
          <w:b/>
          <w:sz w:val="14"/>
          <w:szCs w:val="26"/>
          <w:lang w:val="es-MX"/>
        </w:rPr>
      </w:pPr>
      <w:r w:rsidRPr="001679AB">
        <w:rPr>
          <w:rFonts w:ascii="Arial" w:eastAsia="Times New Roman" w:hAnsi="Arial" w:cs="Arial"/>
          <w:sz w:val="26"/>
          <w:szCs w:val="26"/>
          <w:lang w:val="es-MX" w:eastAsia="es-MX"/>
        </w:rPr>
        <w:t>MAGISTRADO MANUEL VELASCO ALCÁNTARA</w:t>
      </w:r>
    </w:p>
    <w:p w14:paraId="7DB4C34F" w14:textId="77777777" w:rsidR="001679AB" w:rsidRPr="001679AB" w:rsidRDefault="001679AB" w:rsidP="001679AB">
      <w:pPr>
        <w:spacing w:after="0" w:line="240" w:lineRule="auto"/>
        <w:ind w:firstLine="567"/>
        <w:jc w:val="center"/>
        <w:rPr>
          <w:rFonts w:ascii="Arial" w:eastAsiaTheme="minorEastAsia" w:hAnsi="Arial" w:cs="Arial"/>
          <w:sz w:val="26"/>
          <w:szCs w:val="26"/>
          <w:lang w:val="es-MX" w:eastAsia="es-MX"/>
        </w:rPr>
      </w:pPr>
      <w:r w:rsidRPr="001679AB">
        <w:rPr>
          <w:rFonts w:ascii="Arial" w:eastAsiaTheme="minorEastAsia" w:hAnsi="Arial" w:cs="Arial"/>
          <w:sz w:val="26"/>
          <w:szCs w:val="26"/>
          <w:lang w:val="es-MX" w:eastAsia="es-MX"/>
        </w:rPr>
        <w:t>PRESIDENTE</w:t>
      </w:r>
    </w:p>
    <w:p w14:paraId="1AB5BADE" w14:textId="77777777" w:rsidR="001679AB" w:rsidRPr="001679AB" w:rsidRDefault="001679AB" w:rsidP="001679AB">
      <w:pPr>
        <w:rPr>
          <w:rFonts w:ascii="Arial" w:eastAsiaTheme="minorEastAsia" w:hAnsi="Arial" w:cs="Arial"/>
          <w:sz w:val="26"/>
          <w:szCs w:val="26"/>
          <w:lang w:val="es-MX" w:eastAsia="es-MX"/>
        </w:rPr>
      </w:pPr>
    </w:p>
    <w:p w14:paraId="48CE9237" w14:textId="27D220EB" w:rsidR="001679AB" w:rsidRPr="00DF5C2E" w:rsidRDefault="00DF5C2E" w:rsidP="001679AB">
      <w:pPr>
        <w:rPr>
          <w:rFonts w:ascii="Arial" w:eastAsiaTheme="minorEastAsia" w:hAnsi="Arial" w:cs="Arial"/>
          <w:b/>
          <w:bCs/>
          <w:sz w:val="20"/>
          <w:szCs w:val="20"/>
          <w:lang w:val="es-MX" w:eastAsia="es-MX"/>
        </w:rPr>
      </w:pPr>
      <w:r w:rsidRPr="00DF5C2E">
        <w:rPr>
          <w:rFonts w:ascii="Arial" w:eastAsiaTheme="minorEastAsia" w:hAnsi="Arial" w:cs="Arial"/>
          <w:b/>
          <w:bCs/>
          <w:sz w:val="20"/>
          <w:szCs w:val="20"/>
          <w:lang w:val="es-MX" w:eastAsia="es-MX"/>
        </w:rPr>
        <w:lastRenderedPageBreak/>
        <w:t>LAS PRESENTES FIRMAS CORRESPONDEN AL RECURSO DE REVISIÓN 0223/2020.</w:t>
      </w:r>
    </w:p>
    <w:p w14:paraId="32DFB4D2" w14:textId="4345A140" w:rsidR="00DF5C2E" w:rsidRDefault="00DF5C2E" w:rsidP="001679AB">
      <w:pPr>
        <w:rPr>
          <w:rFonts w:ascii="Arial" w:eastAsiaTheme="minorEastAsia" w:hAnsi="Arial" w:cs="Arial"/>
          <w:sz w:val="26"/>
          <w:szCs w:val="26"/>
          <w:lang w:val="es-MX" w:eastAsia="es-MX"/>
        </w:rPr>
      </w:pPr>
    </w:p>
    <w:p w14:paraId="6147F1D5" w14:textId="20157390" w:rsidR="00DF5C2E" w:rsidRDefault="00DF5C2E" w:rsidP="001679AB">
      <w:pPr>
        <w:rPr>
          <w:rFonts w:ascii="Arial" w:eastAsiaTheme="minorEastAsia" w:hAnsi="Arial" w:cs="Arial"/>
          <w:sz w:val="26"/>
          <w:szCs w:val="26"/>
          <w:lang w:val="es-MX" w:eastAsia="es-MX"/>
        </w:rPr>
      </w:pPr>
    </w:p>
    <w:p w14:paraId="71FF2676" w14:textId="64738430" w:rsidR="00DF5C2E" w:rsidRDefault="00DF5C2E" w:rsidP="001679AB">
      <w:pPr>
        <w:rPr>
          <w:rFonts w:ascii="Arial" w:eastAsiaTheme="minorEastAsia" w:hAnsi="Arial" w:cs="Arial"/>
          <w:sz w:val="26"/>
          <w:szCs w:val="26"/>
          <w:lang w:val="es-MX" w:eastAsia="es-MX"/>
        </w:rPr>
      </w:pPr>
    </w:p>
    <w:p w14:paraId="3EA30113" w14:textId="77777777" w:rsidR="00DF5C2E" w:rsidRPr="001679AB" w:rsidRDefault="00DF5C2E" w:rsidP="001679AB">
      <w:pPr>
        <w:rPr>
          <w:rFonts w:ascii="Arial" w:eastAsiaTheme="minorEastAsia" w:hAnsi="Arial" w:cs="Arial"/>
          <w:sz w:val="26"/>
          <w:szCs w:val="26"/>
          <w:lang w:val="es-MX" w:eastAsia="es-MX"/>
        </w:rPr>
      </w:pPr>
    </w:p>
    <w:p w14:paraId="2F8D4C31" w14:textId="2C908DB0" w:rsidR="001679AB" w:rsidRPr="001679AB" w:rsidRDefault="00DF5C2E" w:rsidP="001679AB">
      <w:pPr>
        <w:tabs>
          <w:tab w:val="left" w:pos="1680"/>
          <w:tab w:val="center" w:pos="4277"/>
        </w:tabs>
        <w:spacing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       </w:t>
      </w:r>
      <w:r w:rsidR="001679AB" w:rsidRPr="001679AB">
        <w:rPr>
          <w:rFonts w:ascii="Arial" w:eastAsiaTheme="minorEastAsia" w:hAnsi="Arial" w:cs="Arial"/>
          <w:sz w:val="26"/>
          <w:szCs w:val="26"/>
          <w:lang w:val="es-MX" w:eastAsia="es-MX"/>
        </w:rPr>
        <w:t>MAGISTRADO ABRAHAM SANTIAGO SORIANO</w:t>
      </w:r>
    </w:p>
    <w:p w14:paraId="5AB0C41F" w14:textId="77777777" w:rsidR="001679AB" w:rsidRPr="001679AB" w:rsidRDefault="001679AB" w:rsidP="001679AB">
      <w:pPr>
        <w:jc w:val="center"/>
        <w:rPr>
          <w:rFonts w:ascii="Arial" w:eastAsiaTheme="minorEastAsia" w:hAnsi="Arial" w:cs="Arial"/>
          <w:sz w:val="26"/>
          <w:szCs w:val="26"/>
          <w:lang w:val="es-MX" w:eastAsia="es-MX"/>
        </w:rPr>
      </w:pPr>
    </w:p>
    <w:p w14:paraId="4A60CEAD" w14:textId="0E6D155D" w:rsidR="001679AB" w:rsidRDefault="001679AB" w:rsidP="001679AB">
      <w:pPr>
        <w:jc w:val="center"/>
        <w:rPr>
          <w:rFonts w:ascii="Arial" w:eastAsiaTheme="minorEastAsia" w:hAnsi="Arial" w:cs="Arial"/>
          <w:sz w:val="26"/>
          <w:szCs w:val="26"/>
          <w:lang w:val="es-MX" w:eastAsia="es-MX"/>
        </w:rPr>
      </w:pPr>
    </w:p>
    <w:p w14:paraId="09D95400" w14:textId="77777777" w:rsidR="00DF5C2E" w:rsidRPr="001679AB" w:rsidRDefault="00DF5C2E" w:rsidP="001679AB">
      <w:pPr>
        <w:jc w:val="center"/>
        <w:rPr>
          <w:rFonts w:ascii="Arial" w:eastAsiaTheme="minorEastAsia" w:hAnsi="Arial" w:cs="Arial"/>
          <w:sz w:val="26"/>
          <w:szCs w:val="26"/>
          <w:lang w:val="es-MX" w:eastAsia="es-MX"/>
        </w:rPr>
      </w:pPr>
    </w:p>
    <w:p w14:paraId="7EE58E86" w14:textId="77777777" w:rsidR="001679AB" w:rsidRPr="001679AB" w:rsidRDefault="001679AB" w:rsidP="001679AB">
      <w:pPr>
        <w:jc w:val="center"/>
        <w:rPr>
          <w:rFonts w:ascii="Arial" w:eastAsiaTheme="minorEastAsia" w:hAnsi="Arial" w:cs="Arial"/>
          <w:sz w:val="26"/>
          <w:szCs w:val="26"/>
          <w:lang w:val="es-MX" w:eastAsia="es-MX"/>
        </w:rPr>
      </w:pPr>
    </w:p>
    <w:p w14:paraId="4799960D" w14:textId="4454A746" w:rsidR="001679AB" w:rsidRPr="001679AB" w:rsidRDefault="00DF5C2E" w:rsidP="001679AB">
      <w:pPr>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     </w:t>
      </w:r>
      <w:r w:rsidR="001679AB" w:rsidRPr="001679AB">
        <w:rPr>
          <w:rFonts w:ascii="Arial" w:eastAsiaTheme="minorEastAsia" w:hAnsi="Arial" w:cs="Arial"/>
          <w:sz w:val="26"/>
          <w:szCs w:val="26"/>
          <w:lang w:val="es-MX" w:eastAsia="es-MX"/>
        </w:rPr>
        <w:t>MAGISTRADO RAÚL PALOMARES PALOMINO</w:t>
      </w:r>
    </w:p>
    <w:p w14:paraId="6A1E55CC" w14:textId="77777777" w:rsidR="001679AB" w:rsidRPr="001679AB" w:rsidRDefault="001679AB" w:rsidP="001679AB">
      <w:pPr>
        <w:jc w:val="center"/>
        <w:rPr>
          <w:rFonts w:ascii="Arial" w:eastAsiaTheme="minorEastAsia" w:hAnsi="Arial" w:cs="Arial"/>
          <w:sz w:val="26"/>
          <w:szCs w:val="26"/>
          <w:lang w:val="es-MX" w:eastAsia="es-MX"/>
        </w:rPr>
      </w:pPr>
    </w:p>
    <w:p w14:paraId="28CE7496" w14:textId="2AD304FF" w:rsidR="001679AB" w:rsidRDefault="001679AB" w:rsidP="001679AB">
      <w:pPr>
        <w:jc w:val="center"/>
        <w:rPr>
          <w:rFonts w:ascii="Arial" w:eastAsiaTheme="minorEastAsia" w:hAnsi="Arial" w:cs="Arial"/>
          <w:sz w:val="26"/>
          <w:szCs w:val="26"/>
          <w:lang w:val="es-MX" w:eastAsia="es-MX"/>
        </w:rPr>
      </w:pPr>
    </w:p>
    <w:p w14:paraId="7C7368E6" w14:textId="728C3D95" w:rsidR="00DF5C2E" w:rsidRDefault="00DF5C2E" w:rsidP="001679AB">
      <w:pPr>
        <w:jc w:val="center"/>
        <w:rPr>
          <w:rFonts w:ascii="Arial" w:eastAsiaTheme="minorEastAsia" w:hAnsi="Arial" w:cs="Arial"/>
          <w:sz w:val="26"/>
          <w:szCs w:val="26"/>
          <w:lang w:val="es-MX" w:eastAsia="es-MX"/>
        </w:rPr>
      </w:pPr>
    </w:p>
    <w:p w14:paraId="09236B0D" w14:textId="77777777" w:rsidR="00DF5C2E" w:rsidRPr="001679AB" w:rsidRDefault="00DF5C2E" w:rsidP="001679AB">
      <w:pPr>
        <w:jc w:val="center"/>
        <w:rPr>
          <w:rFonts w:ascii="Arial" w:eastAsiaTheme="minorEastAsia" w:hAnsi="Arial" w:cs="Arial"/>
          <w:sz w:val="26"/>
          <w:szCs w:val="26"/>
          <w:lang w:val="es-MX" w:eastAsia="es-MX"/>
        </w:rPr>
      </w:pPr>
    </w:p>
    <w:p w14:paraId="135B738A" w14:textId="77777777" w:rsidR="001679AB" w:rsidRPr="001679AB" w:rsidRDefault="001679AB" w:rsidP="001679AB">
      <w:pPr>
        <w:jc w:val="center"/>
        <w:rPr>
          <w:rFonts w:ascii="Arial" w:eastAsiaTheme="minorEastAsia" w:hAnsi="Arial" w:cs="Arial"/>
          <w:sz w:val="26"/>
          <w:szCs w:val="26"/>
          <w:lang w:val="es-MX" w:eastAsia="es-MX"/>
        </w:rPr>
      </w:pPr>
    </w:p>
    <w:p w14:paraId="366C2ED4" w14:textId="468AA829" w:rsidR="001679AB" w:rsidRPr="001679AB" w:rsidRDefault="00DF5C2E" w:rsidP="001679AB">
      <w:pPr>
        <w:tabs>
          <w:tab w:val="left" w:pos="1680"/>
          <w:tab w:val="center" w:pos="4277"/>
        </w:tabs>
        <w:spacing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  </w:t>
      </w:r>
      <w:r w:rsidR="001679AB" w:rsidRPr="001679AB">
        <w:rPr>
          <w:rFonts w:ascii="Arial" w:eastAsiaTheme="minorEastAsia" w:hAnsi="Arial" w:cs="Arial"/>
          <w:sz w:val="26"/>
          <w:szCs w:val="26"/>
          <w:lang w:val="es-MX" w:eastAsia="es-MX"/>
        </w:rPr>
        <w:t>MAGISTRADA GLORIA DEL CARMEN CAMACHO MEZA</w:t>
      </w:r>
    </w:p>
    <w:p w14:paraId="6F4D4F9B" w14:textId="7EA21380" w:rsidR="001679AB" w:rsidRPr="001679AB" w:rsidRDefault="001679AB" w:rsidP="001679AB">
      <w:pPr>
        <w:tabs>
          <w:tab w:val="left" w:pos="1680"/>
          <w:tab w:val="center" w:pos="4277"/>
        </w:tabs>
        <w:spacing w:line="360" w:lineRule="auto"/>
        <w:jc w:val="center"/>
        <w:rPr>
          <w:rFonts w:ascii="Arial" w:eastAsiaTheme="minorEastAsia" w:hAnsi="Arial" w:cs="Arial"/>
          <w:b/>
          <w:bCs/>
          <w:sz w:val="20"/>
          <w:szCs w:val="20"/>
          <w:lang w:val="es-MX" w:eastAsia="es-MX"/>
        </w:rPr>
      </w:pPr>
    </w:p>
    <w:p w14:paraId="03F3F04A"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4055E77A"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3A9E0DAF"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5C7FCEA9" w14:textId="37E772C4" w:rsidR="001679AB" w:rsidRPr="001679AB" w:rsidRDefault="00DF5C2E" w:rsidP="001679AB">
      <w:pPr>
        <w:tabs>
          <w:tab w:val="left" w:pos="1680"/>
          <w:tab w:val="center" w:pos="4277"/>
        </w:tabs>
        <w:spacing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    </w:t>
      </w:r>
      <w:r w:rsidR="001679AB" w:rsidRPr="001679AB">
        <w:rPr>
          <w:rFonts w:ascii="Arial" w:eastAsiaTheme="minorEastAsia" w:hAnsi="Arial" w:cs="Arial"/>
          <w:sz w:val="26"/>
          <w:szCs w:val="26"/>
          <w:lang w:val="es-MX" w:eastAsia="es-MX"/>
        </w:rPr>
        <w:t>MAGISTRADO PAULO JOSÉ LUIS TAPIA PALACIOS</w:t>
      </w:r>
    </w:p>
    <w:p w14:paraId="2E280C4D"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516CB6D2"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52AE6FC1" w14:textId="77777777" w:rsidR="001679AB" w:rsidRPr="001679AB" w:rsidRDefault="001679AB" w:rsidP="001679AB">
      <w:pPr>
        <w:tabs>
          <w:tab w:val="left" w:pos="1680"/>
          <w:tab w:val="center" w:pos="4277"/>
        </w:tabs>
        <w:spacing w:line="360" w:lineRule="auto"/>
        <w:jc w:val="center"/>
        <w:rPr>
          <w:rFonts w:ascii="Arial" w:eastAsiaTheme="minorEastAsia" w:hAnsi="Arial" w:cs="Arial"/>
          <w:sz w:val="26"/>
          <w:szCs w:val="26"/>
          <w:lang w:val="es-MX" w:eastAsia="es-MX"/>
        </w:rPr>
      </w:pPr>
    </w:p>
    <w:p w14:paraId="0902144F" w14:textId="77777777" w:rsidR="001679AB" w:rsidRPr="001679AB" w:rsidRDefault="001679AB" w:rsidP="001679AB">
      <w:pPr>
        <w:spacing w:after="0" w:line="240" w:lineRule="auto"/>
        <w:jc w:val="center"/>
        <w:rPr>
          <w:rFonts w:ascii="Arial" w:eastAsiaTheme="minorEastAsia" w:hAnsi="Arial" w:cs="Arial"/>
          <w:sz w:val="26"/>
          <w:szCs w:val="26"/>
          <w:lang w:val="es-MX" w:eastAsia="es-MX"/>
        </w:rPr>
      </w:pPr>
      <w:r w:rsidRPr="001679AB">
        <w:rPr>
          <w:rFonts w:ascii="Arial" w:eastAsiaTheme="minorEastAsia" w:hAnsi="Arial" w:cs="Arial"/>
          <w:sz w:val="26"/>
          <w:szCs w:val="26"/>
          <w:lang w:val="es-MX" w:eastAsia="es-MX"/>
        </w:rPr>
        <w:t>LIC. JUAN EDY GARCÍA CORONADO.</w:t>
      </w:r>
    </w:p>
    <w:p w14:paraId="2FD1E255" w14:textId="77777777" w:rsidR="001679AB" w:rsidRPr="001679AB" w:rsidRDefault="001679AB" w:rsidP="001679AB">
      <w:pPr>
        <w:spacing w:after="0" w:line="240" w:lineRule="auto"/>
        <w:jc w:val="center"/>
        <w:rPr>
          <w:rFonts w:eastAsiaTheme="minorEastAsia"/>
          <w:lang w:val="es-MX" w:eastAsia="es-MX"/>
        </w:rPr>
      </w:pPr>
      <w:r w:rsidRPr="001679AB">
        <w:rPr>
          <w:rFonts w:ascii="Arial" w:eastAsiaTheme="minorEastAsia" w:hAnsi="Arial" w:cs="Arial"/>
          <w:sz w:val="26"/>
          <w:szCs w:val="26"/>
          <w:lang w:val="es-MX" w:eastAsia="es-MX"/>
        </w:rPr>
        <w:t>SECRETARIO GENERAL DE ACUERDOS</w:t>
      </w:r>
    </w:p>
    <w:p w14:paraId="21E4A33C" w14:textId="77777777" w:rsidR="001679AB" w:rsidRPr="001679AB" w:rsidRDefault="001679AB" w:rsidP="001679AB">
      <w:pPr>
        <w:rPr>
          <w:rFonts w:eastAsiaTheme="minorEastAsia"/>
          <w:lang w:eastAsia="es-MX"/>
        </w:rPr>
      </w:pPr>
      <w:r w:rsidRPr="001679AB">
        <w:rPr>
          <w:rFonts w:eastAsiaTheme="minorEastAsia"/>
          <w:lang w:val="es-MX" w:eastAsia="es-MX"/>
        </w:rPr>
        <w:tab/>
        <w:t xml:space="preserve">  </w:t>
      </w:r>
    </w:p>
    <w:p w14:paraId="5B56EBCB" w14:textId="77777777" w:rsidR="001679AB" w:rsidRPr="001679AB" w:rsidRDefault="001679AB" w:rsidP="001679AB">
      <w:pPr>
        <w:tabs>
          <w:tab w:val="left" w:pos="1925"/>
          <w:tab w:val="center" w:pos="4135"/>
        </w:tabs>
        <w:spacing w:line="360" w:lineRule="auto"/>
        <w:jc w:val="both"/>
        <w:rPr>
          <w:rFonts w:eastAsiaTheme="minorEastAsia"/>
          <w:sz w:val="26"/>
          <w:szCs w:val="26"/>
          <w:lang w:val="es-MX" w:eastAsia="es-MX"/>
        </w:rPr>
      </w:pPr>
    </w:p>
    <w:p w14:paraId="737E3C9A" w14:textId="098E2C85" w:rsidR="00261AEB" w:rsidRDefault="00261AEB" w:rsidP="001679AB">
      <w:pPr>
        <w:spacing w:before="240" w:line="360" w:lineRule="auto"/>
        <w:ind w:firstLine="708"/>
        <w:jc w:val="both"/>
        <w:rPr>
          <w:rFonts w:ascii="Arial" w:hAnsi="Arial" w:cs="Arial"/>
          <w:sz w:val="26"/>
          <w:szCs w:val="26"/>
        </w:rPr>
      </w:pPr>
    </w:p>
    <w:sectPr w:rsidR="00261AEB" w:rsidSect="00DF5C2E">
      <w:headerReference w:type="even" r:id="rId12"/>
      <w:headerReference w:type="defaul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A8A3A" w14:textId="77777777" w:rsidR="00497D86" w:rsidRDefault="00497D86">
      <w:pPr>
        <w:spacing w:after="0" w:line="240" w:lineRule="auto"/>
      </w:pPr>
      <w:r>
        <w:separator/>
      </w:r>
    </w:p>
  </w:endnote>
  <w:endnote w:type="continuationSeparator" w:id="0">
    <w:p w14:paraId="3CB881F2" w14:textId="77777777" w:rsidR="00497D86" w:rsidRDefault="0049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34CBA" w14:textId="77777777" w:rsidR="00497D86" w:rsidRDefault="00497D86">
      <w:pPr>
        <w:spacing w:after="0" w:line="240" w:lineRule="auto"/>
      </w:pPr>
      <w:r>
        <w:separator/>
      </w:r>
    </w:p>
  </w:footnote>
  <w:footnote w:type="continuationSeparator" w:id="0">
    <w:p w14:paraId="7CBB0617" w14:textId="77777777" w:rsidR="00497D86" w:rsidRDefault="00497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B1F1D68" w14:textId="77777777" w:rsidR="007A2B3C" w:rsidRDefault="007A2B3C" w:rsidP="00D25099">
        <w:pPr>
          <w:pStyle w:val="Encabezado"/>
          <w:jc w:val="center"/>
        </w:pPr>
        <w:r>
          <w:fldChar w:fldCharType="begin"/>
        </w:r>
        <w:r>
          <w:instrText>PAGE   \* MERGEFORMAT</w:instrText>
        </w:r>
        <w:r>
          <w:fldChar w:fldCharType="separate"/>
        </w:r>
        <w:r w:rsidR="003E3D35">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660B8370" w14:textId="77777777" w:rsidR="007A2B3C" w:rsidRDefault="003E3D35" w:rsidP="00206B99">
        <w:pPr>
          <w:pStyle w:val="Encabezado"/>
          <w:jc w:val="center"/>
          <w:rPr>
            <w:noProof/>
          </w:rPr>
        </w:pPr>
        <w:r>
          <w:rPr>
            <w:noProof/>
            <w:lang w:val="es-MX" w:eastAsia="es-MX"/>
          </w:rPr>
          <w:pict w14:anchorId="438F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0;margin-top:0;width:441.85pt;height:265.25pt;z-index:-251658240;mso-position-horizontal:center;mso-position-horizontal-relative:margin;mso-position-vertical:center;mso-position-vertical-relative:margin" o:allowincell="f">
              <v:imagedata r:id="rId1" o:title="LOGOTIPO PNG" gain="19661f" blacklevel="22938f"/>
              <w10:wrap anchorx="margin" anchory="margin"/>
            </v:shape>
          </w:pict>
        </w:r>
        <w:r w:rsidR="007A2B3C">
          <w:fldChar w:fldCharType="begin"/>
        </w:r>
        <w:r w:rsidR="007A2B3C">
          <w:instrText xml:space="preserve"> PAGE   \* MERGEFORMAT </w:instrText>
        </w:r>
        <w:r w:rsidR="007A2B3C">
          <w:fldChar w:fldCharType="separate"/>
        </w:r>
        <w:r>
          <w:rPr>
            <w:noProof/>
          </w:rPr>
          <w:t>11</w:t>
        </w:r>
        <w:r w:rsidR="007A2B3C">
          <w:rPr>
            <w:noProof/>
          </w:rPr>
          <w:fldChar w:fldCharType="end"/>
        </w:r>
      </w:p>
      <w:p w14:paraId="62BE48BC" w14:textId="77777777" w:rsidR="008C74CA" w:rsidRDefault="003E3D35" w:rsidP="008C74CA">
        <w:pPr>
          <w:pStyle w:val="Encabezado"/>
          <w:jc w:val="center"/>
        </w:pPr>
      </w:p>
    </w:sdtContent>
  </w:sdt>
  <w:p w14:paraId="38F94776" w14:textId="77777777" w:rsidR="00256B01" w:rsidRDefault="00256B01" w:rsidP="00256B01">
    <w:pPr>
      <w:pStyle w:val="Encabezado"/>
      <w:jc w:val="center"/>
    </w:pPr>
  </w:p>
  <w:p w14:paraId="4E375AAD" w14:textId="77777777" w:rsidR="007A2B3C" w:rsidRDefault="00E66DE8" w:rsidP="00256B01">
    <w:pPr>
      <w:pStyle w:val="Encabezado"/>
      <w:jc w:val="center"/>
    </w:pPr>
    <w:r>
      <w:rPr>
        <w:noProof/>
        <w:lang w:val="es-MX" w:eastAsia="es-MX"/>
      </w:rPr>
      <mc:AlternateContent>
        <mc:Choice Requires="wpg">
          <w:drawing>
            <wp:anchor distT="0" distB="0" distL="114300" distR="114300" simplePos="0" relativeHeight="251657216" behindDoc="1" locked="0" layoutInCell="1" allowOverlap="1" wp14:anchorId="6FBBB5C8" wp14:editId="0F39ADE0">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D73EBE"/>
    <w:multiLevelType w:val="hybridMultilevel"/>
    <w:tmpl w:val="737A916E"/>
    <w:lvl w:ilvl="0" w:tplc="8F7C344A">
      <w:start w:val="1"/>
      <w:numFmt w:val="upperRoman"/>
      <w:lvlText w:val="%1."/>
      <w:lvlJc w:val="left"/>
      <w:pPr>
        <w:ind w:left="1855" w:hanging="72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E315152"/>
    <w:multiLevelType w:val="hybridMultilevel"/>
    <w:tmpl w:val="11C8A256"/>
    <w:lvl w:ilvl="0" w:tplc="1F627D5E">
      <w:start w:val="1"/>
      <w:numFmt w:val="upp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5">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38430CF"/>
    <w:multiLevelType w:val="hybridMultilevel"/>
    <w:tmpl w:val="B2526828"/>
    <w:lvl w:ilvl="0" w:tplc="82427FA8">
      <w:start w:val="4"/>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3"/>
  </w:num>
  <w:num w:numId="8">
    <w:abstractNumId w:val="8"/>
  </w:num>
  <w:num w:numId="9">
    <w:abstractNumId w:val="9"/>
  </w:num>
  <w:num w:numId="10">
    <w:abstractNumId w:val="4"/>
  </w:num>
  <w:num w:numId="11">
    <w:abstractNumId w:val="7"/>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F3A"/>
    <w:rsid w:val="00002F5A"/>
    <w:rsid w:val="000042DC"/>
    <w:rsid w:val="00004A31"/>
    <w:rsid w:val="0000725B"/>
    <w:rsid w:val="00011594"/>
    <w:rsid w:val="00013772"/>
    <w:rsid w:val="00013F6E"/>
    <w:rsid w:val="00015CE8"/>
    <w:rsid w:val="000169A3"/>
    <w:rsid w:val="00017C09"/>
    <w:rsid w:val="00021DF1"/>
    <w:rsid w:val="0002236D"/>
    <w:rsid w:val="000225EC"/>
    <w:rsid w:val="000233D0"/>
    <w:rsid w:val="00026C11"/>
    <w:rsid w:val="000330FB"/>
    <w:rsid w:val="00033354"/>
    <w:rsid w:val="000341EB"/>
    <w:rsid w:val="000346F2"/>
    <w:rsid w:val="00035047"/>
    <w:rsid w:val="00035379"/>
    <w:rsid w:val="00036D01"/>
    <w:rsid w:val="000410A1"/>
    <w:rsid w:val="00041D15"/>
    <w:rsid w:val="00043A36"/>
    <w:rsid w:val="0004575F"/>
    <w:rsid w:val="00045A11"/>
    <w:rsid w:val="00045F2F"/>
    <w:rsid w:val="00047AD6"/>
    <w:rsid w:val="00050312"/>
    <w:rsid w:val="00050B7F"/>
    <w:rsid w:val="00051CE2"/>
    <w:rsid w:val="00053617"/>
    <w:rsid w:val="00053C13"/>
    <w:rsid w:val="00055CE8"/>
    <w:rsid w:val="00056A21"/>
    <w:rsid w:val="00056A4B"/>
    <w:rsid w:val="0005701D"/>
    <w:rsid w:val="00057174"/>
    <w:rsid w:val="0005729C"/>
    <w:rsid w:val="00057817"/>
    <w:rsid w:val="000612E4"/>
    <w:rsid w:val="00061348"/>
    <w:rsid w:val="000616B5"/>
    <w:rsid w:val="00064DE0"/>
    <w:rsid w:val="0006603D"/>
    <w:rsid w:val="00070777"/>
    <w:rsid w:val="00070A79"/>
    <w:rsid w:val="000737BF"/>
    <w:rsid w:val="0007458B"/>
    <w:rsid w:val="00075215"/>
    <w:rsid w:val="000752E9"/>
    <w:rsid w:val="00076CEA"/>
    <w:rsid w:val="000803AB"/>
    <w:rsid w:val="000821FE"/>
    <w:rsid w:val="000822AF"/>
    <w:rsid w:val="000828F7"/>
    <w:rsid w:val="00083BEB"/>
    <w:rsid w:val="00085132"/>
    <w:rsid w:val="00085F69"/>
    <w:rsid w:val="000867F6"/>
    <w:rsid w:val="00094546"/>
    <w:rsid w:val="0009618C"/>
    <w:rsid w:val="000961D2"/>
    <w:rsid w:val="000A1494"/>
    <w:rsid w:val="000A2902"/>
    <w:rsid w:val="000A3114"/>
    <w:rsid w:val="000A3456"/>
    <w:rsid w:val="000A4E40"/>
    <w:rsid w:val="000A56AA"/>
    <w:rsid w:val="000A6360"/>
    <w:rsid w:val="000A6EC7"/>
    <w:rsid w:val="000A7BA9"/>
    <w:rsid w:val="000B0E70"/>
    <w:rsid w:val="000B1A06"/>
    <w:rsid w:val="000B3B3B"/>
    <w:rsid w:val="000B4122"/>
    <w:rsid w:val="000B71BF"/>
    <w:rsid w:val="000C1F7C"/>
    <w:rsid w:val="000C313C"/>
    <w:rsid w:val="000C3DBF"/>
    <w:rsid w:val="000C5266"/>
    <w:rsid w:val="000C611F"/>
    <w:rsid w:val="000D0E1D"/>
    <w:rsid w:val="000D1BD0"/>
    <w:rsid w:val="000D24E8"/>
    <w:rsid w:val="000D29A1"/>
    <w:rsid w:val="000D2FDE"/>
    <w:rsid w:val="000D5E31"/>
    <w:rsid w:val="000E12D3"/>
    <w:rsid w:val="000E218B"/>
    <w:rsid w:val="000E2E24"/>
    <w:rsid w:val="000E322A"/>
    <w:rsid w:val="000E32A6"/>
    <w:rsid w:val="000E69D9"/>
    <w:rsid w:val="000F018A"/>
    <w:rsid w:val="000F099B"/>
    <w:rsid w:val="000F2EF1"/>
    <w:rsid w:val="000F528F"/>
    <w:rsid w:val="000F54B0"/>
    <w:rsid w:val="000F5D12"/>
    <w:rsid w:val="000F62C3"/>
    <w:rsid w:val="000F7CF6"/>
    <w:rsid w:val="001023AF"/>
    <w:rsid w:val="00103FE7"/>
    <w:rsid w:val="001058D3"/>
    <w:rsid w:val="00105DF0"/>
    <w:rsid w:val="0010644A"/>
    <w:rsid w:val="001079FF"/>
    <w:rsid w:val="00111B33"/>
    <w:rsid w:val="00111BFC"/>
    <w:rsid w:val="0011382F"/>
    <w:rsid w:val="001144A1"/>
    <w:rsid w:val="00114AC5"/>
    <w:rsid w:val="00116579"/>
    <w:rsid w:val="00120466"/>
    <w:rsid w:val="00120740"/>
    <w:rsid w:val="001208F4"/>
    <w:rsid w:val="00121600"/>
    <w:rsid w:val="0012217B"/>
    <w:rsid w:val="00122F5E"/>
    <w:rsid w:val="00126F80"/>
    <w:rsid w:val="00127839"/>
    <w:rsid w:val="00127D14"/>
    <w:rsid w:val="00130500"/>
    <w:rsid w:val="001308D4"/>
    <w:rsid w:val="00130A1D"/>
    <w:rsid w:val="00131CDF"/>
    <w:rsid w:val="00132829"/>
    <w:rsid w:val="00133C57"/>
    <w:rsid w:val="00133D64"/>
    <w:rsid w:val="00135578"/>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3540"/>
    <w:rsid w:val="00164061"/>
    <w:rsid w:val="00164BAD"/>
    <w:rsid w:val="001679AB"/>
    <w:rsid w:val="00171831"/>
    <w:rsid w:val="00172205"/>
    <w:rsid w:val="00172B29"/>
    <w:rsid w:val="001750EB"/>
    <w:rsid w:val="001761CB"/>
    <w:rsid w:val="00176436"/>
    <w:rsid w:val="001809BA"/>
    <w:rsid w:val="00180F55"/>
    <w:rsid w:val="001827CF"/>
    <w:rsid w:val="001843E8"/>
    <w:rsid w:val="00184B23"/>
    <w:rsid w:val="00187658"/>
    <w:rsid w:val="00190DE9"/>
    <w:rsid w:val="00191A27"/>
    <w:rsid w:val="00192287"/>
    <w:rsid w:val="00194A88"/>
    <w:rsid w:val="00194C5C"/>
    <w:rsid w:val="0019600D"/>
    <w:rsid w:val="001A1D36"/>
    <w:rsid w:val="001A2DD1"/>
    <w:rsid w:val="001A3755"/>
    <w:rsid w:val="001A5951"/>
    <w:rsid w:val="001A5B4D"/>
    <w:rsid w:val="001A608E"/>
    <w:rsid w:val="001B0A3D"/>
    <w:rsid w:val="001B1297"/>
    <w:rsid w:val="001B40F8"/>
    <w:rsid w:val="001B469D"/>
    <w:rsid w:val="001B6227"/>
    <w:rsid w:val="001C0740"/>
    <w:rsid w:val="001C1FCF"/>
    <w:rsid w:val="001C3433"/>
    <w:rsid w:val="001C3488"/>
    <w:rsid w:val="001C4AAC"/>
    <w:rsid w:val="001C6A1B"/>
    <w:rsid w:val="001D010B"/>
    <w:rsid w:val="001D0994"/>
    <w:rsid w:val="001D0A5A"/>
    <w:rsid w:val="001D2397"/>
    <w:rsid w:val="001D27A6"/>
    <w:rsid w:val="001D3B81"/>
    <w:rsid w:val="001D694C"/>
    <w:rsid w:val="001D730F"/>
    <w:rsid w:val="001D7FCD"/>
    <w:rsid w:val="001E1758"/>
    <w:rsid w:val="001E3B11"/>
    <w:rsid w:val="001E4549"/>
    <w:rsid w:val="001E4BDD"/>
    <w:rsid w:val="001E503D"/>
    <w:rsid w:val="001E631B"/>
    <w:rsid w:val="001E680E"/>
    <w:rsid w:val="001F03C6"/>
    <w:rsid w:val="001F098B"/>
    <w:rsid w:val="001F309C"/>
    <w:rsid w:val="001F567B"/>
    <w:rsid w:val="001F72DF"/>
    <w:rsid w:val="00200843"/>
    <w:rsid w:val="0020247E"/>
    <w:rsid w:val="00203FD3"/>
    <w:rsid w:val="002045A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8DE"/>
    <w:rsid w:val="0024019E"/>
    <w:rsid w:val="00242891"/>
    <w:rsid w:val="00243181"/>
    <w:rsid w:val="00243C15"/>
    <w:rsid w:val="0024497C"/>
    <w:rsid w:val="00245BAC"/>
    <w:rsid w:val="00246862"/>
    <w:rsid w:val="00246915"/>
    <w:rsid w:val="00246B94"/>
    <w:rsid w:val="00246F70"/>
    <w:rsid w:val="00247875"/>
    <w:rsid w:val="00247D11"/>
    <w:rsid w:val="002546EB"/>
    <w:rsid w:val="00254ED2"/>
    <w:rsid w:val="002557D6"/>
    <w:rsid w:val="00256B01"/>
    <w:rsid w:val="00261AEB"/>
    <w:rsid w:val="00262666"/>
    <w:rsid w:val="00263720"/>
    <w:rsid w:val="00264259"/>
    <w:rsid w:val="0026762A"/>
    <w:rsid w:val="00267A88"/>
    <w:rsid w:val="00270203"/>
    <w:rsid w:val="002729E4"/>
    <w:rsid w:val="00273171"/>
    <w:rsid w:val="00274366"/>
    <w:rsid w:val="00275937"/>
    <w:rsid w:val="002802EC"/>
    <w:rsid w:val="002805AC"/>
    <w:rsid w:val="0028088E"/>
    <w:rsid w:val="002811D0"/>
    <w:rsid w:val="00283967"/>
    <w:rsid w:val="00283B3F"/>
    <w:rsid w:val="002844AF"/>
    <w:rsid w:val="002863E7"/>
    <w:rsid w:val="002870CA"/>
    <w:rsid w:val="002908C0"/>
    <w:rsid w:val="00291333"/>
    <w:rsid w:val="00292316"/>
    <w:rsid w:val="00294C65"/>
    <w:rsid w:val="0029542B"/>
    <w:rsid w:val="00296748"/>
    <w:rsid w:val="002A0B1C"/>
    <w:rsid w:val="002A2843"/>
    <w:rsid w:val="002A28E5"/>
    <w:rsid w:val="002A2985"/>
    <w:rsid w:val="002A4088"/>
    <w:rsid w:val="002A411F"/>
    <w:rsid w:val="002A5510"/>
    <w:rsid w:val="002A6EF0"/>
    <w:rsid w:val="002A72DF"/>
    <w:rsid w:val="002B2AF4"/>
    <w:rsid w:val="002B439C"/>
    <w:rsid w:val="002B45B7"/>
    <w:rsid w:val="002B5200"/>
    <w:rsid w:val="002B5C82"/>
    <w:rsid w:val="002B73F3"/>
    <w:rsid w:val="002B7422"/>
    <w:rsid w:val="002B79C4"/>
    <w:rsid w:val="002C01EA"/>
    <w:rsid w:val="002C0324"/>
    <w:rsid w:val="002C7363"/>
    <w:rsid w:val="002C77A9"/>
    <w:rsid w:val="002D1979"/>
    <w:rsid w:val="002D1E6E"/>
    <w:rsid w:val="002D24A4"/>
    <w:rsid w:val="002D2BC6"/>
    <w:rsid w:val="002D7231"/>
    <w:rsid w:val="002D7BCE"/>
    <w:rsid w:val="002E07CB"/>
    <w:rsid w:val="002E0D17"/>
    <w:rsid w:val="002E26EB"/>
    <w:rsid w:val="002E796C"/>
    <w:rsid w:val="002F19AF"/>
    <w:rsid w:val="002F45B6"/>
    <w:rsid w:val="002F4DA5"/>
    <w:rsid w:val="002F4F72"/>
    <w:rsid w:val="002F55C4"/>
    <w:rsid w:val="002F69D0"/>
    <w:rsid w:val="002F7173"/>
    <w:rsid w:val="002F7484"/>
    <w:rsid w:val="00302511"/>
    <w:rsid w:val="00302C57"/>
    <w:rsid w:val="00303020"/>
    <w:rsid w:val="003032E2"/>
    <w:rsid w:val="00304999"/>
    <w:rsid w:val="00304F0C"/>
    <w:rsid w:val="003076B0"/>
    <w:rsid w:val="00307E06"/>
    <w:rsid w:val="00311C93"/>
    <w:rsid w:val="00312470"/>
    <w:rsid w:val="003124A7"/>
    <w:rsid w:val="00313BB6"/>
    <w:rsid w:val="00315C76"/>
    <w:rsid w:val="0031730E"/>
    <w:rsid w:val="00321AAB"/>
    <w:rsid w:val="00321C10"/>
    <w:rsid w:val="00323C3C"/>
    <w:rsid w:val="003253CA"/>
    <w:rsid w:val="00331836"/>
    <w:rsid w:val="00333995"/>
    <w:rsid w:val="0033426E"/>
    <w:rsid w:val="00335EF4"/>
    <w:rsid w:val="00337583"/>
    <w:rsid w:val="0034071E"/>
    <w:rsid w:val="0034180B"/>
    <w:rsid w:val="00342CE5"/>
    <w:rsid w:val="00344D4F"/>
    <w:rsid w:val="003462AA"/>
    <w:rsid w:val="003505C2"/>
    <w:rsid w:val="00350BF5"/>
    <w:rsid w:val="00351DF6"/>
    <w:rsid w:val="00352F7F"/>
    <w:rsid w:val="003539E8"/>
    <w:rsid w:val="00355E72"/>
    <w:rsid w:val="00360A0B"/>
    <w:rsid w:val="00362D9F"/>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A5EB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3D35"/>
    <w:rsid w:val="003E4484"/>
    <w:rsid w:val="003E52CC"/>
    <w:rsid w:val="003E5B1E"/>
    <w:rsid w:val="003E7801"/>
    <w:rsid w:val="003E7C91"/>
    <w:rsid w:val="003F09E7"/>
    <w:rsid w:val="003F47AD"/>
    <w:rsid w:val="003F5E8A"/>
    <w:rsid w:val="003F6240"/>
    <w:rsid w:val="00400164"/>
    <w:rsid w:val="00401F03"/>
    <w:rsid w:val="0040457E"/>
    <w:rsid w:val="00407B2F"/>
    <w:rsid w:val="00407F91"/>
    <w:rsid w:val="00411707"/>
    <w:rsid w:val="0041349D"/>
    <w:rsid w:val="004138D3"/>
    <w:rsid w:val="0041760B"/>
    <w:rsid w:val="00423A9D"/>
    <w:rsid w:val="00424229"/>
    <w:rsid w:val="004264C9"/>
    <w:rsid w:val="00427081"/>
    <w:rsid w:val="004313B8"/>
    <w:rsid w:val="00433FAD"/>
    <w:rsid w:val="004407BC"/>
    <w:rsid w:val="00441CB3"/>
    <w:rsid w:val="004426E6"/>
    <w:rsid w:val="00444733"/>
    <w:rsid w:val="004503A6"/>
    <w:rsid w:val="004519AE"/>
    <w:rsid w:val="00454494"/>
    <w:rsid w:val="004567C7"/>
    <w:rsid w:val="00457CC7"/>
    <w:rsid w:val="004632EE"/>
    <w:rsid w:val="004633DC"/>
    <w:rsid w:val="00464010"/>
    <w:rsid w:val="00464CFB"/>
    <w:rsid w:val="004715AF"/>
    <w:rsid w:val="00472E19"/>
    <w:rsid w:val="00474E30"/>
    <w:rsid w:val="0047763B"/>
    <w:rsid w:val="00481564"/>
    <w:rsid w:val="00484AB5"/>
    <w:rsid w:val="00484CC9"/>
    <w:rsid w:val="00485388"/>
    <w:rsid w:val="004870D8"/>
    <w:rsid w:val="00491DA5"/>
    <w:rsid w:val="004961AD"/>
    <w:rsid w:val="00497D86"/>
    <w:rsid w:val="00497E3B"/>
    <w:rsid w:val="004A2326"/>
    <w:rsid w:val="004A319F"/>
    <w:rsid w:val="004A4ECC"/>
    <w:rsid w:val="004A552C"/>
    <w:rsid w:val="004A5E03"/>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7A9"/>
    <w:rsid w:val="004D1236"/>
    <w:rsid w:val="004D316A"/>
    <w:rsid w:val="004D3925"/>
    <w:rsid w:val="004D3ADD"/>
    <w:rsid w:val="004D5713"/>
    <w:rsid w:val="004D5934"/>
    <w:rsid w:val="004D6FEE"/>
    <w:rsid w:val="004D72BE"/>
    <w:rsid w:val="004D7564"/>
    <w:rsid w:val="004E154D"/>
    <w:rsid w:val="004E16A4"/>
    <w:rsid w:val="004E3728"/>
    <w:rsid w:val="004E5157"/>
    <w:rsid w:val="004E661E"/>
    <w:rsid w:val="004F03BE"/>
    <w:rsid w:val="004F3787"/>
    <w:rsid w:val="004F4970"/>
    <w:rsid w:val="004F4B8D"/>
    <w:rsid w:val="004F5821"/>
    <w:rsid w:val="004F66D4"/>
    <w:rsid w:val="004F674E"/>
    <w:rsid w:val="00501DFC"/>
    <w:rsid w:val="00501EAB"/>
    <w:rsid w:val="005043E1"/>
    <w:rsid w:val="005068F2"/>
    <w:rsid w:val="0051068F"/>
    <w:rsid w:val="00510956"/>
    <w:rsid w:val="00510C9F"/>
    <w:rsid w:val="005115C3"/>
    <w:rsid w:val="0051250D"/>
    <w:rsid w:val="00512FF2"/>
    <w:rsid w:val="00513626"/>
    <w:rsid w:val="0051428C"/>
    <w:rsid w:val="00515E05"/>
    <w:rsid w:val="00516F56"/>
    <w:rsid w:val="00517C59"/>
    <w:rsid w:val="00520000"/>
    <w:rsid w:val="00520256"/>
    <w:rsid w:val="0052247B"/>
    <w:rsid w:val="005250B9"/>
    <w:rsid w:val="00526DC4"/>
    <w:rsid w:val="005300DF"/>
    <w:rsid w:val="00531A5A"/>
    <w:rsid w:val="00531A6D"/>
    <w:rsid w:val="00531B0F"/>
    <w:rsid w:val="00531B2A"/>
    <w:rsid w:val="00531DE3"/>
    <w:rsid w:val="00534C95"/>
    <w:rsid w:val="0053715D"/>
    <w:rsid w:val="00541B18"/>
    <w:rsid w:val="00541E20"/>
    <w:rsid w:val="00542671"/>
    <w:rsid w:val="005443FC"/>
    <w:rsid w:val="00544A76"/>
    <w:rsid w:val="00545D35"/>
    <w:rsid w:val="005478F9"/>
    <w:rsid w:val="00551263"/>
    <w:rsid w:val="00551897"/>
    <w:rsid w:val="00553578"/>
    <w:rsid w:val="005542E9"/>
    <w:rsid w:val="00557727"/>
    <w:rsid w:val="005609AA"/>
    <w:rsid w:val="00563B9C"/>
    <w:rsid w:val="0056455D"/>
    <w:rsid w:val="00565465"/>
    <w:rsid w:val="00567E8E"/>
    <w:rsid w:val="0057052D"/>
    <w:rsid w:val="005707BD"/>
    <w:rsid w:val="00571B02"/>
    <w:rsid w:val="005720EB"/>
    <w:rsid w:val="00572D0A"/>
    <w:rsid w:val="005758AC"/>
    <w:rsid w:val="00575925"/>
    <w:rsid w:val="005770F4"/>
    <w:rsid w:val="005776B9"/>
    <w:rsid w:val="00580F64"/>
    <w:rsid w:val="005817AB"/>
    <w:rsid w:val="005864C3"/>
    <w:rsid w:val="005903F7"/>
    <w:rsid w:val="005913ED"/>
    <w:rsid w:val="00593333"/>
    <w:rsid w:val="00594670"/>
    <w:rsid w:val="00594B85"/>
    <w:rsid w:val="00594F1B"/>
    <w:rsid w:val="00595186"/>
    <w:rsid w:val="00597C5A"/>
    <w:rsid w:val="005A0A32"/>
    <w:rsid w:val="005A0D5F"/>
    <w:rsid w:val="005A1C28"/>
    <w:rsid w:val="005A2F52"/>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5D95"/>
    <w:rsid w:val="005D62CD"/>
    <w:rsid w:val="005D65FC"/>
    <w:rsid w:val="005D74CC"/>
    <w:rsid w:val="005D751A"/>
    <w:rsid w:val="005E15B4"/>
    <w:rsid w:val="005E18B0"/>
    <w:rsid w:val="005E3275"/>
    <w:rsid w:val="005E3ABC"/>
    <w:rsid w:val="005E40A8"/>
    <w:rsid w:val="005E5273"/>
    <w:rsid w:val="005E6972"/>
    <w:rsid w:val="005E76E1"/>
    <w:rsid w:val="005F0B76"/>
    <w:rsid w:val="005F1575"/>
    <w:rsid w:val="005F3504"/>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167C3"/>
    <w:rsid w:val="00621035"/>
    <w:rsid w:val="00621070"/>
    <w:rsid w:val="00630C62"/>
    <w:rsid w:val="0063261A"/>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09"/>
    <w:rsid w:val="0066306B"/>
    <w:rsid w:val="0066335A"/>
    <w:rsid w:val="0066407D"/>
    <w:rsid w:val="006640C5"/>
    <w:rsid w:val="00670A3B"/>
    <w:rsid w:val="00670FD3"/>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26D3"/>
    <w:rsid w:val="006B2E3E"/>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79C"/>
    <w:rsid w:val="006E18BB"/>
    <w:rsid w:val="006E1B16"/>
    <w:rsid w:val="006E22F2"/>
    <w:rsid w:val="006E27BA"/>
    <w:rsid w:val="006E40EA"/>
    <w:rsid w:val="006E43D3"/>
    <w:rsid w:val="006E44A9"/>
    <w:rsid w:val="006E6519"/>
    <w:rsid w:val="006F0897"/>
    <w:rsid w:val="006F0D29"/>
    <w:rsid w:val="006F2412"/>
    <w:rsid w:val="006F3363"/>
    <w:rsid w:val="006F5760"/>
    <w:rsid w:val="006F5B8F"/>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3459"/>
    <w:rsid w:val="00743A44"/>
    <w:rsid w:val="0074467A"/>
    <w:rsid w:val="00745DF1"/>
    <w:rsid w:val="00745F93"/>
    <w:rsid w:val="00747AB7"/>
    <w:rsid w:val="00752A08"/>
    <w:rsid w:val="00752B02"/>
    <w:rsid w:val="00754D2D"/>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1797"/>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ECB"/>
    <w:rsid w:val="007A4CC0"/>
    <w:rsid w:val="007B0C31"/>
    <w:rsid w:val="007B0E0D"/>
    <w:rsid w:val="007B29E4"/>
    <w:rsid w:val="007B448D"/>
    <w:rsid w:val="007B6958"/>
    <w:rsid w:val="007B7465"/>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123"/>
    <w:rsid w:val="00815878"/>
    <w:rsid w:val="00817600"/>
    <w:rsid w:val="0082010D"/>
    <w:rsid w:val="00821C04"/>
    <w:rsid w:val="0082280A"/>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5FC7"/>
    <w:rsid w:val="00847A1D"/>
    <w:rsid w:val="00853106"/>
    <w:rsid w:val="008550F0"/>
    <w:rsid w:val="00855650"/>
    <w:rsid w:val="00857BD3"/>
    <w:rsid w:val="00860037"/>
    <w:rsid w:val="00860FEF"/>
    <w:rsid w:val="008618D9"/>
    <w:rsid w:val="0086361E"/>
    <w:rsid w:val="008649E5"/>
    <w:rsid w:val="00864F72"/>
    <w:rsid w:val="0086594B"/>
    <w:rsid w:val="00870158"/>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740"/>
    <w:rsid w:val="00897C9D"/>
    <w:rsid w:val="008A20F1"/>
    <w:rsid w:val="008A2A09"/>
    <w:rsid w:val="008A47B2"/>
    <w:rsid w:val="008A5670"/>
    <w:rsid w:val="008A6B4E"/>
    <w:rsid w:val="008A6E82"/>
    <w:rsid w:val="008B0BED"/>
    <w:rsid w:val="008B1D23"/>
    <w:rsid w:val="008B1D4F"/>
    <w:rsid w:val="008B2E64"/>
    <w:rsid w:val="008B2FDE"/>
    <w:rsid w:val="008B4B2E"/>
    <w:rsid w:val="008B4EBC"/>
    <w:rsid w:val="008B5756"/>
    <w:rsid w:val="008B5A3E"/>
    <w:rsid w:val="008B5E35"/>
    <w:rsid w:val="008C25FC"/>
    <w:rsid w:val="008C2948"/>
    <w:rsid w:val="008C297E"/>
    <w:rsid w:val="008C380D"/>
    <w:rsid w:val="008C4AF8"/>
    <w:rsid w:val="008C508D"/>
    <w:rsid w:val="008C74CA"/>
    <w:rsid w:val="008D04B8"/>
    <w:rsid w:val="008D1236"/>
    <w:rsid w:val="008D4343"/>
    <w:rsid w:val="008E215F"/>
    <w:rsid w:val="008E4231"/>
    <w:rsid w:val="008E586E"/>
    <w:rsid w:val="008E7EE1"/>
    <w:rsid w:val="008F05C2"/>
    <w:rsid w:val="008F3A6D"/>
    <w:rsid w:val="008F52F4"/>
    <w:rsid w:val="008F6A42"/>
    <w:rsid w:val="008F75B9"/>
    <w:rsid w:val="008F7D31"/>
    <w:rsid w:val="008F7FFA"/>
    <w:rsid w:val="00900115"/>
    <w:rsid w:val="009007FC"/>
    <w:rsid w:val="0090282D"/>
    <w:rsid w:val="00903BE5"/>
    <w:rsid w:val="009049BE"/>
    <w:rsid w:val="009073DD"/>
    <w:rsid w:val="00907FE3"/>
    <w:rsid w:val="00910C14"/>
    <w:rsid w:val="009111EA"/>
    <w:rsid w:val="0091170B"/>
    <w:rsid w:val="00912837"/>
    <w:rsid w:val="0091304F"/>
    <w:rsid w:val="009133A9"/>
    <w:rsid w:val="009159DA"/>
    <w:rsid w:val="0091667B"/>
    <w:rsid w:val="0091752F"/>
    <w:rsid w:val="00920D15"/>
    <w:rsid w:val="009210A6"/>
    <w:rsid w:val="0092135E"/>
    <w:rsid w:val="009233B3"/>
    <w:rsid w:val="00926FCD"/>
    <w:rsid w:val="00927607"/>
    <w:rsid w:val="00931E3D"/>
    <w:rsid w:val="0094005B"/>
    <w:rsid w:val="00943709"/>
    <w:rsid w:val="00943B62"/>
    <w:rsid w:val="00945052"/>
    <w:rsid w:val="0094607A"/>
    <w:rsid w:val="00947785"/>
    <w:rsid w:val="0095309C"/>
    <w:rsid w:val="00956CD1"/>
    <w:rsid w:val="009623FA"/>
    <w:rsid w:val="00964969"/>
    <w:rsid w:val="00964A87"/>
    <w:rsid w:val="00965794"/>
    <w:rsid w:val="00965870"/>
    <w:rsid w:val="00970BC4"/>
    <w:rsid w:val="00973AE6"/>
    <w:rsid w:val="00973D8D"/>
    <w:rsid w:val="0097528C"/>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399D"/>
    <w:rsid w:val="009C3BF3"/>
    <w:rsid w:val="009C4221"/>
    <w:rsid w:val="009D0CAE"/>
    <w:rsid w:val="009D1364"/>
    <w:rsid w:val="009D1ED8"/>
    <w:rsid w:val="009D4A0A"/>
    <w:rsid w:val="009D6659"/>
    <w:rsid w:val="009D7058"/>
    <w:rsid w:val="009D7590"/>
    <w:rsid w:val="009E0336"/>
    <w:rsid w:val="009E10EC"/>
    <w:rsid w:val="009E3A9A"/>
    <w:rsid w:val="009E5841"/>
    <w:rsid w:val="009E7B57"/>
    <w:rsid w:val="009F4BEF"/>
    <w:rsid w:val="009F50FA"/>
    <w:rsid w:val="009F54D5"/>
    <w:rsid w:val="009F6502"/>
    <w:rsid w:val="00A022D9"/>
    <w:rsid w:val="00A033BB"/>
    <w:rsid w:val="00A0357E"/>
    <w:rsid w:val="00A045F4"/>
    <w:rsid w:val="00A04D50"/>
    <w:rsid w:val="00A05B4F"/>
    <w:rsid w:val="00A074A3"/>
    <w:rsid w:val="00A100BF"/>
    <w:rsid w:val="00A10387"/>
    <w:rsid w:val="00A20505"/>
    <w:rsid w:val="00A21B13"/>
    <w:rsid w:val="00A2222E"/>
    <w:rsid w:val="00A240AA"/>
    <w:rsid w:val="00A2508C"/>
    <w:rsid w:val="00A2572E"/>
    <w:rsid w:val="00A25FC0"/>
    <w:rsid w:val="00A262B6"/>
    <w:rsid w:val="00A26D41"/>
    <w:rsid w:val="00A27138"/>
    <w:rsid w:val="00A3229B"/>
    <w:rsid w:val="00A3286F"/>
    <w:rsid w:val="00A3359F"/>
    <w:rsid w:val="00A33A89"/>
    <w:rsid w:val="00A363FD"/>
    <w:rsid w:val="00A3709C"/>
    <w:rsid w:val="00A3728F"/>
    <w:rsid w:val="00A4105D"/>
    <w:rsid w:val="00A442A4"/>
    <w:rsid w:val="00A4466C"/>
    <w:rsid w:val="00A4628E"/>
    <w:rsid w:val="00A51216"/>
    <w:rsid w:val="00A5314A"/>
    <w:rsid w:val="00A53E1C"/>
    <w:rsid w:val="00A57F60"/>
    <w:rsid w:val="00A61831"/>
    <w:rsid w:val="00A6426E"/>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533"/>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F2758"/>
    <w:rsid w:val="00AF3C06"/>
    <w:rsid w:val="00AF62FE"/>
    <w:rsid w:val="00AF6F6A"/>
    <w:rsid w:val="00B0110A"/>
    <w:rsid w:val="00B0205C"/>
    <w:rsid w:val="00B043FA"/>
    <w:rsid w:val="00B049EC"/>
    <w:rsid w:val="00B04DD6"/>
    <w:rsid w:val="00B078A6"/>
    <w:rsid w:val="00B10264"/>
    <w:rsid w:val="00B10FF6"/>
    <w:rsid w:val="00B1212B"/>
    <w:rsid w:val="00B13A32"/>
    <w:rsid w:val="00B14213"/>
    <w:rsid w:val="00B14ADE"/>
    <w:rsid w:val="00B15800"/>
    <w:rsid w:val="00B15E81"/>
    <w:rsid w:val="00B173E2"/>
    <w:rsid w:val="00B173F4"/>
    <w:rsid w:val="00B177F2"/>
    <w:rsid w:val="00B216FE"/>
    <w:rsid w:val="00B26CCB"/>
    <w:rsid w:val="00B31114"/>
    <w:rsid w:val="00B31B5C"/>
    <w:rsid w:val="00B335E3"/>
    <w:rsid w:val="00B34D98"/>
    <w:rsid w:val="00B35503"/>
    <w:rsid w:val="00B37233"/>
    <w:rsid w:val="00B37C1A"/>
    <w:rsid w:val="00B37E5F"/>
    <w:rsid w:val="00B408F8"/>
    <w:rsid w:val="00B40A98"/>
    <w:rsid w:val="00B4227D"/>
    <w:rsid w:val="00B43E78"/>
    <w:rsid w:val="00B45AA5"/>
    <w:rsid w:val="00B461BE"/>
    <w:rsid w:val="00B46B05"/>
    <w:rsid w:val="00B5088E"/>
    <w:rsid w:val="00B50EFF"/>
    <w:rsid w:val="00B517B3"/>
    <w:rsid w:val="00B51D39"/>
    <w:rsid w:val="00B52E8A"/>
    <w:rsid w:val="00B53176"/>
    <w:rsid w:val="00B55C20"/>
    <w:rsid w:val="00B60FEA"/>
    <w:rsid w:val="00B615EF"/>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9FE"/>
    <w:rsid w:val="00B87E94"/>
    <w:rsid w:val="00B90D57"/>
    <w:rsid w:val="00B90ED9"/>
    <w:rsid w:val="00B912A0"/>
    <w:rsid w:val="00B94330"/>
    <w:rsid w:val="00B94DC9"/>
    <w:rsid w:val="00B9565F"/>
    <w:rsid w:val="00B95F1A"/>
    <w:rsid w:val="00BA05BF"/>
    <w:rsid w:val="00BA0791"/>
    <w:rsid w:val="00BA0DB3"/>
    <w:rsid w:val="00BA0E31"/>
    <w:rsid w:val="00BA2FEE"/>
    <w:rsid w:val="00BA42E0"/>
    <w:rsid w:val="00BA4F11"/>
    <w:rsid w:val="00BB058F"/>
    <w:rsid w:val="00BB1EC2"/>
    <w:rsid w:val="00BB2686"/>
    <w:rsid w:val="00BB6195"/>
    <w:rsid w:val="00BB62D7"/>
    <w:rsid w:val="00BC0C9A"/>
    <w:rsid w:val="00BC29D4"/>
    <w:rsid w:val="00BC6F69"/>
    <w:rsid w:val="00BC7BD0"/>
    <w:rsid w:val="00BD249F"/>
    <w:rsid w:val="00BD560C"/>
    <w:rsid w:val="00BD5CAE"/>
    <w:rsid w:val="00BD6DC5"/>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D17"/>
    <w:rsid w:val="00C01348"/>
    <w:rsid w:val="00C02A64"/>
    <w:rsid w:val="00C03DDB"/>
    <w:rsid w:val="00C06278"/>
    <w:rsid w:val="00C06502"/>
    <w:rsid w:val="00C06661"/>
    <w:rsid w:val="00C11344"/>
    <w:rsid w:val="00C1297D"/>
    <w:rsid w:val="00C14017"/>
    <w:rsid w:val="00C148AE"/>
    <w:rsid w:val="00C14B07"/>
    <w:rsid w:val="00C1506F"/>
    <w:rsid w:val="00C22D01"/>
    <w:rsid w:val="00C22D64"/>
    <w:rsid w:val="00C308BE"/>
    <w:rsid w:val="00C31741"/>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91B"/>
    <w:rsid w:val="00C446B2"/>
    <w:rsid w:val="00C45315"/>
    <w:rsid w:val="00C46DE0"/>
    <w:rsid w:val="00C4711E"/>
    <w:rsid w:val="00C52510"/>
    <w:rsid w:val="00C52EE7"/>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86DEB"/>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352"/>
    <w:rsid w:val="00CB27A4"/>
    <w:rsid w:val="00CB3C9B"/>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E7FE6"/>
    <w:rsid w:val="00CF10FC"/>
    <w:rsid w:val="00CF1E45"/>
    <w:rsid w:val="00CF52A9"/>
    <w:rsid w:val="00CF5631"/>
    <w:rsid w:val="00CF6971"/>
    <w:rsid w:val="00CF7993"/>
    <w:rsid w:val="00D00AC1"/>
    <w:rsid w:val="00D014AF"/>
    <w:rsid w:val="00D03B93"/>
    <w:rsid w:val="00D12214"/>
    <w:rsid w:val="00D12D3B"/>
    <w:rsid w:val="00D14D39"/>
    <w:rsid w:val="00D16225"/>
    <w:rsid w:val="00D16547"/>
    <w:rsid w:val="00D176A9"/>
    <w:rsid w:val="00D17BF2"/>
    <w:rsid w:val="00D2010F"/>
    <w:rsid w:val="00D20368"/>
    <w:rsid w:val="00D22035"/>
    <w:rsid w:val="00D224D5"/>
    <w:rsid w:val="00D24260"/>
    <w:rsid w:val="00D2489A"/>
    <w:rsid w:val="00D24BE6"/>
    <w:rsid w:val="00D25099"/>
    <w:rsid w:val="00D252B8"/>
    <w:rsid w:val="00D26410"/>
    <w:rsid w:val="00D309C0"/>
    <w:rsid w:val="00D33C66"/>
    <w:rsid w:val="00D34A5A"/>
    <w:rsid w:val="00D35BB3"/>
    <w:rsid w:val="00D35BF1"/>
    <w:rsid w:val="00D3635F"/>
    <w:rsid w:val="00D378CF"/>
    <w:rsid w:val="00D44218"/>
    <w:rsid w:val="00D4494B"/>
    <w:rsid w:val="00D45843"/>
    <w:rsid w:val="00D526EA"/>
    <w:rsid w:val="00D5482F"/>
    <w:rsid w:val="00D566F5"/>
    <w:rsid w:val="00D56752"/>
    <w:rsid w:val="00D56F54"/>
    <w:rsid w:val="00D6149D"/>
    <w:rsid w:val="00D62375"/>
    <w:rsid w:val="00D63950"/>
    <w:rsid w:val="00D63A6F"/>
    <w:rsid w:val="00D660B1"/>
    <w:rsid w:val="00D70AB8"/>
    <w:rsid w:val="00D7104A"/>
    <w:rsid w:val="00D718E2"/>
    <w:rsid w:val="00D7205B"/>
    <w:rsid w:val="00D73B5B"/>
    <w:rsid w:val="00D74FDC"/>
    <w:rsid w:val="00D81F5C"/>
    <w:rsid w:val="00D82135"/>
    <w:rsid w:val="00D82506"/>
    <w:rsid w:val="00D85203"/>
    <w:rsid w:val="00D871A9"/>
    <w:rsid w:val="00D9154A"/>
    <w:rsid w:val="00D91AF2"/>
    <w:rsid w:val="00D93271"/>
    <w:rsid w:val="00D957F2"/>
    <w:rsid w:val="00D96319"/>
    <w:rsid w:val="00DA0CA2"/>
    <w:rsid w:val="00DA1573"/>
    <w:rsid w:val="00DA158D"/>
    <w:rsid w:val="00DA1E05"/>
    <w:rsid w:val="00DA4B87"/>
    <w:rsid w:val="00DA4ECB"/>
    <w:rsid w:val="00DA5750"/>
    <w:rsid w:val="00DA5EA2"/>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96B"/>
    <w:rsid w:val="00DD1BAF"/>
    <w:rsid w:val="00DD3E98"/>
    <w:rsid w:val="00DD4CC6"/>
    <w:rsid w:val="00DD4E98"/>
    <w:rsid w:val="00DD5587"/>
    <w:rsid w:val="00DD58B8"/>
    <w:rsid w:val="00DD58F3"/>
    <w:rsid w:val="00DD664B"/>
    <w:rsid w:val="00DE06FD"/>
    <w:rsid w:val="00DE1577"/>
    <w:rsid w:val="00DE2129"/>
    <w:rsid w:val="00DE28BF"/>
    <w:rsid w:val="00DE5048"/>
    <w:rsid w:val="00DE6690"/>
    <w:rsid w:val="00DE7637"/>
    <w:rsid w:val="00DF09B8"/>
    <w:rsid w:val="00DF15EE"/>
    <w:rsid w:val="00DF2049"/>
    <w:rsid w:val="00DF2313"/>
    <w:rsid w:val="00DF5C2E"/>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62C5"/>
    <w:rsid w:val="00E31D43"/>
    <w:rsid w:val="00E32EEE"/>
    <w:rsid w:val="00E33520"/>
    <w:rsid w:val="00E3623E"/>
    <w:rsid w:val="00E37775"/>
    <w:rsid w:val="00E40BC0"/>
    <w:rsid w:val="00E41A8D"/>
    <w:rsid w:val="00E427DF"/>
    <w:rsid w:val="00E43435"/>
    <w:rsid w:val="00E475A6"/>
    <w:rsid w:val="00E50072"/>
    <w:rsid w:val="00E51437"/>
    <w:rsid w:val="00E52305"/>
    <w:rsid w:val="00E548DA"/>
    <w:rsid w:val="00E57175"/>
    <w:rsid w:val="00E57493"/>
    <w:rsid w:val="00E614C4"/>
    <w:rsid w:val="00E61CDE"/>
    <w:rsid w:val="00E65459"/>
    <w:rsid w:val="00E65EDD"/>
    <w:rsid w:val="00E66695"/>
    <w:rsid w:val="00E66DE8"/>
    <w:rsid w:val="00E67D3C"/>
    <w:rsid w:val="00E7006D"/>
    <w:rsid w:val="00E705F5"/>
    <w:rsid w:val="00E742BA"/>
    <w:rsid w:val="00E75180"/>
    <w:rsid w:val="00E75BB5"/>
    <w:rsid w:val="00E80E37"/>
    <w:rsid w:val="00E8133F"/>
    <w:rsid w:val="00E83450"/>
    <w:rsid w:val="00E8389D"/>
    <w:rsid w:val="00E86739"/>
    <w:rsid w:val="00E86934"/>
    <w:rsid w:val="00E90E54"/>
    <w:rsid w:val="00E91497"/>
    <w:rsid w:val="00E91FF2"/>
    <w:rsid w:val="00E94929"/>
    <w:rsid w:val="00E94FF3"/>
    <w:rsid w:val="00E9514D"/>
    <w:rsid w:val="00E97E4A"/>
    <w:rsid w:val="00EA0F7F"/>
    <w:rsid w:val="00EA2C19"/>
    <w:rsid w:val="00EA379C"/>
    <w:rsid w:val="00EA37E1"/>
    <w:rsid w:val="00EA4780"/>
    <w:rsid w:val="00EA4997"/>
    <w:rsid w:val="00EA4DC3"/>
    <w:rsid w:val="00EA4F63"/>
    <w:rsid w:val="00EA5167"/>
    <w:rsid w:val="00EA5E1B"/>
    <w:rsid w:val="00EA6A3D"/>
    <w:rsid w:val="00EA7123"/>
    <w:rsid w:val="00EB21AA"/>
    <w:rsid w:val="00EB34FB"/>
    <w:rsid w:val="00EB37B1"/>
    <w:rsid w:val="00EB4DFF"/>
    <w:rsid w:val="00EB6621"/>
    <w:rsid w:val="00EC2DA8"/>
    <w:rsid w:val="00EC45FC"/>
    <w:rsid w:val="00EC4A4E"/>
    <w:rsid w:val="00EC5982"/>
    <w:rsid w:val="00EC6A8E"/>
    <w:rsid w:val="00EC6BCB"/>
    <w:rsid w:val="00EC7045"/>
    <w:rsid w:val="00ED052D"/>
    <w:rsid w:val="00ED073E"/>
    <w:rsid w:val="00ED2E55"/>
    <w:rsid w:val="00ED3CC3"/>
    <w:rsid w:val="00ED54D9"/>
    <w:rsid w:val="00ED5DDA"/>
    <w:rsid w:val="00ED7D48"/>
    <w:rsid w:val="00EE1352"/>
    <w:rsid w:val="00EE3E2A"/>
    <w:rsid w:val="00EE3E2F"/>
    <w:rsid w:val="00EE480B"/>
    <w:rsid w:val="00EE695C"/>
    <w:rsid w:val="00EF71B0"/>
    <w:rsid w:val="00F02180"/>
    <w:rsid w:val="00F02DE0"/>
    <w:rsid w:val="00F053FC"/>
    <w:rsid w:val="00F06CB3"/>
    <w:rsid w:val="00F079CC"/>
    <w:rsid w:val="00F07A70"/>
    <w:rsid w:val="00F07FC2"/>
    <w:rsid w:val="00F106D6"/>
    <w:rsid w:val="00F10F8B"/>
    <w:rsid w:val="00F11375"/>
    <w:rsid w:val="00F123A4"/>
    <w:rsid w:val="00F1519C"/>
    <w:rsid w:val="00F16359"/>
    <w:rsid w:val="00F2026E"/>
    <w:rsid w:val="00F21698"/>
    <w:rsid w:val="00F24A07"/>
    <w:rsid w:val="00F2514D"/>
    <w:rsid w:val="00F25784"/>
    <w:rsid w:val="00F27F5D"/>
    <w:rsid w:val="00F27F68"/>
    <w:rsid w:val="00F3043E"/>
    <w:rsid w:val="00F30907"/>
    <w:rsid w:val="00F321E1"/>
    <w:rsid w:val="00F332E4"/>
    <w:rsid w:val="00F3568E"/>
    <w:rsid w:val="00F35707"/>
    <w:rsid w:val="00F35DBE"/>
    <w:rsid w:val="00F37880"/>
    <w:rsid w:val="00F42116"/>
    <w:rsid w:val="00F42B88"/>
    <w:rsid w:val="00F434C2"/>
    <w:rsid w:val="00F4377C"/>
    <w:rsid w:val="00F4392A"/>
    <w:rsid w:val="00F4491E"/>
    <w:rsid w:val="00F466A1"/>
    <w:rsid w:val="00F469C7"/>
    <w:rsid w:val="00F46C66"/>
    <w:rsid w:val="00F46F58"/>
    <w:rsid w:val="00F512B9"/>
    <w:rsid w:val="00F530D1"/>
    <w:rsid w:val="00F54463"/>
    <w:rsid w:val="00F54E38"/>
    <w:rsid w:val="00F551B0"/>
    <w:rsid w:val="00F55E47"/>
    <w:rsid w:val="00F60817"/>
    <w:rsid w:val="00F61CCF"/>
    <w:rsid w:val="00F62D24"/>
    <w:rsid w:val="00F6398A"/>
    <w:rsid w:val="00F65BB3"/>
    <w:rsid w:val="00F762D5"/>
    <w:rsid w:val="00F76381"/>
    <w:rsid w:val="00F7668F"/>
    <w:rsid w:val="00F80C7A"/>
    <w:rsid w:val="00F81765"/>
    <w:rsid w:val="00F82312"/>
    <w:rsid w:val="00F83C99"/>
    <w:rsid w:val="00F83DD7"/>
    <w:rsid w:val="00F841EA"/>
    <w:rsid w:val="00F8426B"/>
    <w:rsid w:val="00F849C5"/>
    <w:rsid w:val="00F8623A"/>
    <w:rsid w:val="00F8652F"/>
    <w:rsid w:val="00F87E4D"/>
    <w:rsid w:val="00F90B7E"/>
    <w:rsid w:val="00F90CCF"/>
    <w:rsid w:val="00F90F11"/>
    <w:rsid w:val="00F92334"/>
    <w:rsid w:val="00F95F8E"/>
    <w:rsid w:val="00F972BF"/>
    <w:rsid w:val="00F976B3"/>
    <w:rsid w:val="00FA0211"/>
    <w:rsid w:val="00FA0F1F"/>
    <w:rsid w:val="00FA26F7"/>
    <w:rsid w:val="00FA3C84"/>
    <w:rsid w:val="00FA4E53"/>
    <w:rsid w:val="00FB0BD7"/>
    <w:rsid w:val="00FB0E2A"/>
    <w:rsid w:val="00FB1E09"/>
    <w:rsid w:val="00FB2BB6"/>
    <w:rsid w:val="00FB4039"/>
    <w:rsid w:val="00FB409B"/>
    <w:rsid w:val="00FB4892"/>
    <w:rsid w:val="00FB6C65"/>
    <w:rsid w:val="00FB6DF3"/>
    <w:rsid w:val="00FC0ED3"/>
    <w:rsid w:val="00FC1289"/>
    <w:rsid w:val="00FC15D5"/>
    <w:rsid w:val="00FC5BF3"/>
    <w:rsid w:val="00FC7940"/>
    <w:rsid w:val="00FD0CFA"/>
    <w:rsid w:val="00FD0F89"/>
    <w:rsid w:val="00FD1243"/>
    <w:rsid w:val="00FD3ABE"/>
    <w:rsid w:val="00FD41C0"/>
    <w:rsid w:val="00FD46BA"/>
    <w:rsid w:val="00FD4D04"/>
    <w:rsid w:val="00FD5D4A"/>
    <w:rsid w:val="00FD6E9A"/>
    <w:rsid w:val="00FD7489"/>
    <w:rsid w:val="00FD7C17"/>
    <w:rsid w:val="00FE09B0"/>
    <w:rsid w:val="00FE0F9D"/>
    <w:rsid w:val="00FE10E6"/>
    <w:rsid w:val="00FE1705"/>
    <w:rsid w:val="00FE2093"/>
    <w:rsid w:val="00FE48CB"/>
    <w:rsid w:val="00FE5730"/>
    <w:rsid w:val="00FE6F33"/>
    <w:rsid w:val="00FE6FB7"/>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8397F8"/>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11668115">
      <w:bodyDiv w:val="1"/>
      <w:marLeft w:val="0"/>
      <w:marRight w:val="0"/>
      <w:marTop w:val="0"/>
      <w:marBottom w:val="0"/>
      <w:divBdr>
        <w:top w:val="none" w:sz="0" w:space="0" w:color="auto"/>
        <w:left w:val="none" w:sz="0" w:space="0" w:color="auto"/>
        <w:bottom w:val="none" w:sz="0" w:space="0" w:color="auto"/>
        <w:right w:val="none" w:sz="0" w:space="0" w:color="auto"/>
      </w:divBdr>
      <w:divsChild>
        <w:div w:id="1040129721">
          <w:marLeft w:val="0"/>
          <w:marRight w:val="0"/>
          <w:marTop w:val="0"/>
          <w:marBottom w:val="0"/>
          <w:divBdr>
            <w:top w:val="none" w:sz="0" w:space="0" w:color="auto"/>
            <w:left w:val="none" w:sz="0" w:space="0" w:color="auto"/>
            <w:bottom w:val="none" w:sz="0" w:space="0" w:color="auto"/>
            <w:right w:val="none" w:sz="0" w:space="0" w:color="auto"/>
          </w:divBdr>
          <w:divsChild>
            <w:div w:id="200900438">
              <w:marLeft w:val="0"/>
              <w:marRight w:val="0"/>
              <w:marTop w:val="0"/>
              <w:marBottom w:val="0"/>
              <w:divBdr>
                <w:top w:val="none" w:sz="0" w:space="0" w:color="auto"/>
                <w:left w:val="none" w:sz="0" w:space="0" w:color="auto"/>
                <w:bottom w:val="none" w:sz="0" w:space="0" w:color="auto"/>
                <w:right w:val="none" w:sz="0" w:space="0" w:color="auto"/>
              </w:divBdr>
            </w:div>
          </w:divsChild>
        </w:div>
        <w:div w:id="1297182771">
          <w:marLeft w:val="0"/>
          <w:marRight w:val="0"/>
          <w:marTop w:val="0"/>
          <w:marBottom w:val="0"/>
          <w:divBdr>
            <w:top w:val="none" w:sz="0" w:space="0" w:color="auto"/>
            <w:left w:val="none" w:sz="0" w:space="0" w:color="auto"/>
            <w:bottom w:val="none" w:sz="0" w:space="0" w:color="auto"/>
            <w:right w:val="none" w:sz="0" w:space="0" w:color="auto"/>
          </w:divBdr>
          <w:divsChild>
            <w:div w:id="1059942297">
              <w:marLeft w:val="0"/>
              <w:marRight w:val="0"/>
              <w:marTop w:val="0"/>
              <w:marBottom w:val="0"/>
              <w:divBdr>
                <w:top w:val="none" w:sz="0" w:space="0" w:color="auto"/>
                <w:left w:val="none" w:sz="0" w:space="0" w:color="auto"/>
                <w:bottom w:val="none" w:sz="0" w:space="0" w:color="auto"/>
                <w:right w:val="none" w:sz="0" w:space="0" w:color="auto"/>
              </w:divBdr>
            </w:div>
            <w:div w:id="1637838309">
              <w:marLeft w:val="0"/>
              <w:marRight w:val="0"/>
              <w:marTop w:val="0"/>
              <w:marBottom w:val="0"/>
              <w:divBdr>
                <w:top w:val="none" w:sz="0" w:space="0" w:color="auto"/>
                <w:left w:val="none" w:sz="0" w:space="0" w:color="auto"/>
                <w:bottom w:val="none" w:sz="0" w:space="0" w:color="auto"/>
                <w:right w:val="none" w:sz="0" w:space="0" w:color="auto"/>
              </w:divBdr>
            </w:div>
            <w:div w:id="290331442">
              <w:marLeft w:val="0"/>
              <w:marRight w:val="0"/>
              <w:marTop w:val="0"/>
              <w:marBottom w:val="0"/>
              <w:divBdr>
                <w:top w:val="none" w:sz="0" w:space="0" w:color="auto"/>
                <w:left w:val="none" w:sz="0" w:space="0" w:color="auto"/>
                <w:bottom w:val="none" w:sz="0" w:space="0" w:color="auto"/>
                <w:right w:val="none" w:sz="0" w:space="0" w:color="auto"/>
              </w:divBdr>
            </w:div>
          </w:divsChild>
        </w:div>
        <w:div w:id="2002730267">
          <w:marLeft w:val="0"/>
          <w:marRight w:val="0"/>
          <w:marTop w:val="0"/>
          <w:marBottom w:val="0"/>
          <w:divBdr>
            <w:top w:val="none" w:sz="0" w:space="0" w:color="auto"/>
            <w:left w:val="none" w:sz="0" w:space="0" w:color="auto"/>
            <w:bottom w:val="none" w:sz="0" w:space="0" w:color="auto"/>
            <w:right w:val="none" w:sz="0" w:space="0" w:color="auto"/>
          </w:divBdr>
          <w:divsChild>
            <w:div w:id="1800878187">
              <w:marLeft w:val="0"/>
              <w:marRight w:val="0"/>
              <w:marTop w:val="0"/>
              <w:marBottom w:val="0"/>
              <w:divBdr>
                <w:top w:val="none" w:sz="0" w:space="0" w:color="auto"/>
                <w:left w:val="none" w:sz="0" w:space="0" w:color="auto"/>
                <w:bottom w:val="none" w:sz="0" w:space="0" w:color="auto"/>
                <w:right w:val="none" w:sz="0" w:space="0" w:color="auto"/>
              </w:divBdr>
            </w:div>
            <w:div w:id="136844915">
              <w:marLeft w:val="0"/>
              <w:marRight w:val="0"/>
              <w:marTop w:val="0"/>
              <w:marBottom w:val="0"/>
              <w:divBdr>
                <w:top w:val="none" w:sz="0" w:space="0" w:color="auto"/>
                <w:left w:val="none" w:sz="0" w:space="0" w:color="auto"/>
                <w:bottom w:val="none" w:sz="0" w:space="0" w:color="auto"/>
                <w:right w:val="none" w:sz="0" w:space="0" w:color="auto"/>
              </w:divBdr>
            </w:div>
            <w:div w:id="1330910029">
              <w:marLeft w:val="0"/>
              <w:marRight w:val="0"/>
              <w:marTop w:val="0"/>
              <w:marBottom w:val="0"/>
              <w:divBdr>
                <w:top w:val="none" w:sz="0" w:space="0" w:color="auto"/>
                <w:left w:val="none" w:sz="0" w:space="0" w:color="auto"/>
                <w:bottom w:val="none" w:sz="0" w:space="0" w:color="auto"/>
                <w:right w:val="none" w:sz="0" w:space="0" w:color="auto"/>
              </w:divBdr>
            </w:div>
          </w:divsChild>
        </w:div>
        <w:div w:id="1041244836">
          <w:marLeft w:val="0"/>
          <w:marRight w:val="0"/>
          <w:marTop w:val="0"/>
          <w:marBottom w:val="0"/>
          <w:divBdr>
            <w:top w:val="none" w:sz="0" w:space="0" w:color="auto"/>
            <w:left w:val="none" w:sz="0" w:space="0" w:color="auto"/>
            <w:bottom w:val="none" w:sz="0" w:space="0" w:color="auto"/>
            <w:right w:val="none" w:sz="0" w:space="0" w:color="auto"/>
          </w:divBdr>
        </w:div>
        <w:div w:id="143356410">
          <w:marLeft w:val="0"/>
          <w:marRight w:val="0"/>
          <w:marTop w:val="0"/>
          <w:marBottom w:val="0"/>
          <w:divBdr>
            <w:top w:val="none" w:sz="0" w:space="0" w:color="auto"/>
            <w:left w:val="none" w:sz="0" w:space="0" w:color="auto"/>
            <w:bottom w:val="none" w:sz="0" w:space="0" w:color="auto"/>
            <w:right w:val="none" w:sz="0" w:space="0" w:color="auto"/>
          </w:divBdr>
        </w:div>
      </w:divsChild>
    </w:div>
    <w:div w:id="686295792">
      <w:bodyDiv w:val="1"/>
      <w:marLeft w:val="0"/>
      <w:marRight w:val="0"/>
      <w:marTop w:val="0"/>
      <w:marBottom w:val="0"/>
      <w:divBdr>
        <w:top w:val="none" w:sz="0" w:space="0" w:color="auto"/>
        <w:left w:val="none" w:sz="0" w:space="0" w:color="auto"/>
        <w:bottom w:val="none" w:sz="0" w:space="0" w:color="auto"/>
        <w:right w:val="none" w:sz="0" w:space="0" w:color="auto"/>
      </w:divBdr>
      <w:divsChild>
        <w:div w:id="416023911">
          <w:marLeft w:val="0"/>
          <w:marRight w:val="0"/>
          <w:marTop w:val="0"/>
          <w:marBottom w:val="0"/>
          <w:divBdr>
            <w:top w:val="none" w:sz="0" w:space="0" w:color="auto"/>
            <w:left w:val="none" w:sz="0" w:space="0" w:color="auto"/>
            <w:bottom w:val="none" w:sz="0" w:space="0" w:color="auto"/>
            <w:right w:val="none" w:sz="0" w:space="0" w:color="auto"/>
          </w:divBdr>
          <w:divsChild>
            <w:div w:id="509683972">
              <w:marLeft w:val="0"/>
              <w:marRight w:val="0"/>
              <w:marTop w:val="0"/>
              <w:marBottom w:val="0"/>
              <w:divBdr>
                <w:top w:val="none" w:sz="0" w:space="0" w:color="auto"/>
                <w:left w:val="none" w:sz="0" w:space="0" w:color="auto"/>
                <w:bottom w:val="none" w:sz="0" w:space="0" w:color="auto"/>
                <w:right w:val="none" w:sz="0" w:space="0" w:color="auto"/>
              </w:divBdr>
            </w:div>
          </w:divsChild>
        </w:div>
        <w:div w:id="668220198">
          <w:marLeft w:val="0"/>
          <w:marRight w:val="0"/>
          <w:marTop w:val="0"/>
          <w:marBottom w:val="0"/>
          <w:divBdr>
            <w:top w:val="none" w:sz="0" w:space="0" w:color="auto"/>
            <w:left w:val="none" w:sz="0" w:space="0" w:color="auto"/>
            <w:bottom w:val="none" w:sz="0" w:space="0" w:color="auto"/>
            <w:right w:val="none" w:sz="0" w:space="0" w:color="auto"/>
          </w:divBdr>
          <w:divsChild>
            <w:div w:id="1256203821">
              <w:marLeft w:val="0"/>
              <w:marRight w:val="0"/>
              <w:marTop w:val="0"/>
              <w:marBottom w:val="0"/>
              <w:divBdr>
                <w:top w:val="none" w:sz="0" w:space="0" w:color="auto"/>
                <w:left w:val="none" w:sz="0" w:space="0" w:color="auto"/>
                <w:bottom w:val="none" w:sz="0" w:space="0" w:color="auto"/>
                <w:right w:val="none" w:sz="0" w:space="0" w:color="auto"/>
              </w:divBdr>
            </w:div>
            <w:div w:id="224990271">
              <w:marLeft w:val="0"/>
              <w:marRight w:val="0"/>
              <w:marTop w:val="0"/>
              <w:marBottom w:val="0"/>
              <w:divBdr>
                <w:top w:val="none" w:sz="0" w:space="0" w:color="auto"/>
                <w:left w:val="none" w:sz="0" w:space="0" w:color="auto"/>
                <w:bottom w:val="none" w:sz="0" w:space="0" w:color="auto"/>
                <w:right w:val="none" w:sz="0" w:space="0" w:color="auto"/>
              </w:divBdr>
            </w:div>
            <w:div w:id="1326588895">
              <w:marLeft w:val="0"/>
              <w:marRight w:val="0"/>
              <w:marTop w:val="0"/>
              <w:marBottom w:val="0"/>
              <w:divBdr>
                <w:top w:val="none" w:sz="0" w:space="0" w:color="auto"/>
                <w:left w:val="none" w:sz="0" w:space="0" w:color="auto"/>
                <w:bottom w:val="none" w:sz="0" w:space="0" w:color="auto"/>
                <w:right w:val="none" w:sz="0" w:space="0" w:color="auto"/>
              </w:divBdr>
            </w:div>
          </w:divsChild>
        </w:div>
        <w:div w:id="842430639">
          <w:marLeft w:val="0"/>
          <w:marRight w:val="0"/>
          <w:marTop w:val="0"/>
          <w:marBottom w:val="0"/>
          <w:divBdr>
            <w:top w:val="none" w:sz="0" w:space="0" w:color="auto"/>
            <w:left w:val="none" w:sz="0" w:space="0" w:color="auto"/>
            <w:bottom w:val="none" w:sz="0" w:space="0" w:color="auto"/>
            <w:right w:val="none" w:sz="0" w:space="0" w:color="auto"/>
          </w:divBdr>
          <w:divsChild>
            <w:div w:id="978535610">
              <w:marLeft w:val="0"/>
              <w:marRight w:val="0"/>
              <w:marTop w:val="0"/>
              <w:marBottom w:val="0"/>
              <w:divBdr>
                <w:top w:val="none" w:sz="0" w:space="0" w:color="auto"/>
                <w:left w:val="none" w:sz="0" w:space="0" w:color="auto"/>
                <w:bottom w:val="none" w:sz="0" w:space="0" w:color="auto"/>
                <w:right w:val="none" w:sz="0" w:space="0" w:color="auto"/>
              </w:divBdr>
            </w:div>
            <w:div w:id="894661908">
              <w:marLeft w:val="0"/>
              <w:marRight w:val="0"/>
              <w:marTop w:val="0"/>
              <w:marBottom w:val="0"/>
              <w:divBdr>
                <w:top w:val="none" w:sz="0" w:space="0" w:color="auto"/>
                <w:left w:val="none" w:sz="0" w:space="0" w:color="auto"/>
                <w:bottom w:val="none" w:sz="0" w:space="0" w:color="auto"/>
                <w:right w:val="none" w:sz="0" w:space="0" w:color="auto"/>
              </w:divBdr>
            </w:div>
            <w:div w:id="758065676">
              <w:marLeft w:val="0"/>
              <w:marRight w:val="0"/>
              <w:marTop w:val="0"/>
              <w:marBottom w:val="0"/>
              <w:divBdr>
                <w:top w:val="none" w:sz="0" w:space="0" w:color="auto"/>
                <w:left w:val="none" w:sz="0" w:space="0" w:color="auto"/>
                <w:bottom w:val="none" w:sz="0" w:space="0" w:color="auto"/>
                <w:right w:val="none" w:sz="0" w:space="0" w:color="auto"/>
              </w:divBdr>
            </w:div>
          </w:divsChild>
        </w:div>
        <w:div w:id="1860967349">
          <w:marLeft w:val="0"/>
          <w:marRight w:val="0"/>
          <w:marTop w:val="0"/>
          <w:marBottom w:val="0"/>
          <w:divBdr>
            <w:top w:val="none" w:sz="0" w:space="0" w:color="auto"/>
            <w:left w:val="none" w:sz="0" w:space="0" w:color="auto"/>
            <w:bottom w:val="none" w:sz="0" w:space="0" w:color="auto"/>
            <w:right w:val="none" w:sz="0" w:space="0" w:color="auto"/>
          </w:divBdr>
        </w:div>
        <w:div w:id="56444554">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061246271">
      <w:bodyDiv w:val="1"/>
      <w:marLeft w:val="0"/>
      <w:marRight w:val="0"/>
      <w:marTop w:val="0"/>
      <w:marBottom w:val="0"/>
      <w:divBdr>
        <w:top w:val="none" w:sz="0" w:space="0" w:color="auto"/>
        <w:left w:val="none" w:sz="0" w:space="0" w:color="auto"/>
        <w:bottom w:val="none" w:sz="0" w:space="0" w:color="auto"/>
        <w:right w:val="none" w:sz="0" w:space="0" w:color="auto"/>
      </w:divBdr>
      <w:divsChild>
        <w:div w:id="1279142233">
          <w:marLeft w:val="0"/>
          <w:marRight w:val="0"/>
          <w:marTop w:val="0"/>
          <w:marBottom w:val="0"/>
          <w:divBdr>
            <w:top w:val="none" w:sz="0" w:space="0" w:color="auto"/>
            <w:left w:val="none" w:sz="0" w:space="0" w:color="auto"/>
            <w:bottom w:val="none" w:sz="0" w:space="0" w:color="auto"/>
            <w:right w:val="none" w:sz="0" w:space="0" w:color="auto"/>
          </w:divBdr>
          <w:divsChild>
            <w:div w:id="1043596637">
              <w:marLeft w:val="0"/>
              <w:marRight w:val="0"/>
              <w:marTop w:val="0"/>
              <w:marBottom w:val="0"/>
              <w:divBdr>
                <w:top w:val="none" w:sz="0" w:space="0" w:color="auto"/>
                <w:left w:val="none" w:sz="0" w:space="0" w:color="auto"/>
                <w:bottom w:val="none" w:sz="0" w:space="0" w:color="auto"/>
                <w:right w:val="none" w:sz="0" w:space="0" w:color="auto"/>
              </w:divBdr>
            </w:div>
          </w:divsChild>
        </w:div>
        <w:div w:id="1434789766">
          <w:marLeft w:val="0"/>
          <w:marRight w:val="0"/>
          <w:marTop w:val="0"/>
          <w:marBottom w:val="0"/>
          <w:divBdr>
            <w:top w:val="none" w:sz="0" w:space="0" w:color="auto"/>
            <w:left w:val="none" w:sz="0" w:space="0" w:color="auto"/>
            <w:bottom w:val="none" w:sz="0" w:space="0" w:color="auto"/>
            <w:right w:val="none" w:sz="0" w:space="0" w:color="auto"/>
          </w:divBdr>
          <w:divsChild>
            <w:div w:id="1527526037">
              <w:marLeft w:val="0"/>
              <w:marRight w:val="0"/>
              <w:marTop w:val="0"/>
              <w:marBottom w:val="0"/>
              <w:divBdr>
                <w:top w:val="none" w:sz="0" w:space="0" w:color="auto"/>
                <w:left w:val="none" w:sz="0" w:space="0" w:color="auto"/>
                <w:bottom w:val="none" w:sz="0" w:space="0" w:color="auto"/>
                <w:right w:val="none" w:sz="0" w:space="0" w:color="auto"/>
              </w:divBdr>
            </w:div>
            <w:div w:id="385298232">
              <w:marLeft w:val="0"/>
              <w:marRight w:val="0"/>
              <w:marTop w:val="0"/>
              <w:marBottom w:val="0"/>
              <w:divBdr>
                <w:top w:val="none" w:sz="0" w:space="0" w:color="auto"/>
                <w:left w:val="none" w:sz="0" w:space="0" w:color="auto"/>
                <w:bottom w:val="none" w:sz="0" w:space="0" w:color="auto"/>
                <w:right w:val="none" w:sz="0" w:space="0" w:color="auto"/>
              </w:divBdr>
            </w:div>
            <w:div w:id="339279901">
              <w:marLeft w:val="0"/>
              <w:marRight w:val="0"/>
              <w:marTop w:val="0"/>
              <w:marBottom w:val="0"/>
              <w:divBdr>
                <w:top w:val="none" w:sz="0" w:space="0" w:color="auto"/>
                <w:left w:val="none" w:sz="0" w:space="0" w:color="auto"/>
                <w:bottom w:val="none" w:sz="0" w:space="0" w:color="auto"/>
                <w:right w:val="none" w:sz="0" w:space="0" w:color="auto"/>
              </w:divBdr>
            </w:div>
          </w:divsChild>
        </w:div>
        <w:div w:id="1978337372">
          <w:marLeft w:val="0"/>
          <w:marRight w:val="0"/>
          <w:marTop w:val="0"/>
          <w:marBottom w:val="0"/>
          <w:divBdr>
            <w:top w:val="none" w:sz="0" w:space="0" w:color="auto"/>
            <w:left w:val="none" w:sz="0" w:space="0" w:color="auto"/>
            <w:bottom w:val="none" w:sz="0" w:space="0" w:color="auto"/>
            <w:right w:val="none" w:sz="0" w:space="0" w:color="auto"/>
          </w:divBdr>
          <w:divsChild>
            <w:div w:id="1504390721">
              <w:marLeft w:val="0"/>
              <w:marRight w:val="0"/>
              <w:marTop w:val="0"/>
              <w:marBottom w:val="0"/>
              <w:divBdr>
                <w:top w:val="none" w:sz="0" w:space="0" w:color="auto"/>
                <w:left w:val="none" w:sz="0" w:space="0" w:color="auto"/>
                <w:bottom w:val="none" w:sz="0" w:space="0" w:color="auto"/>
                <w:right w:val="none" w:sz="0" w:space="0" w:color="auto"/>
              </w:divBdr>
            </w:div>
            <w:div w:id="2139372512">
              <w:marLeft w:val="0"/>
              <w:marRight w:val="0"/>
              <w:marTop w:val="0"/>
              <w:marBottom w:val="0"/>
              <w:divBdr>
                <w:top w:val="none" w:sz="0" w:space="0" w:color="auto"/>
                <w:left w:val="none" w:sz="0" w:space="0" w:color="auto"/>
                <w:bottom w:val="none" w:sz="0" w:space="0" w:color="auto"/>
                <w:right w:val="none" w:sz="0" w:space="0" w:color="auto"/>
              </w:divBdr>
            </w:div>
            <w:div w:id="604268094">
              <w:marLeft w:val="0"/>
              <w:marRight w:val="0"/>
              <w:marTop w:val="0"/>
              <w:marBottom w:val="0"/>
              <w:divBdr>
                <w:top w:val="none" w:sz="0" w:space="0" w:color="auto"/>
                <w:left w:val="none" w:sz="0" w:space="0" w:color="auto"/>
                <w:bottom w:val="none" w:sz="0" w:space="0" w:color="auto"/>
                <w:right w:val="none" w:sz="0" w:space="0" w:color="auto"/>
              </w:divBdr>
            </w:div>
          </w:divsChild>
        </w:div>
        <w:div w:id="1047415383">
          <w:marLeft w:val="0"/>
          <w:marRight w:val="0"/>
          <w:marTop w:val="0"/>
          <w:marBottom w:val="0"/>
          <w:divBdr>
            <w:top w:val="none" w:sz="0" w:space="0" w:color="auto"/>
            <w:left w:val="none" w:sz="0" w:space="0" w:color="auto"/>
            <w:bottom w:val="none" w:sz="0" w:space="0" w:color="auto"/>
            <w:right w:val="none" w:sz="0" w:space="0" w:color="auto"/>
          </w:divBdr>
        </w:div>
        <w:div w:id="128860813">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19491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B8DE8-DF75-4CC9-B33E-730E2E157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4097</Words>
  <Characters>22535</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47</cp:revision>
  <cp:lastPrinted>2021-10-04T20:24:00Z</cp:lastPrinted>
  <dcterms:created xsi:type="dcterms:W3CDTF">2021-10-04T17:38:00Z</dcterms:created>
  <dcterms:modified xsi:type="dcterms:W3CDTF">2022-02-03T19:24:00Z</dcterms:modified>
</cp:coreProperties>
</file>