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09" w:type="dxa"/>
        <w:tblInd w:w="-781" w:type="dxa"/>
        <w:tblLayout w:type="fixed"/>
        <w:tblCellMar>
          <w:left w:w="70" w:type="dxa"/>
          <w:right w:w="70" w:type="dxa"/>
        </w:tblCellMar>
        <w:tblLook w:val="0000" w:firstRow="0" w:lastRow="0" w:firstColumn="0" w:lastColumn="0" w:noHBand="0" w:noVBand="0"/>
      </w:tblPr>
      <w:tblGrid>
        <w:gridCol w:w="2218"/>
        <w:gridCol w:w="6991"/>
      </w:tblGrid>
      <w:tr w:rsidR="003778E0" w:rsidRPr="005D33E2" w:rsidTr="005D33E2">
        <w:trPr>
          <w:trHeight w:val="3006"/>
        </w:trPr>
        <w:tc>
          <w:tcPr>
            <w:tcW w:w="2218" w:type="dxa"/>
          </w:tcPr>
          <w:p w:rsidR="003778E0" w:rsidRPr="005D33E2" w:rsidRDefault="003778E0" w:rsidP="003778E0">
            <w:pPr>
              <w:spacing w:after="0" w:line="240" w:lineRule="auto"/>
              <w:rPr>
                <w:rFonts w:ascii="Arial" w:hAnsi="Arial" w:cs="Arial"/>
                <w:b/>
                <w:sz w:val="26"/>
                <w:szCs w:val="26"/>
              </w:rPr>
            </w:pPr>
            <w:bookmarkStart w:id="0" w:name="_GoBack"/>
            <w:r w:rsidRPr="005D33E2">
              <w:rPr>
                <w:rFonts w:ascii="Arial" w:hAnsi="Arial" w:cs="Arial"/>
                <w:b/>
                <w:sz w:val="26"/>
                <w:szCs w:val="26"/>
              </w:rPr>
              <w:t xml:space="preserve">     </w:t>
            </w:r>
          </w:p>
        </w:tc>
        <w:tc>
          <w:tcPr>
            <w:tcW w:w="6991" w:type="dxa"/>
          </w:tcPr>
          <w:p w:rsidR="003778E0" w:rsidRPr="005D33E2" w:rsidRDefault="003778E0" w:rsidP="005D33E2">
            <w:pPr>
              <w:tabs>
                <w:tab w:val="left" w:pos="3103"/>
              </w:tabs>
              <w:spacing w:after="0" w:line="240" w:lineRule="auto"/>
              <w:ind w:left="1686"/>
              <w:jc w:val="both"/>
              <w:rPr>
                <w:rFonts w:ascii="Arial" w:hAnsi="Arial" w:cs="Arial"/>
                <w:b/>
                <w:i/>
                <w:iCs/>
                <w:caps/>
                <w:sz w:val="26"/>
                <w:szCs w:val="26"/>
              </w:rPr>
            </w:pPr>
            <w:r w:rsidRPr="005D33E2">
              <w:rPr>
                <w:rFonts w:ascii="Arial" w:hAnsi="Arial" w:cs="Arial"/>
                <w:b/>
                <w:i/>
                <w:iCs/>
                <w:caps/>
                <w:sz w:val="26"/>
                <w:szCs w:val="26"/>
              </w:rPr>
              <w:t xml:space="preserve">                       </w:t>
            </w:r>
          </w:p>
          <w:p w:rsidR="003778E0" w:rsidRPr="005D33E2" w:rsidRDefault="003778E0" w:rsidP="005D33E2">
            <w:pPr>
              <w:tabs>
                <w:tab w:val="left" w:pos="3103"/>
              </w:tabs>
              <w:spacing w:after="0" w:line="240" w:lineRule="auto"/>
              <w:ind w:left="1686"/>
              <w:jc w:val="both"/>
              <w:rPr>
                <w:rFonts w:ascii="Arial" w:hAnsi="Arial" w:cs="Arial"/>
                <w:b/>
                <w:iCs/>
                <w:caps/>
                <w:sz w:val="26"/>
                <w:szCs w:val="26"/>
              </w:rPr>
            </w:pPr>
            <w:r w:rsidRPr="005D33E2">
              <w:rPr>
                <w:rFonts w:ascii="Arial" w:hAnsi="Arial" w:cs="Arial"/>
                <w:b/>
                <w:iCs/>
                <w:caps/>
                <w:sz w:val="26"/>
                <w:szCs w:val="26"/>
              </w:rPr>
              <w:t>SALA SUPERIOR DEL TRIBUNAL DE JUSTICIA ADMINISTRATIVA DEL ESTADO DE OAXACA.</w:t>
            </w:r>
          </w:p>
          <w:p w:rsidR="003778E0" w:rsidRPr="005D33E2" w:rsidRDefault="003778E0" w:rsidP="005D33E2">
            <w:pPr>
              <w:pStyle w:val="Encabezado"/>
              <w:tabs>
                <w:tab w:val="clear" w:pos="4252"/>
              </w:tabs>
              <w:ind w:left="1686" w:right="51"/>
              <w:jc w:val="both"/>
              <w:rPr>
                <w:rFonts w:ascii="Arial" w:hAnsi="Arial" w:cs="Arial"/>
                <w:b/>
                <w:iCs/>
                <w:caps/>
                <w:sz w:val="26"/>
                <w:szCs w:val="26"/>
                <w:lang w:val="es-PE"/>
              </w:rPr>
            </w:pPr>
            <w:r w:rsidRPr="005D33E2">
              <w:rPr>
                <w:rFonts w:ascii="Arial" w:hAnsi="Arial" w:cs="Arial"/>
                <w:b/>
                <w:iCs/>
                <w:caps/>
                <w:sz w:val="26"/>
                <w:szCs w:val="26"/>
                <w:lang w:val="es-PE"/>
              </w:rPr>
              <w:t xml:space="preserve">               </w:t>
            </w:r>
          </w:p>
          <w:p w:rsidR="003778E0" w:rsidRPr="005D33E2" w:rsidRDefault="003778E0" w:rsidP="00327AD8">
            <w:pPr>
              <w:pStyle w:val="Encabezado"/>
              <w:tabs>
                <w:tab w:val="clear" w:pos="4252"/>
                <w:tab w:val="left" w:pos="4907"/>
              </w:tabs>
              <w:ind w:left="1686" w:right="51"/>
              <w:jc w:val="both"/>
              <w:rPr>
                <w:rFonts w:ascii="Arial" w:hAnsi="Arial" w:cs="Arial"/>
                <w:b/>
                <w:iCs/>
                <w:caps/>
                <w:sz w:val="26"/>
                <w:szCs w:val="26"/>
                <w:lang w:val="es-PE"/>
              </w:rPr>
            </w:pPr>
            <w:r w:rsidRPr="005D33E2">
              <w:rPr>
                <w:rFonts w:ascii="Arial" w:hAnsi="Arial" w:cs="Arial"/>
                <w:b/>
                <w:iCs/>
                <w:caps/>
                <w:sz w:val="26"/>
                <w:szCs w:val="26"/>
                <w:lang w:val="es-PE"/>
              </w:rPr>
              <w:t xml:space="preserve">RECURSO DE REVISIÓN:   0225/2018 </w:t>
            </w:r>
          </w:p>
          <w:p w:rsidR="003778E0" w:rsidRPr="005D33E2" w:rsidRDefault="003778E0" w:rsidP="005D33E2">
            <w:pPr>
              <w:pStyle w:val="Encabezado"/>
              <w:tabs>
                <w:tab w:val="clear" w:pos="4252"/>
              </w:tabs>
              <w:ind w:left="1686" w:right="51"/>
              <w:jc w:val="both"/>
              <w:rPr>
                <w:rFonts w:ascii="Arial" w:hAnsi="Arial" w:cs="Arial"/>
                <w:b/>
                <w:iCs/>
                <w:caps/>
                <w:sz w:val="26"/>
                <w:szCs w:val="26"/>
                <w:lang w:val="es-PE"/>
              </w:rPr>
            </w:pPr>
          </w:p>
          <w:p w:rsidR="003778E0" w:rsidRPr="005D33E2" w:rsidRDefault="003778E0" w:rsidP="005D33E2">
            <w:pPr>
              <w:pStyle w:val="Encabezado"/>
              <w:tabs>
                <w:tab w:val="clear" w:pos="4252"/>
              </w:tabs>
              <w:ind w:left="1686" w:right="51"/>
              <w:jc w:val="both"/>
              <w:rPr>
                <w:rFonts w:ascii="Arial" w:hAnsi="Arial" w:cs="Arial"/>
                <w:b/>
                <w:iCs/>
                <w:caps/>
                <w:sz w:val="26"/>
                <w:szCs w:val="26"/>
                <w:lang w:val="es-PE"/>
              </w:rPr>
            </w:pPr>
            <w:r w:rsidRPr="005D33E2">
              <w:rPr>
                <w:rFonts w:ascii="Arial" w:hAnsi="Arial" w:cs="Arial"/>
                <w:b/>
                <w:iCs/>
                <w:caps/>
                <w:sz w:val="26"/>
                <w:szCs w:val="26"/>
                <w:lang w:val="es-PE"/>
              </w:rPr>
              <w:t>EXPEDIENTE: 0034/2017 DE LA SEPTIMA SALA UNITARIA DE PRIMERA INSTANCIA</w:t>
            </w:r>
          </w:p>
          <w:p w:rsidR="003778E0" w:rsidRPr="005D33E2" w:rsidRDefault="003778E0" w:rsidP="005D33E2">
            <w:pPr>
              <w:pStyle w:val="Encabezado"/>
              <w:tabs>
                <w:tab w:val="clear" w:pos="4252"/>
              </w:tabs>
              <w:ind w:left="1686" w:right="51"/>
              <w:jc w:val="both"/>
              <w:rPr>
                <w:rFonts w:ascii="Arial" w:hAnsi="Arial" w:cs="Arial"/>
                <w:b/>
                <w:iCs/>
                <w:caps/>
                <w:sz w:val="26"/>
                <w:szCs w:val="26"/>
                <w:lang w:val="es-PE"/>
              </w:rPr>
            </w:pPr>
            <w:r w:rsidRPr="005D33E2">
              <w:rPr>
                <w:rFonts w:ascii="Arial" w:hAnsi="Arial" w:cs="Arial"/>
                <w:b/>
                <w:iCs/>
                <w:caps/>
                <w:sz w:val="26"/>
                <w:szCs w:val="26"/>
                <w:lang w:val="es-PE"/>
              </w:rPr>
              <w:t xml:space="preserve">       </w:t>
            </w:r>
          </w:p>
          <w:p w:rsidR="003778E0" w:rsidRPr="005D33E2" w:rsidRDefault="003778E0" w:rsidP="005D33E2">
            <w:pPr>
              <w:pStyle w:val="Encabezado"/>
              <w:tabs>
                <w:tab w:val="clear" w:pos="4252"/>
              </w:tabs>
              <w:ind w:left="1686" w:right="51"/>
              <w:jc w:val="both"/>
              <w:rPr>
                <w:rFonts w:ascii="Arial" w:hAnsi="Arial" w:cs="Arial"/>
                <w:b/>
                <w:iCs/>
                <w:caps/>
                <w:sz w:val="26"/>
                <w:szCs w:val="26"/>
                <w:lang w:val="es-PE"/>
              </w:rPr>
            </w:pPr>
            <w:r w:rsidRPr="005D33E2">
              <w:rPr>
                <w:rFonts w:ascii="Arial" w:hAnsi="Arial" w:cs="Arial"/>
                <w:b/>
                <w:iCs/>
                <w:caps/>
                <w:sz w:val="26"/>
                <w:szCs w:val="26"/>
                <w:lang w:val="es-PE"/>
              </w:rPr>
              <w:t>magistrado ponente: HUGO VILLEGAS AQUINO</w:t>
            </w:r>
          </w:p>
        </w:tc>
      </w:tr>
      <w:bookmarkEnd w:id="0"/>
      <w:tr w:rsidR="003778E0" w:rsidRPr="005D33E2" w:rsidTr="005D33E2">
        <w:trPr>
          <w:trHeight w:val="269"/>
        </w:trPr>
        <w:tc>
          <w:tcPr>
            <w:tcW w:w="2218" w:type="dxa"/>
          </w:tcPr>
          <w:p w:rsidR="003778E0" w:rsidRPr="005D33E2" w:rsidRDefault="003778E0" w:rsidP="003778E0">
            <w:pPr>
              <w:spacing w:after="0" w:line="240" w:lineRule="auto"/>
              <w:rPr>
                <w:rFonts w:ascii="Arial" w:hAnsi="Arial" w:cs="Arial"/>
                <w:b/>
                <w:sz w:val="26"/>
                <w:szCs w:val="26"/>
              </w:rPr>
            </w:pPr>
          </w:p>
        </w:tc>
        <w:tc>
          <w:tcPr>
            <w:tcW w:w="6991" w:type="dxa"/>
          </w:tcPr>
          <w:p w:rsidR="003778E0" w:rsidRPr="005D33E2" w:rsidRDefault="003778E0" w:rsidP="003778E0">
            <w:pPr>
              <w:tabs>
                <w:tab w:val="left" w:pos="3103"/>
              </w:tabs>
              <w:spacing w:after="0" w:line="240" w:lineRule="auto"/>
              <w:ind w:left="2678" w:hanging="2961"/>
              <w:jc w:val="both"/>
              <w:rPr>
                <w:rFonts w:ascii="Arial" w:hAnsi="Arial" w:cs="Arial"/>
                <w:b/>
                <w:iCs/>
                <w:caps/>
                <w:sz w:val="26"/>
                <w:szCs w:val="26"/>
              </w:rPr>
            </w:pPr>
            <w:r w:rsidRPr="005D33E2">
              <w:rPr>
                <w:rFonts w:ascii="Arial" w:hAnsi="Arial" w:cs="Arial"/>
                <w:b/>
                <w:i/>
                <w:iCs/>
                <w:caps/>
                <w:sz w:val="26"/>
                <w:szCs w:val="26"/>
              </w:rPr>
              <w:t xml:space="preserve">                                          </w:t>
            </w:r>
          </w:p>
        </w:tc>
      </w:tr>
      <w:tr w:rsidR="003778E0" w:rsidRPr="005D33E2" w:rsidTr="005D33E2">
        <w:trPr>
          <w:trHeight w:val="269"/>
        </w:trPr>
        <w:tc>
          <w:tcPr>
            <w:tcW w:w="2218" w:type="dxa"/>
          </w:tcPr>
          <w:p w:rsidR="003778E0" w:rsidRPr="005D33E2" w:rsidRDefault="003778E0" w:rsidP="003778E0">
            <w:pPr>
              <w:spacing w:after="0" w:line="240" w:lineRule="auto"/>
              <w:rPr>
                <w:rFonts w:ascii="Arial" w:hAnsi="Arial" w:cs="Arial"/>
                <w:b/>
                <w:sz w:val="26"/>
                <w:szCs w:val="26"/>
              </w:rPr>
            </w:pPr>
          </w:p>
        </w:tc>
        <w:tc>
          <w:tcPr>
            <w:tcW w:w="6991" w:type="dxa"/>
          </w:tcPr>
          <w:p w:rsidR="003778E0" w:rsidRPr="005D33E2" w:rsidRDefault="003778E0" w:rsidP="003778E0">
            <w:pPr>
              <w:tabs>
                <w:tab w:val="left" w:pos="3103"/>
              </w:tabs>
              <w:spacing w:after="0" w:line="240" w:lineRule="auto"/>
              <w:ind w:left="2961" w:hanging="2961"/>
              <w:jc w:val="both"/>
              <w:rPr>
                <w:rFonts w:ascii="Arial" w:hAnsi="Arial" w:cs="Arial"/>
                <w:b/>
                <w:i/>
                <w:iCs/>
                <w:caps/>
                <w:sz w:val="26"/>
                <w:szCs w:val="26"/>
              </w:rPr>
            </w:pPr>
          </w:p>
        </w:tc>
      </w:tr>
    </w:tbl>
    <w:p w:rsidR="005D33E2" w:rsidRPr="005D33E2" w:rsidRDefault="003778E0" w:rsidP="005D33E2">
      <w:pPr>
        <w:spacing w:line="360" w:lineRule="auto"/>
        <w:jc w:val="both"/>
        <w:rPr>
          <w:rFonts w:ascii="Arial" w:hAnsi="Arial" w:cs="Arial"/>
          <w:b/>
          <w:sz w:val="26"/>
          <w:szCs w:val="26"/>
          <w:lang w:val="es-MX"/>
        </w:rPr>
      </w:pPr>
      <w:r w:rsidRPr="005D33E2">
        <w:rPr>
          <w:rFonts w:ascii="Arial" w:hAnsi="Arial" w:cs="Arial"/>
          <w:b/>
          <w:sz w:val="26"/>
          <w:szCs w:val="26"/>
          <w:lang w:val="es-MX"/>
        </w:rPr>
        <w:t xml:space="preserve">OAXACA DE JUÁREZ, OAXACA, </w:t>
      </w:r>
      <w:r w:rsidR="005D33E2" w:rsidRPr="005D33E2">
        <w:rPr>
          <w:rFonts w:ascii="Arial" w:hAnsi="Arial" w:cs="Arial"/>
          <w:b/>
          <w:sz w:val="26"/>
          <w:szCs w:val="26"/>
          <w:lang w:val="es-MX"/>
        </w:rPr>
        <w:t xml:space="preserve">VEINTE </w:t>
      </w:r>
      <w:r w:rsidR="00194C5F" w:rsidRPr="005D33E2">
        <w:rPr>
          <w:rFonts w:ascii="Arial" w:hAnsi="Arial" w:cs="Arial"/>
          <w:b/>
          <w:sz w:val="26"/>
          <w:szCs w:val="26"/>
          <w:lang w:val="es-MX"/>
        </w:rPr>
        <w:t xml:space="preserve">DE SEPTIEMBRE </w:t>
      </w:r>
      <w:r w:rsidR="005D33E2" w:rsidRPr="005D33E2">
        <w:rPr>
          <w:rFonts w:ascii="Arial" w:hAnsi="Arial" w:cs="Arial"/>
          <w:b/>
          <w:sz w:val="26"/>
          <w:szCs w:val="26"/>
          <w:lang w:val="es-MX"/>
        </w:rPr>
        <w:t>DE</w:t>
      </w:r>
      <w:r w:rsidRPr="005D33E2">
        <w:rPr>
          <w:rFonts w:ascii="Arial" w:hAnsi="Arial" w:cs="Arial"/>
          <w:b/>
          <w:sz w:val="26"/>
          <w:szCs w:val="26"/>
          <w:lang w:val="es-MX"/>
        </w:rPr>
        <w:t xml:space="preserve"> DOS MIL DIECIOCHO.</w:t>
      </w:r>
      <w:r w:rsidR="005D33E2" w:rsidRPr="005D33E2">
        <w:rPr>
          <w:rFonts w:ascii="Arial" w:hAnsi="Arial" w:cs="Arial"/>
          <w:b/>
          <w:sz w:val="26"/>
          <w:szCs w:val="26"/>
          <w:lang w:val="es-MX"/>
        </w:rPr>
        <w:t xml:space="preserve"> </w:t>
      </w:r>
    </w:p>
    <w:p w:rsidR="003778E0" w:rsidRPr="005D33E2" w:rsidRDefault="003778E0" w:rsidP="005D33E2">
      <w:pPr>
        <w:spacing w:line="360" w:lineRule="auto"/>
        <w:ind w:firstLine="708"/>
        <w:jc w:val="both"/>
        <w:rPr>
          <w:rFonts w:ascii="Arial" w:hAnsi="Arial" w:cs="Arial"/>
          <w:sz w:val="26"/>
          <w:szCs w:val="26"/>
          <w:lang w:val="es-MX"/>
        </w:rPr>
      </w:pPr>
      <w:r w:rsidRPr="005D33E2">
        <w:rPr>
          <w:rFonts w:ascii="Arial" w:hAnsi="Arial" w:cs="Arial"/>
          <w:sz w:val="26"/>
          <w:szCs w:val="26"/>
          <w:lang w:val="es-MX"/>
        </w:rPr>
        <w:t xml:space="preserve">Por recibido el Cuaderno de Revisión </w:t>
      </w:r>
      <w:r w:rsidRPr="005D33E2">
        <w:rPr>
          <w:rFonts w:ascii="Arial" w:hAnsi="Arial" w:cs="Arial"/>
          <w:b/>
          <w:sz w:val="26"/>
          <w:szCs w:val="26"/>
          <w:lang w:val="es-MX"/>
        </w:rPr>
        <w:t>0225/2018,</w:t>
      </w:r>
      <w:r w:rsidRPr="005D33E2">
        <w:rPr>
          <w:rFonts w:ascii="Arial" w:hAnsi="Arial" w:cs="Arial"/>
          <w:sz w:val="26"/>
          <w:szCs w:val="26"/>
          <w:lang w:val="es-MX"/>
        </w:rPr>
        <w:t xml:space="preserve"> que remite la Secretaría General de Acuerdos, con motivo del recurso de revisión interpuesto por </w:t>
      </w:r>
      <w:r w:rsidR="00194C5F" w:rsidRPr="005D33E2">
        <w:rPr>
          <w:rFonts w:ascii="Arial" w:hAnsi="Arial" w:cs="Arial"/>
          <w:b/>
          <w:sz w:val="26"/>
          <w:szCs w:val="26"/>
          <w:lang w:val="es-MX"/>
        </w:rPr>
        <w:t xml:space="preserve">JAZMÍN AURORA QUINTERO DE PABLO </w:t>
      </w:r>
      <w:r w:rsidR="00194C5F" w:rsidRPr="005D33E2">
        <w:rPr>
          <w:rFonts w:ascii="Arial" w:hAnsi="Arial" w:cs="Arial"/>
          <w:sz w:val="26"/>
          <w:szCs w:val="26"/>
          <w:lang w:val="es-MX"/>
        </w:rPr>
        <w:t xml:space="preserve">como </w:t>
      </w:r>
      <w:r w:rsidRPr="005D33E2">
        <w:rPr>
          <w:rFonts w:ascii="Arial" w:hAnsi="Arial" w:cs="Arial"/>
          <w:sz w:val="26"/>
          <w:szCs w:val="26"/>
          <w:lang w:val="es-MX"/>
        </w:rPr>
        <w:t xml:space="preserve"> </w:t>
      </w:r>
      <w:r w:rsidRPr="005D33E2">
        <w:rPr>
          <w:rFonts w:ascii="Arial" w:hAnsi="Arial" w:cs="Arial"/>
          <w:b/>
          <w:sz w:val="26"/>
          <w:szCs w:val="26"/>
          <w:lang w:val="es-MX"/>
        </w:rPr>
        <w:t>TESORERA MUNICIPAL DE OAXACA DE JUÁREZ, OAXACA</w:t>
      </w:r>
      <w:r w:rsidR="00194C5F" w:rsidRPr="005D33E2">
        <w:rPr>
          <w:rFonts w:ascii="Arial" w:hAnsi="Arial" w:cs="Arial"/>
          <w:b/>
          <w:sz w:val="26"/>
          <w:szCs w:val="26"/>
          <w:lang w:val="es-MX"/>
        </w:rPr>
        <w:t xml:space="preserve"> </w:t>
      </w:r>
      <w:r w:rsidR="00194C5F" w:rsidRPr="005D33E2">
        <w:rPr>
          <w:rFonts w:ascii="Arial" w:hAnsi="Arial" w:cs="Arial"/>
          <w:sz w:val="26"/>
          <w:szCs w:val="26"/>
          <w:lang w:val="es-MX"/>
        </w:rPr>
        <w:t xml:space="preserve">y en su calidad de demandada, personalidad que acredita con la copia debidamente certificada del documento relativo a su nombramiento y la protesta de Ley al cargo que ostenta, en términos del artículo 120 de la Ley de Justicia Administrativa para el Estado de Oaxaca; </w:t>
      </w:r>
      <w:r w:rsidRPr="005D33E2">
        <w:rPr>
          <w:rFonts w:ascii="Arial" w:hAnsi="Arial" w:cs="Arial"/>
          <w:sz w:val="26"/>
          <w:szCs w:val="26"/>
          <w:lang w:val="es-MX"/>
        </w:rPr>
        <w:t>en contra la sentencia de cuatro de mayo de dos mil dieciocho, dictada por la Séptima Sala Unitaria del Tribunal de Justicia Administrativa del Estado de Oaxaca</w:t>
      </w:r>
      <w:r w:rsidR="005D33E2" w:rsidRPr="005D33E2">
        <w:rPr>
          <w:rFonts w:ascii="Arial" w:hAnsi="Arial" w:cs="Arial"/>
          <w:sz w:val="26"/>
          <w:szCs w:val="26"/>
          <w:lang w:val="es-MX"/>
        </w:rPr>
        <w:t>,</w:t>
      </w:r>
      <w:r w:rsidRPr="005D33E2">
        <w:rPr>
          <w:rFonts w:ascii="Arial" w:hAnsi="Arial" w:cs="Arial"/>
          <w:sz w:val="26"/>
          <w:szCs w:val="26"/>
          <w:lang w:val="es-MX"/>
        </w:rPr>
        <w:t xml:space="preserve"> en el expediente </w:t>
      </w:r>
      <w:r w:rsidRPr="005D33E2">
        <w:rPr>
          <w:rFonts w:ascii="Arial" w:hAnsi="Arial" w:cs="Arial"/>
          <w:b/>
          <w:sz w:val="26"/>
          <w:szCs w:val="26"/>
          <w:lang w:val="es-MX"/>
        </w:rPr>
        <w:t>0034/2017</w:t>
      </w:r>
      <w:r w:rsidRPr="005D33E2">
        <w:rPr>
          <w:rFonts w:ascii="Arial" w:hAnsi="Arial" w:cs="Arial"/>
          <w:sz w:val="26"/>
          <w:szCs w:val="26"/>
          <w:lang w:val="es-MX"/>
        </w:rPr>
        <w:t xml:space="preserve"> de su índice, relativo al juicio de nulidad promovido por </w:t>
      </w:r>
      <w:r w:rsidR="002355B2">
        <w:rPr>
          <w:rFonts w:ascii="Arial" w:hAnsi="Arial" w:cs="Arial"/>
          <w:b/>
          <w:sz w:val="26"/>
          <w:szCs w:val="26"/>
        </w:rPr>
        <w:t>**********</w:t>
      </w:r>
      <w:r w:rsidRPr="005D33E2">
        <w:rPr>
          <w:rFonts w:ascii="Arial" w:hAnsi="Arial" w:cs="Arial"/>
          <w:sz w:val="26"/>
          <w:szCs w:val="26"/>
          <w:lang w:val="es-MX"/>
        </w:rPr>
        <w:t xml:space="preserve">en contra del </w:t>
      </w:r>
      <w:r w:rsidR="00402C06" w:rsidRPr="005D33E2">
        <w:rPr>
          <w:rFonts w:ascii="Arial" w:hAnsi="Arial" w:cs="Arial"/>
          <w:b/>
          <w:sz w:val="26"/>
          <w:szCs w:val="26"/>
          <w:lang w:val="es-MX"/>
        </w:rPr>
        <w:t>POLICIA VIAL DE VIALIDAD DEL MUNICIPIO DE OAXACA DE JUAREZ</w:t>
      </w:r>
      <w:r w:rsidRPr="005D33E2">
        <w:rPr>
          <w:rFonts w:ascii="Arial" w:hAnsi="Arial" w:cs="Arial"/>
          <w:b/>
          <w:sz w:val="26"/>
          <w:szCs w:val="26"/>
          <w:lang w:val="es-MX"/>
        </w:rPr>
        <w:t xml:space="preserve"> y </w:t>
      </w:r>
      <w:r w:rsidR="006D773F" w:rsidRPr="005D33E2">
        <w:rPr>
          <w:rFonts w:ascii="Arial" w:hAnsi="Arial" w:cs="Arial"/>
          <w:b/>
          <w:sz w:val="26"/>
          <w:szCs w:val="26"/>
          <w:lang w:val="es-MX"/>
        </w:rPr>
        <w:t>TESORERO MUNICIPAL DE LA COORDINACIÓN DE FINANZAS Y ADMINISTRACIÓN RECAUDACIÒN DE RENTAS DEL MUNICIPIO DE OAXACA DE JUAREZ</w:t>
      </w:r>
      <w:r w:rsidRPr="005D33E2">
        <w:rPr>
          <w:rFonts w:ascii="Arial" w:hAnsi="Arial" w:cs="Arial"/>
          <w:b/>
          <w:sz w:val="26"/>
          <w:szCs w:val="26"/>
          <w:lang w:val="es-MX"/>
        </w:rPr>
        <w:t xml:space="preserve">; </w:t>
      </w:r>
      <w:r w:rsidRPr="005D33E2">
        <w:rPr>
          <w:rFonts w:ascii="Arial" w:hAnsi="Arial" w:cs="Arial"/>
          <w:sz w:val="26"/>
          <w:szCs w:val="26"/>
          <w:lang w:val="es-MX"/>
        </w:rPr>
        <w:t xml:space="preserve">por lo que con fundamento en los </w:t>
      </w:r>
      <w:r w:rsidR="005D33E2" w:rsidRPr="005D33E2">
        <w:rPr>
          <w:rFonts w:ascii="Arial" w:hAnsi="Arial" w:cs="Arial"/>
          <w:sz w:val="26"/>
          <w:szCs w:val="26"/>
        </w:rPr>
        <w:t>artículos 207 y 208, de la Ley de Justicia Administrativa para el Estado de Oaxaca, vigente hasta el veinte de octubre de dos mil diecisiete</w:t>
      </w:r>
      <w:r w:rsidR="005D33E2" w:rsidRPr="005D33E2">
        <w:rPr>
          <w:rFonts w:ascii="Arial" w:hAnsi="Arial" w:cs="Arial"/>
          <w:sz w:val="26"/>
          <w:szCs w:val="26"/>
          <w:lang w:val="es-MX"/>
        </w:rPr>
        <w:t xml:space="preserve">, </w:t>
      </w:r>
      <w:r w:rsidRPr="005D33E2">
        <w:rPr>
          <w:rFonts w:ascii="Arial" w:hAnsi="Arial" w:cs="Arial"/>
          <w:sz w:val="26"/>
          <w:szCs w:val="26"/>
          <w:lang w:val="es-MX"/>
        </w:rPr>
        <w:t>se procede a dictar resolución en los siguientes términos:</w:t>
      </w:r>
    </w:p>
    <w:p w:rsidR="003778E0" w:rsidRPr="005D33E2" w:rsidRDefault="003778E0" w:rsidP="003778E0">
      <w:pPr>
        <w:spacing w:line="360" w:lineRule="auto"/>
        <w:jc w:val="center"/>
        <w:rPr>
          <w:rFonts w:ascii="Arial" w:hAnsi="Arial" w:cs="Arial"/>
          <w:b/>
          <w:bCs/>
          <w:sz w:val="26"/>
          <w:szCs w:val="26"/>
          <w:lang w:val="es-MX"/>
        </w:rPr>
      </w:pPr>
      <w:r w:rsidRPr="005D33E2">
        <w:rPr>
          <w:rFonts w:ascii="Arial" w:hAnsi="Arial" w:cs="Arial"/>
          <w:b/>
          <w:bCs/>
          <w:sz w:val="26"/>
          <w:szCs w:val="26"/>
          <w:lang w:val="es-MX"/>
        </w:rPr>
        <w:t>R E S U L T A N D O</w:t>
      </w:r>
    </w:p>
    <w:p w:rsidR="003778E0" w:rsidRPr="005D33E2" w:rsidRDefault="003778E0" w:rsidP="003778E0">
      <w:pPr>
        <w:spacing w:line="360" w:lineRule="auto"/>
        <w:ind w:firstLine="709"/>
        <w:jc w:val="both"/>
        <w:rPr>
          <w:rFonts w:ascii="Arial" w:hAnsi="Arial" w:cs="Arial"/>
          <w:sz w:val="26"/>
          <w:szCs w:val="26"/>
          <w:lang w:val="es-MX"/>
        </w:rPr>
      </w:pPr>
      <w:r w:rsidRPr="005D33E2">
        <w:rPr>
          <w:rFonts w:ascii="Arial" w:hAnsi="Arial" w:cs="Arial"/>
          <w:b/>
          <w:bCs/>
          <w:sz w:val="26"/>
          <w:szCs w:val="26"/>
          <w:lang w:val="es-MX"/>
        </w:rPr>
        <w:t xml:space="preserve">PRIMERO. </w:t>
      </w:r>
      <w:r w:rsidRPr="005D33E2">
        <w:rPr>
          <w:rFonts w:ascii="Arial" w:hAnsi="Arial" w:cs="Arial"/>
          <w:sz w:val="26"/>
          <w:szCs w:val="26"/>
          <w:lang w:val="es-MX"/>
        </w:rPr>
        <w:t>I</w:t>
      </w:r>
      <w:r w:rsidR="00402C06" w:rsidRPr="005D33E2">
        <w:rPr>
          <w:rFonts w:ascii="Arial" w:hAnsi="Arial" w:cs="Arial"/>
          <w:sz w:val="26"/>
          <w:szCs w:val="26"/>
          <w:lang w:val="es-MX"/>
        </w:rPr>
        <w:t>nconforme con la sentencia de</w:t>
      </w:r>
      <w:r w:rsidR="005D33E2" w:rsidRPr="005D33E2">
        <w:rPr>
          <w:rFonts w:ascii="Arial" w:hAnsi="Arial" w:cs="Arial"/>
          <w:sz w:val="26"/>
          <w:szCs w:val="26"/>
          <w:lang w:val="es-MX"/>
        </w:rPr>
        <w:t xml:space="preserve"> </w:t>
      </w:r>
      <w:r w:rsidR="00402C06" w:rsidRPr="005D33E2">
        <w:rPr>
          <w:rFonts w:ascii="Arial" w:hAnsi="Arial" w:cs="Arial"/>
          <w:sz w:val="26"/>
          <w:szCs w:val="26"/>
          <w:lang w:val="es-MX"/>
        </w:rPr>
        <w:t>cuatro</w:t>
      </w:r>
      <w:r w:rsidRPr="005D33E2">
        <w:rPr>
          <w:rFonts w:ascii="Arial" w:hAnsi="Arial" w:cs="Arial"/>
          <w:sz w:val="26"/>
          <w:szCs w:val="26"/>
          <w:lang w:val="es-MX"/>
        </w:rPr>
        <w:t xml:space="preserve"> de m</w:t>
      </w:r>
      <w:r w:rsidR="00402C06" w:rsidRPr="005D33E2">
        <w:rPr>
          <w:rFonts w:ascii="Arial" w:hAnsi="Arial" w:cs="Arial"/>
          <w:sz w:val="26"/>
          <w:szCs w:val="26"/>
          <w:lang w:val="es-MX"/>
        </w:rPr>
        <w:t>ayo</w:t>
      </w:r>
      <w:r w:rsidRPr="005D33E2">
        <w:rPr>
          <w:rFonts w:ascii="Arial" w:hAnsi="Arial" w:cs="Arial"/>
          <w:sz w:val="26"/>
          <w:szCs w:val="26"/>
          <w:lang w:val="es-MX"/>
        </w:rPr>
        <w:t xml:space="preserve"> de  dos mil dieciocho</w:t>
      </w:r>
      <w:r w:rsidR="005D33E2" w:rsidRPr="005D33E2">
        <w:rPr>
          <w:rFonts w:ascii="Arial" w:hAnsi="Arial" w:cs="Arial"/>
          <w:sz w:val="26"/>
          <w:szCs w:val="26"/>
          <w:lang w:val="es-MX"/>
        </w:rPr>
        <w:t>,</w:t>
      </w:r>
      <w:r w:rsidRPr="005D33E2">
        <w:rPr>
          <w:rFonts w:ascii="Arial" w:hAnsi="Arial" w:cs="Arial"/>
          <w:sz w:val="26"/>
          <w:szCs w:val="26"/>
          <w:lang w:val="es-MX"/>
        </w:rPr>
        <w:t xml:space="preserve"> dictada por la </w:t>
      </w:r>
      <w:r w:rsidR="00402C06" w:rsidRPr="005D33E2">
        <w:rPr>
          <w:rFonts w:ascii="Arial" w:hAnsi="Arial" w:cs="Arial"/>
          <w:sz w:val="26"/>
          <w:szCs w:val="26"/>
          <w:lang w:val="es-MX"/>
        </w:rPr>
        <w:t>Séptima</w:t>
      </w:r>
      <w:r w:rsidRPr="005D33E2">
        <w:rPr>
          <w:rFonts w:ascii="Arial" w:hAnsi="Arial" w:cs="Arial"/>
          <w:sz w:val="26"/>
          <w:szCs w:val="26"/>
          <w:lang w:val="es-MX"/>
        </w:rPr>
        <w:t xml:space="preserve"> Sala Unitaria de Primera Instancia, </w:t>
      </w:r>
      <w:r w:rsidR="00194C5F" w:rsidRPr="005D33E2">
        <w:rPr>
          <w:rFonts w:ascii="Arial" w:hAnsi="Arial" w:cs="Arial"/>
          <w:b/>
          <w:sz w:val="26"/>
          <w:szCs w:val="26"/>
          <w:lang w:val="es-MX"/>
        </w:rPr>
        <w:t xml:space="preserve">JAZMÍN AURORA QUINTERO DE PABLO </w:t>
      </w:r>
      <w:r w:rsidR="005D33E2" w:rsidRPr="005D33E2">
        <w:rPr>
          <w:rFonts w:ascii="Arial" w:hAnsi="Arial" w:cs="Arial"/>
          <w:sz w:val="26"/>
          <w:szCs w:val="26"/>
          <w:lang w:val="es-MX"/>
        </w:rPr>
        <w:t>como</w:t>
      </w:r>
      <w:r w:rsidR="00194C5F" w:rsidRPr="005D33E2">
        <w:rPr>
          <w:rFonts w:ascii="Arial" w:hAnsi="Arial" w:cs="Arial"/>
          <w:sz w:val="26"/>
          <w:szCs w:val="26"/>
          <w:lang w:val="es-MX"/>
        </w:rPr>
        <w:t xml:space="preserve"> </w:t>
      </w:r>
      <w:r w:rsidRPr="005D33E2">
        <w:rPr>
          <w:rFonts w:ascii="Arial" w:hAnsi="Arial" w:cs="Arial"/>
          <w:b/>
          <w:sz w:val="26"/>
          <w:szCs w:val="26"/>
          <w:lang w:val="es-MX"/>
        </w:rPr>
        <w:t>TESORERA MUNICIPAL DE OAXACA DE JUÁREZ, OAXACA</w:t>
      </w:r>
      <w:r w:rsidR="005D33E2" w:rsidRPr="005D33E2">
        <w:rPr>
          <w:rFonts w:ascii="Arial" w:hAnsi="Arial" w:cs="Arial"/>
          <w:b/>
          <w:sz w:val="26"/>
          <w:szCs w:val="26"/>
          <w:lang w:val="es-MX"/>
        </w:rPr>
        <w:t>,</w:t>
      </w:r>
      <w:r w:rsidRPr="005D33E2">
        <w:rPr>
          <w:rFonts w:ascii="Arial" w:hAnsi="Arial" w:cs="Arial"/>
          <w:b/>
          <w:sz w:val="26"/>
          <w:szCs w:val="26"/>
          <w:lang w:val="es-MX"/>
        </w:rPr>
        <w:t xml:space="preserve"> </w:t>
      </w:r>
      <w:r w:rsidRPr="005D33E2">
        <w:rPr>
          <w:rFonts w:ascii="Arial" w:hAnsi="Arial" w:cs="Arial"/>
          <w:sz w:val="26"/>
          <w:szCs w:val="26"/>
          <w:lang w:val="es-MX"/>
        </w:rPr>
        <w:t xml:space="preserve">autoridad demandada interpone en su contra recurso de revisión. </w:t>
      </w:r>
    </w:p>
    <w:p w:rsidR="003778E0" w:rsidRPr="005D33E2" w:rsidRDefault="003778E0" w:rsidP="003778E0">
      <w:pPr>
        <w:spacing w:after="0" w:line="360" w:lineRule="auto"/>
        <w:jc w:val="both"/>
        <w:rPr>
          <w:rFonts w:ascii="Arial" w:eastAsia="Calibri" w:hAnsi="Arial" w:cs="Arial"/>
          <w:sz w:val="26"/>
          <w:szCs w:val="26"/>
        </w:rPr>
      </w:pPr>
      <w:r w:rsidRPr="005D33E2">
        <w:rPr>
          <w:rFonts w:ascii="Arial" w:hAnsi="Arial" w:cs="Arial"/>
          <w:b/>
          <w:bCs/>
          <w:sz w:val="26"/>
          <w:szCs w:val="26"/>
          <w:lang w:val="es-MX"/>
        </w:rPr>
        <w:lastRenderedPageBreak/>
        <w:tab/>
        <w:t xml:space="preserve">SEGUNDO.- </w:t>
      </w:r>
      <w:r w:rsidRPr="005D33E2">
        <w:rPr>
          <w:rFonts w:ascii="Arial" w:eastAsia="Calibri" w:hAnsi="Arial" w:cs="Arial"/>
          <w:sz w:val="26"/>
          <w:szCs w:val="26"/>
        </w:rPr>
        <w:t>Los puntos resolutivos de la sentencia recurrida son los siguientes:</w:t>
      </w:r>
    </w:p>
    <w:p w:rsidR="003778E0" w:rsidRPr="00195BF9" w:rsidRDefault="003778E0" w:rsidP="003778E0">
      <w:pPr>
        <w:spacing w:after="0" w:line="360" w:lineRule="auto"/>
        <w:jc w:val="both"/>
        <w:rPr>
          <w:rFonts w:ascii="Arial" w:eastAsia="Calibri" w:hAnsi="Arial" w:cs="Arial"/>
          <w:sz w:val="24"/>
          <w:szCs w:val="24"/>
        </w:rPr>
      </w:pPr>
      <w:r w:rsidRPr="00195BF9">
        <w:rPr>
          <w:rFonts w:ascii="Arial" w:eastAsia="Calibri" w:hAnsi="Arial" w:cs="Arial"/>
          <w:sz w:val="24"/>
          <w:szCs w:val="24"/>
        </w:rPr>
        <w:t xml:space="preserve">               </w:t>
      </w:r>
    </w:p>
    <w:p w:rsidR="003778E0" w:rsidRDefault="003778E0" w:rsidP="003778E0">
      <w:pPr>
        <w:spacing w:after="0" w:line="360" w:lineRule="auto"/>
        <w:ind w:left="1134" w:right="902"/>
        <w:jc w:val="both"/>
        <w:rPr>
          <w:rFonts w:ascii="Arial" w:hAnsi="Arial" w:cs="Arial"/>
          <w:bCs/>
          <w:i/>
          <w:iCs/>
        </w:rPr>
      </w:pPr>
      <w:r w:rsidRPr="00195BF9">
        <w:rPr>
          <w:rFonts w:ascii="Arial" w:hAnsi="Arial" w:cs="Arial"/>
          <w:b/>
          <w:bCs/>
          <w:i/>
          <w:iCs/>
        </w:rPr>
        <w:t>“PRIMERO</w:t>
      </w:r>
      <w:r w:rsidRPr="00195BF9">
        <w:rPr>
          <w:rFonts w:ascii="Arial" w:hAnsi="Arial" w:cs="Arial"/>
          <w:bCs/>
          <w:i/>
          <w:iCs/>
        </w:rPr>
        <w:t xml:space="preserve">. </w:t>
      </w:r>
      <w:r w:rsidR="00402C06">
        <w:rPr>
          <w:rFonts w:ascii="Arial" w:hAnsi="Arial" w:cs="Arial"/>
          <w:bCs/>
          <w:i/>
          <w:iCs/>
        </w:rPr>
        <w:t xml:space="preserve">Esta Séptima Sala de Primera Instancia del Tribunal de Justicia Administrativa del Estado de Oaxaca, es </w:t>
      </w:r>
      <w:r w:rsidR="00402C06" w:rsidRPr="00194C5F">
        <w:rPr>
          <w:rFonts w:ascii="Arial" w:hAnsi="Arial" w:cs="Arial"/>
          <w:b/>
          <w:bCs/>
          <w:i/>
          <w:iCs/>
        </w:rPr>
        <w:t xml:space="preserve"> competente</w:t>
      </w:r>
      <w:r w:rsidR="00402C06">
        <w:rPr>
          <w:rFonts w:ascii="Arial" w:hAnsi="Arial" w:cs="Arial"/>
          <w:bCs/>
          <w:i/>
          <w:iCs/>
        </w:rPr>
        <w:t xml:space="preserve"> para conocer y resolver del presente Juicio de Nulidad</w:t>
      </w:r>
      <w:r w:rsidR="00194C5F">
        <w:rPr>
          <w:rFonts w:ascii="Arial" w:hAnsi="Arial" w:cs="Arial"/>
          <w:bCs/>
          <w:i/>
          <w:iCs/>
        </w:rPr>
        <w:t xml:space="preserve"> .</w:t>
      </w:r>
      <w:r>
        <w:rPr>
          <w:rFonts w:ascii="Arial" w:hAnsi="Arial" w:cs="Arial"/>
          <w:bCs/>
          <w:i/>
          <w:iCs/>
        </w:rPr>
        <w:t xml:space="preserve"> - - - </w:t>
      </w:r>
      <w:r w:rsidR="00194C5F">
        <w:rPr>
          <w:rFonts w:ascii="Arial" w:hAnsi="Arial" w:cs="Arial"/>
          <w:bCs/>
          <w:i/>
          <w:iCs/>
        </w:rPr>
        <w:t xml:space="preserve">- - - - - - - </w:t>
      </w:r>
      <w:r w:rsidR="005D33E2">
        <w:rPr>
          <w:rFonts w:ascii="Arial" w:hAnsi="Arial" w:cs="Arial"/>
          <w:bCs/>
          <w:i/>
          <w:iCs/>
        </w:rPr>
        <w:t xml:space="preserve">- - - - - - - - - - - - - - - - - - - - - - - - - - - - - </w:t>
      </w:r>
    </w:p>
    <w:p w:rsidR="003778E0" w:rsidRDefault="003778E0" w:rsidP="003778E0">
      <w:pPr>
        <w:spacing w:after="0" w:line="360" w:lineRule="auto"/>
        <w:ind w:left="1134" w:right="902"/>
        <w:jc w:val="both"/>
        <w:rPr>
          <w:rFonts w:ascii="Arial" w:hAnsi="Arial" w:cs="Arial"/>
          <w:b/>
          <w:bCs/>
          <w:i/>
          <w:iCs/>
        </w:rPr>
      </w:pPr>
      <w:r>
        <w:rPr>
          <w:rFonts w:ascii="Arial" w:hAnsi="Arial" w:cs="Arial"/>
          <w:b/>
          <w:bCs/>
          <w:i/>
          <w:iCs/>
        </w:rPr>
        <w:t xml:space="preserve">SEGUNDO.- </w:t>
      </w:r>
      <w:r w:rsidR="00402C06">
        <w:rPr>
          <w:rFonts w:ascii="Arial" w:hAnsi="Arial" w:cs="Arial"/>
          <w:bCs/>
          <w:i/>
          <w:iCs/>
        </w:rPr>
        <w:t>No se actualizo causal de improcedencia alguna, por lo que NO SE SOBRESEE EL JUICIO, en términos del considerando QUINTO de esta resolución</w:t>
      </w:r>
      <w:r>
        <w:rPr>
          <w:rFonts w:ascii="Arial" w:hAnsi="Arial" w:cs="Arial"/>
          <w:bCs/>
          <w:i/>
          <w:iCs/>
        </w:rPr>
        <w:t xml:space="preserve">. </w:t>
      </w:r>
      <w:r w:rsidR="00402C06">
        <w:rPr>
          <w:rFonts w:ascii="Arial" w:hAnsi="Arial" w:cs="Arial"/>
          <w:bCs/>
          <w:i/>
          <w:iCs/>
        </w:rPr>
        <w:t xml:space="preserve"> - - - - - - - - - - - - - - - </w:t>
      </w:r>
    </w:p>
    <w:p w:rsidR="003778E0" w:rsidRPr="0022359F" w:rsidRDefault="003778E0" w:rsidP="003778E0">
      <w:pPr>
        <w:spacing w:after="0" w:line="360" w:lineRule="auto"/>
        <w:ind w:left="1134" w:right="902"/>
        <w:jc w:val="both"/>
        <w:rPr>
          <w:rFonts w:ascii="Arial" w:hAnsi="Arial" w:cs="Arial"/>
          <w:bCs/>
          <w:i/>
          <w:iCs/>
        </w:rPr>
      </w:pPr>
      <w:r>
        <w:rPr>
          <w:rFonts w:ascii="Arial" w:hAnsi="Arial" w:cs="Arial"/>
          <w:b/>
          <w:bCs/>
          <w:i/>
          <w:iCs/>
        </w:rPr>
        <w:t xml:space="preserve">TERCERO.- </w:t>
      </w:r>
      <w:r w:rsidR="00402C06">
        <w:rPr>
          <w:rFonts w:ascii="Arial" w:hAnsi="Arial" w:cs="Arial"/>
          <w:bCs/>
          <w:i/>
          <w:iCs/>
        </w:rPr>
        <w:t xml:space="preserve">Se declara la NULIDAD LISA Y LLANA del acta de infracción de tránsito con número de folio </w:t>
      </w:r>
      <w:r w:rsidR="00402C06" w:rsidRPr="00402C06">
        <w:rPr>
          <w:rFonts w:ascii="Arial" w:hAnsi="Arial" w:cs="Arial"/>
          <w:b/>
          <w:bCs/>
          <w:i/>
          <w:iCs/>
        </w:rPr>
        <w:t>2543</w:t>
      </w:r>
      <w:r w:rsidR="00402C06">
        <w:rPr>
          <w:rFonts w:ascii="Arial" w:hAnsi="Arial" w:cs="Arial"/>
          <w:b/>
          <w:bCs/>
          <w:i/>
          <w:iCs/>
        </w:rPr>
        <w:t xml:space="preserve">, de veintiocho de febrero de dos mil diecisiete (28/02/2018), </w:t>
      </w:r>
      <w:r w:rsidR="00402C06">
        <w:rPr>
          <w:rFonts w:ascii="Arial" w:hAnsi="Arial" w:cs="Arial"/>
          <w:bCs/>
          <w:i/>
          <w:iCs/>
        </w:rPr>
        <w:t xml:space="preserve">relacionada al vehículo con placas de circulación 537-YSV del Distrito Federal emitida por el C. FELIX QUIRINO RAMÍREZ JARQUIN, Policía Vial con número estadístico 47 de la Comisaría de Vialidad del Municipio de Oaxaca de Juárez; </w:t>
      </w:r>
      <w:r w:rsidR="00A7624D">
        <w:rPr>
          <w:rFonts w:ascii="Arial" w:hAnsi="Arial" w:cs="Arial"/>
          <w:bCs/>
          <w:i/>
          <w:iCs/>
        </w:rPr>
        <w:t xml:space="preserve">y como consecuencia se </w:t>
      </w:r>
      <w:r w:rsidR="00A7624D">
        <w:rPr>
          <w:rFonts w:ascii="Arial" w:hAnsi="Arial" w:cs="Arial"/>
          <w:b/>
          <w:bCs/>
          <w:i/>
          <w:iCs/>
        </w:rPr>
        <w:t xml:space="preserve">ordena </w:t>
      </w:r>
      <w:r w:rsidR="00A7624D" w:rsidRPr="00A7624D">
        <w:rPr>
          <w:rFonts w:ascii="Arial" w:hAnsi="Arial" w:cs="Arial"/>
          <w:bCs/>
          <w:i/>
          <w:iCs/>
        </w:rPr>
        <w:t xml:space="preserve">a la </w:t>
      </w:r>
      <w:r w:rsidR="00A7624D">
        <w:rPr>
          <w:rFonts w:ascii="Arial" w:hAnsi="Arial" w:cs="Arial"/>
          <w:bCs/>
          <w:i/>
          <w:iCs/>
        </w:rPr>
        <w:t xml:space="preserve">autoridad demandada Tesorero Municipal del Municipio de Oaxaca de Juárez, realice la devolución al actor C. </w:t>
      </w:r>
      <w:r w:rsidR="002355B2">
        <w:rPr>
          <w:rFonts w:ascii="Arial" w:hAnsi="Arial" w:cs="Arial"/>
          <w:b/>
          <w:sz w:val="26"/>
          <w:szCs w:val="26"/>
        </w:rPr>
        <w:t>**********</w:t>
      </w:r>
      <w:r w:rsidR="00A7624D">
        <w:rPr>
          <w:rFonts w:ascii="Arial" w:hAnsi="Arial" w:cs="Arial"/>
          <w:bCs/>
          <w:i/>
          <w:iCs/>
        </w:rPr>
        <w:t>, de la cantidad de $</w:t>
      </w:r>
      <w:r w:rsidR="002355B2">
        <w:rPr>
          <w:rFonts w:ascii="Arial" w:hAnsi="Arial" w:cs="Arial"/>
          <w:b/>
          <w:sz w:val="26"/>
          <w:szCs w:val="26"/>
        </w:rPr>
        <w:t>**********</w:t>
      </w:r>
      <w:r w:rsidR="002355B2">
        <w:rPr>
          <w:rFonts w:ascii="Arial" w:hAnsi="Arial" w:cs="Arial"/>
          <w:bCs/>
          <w:i/>
          <w:iCs/>
        </w:rPr>
        <w:t xml:space="preserve"> </w:t>
      </w:r>
      <w:r w:rsidR="00A7624D">
        <w:rPr>
          <w:rFonts w:ascii="Arial" w:hAnsi="Arial" w:cs="Arial"/>
          <w:bCs/>
          <w:i/>
          <w:iCs/>
        </w:rPr>
        <w:t>(</w:t>
      </w:r>
      <w:r w:rsidR="002355B2">
        <w:rPr>
          <w:rFonts w:ascii="Arial" w:hAnsi="Arial" w:cs="Arial"/>
          <w:b/>
          <w:sz w:val="26"/>
          <w:szCs w:val="26"/>
        </w:rPr>
        <w:t>**********</w:t>
      </w:r>
      <w:r w:rsidR="00A7624D">
        <w:rPr>
          <w:rFonts w:ascii="Arial" w:hAnsi="Arial" w:cs="Arial"/>
          <w:bCs/>
          <w:i/>
          <w:iCs/>
        </w:rPr>
        <w:t>PESOS 00/100 M.N.) misma cantidad que erogó para que le devolvieran la placa de circulación trasera de su vehículo; lo anterior</w:t>
      </w:r>
      <w:r w:rsidR="00D0655E">
        <w:rPr>
          <w:rFonts w:ascii="Arial" w:hAnsi="Arial" w:cs="Arial"/>
          <w:bCs/>
          <w:i/>
          <w:iCs/>
        </w:rPr>
        <w:t xml:space="preserve"> en términos precisados en el considerando SEXTO  de esta resolución</w:t>
      </w:r>
      <w:r>
        <w:rPr>
          <w:rFonts w:ascii="Arial" w:hAnsi="Arial" w:cs="Arial"/>
          <w:bCs/>
          <w:i/>
          <w:iCs/>
        </w:rPr>
        <w:t xml:space="preserve">. - - - </w:t>
      </w:r>
    </w:p>
    <w:p w:rsidR="00D0655E" w:rsidRPr="007C2A65" w:rsidRDefault="00CB1506" w:rsidP="00D0655E">
      <w:pPr>
        <w:spacing w:after="0" w:line="360" w:lineRule="auto"/>
        <w:ind w:left="1134" w:right="902"/>
        <w:jc w:val="both"/>
        <w:rPr>
          <w:rFonts w:ascii="Arial" w:hAnsi="Arial" w:cs="Arial"/>
          <w:b/>
          <w:bCs/>
          <w:i/>
          <w:iCs/>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9264" behindDoc="0" locked="0" layoutInCell="1" allowOverlap="1" wp14:anchorId="1458454A" wp14:editId="1966EE60">
                <wp:simplePos x="0" y="0"/>
                <wp:positionH relativeFrom="column">
                  <wp:posOffset>5734050</wp:posOffset>
                </wp:positionH>
                <wp:positionV relativeFrom="paragraph">
                  <wp:posOffset>1081405</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CB1506" w:rsidRDefault="00CB1506" w:rsidP="00CB1506">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458454A" id="_x0000_t202" coordsize="21600,21600" o:spt="202" path="m,l,21600r21600,l21600,xe">
                <v:stroke joinstyle="miter"/>
                <v:path gradientshapeok="t" o:connecttype="rect"/>
              </v:shapetype>
              <v:shape id="Cuadro de texto 1" o:spid="_x0000_s1026" type="#_x0000_t202" style="position:absolute;left:0;text-align:left;margin-left:451.5pt;margin-top:85.1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">
                <v:textbox>
                  <w:txbxContent>
                    <w:p w:rsidR="00CB1506" w:rsidRDefault="00CB1506" w:rsidP="00CB1506">
                      <w:pPr>
                        <w:rPr>
                          <w:sz w:val="16"/>
                          <w:szCs w:val="16"/>
                        </w:rPr>
                      </w:pPr>
                      <w:r>
                        <w:rPr>
                          <w:sz w:val="16"/>
                          <w:szCs w:val="16"/>
                        </w:rPr>
                        <w:t>Datos personales protegidos por el Art. 116 de la LGTAIP y el Art. 56 de la LTAIPEO</w:t>
                      </w:r>
                    </w:p>
                  </w:txbxContent>
                </v:textbox>
              </v:shape>
            </w:pict>
          </mc:Fallback>
        </mc:AlternateContent>
      </w:r>
      <w:r w:rsidR="003778E0">
        <w:rPr>
          <w:rFonts w:ascii="Arial" w:hAnsi="Arial" w:cs="Arial"/>
          <w:b/>
          <w:bCs/>
          <w:i/>
          <w:iCs/>
        </w:rPr>
        <w:t>CUARTO.-</w:t>
      </w:r>
      <w:r w:rsidR="00D0655E">
        <w:rPr>
          <w:rFonts w:ascii="Arial" w:hAnsi="Arial" w:cs="Arial"/>
          <w:bCs/>
          <w:i/>
          <w:iCs/>
        </w:rPr>
        <w:t xml:space="preserve"> Conforme a lo dispuesto  en el artículo 142 fracción I y 143 fracciones I y II, de la Ley de Justicia Administrativa para el E</w:t>
      </w:r>
      <w:r w:rsidR="007C2A65">
        <w:rPr>
          <w:rFonts w:ascii="Arial" w:hAnsi="Arial" w:cs="Arial"/>
          <w:bCs/>
          <w:i/>
          <w:iCs/>
        </w:rPr>
        <w:t xml:space="preserve">stado, </w:t>
      </w:r>
      <w:r w:rsidR="007C2A65">
        <w:rPr>
          <w:rFonts w:ascii="Arial" w:hAnsi="Arial" w:cs="Arial"/>
          <w:b/>
          <w:bCs/>
          <w:i/>
          <w:iCs/>
        </w:rPr>
        <w:t xml:space="preserve">NOTIFIQUESE PERSONALMENTE A LA PARTE ACTORA Y POR OFICIO A LAS AUTORIDADES DEMANDADAS. CÚMPLASE.- - - - - - </w:t>
      </w:r>
      <w:r w:rsidR="005D33E2">
        <w:rPr>
          <w:rFonts w:ascii="Arial" w:hAnsi="Arial" w:cs="Arial"/>
          <w:b/>
          <w:bCs/>
          <w:i/>
          <w:iCs/>
        </w:rPr>
        <w:t xml:space="preserve">- - - - - - - - - - - - - - - - - - </w:t>
      </w:r>
    </w:p>
    <w:p w:rsidR="003778E0" w:rsidRPr="0072015D" w:rsidRDefault="003778E0" w:rsidP="003778E0">
      <w:pPr>
        <w:spacing w:after="0" w:line="360" w:lineRule="auto"/>
        <w:ind w:left="1134" w:right="902"/>
        <w:jc w:val="both"/>
        <w:rPr>
          <w:rFonts w:ascii="Arial" w:hAnsi="Arial" w:cs="Arial"/>
          <w:bCs/>
          <w:i/>
          <w:iCs/>
        </w:rPr>
      </w:pPr>
      <w:r w:rsidRPr="00195BF9">
        <w:rPr>
          <w:rFonts w:ascii="Arial" w:hAnsi="Arial" w:cs="Arial"/>
          <w:b/>
          <w:bCs/>
          <w:i/>
          <w:iCs/>
        </w:rPr>
        <w:t>…</w:t>
      </w:r>
      <w:r w:rsidRPr="00195BF9">
        <w:rPr>
          <w:rFonts w:ascii="Arial" w:hAnsi="Arial" w:cs="Arial"/>
          <w:bCs/>
          <w:i/>
          <w:iCs/>
        </w:rPr>
        <w:t>”</w:t>
      </w:r>
    </w:p>
    <w:p w:rsidR="003778E0" w:rsidRPr="00195BF9" w:rsidRDefault="003778E0" w:rsidP="003778E0">
      <w:pPr>
        <w:spacing w:before="240" w:line="360" w:lineRule="auto"/>
        <w:jc w:val="center"/>
        <w:rPr>
          <w:rFonts w:ascii="Arial" w:hAnsi="Arial" w:cs="Arial"/>
          <w:b/>
          <w:bCs/>
          <w:sz w:val="24"/>
          <w:szCs w:val="24"/>
          <w:lang w:val="es-MX"/>
        </w:rPr>
      </w:pPr>
      <w:r w:rsidRPr="00195BF9">
        <w:rPr>
          <w:rFonts w:ascii="Arial" w:hAnsi="Arial" w:cs="Arial"/>
          <w:b/>
          <w:bCs/>
          <w:sz w:val="24"/>
          <w:szCs w:val="24"/>
          <w:lang w:val="es-MX"/>
        </w:rPr>
        <w:t>C O N S I D E R A N D O</w:t>
      </w:r>
    </w:p>
    <w:p w:rsidR="003778E0" w:rsidRPr="005D33E2" w:rsidRDefault="005D33E2" w:rsidP="003778E0">
      <w:pPr>
        <w:widowControl w:val="0"/>
        <w:tabs>
          <w:tab w:val="left" w:pos="7938"/>
        </w:tabs>
        <w:spacing w:before="240" w:line="360" w:lineRule="auto"/>
        <w:ind w:right="18" w:firstLine="709"/>
        <w:jc w:val="both"/>
        <w:rPr>
          <w:rFonts w:ascii="Arial" w:hAnsi="Arial" w:cs="Arial"/>
          <w:b/>
          <w:bCs/>
          <w:iCs/>
          <w:sz w:val="26"/>
          <w:szCs w:val="26"/>
          <w:lang w:eastAsia="es-ES"/>
        </w:rPr>
      </w:pPr>
      <w:r w:rsidRPr="005D33E2">
        <w:rPr>
          <w:rFonts w:ascii="Arial" w:hAnsi="Arial" w:cs="Arial"/>
          <w:b/>
          <w:bCs/>
          <w:iCs/>
          <w:sz w:val="26"/>
          <w:szCs w:val="26"/>
        </w:rPr>
        <w:t xml:space="preserve">PRIMERO. </w:t>
      </w:r>
      <w:r w:rsidRPr="005D33E2">
        <w:rPr>
          <w:rFonts w:ascii="Arial" w:hAnsi="Arial" w:cs="Arial"/>
          <w:bCs/>
          <w:iCs/>
          <w:sz w:val="26"/>
          <w:szCs w:val="26"/>
        </w:rPr>
        <w:t xml:space="preserve">Esta Sala Superior es competente para conocer del presente asunto, </w:t>
      </w:r>
      <w:r w:rsidRPr="005D33E2">
        <w:rPr>
          <w:rFonts w:ascii="Arial" w:hAnsi="Arial" w:cs="Arial"/>
          <w:bCs/>
          <w:iCs/>
          <w:sz w:val="26"/>
          <w:szCs w:val="26"/>
          <w:lang w:eastAsia="es-ES"/>
        </w:rPr>
        <w:t xml:space="preserve">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16 dieciséis de enero de 2018 dos mil dieciocho, </w:t>
      </w:r>
      <w:r w:rsidRPr="005D33E2">
        <w:rPr>
          <w:rFonts w:ascii="Arial" w:hAnsi="Arial" w:cs="Arial"/>
          <w:bCs/>
          <w:iCs/>
          <w:sz w:val="26"/>
          <w:szCs w:val="26"/>
        </w:rPr>
        <w:t>86, 88, 92, 93, fracción I, 94, 201, 206 y 208, de la Ley de Justicia Administrativa para el Estado de Oaxaca, vigente hasta el veinte de octubre de dos mil diecisiete,</w:t>
      </w:r>
      <w:r w:rsidR="006D773F" w:rsidRPr="005D33E2">
        <w:rPr>
          <w:rFonts w:ascii="Arial" w:hAnsi="Arial" w:cs="Arial"/>
          <w:bCs/>
          <w:iCs/>
          <w:sz w:val="26"/>
          <w:szCs w:val="26"/>
          <w:lang w:eastAsia="es-ES"/>
        </w:rPr>
        <w:t xml:space="preserve"> </w:t>
      </w:r>
      <w:r w:rsidR="003778E0" w:rsidRPr="005D33E2">
        <w:rPr>
          <w:rFonts w:ascii="Arial" w:hAnsi="Arial" w:cs="Arial"/>
          <w:bCs/>
          <w:iCs/>
          <w:sz w:val="26"/>
          <w:szCs w:val="26"/>
          <w:lang w:eastAsia="es-ES"/>
        </w:rPr>
        <w:t xml:space="preserve">dado que se trata de </w:t>
      </w:r>
      <w:r w:rsidR="003778E0" w:rsidRPr="005D33E2">
        <w:rPr>
          <w:rFonts w:ascii="Arial" w:hAnsi="Arial" w:cs="Arial"/>
          <w:bCs/>
          <w:iCs/>
          <w:sz w:val="26"/>
          <w:szCs w:val="26"/>
          <w:lang w:eastAsia="es-ES"/>
        </w:rPr>
        <w:lastRenderedPageBreak/>
        <w:t>un Recurso de Revisión interpuesto en contra de la sentenci</w:t>
      </w:r>
      <w:r w:rsidR="007C2A65" w:rsidRPr="005D33E2">
        <w:rPr>
          <w:rFonts w:ascii="Arial" w:hAnsi="Arial" w:cs="Arial"/>
          <w:bCs/>
          <w:iCs/>
          <w:sz w:val="26"/>
          <w:szCs w:val="26"/>
          <w:lang w:eastAsia="es-ES"/>
        </w:rPr>
        <w:t>a de 4</w:t>
      </w:r>
      <w:r w:rsidR="003778E0" w:rsidRPr="005D33E2">
        <w:rPr>
          <w:rFonts w:ascii="Arial" w:hAnsi="Arial" w:cs="Arial"/>
          <w:bCs/>
          <w:iCs/>
          <w:sz w:val="26"/>
          <w:szCs w:val="26"/>
          <w:lang w:eastAsia="es-ES"/>
        </w:rPr>
        <w:t xml:space="preserve"> </w:t>
      </w:r>
      <w:r w:rsidR="007C2A65" w:rsidRPr="005D33E2">
        <w:rPr>
          <w:rFonts w:ascii="Arial" w:hAnsi="Arial" w:cs="Arial"/>
          <w:bCs/>
          <w:iCs/>
          <w:sz w:val="26"/>
          <w:szCs w:val="26"/>
          <w:lang w:eastAsia="es-ES"/>
        </w:rPr>
        <w:t>cuatro</w:t>
      </w:r>
      <w:r w:rsidR="003778E0" w:rsidRPr="005D33E2">
        <w:rPr>
          <w:rFonts w:ascii="Arial" w:hAnsi="Arial" w:cs="Arial"/>
          <w:bCs/>
          <w:iCs/>
          <w:sz w:val="26"/>
          <w:szCs w:val="26"/>
          <w:lang w:eastAsia="es-ES"/>
        </w:rPr>
        <w:t xml:space="preserve"> de </w:t>
      </w:r>
      <w:r w:rsidR="007C2A65" w:rsidRPr="005D33E2">
        <w:rPr>
          <w:rFonts w:ascii="Arial" w:hAnsi="Arial" w:cs="Arial"/>
          <w:bCs/>
          <w:iCs/>
          <w:sz w:val="26"/>
          <w:szCs w:val="26"/>
          <w:lang w:eastAsia="es-ES"/>
        </w:rPr>
        <w:t>mayo</w:t>
      </w:r>
      <w:r w:rsidR="003778E0" w:rsidRPr="005D33E2">
        <w:rPr>
          <w:rFonts w:ascii="Arial" w:hAnsi="Arial" w:cs="Arial"/>
          <w:bCs/>
          <w:iCs/>
          <w:sz w:val="26"/>
          <w:szCs w:val="26"/>
          <w:lang w:eastAsia="es-ES"/>
        </w:rPr>
        <w:t xml:space="preserve"> de 2018 dos mil dieciocho, dictada por la </w:t>
      </w:r>
      <w:r w:rsidR="007C2A65" w:rsidRPr="005D33E2">
        <w:rPr>
          <w:rFonts w:ascii="Arial" w:hAnsi="Arial" w:cs="Arial"/>
          <w:bCs/>
          <w:iCs/>
          <w:sz w:val="26"/>
          <w:szCs w:val="26"/>
          <w:lang w:eastAsia="es-ES"/>
        </w:rPr>
        <w:t>Séptima</w:t>
      </w:r>
      <w:r w:rsidR="003778E0" w:rsidRPr="005D33E2">
        <w:rPr>
          <w:rFonts w:ascii="Arial" w:hAnsi="Arial" w:cs="Arial"/>
          <w:bCs/>
          <w:iCs/>
          <w:sz w:val="26"/>
          <w:szCs w:val="26"/>
          <w:lang w:eastAsia="es-ES"/>
        </w:rPr>
        <w:t xml:space="preserve"> Sala Unitaria de Primera Instancia en el juicio </w:t>
      </w:r>
      <w:r w:rsidR="007C2A65" w:rsidRPr="005D33E2">
        <w:rPr>
          <w:rFonts w:ascii="Arial" w:hAnsi="Arial" w:cs="Arial"/>
          <w:b/>
          <w:bCs/>
          <w:iCs/>
          <w:sz w:val="26"/>
          <w:szCs w:val="26"/>
          <w:lang w:eastAsia="es-ES"/>
        </w:rPr>
        <w:t>034</w:t>
      </w:r>
      <w:r w:rsidR="003778E0" w:rsidRPr="005D33E2">
        <w:rPr>
          <w:rFonts w:ascii="Arial" w:hAnsi="Arial" w:cs="Arial"/>
          <w:b/>
          <w:bCs/>
          <w:iCs/>
          <w:sz w:val="26"/>
          <w:szCs w:val="26"/>
          <w:lang w:eastAsia="es-ES"/>
        </w:rPr>
        <w:t>/2017.</w:t>
      </w:r>
    </w:p>
    <w:p w:rsidR="003778E0" w:rsidRPr="005D33E2" w:rsidRDefault="003778E0" w:rsidP="003778E0">
      <w:pPr>
        <w:widowControl w:val="0"/>
        <w:tabs>
          <w:tab w:val="left" w:pos="7938"/>
        </w:tabs>
        <w:spacing w:before="240" w:line="360" w:lineRule="auto"/>
        <w:ind w:right="18" w:firstLine="709"/>
        <w:jc w:val="both"/>
        <w:rPr>
          <w:rFonts w:ascii="Arial" w:hAnsi="Arial" w:cs="Arial"/>
          <w:bCs/>
          <w:sz w:val="26"/>
          <w:szCs w:val="26"/>
        </w:rPr>
      </w:pPr>
      <w:r w:rsidRPr="005D33E2">
        <w:rPr>
          <w:rFonts w:ascii="Arial" w:hAnsi="Arial" w:cs="Arial"/>
          <w:b/>
          <w:bCs/>
          <w:sz w:val="26"/>
          <w:szCs w:val="26"/>
          <w:lang w:val="es-MX"/>
        </w:rPr>
        <w:t>SEGUNDO.</w:t>
      </w:r>
      <w:r w:rsidRPr="005D33E2">
        <w:rPr>
          <w:rFonts w:ascii="Arial" w:hAnsi="Arial" w:cs="Arial"/>
          <w:bCs/>
          <w:sz w:val="26"/>
          <w:szCs w:val="26"/>
          <w:lang w:val="es-MX"/>
        </w:rPr>
        <w:t xml:space="preserve"> </w:t>
      </w:r>
      <w:r w:rsidRPr="005D33E2">
        <w:rPr>
          <w:rFonts w:ascii="Arial" w:hAnsi="Arial" w:cs="Arial"/>
          <w:bCs/>
          <w:sz w:val="26"/>
          <w:szCs w:val="26"/>
        </w:rPr>
        <w:t>Los agravios hechos valer se encuentran expuestos en el escrito respectivo del recurrente, por lo que no existe necesidad de transcribirlos, al no transgredírsele derecho alguno, como tampoco se vulnera disposición expresa que imponga tal obligación</w:t>
      </w:r>
      <w:r w:rsidRPr="005D33E2">
        <w:rPr>
          <w:rFonts w:ascii="Arial" w:hAnsi="Arial" w:cs="Arial"/>
          <w:sz w:val="26"/>
          <w:szCs w:val="26"/>
        </w:rPr>
        <w:t>.</w:t>
      </w:r>
    </w:p>
    <w:p w:rsidR="003778E0" w:rsidRPr="005D33E2" w:rsidRDefault="003778E0" w:rsidP="003778E0">
      <w:pPr>
        <w:spacing w:line="360" w:lineRule="auto"/>
        <w:ind w:firstLine="709"/>
        <w:jc w:val="both"/>
        <w:rPr>
          <w:rFonts w:ascii="Arial" w:eastAsia="Calibri" w:hAnsi="Arial" w:cs="Arial"/>
          <w:bCs/>
          <w:sz w:val="26"/>
          <w:szCs w:val="26"/>
        </w:rPr>
      </w:pPr>
      <w:r w:rsidRPr="005D33E2">
        <w:rPr>
          <w:rFonts w:ascii="Arial" w:hAnsi="Arial" w:cs="Arial"/>
          <w:b/>
          <w:bCs/>
          <w:sz w:val="26"/>
          <w:szCs w:val="26"/>
          <w:lang w:val="es-MX"/>
        </w:rPr>
        <w:t xml:space="preserve">TERCERO. </w:t>
      </w:r>
      <w:r w:rsidRPr="005D33E2">
        <w:rPr>
          <w:rFonts w:ascii="Arial" w:eastAsia="Calibri" w:hAnsi="Arial" w:cs="Arial"/>
          <w:bCs/>
          <w:sz w:val="26"/>
          <w:szCs w:val="26"/>
        </w:rPr>
        <w:t>El artículo 206 de la Ley de Justicia Administrativa  para el Estado de Oaxaca dispone que  los acuerdos y resoluciones de la primera instancia, podrán ser impugnadas por las partes.</w:t>
      </w:r>
    </w:p>
    <w:p w:rsidR="003778E0" w:rsidRPr="005D33E2" w:rsidRDefault="003778E0" w:rsidP="003778E0">
      <w:pPr>
        <w:spacing w:line="360" w:lineRule="auto"/>
        <w:ind w:firstLine="709"/>
        <w:jc w:val="both"/>
        <w:rPr>
          <w:rFonts w:ascii="Arial" w:eastAsia="Calibri" w:hAnsi="Arial" w:cs="Arial"/>
          <w:bCs/>
          <w:sz w:val="26"/>
          <w:szCs w:val="26"/>
        </w:rPr>
      </w:pPr>
      <w:r w:rsidRPr="005D33E2">
        <w:rPr>
          <w:rFonts w:ascii="Arial" w:eastAsia="Calibri" w:hAnsi="Arial" w:cs="Arial"/>
          <w:bCs/>
          <w:sz w:val="26"/>
          <w:szCs w:val="26"/>
        </w:rPr>
        <w:t xml:space="preserve">Ahora, si bien es cierto que resulta ser parte en el juicio contencioso el actor, la autoridad demandada, de conformidad con lo establecido con el artículo 133 de la Ley de la materia, y de acuerdo a las constancias que integran el expediente de primera instancia, que merecen pleno valor probatorio de conformidad con lo dispuesto por el artículo 173 fracción I de la Ley de Justicia Administrativa para el Estado, se establece que la </w:t>
      </w:r>
      <w:r w:rsidRPr="005D33E2">
        <w:rPr>
          <w:rFonts w:ascii="Arial" w:eastAsia="Calibri" w:hAnsi="Arial" w:cs="Arial"/>
          <w:b/>
          <w:bCs/>
          <w:sz w:val="26"/>
          <w:szCs w:val="26"/>
        </w:rPr>
        <w:t>TESORERA MUNICIPAL DE OAXACA DE JUÁREZ,</w:t>
      </w:r>
      <w:r w:rsidRPr="005D33E2">
        <w:rPr>
          <w:rFonts w:ascii="Arial" w:eastAsia="Calibri" w:hAnsi="Arial" w:cs="Arial"/>
          <w:bCs/>
          <w:sz w:val="26"/>
          <w:szCs w:val="26"/>
        </w:rPr>
        <w:t xml:space="preserve"> resulta ser autoridad demandada y por tanto parte en el juicio; también es cierto que </w:t>
      </w:r>
      <w:r w:rsidR="000405C3" w:rsidRPr="005D33E2">
        <w:rPr>
          <w:rFonts w:ascii="Arial" w:eastAsia="Calibri" w:hAnsi="Arial" w:cs="Arial"/>
          <w:bCs/>
          <w:sz w:val="26"/>
          <w:szCs w:val="26"/>
        </w:rPr>
        <w:t>el acto</w:t>
      </w:r>
      <w:r w:rsidRPr="005D33E2">
        <w:rPr>
          <w:rFonts w:ascii="Arial" w:eastAsia="Calibri" w:hAnsi="Arial" w:cs="Arial"/>
          <w:bCs/>
          <w:sz w:val="26"/>
          <w:szCs w:val="26"/>
        </w:rPr>
        <w:t xml:space="preserve"> impugnado</w:t>
      </w:r>
      <w:r w:rsidR="000405C3" w:rsidRPr="005D33E2">
        <w:rPr>
          <w:rFonts w:ascii="Arial" w:eastAsia="Calibri" w:hAnsi="Arial" w:cs="Arial"/>
          <w:bCs/>
          <w:sz w:val="26"/>
          <w:szCs w:val="26"/>
        </w:rPr>
        <w:t xml:space="preserve"> y del</w:t>
      </w:r>
      <w:r w:rsidRPr="005D33E2">
        <w:rPr>
          <w:rFonts w:ascii="Arial" w:eastAsia="Calibri" w:hAnsi="Arial" w:cs="Arial"/>
          <w:bCs/>
          <w:sz w:val="26"/>
          <w:szCs w:val="26"/>
        </w:rPr>
        <w:t xml:space="preserve"> que se declaró su nulidad lo constituye el acta infracción de folio </w:t>
      </w:r>
      <w:r w:rsidR="000405C3" w:rsidRPr="005D33E2">
        <w:rPr>
          <w:rFonts w:ascii="Arial" w:eastAsia="Calibri" w:hAnsi="Arial" w:cs="Arial"/>
          <w:bCs/>
          <w:sz w:val="26"/>
          <w:szCs w:val="26"/>
        </w:rPr>
        <w:t>2543 de 28</w:t>
      </w:r>
      <w:r w:rsidRPr="005D33E2">
        <w:rPr>
          <w:rFonts w:ascii="Arial" w:eastAsia="Calibri" w:hAnsi="Arial" w:cs="Arial"/>
          <w:bCs/>
          <w:sz w:val="26"/>
          <w:szCs w:val="26"/>
        </w:rPr>
        <w:t xml:space="preserve"> </w:t>
      </w:r>
      <w:r w:rsidR="000405C3" w:rsidRPr="005D33E2">
        <w:rPr>
          <w:rFonts w:ascii="Arial" w:eastAsia="Calibri" w:hAnsi="Arial" w:cs="Arial"/>
          <w:bCs/>
          <w:sz w:val="26"/>
          <w:szCs w:val="26"/>
        </w:rPr>
        <w:t>veintiocho de febrero</w:t>
      </w:r>
      <w:r w:rsidRPr="005D33E2">
        <w:rPr>
          <w:rFonts w:ascii="Arial" w:eastAsia="Calibri" w:hAnsi="Arial" w:cs="Arial"/>
          <w:bCs/>
          <w:sz w:val="26"/>
          <w:szCs w:val="26"/>
        </w:rPr>
        <w:t xml:space="preserve"> de 2017 dos mil diecisiete, la cual fue emitida por una autoridad diversa, presumiblemente, en el marco de sus atribuciones legales. </w:t>
      </w:r>
    </w:p>
    <w:p w:rsidR="003778E0" w:rsidRPr="005D33E2" w:rsidRDefault="003778E0" w:rsidP="003778E0">
      <w:pPr>
        <w:spacing w:line="360" w:lineRule="auto"/>
        <w:ind w:firstLine="709"/>
        <w:jc w:val="both"/>
        <w:rPr>
          <w:rFonts w:ascii="Arial" w:eastAsia="Calibri" w:hAnsi="Arial" w:cs="Arial"/>
          <w:bCs/>
          <w:sz w:val="26"/>
          <w:szCs w:val="26"/>
        </w:rPr>
      </w:pPr>
      <w:r w:rsidRPr="005D33E2">
        <w:rPr>
          <w:rFonts w:ascii="Arial" w:eastAsia="Calibri" w:hAnsi="Arial" w:cs="Arial"/>
          <w:bCs/>
          <w:sz w:val="26"/>
          <w:szCs w:val="26"/>
        </w:rPr>
        <w:t xml:space="preserve">Y, tal acto fue atribuido a autoridad diversa a la que hoy recurre, como así fue determinado en la sentencia en revisión, al indicar que fue emitida por POLICÍA VIAL, en donde aun cuando la </w:t>
      </w:r>
      <w:r w:rsidRPr="005D33E2">
        <w:rPr>
          <w:rFonts w:ascii="Arial" w:eastAsia="Calibri" w:hAnsi="Arial" w:cs="Arial"/>
          <w:b/>
          <w:bCs/>
          <w:sz w:val="26"/>
          <w:szCs w:val="26"/>
        </w:rPr>
        <w:t>TESORERA MUNICIPAL DE OAXACA DE JUÁREZ</w:t>
      </w:r>
      <w:r w:rsidRPr="005D33E2">
        <w:rPr>
          <w:rFonts w:ascii="Arial" w:eastAsia="Calibri" w:hAnsi="Arial" w:cs="Arial"/>
          <w:bCs/>
          <w:sz w:val="26"/>
          <w:szCs w:val="26"/>
        </w:rPr>
        <w:t>, fue parte como Autoridad demandada, lo cierto es que no cuenta con legitimación para impugnar la determinación de declarar nulo ese acto de autoridad diversa, pues debe entenderse la legitimación, como la aptitud de ser parte en el proceso concreto, pero únicamente la que se encuentra en determinada relación, con la pretensión que tratándose del recurso, solo atañe a quien pueda causarle perjuicio jurídico la decisión; esto es, que la sentencia impugnada le agravie directamente en su actuación para así ver justificado su interés en que sea modificada o revocada esa decisión.</w:t>
      </w:r>
    </w:p>
    <w:p w:rsidR="003778E0" w:rsidRPr="005D33E2" w:rsidRDefault="003778E0" w:rsidP="003778E0">
      <w:pPr>
        <w:spacing w:line="360" w:lineRule="auto"/>
        <w:ind w:firstLine="709"/>
        <w:jc w:val="both"/>
        <w:rPr>
          <w:rFonts w:ascii="Arial" w:eastAsia="Calibri" w:hAnsi="Arial" w:cs="Arial"/>
          <w:bCs/>
          <w:sz w:val="26"/>
          <w:szCs w:val="26"/>
        </w:rPr>
      </w:pPr>
      <w:r w:rsidRPr="005D33E2">
        <w:rPr>
          <w:rFonts w:ascii="Arial" w:eastAsia="Calibri" w:hAnsi="Arial" w:cs="Arial"/>
          <w:bCs/>
          <w:sz w:val="26"/>
          <w:szCs w:val="26"/>
        </w:rPr>
        <w:lastRenderedPageBreak/>
        <w:t xml:space="preserve">De tal manera, que como sucede en la especie, la nulidad decretada fue respecto del acta de infracción emitida por POLICÍA VIAL, </w:t>
      </w:r>
      <w:r w:rsidRPr="005D33E2">
        <w:rPr>
          <w:rFonts w:ascii="Arial" w:eastAsia="Calibri" w:hAnsi="Arial" w:cs="Arial"/>
          <w:b/>
          <w:bCs/>
          <w:sz w:val="26"/>
          <w:szCs w:val="26"/>
        </w:rPr>
        <w:t xml:space="preserve">por lo que </w:t>
      </w:r>
      <w:r w:rsidRPr="005D33E2">
        <w:rPr>
          <w:rFonts w:ascii="Arial" w:eastAsia="Calibri" w:hAnsi="Arial" w:cs="Arial"/>
          <w:bCs/>
          <w:sz w:val="26"/>
          <w:szCs w:val="26"/>
        </w:rPr>
        <w:t xml:space="preserve">solo a dicha autoridad corresponde la legitimación ad causam para impugnarlas en lo atinente a tal declaración de nulidad y sus efectos. </w:t>
      </w:r>
    </w:p>
    <w:p w:rsidR="003778E0" w:rsidRPr="005D33E2" w:rsidRDefault="003778E0" w:rsidP="003778E0">
      <w:pPr>
        <w:spacing w:after="0" w:line="360" w:lineRule="auto"/>
        <w:ind w:firstLine="708"/>
        <w:jc w:val="both"/>
        <w:rPr>
          <w:rFonts w:ascii="Arial" w:eastAsia="Calibri" w:hAnsi="Arial" w:cs="Arial"/>
          <w:bCs/>
          <w:sz w:val="26"/>
          <w:szCs w:val="26"/>
        </w:rPr>
      </w:pPr>
      <w:r w:rsidRPr="005D33E2">
        <w:rPr>
          <w:rFonts w:ascii="Arial" w:eastAsia="Calibri" w:hAnsi="Arial" w:cs="Arial"/>
          <w:bCs/>
          <w:sz w:val="26"/>
          <w:szCs w:val="26"/>
        </w:rPr>
        <w:t xml:space="preserve">Sirve de apoyo el criterio que en similar visión jurídica emitió el Octavo Tribunal Colegiado en Materia Administrativa del Primer Circuito, en su Novena Época, publicada en el Gaceta del Semanario Judicial de la Federación, Tomo XXIX en mayo de 2009, consultable a página 1119, registro 167181, cuyo y rubro y texto son los siguientes: </w:t>
      </w:r>
    </w:p>
    <w:p w:rsidR="003778E0" w:rsidRPr="00566D23" w:rsidRDefault="003778E0" w:rsidP="003778E0">
      <w:pPr>
        <w:spacing w:after="0" w:line="360" w:lineRule="auto"/>
        <w:jc w:val="both"/>
        <w:rPr>
          <w:rFonts w:ascii="Arial" w:eastAsia="Calibri" w:hAnsi="Arial" w:cs="Arial"/>
          <w:sz w:val="26"/>
          <w:szCs w:val="26"/>
        </w:rPr>
      </w:pPr>
    </w:p>
    <w:p w:rsidR="003778E0" w:rsidRDefault="00CB1506" w:rsidP="0026408A">
      <w:pPr>
        <w:spacing w:after="0" w:line="360" w:lineRule="auto"/>
        <w:ind w:left="708" w:right="757"/>
        <w:jc w:val="both"/>
        <w:rPr>
          <w:rFonts w:ascii="Arial" w:eastAsia="Calibri" w:hAnsi="Arial" w:cs="Arial"/>
          <w:i/>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14:anchorId="5DDF450A" wp14:editId="59687BC7">
                <wp:simplePos x="0" y="0"/>
                <wp:positionH relativeFrom="column">
                  <wp:posOffset>5724525</wp:posOffset>
                </wp:positionH>
                <wp:positionV relativeFrom="paragraph">
                  <wp:posOffset>3749040</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CB1506" w:rsidRDefault="00CB1506" w:rsidP="00CB1506">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DDF450A" id="Cuadro de texto 2" o:spid="_x0000_s1027" type="#_x0000_t202" style="position:absolute;left:0;text-align:left;margin-left:450.75pt;margin-top:295.2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lDGLg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">
                <v:textbox>
                  <w:txbxContent>
                    <w:p w:rsidR="00CB1506" w:rsidRDefault="00CB1506" w:rsidP="00CB1506">
                      <w:pPr>
                        <w:rPr>
                          <w:sz w:val="16"/>
                          <w:szCs w:val="16"/>
                        </w:rPr>
                      </w:pPr>
                      <w:r>
                        <w:rPr>
                          <w:sz w:val="16"/>
                          <w:szCs w:val="16"/>
                        </w:rPr>
                        <w:t>Datos personales protegidos por el Art. 116 de la LGTAIP y el Art. 56 de la LTAIPEO</w:t>
                      </w:r>
                    </w:p>
                  </w:txbxContent>
                </v:textbox>
              </v:shape>
            </w:pict>
          </mc:Fallback>
        </mc:AlternateContent>
      </w:r>
      <w:r w:rsidR="003778E0" w:rsidRPr="00D32226">
        <w:rPr>
          <w:rFonts w:ascii="Arial" w:eastAsia="Calibri" w:hAnsi="Arial" w:cs="Arial"/>
          <w:i/>
        </w:rPr>
        <w:t>“</w:t>
      </w:r>
      <w:r w:rsidR="003778E0" w:rsidRPr="00D32226">
        <w:rPr>
          <w:rFonts w:ascii="Arial" w:eastAsia="Calibri" w:hAnsi="Arial" w:cs="Arial"/>
          <w:b/>
          <w:i/>
        </w:rPr>
        <w:t xml:space="preserve">REVISIÓN CONTENCIOSA ADMINISTRATIVA. LA LEGITIMACIÓN PARA INTERPONER DICHO RECURSO NO SÓLO IMPLICA QUE EL PROMOVENTE SEA AUTORIDAD, SINO TAMBIÉN QUE LA SENTENCIA IMPUGNADA LE AGRAVIE. </w:t>
      </w:r>
      <w:r w:rsidR="003778E0" w:rsidRPr="00D32226">
        <w:rPr>
          <w:rFonts w:ascii="Arial" w:eastAsia="Calibri" w:hAnsi="Arial" w:cs="Arial"/>
          <w:i/>
        </w:rPr>
        <w:t>De los artículos 87 y 88 de la Ley del Tribunal 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promovente sea autoridad, sino también que la sentencia impugnada le agravie, con lo que se justifica su interés en que sea modificada o revocada”.</w:t>
      </w:r>
    </w:p>
    <w:p w:rsidR="0026408A" w:rsidRPr="0026408A" w:rsidRDefault="0026408A" w:rsidP="0026408A">
      <w:pPr>
        <w:spacing w:after="0" w:line="360" w:lineRule="auto"/>
        <w:ind w:left="708" w:right="757"/>
        <w:jc w:val="both"/>
        <w:rPr>
          <w:rFonts w:ascii="Arial" w:eastAsia="Calibri" w:hAnsi="Arial" w:cs="Arial"/>
          <w:b/>
          <w:i/>
        </w:rPr>
      </w:pPr>
    </w:p>
    <w:p w:rsidR="003778E0" w:rsidRPr="005D33E2" w:rsidRDefault="003778E0" w:rsidP="003778E0">
      <w:pPr>
        <w:spacing w:line="360" w:lineRule="auto"/>
        <w:ind w:firstLine="709"/>
        <w:jc w:val="both"/>
        <w:rPr>
          <w:rFonts w:ascii="Arial" w:hAnsi="Arial" w:cs="Arial"/>
          <w:sz w:val="26"/>
          <w:szCs w:val="26"/>
        </w:rPr>
      </w:pPr>
      <w:r w:rsidRPr="005D33E2">
        <w:rPr>
          <w:rFonts w:ascii="Arial" w:eastAsia="Calibri" w:hAnsi="Arial" w:cs="Arial"/>
          <w:bCs/>
          <w:sz w:val="26"/>
          <w:szCs w:val="26"/>
        </w:rPr>
        <w:t xml:space="preserve">En el caso, importa destacar que la legitimación es una institución jurídica que tiene dos vertientes a saber, como presupuesto procesal y como una condición para obtener sentencia favorable. Así existe la legitimación ad procesum y la legitimación ad causam. La legitimación </w:t>
      </w:r>
      <w:r w:rsidRPr="005D33E2">
        <w:rPr>
          <w:rFonts w:ascii="Arial" w:eastAsia="Calibri" w:hAnsi="Arial" w:cs="Arial"/>
          <w:b/>
          <w:bCs/>
          <w:i/>
          <w:sz w:val="26"/>
          <w:szCs w:val="26"/>
        </w:rPr>
        <w:t xml:space="preserve">ad procesum </w:t>
      </w:r>
      <w:r w:rsidRPr="005D33E2">
        <w:rPr>
          <w:rFonts w:ascii="Arial" w:eastAsia="Calibri" w:hAnsi="Arial" w:cs="Arial"/>
          <w:bCs/>
          <w:sz w:val="26"/>
          <w:szCs w:val="26"/>
        </w:rPr>
        <w:t xml:space="preserve">como presupuesto procesal es la aptitud para comparecer a juicio por sí mismo o bien porque se trate de un representante del titular del derecho violentado o bien de quien estima se ha transgredido su esfera objetiva de derechos. De tal suerte, que por esta legitimación ad procesum se está en la posibilidad de actuar dentro del procedimiento. Mientras tanto, la legitimación </w:t>
      </w:r>
      <w:r w:rsidRPr="005D33E2">
        <w:rPr>
          <w:rFonts w:ascii="Arial" w:eastAsia="Calibri" w:hAnsi="Arial" w:cs="Arial"/>
          <w:b/>
          <w:bCs/>
          <w:i/>
          <w:sz w:val="26"/>
          <w:szCs w:val="26"/>
        </w:rPr>
        <w:t xml:space="preserve">ad causam </w:t>
      </w:r>
      <w:r w:rsidRPr="005D33E2">
        <w:rPr>
          <w:rFonts w:ascii="Arial" w:eastAsia="Calibri" w:hAnsi="Arial" w:cs="Arial"/>
          <w:bCs/>
          <w:sz w:val="26"/>
          <w:szCs w:val="26"/>
        </w:rPr>
        <w:t xml:space="preserve">no es un presupuesto procesal, sino que es la relativa al derecho que se </w:t>
      </w:r>
      <w:r w:rsidRPr="005D33E2">
        <w:rPr>
          <w:rFonts w:ascii="Arial" w:eastAsia="Calibri" w:hAnsi="Arial" w:cs="Arial"/>
          <w:bCs/>
          <w:sz w:val="26"/>
          <w:szCs w:val="26"/>
        </w:rPr>
        <w:lastRenderedPageBreak/>
        <w:t xml:space="preserve">tiene de obtener una sentencia favorable por un derecho que realmente le corresponde y dado que es una cuestión referente al fondo del asunto sólo puede analizarse al dictar sentencia. Así fue considerado por el Tercer Tribunal Colegiado en Materia Civil  del Sexto Circuito en la novena época al emitir la jurisprudencia </w:t>
      </w:r>
      <w:r w:rsidRPr="005D33E2">
        <w:rPr>
          <w:rFonts w:ascii="Arial" w:hAnsi="Arial" w:cs="Arial"/>
          <w:sz w:val="26"/>
          <w:szCs w:val="26"/>
        </w:rPr>
        <w:t>VI.3o.C. J/67 que se encuentra publicada en el Semanario Judicial de la Federación y su Gaceta Tomo XXVIII, de Julio de 2008 y visible a página 1600  con el rubro y texto del tenor literal siguiente:</w:t>
      </w:r>
    </w:p>
    <w:p w:rsidR="003778E0" w:rsidRPr="00D32226" w:rsidRDefault="003778E0" w:rsidP="003778E0">
      <w:pPr>
        <w:spacing w:after="0" w:line="360" w:lineRule="auto"/>
        <w:ind w:left="851" w:right="778"/>
        <w:jc w:val="both"/>
        <w:rPr>
          <w:rFonts w:ascii="Arial" w:eastAsia="Calibri" w:hAnsi="Arial" w:cs="Arial"/>
          <w:bCs/>
          <w:i/>
          <w:sz w:val="24"/>
          <w:szCs w:val="24"/>
        </w:rPr>
      </w:pPr>
      <w:r>
        <w:rPr>
          <w:rFonts w:ascii="Arial" w:hAnsi="Arial" w:cs="Arial"/>
          <w:i/>
        </w:rPr>
        <w:t>“</w:t>
      </w:r>
      <w:r w:rsidRPr="00D32226">
        <w:rPr>
          <w:rFonts w:ascii="Arial" w:hAnsi="Arial" w:cs="Arial"/>
          <w:b/>
          <w:i/>
        </w:rPr>
        <w:t>LEGITIMACIÓN EN LA CAUSA. SÓLO PUEDE ESTUDIARSE EN LA SENTENCIA DEFINITIVA</w:t>
      </w:r>
      <w:r w:rsidRPr="00D32226">
        <w:rPr>
          <w:rFonts w:ascii="Arial" w:hAnsi="Arial" w:cs="Arial"/>
          <w:i/>
        </w:rPr>
        <w:t>. Debe distinguirse la legitimación en el proceso, de la legitimación en la causa. La primera es un presupuesto del procedimiento que se refiere o a la capacidad para comparecer al juicio, para lo cual se requiere que el compareciente esté en pleno ejercicio de sus derechos civiles, o a la representación de quien comparece a nombre de otro. En este sentido, siendo la legitimación ad procesum un presupuesto procesal, puede examinarse en cualquier momento del juicio, pues si el actor carece de capacidad para comparecer a él o no justifica ser el representante legal del demandante, sería ociosa la continuación de un proceso seguido por quien no puede apersonarse en el mismo. En cambio, la legitimación en la causa, no es un presupuesto procesal, sino una condición para obtener sentencia favorable. En efecto, ésta consiste en la identidad del actor con la persona a cuyo favor está la ley; en consecuencia, el actor estará legitimado en la causa cuando ejercita un derecho que realmente le corresponde. Como se ve, la legitimación ad causam atañe al fondo de la cuestión litigiosa y, por tanto, lógicamente, sólo puede analizarse en el momento en que se pronuncie la sentencia definitiva.</w:t>
      </w:r>
      <w:r>
        <w:rPr>
          <w:rFonts w:ascii="Arial" w:hAnsi="Arial" w:cs="Arial"/>
          <w:i/>
        </w:rPr>
        <w:t>”</w:t>
      </w:r>
    </w:p>
    <w:p w:rsidR="003778E0" w:rsidRDefault="003778E0" w:rsidP="003778E0">
      <w:pPr>
        <w:spacing w:line="360" w:lineRule="auto"/>
        <w:ind w:firstLine="709"/>
        <w:jc w:val="both"/>
        <w:rPr>
          <w:rFonts w:ascii="Arial" w:eastAsia="Calibri" w:hAnsi="Arial" w:cs="Arial"/>
          <w:bCs/>
          <w:sz w:val="24"/>
          <w:szCs w:val="24"/>
        </w:rPr>
      </w:pPr>
    </w:p>
    <w:p w:rsidR="003778E0" w:rsidRPr="005D33E2" w:rsidRDefault="003778E0" w:rsidP="003778E0">
      <w:pPr>
        <w:spacing w:line="360" w:lineRule="auto"/>
        <w:ind w:firstLine="709"/>
        <w:jc w:val="both"/>
        <w:rPr>
          <w:rFonts w:ascii="Arial" w:eastAsia="Calibri" w:hAnsi="Arial" w:cs="Arial"/>
          <w:bCs/>
          <w:sz w:val="26"/>
          <w:szCs w:val="26"/>
        </w:rPr>
      </w:pPr>
      <w:r w:rsidRPr="005D33E2">
        <w:rPr>
          <w:rFonts w:ascii="Arial" w:hAnsi="Arial" w:cs="Arial"/>
          <w:sz w:val="26"/>
          <w:szCs w:val="26"/>
        </w:rPr>
        <w:t>Así mismo, se ha considerado en la jurisprudencia 2a./J. 75/97 de la  Segunda Sala de la Suprema Corte de Justicia de la Nación, también emitida en la novena época. Semanario Judicial de la Federación y su Gaceta. Tomo VII, Enero de 1998, Pág. 351.</w:t>
      </w:r>
    </w:p>
    <w:p w:rsidR="003778E0" w:rsidRPr="005D33E2" w:rsidRDefault="003778E0" w:rsidP="005D33E2">
      <w:pPr>
        <w:spacing w:line="360" w:lineRule="auto"/>
        <w:ind w:left="851" w:right="778"/>
        <w:jc w:val="both"/>
        <w:rPr>
          <w:rFonts w:ascii="Arial" w:eastAsia="Calibri" w:hAnsi="Arial" w:cs="Arial"/>
          <w:bCs/>
          <w:i/>
        </w:rPr>
      </w:pPr>
      <w:r w:rsidRPr="00D32226">
        <w:rPr>
          <w:rFonts w:ascii="Arial" w:hAnsi="Arial" w:cs="Arial"/>
          <w:i/>
        </w:rPr>
        <w:t>“</w:t>
      </w:r>
      <w:r w:rsidRPr="00D32226">
        <w:rPr>
          <w:rFonts w:ascii="Arial" w:hAnsi="Arial" w:cs="Arial"/>
          <w:b/>
          <w:i/>
        </w:rPr>
        <w:t>LEGITIMACIÓN PROCESAL ACTIVA. CONCEPTO.</w:t>
      </w:r>
      <w:r w:rsidRPr="00D32226">
        <w:rPr>
          <w:rFonts w:ascii="Arial" w:hAnsi="Arial" w:cs="Arial"/>
          <w:i/>
        </w:rPr>
        <w:t xml:space="preserve"> Por legitimación procesal activa se entiende la potestad legal para acudir al órgano jurisdiccional con la petición de que se inicie la tramitación del juicio o de una instancia. A esta legitimación se le conoce con el nombre de ad procesum y se produce cuando el derecho que se cuestionará en el juicio es ejercitado en el proceso por quien tiene aptitud para hacerlo valer, a diferencia de la </w:t>
      </w:r>
      <w:r w:rsidRPr="00D32226">
        <w:rPr>
          <w:rFonts w:ascii="Arial" w:hAnsi="Arial" w:cs="Arial"/>
          <w:i/>
        </w:rPr>
        <w:lastRenderedPageBreak/>
        <w:t>legitimación ad causam que implica tener la titularidad de ese derecho cuestionado en el juicio. La legitimación en el proceso se produce cuando la acción es ejercitada en el juicio por aquel que tiene aptitud para hacer valer el derecho que se cuestionará, bien porque se ostente como titular de ese derecho o bien porque cuente con la representación legal de dicho titular. La legitimación ad procesum es requisito para la procedencia del juicio, mientras que la ad causam, lo es para que se pronuncie sentencia favorable.”</w:t>
      </w:r>
    </w:p>
    <w:p w:rsidR="003778E0" w:rsidRPr="005D33E2" w:rsidRDefault="003778E0" w:rsidP="003778E0">
      <w:pPr>
        <w:spacing w:after="0" w:line="360" w:lineRule="auto"/>
        <w:jc w:val="both"/>
        <w:rPr>
          <w:rFonts w:ascii="Arial" w:eastAsia="Calibri" w:hAnsi="Arial" w:cs="Arial"/>
          <w:sz w:val="26"/>
          <w:szCs w:val="26"/>
        </w:rPr>
      </w:pPr>
      <w:r>
        <w:rPr>
          <w:rFonts w:ascii="Arial" w:eastAsia="Calibri" w:hAnsi="Arial" w:cs="Arial"/>
          <w:sz w:val="24"/>
          <w:szCs w:val="24"/>
        </w:rPr>
        <w:tab/>
      </w:r>
      <w:r w:rsidRPr="005D33E2">
        <w:rPr>
          <w:rFonts w:ascii="Arial" w:eastAsia="Calibri" w:hAnsi="Arial" w:cs="Arial"/>
          <w:sz w:val="26"/>
          <w:szCs w:val="26"/>
        </w:rPr>
        <w:t xml:space="preserve">Se reitera, en el caso no le asiste la razón a la </w:t>
      </w:r>
      <w:r w:rsidRPr="005D33E2">
        <w:rPr>
          <w:rFonts w:ascii="Arial" w:eastAsia="Calibri" w:hAnsi="Arial" w:cs="Arial"/>
          <w:bCs/>
          <w:sz w:val="26"/>
          <w:szCs w:val="26"/>
        </w:rPr>
        <w:t>Tesorera Municipal de Oaxaca de Juárez</w:t>
      </w:r>
      <w:r w:rsidRPr="005D33E2">
        <w:rPr>
          <w:rFonts w:ascii="Arial" w:eastAsia="Calibri" w:hAnsi="Arial" w:cs="Arial"/>
          <w:sz w:val="26"/>
          <w:szCs w:val="26"/>
        </w:rPr>
        <w:t xml:space="preserve">, para recurrir la sentencia en los términos en que lo hace, por las siguientes razones: </w:t>
      </w:r>
      <w:r w:rsidRPr="005D33E2">
        <w:rPr>
          <w:rFonts w:ascii="Arial" w:eastAsia="Calibri" w:hAnsi="Arial" w:cs="Arial"/>
          <w:b/>
          <w:sz w:val="26"/>
          <w:szCs w:val="26"/>
        </w:rPr>
        <w:t xml:space="preserve">a) </w:t>
      </w:r>
      <w:r w:rsidRPr="005D33E2">
        <w:rPr>
          <w:rFonts w:ascii="Arial" w:eastAsia="Calibri" w:hAnsi="Arial" w:cs="Arial"/>
          <w:sz w:val="26"/>
          <w:szCs w:val="26"/>
        </w:rPr>
        <w:t xml:space="preserve">el acto combatido (acta de infracción de tránsito) fue emitido por una autoridad diversa, por lo tanto la validez o nulidad decretada no interfiere con el ejercicio de una actuación suya; </w:t>
      </w:r>
      <w:r w:rsidRPr="005D33E2">
        <w:rPr>
          <w:rFonts w:ascii="Arial" w:eastAsia="Calibri" w:hAnsi="Arial" w:cs="Arial"/>
          <w:b/>
          <w:sz w:val="26"/>
          <w:szCs w:val="26"/>
        </w:rPr>
        <w:t xml:space="preserve">b) </w:t>
      </w:r>
      <w:r w:rsidRPr="005D33E2">
        <w:rPr>
          <w:rFonts w:ascii="Arial" w:eastAsia="Calibri" w:hAnsi="Arial" w:cs="Arial"/>
          <w:sz w:val="26"/>
          <w:szCs w:val="26"/>
        </w:rPr>
        <w:t xml:space="preserve">la recurrente no puede válidamente defender una actuación que le es ajena, porque sería imposible jurídica y fácticamente que realice la defensa sobre actos que desconoce su origen y motivo de existir, además que el acta de infracción de tránsito no constituye un acto que le corresponda emitir en el ejercicio de sus atribuciones y, </w:t>
      </w:r>
      <w:r w:rsidRPr="005D33E2">
        <w:rPr>
          <w:rFonts w:ascii="Arial" w:eastAsia="Calibri" w:hAnsi="Arial" w:cs="Arial"/>
          <w:b/>
          <w:sz w:val="26"/>
          <w:szCs w:val="26"/>
        </w:rPr>
        <w:t xml:space="preserve">c)  </w:t>
      </w:r>
      <w:r w:rsidRPr="005D33E2">
        <w:rPr>
          <w:rFonts w:ascii="Arial" w:eastAsia="Calibri" w:hAnsi="Arial" w:cs="Arial"/>
          <w:sz w:val="26"/>
          <w:szCs w:val="26"/>
        </w:rPr>
        <w:t>en la sentencia se decretó la nulidad del acta de infracción combatida y no la nulidad de la actuación del aquí disconforme.</w:t>
      </w:r>
    </w:p>
    <w:p w:rsidR="003778E0" w:rsidRPr="005D33E2" w:rsidRDefault="003778E0" w:rsidP="003778E0">
      <w:pPr>
        <w:spacing w:after="0" w:line="360" w:lineRule="auto"/>
        <w:jc w:val="both"/>
        <w:rPr>
          <w:rFonts w:ascii="Arial" w:eastAsia="Calibri" w:hAnsi="Arial" w:cs="Arial"/>
          <w:sz w:val="26"/>
          <w:szCs w:val="26"/>
        </w:rPr>
      </w:pPr>
    </w:p>
    <w:p w:rsidR="003778E0" w:rsidRPr="005D33E2" w:rsidRDefault="00CB1506" w:rsidP="003778E0">
      <w:pPr>
        <w:spacing w:after="0" w:line="360" w:lineRule="auto"/>
        <w:jc w:val="both"/>
        <w:rPr>
          <w:rFonts w:ascii="Arial" w:eastAsia="Calibri"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3360" behindDoc="0" locked="0" layoutInCell="1" allowOverlap="1" wp14:anchorId="54D86A68" wp14:editId="0D76F1C6">
                <wp:simplePos x="0" y="0"/>
                <wp:positionH relativeFrom="column">
                  <wp:posOffset>5619750</wp:posOffset>
                </wp:positionH>
                <wp:positionV relativeFrom="paragraph">
                  <wp:posOffset>1030605</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CB1506" w:rsidRDefault="00CB1506" w:rsidP="00CB1506">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4D86A68" id="Cuadro de texto 3" o:spid="_x0000_s1028" type="#_x0000_t202" style="position:absolute;left:0;text-align:left;margin-left:442.5pt;margin-top:81.1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">
                <v:textbox>
                  <w:txbxContent>
                    <w:p w:rsidR="00CB1506" w:rsidRDefault="00CB1506" w:rsidP="00CB1506">
                      <w:pPr>
                        <w:rPr>
                          <w:sz w:val="16"/>
                          <w:szCs w:val="16"/>
                        </w:rPr>
                      </w:pPr>
                      <w:r>
                        <w:rPr>
                          <w:sz w:val="16"/>
                          <w:szCs w:val="16"/>
                        </w:rPr>
                        <w:t>Datos personales protegidos por el Art. 116 de la LGTAIP y el Art. 56 de la LTAIPEO</w:t>
                      </w:r>
                    </w:p>
                  </w:txbxContent>
                </v:textbox>
              </v:shape>
            </w:pict>
          </mc:Fallback>
        </mc:AlternateContent>
      </w:r>
      <w:r w:rsidR="003778E0" w:rsidRPr="005D33E2">
        <w:rPr>
          <w:rFonts w:ascii="Arial" w:eastAsia="Calibri" w:hAnsi="Arial" w:cs="Arial"/>
          <w:sz w:val="26"/>
          <w:szCs w:val="26"/>
        </w:rPr>
        <w:tab/>
        <w:t xml:space="preserve">De ahí, que aun cuando de autos se desprende que la </w:t>
      </w:r>
      <w:r w:rsidR="003778E0" w:rsidRPr="005D33E2">
        <w:rPr>
          <w:rFonts w:ascii="Arial" w:eastAsia="Calibri" w:hAnsi="Arial" w:cs="Arial"/>
          <w:bCs/>
          <w:sz w:val="26"/>
          <w:szCs w:val="26"/>
        </w:rPr>
        <w:t>TESORERA MUNICIPAL DE OAXACA DE JUÁREZ</w:t>
      </w:r>
      <w:r w:rsidR="003778E0" w:rsidRPr="005D33E2">
        <w:rPr>
          <w:rFonts w:ascii="Arial" w:eastAsia="Calibri" w:hAnsi="Arial" w:cs="Arial"/>
          <w:sz w:val="26"/>
          <w:szCs w:val="26"/>
        </w:rPr>
        <w:t xml:space="preserve"> es parte en el juicio al haber sido señalada como demandada, también lo es que ese carácter le resultó por vía de consecuencia, por el cobro de la cantidad que aparece en el recibo de pago que fue anexado a la demanda,</w:t>
      </w:r>
      <w:r w:rsidRPr="00CB1506">
        <w:rPr>
          <w:rFonts w:ascii="Times New Roman" w:hAnsi="Times New Roman" w:cs="Times New Roman"/>
          <w:sz w:val="24"/>
          <w:szCs w:val="24"/>
          <w:lang w:val="es-MX" w:eastAsia="es-MX"/>
        </w:rPr>
        <w:t xml:space="preserve"> </w:t>
      </w:r>
      <w:r w:rsidR="003778E0" w:rsidRPr="005D33E2">
        <w:rPr>
          <w:rFonts w:ascii="Arial" w:eastAsia="Calibri" w:hAnsi="Arial" w:cs="Arial"/>
          <w:sz w:val="26"/>
          <w:szCs w:val="26"/>
        </w:rPr>
        <w:t xml:space="preserve"> </w:t>
      </w:r>
      <w:r w:rsidR="003778E0" w:rsidRPr="005D33E2">
        <w:rPr>
          <w:rFonts w:ascii="Arial" w:eastAsia="Calibri" w:hAnsi="Arial" w:cs="Arial"/>
          <w:b/>
          <w:i/>
          <w:sz w:val="26"/>
          <w:szCs w:val="26"/>
        </w:rPr>
        <w:t>pues así fue considerado por la primera instancia en el fallo recurrido</w:t>
      </w:r>
      <w:r w:rsidR="003778E0" w:rsidRPr="005D33E2">
        <w:rPr>
          <w:rFonts w:ascii="Arial" w:eastAsia="Calibri" w:hAnsi="Arial" w:cs="Arial"/>
          <w:sz w:val="26"/>
          <w:szCs w:val="26"/>
        </w:rPr>
        <w:t xml:space="preserve"> y no, de primera mano, por haber emitido el acto combatido (</w:t>
      </w:r>
      <w:r w:rsidR="003778E0" w:rsidRPr="005D33E2">
        <w:rPr>
          <w:rFonts w:ascii="Arial" w:eastAsia="Calibri" w:hAnsi="Arial" w:cs="Arial"/>
          <w:bCs/>
          <w:sz w:val="26"/>
          <w:szCs w:val="26"/>
        </w:rPr>
        <w:t xml:space="preserve">acta de infracción de folio </w:t>
      </w:r>
      <w:r w:rsidR="000405C3" w:rsidRPr="005D33E2">
        <w:rPr>
          <w:rFonts w:ascii="Arial" w:eastAsia="Calibri" w:hAnsi="Arial" w:cs="Arial"/>
          <w:bCs/>
          <w:sz w:val="26"/>
          <w:szCs w:val="26"/>
        </w:rPr>
        <w:t>2543 de 28</w:t>
      </w:r>
      <w:r w:rsidR="003778E0" w:rsidRPr="005D33E2">
        <w:rPr>
          <w:rFonts w:ascii="Arial" w:eastAsia="Calibri" w:hAnsi="Arial" w:cs="Arial"/>
          <w:bCs/>
          <w:sz w:val="26"/>
          <w:szCs w:val="26"/>
        </w:rPr>
        <w:t xml:space="preserve"> veinti</w:t>
      </w:r>
      <w:r w:rsidR="000405C3" w:rsidRPr="005D33E2">
        <w:rPr>
          <w:rFonts w:ascii="Arial" w:eastAsia="Calibri" w:hAnsi="Arial" w:cs="Arial"/>
          <w:bCs/>
          <w:sz w:val="26"/>
          <w:szCs w:val="26"/>
        </w:rPr>
        <w:t>ocho</w:t>
      </w:r>
      <w:r w:rsidR="003778E0" w:rsidRPr="005D33E2">
        <w:rPr>
          <w:rFonts w:ascii="Arial" w:eastAsia="Calibri" w:hAnsi="Arial" w:cs="Arial"/>
          <w:bCs/>
          <w:sz w:val="26"/>
          <w:szCs w:val="26"/>
        </w:rPr>
        <w:t xml:space="preserve"> de </w:t>
      </w:r>
      <w:r w:rsidR="000405C3" w:rsidRPr="005D33E2">
        <w:rPr>
          <w:rFonts w:ascii="Arial" w:eastAsia="Calibri" w:hAnsi="Arial" w:cs="Arial"/>
          <w:bCs/>
          <w:sz w:val="26"/>
          <w:szCs w:val="26"/>
        </w:rPr>
        <w:t>febrero</w:t>
      </w:r>
      <w:r w:rsidR="003778E0" w:rsidRPr="005D33E2">
        <w:rPr>
          <w:rFonts w:ascii="Arial" w:eastAsia="Calibri" w:hAnsi="Arial" w:cs="Arial"/>
          <w:bCs/>
          <w:sz w:val="26"/>
          <w:szCs w:val="26"/>
        </w:rPr>
        <w:t xml:space="preserve"> de 2017 dos mil diecisiete) </w:t>
      </w:r>
      <w:r w:rsidR="003778E0" w:rsidRPr="005D33E2">
        <w:rPr>
          <w:rFonts w:ascii="Arial" w:eastAsia="Calibri" w:hAnsi="Arial" w:cs="Arial"/>
          <w:b/>
          <w:bCs/>
          <w:sz w:val="26"/>
          <w:szCs w:val="26"/>
        </w:rPr>
        <w:t xml:space="preserve">por tanto, </w:t>
      </w:r>
      <w:r w:rsidR="003778E0" w:rsidRPr="005D33E2">
        <w:rPr>
          <w:rFonts w:ascii="Arial" w:eastAsia="Calibri" w:hAnsi="Arial" w:cs="Arial"/>
          <w:bCs/>
          <w:sz w:val="26"/>
          <w:szCs w:val="26"/>
        </w:rPr>
        <w:t>el estudio de la sentencia versó sobre dicha acta de infracción de tránsito y no sobre una actuación del disconforme. Ya que en todo caso, corresponde a dicho servidor público la defensa de una actuación suya y no la de una autoridad diferente.</w:t>
      </w:r>
    </w:p>
    <w:p w:rsidR="003778E0" w:rsidRPr="005D33E2" w:rsidRDefault="003778E0" w:rsidP="003778E0">
      <w:pPr>
        <w:spacing w:after="0" w:line="360" w:lineRule="auto"/>
        <w:jc w:val="both"/>
        <w:rPr>
          <w:rFonts w:ascii="Arial" w:eastAsia="Calibri" w:hAnsi="Arial" w:cs="Arial"/>
          <w:sz w:val="26"/>
          <w:szCs w:val="26"/>
        </w:rPr>
      </w:pPr>
      <w:r w:rsidRPr="005D33E2">
        <w:rPr>
          <w:rFonts w:ascii="Arial" w:eastAsia="Calibri" w:hAnsi="Arial" w:cs="Arial"/>
          <w:sz w:val="26"/>
          <w:szCs w:val="26"/>
        </w:rPr>
        <w:tab/>
      </w:r>
    </w:p>
    <w:p w:rsidR="005C54C5" w:rsidRDefault="003778E0" w:rsidP="005C54C5">
      <w:pPr>
        <w:spacing w:after="0" w:line="360" w:lineRule="auto"/>
        <w:ind w:firstLine="708"/>
        <w:jc w:val="both"/>
        <w:rPr>
          <w:rFonts w:ascii="Arial" w:eastAsia="Calibri" w:hAnsi="Arial" w:cs="Arial"/>
          <w:sz w:val="26"/>
          <w:szCs w:val="26"/>
        </w:rPr>
      </w:pPr>
      <w:r w:rsidRPr="005D33E2">
        <w:rPr>
          <w:rFonts w:ascii="Arial" w:eastAsia="Calibri" w:hAnsi="Arial" w:cs="Arial"/>
          <w:sz w:val="26"/>
          <w:szCs w:val="26"/>
        </w:rPr>
        <w:t xml:space="preserve">En consecuencia ante las anteriores consideraciones, procede </w:t>
      </w:r>
      <w:r w:rsidRPr="005D33E2">
        <w:rPr>
          <w:rFonts w:ascii="Arial" w:eastAsia="Calibri" w:hAnsi="Arial" w:cs="Arial"/>
          <w:b/>
          <w:sz w:val="26"/>
          <w:szCs w:val="26"/>
        </w:rPr>
        <w:t>CONFIRMAR</w:t>
      </w:r>
      <w:r w:rsidRPr="005D33E2">
        <w:rPr>
          <w:rFonts w:ascii="Arial" w:eastAsia="Calibri" w:hAnsi="Arial" w:cs="Arial"/>
          <w:sz w:val="26"/>
          <w:szCs w:val="26"/>
        </w:rPr>
        <w:t xml:space="preserve"> la sentencia recurrida y con fundamento en los artículos </w:t>
      </w:r>
      <w:r w:rsidR="005C54C5">
        <w:rPr>
          <w:rFonts w:ascii="Arial" w:hAnsi="Arial" w:cs="Arial"/>
          <w:sz w:val="26"/>
          <w:szCs w:val="26"/>
        </w:rPr>
        <w:lastRenderedPageBreak/>
        <w:t>207 y 208 de la Ley de Justicia Administrativa para el Estado, vigente hasta el veinte de octubre de dos mil diecisiete, se</w:t>
      </w:r>
      <w:r w:rsidRPr="005D33E2">
        <w:rPr>
          <w:rFonts w:ascii="Arial" w:eastAsia="Calibri" w:hAnsi="Arial" w:cs="Arial"/>
          <w:sz w:val="26"/>
          <w:szCs w:val="26"/>
        </w:rPr>
        <w:t>:</w:t>
      </w:r>
    </w:p>
    <w:p w:rsidR="003778E0" w:rsidRPr="005C54C5" w:rsidRDefault="005C54C5" w:rsidP="005C54C5">
      <w:pPr>
        <w:spacing w:before="240" w:line="360" w:lineRule="auto"/>
        <w:ind w:firstLine="708"/>
        <w:jc w:val="center"/>
        <w:rPr>
          <w:rFonts w:ascii="Arial" w:hAnsi="Arial" w:cs="Arial"/>
          <w:b/>
          <w:sz w:val="24"/>
          <w:szCs w:val="24"/>
        </w:rPr>
      </w:pPr>
      <w:r>
        <w:rPr>
          <w:rFonts w:ascii="Arial" w:hAnsi="Arial" w:cs="Arial"/>
          <w:b/>
          <w:sz w:val="24"/>
          <w:szCs w:val="24"/>
        </w:rPr>
        <w:t>R E S U E L V E:</w:t>
      </w:r>
    </w:p>
    <w:p w:rsidR="005D33E2" w:rsidRDefault="003778E0" w:rsidP="003778E0">
      <w:pPr>
        <w:spacing w:line="360" w:lineRule="auto"/>
        <w:ind w:firstLine="709"/>
        <w:jc w:val="both"/>
        <w:rPr>
          <w:rFonts w:ascii="Arial" w:eastAsia="Calibri" w:hAnsi="Arial" w:cs="Arial"/>
          <w:sz w:val="26"/>
          <w:szCs w:val="26"/>
        </w:rPr>
      </w:pPr>
      <w:r w:rsidRPr="005D33E2">
        <w:rPr>
          <w:rFonts w:ascii="Arial" w:eastAsia="Calibri" w:hAnsi="Arial" w:cs="Arial"/>
          <w:b/>
          <w:sz w:val="26"/>
          <w:szCs w:val="26"/>
        </w:rPr>
        <w:t>PRIMERO</w:t>
      </w:r>
      <w:r w:rsidRPr="005D33E2">
        <w:rPr>
          <w:rFonts w:ascii="Arial" w:eastAsia="Calibri" w:hAnsi="Arial" w:cs="Arial"/>
          <w:sz w:val="26"/>
          <w:szCs w:val="26"/>
        </w:rPr>
        <w:t xml:space="preserve">. Se </w:t>
      </w:r>
      <w:r w:rsidRPr="005D33E2">
        <w:rPr>
          <w:rFonts w:ascii="Arial" w:eastAsia="Calibri" w:hAnsi="Arial" w:cs="Arial"/>
          <w:b/>
          <w:sz w:val="26"/>
          <w:szCs w:val="26"/>
        </w:rPr>
        <w:t xml:space="preserve">CONFIRMA </w:t>
      </w:r>
      <w:r w:rsidRPr="005D33E2">
        <w:rPr>
          <w:rFonts w:ascii="Arial" w:eastAsia="Calibri" w:hAnsi="Arial" w:cs="Arial"/>
          <w:sz w:val="26"/>
          <w:szCs w:val="26"/>
        </w:rPr>
        <w:t xml:space="preserve">la sentencia recurrida, </w:t>
      </w:r>
      <w:r w:rsidRPr="005D33E2">
        <w:rPr>
          <w:rFonts w:ascii="Arial" w:eastAsia="Calibri" w:hAnsi="Arial" w:cs="Arial"/>
          <w:sz w:val="26"/>
          <w:szCs w:val="26"/>
          <w:lang w:eastAsia="es-ES"/>
        </w:rPr>
        <w:t>por las razones expuestas en el considerando que antecede</w:t>
      </w:r>
      <w:r w:rsidRPr="005D33E2">
        <w:rPr>
          <w:rFonts w:ascii="Arial" w:eastAsia="Calibri" w:hAnsi="Arial" w:cs="Arial"/>
          <w:sz w:val="26"/>
          <w:szCs w:val="26"/>
        </w:rPr>
        <w:t xml:space="preserve">. </w:t>
      </w:r>
    </w:p>
    <w:p w:rsidR="005D33E2" w:rsidRDefault="005C54C5" w:rsidP="003778E0">
      <w:pPr>
        <w:spacing w:before="240" w:line="360" w:lineRule="auto"/>
        <w:ind w:firstLine="708"/>
        <w:jc w:val="both"/>
        <w:rPr>
          <w:rFonts w:ascii="Arial" w:eastAsia="Calibri" w:hAnsi="Arial" w:cs="Arial"/>
          <w:sz w:val="26"/>
          <w:szCs w:val="26"/>
        </w:rPr>
      </w:pPr>
      <w:r>
        <w:rPr>
          <w:rFonts w:ascii="Arial" w:hAnsi="Arial" w:cs="Arial"/>
          <w:b/>
          <w:sz w:val="26"/>
          <w:szCs w:val="26"/>
        </w:rPr>
        <w:t>SEGUNDO. NOTIFÍQUESE Y CÚ</w:t>
      </w:r>
      <w:r w:rsidR="003778E0" w:rsidRPr="005D33E2">
        <w:rPr>
          <w:rFonts w:ascii="Arial" w:hAnsi="Arial" w:cs="Arial"/>
          <w:b/>
          <w:sz w:val="26"/>
          <w:szCs w:val="26"/>
        </w:rPr>
        <w:t>MPLASE,</w:t>
      </w:r>
      <w:r w:rsidR="003778E0" w:rsidRPr="005D33E2">
        <w:rPr>
          <w:rFonts w:ascii="Arial" w:hAnsi="Arial" w:cs="Arial"/>
          <w:sz w:val="26"/>
          <w:szCs w:val="26"/>
        </w:rPr>
        <w:t xml:space="preserve"> con copia certificada de la presente resolución, vuelvan las constancias remitidas a la </w:t>
      </w:r>
      <w:r>
        <w:rPr>
          <w:rFonts w:ascii="Arial" w:hAnsi="Arial" w:cs="Arial"/>
          <w:sz w:val="26"/>
          <w:szCs w:val="26"/>
        </w:rPr>
        <w:t>Séptima</w:t>
      </w:r>
      <w:r w:rsidR="003778E0" w:rsidRPr="005D33E2">
        <w:rPr>
          <w:rFonts w:ascii="Arial" w:hAnsi="Arial" w:cs="Arial"/>
          <w:sz w:val="26"/>
          <w:szCs w:val="26"/>
        </w:rPr>
        <w:t xml:space="preserve"> Sala Unitaria de Primera Instancia, </w:t>
      </w:r>
      <w:r w:rsidR="003778E0" w:rsidRPr="005D33E2">
        <w:rPr>
          <w:rFonts w:ascii="Arial" w:eastAsia="Calibri" w:hAnsi="Arial" w:cs="Arial"/>
          <w:sz w:val="26"/>
          <w:szCs w:val="26"/>
        </w:rPr>
        <w:t>y en su oportunidad archívese el cuaderno de revisión como concluido.</w:t>
      </w:r>
    </w:p>
    <w:p w:rsidR="005D33E2" w:rsidRDefault="005D33E2" w:rsidP="005D33E2">
      <w:pPr>
        <w:spacing w:before="240" w:line="360" w:lineRule="auto"/>
        <w:ind w:firstLine="708"/>
        <w:jc w:val="both"/>
        <w:rPr>
          <w:rFonts w:ascii="Arial" w:hAnsi="Arial" w:cs="Arial"/>
          <w:bCs/>
          <w:sz w:val="26"/>
          <w:szCs w:val="26"/>
        </w:rPr>
      </w:pPr>
      <w:r>
        <w:rPr>
          <w:rFonts w:ascii="Arial" w:eastAsiaTheme="minorEastAsia"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5D33E2" w:rsidRDefault="005D33E2" w:rsidP="005D33E2">
      <w:pPr>
        <w:spacing w:line="360" w:lineRule="auto"/>
        <w:rPr>
          <w:rFonts w:ascii="Arial" w:hAnsi="Arial" w:cs="Arial"/>
          <w:sz w:val="26"/>
          <w:szCs w:val="26"/>
        </w:rPr>
      </w:pPr>
    </w:p>
    <w:p w:rsidR="005D33E2" w:rsidRDefault="005D33E2" w:rsidP="005D33E2">
      <w:pPr>
        <w:spacing w:line="360" w:lineRule="auto"/>
        <w:rPr>
          <w:rFonts w:ascii="Arial" w:hAnsi="Arial" w:cs="Arial"/>
          <w:sz w:val="26"/>
          <w:szCs w:val="26"/>
        </w:rPr>
      </w:pPr>
    </w:p>
    <w:p w:rsidR="005D33E2" w:rsidRDefault="005D33E2" w:rsidP="005D33E2">
      <w:pPr>
        <w:spacing w:after="0"/>
        <w:jc w:val="center"/>
        <w:rPr>
          <w:rFonts w:ascii="Arial" w:hAnsi="Arial" w:cs="Arial"/>
          <w:sz w:val="26"/>
          <w:szCs w:val="26"/>
        </w:rPr>
      </w:pPr>
      <w:r>
        <w:rPr>
          <w:rFonts w:ascii="Arial" w:hAnsi="Arial" w:cs="Arial"/>
          <w:sz w:val="26"/>
          <w:szCs w:val="26"/>
        </w:rPr>
        <w:t>MAGISTRADO ADRIÁN QUIROGA AVENDAÑO.</w:t>
      </w:r>
    </w:p>
    <w:p w:rsidR="005D33E2" w:rsidRDefault="005D33E2" w:rsidP="005D33E2">
      <w:pPr>
        <w:spacing w:after="0"/>
        <w:jc w:val="center"/>
        <w:rPr>
          <w:rFonts w:ascii="Arial" w:hAnsi="Arial" w:cs="Arial"/>
          <w:sz w:val="26"/>
          <w:szCs w:val="26"/>
        </w:rPr>
      </w:pPr>
      <w:r>
        <w:rPr>
          <w:rFonts w:ascii="Arial" w:hAnsi="Arial" w:cs="Arial"/>
          <w:sz w:val="26"/>
          <w:szCs w:val="26"/>
        </w:rPr>
        <w:t>PRESIDENTE</w:t>
      </w:r>
    </w:p>
    <w:p w:rsidR="005D33E2" w:rsidRDefault="005D33E2" w:rsidP="005D33E2">
      <w:pPr>
        <w:spacing w:line="360" w:lineRule="auto"/>
        <w:rPr>
          <w:rFonts w:ascii="Arial" w:hAnsi="Arial" w:cs="Arial"/>
          <w:sz w:val="26"/>
          <w:szCs w:val="26"/>
        </w:rPr>
      </w:pPr>
    </w:p>
    <w:p w:rsidR="005D33E2" w:rsidRDefault="005D33E2" w:rsidP="005D33E2">
      <w:pPr>
        <w:spacing w:line="360" w:lineRule="auto"/>
        <w:rPr>
          <w:rFonts w:ascii="Arial" w:hAnsi="Arial" w:cs="Arial"/>
          <w:sz w:val="26"/>
          <w:szCs w:val="26"/>
        </w:rPr>
      </w:pPr>
    </w:p>
    <w:p w:rsidR="005D33E2" w:rsidRDefault="005D33E2" w:rsidP="005D33E2">
      <w:pPr>
        <w:spacing w:line="360" w:lineRule="auto"/>
        <w:rPr>
          <w:rFonts w:ascii="Arial" w:hAnsi="Arial" w:cs="Arial"/>
          <w:sz w:val="26"/>
          <w:szCs w:val="26"/>
        </w:rPr>
      </w:pPr>
    </w:p>
    <w:p w:rsidR="005D33E2" w:rsidRDefault="005D33E2" w:rsidP="005D33E2">
      <w:pPr>
        <w:spacing w:line="360" w:lineRule="auto"/>
        <w:jc w:val="center"/>
        <w:rPr>
          <w:rFonts w:ascii="Arial" w:hAnsi="Arial" w:cs="Arial"/>
          <w:sz w:val="26"/>
          <w:szCs w:val="26"/>
        </w:rPr>
      </w:pPr>
      <w:r>
        <w:rPr>
          <w:rFonts w:ascii="Arial" w:hAnsi="Arial" w:cs="Arial"/>
          <w:sz w:val="26"/>
          <w:szCs w:val="26"/>
        </w:rPr>
        <w:t>MAGISTRADO HUGO VILLEGAS AQUINO.</w:t>
      </w:r>
    </w:p>
    <w:p w:rsidR="005D33E2" w:rsidRDefault="005D33E2" w:rsidP="005D33E2">
      <w:pPr>
        <w:spacing w:line="360" w:lineRule="auto"/>
        <w:rPr>
          <w:rFonts w:ascii="Arial" w:hAnsi="Arial" w:cs="Arial"/>
          <w:sz w:val="26"/>
          <w:szCs w:val="26"/>
        </w:rPr>
      </w:pPr>
    </w:p>
    <w:p w:rsidR="005D33E2" w:rsidRDefault="005D33E2" w:rsidP="005D33E2">
      <w:pPr>
        <w:spacing w:line="360" w:lineRule="auto"/>
        <w:rPr>
          <w:rFonts w:ascii="Arial" w:hAnsi="Arial" w:cs="Arial"/>
          <w:sz w:val="26"/>
          <w:szCs w:val="26"/>
        </w:rPr>
      </w:pPr>
    </w:p>
    <w:p w:rsidR="005D33E2" w:rsidRDefault="005D33E2" w:rsidP="005D33E2">
      <w:pPr>
        <w:spacing w:line="360" w:lineRule="auto"/>
        <w:rPr>
          <w:rFonts w:ascii="Arial" w:hAnsi="Arial" w:cs="Arial"/>
          <w:sz w:val="26"/>
          <w:szCs w:val="26"/>
        </w:rPr>
      </w:pPr>
    </w:p>
    <w:p w:rsidR="005D33E2" w:rsidRDefault="005D33E2" w:rsidP="005D33E2">
      <w:pPr>
        <w:spacing w:line="360" w:lineRule="auto"/>
        <w:jc w:val="center"/>
        <w:rPr>
          <w:rFonts w:ascii="Arial" w:hAnsi="Arial" w:cs="Arial"/>
          <w:sz w:val="26"/>
          <w:szCs w:val="26"/>
        </w:rPr>
      </w:pPr>
      <w:r>
        <w:rPr>
          <w:rFonts w:ascii="Arial" w:hAnsi="Arial" w:cs="Arial"/>
          <w:sz w:val="26"/>
          <w:szCs w:val="26"/>
        </w:rPr>
        <w:t>MAGISTRADO ENRIQUE PACHECO MARTÍNEZ.</w:t>
      </w:r>
    </w:p>
    <w:p w:rsidR="005D33E2" w:rsidRDefault="005D33E2" w:rsidP="005D33E2">
      <w:pPr>
        <w:spacing w:line="360" w:lineRule="auto"/>
        <w:rPr>
          <w:rFonts w:ascii="Arial" w:hAnsi="Arial" w:cs="Arial"/>
          <w:sz w:val="26"/>
          <w:szCs w:val="26"/>
        </w:rPr>
      </w:pPr>
    </w:p>
    <w:p w:rsidR="005D33E2" w:rsidRDefault="005D33E2" w:rsidP="005D33E2">
      <w:pPr>
        <w:spacing w:line="360" w:lineRule="auto"/>
        <w:rPr>
          <w:rFonts w:ascii="Arial" w:hAnsi="Arial" w:cs="Arial"/>
          <w:sz w:val="26"/>
          <w:szCs w:val="26"/>
        </w:rPr>
      </w:pPr>
    </w:p>
    <w:p w:rsidR="005D33E2" w:rsidRDefault="005D33E2" w:rsidP="005D33E2">
      <w:pPr>
        <w:spacing w:line="360" w:lineRule="auto"/>
        <w:rPr>
          <w:rFonts w:ascii="Arial" w:hAnsi="Arial" w:cs="Arial"/>
          <w:sz w:val="26"/>
          <w:szCs w:val="26"/>
        </w:rPr>
      </w:pPr>
    </w:p>
    <w:p w:rsidR="005D33E2" w:rsidRDefault="005D33E2" w:rsidP="005D33E2">
      <w:pPr>
        <w:spacing w:line="360" w:lineRule="auto"/>
        <w:jc w:val="center"/>
        <w:rPr>
          <w:rFonts w:ascii="Arial" w:hAnsi="Arial" w:cs="Arial"/>
          <w:sz w:val="26"/>
          <w:szCs w:val="26"/>
        </w:rPr>
      </w:pPr>
      <w:r>
        <w:rPr>
          <w:rFonts w:ascii="Arial" w:hAnsi="Arial" w:cs="Arial"/>
          <w:sz w:val="26"/>
          <w:szCs w:val="26"/>
        </w:rPr>
        <w:t>MAGISTRADA MARÍA ELENA VILLA DE JARQUÍN</w:t>
      </w:r>
    </w:p>
    <w:p w:rsidR="005D33E2" w:rsidRDefault="005D33E2" w:rsidP="005D33E2">
      <w:pPr>
        <w:rPr>
          <w:rFonts w:ascii="Arial" w:eastAsiaTheme="minorEastAsia" w:hAnsi="Arial" w:cs="Arial"/>
          <w:sz w:val="26"/>
          <w:szCs w:val="26"/>
          <w:lang w:eastAsia="es-MX"/>
        </w:rPr>
      </w:pPr>
    </w:p>
    <w:p w:rsidR="005D33E2" w:rsidRDefault="005D33E2" w:rsidP="005D33E2">
      <w:pPr>
        <w:rPr>
          <w:rFonts w:ascii="Arial" w:eastAsiaTheme="minorEastAsia" w:hAnsi="Arial" w:cs="Arial"/>
          <w:sz w:val="26"/>
          <w:szCs w:val="26"/>
          <w:lang w:eastAsia="es-MX"/>
        </w:rPr>
      </w:pPr>
    </w:p>
    <w:p w:rsidR="005D33E2" w:rsidRPr="005D33E2" w:rsidRDefault="005D33E2" w:rsidP="005D33E2">
      <w:pPr>
        <w:spacing w:line="360" w:lineRule="auto"/>
        <w:jc w:val="center"/>
        <w:rPr>
          <w:rFonts w:ascii="Arial" w:hAnsi="Arial" w:cs="Arial"/>
          <w:b/>
          <w:sz w:val="14"/>
          <w:szCs w:val="26"/>
        </w:rPr>
      </w:pPr>
      <w:r w:rsidRPr="00AA3958">
        <w:rPr>
          <w:rFonts w:ascii="Arial" w:hAnsi="Arial" w:cs="Arial"/>
          <w:b/>
          <w:sz w:val="14"/>
          <w:szCs w:val="26"/>
        </w:rPr>
        <w:t>LAS PRESENTES FIRMAS CORRESP</w:t>
      </w:r>
      <w:r>
        <w:rPr>
          <w:rFonts w:ascii="Arial" w:hAnsi="Arial" w:cs="Arial"/>
          <w:b/>
          <w:sz w:val="14"/>
          <w:szCs w:val="26"/>
        </w:rPr>
        <w:t>ONDEN AL RECURSO DE REVISIÓN 225</w:t>
      </w:r>
      <w:r w:rsidRPr="00AA3958">
        <w:rPr>
          <w:rFonts w:ascii="Arial" w:hAnsi="Arial" w:cs="Arial"/>
          <w:b/>
          <w:sz w:val="14"/>
          <w:szCs w:val="26"/>
        </w:rPr>
        <w:t>/2018</w:t>
      </w:r>
    </w:p>
    <w:p w:rsidR="005D33E2" w:rsidRDefault="005D33E2" w:rsidP="005D33E2">
      <w:pPr>
        <w:jc w:val="center"/>
        <w:rPr>
          <w:rFonts w:ascii="Arial" w:eastAsiaTheme="minorEastAsia" w:hAnsi="Arial" w:cs="Arial"/>
          <w:sz w:val="26"/>
          <w:szCs w:val="26"/>
          <w:lang w:eastAsia="es-MX"/>
        </w:rPr>
      </w:pPr>
    </w:p>
    <w:p w:rsidR="005D33E2" w:rsidRDefault="005D33E2" w:rsidP="005D33E2">
      <w:pPr>
        <w:jc w:val="center"/>
        <w:rPr>
          <w:rFonts w:ascii="Arial" w:eastAsiaTheme="minorEastAsia" w:hAnsi="Arial" w:cs="Arial"/>
          <w:sz w:val="26"/>
          <w:szCs w:val="26"/>
          <w:lang w:eastAsia="es-MX"/>
        </w:rPr>
      </w:pPr>
    </w:p>
    <w:p w:rsidR="005C54C5" w:rsidRDefault="005C54C5" w:rsidP="005D33E2">
      <w:pPr>
        <w:jc w:val="center"/>
        <w:rPr>
          <w:rFonts w:ascii="Arial" w:eastAsiaTheme="minorEastAsia" w:hAnsi="Arial" w:cs="Arial"/>
          <w:sz w:val="26"/>
          <w:szCs w:val="26"/>
          <w:lang w:eastAsia="es-MX"/>
        </w:rPr>
      </w:pPr>
    </w:p>
    <w:p w:rsidR="005D33E2" w:rsidRDefault="005D33E2" w:rsidP="005D33E2">
      <w:pPr>
        <w:rPr>
          <w:rFonts w:ascii="Arial" w:eastAsiaTheme="minorEastAsia" w:hAnsi="Arial" w:cs="Arial"/>
          <w:sz w:val="26"/>
          <w:szCs w:val="26"/>
          <w:lang w:eastAsia="es-MX"/>
        </w:rPr>
      </w:pPr>
    </w:p>
    <w:p w:rsidR="005D33E2" w:rsidRDefault="005D33E2" w:rsidP="005D33E2">
      <w:pPr>
        <w:jc w:val="center"/>
        <w:rPr>
          <w:rFonts w:ascii="Arial" w:hAnsi="Arial" w:cs="Arial"/>
          <w:sz w:val="26"/>
          <w:szCs w:val="26"/>
        </w:rPr>
      </w:pPr>
      <w:r>
        <w:rPr>
          <w:rFonts w:ascii="Arial" w:eastAsiaTheme="minorEastAsia" w:hAnsi="Arial" w:cs="Arial"/>
          <w:sz w:val="26"/>
          <w:szCs w:val="26"/>
          <w:lang w:eastAsia="es-MX"/>
        </w:rPr>
        <w:t>MAGISTRADO MANUEL VELASCO ALCÁNTARA</w:t>
      </w:r>
    </w:p>
    <w:p w:rsidR="005D33E2" w:rsidRDefault="005D33E2" w:rsidP="005D33E2">
      <w:pPr>
        <w:rPr>
          <w:rFonts w:ascii="Arial" w:hAnsi="Arial" w:cs="Arial"/>
          <w:sz w:val="26"/>
          <w:szCs w:val="26"/>
        </w:rPr>
      </w:pPr>
    </w:p>
    <w:p w:rsidR="005D33E2" w:rsidRDefault="005D33E2" w:rsidP="005D33E2">
      <w:pPr>
        <w:rPr>
          <w:rFonts w:ascii="Arial" w:hAnsi="Arial" w:cs="Arial"/>
          <w:sz w:val="26"/>
          <w:szCs w:val="26"/>
        </w:rPr>
      </w:pPr>
    </w:p>
    <w:p w:rsidR="005D33E2" w:rsidRDefault="005D33E2" w:rsidP="005D33E2">
      <w:pPr>
        <w:rPr>
          <w:rFonts w:ascii="Arial" w:hAnsi="Arial" w:cs="Arial"/>
          <w:sz w:val="26"/>
          <w:szCs w:val="26"/>
        </w:rPr>
      </w:pPr>
    </w:p>
    <w:p w:rsidR="005D33E2" w:rsidRDefault="005D33E2" w:rsidP="005D33E2">
      <w:pPr>
        <w:rPr>
          <w:rFonts w:ascii="Arial" w:hAnsi="Arial" w:cs="Arial"/>
          <w:sz w:val="26"/>
          <w:szCs w:val="26"/>
        </w:rPr>
      </w:pPr>
    </w:p>
    <w:p w:rsidR="005D33E2" w:rsidRDefault="005D33E2" w:rsidP="005D33E2">
      <w:pPr>
        <w:spacing w:after="0"/>
        <w:jc w:val="center"/>
        <w:rPr>
          <w:rFonts w:ascii="Arial" w:hAnsi="Arial" w:cs="Arial"/>
          <w:sz w:val="26"/>
          <w:szCs w:val="26"/>
        </w:rPr>
      </w:pPr>
      <w:r>
        <w:rPr>
          <w:rFonts w:ascii="Arial" w:hAnsi="Arial" w:cs="Arial"/>
          <w:sz w:val="26"/>
          <w:szCs w:val="26"/>
        </w:rPr>
        <w:t>LICENCIADA SANDRA PÉREZ CRUZ.</w:t>
      </w:r>
    </w:p>
    <w:p w:rsidR="005D33E2" w:rsidRPr="00446E82" w:rsidRDefault="005D33E2" w:rsidP="005D33E2">
      <w:pPr>
        <w:spacing w:after="0"/>
        <w:jc w:val="center"/>
        <w:rPr>
          <w:rFonts w:ascii="Arial" w:hAnsi="Arial" w:cs="Arial"/>
          <w:sz w:val="26"/>
          <w:szCs w:val="26"/>
        </w:rPr>
      </w:pPr>
      <w:r>
        <w:rPr>
          <w:rFonts w:ascii="Arial" w:hAnsi="Arial" w:cs="Arial"/>
          <w:sz w:val="26"/>
          <w:szCs w:val="26"/>
        </w:rPr>
        <w:t>SECRETARIA GENERAL DE ACUERDOS.</w:t>
      </w:r>
    </w:p>
    <w:p w:rsidR="00BA554F" w:rsidRDefault="00CB1506" w:rsidP="005D33E2">
      <w:pPr>
        <w:spacing w:before="240" w:after="0" w:line="360" w:lineRule="auto"/>
        <w:ind w:left="142" w:firstLine="708"/>
        <w:jc w:val="both"/>
      </w:pPr>
      <w:r>
        <w:rPr>
          <w:rFonts w:ascii="Times New Roman" w:hAnsi="Times New Roman" w:cs="Times New Roman"/>
          <w:noProof/>
          <w:sz w:val="24"/>
          <w:szCs w:val="24"/>
          <w:lang w:val="es-MX" w:eastAsia="es-MX"/>
        </w:rPr>
        <mc:AlternateContent>
          <mc:Choice Requires="wps">
            <w:drawing>
              <wp:anchor distT="0" distB="0" distL="114300" distR="114300" simplePos="0" relativeHeight="251665408" behindDoc="0" locked="0" layoutInCell="1" allowOverlap="1">
                <wp:simplePos x="0" y="0"/>
                <wp:positionH relativeFrom="column">
                  <wp:posOffset>5572125</wp:posOffset>
                </wp:positionH>
                <wp:positionV relativeFrom="paragraph">
                  <wp:posOffset>733425</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CB1506" w:rsidRDefault="00CB1506" w:rsidP="00CB1506">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4" o:spid="_x0000_s1029" type="#_x0000_t202" style="position:absolute;left:0;text-align:left;margin-left:438.75pt;margin-top:57.75pt;width:84.7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">
                <v:textbox>
                  <w:txbxContent>
                    <w:p w:rsidR="00CB1506" w:rsidRDefault="00CB1506" w:rsidP="00CB1506">
                      <w:pPr>
                        <w:rPr>
                          <w:sz w:val="16"/>
                          <w:szCs w:val="16"/>
                        </w:rPr>
                      </w:pPr>
                      <w:r>
                        <w:rPr>
                          <w:sz w:val="16"/>
                          <w:szCs w:val="16"/>
                        </w:rPr>
                        <w:t>Datos personales protegidos por el Art. 116 de la LGTAIP y el Art. 56 de la LTAIPEO</w:t>
                      </w:r>
                    </w:p>
                  </w:txbxContent>
                </v:textbox>
              </v:shape>
            </w:pict>
          </mc:Fallback>
        </mc:AlternateContent>
      </w:r>
    </w:p>
    <w:sectPr w:rsidR="00BA554F" w:rsidSect="005D33E2">
      <w:headerReference w:type="even" r:id="rId6"/>
      <w:headerReference w:type="default" r:id="rId7"/>
      <w:footerReference w:type="default" r:id="rId8"/>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6EC1" w:rsidRDefault="00CB6EC1">
      <w:pPr>
        <w:spacing w:after="0" w:line="240" w:lineRule="auto"/>
      </w:pPr>
      <w:r>
        <w:separator/>
      </w:r>
    </w:p>
  </w:endnote>
  <w:endnote w:type="continuationSeparator" w:id="0">
    <w:p w:rsidR="00CB6EC1" w:rsidRDefault="00CB6E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1506" w:rsidRDefault="00CB1506">
    <w:pPr>
      <w:pStyle w:val="Piedepgina"/>
    </w:pPr>
    <w:r>
      <w:rPr>
        <w:noProof/>
        <w:lang w:val="es-MX" w:eastAsia="es-MX"/>
      </w:rPr>
      <mc:AlternateContent>
        <mc:Choice Requires="wps">
          <w:drawing>
            <wp:anchor distT="0" distB="0" distL="114300" distR="114300" simplePos="0" relativeHeight="251659264" behindDoc="0" locked="0" layoutInCell="1" allowOverlap="1" wp14:anchorId="4B09B540" wp14:editId="4E7B24FA">
              <wp:simplePos x="0" y="0"/>
              <wp:positionH relativeFrom="column">
                <wp:posOffset>-1784985</wp:posOffset>
              </wp:positionH>
              <wp:positionV relativeFrom="paragraph">
                <wp:posOffset>-3767455</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CB1506" w:rsidRDefault="00CB1506" w:rsidP="00CB1506">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B09B540" id="_x0000_t202" coordsize="21600,21600" o:spt="202" path="m,l,21600r21600,l21600,xe">
              <v:stroke joinstyle="miter"/>
              <v:path gradientshapeok="t" o:connecttype="rect"/>
            </v:shapetype>
            <v:shape id="Cuadro de texto 5" o:spid="_x0000_s1030" type="#_x0000_t202" style="position:absolute;margin-left:-140.55pt;margin-top:-296.6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m7eW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">
              <v:textbox>
                <w:txbxContent>
                  <w:p w:rsidR="00CB1506" w:rsidRDefault="00CB1506" w:rsidP="00CB1506">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6EC1" w:rsidRDefault="00CB6EC1">
      <w:pPr>
        <w:spacing w:after="0" w:line="240" w:lineRule="auto"/>
      </w:pPr>
      <w:r>
        <w:separator/>
      </w:r>
    </w:p>
  </w:footnote>
  <w:footnote w:type="continuationSeparator" w:id="0">
    <w:p w:rsidR="00CB6EC1" w:rsidRDefault="00CB6EC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3778E0" w:rsidRDefault="003778E0">
        <w:pPr>
          <w:pStyle w:val="Encabezado"/>
          <w:jc w:val="center"/>
        </w:pPr>
        <w:r>
          <w:fldChar w:fldCharType="begin"/>
        </w:r>
        <w:r>
          <w:instrText>PAGE   \* MERGEFORMAT</w:instrText>
        </w:r>
        <w:r>
          <w:fldChar w:fldCharType="separate"/>
        </w:r>
        <w:r>
          <w:rPr>
            <w:noProof/>
          </w:rPr>
          <w:t>14</w:t>
        </w:r>
        <w:r>
          <w:fldChar w:fldCharType="end"/>
        </w:r>
      </w:p>
    </w:sdtContent>
  </w:sdt>
  <w:p w:rsidR="003778E0" w:rsidRDefault="003778E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3778E0" w:rsidRDefault="003778E0" w:rsidP="003778E0">
        <w:pPr>
          <w:pStyle w:val="Encabezado"/>
          <w:jc w:val="center"/>
          <w:rPr>
            <w:noProof/>
          </w:rPr>
        </w:pPr>
        <w:r>
          <w:fldChar w:fldCharType="begin"/>
        </w:r>
        <w:r>
          <w:instrText xml:space="preserve"> PAGE   \* MERGEFORMAT </w:instrText>
        </w:r>
        <w:r>
          <w:fldChar w:fldCharType="separate"/>
        </w:r>
        <w:r w:rsidR="00327AD8">
          <w:rPr>
            <w:noProof/>
          </w:rPr>
          <w:t>1</w:t>
        </w:r>
        <w:r>
          <w:rPr>
            <w:noProof/>
          </w:rPr>
          <w:fldChar w:fldCharType="end"/>
        </w:r>
      </w:p>
      <w:p w:rsidR="003778E0" w:rsidRDefault="00CB6EC1" w:rsidP="003778E0">
        <w:pPr>
          <w:pStyle w:val="Encabezado"/>
          <w:jc w:val="center"/>
        </w:pPr>
      </w:p>
    </w:sdtContent>
  </w:sdt>
  <w:p w:rsidR="003778E0" w:rsidRDefault="003778E0" w:rsidP="003778E0">
    <w:pPr>
      <w:pStyle w:val="Encabezado"/>
      <w:tabs>
        <w:tab w:val="left" w:pos="142"/>
      </w:tabs>
      <w:ind w:left="28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78E0"/>
    <w:rsid w:val="000405C3"/>
    <w:rsid w:val="000F66AB"/>
    <w:rsid w:val="00194C5F"/>
    <w:rsid w:val="00232045"/>
    <w:rsid w:val="002355B2"/>
    <w:rsid w:val="0026408A"/>
    <w:rsid w:val="00327AD8"/>
    <w:rsid w:val="003778E0"/>
    <w:rsid w:val="003B4E82"/>
    <w:rsid w:val="00402C06"/>
    <w:rsid w:val="005C54C5"/>
    <w:rsid w:val="005D33E2"/>
    <w:rsid w:val="006D773F"/>
    <w:rsid w:val="007627A9"/>
    <w:rsid w:val="007C2A65"/>
    <w:rsid w:val="007F6CC9"/>
    <w:rsid w:val="008F04A2"/>
    <w:rsid w:val="00A7624D"/>
    <w:rsid w:val="00B613C8"/>
    <w:rsid w:val="00BA554F"/>
    <w:rsid w:val="00C64FB6"/>
    <w:rsid w:val="00CB1506"/>
    <w:rsid w:val="00CB6EC1"/>
    <w:rsid w:val="00D0655E"/>
    <w:rsid w:val="00D5356D"/>
    <w:rsid w:val="00D72FFB"/>
    <w:rsid w:val="00E12186"/>
    <w:rsid w:val="00E4101E"/>
    <w:rsid w:val="00ED7BBA"/>
    <w:rsid w:val="00FA679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D11E895-096B-4AB4-813B-A6DEC96E5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78E0"/>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3778E0"/>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3778E0"/>
    <w:rPr>
      <w:rFonts w:ascii="Times New Roman" w:eastAsia="PMingLiU" w:hAnsi="Times New Roman" w:cs="Times New Roman"/>
      <w:sz w:val="24"/>
      <w:szCs w:val="24"/>
      <w:lang w:eastAsia="zh-TW"/>
    </w:rPr>
  </w:style>
  <w:style w:type="paragraph" w:styleId="Piedepgina">
    <w:name w:val="footer"/>
    <w:basedOn w:val="Normal"/>
    <w:link w:val="PiedepginaCar"/>
    <w:uiPriority w:val="99"/>
    <w:unhideWhenUsed/>
    <w:rsid w:val="005D33E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D33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1</Pages>
  <Words>2260</Words>
  <Characters>12432</Characters>
  <Application>Microsoft Office Word</Application>
  <DocSecurity>0</DocSecurity>
  <Lines>103</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14663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Luis Fernando Rendón Nucamendi</cp:lastModifiedBy>
  <cp:revision>13</cp:revision>
  <cp:lastPrinted>2018-12-12T18:56:00Z</cp:lastPrinted>
  <dcterms:created xsi:type="dcterms:W3CDTF">2018-09-10T16:20:00Z</dcterms:created>
  <dcterms:modified xsi:type="dcterms:W3CDTF">2019-01-06T20:11:00Z</dcterms:modified>
</cp:coreProperties>
</file>