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4FABB" w14:textId="77777777" w:rsidR="003254BB" w:rsidRDefault="003254BB" w:rsidP="003254BB">
      <w:pPr>
        <w:tabs>
          <w:tab w:val="center" w:pos="4135"/>
          <w:tab w:val="left" w:pos="7515"/>
        </w:tabs>
        <w:spacing w:line="360" w:lineRule="auto"/>
        <w:jc w:val="center"/>
        <w:rPr>
          <w:rFonts w:ascii="Arial" w:hAnsi="Arial" w:cs="Arial"/>
          <w:sz w:val="26"/>
          <w:szCs w:val="26"/>
        </w:rPr>
      </w:pPr>
    </w:p>
    <w:p w14:paraId="47924F2F" w14:textId="77777777" w:rsidR="007A5FD6" w:rsidRPr="003509B6" w:rsidRDefault="007A5FD6" w:rsidP="007A5FD6">
      <w:pPr>
        <w:spacing w:line="240" w:lineRule="auto"/>
        <w:ind w:left="2124"/>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52F49AD6" w14:textId="77777777" w:rsidR="007A5FD6" w:rsidRPr="003509B6" w:rsidRDefault="007A5FD6" w:rsidP="007A5FD6">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Pr>
          <w:rFonts w:ascii="Arial" w:hAnsi="Arial" w:cs="Arial"/>
          <w:b/>
          <w:sz w:val="26"/>
          <w:szCs w:val="26"/>
        </w:rPr>
        <w:t>0227/2020.</w:t>
      </w:r>
    </w:p>
    <w:p w14:paraId="0CE4D8A4" w14:textId="77777777" w:rsidR="007A5FD6" w:rsidRPr="003509B6" w:rsidRDefault="007A5FD6" w:rsidP="007A5FD6">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Pr>
          <w:rFonts w:ascii="Arial" w:hAnsi="Arial" w:cs="Arial"/>
          <w:b/>
          <w:sz w:val="26"/>
          <w:szCs w:val="26"/>
        </w:rPr>
        <w:t>0043/2019</w:t>
      </w:r>
      <w:r w:rsidRPr="003509B6">
        <w:rPr>
          <w:rFonts w:ascii="Arial" w:hAnsi="Arial" w:cs="Arial"/>
          <w:b/>
          <w:sz w:val="26"/>
          <w:szCs w:val="26"/>
        </w:rPr>
        <w:t xml:space="preserve"> </w:t>
      </w:r>
      <w:r>
        <w:rPr>
          <w:rFonts w:ascii="Arial" w:hAnsi="Arial" w:cs="Arial"/>
          <w:b/>
          <w:sz w:val="26"/>
          <w:szCs w:val="26"/>
        </w:rPr>
        <w:t>CUARTA</w:t>
      </w:r>
      <w:r w:rsidRPr="003509B6">
        <w:rPr>
          <w:rFonts w:ascii="Arial" w:hAnsi="Arial" w:cs="Arial"/>
          <w:b/>
          <w:sz w:val="26"/>
          <w:szCs w:val="26"/>
        </w:rPr>
        <w:t xml:space="preserve"> SALA UNITARIA DE PRIMERA INSTANCIA</w:t>
      </w:r>
      <w:r>
        <w:rPr>
          <w:rFonts w:ascii="Arial" w:hAnsi="Arial" w:cs="Arial"/>
          <w:b/>
          <w:sz w:val="26"/>
          <w:szCs w:val="26"/>
        </w:rPr>
        <w:t>.</w:t>
      </w:r>
    </w:p>
    <w:p w14:paraId="4257B756" w14:textId="77777777" w:rsidR="007A5FD6" w:rsidRDefault="007A5FD6" w:rsidP="007A5FD6">
      <w:pPr>
        <w:spacing w:line="240" w:lineRule="auto"/>
        <w:ind w:left="212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A GLORIA DEL CARMEN CAMACHO MEZA.</w:t>
      </w:r>
    </w:p>
    <w:p w14:paraId="3A213B14" w14:textId="77777777" w:rsidR="007A5FD6" w:rsidRPr="003509B6" w:rsidRDefault="007A5FD6" w:rsidP="007A5FD6">
      <w:pPr>
        <w:spacing w:line="240" w:lineRule="auto"/>
        <w:ind w:left="2124"/>
        <w:jc w:val="both"/>
        <w:rPr>
          <w:rFonts w:ascii="Arial" w:hAnsi="Arial" w:cs="Arial"/>
          <w:b/>
          <w:sz w:val="26"/>
          <w:szCs w:val="26"/>
        </w:rPr>
      </w:pPr>
    </w:p>
    <w:p w14:paraId="27E44A21" w14:textId="63700BDC" w:rsidR="007A5FD6" w:rsidRDefault="007A5FD6" w:rsidP="00140CED">
      <w:pPr>
        <w:spacing w:line="360" w:lineRule="auto"/>
        <w:jc w:val="both"/>
        <w:rPr>
          <w:rFonts w:ascii="Arial" w:hAnsi="Arial" w:cs="Arial"/>
          <w:b/>
          <w:sz w:val="26"/>
          <w:szCs w:val="26"/>
        </w:rPr>
      </w:pPr>
      <w:r>
        <w:rPr>
          <w:rFonts w:ascii="Arial" w:hAnsi="Arial" w:cs="Arial"/>
          <w:b/>
          <w:sz w:val="26"/>
          <w:szCs w:val="26"/>
        </w:rPr>
        <w:t xml:space="preserve">OAXACA DE JUÁREZ, OAXACA, </w:t>
      </w:r>
      <w:r w:rsidR="00140CED">
        <w:rPr>
          <w:rFonts w:ascii="Arial" w:hAnsi="Arial" w:cs="Arial"/>
          <w:b/>
          <w:sz w:val="26"/>
          <w:szCs w:val="26"/>
        </w:rPr>
        <w:t xml:space="preserve">A SIETE DE OCTUBRE </w:t>
      </w:r>
      <w:r w:rsidRPr="003509B6">
        <w:rPr>
          <w:rFonts w:ascii="Arial" w:hAnsi="Arial" w:cs="Arial"/>
          <w:b/>
          <w:sz w:val="26"/>
          <w:szCs w:val="26"/>
        </w:rPr>
        <w:t xml:space="preserve">DE DOS MIL </w:t>
      </w:r>
      <w:r>
        <w:rPr>
          <w:rFonts w:ascii="Arial" w:hAnsi="Arial" w:cs="Arial"/>
          <w:b/>
          <w:sz w:val="26"/>
          <w:szCs w:val="26"/>
        </w:rPr>
        <w:t xml:space="preserve">VEINTIUNO - - - - - - - - - - - - - - - - - - - - - - - - - - - - </w:t>
      </w:r>
      <w:proofErr w:type="gramStart"/>
      <w:r>
        <w:rPr>
          <w:rFonts w:ascii="Arial" w:hAnsi="Arial" w:cs="Arial"/>
          <w:b/>
          <w:sz w:val="26"/>
          <w:szCs w:val="26"/>
        </w:rPr>
        <w:t>-  -</w:t>
      </w:r>
      <w:proofErr w:type="gramEnd"/>
      <w:r>
        <w:rPr>
          <w:rFonts w:ascii="Arial" w:hAnsi="Arial" w:cs="Arial"/>
          <w:b/>
          <w:sz w:val="26"/>
          <w:szCs w:val="26"/>
        </w:rPr>
        <w:t xml:space="preserve"> - - - - - - - - - </w:t>
      </w:r>
    </w:p>
    <w:p w14:paraId="3BDF5371" w14:textId="69A62212" w:rsidR="003502EE" w:rsidRDefault="007A5FD6" w:rsidP="007A5FD6">
      <w:pPr>
        <w:spacing w:line="360" w:lineRule="auto"/>
        <w:jc w:val="both"/>
        <w:rPr>
          <w:rFonts w:ascii="Arial" w:hAnsi="Arial" w:cs="Arial"/>
          <w:sz w:val="26"/>
          <w:szCs w:val="26"/>
        </w:rPr>
      </w:pPr>
      <w:r>
        <w:rPr>
          <w:rFonts w:ascii="Arial" w:hAnsi="Arial" w:cs="Arial"/>
          <w:b/>
          <w:sz w:val="26"/>
          <w:szCs w:val="26"/>
        </w:rPr>
        <w:t xml:space="preserve">   </w:t>
      </w:r>
      <w:r w:rsidRPr="003509B6">
        <w:rPr>
          <w:rFonts w:ascii="Arial" w:hAnsi="Arial" w:cs="Arial"/>
          <w:sz w:val="26"/>
          <w:szCs w:val="26"/>
        </w:rPr>
        <w:t xml:space="preserve">Por recibido el Cuaderno de Revisión </w:t>
      </w:r>
      <w:r>
        <w:rPr>
          <w:rFonts w:ascii="Arial" w:hAnsi="Arial" w:cs="Arial"/>
          <w:b/>
          <w:sz w:val="26"/>
          <w:szCs w:val="26"/>
        </w:rPr>
        <w:t>0227/2020</w:t>
      </w:r>
      <w:r w:rsidRPr="003509B6">
        <w:rPr>
          <w:rFonts w:ascii="Arial" w:hAnsi="Arial" w:cs="Arial"/>
          <w:sz w:val="26"/>
          <w:szCs w:val="26"/>
        </w:rPr>
        <w:t xml:space="preserve">, que remite la Secretaría General de Acuerdos, con motivo del recurso de revisión interpuesto por </w:t>
      </w:r>
      <w:r>
        <w:rPr>
          <w:rFonts w:ascii="Arial" w:hAnsi="Arial" w:cs="Arial"/>
          <w:b/>
          <w:sz w:val="26"/>
          <w:szCs w:val="26"/>
        </w:rPr>
        <w:t>CLAUDIO FRANCISCO TOLEDO VILLALOBOS</w:t>
      </w:r>
      <w:r w:rsidRPr="003509B6">
        <w:rPr>
          <w:rFonts w:ascii="Arial" w:hAnsi="Arial" w:cs="Arial"/>
          <w:b/>
          <w:sz w:val="26"/>
          <w:szCs w:val="26"/>
        </w:rPr>
        <w:t xml:space="preserve">, </w:t>
      </w:r>
      <w:r w:rsidRPr="003509B6">
        <w:rPr>
          <w:rFonts w:ascii="Arial" w:hAnsi="Arial" w:cs="Arial"/>
          <w:sz w:val="26"/>
          <w:szCs w:val="26"/>
        </w:rPr>
        <w:t>en contra del acuerdo de</w:t>
      </w:r>
      <w:r>
        <w:rPr>
          <w:rFonts w:ascii="Arial" w:hAnsi="Arial" w:cs="Arial"/>
          <w:sz w:val="26"/>
          <w:szCs w:val="26"/>
        </w:rPr>
        <w:t xml:space="preserve"> fecha veinticinco de septiembre de dos mil veinte</w:t>
      </w:r>
      <w:r w:rsidRPr="003509B6">
        <w:rPr>
          <w:rFonts w:ascii="Arial" w:hAnsi="Arial" w:cs="Arial"/>
          <w:sz w:val="26"/>
          <w:szCs w:val="26"/>
        </w:rPr>
        <w:t xml:space="preserve">, dictado en el expediente </w:t>
      </w:r>
      <w:r>
        <w:rPr>
          <w:rFonts w:ascii="Arial" w:hAnsi="Arial" w:cs="Arial"/>
          <w:b/>
          <w:sz w:val="26"/>
          <w:szCs w:val="26"/>
        </w:rPr>
        <w:t>0043/2019</w:t>
      </w:r>
      <w:r w:rsidRPr="003509B6">
        <w:rPr>
          <w:rFonts w:ascii="Arial" w:hAnsi="Arial" w:cs="Arial"/>
          <w:sz w:val="26"/>
          <w:szCs w:val="26"/>
        </w:rPr>
        <w:t xml:space="preserve"> de la </w:t>
      </w:r>
      <w:r>
        <w:rPr>
          <w:rFonts w:ascii="Arial" w:hAnsi="Arial" w:cs="Arial"/>
          <w:sz w:val="26"/>
          <w:szCs w:val="26"/>
        </w:rPr>
        <w:t>Cuarta</w:t>
      </w:r>
      <w:r w:rsidRPr="003509B6">
        <w:rPr>
          <w:rFonts w:ascii="Arial" w:hAnsi="Arial" w:cs="Arial"/>
          <w:sz w:val="26"/>
          <w:szCs w:val="26"/>
        </w:rPr>
        <w:t xml:space="preserve"> Sala Unitaria de Primera Instancia, relativo al juicio de nulidad promovido por el </w:t>
      </w:r>
      <w:r w:rsidRPr="002F7635">
        <w:rPr>
          <w:rFonts w:ascii="Arial" w:hAnsi="Arial" w:cs="Arial"/>
          <w:sz w:val="26"/>
          <w:szCs w:val="26"/>
        </w:rPr>
        <w:t>hoy</w:t>
      </w:r>
      <w:r>
        <w:rPr>
          <w:rFonts w:ascii="Arial" w:hAnsi="Arial" w:cs="Arial"/>
          <w:sz w:val="26"/>
          <w:szCs w:val="26"/>
        </w:rPr>
        <w:t xml:space="preserve"> </w:t>
      </w:r>
      <w:r w:rsidRPr="00B850D0">
        <w:rPr>
          <w:rFonts w:ascii="Arial" w:hAnsi="Arial" w:cs="Arial"/>
          <w:b/>
          <w:bCs/>
          <w:sz w:val="26"/>
          <w:szCs w:val="26"/>
        </w:rPr>
        <w:t>RECURRENTE,</w:t>
      </w:r>
      <w:r w:rsidRPr="003509B6">
        <w:rPr>
          <w:rFonts w:ascii="Arial" w:hAnsi="Arial" w:cs="Arial"/>
          <w:sz w:val="26"/>
          <w:szCs w:val="26"/>
        </w:rPr>
        <w:t xml:space="preserve"> </w:t>
      </w:r>
      <w:r>
        <w:rPr>
          <w:rFonts w:ascii="Arial" w:hAnsi="Arial" w:cs="Arial"/>
          <w:sz w:val="26"/>
          <w:szCs w:val="26"/>
        </w:rPr>
        <w:t xml:space="preserve">en </w:t>
      </w:r>
      <w:r w:rsidRPr="003509B6">
        <w:rPr>
          <w:rFonts w:ascii="Arial" w:hAnsi="Arial" w:cs="Arial"/>
          <w:sz w:val="26"/>
          <w:szCs w:val="26"/>
        </w:rPr>
        <w:t>contra actos de</w:t>
      </w:r>
      <w:r>
        <w:rPr>
          <w:rFonts w:ascii="Arial" w:hAnsi="Arial" w:cs="Arial"/>
          <w:sz w:val="26"/>
          <w:szCs w:val="26"/>
        </w:rPr>
        <w:t xml:space="preserve"> </w:t>
      </w:r>
      <w:r w:rsidRPr="001623CB">
        <w:rPr>
          <w:rFonts w:ascii="Arial" w:hAnsi="Arial" w:cs="Arial"/>
          <w:bCs/>
          <w:sz w:val="26"/>
          <w:szCs w:val="26"/>
        </w:rPr>
        <w:t xml:space="preserve">la </w:t>
      </w:r>
      <w:r>
        <w:rPr>
          <w:rFonts w:ascii="Arial" w:hAnsi="Arial" w:cs="Arial"/>
          <w:b/>
          <w:bCs/>
          <w:sz w:val="26"/>
          <w:szCs w:val="26"/>
        </w:rPr>
        <w:t xml:space="preserve">COORDINADORA DE COBRO COACTIVO Y NOTIFICADOR EJECUTOR, AMBAS AUTORIDADES DE LA DIRECCIÓN DE INGRESOS Y RECAUDACIÓN DE LA </w:t>
      </w:r>
      <w:r w:rsidRPr="00C62EEF">
        <w:rPr>
          <w:rFonts w:ascii="Arial" w:hAnsi="Arial" w:cs="Arial"/>
          <w:b/>
          <w:bCs/>
          <w:sz w:val="26"/>
          <w:szCs w:val="26"/>
        </w:rPr>
        <w:t>SECRETARÍA DE FINANZAS DEL ESTADO DE OAXAC</w:t>
      </w:r>
      <w:r>
        <w:rPr>
          <w:rFonts w:ascii="Arial" w:hAnsi="Arial" w:cs="Arial"/>
          <w:b/>
          <w:bCs/>
          <w:sz w:val="26"/>
          <w:szCs w:val="26"/>
        </w:rPr>
        <w:t xml:space="preserve">A </w:t>
      </w:r>
      <w:r>
        <w:rPr>
          <w:rFonts w:ascii="Arial" w:hAnsi="Arial" w:cs="Arial"/>
          <w:b/>
          <w:sz w:val="26"/>
          <w:szCs w:val="26"/>
        </w:rPr>
        <w:t>.</w:t>
      </w:r>
      <w:r w:rsidRPr="000C4EA3">
        <w:rPr>
          <w:rFonts w:ascii="Arial" w:hAnsi="Arial" w:cs="Arial"/>
          <w:b/>
          <w:sz w:val="26"/>
          <w:szCs w:val="26"/>
        </w:rPr>
        <w:t xml:space="preserve"> </w:t>
      </w:r>
      <w:r>
        <w:rPr>
          <w:rFonts w:ascii="Arial" w:hAnsi="Arial" w:cs="Arial"/>
          <w:b/>
          <w:sz w:val="26"/>
          <w:szCs w:val="26"/>
        </w:rPr>
        <w:t xml:space="preserve">  </w:t>
      </w:r>
      <w:r w:rsidRPr="000C4EA3">
        <w:rPr>
          <w:rFonts w:ascii="Arial" w:hAnsi="Arial" w:cs="Arial"/>
          <w:sz w:val="26"/>
          <w:szCs w:val="26"/>
        </w:rPr>
        <w:t>Por lo que con fundamento en los artículos 2</w:t>
      </w:r>
      <w:r>
        <w:rPr>
          <w:rFonts w:ascii="Arial" w:hAnsi="Arial" w:cs="Arial"/>
          <w:sz w:val="26"/>
          <w:szCs w:val="26"/>
        </w:rPr>
        <w:t>3</w:t>
      </w:r>
      <w:r w:rsidRPr="000C4EA3">
        <w:rPr>
          <w:rFonts w:ascii="Arial" w:hAnsi="Arial" w:cs="Arial"/>
          <w:sz w:val="26"/>
          <w:szCs w:val="26"/>
        </w:rPr>
        <w:t>7 y 2</w:t>
      </w:r>
      <w:r>
        <w:rPr>
          <w:rFonts w:ascii="Arial" w:hAnsi="Arial" w:cs="Arial"/>
          <w:sz w:val="26"/>
          <w:szCs w:val="26"/>
        </w:rPr>
        <w:t>3</w:t>
      </w:r>
      <w:r w:rsidRPr="000C4EA3">
        <w:rPr>
          <w:rFonts w:ascii="Arial" w:hAnsi="Arial" w:cs="Arial"/>
          <w:sz w:val="26"/>
          <w:szCs w:val="26"/>
        </w:rPr>
        <w:t>8 de la Ley de</w:t>
      </w:r>
      <w:r>
        <w:rPr>
          <w:rFonts w:ascii="Arial" w:hAnsi="Arial" w:cs="Arial"/>
          <w:sz w:val="26"/>
          <w:szCs w:val="26"/>
        </w:rPr>
        <w:t xml:space="preserve"> Procedimiento y</w:t>
      </w:r>
      <w:r w:rsidRPr="000C4EA3">
        <w:rPr>
          <w:rFonts w:ascii="Arial" w:hAnsi="Arial" w:cs="Arial"/>
          <w:sz w:val="26"/>
          <w:szCs w:val="26"/>
        </w:rPr>
        <w:t xml:space="preserve"> Justicia Administrativa para</w:t>
      </w:r>
      <w:r>
        <w:rPr>
          <w:rFonts w:ascii="Arial" w:hAnsi="Arial" w:cs="Arial"/>
          <w:sz w:val="26"/>
          <w:szCs w:val="26"/>
        </w:rPr>
        <w:t xml:space="preserve"> el Estado de Oaxaca, se admite. E</w:t>
      </w:r>
      <w:r w:rsidRPr="003509B6">
        <w:rPr>
          <w:rFonts w:ascii="Arial" w:hAnsi="Arial" w:cs="Arial"/>
          <w:sz w:val="26"/>
          <w:szCs w:val="26"/>
        </w:rPr>
        <w:t xml:space="preserve">n consecuencia, se procede a dictar resolución en los siguientes </w:t>
      </w:r>
      <w:r w:rsidR="009629E0" w:rsidRPr="003509B6">
        <w:rPr>
          <w:rFonts w:ascii="Arial" w:hAnsi="Arial" w:cs="Arial"/>
          <w:sz w:val="26"/>
          <w:szCs w:val="26"/>
        </w:rPr>
        <w:t>términos:</w:t>
      </w:r>
      <w:r w:rsidR="009629E0">
        <w:rPr>
          <w:rFonts w:ascii="Arial" w:hAnsi="Arial" w:cs="Arial"/>
          <w:sz w:val="26"/>
          <w:szCs w:val="26"/>
        </w:rPr>
        <w:t xml:space="preserve"> </w:t>
      </w:r>
    </w:p>
    <w:p w14:paraId="7BFCA1FC" w14:textId="25B21513" w:rsidR="007A5FD6" w:rsidRPr="00B850D0" w:rsidRDefault="007A5FD6" w:rsidP="003502EE">
      <w:pPr>
        <w:spacing w:line="360" w:lineRule="auto"/>
        <w:jc w:val="center"/>
        <w:rPr>
          <w:rFonts w:ascii="Arial" w:hAnsi="Arial" w:cs="Arial"/>
          <w:sz w:val="26"/>
          <w:szCs w:val="26"/>
        </w:rPr>
      </w:pPr>
      <w:r>
        <w:rPr>
          <w:rFonts w:ascii="Arial" w:hAnsi="Arial" w:cs="Arial"/>
          <w:b/>
          <w:bCs/>
          <w:sz w:val="26"/>
          <w:szCs w:val="26"/>
        </w:rPr>
        <w:t>R E S U L T A N D O</w:t>
      </w:r>
    </w:p>
    <w:p w14:paraId="25DF441F" w14:textId="7FD523D4" w:rsidR="007A5FD6" w:rsidRDefault="007A5FD6" w:rsidP="007A5FD6">
      <w:pPr>
        <w:spacing w:line="360" w:lineRule="auto"/>
        <w:jc w:val="both"/>
        <w:rPr>
          <w:rFonts w:ascii="Arial" w:hAnsi="Arial" w:cs="Arial"/>
          <w:sz w:val="26"/>
          <w:szCs w:val="26"/>
        </w:rPr>
      </w:pPr>
      <w:r>
        <w:rPr>
          <w:rFonts w:ascii="Arial" w:hAnsi="Arial" w:cs="Arial"/>
          <w:b/>
          <w:bCs/>
          <w:sz w:val="26"/>
          <w:szCs w:val="26"/>
        </w:rPr>
        <w:t xml:space="preserve">    </w:t>
      </w:r>
      <w:r w:rsidRPr="003509B6">
        <w:rPr>
          <w:rFonts w:ascii="Arial" w:hAnsi="Arial" w:cs="Arial"/>
          <w:b/>
          <w:bCs/>
          <w:sz w:val="26"/>
          <w:szCs w:val="26"/>
        </w:rPr>
        <w:t xml:space="preserve">PRIMERO. </w:t>
      </w:r>
      <w:r w:rsidRPr="003509B6">
        <w:rPr>
          <w:rFonts w:ascii="Arial" w:hAnsi="Arial" w:cs="Arial"/>
          <w:sz w:val="26"/>
          <w:szCs w:val="26"/>
        </w:rPr>
        <w:t>Inconforme con el acuerdo de</w:t>
      </w:r>
      <w:r>
        <w:rPr>
          <w:rFonts w:ascii="Arial" w:hAnsi="Arial" w:cs="Arial"/>
          <w:sz w:val="26"/>
          <w:szCs w:val="26"/>
        </w:rPr>
        <w:t xml:space="preserve"> veinticinco de septiembre de dos mil veinte, </w:t>
      </w:r>
      <w:r w:rsidRPr="003509B6">
        <w:rPr>
          <w:rFonts w:ascii="Arial" w:hAnsi="Arial" w:cs="Arial"/>
          <w:sz w:val="26"/>
          <w:szCs w:val="26"/>
        </w:rPr>
        <w:t xml:space="preserve">dictado por la </w:t>
      </w:r>
      <w:r>
        <w:rPr>
          <w:rFonts w:ascii="Arial" w:hAnsi="Arial" w:cs="Arial"/>
          <w:sz w:val="26"/>
          <w:szCs w:val="26"/>
        </w:rPr>
        <w:t xml:space="preserve">Cuarta </w:t>
      </w:r>
      <w:r w:rsidRPr="003509B6">
        <w:rPr>
          <w:rFonts w:ascii="Arial" w:hAnsi="Arial" w:cs="Arial"/>
          <w:sz w:val="26"/>
          <w:szCs w:val="26"/>
        </w:rPr>
        <w:t xml:space="preserve">Sala Unitaria de Primera Instancia, </w:t>
      </w:r>
      <w:r>
        <w:rPr>
          <w:rFonts w:ascii="Arial" w:hAnsi="Arial" w:cs="Arial"/>
          <w:b/>
          <w:sz w:val="26"/>
          <w:szCs w:val="26"/>
        </w:rPr>
        <w:t>CLAUDIO FRANCISCO TOLEDO VILLALOBOS,</w:t>
      </w:r>
      <w:r w:rsidRPr="003509B6">
        <w:rPr>
          <w:rFonts w:ascii="Arial" w:hAnsi="Arial" w:cs="Arial"/>
          <w:sz w:val="26"/>
          <w:szCs w:val="26"/>
        </w:rPr>
        <w:t xml:space="preserve"> interpuso</w:t>
      </w:r>
      <w:r w:rsidR="00422792">
        <w:rPr>
          <w:rFonts w:ascii="Arial" w:hAnsi="Arial" w:cs="Arial"/>
          <w:sz w:val="26"/>
          <w:szCs w:val="26"/>
        </w:rPr>
        <w:t xml:space="preserve"> </w:t>
      </w:r>
      <w:r w:rsidRPr="003509B6">
        <w:rPr>
          <w:rFonts w:ascii="Arial" w:hAnsi="Arial" w:cs="Arial"/>
          <w:sz w:val="26"/>
          <w:szCs w:val="26"/>
        </w:rPr>
        <w:t>e</w:t>
      </w:r>
      <w:r>
        <w:rPr>
          <w:rFonts w:ascii="Arial" w:hAnsi="Arial" w:cs="Arial"/>
          <w:sz w:val="26"/>
          <w:szCs w:val="26"/>
        </w:rPr>
        <w:t xml:space="preserve">n su contra recurso de </w:t>
      </w:r>
      <w:r w:rsidR="00422792">
        <w:rPr>
          <w:rFonts w:ascii="Arial" w:hAnsi="Arial" w:cs="Arial"/>
          <w:sz w:val="26"/>
          <w:szCs w:val="26"/>
        </w:rPr>
        <w:t>revisión. -</w:t>
      </w:r>
      <w:r>
        <w:rPr>
          <w:rFonts w:ascii="Arial" w:hAnsi="Arial" w:cs="Arial"/>
          <w:sz w:val="26"/>
          <w:szCs w:val="26"/>
        </w:rPr>
        <w:t xml:space="preserve"> - - - - - - - - - - - - - - - - - - - - - - - - - - - </w:t>
      </w:r>
    </w:p>
    <w:p w14:paraId="0145319B" w14:textId="77777777" w:rsidR="007A5FD6" w:rsidRPr="003509B6" w:rsidRDefault="007A5FD6" w:rsidP="007A5FD6">
      <w:pPr>
        <w:spacing w:line="360" w:lineRule="auto"/>
        <w:jc w:val="both"/>
        <w:rPr>
          <w:rFonts w:ascii="Arial" w:hAnsi="Arial" w:cs="Arial"/>
          <w:sz w:val="26"/>
          <w:szCs w:val="26"/>
        </w:rPr>
      </w:pPr>
      <w:r>
        <w:rPr>
          <w:rFonts w:ascii="Arial" w:hAnsi="Arial" w:cs="Arial"/>
          <w:sz w:val="26"/>
          <w:szCs w:val="26"/>
        </w:rPr>
        <w:t xml:space="preserve">     </w:t>
      </w:r>
      <w:r w:rsidRPr="003509B6">
        <w:rPr>
          <w:rFonts w:ascii="Arial" w:hAnsi="Arial" w:cs="Arial"/>
          <w:b/>
          <w:bCs/>
          <w:sz w:val="26"/>
          <w:szCs w:val="26"/>
        </w:rPr>
        <w:t xml:space="preserve">SEGUNDO. </w:t>
      </w:r>
      <w:r w:rsidRPr="003509B6">
        <w:rPr>
          <w:rFonts w:ascii="Arial" w:hAnsi="Arial" w:cs="Arial"/>
          <w:bCs/>
          <w:sz w:val="26"/>
          <w:szCs w:val="26"/>
        </w:rPr>
        <w:t>El</w:t>
      </w:r>
      <w:r w:rsidRPr="003509B6">
        <w:rPr>
          <w:rFonts w:ascii="Arial" w:hAnsi="Arial" w:cs="Arial"/>
          <w:b/>
          <w:bCs/>
          <w:sz w:val="26"/>
          <w:szCs w:val="26"/>
        </w:rPr>
        <w:t xml:space="preserve"> </w:t>
      </w:r>
      <w:r w:rsidRPr="003509B6">
        <w:rPr>
          <w:rFonts w:ascii="Arial" w:hAnsi="Arial" w:cs="Arial"/>
          <w:bCs/>
          <w:sz w:val="26"/>
          <w:szCs w:val="26"/>
        </w:rPr>
        <w:t xml:space="preserve">contenido del acuerdo </w:t>
      </w:r>
      <w:r>
        <w:rPr>
          <w:rFonts w:ascii="Arial" w:hAnsi="Arial" w:cs="Arial"/>
          <w:bCs/>
          <w:sz w:val="26"/>
          <w:szCs w:val="26"/>
        </w:rPr>
        <w:t xml:space="preserve">recurrido </w:t>
      </w:r>
      <w:r w:rsidRPr="003509B6">
        <w:rPr>
          <w:rFonts w:ascii="Arial" w:hAnsi="Arial" w:cs="Arial"/>
          <w:sz w:val="26"/>
          <w:szCs w:val="26"/>
        </w:rPr>
        <w:t>es</w:t>
      </w:r>
      <w:r>
        <w:rPr>
          <w:rFonts w:ascii="Arial" w:hAnsi="Arial" w:cs="Arial"/>
          <w:sz w:val="26"/>
          <w:szCs w:val="26"/>
        </w:rPr>
        <w:t xml:space="preserve"> el </w:t>
      </w:r>
      <w:proofErr w:type="gramStart"/>
      <w:r>
        <w:rPr>
          <w:rFonts w:ascii="Arial" w:hAnsi="Arial" w:cs="Arial"/>
          <w:sz w:val="26"/>
          <w:szCs w:val="26"/>
        </w:rPr>
        <w:t>siguiente</w:t>
      </w:r>
      <w:r w:rsidRPr="003509B6">
        <w:rPr>
          <w:rFonts w:ascii="Arial" w:hAnsi="Arial" w:cs="Arial"/>
          <w:sz w:val="26"/>
          <w:szCs w:val="26"/>
        </w:rPr>
        <w:t>:</w:t>
      </w:r>
      <w:r>
        <w:rPr>
          <w:rFonts w:ascii="Arial" w:hAnsi="Arial" w:cs="Arial"/>
          <w:sz w:val="26"/>
          <w:szCs w:val="26"/>
        </w:rPr>
        <w:t>-</w:t>
      </w:r>
      <w:proofErr w:type="gramEnd"/>
      <w:r>
        <w:rPr>
          <w:rFonts w:ascii="Arial" w:hAnsi="Arial" w:cs="Arial"/>
          <w:sz w:val="26"/>
          <w:szCs w:val="26"/>
        </w:rPr>
        <w:t xml:space="preserve"> - - - - </w:t>
      </w:r>
    </w:p>
    <w:p w14:paraId="568CC0B4" w14:textId="77777777" w:rsidR="007A5FD6" w:rsidRDefault="007A5FD6" w:rsidP="007A5FD6">
      <w:pPr>
        <w:spacing w:after="0" w:line="360" w:lineRule="auto"/>
        <w:ind w:left="708" w:right="1041" w:firstLine="708"/>
        <w:jc w:val="both"/>
        <w:rPr>
          <w:rFonts w:ascii="Arial" w:hAnsi="Arial" w:cs="Arial"/>
          <w:i/>
        </w:rPr>
      </w:pPr>
      <w:r>
        <w:rPr>
          <w:rFonts w:ascii="Arial" w:hAnsi="Arial" w:cs="Arial"/>
          <w:i/>
        </w:rPr>
        <w:t xml:space="preserve">“Se recibió en esta Cuarta Sala Unitaria de Primera Instancia, el </w:t>
      </w:r>
      <w:r w:rsidRPr="002F7635">
        <w:rPr>
          <w:rFonts w:ascii="Arial" w:hAnsi="Arial" w:cs="Arial"/>
          <w:i/>
        </w:rPr>
        <w:t>día</w:t>
      </w:r>
      <w:r>
        <w:rPr>
          <w:rFonts w:ascii="Arial" w:hAnsi="Arial" w:cs="Arial"/>
          <w:i/>
        </w:rPr>
        <w:t xml:space="preserve"> ocho de septiembre del año en curso, el oficio número </w:t>
      </w:r>
      <w:r>
        <w:rPr>
          <w:rFonts w:ascii="Arial" w:hAnsi="Arial" w:cs="Arial"/>
          <w:b/>
          <w:bCs/>
          <w:i/>
        </w:rPr>
        <w:t xml:space="preserve">TJAO/SGA/1423/2020, </w:t>
      </w:r>
      <w:r>
        <w:rPr>
          <w:rFonts w:ascii="Arial" w:hAnsi="Arial" w:cs="Arial"/>
          <w:i/>
        </w:rPr>
        <w:t xml:space="preserve">suscrito por el Secretario General de Acuerdos de este Tribunal, por medio del cual en cumplimiento al acuerdo de dieciocho de marzo el presente año, dictado en el juicio de inconformidad 22/2020, de su índice, remite el expediente </w:t>
      </w:r>
      <w:r>
        <w:rPr>
          <w:rFonts w:ascii="Arial" w:hAnsi="Arial" w:cs="Arial"/>
          <w:i/>
        </w:rPr>
        <w:lastRenderedPageBreak/>
        <w:t>original 043/2019, en que se actúa, para que se continúe el trámite del mismo.- - - -  - - - - - - - - - - - - - - - - - - - - - - - - - - - - - - - - - - - -</w:t>
      </w:r>
    </w:p>
    <w:p w14:paraId="70C99879" w14:textId="77777777" w:rsidR="007A5FD6" w:rsidRDefault="007A5FD6" w:rsidP="004E3986">
      <w:pPr>
        <w:pStyle w:val="Sinespaciado"/>
      </w:pPr>
    </w:p>
    <w:p w14:paraId="00EB5285" w14:textId="77777777" w:rsidR="007A5FD6" w:rsidRDefault="007A5FD6" w:rsidP="007A5FD6">
      <w:pPr>
        <w:spacing w:after="120" w:line="360" w:lineRule="auto"/>
        <w:ind w:left="851" w:right="900" w:firstLine="425"/>
        <w:jc w:val="both"/>
        <w:rPr>
          <w:rFonts w:ascii="Arial" w:hAnsi="Arial" w:cs="Arial"/>
          <w:i/>
        </w:rPr>
      </w:pPr>
      <w:r>
        <w:rPr>
          <w:rFonts w:ascii="Arial" w:hAnsi="Arial" w:cs="Arial"/>
          <w:i/>
        </w:rPr>
        <w:t xml:space="preserve">Por lo tanto, y vistos los autos del juicio de nulidad </w:t>
      </w:r>
      <w:r>
        <w:rPr>
          <w:rFonts w:ascii="Arial" w:hAnsi="Arial" w:cs="Arial"/>
          <w:b/>
          <w:bCs/>
          <w:i/>
        </w:rPr>
        <w:t>0043/2019</w:t>
      </w:r>
      <w:r>
        <w:rPr>
          <w:rFonts w:ascii="Arial" w:hAnsi="Arial" w:cs="Arial"/>
          <w:i/>
        </w:rPr>
        <w:t xml:space="preserve">, se advierte que </w:t>
      </w:r>
      <w:r>
        <w:rPr>
          <w:rFonts w:ascii="Arial" w:hAnsi="Arial" w:cs="Arial"/>
          <w:b/>
          <w:bCs/>
          <w:i/>
        </w:rPr>
        <w:t xml:space="preserve">el promovente Claudio Francisco Toledo Villalobos, demanda </w:t>
      </w:r>
      <w:r>
        <w:rPr>
          <w:rFonts w:ascii="Arial" w:hAnsi="Arial" w:cs="Arial"/>
          <w:i/>
        </w:rPr>
        <w:t xml:space="preserve">la nulidad de: </w:t>
      </w:r>
      <w:r>
        <w:rPr>
          <w:rFonts w:ascii="Arial" w:hAnsi="Arial" w:cs="Arial"/>
          <w:b/>
          <w:bCs/>
          <w:i/>
        </w:rPr>
        <w:t xml:space="preserve">a) </w:t>
      </w:r>
      <w:r>
        <w:rPr>
          <w:rFonts w:ascii="Arial" w:hAnsi="Arial" w:cs="Arial"/>
          <w:i/>
        </w:rPr>
        <w:t xml:space="preserve">mandamiento de ejecución número </w:t>
      </w:r>
      <w:r>
        <w:rPr>
          <w:rFonts w:ascii="Arial" w:hAnsi="Arial" w:cs="Arial"/>
          <w:b/>
          <w:bCs/>
          <w:i/>
        </w:rPr>
        <w:t xml:space="preserve">330925021901165, </w:t>
      </w:r>
      <w:r>
        <w:rPr>
          <w:rFonts w:ascii="Arial" w:hAnsi="Arial" w:cs="Arial"/>
          <w:i/>
        </w:rPr>
        <w:t xml:space="preserve">de veinticinco de febrero de dos mil diecinueve, emitido por la Coordinadora de Cobro Coactivo de la Dirección de Ingresos y Recaudación de la Secretaría de Finanzas del Gobierno del Estado; </w:t>
      </w:r>
      <w:r>
        <w:rPr>
          <w:rFonts w:ascii="Arial" w:hAnsi="Arial" w:cs="Arial"/>
          <w:b/>
          <w:bCs/>
          <w:i/>
        </w:rPr>
        <w:t xml:space="preserve">b) </w:t>
      </w:r>
      <w:r>
        <w:rPr>
          <w:rFonts w:ascii="Arial" w:hAnsi="Arial" w:cs="Arial"/>
          <w:i/>
        </w:rPr>
        <w:t>diligencia de requerimiento de pago de fecha tres de abril de dos mil diecinueve, practicada por el Notificador Ejecutor de la Secretaría de Finanzas del Gobierno del Estado; quien manifiesta bajo protesta de decir verdad que tuvo conocimiento del acto impugnado el día cuatro de abril de dos mil diecinueve.- - - - - - - - - - - - - - - - - - - - - - - - - - - - - - - - - - - - - - - --</w:t>
      </w:r>
    </w:p>
    <w:p w14:paraId="5EC975D5" w14:textId="77777777" w:rsidR="007A5FD6" w:rsidRDefault="007A5FD6" w:rsidP="007A5FD6">
      <w:pPr>
        <w:spacing w:after="120" w:line="360" w:lineRule="auto"/>
        <w:ind w:left="851" w:right="900" w:firstLine="425"/>
        <w:jc w:val="both"/>
        <w:rPr>
          <w:rFonts w:ascii="Arial" w:hAnsi="Arial" w:cs="Arial"/>
          <w:i/>
        </w:rPr>
      </w:pPr>
      <w:r>
        <w:rPr>
          <w:rFonts w:ascii="Arial" w:hAnsi="Arial" w:cs="Arial"/>
          <w:i/>
        </w:rPr>
        <w:t xml:space="preserve">Ahora bien, del escrito de demanda y anexos no consta que la autoridad demandada hubiese embargado bienes propiedad del promovente, para garantizar el crédito fiscal que se reclama y menos consta la </w:t>
      </w:r>
      <w:r>
        <w:rPr>
          <w:rFonts w:ascii="Arial" w:hAnsi="Arial" w:cs="Arial"/>
          <w:b/>
          <w:bCs/>
          <w:i/>
        </w:rPr>
        <w:t xml:space="preserve">resolución que apruebe el remate, </w:t>
      </w:r>
      <w:r>
        <w:rPr>
          <w:rFonts w:ascii="Arial" w:hAnsi="Arial" w:cs="Arial"/>
          <w:i/>
        </w:rPr>
        <w:t>para promover el juicio ante este Tribunal, como lo establece el artículo 133 fracción VII inciso d), de la Ley de Procedimiento y Justicia Administrativa para el Estado, (sic) que para su mejor comprensión se transcribe:- - - - - - - - - - - - - - - - - - - - - - - - - - - - -  - - - - - - - - --</w:t>
      </w:r>
    </w:p>
    <w:p w14:paraId="71BA4B16" w14:textId="757FE57A" w:rsidR="007A5FD6" w:rsidRDefault="007A5FD6" w:rsidP="007A5FD6">
      <w:pPr>
        <w:spacing w:after="120" w:line="360" w:lineRule="auto"/>
        <w:ind w:left="1276" w:right="1467" w:firstLine="424"/>
        <w:jc w:val="both"/>
        <w:rPr>
          <w:rFonts w:ascii="Arial" w:hAnsi="Arial" w:cs="Arial"/>
          <w:i/>
        </w:rPr>
      </w:pPr>
      <w:r>
        <w:rPr>
          <w:rFonts w:ascii="Arial" w:hAnsi="Arial" w:cs="Arial"/>
          <w:b/>
          <w:bCs/>
          <w:i/>
        </w:rPr>
        <w:t xml:space="preserve">“…Artículo 133.- </w:t>
      </w:r>
      <w:r>
        <w:rPr>
          <w:rFonts w:ascii="Arial" w:hAnsi="Arial" w:cs="Arial"/>
          <w:i/>
        </w:rPr>
        <w:t>Las Salas Unitarias del Tribunal son competentes para conocer y resolver los juicios que se promuevan en contra de:</w:t>
      </w:r>
      <w:r w:rsidR="004E3986">
        <w:rPr>
          <w:rFonts w:ascii="Arial" w:hAnsi="Arial" w:cs="Arial"/>
          <w:i/>
        </w:rPr>
        <w:t xml:space="preserve"> - - - - - - - - - - - - - - - - - - - -</w:t>
      </w:r>
    </w:p>
    <w:p w14:paraId="12DF8714" w14:textId="7BC56989" w:rsidR="007A5FD6" w:rsidRDefault="007A5FD6" w:rsidP="007A5FD6">
      <w:pPr>
        <w:spacing w:after="120" w:line="360" w:lineRule="auto"/>
        <w:ind w:left="1276" w:right="1467" w:firstLine="424"/>
        <w:jc w:val="both"/>
        <w:rPr>
          <w:rFonts w:ascii="Arial" w:hAnsi="Arial" w:cs="Arial"/>
          <w:i/>
        </w:rPr>
      </w:pPr>
      <w:r>
        <w:rPr>
          <w:rFonts w:ascii="Arial" w:hAnsi="Arial" w:cs="Arial"/>
          <w:b/>
          <w:bCs/>
          <w:i/>
        </w:rPr>
        <w:t>VII.</w:t>
      </w:r>
      <w:r>
        <w:rPr>
          <w:rFonts w:ascii="Arial" w:hAnsi="Arial" w:cs="Arial"/>
          <w:i/>
        </w:rPr>
        <w:t xml:space="preserve"> El procedimiento administrativo de ejecución cuando el afectado en dicho procedimiento opte por no interponer el recurso ordinario ante las autoridades competentes y cuando </w:t>
      </w:r>
      <w:proofErr w:type="gramStart"/>
      <w:r>
        <w:rPr>
          <w:rFonts w:ascii="Arial" w:hAnsi="Arial" w:cs="Arial"/>
          <w:i/>
        </w:rPr>
        <w:t>afirme:-</w:t>
      </w:r>
      <w:proofErr w:type="gramEnd"/>
      <w:r>
        <w:rPr>
          <w:rFonts w:ascii="Arial" w:hAnsi="Arial" w:cs="Arial"/>
          <w:i/>
        </w:rPr>
        <w:t xml:space="preserve"> - - - - - - -</w:t>
      </w:r>
      <w:r w:rsidR="004E3986">
        <w:rPr>
          <w:rFonts w:ascii="Arial" w:hAnsi="Arial" w:cs="Arial"/>
          <w:i/>
        </w:rPr>
        <w:t xml:space="preserve"> - - - - - - - - - - - </w:t>
      </w:r>
    </w:p>
    <w:p w14:paraId="244DB5F3" w14:textId="77777777" w:rsidR="007A5FD6" w:rsidRDefault="007A5FD6" w:rsidP="007A5FD6">
      <w:pPr>
        <w:spacing w:after="120" w:line="360" w:lineRule="auto"/>
        <w:ind w:left="1276" w:right="1467" w:firstLine="424"/>
        <w:jc w:val="both"/>
        <w:rPr>
          <w:rFonts w:ascii="Arial" w:hAnsi="Arial" w:cs="Arial"/>
          <w:i/>
        </w:rPr>
      </w:pPr>
      <w:r>
        <w:rPr>
          <w:rFonts w:ascii="Arial" w:hAnsi="Arial" w:cs="Arial"/>
          <w:b/>
          <w:bCs/>
          <w:i/>
        </w:rPr>
        <w:t xml:space="preserve">d) </w:t>
      </w:r>
      <w:r>
        <w:rPr>
          <w:rFonts w:ascii="Arial" w:hAnsi="Arial" w:cs="Arial"/>
          <w:i/>
        </w:rPr>
        <w:t xml:space="preserve">Que el procedimiento coactivo no se ajuste a la ley. En este caso, la oposición no se podrá hacer valer, sino contra la resolución que apruebe el remate; salvo que se trate de resoluciones cuya ejecución material sea de imposible reparación…”- - - - - - - - - - - - - - - - - - - - - - </w:t>
      </w:r>
    </w:p>
    <w:p w14:paraId="544A0125" w14:textId="1291E3F8" w:rsidR="007A5FD6" w:rsidRDefault="007A5FD6" w:rsidP="007A5FD6">
      <w:pPr>
        <w:spacing w:after="120" w:line="360" w:lineRule="auto"/>
        <w:ind w:left="851" w:right="900" w:firstLine="424"/>
        <w:jc w:val="both"/>
        <w:rPr>
          <w:rFonts w:ascii="Arial" w:hAnsi="Arial" w:cs="Arial"/>
          <w:i/>
        </w:rPr>
      </w:pPr>
      <w:r>
        <w:rPr>
          <w:rFonts w:ascii="Arial" w:hAnsi="Arial" w:cs="Arial"/>
          <w:i/>
        </w:rPr>
        <w:t xml:space="preserve">Luego, para que el promovente tenga derecho a impugnar el procedimiento coactivo del crédito fiscal debe hacerlo contra la resolución que </w:t>
      </w:r>
      <w:r>
        <w:rPr>
          <w:rFonts w:ascii="Arial" w:hAnsi="Arial" w:cs="Arial"/>
          <w:b/>
          <w:bCs/>
          <w:i/>
        </w:rPr>
        <w:t xml:space="preserve">aprueba el remate </w:t>
      </w:r>
      <w:r>
        <w:rPr>
          <w:rFonts w:ascii="Arial" w:hAnsi="Arial" w:cs="Arial"/>
          <w:i/>
        </w:rPr>
        <w:t xml:space="preserve">y de las constancias que se acompañan no se justifica </w:t>
      </w:r>
      <w:r w:rsidR="00E94FB0">
        <w:rPr>
          <w:rFonts w:ascii="Arial" w:hAnsi="Arial" w:cs="Arial"/>
          <w:i/>
        </w:rPr>
        <w:t>ello. -</w:t>
      </w:r>
      <w:r>
        <w:rPr>
          <w:rFonts w:ascii="Arial" w:hAnsi="Arial" w:cs="Arial"/>
          <w:i/>
        </w:rPr>
        <w:t xml:space="preserve"> - - - - - - - - - - - - - - - - - - - - - - - - - </w:t>
      </w:r>
    </w:p>
    <w:p w14:paraId="361AC86D" w14:textId="77777777" w:rsidR="007A5FD6" w:rsidRDefault="007A5FD6" w:rsidP="007A5FD6">
      <w:pPr>
        <w:spacing w:after="120" w:line="360" w:lineRule="auto"/>
        <w:ind w:left="851" w:right="900" w:firstLine="424"/>
        <w:jc w:val="both"/>
        <w:rPr>
          <w:rFonts w:ascii="Arial" w:hAnsi="Arial" w:cs="Arial"/>
          <w:i/>
        </w:rPr>
      </w:pPr>
      <w:r>
        <w:rPr>
          <w:rFonts w:ascii="Arial" w:hAnsi="Arial" w:cs="Arial"/>
          <w:i/>
        </w:rPr>
        <w:t xml:space="preserve">Por lo anteriormente señalado, </w:t>
      </w:r>
      <w:r>
        <w:rPr>
          <w:rFonts w:ascii="Arial" w:hAnsi="Arial" w:cs="Arial"/>
          <w:b/>
          <w:bCs/>
          <w:i/>
        </w:rPr>
        <w:t xml:space="preserve">SE DESECHA LA DEMANDA DE NULIDAD </w:t>
      </w:r>
      <w:r>
        <w:rPr>
          <w:rFonts w:ascii="Arial" w:hAnsi="Arial" w:cs="Arial"/>
          <w:i/>
        </w:rPr>
        <w:t xml:space="preserve">interpuesta por </w:t>
      </w:r>
      <w:r>
        <w:rPr>
          <w:rFonts w:ascii="Arial" w:hAnsi="Arial" w:cs="Arial"/>
          <w:b/>
          <w:bCs/>
          <w:i/>
        </w:rPr>
        <w:t xml:space="preserve">CLAUDIO FRANCISCO TOLEDO VILLALOBOS, </w:t>
      </w:r>
      <w:r>
        <w:rPr>
          <w:rFonts w:ascii="Arial" w:hAnsi="Arial" w:cs="Arial"/>
          <w:i/>
        </w:rPr>
        <w:t xml:space="preserve">respecto del mandamiento de ejecución número </w:t>
      </w:r>
      <w:r>
        <w:rPr>
          <w:rFonts w:ascii="Arial" w:hAnsi="Arial" w:cs="Arial"/>
          <w:b/>
          <w:bCs/>
          <w:i/>
        </w:rPr>
        <w:t xml:space="preserve">330925021901165, </w:t>
      </w:r>
      <w:r>
        <w:rPr>
          <w:rFonts w:ascii="Arial" w:hAnsi="Arial" w:cs="Arial"/>
          <w:i/>
        </w:rPr>
        <w:t xml:space="preserve">de veinticinco de febrero de dos mil diecinueve, </w:t>
      </w:r>
      <w:r>
        <w:rPr>
          <w:rFonts w:ascii="Arial" w:hAnsi="Arial" w:cs="Arial"/>
          <w:i/>
        </w:rPr>
        <w:lastRenderedPageBreak/>
        <w:t xml:space="preserve">emitido por la Coordinadora de Cobro Coactivo de la Dirección de Ingresos y Recaudación de la Secretaría de Finanzas del Gobierno del Estado; y diligencia de requerimiento de pago de fecha tres de abril de dos mil diecinueve, practicada por el Notificador Ejecutor de la Secretaría de Finanzas de Gobierno del Estado; por </w:t>
      </w:r>
      <w:r>
        <w:rPr>
          <w:rFonts w:ascii="Arial" w:hAnsi="Arial" w:cs="Arial"/>
          <w:b/>
          <w:bCs/>
          <w:i/>
        </w:rPr>
        <w:t xml:space="preserve">NOTORIAMENTE IMPROCEDENTE, </w:t>
      </w:r>
      <w:r>
        <w:rPr>
          <w:rFonts w:ascii="Arial" w:hAnsi="Arial" w:cs="Arial"/>
          <w:i/>
        </w:rPr>
        <w:t>por encontrarse motivo manifiesto e indudable de improcedencia, conforme a lo establecido por los artículos 161 fracciones IX y X, 162 fracciones VI y 182 fracción I, de la Ley de Procedimiento y Justicia Administrativa para el Estado de Oaxaca.- - - - - - - - - - - - - - -  - - - - - - - - - - - - - - - - - -</w:t>
      </w:r>
    </w:p>
    <w:p w14:paraId="3C87CB39" w14:textId="77777777" w:rsidR="007A5FD6" w:rsidRDefault="007A5FD6" w:rsidP="007A5FD6">
      <w:pPr>
        <w:spacing w:after="120" w:line="360" w:lineRule="auto"/>
        <w:ind w:left="851" w:right="900" w:firstLine="424"/>
        <w:jc w:val="both"/>
        <w:rPr>
          <w:rFonts w:ascii="Arial" w:hAnsi="Arial" w:cs="Arial"/>
          <w:i/>
        </w:rPr>
      </w:pPr>
      <w:r>
        <w:rPr>
          <w:rFonts w:ascii="Arial" w:hAnsi="Arial" w:cs="Arial"/>
          <w:i/>
        </w:rPr>
        <w:t xml:space="preserve">Por último, una vez que cause estado el presente auto, </w:t>
      </w:r>
      <w:r>
        <w:rPr>
          <w:rFonts w:ascii="Arial" w:hAnsi="Arial" w:cs="Arial"/>
          <w:b/>
          <w:bCs/>
          <w:i/>
        </w:rPr>
        <w:t xml:space="preserve">se ordena dar de baja del libro de control de expediente de esta Sala Unitaria </w:t>
      </w:r>
      <w:r>
        <w:rPr>
          <w:rFonts w:ascii="Arial" w:hAnsi="Arial" w:cs="Arial"/>
          <w:i/>
        </w:rPr>
        <w:t xml:space="preserve">y en consecuencia </w:t>
      </w:r>
      <w:r>
        <w:rPr>
          <w:rFonts w:ascii="Arial" w:hAnsi="Arial" w:cs="Arial"/>
          <w:b/>
          <w:bCs/>
          <w:i/>
        </w:rPr>
        <w:t xml:space="preserve">su archivo, </w:t>
      </w:r>
      <w:r>
        <w:rPr>
          <w:rFonts w:ascii="Arial" w:hAnsi="Arial" w:cs="Arial"/>
          <w:i/>
        </w:rPr>
        <w:t>y mediante oficio que se gire a la Secretaría General de Acuerdos de este Tribunal, remítase el original del expediente al Archivo General de este Tribunal, de conformidad con lo dispuesto por los artículos 101, 102, 104, y 106 del Reglamento Interno del Tribunal de Justicia Administrativa del Estado de Oaxaca, aprobado.- - - - - - - - - - - - - -</w:t>
      </w:r>
    </w:p>
    <w:p w14:paraId="408C2A71" w14:textId="77777777" w:rsidR="007A5FD6" w:rsidRDefault="007A5FD6" w:rsidP="007A5FD6">
      <w:pPr>
        <w:spacing w:after="0" w:line="360" w:lineRule="auto"/>
        <w:ind w:left="851" w:right="900"/>
        <w:jc w:val="both"/>
        <w:rPr>
          <w:rFonts w:ascii="Arial" w:hAnsi="Arial" w:cs="Arial"/>
          <w:i/>
        </w:rPr>
      </w:pPr>
      <w:r>
        <w:rPr>
          <w:rFonts w:ascii="Arial" w:hAnsi="Arial" w:cs="Arial"/>
          <w:i/>
        </w:rPr>
        <w:t xml:space="preserve">    </w:t>
      </w:r>
      <w:r w:rsidRPr="001D1465">
        <w:rPr>
          <w:rFonts w:ascii="Arial" w:hAnsi="Arial" w:cs="Arial"/>
          <w:b/>
          <w:i/>
        </w:rPr>
        <w:t>Notifíquese personalmente al promovente</w:t>
      </w:r>
      <w:r>
        <w:rPr>
          <w:rFonts w:ascii="Arial" w:hAnsi="Arial" w:cs="Arial"/>
          <w:i/>
        </w:rPr>
        <w:t>, en términos de los artículos 172 fracción I y 173 fracción I, de la Ley de Procedimiento y Justicia Administrativa para el Estado de Oaxaca.”- - - - - - - - - - -</w:t>
      </w:r>
    </w:p>
    <w:p w14:paraId="5C44F7A2" w14:textId="77777777" w:rsidR="007A5FD6" w:rsidRPr="009536D4" w:rsidRDefault="007A5FD6" w:rsidP="007A5FD6">
      <w:pPr>
        <w:spacing w:after="0" w:line="360" w:lineRule="auto"/>
        <w:ind w:right="902"/>
        <w:jc w:val="both"/>
        <w:rPr>
          <w:rFonts w:ascii="Arial" w:hAnsi="Arial" w:cs="Arial"/>
          <w:i/>
        </w:rPr>
      </w:pPr>
    </w:p>
    <w:p w14:paraId="5CDCDFBC" w14:textId="15D2E9B5" w:rsidR="007A5FD6" w:rsidRPr="00211965" w:rsidRDefault="007A5FD6" w:rsidP="003502EE">
      <w:pPr>
        <w:spacing w:after="120" w:line="360" w:lineRule="auto"/>
        <w:ind w:right="49"/>
        <w:jc w:val="center"/>
        <w:rPr>
          <w:rFonts w:ascii="Arial" w:hAnsi="Arial" w:cs="Arial"/>
          <w:b/>
          <w:bCs/>
          <w:iCs/>
          <w:sz w:val="26"/>
          <w:szCs w:val="26"/>
        </w:rPr>
      </w:pPr>
      <w:r w:rsidRPr="00211965">
        <w:rPr>
          <w:rFonts w:ascii="Arial" w:hAnsi="Arial" w:cs="Arial"/>
          <w:b/>
          <w:bCs/>
          <w:iCs/>
          <w:sz w:val="26"/>
          <w:szCs w:val="26"/>
        </w:rPr>
        <w:t>C</w:t>
      </w:r>
      <w:r w:rsidR="003502EE">
        <w:rPr>
          <w:rFonts w:ascii="Arial" w:hAnsi="Arial" w:cs="Arial"/>
          <w:b/>
          <w:bCs/>
          <w:iCs/>
          <w:sz w:val="26"/>
          <w:szCs w:val="26"/>
        </w:rPr>
        <w:t xml:space="preserve"> </w:t>
      </w:r>
      <w:r w:rsidRPr="00211965">
        <w:rPr>
          <w:rFonts w:ascii="Arial" w:hAnsi="Arial" w:cs="Arial"/>
          <w:b/>
          <w:bCs/>
          <w:iCs/>
          <w:sz w:val="26"/>
          <w:szCs w:val="26"/>
        </w:rPr>
        <w:t>O</w:t>
      </w:r>
      <w:r w:rsidR="003502EE">
        <w:rPr>
          <w:rFonts w:ascii="Arial" w:hAnsi="Arial" w:cs="Arial"/>
          <w:b/>
          <w:bCs/>
          <w:iCs/>
          <w:sz w:val="26"/>
          <w:szCs w:val="26"/>
        </w:rPr>
        <w:t xml:space="preserve"> </w:t>
      </w:r>
      <w:r w:rsidRPr="00211965">
        <w:rPr>
          <w:rFonts w:ascii="Arial" w:hAnsi="Arial" w:cs="Arial"/>
          <w:b/>
          <w:bCs/>
          <w:iCs/>
          <w:sz w:val="26"/>
          <w:szCs w:val="26"/>
        </w:rPr>
        <w:t>N</w:t>
      </w:r>
      <w:r w:rsidR="003502EE">
        <w:rPr>
          <w:rFonts w:ascii="Arial" w:hAnsi="Arial" w:cs="Arial"/>
          <w:b/>
          <w:bCs/>
          <w:iCs/>
          <w:sz w:val="26"/>
          <w:szCs w:val="26"/>
        </w:rPr>
        <w:t xml:space="preserve"> </w:t>
      </w:r>
      <w:r w:rsidRPr="00211965">
        <w:rPr>
          <w:rFonts w:ascii="Arial" w:hAnsi="Arial" w:cs="Arial"/>
          <w:b/>
          <w:bCs/>
          <w:iCs/>
          <w:sz w:val="26"/>
          <w:szCs w:val="26"/>
        </w:rPr>
        <w:t>S</w:t>
      </w:r>
      <w:r w:rsidR="003502EE">
        <w:rPr>
          <w:rFonts w:ascii="Arial" w:hAnsi="Arial" w:cs="Arial"/>
          <w:b/>
          <w:bCs/>
          <w:iCs/>
          <w:sz w:val="26"/>
          <w:szCs w:val="26"/>
        </w:rPr>
        <w:t xml:space="preserve"> </w:t>
      </w:r>
      <w:r w:rsidRPr="00211965">
        <w:rPr>
          <w:rFonts w:ascii="Arial" w:hAnsi="Arial" w:cs="Arial"/>
          <w:b/>
          <w:bCs/>
          <w:iCs/>
          <w:sz w:val="26"/>
          <w:szCs w:val="26"/>
        </w:rPr>
        <w:t>I</w:t>
      </w:r>
      <w:r w:rsidR="003502EE">
        <w:rPr>
          <w:rFonts w:ascii="Arial" w:hAnsi="Arial" w:cs="Arial"/>
          <w:b/>
          <w:bCs/>
          <w:iCs/>
          <w:sz w:val="26"/>
          <w:szCs w:val="26"/>
        </w:rPr>
        <w:t xml:space="preserve"> </w:t>
      </w:r>
      <w:r w:rsidRPr="00211965">
        <w:rPr>
          <w:rFonts w:ascii="Arial" w:hAnsi="Arial" w:cs="Arial"/>
          <w:b/>
          <w:bCs/>
          <w:iCs/>
          <w:sz w:val="26"/>
          <w:szCs w:val="26"/>
        </w:rPr>
        <w:t>D</w:t>
      </w:r>
      <w:r w:rsidR="003502EE">
        <w:rPr>
          <w:rFonts w:ascii="Arial" w:hAnsi="Arial" w:cs="Arial"/>
          <w:b/>
          <w:bCs/>
          <w:iCs/>
          <w:sz w:val="26"/>
          <w:szCs w:val="26"/>
        </w:rPr>
        <w:t xml:space="preserve"> </w:t>
      </w:r>
      <w:r w:rsidRPr="00211965">
        <w:rPr>
          <w:rFonts w:ascii="Arial" w:hAnsi="Arial" w:cs="Arial"/>
          <w:b/>
          <w:bCs/>
          <w:iCs/>
          <w:sz w:val="26"/>
          <w:szCs w:val="26"/>
        </w:rPr>
        <w:t>E</w:t>
      </w:r>
      <w:r w:rsidR="003502EE">
        <w:rPr>
          <w:rFonts w:ascii="Arial" w:hAnsi="Arial" w:cs="Arial"/>
          <w:b/>
          <w:bCs/>
          <w:iCs/>
          <w:sz w:val="26"/>
          <w:szCs w:val="26"/>
        </w:rPr>
        <w:t xml:space="preserve"> </w:t>
      </w:r>
      <w:r w:rsidRPr="00211965">
        <w:rPr>
          <w:rFonts w:ascii="Arial" w:hAnsi="Arial" w:cs="Arial"/>
          <w:b/>
          <w:bCs/>
          <w:iCs/>
          <w:sz w:val="26"/>
          <w:szCs w:val="26"/>
        </w:rPr>
        <w:t>R</w:t>
      </w:r>
      <w:r w:rsidR="003502EE">
        <w:rPr>
          <w:rFonts w:ascii="Arial" w:hAnsi="Arial" w:cs="Arial"/>
          <w:b/>
          <w:bCs/>
          <w:iCs/>
          <w:sz w:val="26"/>
          <w:szCs w:val="26"/>
        </w:rPr>
        <w:t xml:space="preserve"> </w:t>
      </w:r>
      <w:r w:rsidRPr="00211965">
        <w:rPr>
          <w:rFonts w:ascii="Arial" w:hAnsi="Arial" w:cs="Arial"/>
          <w:b/>
          <w:bCs/>
          <w:iCs/>
          <w:sz w:val="26"/>
          <w:szCs w:val="26"/>
        </w:rPr>
        <w:t>A</w:t>
      </w:r>
      <w:r w:rsidR="003502EE">
        <w:rPr>
          <w:rFonts w:ascii="Arial" w:hAnsi="Arial" w:cs="Arial"/>
          <w:b/>
          <w:bCs/>
          <w:iCs/>
          <w:sz w:val="26"/>
          <w:szCs w:val="26"/>
        </w:rPr>
        <w:t xml:space="preserve"> </w:t>
      </w:r>
      <w:r w:rsidRPr="00211965">
        <w:rPr>
          <w:rFonts w:ascii="Arial" w:hAnsi="Arial" w:cs="Arial"/>
          <w:b/>
          <w:bCs/>
          <w:iCs/>
          <w:sz w:val="26"/>
          <w:szCs w:val="26"/>
        </w:rPr>
        <w:t>N</w:t>
      </w:r>
      <w:r w:rsidR="003502EE">
        <w:rPr>
          <w:rFonts w:ascii="Arial" w:hAnsi="Arial" w:cs="Arial"/>
          <w:b/>
          <w:bCs/>
          <w:iCs/>
          <w:sz w:val="26"/>
          <w:szCs w:val="26"/>
        </w:rPr>
        <w:t xml:space="preserve"> </w:t>
      </w:r>
      <w:r w:rsidRPr="00211965">
        <w:rPr>
          <w:rFonts w:ascii="Arial" w:hAnsi="Arial" w:cs="Arial"/>
          <w:b/>
          <w:bCs/>
          <w:iCs/>
          <w:sz w:val="26"/>
          <w:szCs w:val="26"/>
        </w:rPr>
        <w:t>D</w:t>
      </w:r>
      <w:r w:rsidR="003502EE">
        <w:rPr>
          <w:rFonts w:ascii="Arial" w:hAnsi="Arial" w:cs="Arial"/>
          <w:b/>
          <w:bCs/>
          <w:iCs/>
          <w:sz w:val="26"/>
          <w:szCs w:val="26"/>
        </w:rPr>
        <w:t xml:space="preserve"> </w:t>
      </w:r>
      <w:r w:rsidRPr="00211965">
        <w:rPr>
          <w:rFonts w:ascii="Arial" w:hAnsi="Arial" w:cs="Arial"/>
          <w:b/>
          <w:bCs/>
          <w:iCs/>
          <w:sz w:val="26"/>
          <w:szCs w:val="26"/>
        </w:rPr>
        <w:t>O</w:t>
      </w:r>
    </w:p>
    <w:p w14:paraId="20801FFE" w14:textId="4BEF09A9" w:rsidR="007A5FD6" w:rsidRPr="00211965" w:rsidRDefault="007A5FD6" w:rsidP="00940ACA">
      <w:pPr>
        <w:spacing w:line="360" w:lineRule="auto"/>
        <w:ind w:firstLine="426"/>
        <w:jc w:val="both"/>
        <w:rPr>
          <w:rFonts w:ascii="Arial" w:hAnsi="Arial" w:cs="Arial"/>
          <w:sz w:val="26"/>
          <w:szCs w:val="26"/>
        </w:rPr>
      </w:pPr>
      <w:r>
        <w:rPr>
          <w:rFonts w:ascii="Arial" w:hAnsi="Arial" w:cs="Arial"/>
          <w:b/>
          <w:bCs/>
          <w:iCs/>
          <w:sz w:val="26"/>
          <w:szCs w:val="26"/>
        </w:rPr>
        <w:t xml:space="preserve">    </w:t>
      </w:r>
      <w:r w:rsidRPr="006E349D">
        <w:rPr>
          <w:rFonts w:ascii="Arial" w:hAnsi="Arial" w:cs="Arial"/>
          <w:b/>
          <w:bCs/>
          <w:iCs/>
          <w:sz w:val="26"/>
          <w:szCs w:val="26"/>
        </w:rPr>
        <w:t>PRIMERO.</w:t>
      </w:r>
      <w:r w:rsidRPr="00560E70">
        <w:rPr>
          <w:rFonts w:ascii="Arial" w:hAnsi="Arial" w:cs="Arial"/>
          <w:bCs/>
          <w:iCs/>
          <w:sz w:val="26"/>
          <w:szCs w:val="26"/>
          <w:lang w:eastAsia="es-ES"/>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Pr>
          <w:rFonts w:ascii="Arial" w:hAnsi="Arial" w:cs="Arial"/>
          <w:bCs/>
          <w:iCs/>
          <w:sz w:val="26"/>
          <w:szCs w:val="26"/>
          <w:lang w:eastAsia="es-ES"/>
        </w:rPr>
        <w:t xml:space="preserve"> 125, 127, 129, 130 fracción I, 131, 231, 236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ativa para el Estado de Oaxaca, dado que se trata de un r</w:t>
      </w:r>
      <w:r w:rsidRPr="00F41CAF">
        <w:rPr>
          <w:rFonts w:ascii="Arial" w:hAnsi="Arial" w:cs="Arial"/>
          <w:bCs/>
          <w:iCs/>
          <w:sz w:val="26"/>
          <w:szCs w:val="26"/>
        </w:rPr>
        <w:t>ecurso de Revisión interpues</w:t>
      </w:r>
      <w:r>
        <w:rPr>
          <w:rFonts w:ascii="Arial" w:hAnsi="Arial" w:cs="Arial"/>
          <w:bCs/>
          <w:iCs/>
          <w:sz w:val="26"/>
          <w:szCs w:val="26"/>
        </w:rPr>
        <w:t>to en contra del acuerdo de veinticinco de septiembre de dos mil veinte</w:t>
      </w:r>
      <w:r>
        <w:rPr>
          <w:rFonts w:ascii="Arial" w:hAnsi="Arial" w:cs="Arial"/>
          <w:sz w:val="26"/>
          <w:szCs w:val="26"/>
        </w:rPr>
        <w:t xml:space="preserve">, </w:t>
      </w:r>
      <w:r w:rsidR="00940ACA" w:rsidRPr="008E3662">
        <w:rPr>
          <w:rFonts w:ascii="Arial" w:hAnsi="Arial" w:cs="Arial"/>
          <w:bCs/>
          <w:iCs/>
          <w:sz w:val="26"/>
          <w:szCs w:val="26"/>
        </w:rPr>
        <w:t xml:space="preserve">dictada por la </w:t>
      </w:r>
      <w:r w:rsidR="00940ACA">
        <w:rPr>
          <w:rFonts w:ascii="Arial" w:hAnsi="Arial" w:cs="Arial"/>
          <w:bCs/>
          <w:iCs/>
          <w:sz w:val="26"/>
          <w:szCs w:val="26"/>
        </w:rPr>
        <w:t>Cuart</w:t>
      </w:r>
      <w:r w:rsidR="00940ACA" w:rsidRPr="008E3662">
        <w:rPr>
          <w:rFonts w:ascii="Arial" w:hAnsi="Arial" w:cs="Arial"/>
          <w:bCs/>
          <w:iCs/>
          <w:sz w:val="26"/>
          <w:szCs w:val="26"/>
        </w:rPr>
        <w:t>a Sala Unitaria de Primera Instancia de este Tribun</w:t>
      </w:r>
      <w:r w:rsidR="00940ACA">
        <w:rPr>
          <w:rFonts w:ascii="Arial" w:hAnsi="Arial" w:cs="Arial"/>
          <w:bCs/>
          <w:iCs/>
          <w:sz w:val="26"/>
          <w:szCs w:val="26"/>
        </w:rPr>
        <w:t xml:space="preserve">al, en el juicio de nulidad </w:t>
      </w:r>
      <w:r>
        <w:rPr>
          <w:rFonts w:ascii="Arial" w:hAnsi="Arial" w:cs="Arial"/>
          <w:b/>
          <w:sz w:val="26"/>
          <w:szCs w:val="26"/>
        </w:rPr>
        <w:t>0043/2019</w:t>
      </w:r>
      <w:r>
        <w:rPr>
          <w:rFonts w:ascii="Arial" w:hAnsi="Arial" w:cs="Arial"/>
          <w:sz w:val="26"/>
          <w:szCs w:val="26"/>
        </w:rPr>
        <w:t xml:space="preserve">.- - - - - - - - - - - - - - - - - - </w:t>
      </w:r>
    </w:p>
    <w:p w14:paraId="6E580DF1" w14:textId="7431BF34" w:rsidR="007A5FD6" w:rsidRDefault="007A5FD6" w:rsidP="007A5FD6">
      <w:pPr>
        <w:spacing w:line="360" w:lineRule="auto"/>
        <w:ind w:firstLine="708"/>
        <w:jc w:val="both"/>
        <w:rPr>
          <w:rFonts w:ascii="Arial" w:hAnsi="Arial" w:cs="Arial"/>
          <w:sz w:val="26"/>
          <w:szCs w:val="26"/>
        </w:rPr>
      </w:pPr>
      <w:r w:rsidRPr="00F66D81">
        <w:rPr>
          <w:rFonts w:ascii="Arial" w:hAnsi="Arial" w:cs="Arial"/>
          <w:b/>
          <w:bCs/>
          <w:sz w:val="26"/>
          <w:szCs w:val="26"/>
        </w:rPr>
        <w:t xml:space="preserve">SEGUNDO. </w:t>
      </w:r>
      <w:r>
        <w:rPr>
          <w:rFonts w:ascii="Arial" w:hAnsi="Arial" w:cs="Arial"/>
          <w:bCs/>
          <w:sz w:val="26"/>
          <w:szCs w:val="26"/>
        </w:rPr>
        <w:t>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 xml:space="preserve">. En apoyo a lo anterior, se invoca el criterio </w:t>
      </w:r>
      <w:r>
        <w:rPr>
          <w:rFonts w:ascii="Arial" w:hAnsi="Arial" w:cs="Arial"/>
          <w:sz w:val="26"/>
          <w:szCs w:val="26"/>
        </w:rPr>
        <w:lastRenderedPageBreak/>
        <w:t>Jurisprudencial</w:t>
      </w:r>
      <w:r>
        <w:rPr>
          <w:rFonts w:ascii="Arial" w:hAnsi="Arial" w:cs="Arial"/>
          <w:bCs/>
          <w:color w:val="000000"/>
          <w:sz w:val="26"/>
          <w:szCs w:val="26"/>
        </w:rPr>
        <w:t xml:space="preserve"> 2a./J. 58/2010 emi</w:t>
      </w:r>
      <w:r w:rsidRPr="006D17C7">
        <w:rPr>
          <w:rFonts w:ascii="Arial" w:hAnsi="Arial" w:cs="Arial"/>
          <w:bCs/>
          <w:color w:val="000000"/>
          <w:sz w:val="26"/>
          <w:szCs w:val="26"/>
        </w:rPr>
        <w:t>tido</w:t>
      </w:r>
      <w:r>
        <w:rPr>
          <w:rFonts w:ascii="Arial" w:hAnsi="Arial" w:cs="Arial"/>
          <w:bCs/>
          <w:color w:val="000000"/>
          <w:sz w:val="26"/>
          <w:szCs w:val="26"/>
        </w:rPr>
        <w:t xml:space="preserve"> por la Segunda Sala de la Suprema Corte de Justicia de la Nación, con número de registro 164618, publica</w:t>
      </w:r>
      <w:r w:rsidRPr="006D17C7">
        <w:rPr>
          <w:rFonts w:ascii="Arial" w:hAnsi="Arial" w:cs="Arial"/>
          <w:bCs/>
          <w:color w:val="000000"/>
          <w:sz w:val="26"/>
          <w:szCs w:val="26"/>
        </w:rPr>
        <w:t>do</w:t>
      </w:r>
      <w:r>
        <w:rPr>
          <w:rFonts w:ascii="Arial" w:hAnsi="Arial" w:cs="Arial"/>
          <w:bCs/>
          <w:color w:val="000000"/>
          <w:sz w:val="26"/>
          <w:szCs w:val="26"/>
        </w:rPr>
        <w:t xml:space="preserve"> en la Gaceta del Semanario Judicial de la Federación, Tomo XXXI, Mayo de 2010, visible a página 830, Novena Época, bajo el rubro y texto </w:t>
      </w:r>
      <w:r w:rsidR="00141C3E">
        <w:rPr>
          <w:rFonts w:ascii="Arial" w:hAnsi="Arial" w:cs="Arial"/>
          <w:bCs/>
          <w:color w:val="000000"/>
          <w:sz w:val="26"/>
          <w:szCs w:val="26"/>
        </w:rPr>
        <w:t>siguiente: -</w:t>
      </w:r>
      <w:r>
        <w:rPr>
          <w:rFonts w:ascii="Arial" w:hAnsi="Arial" w:cs="Arial"/>
          <w:bCs/>
          <w:color w:val="000000"/>
          <w:sz w:val="26"/>
          <w:szCs w:val="26"/>
        </w:rPr>
        <w:t xml:space="preserve"> - </w:t>
      </w:r>
      <w:proofErr w:type="gramStart"/>
      <w:r>
        <w:rPr>
          <w:rFonts w:ascii="Arial" w:hAnsi="Arial" w:cs="Arial"/>
          <w:bCs/>
          <w:color w:val="000000"/>
          <w:sz w:val="26"/>
          <w:szCs w:val="26"/>
        </w:rPr>
        <w:t>-  -</w:t>
      </w:r>
      <w:proofErr w:type="gramEnd"/>
      <w:r>
        <w:rPr>
          <w:rFonts w:ascii="Arial" w:hAnsi="Arial" w:cs="Arial"/>
          <w:bCs/>
          <w:color w:val="000000"/>
          <w:sz w:val="26"/>
          <w:szCs w:val="26"/>
        </w:rPr>
        <w:t xml:space="preserve"> - - - - - - - - - - - - - - - - - - - - - - - - - - - - - - - - - - -</w:t>
      </w:r>
    </w:p>
    <w:p w14:paraId="431BB902" w14:textId="77777777" w:rsidR="007A5FD6" w:rsidRDefault="007A5FD6" w:rsidP="007A5FD6">
      <w:pPr>
        <w:spacing w:after="120" w:line="360" w:lineRule="auto"/>
        <w:ind w:left="709"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 - - - - - - - - - - - - </w:t>
      </w:r>
    </w:p>
    <w:p w14:paraId="19954F48" w14:textId="77777777" w:rsidR="007A5FD6" w:rsidRDefault="007A5FD6" w:rsidP="007A5FD6">
      <w:pPr>
        <w:pStyle w:val="Textoindependiente"/>
        <w:spacing w:line="360" w:lineRule="auto"/>
        <w:jc w:val="both"/>
        <w:rPr>
          <w:rFonts w:ascii="Arial" w:eastAsia="Calibri" w:hAnsi="Arial" w:cs="Arial"/>
          <w:sz w:val="26"/>
          <w:szCs w:val="26"/>
        </w:rPr>
      </w:pPr>
      <w:r>
        <w:rPr>
          <w:rFonts w:ascii="Arial" w:eastAsia="Calibri" w:hAnsi="Arial" w:cs="Arial"/>
          <w:b/>
          <w:sz w:val="26"/>
          <w:szCs w:val="26"/>
        </w:rPr>
        <w:t xml:space="preserve">      </w:t>
      </w:r>
      <w:r w:rsidRPr="007D72FD">
        <w:rPr>
          <w:rFonts w:ascii="Arial" w:eastAsia="Calibri" w:hAnsi="Arial" w:cs="Arial"/>
          <w:b/>
          <w:sz w:val="26"/>
          <w:szCs w:val="26"/>
        </w:rPr>
        <w:t xml:space="preserve">TERCERO. </w:t>
      </w:r>
      <w:r w:rsidRPr="007D72FD">
        <w:rPr>
          <w:rFonts w:ascii="Arial" w:eastAsia="Calibri" w:hAnsi="Arial" w:cs="Arial"/>
          <w:sz w:val="26"/>
          <w:szCs w:val="26"/>
        </w:rPr>
        <w:t xml:space="preserve">Expone el </w:t>
      </w:r>
      <w:r>
        <w:rPr>
          <w:rFonts w:ascii="Arial" w:eastAsia="Calibri" w:hAnsi="Arial" w:cs="Arial"/>
          <w:sz w:val="26"/>
          <w:szCs w:val="26"/>
        </w:rPr>
        <w:t xml:space="preserve">recurrente en su agravio </w:t>
      </w:r>
      <w:r>
        <w:rPr>
          <w:rFonts w:ascii="Arial" w:eastAsia="Calibri" w:hAnsi="Arial" w:cs="Arial"/>
          <w:b/>
          <w:bCs/>
          <w:sz w:val="26"/>
          <w:szCs w:val="26"/>
        </w:rPr>
        <w:t>primero,</w:t>
      </w:r>
      <w:r w:rsidRPr="007D72FD">
        <w:rPr>
          <w:rFonts w:ascii="Arial" w:eastAsia="Calibri" w:hAnsi="Arial" w:cs="Arial"/>
          <w:sz w:val="26"/>
          <w:szCs w:val="26"/>
        </w:rPr>
        <w:t xml:space="preserve"> </w:t>
      </w:r>
      <w:r>
        <w:rPr>
          <w:rFonts w:ascii="Arial" w:eastAsia="Calibri" w:hAnsi="Arial" w:cs="Arial"/>
          <w:sz w:val="26"/>
          <w:szCs w:val="26"/>
        </w:rPr>
        <w:t>que el acuerdo de fecha veinticinco de septiembre de dos mil veinte, viola en su perjuicio el principio pro persona previsto en el artículo 1 de la Constitución Política de los Estados Unidos Mexicanos, al contravenir los artículos 17, 18 y 133 fracción I de la Ley de Procedimiento y Justicia Administrativa para el Estado de Oaxaca, pues señala que se debe analizar la validez o invalidez de los actos que reclamó en su demanda de nulidad, ya que la Sala de Primera Instancia indebidamente aplica un supuesto jurídico que no se ajusta a los actos que hace valer en su demanda,  pues el citado precepto constitucional, impone a este Tribunal la obligación de respetar, proteger y garantizar los derechos humanos de conformidad con los principios de universalidad, interdependencia, indivisibilidad y progresividad, así como reparar las violaciones a los derechos humanos en los términos que establezca la ley. - - - - - - - - - -</w:t>
      </w:r>
    </w:p>
    <w:p w14:paraId="100F308F" w14:textId="77777777" w:rsidR="007A5FD6" w:rsidRDefault="007A5FD6" w:rsidP="007A5FD6">
      <w:pPr>
        <w:pStyle w:val="Textoindependiente"/>
        <w:spacing w:line="360" w:lineRule="auto"/>
        <w:jc w:val="both"/>
        <w:rPr>
          <w:rFonts w:ascii="Arial" w:eastAsia="Calibri" w:hAnsi="Arial" w:cs="Arial"/>
          <w:sz w:val="26"/>
          <w:szCs w:val="26"/>
        </w:rPr>
      </w:pPr>
      <w:r>
        <w:rPr>
          <w:rFonts w:ascii="Arial" w:eastAsia="Calibri" w:hAnsi="Arial" w:cs="Arial"/>
          <w:sz w:val="26"/>
          <w:szCs w:val="26"/>
        </w:rPr>
        <w:lastRenderedPageBreak/>
        <w:tab/>
        <w:t xml:space="preserve">Refiere que el juicio de nulidad se tramita en el sentido de que los actos que se impugnan en su demanda no cumplen con los elementos que exige el artículo 17 de la Ley de Procedimiento y Justicia Administrativa para el Estado de Oaxaca, precepto que prevé las formalidades del acto administrativo; además que de conformidad con el artículo 133, fracción I de la aludida Ley, es competencia de la Salas Unitarias, conocer de los actos y resoluciones que dicten las autoridades del Poder Ejecutivo, como </w:t>
      </w:r>
      <w:r w:rsidRPr="006D17C7">
        <w:rPr>
          <w:rFonts w:ascii="Arial" w:eastAsia="Calibri" w:hAnsi="Arial" w:cs="Arial"/>
          <w:sz w:val="26"/>
          <w:szCs w:val="26"/>
        </w:rPr>
        <w:t>en</w:t>
      </w:r>
      <w:r>
        <w:rPr>
          <w:rFonts w:ascii="Arial" w:eastAsia="Calibri" w:hAnsi="Arial" w:cs="Arial"/>
          <w:sz w:val="26"/>
          <w:szCs w:val="26"/>
        </w:rPr>
        <w:t xml:space="preserve"> el caso son la Coordinadora de </w:t>
      </w:r>
      <w:r w:rsidRPr="006D17C7">
        <w:rPr>
          <w:rFonts w:ascii="Arial" w:eastAsia="Calibri" w:hAnsi="Arial" w:cs="Arial"/>
          <w:sz w:val="26"/>
          <w:szCs w:val="26"/>
        </w:rPr>
        <w:t>Co</w:t>
      </w:r>
      <w:r>
        <w:rPr>
          <w:rFonts w:ascii="Arial" w:eastAsia="Calibri" w:hAnsi="Arial" w:cs="Arial"/>
          <w:sz w:val="26"/>
          <w:szCs w:val="26"/>
        </w:rPr>
        <w:t>bro Coactivo y su ejecutor, ambos de la Dirección de Ingresos y Recaudación de la Secretaría de Finanzas del Gobierno del Estado de Oaxaca y determinar si se ajustan o no a los elementos y requisitos previstos en el artículo 17 citado, pues indica de no hacerlo, dichos actos no pueden producir efectos legales y como consecuencia dará lugar a su nulidad, por lo que corresponde a este Tribunal cumplir con el procedimiento previsto en el precepto 18 de la Ley de Procedimiento y Justicia Administrativa para el Estado de Oaxaca. - - - - - - - - - - - - - - - -</w:t>
      </w:r>
    </w:p>
    <w:p w14:paraId="31C6A8A7" w14:textId="77777777" w:rsidR="007A5FD6" w:rsidRDefault="007A5FD6" w:rsidP="007A5FD6">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 xml:space="preserve">En sus agravios </w:t>
      </w:r>
      <w:r>
        <w:rPr>
          <w:rFonts w:ascii="Arial" w:eastAsia="Calibri" w:hAnsi="Arial" w:cs="Arial"/>
          <w:b/>
          <w:bCs/>
          <w:sz w:val="26"/>
          <w:szCs w:val="26"/>
        </w:rPr>
        <w:t xml:space="preserve">segundo y tercero, </w:t>
      </w:r>
      <w:r>
        <w:rPr>
          <w:rFonts w:ascii="Arial" w:eastAsia="Calibri" w:hAnsi="Arial" w:cs="Arial"/>
          <w:sz w:val="26"/>
          <w:szCs w:val="26"/>
        </w:rPr>
        <w:t xml:space="preserve">manifiesta el recurrente que la Cuarta Sala Unitaria al haber emitido el acuerdo de fecha veinticinco de septiembre de dos mil veinte, en el que desecha la demanda de nulidad que promovió en contra de los actos ilegales dictados y ejecutados por parte de la Coordinadora de Cobro Coactivo y su ejecutor, ambos de la Dirección de Ingresos y Recaudación de la Secretaría de Finanzas del Gobierno del Estado de Oaxaca, sustentándose en el artículo 133, fracción VIII inciso d) de la Ley de Procedimiento y Justicia Administrativa para el Estado de Oaxaca, viola en su perjuicio los principios del debido proceso conforme y el de legalidad, previstos en los artículos 14 y 16 de la Constitución Política de los Estados Unidos Mexicanos, al contravenir los artículos 17, 18 y 33, fracción I y 166 de la citada Ley, pues indica que en su carácter de administrado, debe aplicársele justicia respecto de los actos que reclama, al incumplir con los requisitos de validez del acto administrativo que exige la ley, y que son los que le afectan, que si bien devienen de una presunta resolución determinante dictada por autoridad distinta a la administrativa, refiere que desconoce esa resolución determinante para iniciar el trámite legal correspondiente, así como la orden de mandamiento y diligencia de embargo.- - - - - - - - - - - - - - - - - - - - - - - -- </w:t>
      </w:r>
    </w:p>
    <w:p w14:paraId="2D40EC2E" w14:textId="77777777" w:rsidR="007A5FD6" w:rsidRDefault="007A5FD6" w:rsidP="007A5FD6">
      <w:pPr>
        <w:pStyle w:val="Textoindependiente"/>
        <w:spacing w:line="360" w:lineRule="auto"/>
        <w:ind w:firstLine="708"/>
        <w:jc w:val="both"/>
        <w:rPr>
          <w:rFonts w:ascii="Arial" w:eastAsia="Calibri" w:hAnsi="Arial" w:cs="Arial"/>
          <w:sz w:val="26"/>
          <w:szCs w:val="26"/>
        </w:rPr>
      </w:pPr>
      <w:r>
        <w:rPr>
          <w:rFonts w:ascii="Arial" w:eastAsia="Calibri" w:hAnsi="Arial" w:cs="Arial"/>
          <w:sz w:val="26"/>
          <w:szCs w:val="26"/>
        </w:rPr>
        <w:lastRenderedPageBreak/>
        <w:t xml:space="preserve">Expone que se le deja en total estado de indefensión, violándose las formalidades del procedimiento, pues si bien es cierto el artículo 133, fracción VIII inciso d) de la Ley de Procedimiento y Justicia Administrativa para el Estado de Oaxaca,  prevé un supuesto de </w:t>
      </w:r>
      <w:r w:rsidRPr="00574A46">
        <w:rPr>
          <w:rFonts w:ascii="Arial" w:eastAsia="Calibri" w:hAnsi="Arial" w:cs="Arial"/>
          <w:sz w:val="26"/>
          <w:szCs w:val="26"/>
        </w:rPr>
        <w:t>ley</w:t>
      </w:r>
      <w:r>
        <w:rPr>
          <w:rFonts w:ascii="Arial" w:eastAsia="Calibri" w:hAnsi="Arial" w:cs="Arial"/>
          <w:sz w:val="26"/>
          <w:szCs w:val="26"/>
        </w:rPr>
        <w:t xml:space="preserve"> de </w:t>
      </w:r>
      <w:r w:rsidRPr="00574A46">
        <w:rPr>
          <w:rFonts w:ascii="Arial" w:eastAsia="Calibri" w:hAnsi="Arial" w:cs="Arial"/>
          <w:sz w:val="26"/>
          <w:szCs w:val="26"/>
        </w:rPr>
        <w:t>c</w:t>
      </w:r>
      <w:r>
        <w:rPr>
          <w:rFonts w:ascii="Arial" w:eastAsia="Calibri" w:hAnsi="Arial" w:cs="Arial"/>
          <w:sz w:val="26"/>
          <w:szCs w:val="26"/>
        </w:rPr>
        <w:t>ompetencia que deben conocer las Salas Unitarias para el juicio de nulidad -lo transcribe-, cierto es también que en el caso de su demanda, acudió ante este Tribunal a demandar que los actos impugnados no cumplen con los elementos y requisitos de validez del artículo 17 de la citada Ley, lo que encuadra al citado artículo 133, fracción I, pues indica que en su demanda de nulidad señaló lo siguiente</w:t>
      </w:r>
      <w:r w:rsidRPr="00584B11">
        <w:rPr>
          <w:rFonts w:ascii="Arial" w:eastAsia="Calibri" w:hAnsi="Arial" w:cs="Arial"/>
          <w:sz w:val="26"/>
          <w:szCs w:val="26"/>
        </w:rPr>
        <w:t xml:space="preserve">: </w:t>
      </w:r>
      <w:r w:rsidRPr="00584B11">
        <w:rPr>
          <w:rFonts w:ascii="Arial" w:eastAsia="Calibri" w:hAnsi="Arial" w:cs="Arial"/>
          <w:i/>
          <w:iCs/>
          <w:sz w:val="24"/>
          <w:szCs w:val="24"/>
        </w:rPr>
        <w:t>“</w:t>
      </w:r>
      <w:r>
        <w:rPr>
          <w:rFonts w:ascii="Arial" w:eastAsia="Calibri" w:hAnsi="Arial" w:cs="Arial"/>
          <w:i/>
          <w:iCs/>
          <w:sz w:val="24"/>
          <w:szCs w:val="24"/>
        </w:rPr>
        <w:t>VI. LA PRETE</w:t>
      </w:r>
      <w:r w:rsidRPr="00574A46">
        <w:rPr>
          <w:rFonts w:ascii="Arial" w:eastAsia="Calibri" w:hAnsi="Arial" w:cs="Arial"/>
          <w:i/>
          <w:iCs/>
          <w:sz w:val="24"/>
          <w:szCs w:val="24"/>
        </w:rPr>
        <w:t>N</w:t>
      </w:r>
      <w:r>
        <w:rPr>
          <w:rFonts w:ascii="Arial" w:eastAsia="Calibri" w:hAnsi="Arial" w:cs="Arial"/>
          <w:i/>
          <w:iCs/>
          <w:sz w:val="24"/>
          <w:szCs w:val="24"/>
        </w:rPr>
        <w:t xml:space="preserve">SIÓN QUE SE DEDUCE EN JUICIO, SIEMPRE QUE </w:t>
      </w:r>
      <w:r w:rsidRPr="00574A46">
        <w:rPr>
          <w:rFonts w:ascii="Arial" w:eastAsia="Calibri" w:hAnsi="Arial" w:cs="Arial"/>
          <w:i/>
          <w:iCs/>
          <w:sz w:val="24"/>
          <w:szCs w:val="24"/>
        </w:rPr>
        <w:t>CORRESPONDA</w:t>
      </w:r>
      <w:r>
        <w:rPr>
          <w:rFonts w:ascii="Arial" w:eastAsia="Calibri" w:hAnsi="Arial" w:cs="Arial"/>
          <w:i/>
          <w:iCs/>
          <w:sz w:val="24"/>
          <w:szCs w:val="24"/>
        </w:rPr>
        <w:t xml:space="preserve"> A LA COMPETENCIA DEL TRIBUNAL…” </w:t>
      </w:r>
      <w:r>
        <w:rPr>
          <w:rFonts w:ascii="Arial" w:eastAsia="Calibri" w:hAnsi="Arial" w:cs="Arial"/>
          <w:sz w:val="26"/>
          <w:szCs w:val="26"/>
        </w:rPr>
        <w:t xml:space="preserve">, por lo que arguye que la Cuarta Sala Unitaria viola en su perjuicio el debido proceso, ya que desecha su demanda por un supuesto distinto al que demandó, al determinar que no se justifica un embargo ni que demandó la resolución de remate, situación distinta a los términos de su demanda, ya que en ningún momento señaló como acto impugnado el procedimiento administrativo de ejecución, afirmando los cuatro elementos que prevé el artículo 133 fracción VIII  de la Ley de la Materia.- - - - - - - - - - - - - - - - - - - - - - - - - - </w:t>
      </w:r>
    </w:p>
    <w:p w14:paraId="2EB16E90" w14:textId="77777777" w:rsidR="007A5FD6" w:rsidRDefault="007A5FD6" w:rsidP="007A5FD6">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Continúa alegando el recurrente, que el resolutor de primera instancia contra</w:t>
      </w:r>
      <w:r w:rsidRPr="001F1DCC">
        <w:rPr>
          <w:rFonts w:ascii="Arial" w:eastAsia="Calibri" w:hAnsi="Arial" w:cs="Arial"/>
          <w:sz w:val="26"/>
          <w:szCs w:val="26"/>
        </w:rPr>
        <w:t>vien</w:t>
      </w:r>
      <w:r>
        <w:rPr>
          <w:rFonts w:ascii="Arial" w:eastAsia="Calibri" w:hAnsi="Arial" w:cs="Arial"/>
          <w:sz w:val="26"/>
          <w:szCs w:val="26"/>
        </w:rPr>
        <w:t xml:space="preserve">e en su perjuicio el debido proceso en materia administrativa, ya que si bien es cierto interpuso demanda de nulidad incitando al Tribunal de Justicia Administrativa del Estado de Oaxaca, </w:t>
      </w:r>
      <w:r w:rsidRPr="001F1DCC">
        <w:rPr>
          <w:rFonts w:ascii="Arial" w:eastAsia="Calibri" w:hAnsi="Arial" w:cs="Arial"/>
          <w:sz w:val="26"/>
          <w:szCs w:val="26"/>
        </w:rPr>
        <w:t>a</w:t>
      </w:r>
      <w:r>
        <w:rPr>
          <w:rFonts w:ascii="Arial" w:eastAsia="Calibri" w:hAnsi="Arial" w:cs="Arial"/>
          <w:sz w:val="26"/>
          <w:szCs w:val="26"/>
        </w:rPr>
        <w:t xml:space="preserve"> revisar y verificar si los actos de molestia (actos de mandamiento de ejecución y diligencia de embargo) emitido por la Coordinadora de Cobro Coactivo de la Dirección de Ingresos y Recaudación de la Secretaría de Finanzas el Gobierno del Estado de Oaxaca, fue emitido, ordenado y ejecutado legalmente, ya que es hasta este momento en el que se enteró que se había determinado un crédito fiscal en su contra, y que estaba ejecutando el requerimiento de pago y embargo, sin que haya tenido conocimiento del acto primigenio o de origen de dicho crédito.- - - - - - -</w:t>
      </w:r>
    </w:p>
    <w:p w14:paraId="67EB5996" w14:textId="77777777" w:rsidR="007A5FD6" w:rsidRDefault="007A5FD6" w:rsidP="007A5FD6">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 xml:space="preserve">Por último, refiere que también demandó la falta de fundamentación y motivación de los actos impugnados en su demanda de nulidad, así como la falta de competencia de las autoridades ordenadoras y ejecutoras de dichos actos, en el mandamiento de ejecución 330925021901165, emitido el veinticinco de febrero de dos mil diecinueve, sin que la Cuarta Sala Unitaria se haya pronunciado al </w:t>
      </w:r>
      <w:r>
        <w:rPr>
          <w:rFonts w:ascii="Arial" w:eastAsia="Calibri" w:hAnsi="Arial" w:cs="Arial"/>
          <w:sz w:val="26"/>
          <w:szCs w:val="26"/>
        </w:rPr>
        <w:lastRenderedPageBreak/>
        <w:t xml:space="preserve">respecto, así también indica que demandó la nulidad porque la autoridad le señala en su acto, un recurso de defensa de una Ley derogada desde el veinte de octubre de dos mil diecisiete, como lo es la Ley de Justicia Administrativa para el Estado de Oaxaca, con lo que se denota que los actos impugnados, no cumplen con los elementos y requisitos que exige el artículo 17 de la Ley de Procedimiento y Justicia Administrativa para el Estado de Oaxaca.- - - - - - - - - - - - - - - - - - - - - - - - - - - - - -  - - - - - - </w:t>
      </w:r>
    </w:p>
    <w:p w14:paraId="4AD8B013" w14:textId="1E09019D" w:rsidR="007A5FD6" w:rsidRDefault="007A5FD6" w:rsidP="007A5FD6">
      <w:pPr>
        <w:pStyle w:val="Textoindependiente"/>
        <w:spacing w:line="360" w:lineRule="auto"/>
        <w:ind w:firstLine="567"/>
        <w:jc w:val="both"/>
        <w:rPr>
          <w:rFonts w:ascii="Arial" w:hAnsi="Arial" w:cs="Arial"/>
          <w:color w:val="000000"/>
          <w:sz w:val="26"/>
          <w:szCs w:val="26"/>
        </w:rPr>
      </w:pPr>
      <w:r>
        <w:rPr>
          <w:rFonts w:ascii="Arial" w:eastAsia="Calibri" w:hAnsi="Arial" w:cs="Arial"/>
          <w:bCs/>
          <w:sz w:val="26"/>
          <w:szCs w:val="26"/>
        </w:rPr>
        <w:t>Antes de iniciar con el estudio de los agravios expuestos por el recurrente, es necesario precisar que, de las constancias que obran en el expediente natural</w:t>
      </w:r>
      <w:r w:rsidRPr="0092061C">
        <w:rPr>
          <w:rFonts w:ascii="Arial" w:hAnsi="Arial" w:cs="Arial"/>
          <w:color w:val="000000"/>
          <w:sz w:val="26"/>
          <w:szCs w:val="26"/>
        </w:rPr>
        <w:t>, con valor probatorio pleno de conformidad con el artículo 203 fracción I de la Ley de Procedimiento y Justicia Administrativa para el Estado, al tr</w:t>
      </w:r>
      <w:r>
        <w:rPr>
          <w:rFonts w:ascii="Arial" w:hAnsi="Arial" w:cs="Arial"/>
          <w:color w:val="000000"/>
          <w:sz w:val="26"/>
          <w:szCs w:val="26"/>
        </w:rPr>
        <w:t>atarse de actuaciones contenidas en documentos públicos, se advierte</w:t>
      </w:r>
      <w:r w:rsidRPr="0092061C">
        <w:rPr>
          <w:rFonts w:ascii="Arial" w:hAnsi="Arial" w:cs="Arial"/>
          <w:color w:val="000000"/>
          <w:sz w:val="26"/>
          <w:szCs w:val="26"/>
        </w:rPr>
        <w:t xml:space="preserve"> </w:t>
      </w:r>
      <w:r>
        <w:rPr>
          <w:rFonts w:ascii="Arial" w:hAnsi="Arial" w:cs="Arial"/>
          <w:color w:val="000000"/>
          <w:sz w:val="26"/>
          <w:szCs w:val="26"/>
        </w:rPr>
        <w:t xml:space="preserve">que el recurrente, impugna textualmente los siguientes </w:t>
      </w:r>
      <w:r w:rsidR="00302706">
        <w:rPr>
          <w:rFonts w:ascii="Arial" w:hAnsi="Arial" w:cs="Arial"/>
          <w:color w:val="000000"/>
          <w:sz w:val="26"/>
          <w:szCs w:val="26"/>
        </w:rPr>
        <w:t>actos: -</w:t>
      </w:r>
      <w:r>
        <w:rPr>
          <w:rFonts w:ascii="Arial" w:hAnsi="Arial" w:cs="Arial"/>
          <w:color w:val="000000"/>
          <w:sz w:val="26"/>
          <w:szCs w:val="26"/>
        </w:rPr>
        <w:t xml:space="preserve"> - - - - - - - - - - - - - - - - - - - - - - - - - - </w:t>
      </w:r>
    </w:p>
    <w:p w14:paraId="75E7A7E9" w14:textId="77777777" w:rsidR="007A5FD6" w:rsidRPr="00D21A51" w:rsidRDefault="007A5FD6" w:rsidP="007A5FD6">
      <w:pPr>
        <w:pStyle w:val="Textoindependiente"/>
        <w:spacing w:line="360" w:lineRule="auto"/>
        <w:ind w:left="851" w:right="758"/>
        <w:jc w:val="both"/>
        <w:rPr>
          <w:rFonts w:ascii="Arial" w:hAnsi="Arial" w:cs="Arial"/>
          <w:b/>
          <w:bCs/>
          <w:i/>
          <w:color w:val="000000"/>
          <w:sz w:val="22"/>
          <w:szCs w:val="22"/>
        </w:rPr>
      </w:pPr>
      <w:r w:rsidRPr="00D21A51">
        <w:rPr>
          <w:rFonts w:ascii="Arial" w:hAnsi="Arial" w:cs="Arial"/>
          <w:i/>
          <w:color w:val="000000"/>
          <w:sz w:val="22"/>
          <w:szCs w:val="22"/>
        </w:rPr>
        <w:t xml:space="preserve">“a) </w:t>
      </w:r>
      <w:r w:rsidRPr="00D21A51">
        <w:rPr>
          <w:rFonts w:ascii="Arial" w:hAnsi="Arial" w:cs="Arial"/>
          <w:b/>
          <w:bCs/>
          <w:i/>
          <w:color w:val="000000"/>
          <w:sz w:val="22"/>
          <w:szCs w:val="22"/>
        </w:rPr>
        <w:t>Mandamiento de Ejecución número 330925021901165</w:t>
      </w:r>
      <w:r>
        <w:rPr>
          <w:rFonts w:ascii="Arial" w:hAnsi="Arial" w:cs="Arial"/>
          <w:b/>
          <w:bCs/>
          <w:i/>
          <w:color w:val="000000"/>
          <w:sz w:val="22"/>
          <w:szCs w:val="22"/>
        </w:rPr>
        <w:t>,</w:t>
      </w:r>
      <w:r w:rsidRPr="00D21A51">
        <w:rPr>
          <w:rFonts w:ascii="Arial" w:hAnsi="Arial" w:cs="Arial"/>
          <w:i/>
          <w:color w:val="000000"/>
          <w:sz w:val="22"/>
          <w:szCs w:val="22"/>
        </w:rPr>
        <w:t xml:space="preserve"> </w:t>
      </w:r>
      <w:r>
        <w:rPr>
          <w:rFonts w:ascii="Arial" w:hAnsi="Arial" w:cs="Arial"/>
          <w:i/>
          <w:color w:val="000000"/>
          <w:sz w:val="22"/>
          <w:szCs w:val="22"/>
        </w:rPr>
        <w:t>emitido el veinticinco de febrero del dos mil diecinueve por la Licenciada SAMANTHA IVONNE CORTES FLORES, Coordinadora de Cobro coactivo, de la Dirección de Ingresos y Recaudación de la Secretaría de Finanzas del Gobierno del Estado de Oaxaca, relativo al crédito número 40337 de la Resolución Determinante ASE/</w:t>
      </w:r>
      <w:proofErr w:type="spellStart"/>
      <w:r>
        <w:rPr>
          <w:rFonts w:ascii="Arial" w:hAnsi="Arial" w:cs="Arial"/>
          <w:i/>
          <w:color w:val="000000"/>
          <w:sz w:val="22"/>
          <w:szCs w:val="22"/>
        </w:rPr>
        <w:t>RIM</w:t>
      </w:r>
      <w:proofErr w:type="spellEnd"/>
      <w:r>
        <w:rPr>
          <w:rFonts w:ascii="Arial" w:hAnsi="Arial" w:cs="Arial"/>
          <w:i/>
          <w:color w:val="000000"/>
          <w:sz w:val="22"/>
          <w:szCs w:val="22"/>
        </w:rPr>
        <w:t xml:space="preserve">/414/2016 de fecha catorce de febrero de dos mil diecisiete emitida por la Auditoría Superior del Estado, por concepto de </w:t>
      </w:r>
      <w:r>
        <w:rPr>
          <w:rFonts w:ascii="Arial" w:hAnsi="Arial" w:cs="Arial"/>
          <w:i/>
          <w:color w:val="000000"/>
          <w:sz w:val="22"/>
          <w:szCs w:val="22"/>
          <w:u w:val="single"/>
        </w:rPr>
        <w:t xml:space="preserve">Multa por la Omisión en presentar el segundo informe de avance de Gestión financiera del ejercicio fiscal 2016, </w:t>
      </w:r>
      <w:r>
        <w:rPr>
          <w:rFonts w:ascii="Arial" w:hAnsi="Arial" w:cs="Arial"/>
          <w:b/>
          <w:bCs/>
          <w:i/>
          <w:color w:val="000000"/>
          <w:sz w:val="22"/>
          <w:szCs w:val="22"/>
        </w:rPr>
        <w:t>por un importe determinado de $21,912.00; actualización $2,086.02; gastos de ejecución $479.79; importe total a requerir de pago $24,477.98; importe total a requerir de pago redondeado $24,478.00.</w:t>
      </w:r>
    </w:p>
    <w:p w14:paraId="53217BC5" w14:textId="77777777" w:rsidR="007A5FD6" w:rsidRDefault="007A5FD6" w:rsidP="007A5FD6">
      <w:pPr>
        <w:pStyle w:val="Textoindependiente"/>
        <w:spacing w:line="360" w:lineRule="auto"/>
        <w:ind w:left="851" w:right="758"/>
        <w:jc w:val="both"/>
        <w:rPr>
          <w:rFonts w:ascii="Arial" w:hAnsi="Arial" w:cs="Arial"/>
          <w:b/>
          <w:bCs/>
          <w:i/>
          <w:color w:val="000000"/>
          <w:sz w:val="22"/>
          <w:szCs w:val="22"/>
        </w:rPr>
      </w:pPr>
      <w:r w:rsidRPr="00D21A51">
        <w:rPr>
          <w:rFonts w:ascii="Arial" w:hAnsi="Arial" w:cs="Arial"/>
          <w:i/>
          <w:color w:val="000000"/>
          <w:sz w:val="22"/>
          <w:szCs w:val="22"/>
        </w:rPr>
        <w:t xml:space="preserve">b) </w:t>
      </w:r>
      <w:r w:rsidRPr="006F05E1">
        <w:rPr>
          <w:rFonts w:ascii="Arial" w:hAnsi="Arial" w:cs="Arial"/>
          <w:b/>
          <w:bCs/>
          <w:i/>
          <w:color w:val="000000"/>
          <w:sz w:val="22"/>
          <w:szCs w:val="22"/>
        </w:rPr>
        <w:t xml:space="preserve">Diligencia de requerimiento </w:t>
      </w:r>
      <w:r w:rsidRPr="001F1DCC">
        <w:rPr>
          <w:rFonts w:ascii="Arial" w:hAnsi="Arial" w:cs="Arial"/>
          <w:b/>
          <w:bCs/>
          <w:i/>
          <w:color w:val="000000"/>
          <w:sz w:val="22"/>
          <w:szCs w:val="22"/>
        </w:rPr>
        <w:t>de</w:t>
      </w:r>
      <w:r w:rsidRPr="006F05E1">
        <w:rPr>
          <w:rFonts w:ascii="Arial" w:hAnsi="Arial" w:cs="Arial"/>
          <w:b/>
          <w:bCs/>
          <w:i/>
          <w:color w:val="000000"/>
          <w:sz w:val="22"/>
          <w:szCs w:val="22"/>
        </w:rPr>
        <w:t xml:space="preserve"> pago de fecha tres de abril del dos mil diecinueve</w:t>
      </w:r>
      <w:r>
        <w:rPr>
          <w:rFonts w:ascii="Arial" w:hAnsi="Arial" w:cs="Arial"/>
          <w:i/>
          <w:color w:val="000000"/>
          <w:sz w:val="22"/>
          <w:szCs w:val="22"/>
        </w:rPr>
        <w:t xml:space="preserve">, practicada por </w:t>
      </w:r>
      <w:r w:rsidRPr="000A6141">
        <w:rPr>
          <w:rFonts w:ascii="Arial" w:hAnsi="Arial" w:cs="Arial"/>
          <w:i/>
          <w:color w:val="000000"/>
          <w:sz w:val="22"/>
          <w:szCs w:val="22"/>
        </w:rPr>
        <w:t>el</w:t>
      </w:r>
      <w:r>
        <w:rPr>
          <w:rFonts w:ascii="Arial" w:hAnsi="Arial" w:cs="Arial"/>
          <w:i/>
          <w:color w:val="000000"/>
          <w:sz w:val="22"/>
          <w:szCs w:val="22"/>
        </w:rPr>
        <w:t xml:space="preserve"> Ejecutor KARINA NANCY PACHECO SANTIAGO, ordenada en el Mandamiento de Ejecución número 330925021901165, emitido el veinticinco de febrero del dos mil diecinueve por la Licenciada SAMANTHA IVONNE CORTES FLORES, Coordinadora de Cobro coactivo, de la Dirección de Ingresos y Recaudación de la Secretaría de Finanzas del Gobierno del Estado de Oaxaca, relativo al crédito número 40337 de la Resolución Determinante ASE/</w:t>
      </w:r>
      <w:proofErr w:type="spellStart"/>
      <w:r>
        <w:rPr>
          <w:rFonts w:ascii="Arial" w:hAnsi="Arial" w:cs="Arial"/>
          <w:i/>
          <w:color w:val="000000"/>
          <w:sz w:val="22"/>
          <w:szCs w:val="22"/>
        </w:rPr>
        <w:t>RIM</w:t>
      </w:r>
      <w:proofErr w:type="spellEnd"/>
      <w:r>
        <w:rPr>
          <w:rFonts w:ascii="Arial" w:hAnsi="Arial" w:cs="Arial"/>
          <w:i/>
          <w:color w:val="000000"/>
          <w:sz w:val="22"/>
          <w:szCs w:val="22"/>
        </w:rPr>
        <w:t xml:space="preserve">/414/2016 de fecha catorce de febrero de dos mil diecisiete emitida por la Auditoría Superior del Estado, por concepto de </w:t>
      </w:r>
      <w:r>
        <w:rPr>
          <w:rFonts w:ascii="Arial" w:hAnsi="Arial" w:cs="Arial"/>
          <w:i/>
          <w:color w:val="000000"/>
          <w:sz w:val="22"/>
          <w:szCs w:val="22"/>
          <w:u w:val="single"/>
        </w:rPr>
        <w:t xml:space="preserve">Multa por la Omisión en presentar el segundo informe de avance de Gestión financiera del ejercicio fiscal 2016, </w:t>
      </w:r>
      <w:r>
        <w:rPr>
          <w:rFonts w:ascii="Arial" w:hAnsi="Arial" w:cs="Arial"/>
          <w:b/>
          <w:bCs/>
          <w:i/>
          <w:color w:val="000000"/>
          <w:sz w:val="22"/>
          <w:szCs w:val="22"/>
        </w:rPr>
        <w:t xml:space="preserve">por un importe determinado de $21,912.00; actualización $2,086.02; gastos de ejecución $479.79; importe total a requerir </w:t>
      </w:r>
      <w:r>
        <w:rPr>
          <w:rFonts w:ascii="Arial" w:hAnsi="Arial" w:cs="Arial"/>
          <w:b/>
          <w:bCs/>
          <w:i/>
          <w:color w:val="000000"/>
          <w:sz w:val="22"/>
          <w:szCs w:val="22"/>
        </w:rPr>
        <w:lastRenderedPageBreak/>
        <w:t>de pago $24,477.98; importe total a requerir de pago redondeado $24,478.00.</w:t>
      </w:r>
    </w:p>
    <w:p w14:paraId="46962496" w14:textId="77777777" w:rsidR="007A5FD6" w:rsidRPr="006F05E1" w:rsidRDefault="007A5FD6" w:rsidP="007A5FD6">
      <w:pPr>
        <w:pStyle w:val="Textoindependiente"/>
        <w:spacing w:line="360" w:lineRule="auto"/>
        <w:ind w:left="851" w:right="758"/>
        <w:jc w:val="both"/>
        <w:rPr>
          <w:rFonts w:ascii="Arial" w:hAnsi="Arial" w:cs="Arial"/>
          <w:i/>
          <w:color w:val="000000"/>
          <w:sz w:val="22"/>
          <w:szCs w:val="22"/>
        </w:rPr>
      </w:pPr>
      <w:r>
        <w:rPr>
          <w:rFonts w:ascii="Arial" w:hAnsi="Arial" w:cs="Arial"/>
          <w:i/>
          <w:color w:val="000000"/>
          <w:sz w:val="22"/>
          <w:szCs w:val="22"/>
        </w:rPr>
        <w:t>c</w:t>
      </w:r>
      <w:r w:rsidRPr="00F529BE">
        <w:rPr>
          <w:rFonts w:ascii="Arial" w:hAnsi="Arial" w:cs="Arial"/>
          <w:i/>
          <w:color w:val="000000"/>
          <w:sz w:val="22"/>
          <w:szCs w:val="22"/>
        </w:rPr>
        <w:t xml:space="preserve">) </w:t>
      </w:r>
      <w:r w:rsidRPr="00F529BE">
        <w:rPr>
          <w:rFonts w:ascii="Arial" w:hAnsi="Arial" w:cs="Arial"/>
          <w:b/>
          <w:bCs/>
          <w:i/>
          <w:color w:val="000000"/>
          <w:sz w:val="22"/>
          <w:szCs w:val="22"/>
        </w:rPr>
        <w:t>E</w:t>
      </w:r>
      <w:r>
        <w:rPr>
          <w:rFonts w:ascii="Arial" w:hAnsi="Arial" w:cs="Arial"/>
          <w:b/>
          <w:bCs/>
          <w:i/>
          <w:color w:val="000000"/>
          <w:sz w:val="22"/>
          <w:szCs w:val="22"/>
        </w:rPr>
        <w:t>l P</w:t>
      </w:r>
      <w:r w:rsidRPr="00F529BE">
        <w:rPr>
          <w:rFonts w:ascii="Arial" w:hAnsi="Arial" w:cs="Arial"/>
          <w:b/>
          <w:bCs/>
          <w:i/>
          <w:color w:val="000000"/>
          <w:sz w:val="22"/>
          <w:szCs w:val="22"/>
        </w:rPr>
        <w:t xml:space="preserve">rocedimiento </w:t>
      </w:r>
      <w:r>
        <w:rPr>
          <w:rFonts w:ascii="Arial" w:hAnsi="Arial" w:cs="Arial"/>
          <w:b/>
          <w:bCs/>
          <w:i/>
          <w:color w:val="000000"/>
          <w:sz w:val="22"/>
          <w:szCs w:val="22"/>
        </w:rPr>
        <w:t>A</w:t>
      </w:r>
      <w:r w:rsidRPr="00F529BE">
        <w:rPr>
          <w:rFonts w:ascii="Arial" w:hAnsi="Arial" w:cs="Arial"/>
          <w:b/>
          <w:bCs/>
          <w:i/>
          <w:color w:val="000000"/>
          <w:sz w:val="22"/>
          <w:szCs w:val="22"/>
        </w:rPr>
        <w:t xml:space="preserve">dministrativo de </w:t>
      </w:r>
      <w:r>
        <w:rPr>
          <w:rFonts w:ascii="Arial" w:hAnsi="Arial" w:cs="Arial"/>
          <w:b/>
          <w:bCs/>
          <w:i/>
          <w:color w:val="000000"/>
          <w:sz w:val="22"/>
          <w:szCs w:val="22"/>
        </w:rPr>
        <w:t>E</w:t>
      </w:r>
      <w:r w:rsidRPr="00F529BE">
        <w:rPr>
          <w:rFonts w:ascii="Arial" w:hAnsi="Arial" w:cs="Arial"/>
          <w:b/>
          <w:bCs/>
          <w:i/>
          <w:color w:val="000000"/>
          <w:sz w:val="22"/>
          <w:szCs w:val="22"/>
        </w:rPr>
        <w:t>jecución</w:t>
      </w:r>
      <w:r w:rsidRPr="00F529BE">
        <w:rPr>
          <w:rFonts w:ascii="Arial" w:hAnsi="Arial" w:cs="Arial"/>
          <w:bCs/>
          <w:i/>
          <w:color w:val="000000"/>
          <w:sz w:val="22"/>
          <w:szCs w:val="22"/>
        </w:rPr>
        <w:t>,</w:t>
      </w:r>
      <w:r>
        <w:rPr>
          <w:rFonts w:ascii="Arial" w:hAnsi="Arial" w:cs="Arial"/>
          <w:b/>
          <w:bCs/>
          <w:i/>
          <w:color w:val="000000"/>
          <w:sz w:val="22"/>
          <w:szCs w:val="22"/>
        </w:rPr>
        <w:t xml:space="preserve"> </w:t>
      </w:r>
      <w:r>
        <w:rPr>
          <w:rFonts w:ascii="Arial" w:hAnsi="Arial" w:cs="Arial"/>
          <w:i/>
          <w:color w:val="000000"/>
          <w:sz w:val="22"/>
          <w:szCs w:val="22"/>
        </w:rPr>
        <w:t>ordenada en el Mandamiento de Ejecución número 330925021901165, emitido el veinticinco de febrero del dos mil diecinueve por la Licenciada SAMANTHA IVONNE CORTES FLORES, Coordinadora de Cobro coactivo, de la Dirección de Ingresos y Recaudación de la Secretaría de Finanzas del Gobierno del Estado de Oaxaca, relativo al crédito número 40337 de la Resolución Determinante ASE/</w:t>
      </w:r>
      <w:proofErr w:type="spellStart"/>
      <w:r>
        <w:rPr>
          <w:rFonts w:ascii="Arial" w:hAnsi="Arial" w:cs="Arial"/>
          <w:i/>
          <w:color w:val="000000"/>
          <w:sz w:val="22"/>
          <w:szCs w:val="22"/>
        </w:rPr>
        <w:t>RIM</w:t>
      </w:r>
      <w:proofErr w:type="spellEnd"/>
      <w:r>
        <w:rPr>
          <w:rFonts w:ascii="Arial" w:hAnsi="Arial" w:cs="Arial"/>
          <w:i/>
          <w:color w:val="000000"/>
          <w:sz w:val="22"/>
          <w:szCs w:val="22"/>
        </w:rPr>
        <w:t>/414/2016 de fecha catorce de febrero de dos mil diecisiete emitida por la Auditoría Superior del Estado.”</w:t>
      </w:r>
    </w:p>
    <w:p w14:paraId="0906572D" w14:textId="77777777" w:rsidR="007A5FD6" w:rsidRPr="002935FC" w:rsidRDefault="007A5FD6" w:rsidP="007A5FD6">
      <w:pPr>
        <w:pStyle w:val="Textoindependiente"/>
        <w:spacing w:line="360" w:lineRule="auto"/>
        <w:jc w:val="both"/>
        <w:rPr>
          <w:rFonts w:ascii="Arial" w:hAnsi="Arial" w:cs="Arial"/>
          <w:color w:val="000000"/>
          <w:sz w:val="26"/>
          <w:szCs w:val="26"/>
        </w:rPr>
      </w:pPr>
      <w:r w:rsidRPr="00587A21">
        <w:rPr>
          <w:rFonts w:ascii="Arial" w:hAnsi="Arial" w:cs="Arial"/>
          <w:color w:val="000000"/>
          <w:sz w:val="26"/>
          <w:szCs w:val="26"/>
        </w:rPr>
        <w:t xml:space="preserve">     </w:t>
      </w:r>
      <w:r w:rsidRPr="002935FC">
        <w:rPr>
          <w:rFonts w:ascii="Arial" w:hAnsi="Arial" w:cs="Arial"/>
          <w:color w:val="000000"/>
          <w:sz w:val="26"/>
          <w:szCs w:val="26"/>
        </w:rPr>
        <w:t xml:space="preserve">     Esta Sala Superior califica de</w:t>
      </w:r>
      <w:r w:rsidRPr="001C3B04">
        <w:rPr>
          <w:rFonts w:ascii="Arial" w:hAnsi="Arial" w:cs="Arial"/>
          <w:b/>
          <w:color w:val="000000"/>
          <w:sz w:val="26"/>
          <w:szCs w:val="26"/>
        </w:rPr>
        <w:t xml:space="preserve"> infundados los agravios esgrimidos por el recurrente</w:t>
      </w:r>
      <w:r>
        <w:rPr>
          <w:rFonts w:ascii="Arial" w:hAnsi="Arial" w:cs="Arial"/>
          <w:b/>
          <w:color w:val="000000"/>
          <w:sz w:val="26"/>
          <w:szCs w:val="26"/>
        </w:rPr>
        <w:t xml:space="preserve">, </w:t>
      </w:r>
      <w:r w:rsidRPr="002935FC">
        <w:rPr>
          <w:rFonts w:ascii="Arial" w:hAnsi="Arial" w:cs="Arial"/>
          <w:color w:val="000000"/>
          <w:sz w:val="26"/>
          <w:szCs w:val="26"/>
        </w:rPr>
        <w:t xml:space="preserve">por las siguientes consideraciones. </w:t>
      </w:r>
      <w:r>
        <w:rPr>
          <w:rFonts w:ascii="Arial" w:hAnsi="Arial" w:cs="Arial"/>
          <w:color w:val="000000"/>
          <w:sz w:val="26"/>
          <w:szCs w:val="26"/>
        </w:rPr>
        <w:t>- - -</w:t>
      </w:r>
    </w:p>
    <w:p w14:paraId="534B142A" w14:textId="77777777" w:rsidR="007A5FD6" w:rsidRPr="00D711C5" w:rsidRDefault="007A5FD6" w:rsidP="007A5FD6">
      <w:pPr>
        <w:pStyle w:val="Textoindependiente"/>
        <w:spacing w:line="360" w:lineRule="auto"/>
        <w:jc w:val="both"/>
        <w:rPr>
          <w:rFonts w:ascii="Arial" w:hAnsi="Arial" w:cs="Arial"/>
          <w:sz w:val="26"/>
          <w:szCs w:val="26"/>
        </w:rPr>
      </w:pPr>
      <w:r>
        <w:rPr>
          <w:rFonts w:ascii="Arial" w:hAnsi="Arial" w:cs="Arial"/>
          <w:color w:val="000000"/>
          <w:sz w:val="26"/>
          <w:szCs w:val="26"/>
        </w:rPr>
        <w:t xml:space="preserve">    Contrario a lo aducido por el recurrente en sus agravios,</w:t>
      </w:r>
      <w:r>
        <w:rPr>
          <w:rFonts w:ascii="Arial" w:eastAsia="Calibri" w:hAnsi="Arial" w:cs="Arial"/>
          <w:sz w:val="26"/>
          <w:szCs w:val="26"/>
        </w:rPr>
        <w:t xml:space="preserve"> el artículo 98, párrafo primero</w:t>
      </w:r>
      <w:r>
        <w:rPr>
          <w:rStyle w:val="Refdenotaalpie"/>
          <w:rFonts w:ascii="Arial" w:eastAsia="Calibri" w:hAnsi="Arial" w:cs="Arial"/>
          <w:sz w:val="26"/>
          <w:szCs w:val="26"/>
        </w:rPr>
        <w:footnoteReference w:id="1"/>
      </w:r>
      <w:r>
        <w:rPr>
          <w:rFonts w:ascii="Arial" w:eastAsia="Calibri" w:hAnsi="Arial" w:cs="Arial"/>
          <w:sz w:val="26"/>
          <w:szCs w:val="26"/>
        </w:rPr>
        <w:t xml:space="preserve"> de la Ley de Procedimiento y Justicia Administrativa para el Estado de Oaxaca, establece que solo pueden ser impugnables mediante el juicio contencioso administrativo, los actos o resoluciones que determinen poner fin al procedimiento administrativo, a una instancia o resuelvan un expediente o que le causen agravio al particular</w:t>
      </w:r>
      <w:r w:rsidRPr="00D711C5">
        <w:rPr>
          <w:rFonts w:ascii="Arial" w:eastAsia="Calibri" w:hAnsi="Arial" w:cs="Arial"/>
          <w:sz w:val="26"/>
          <w:szCs w:val="26"/>
        </w:rPr>
        <w:t xml:space="preserve">; </w:t>
      </w:r>
      <w:r w:rsidRPr="00D711C5">
        <w:rPr>
          <w:rFonts w:ascii="Arial" w:eastAsia="Calibri" w:hAnsi="Arial" w:cs="Arial"/>
          <w:b/>
          <w:bCs/>
          <w:sz w:val="26"/>
          <w:szCs w:val="26"/>
        </w:rPr>
        <w:t>es decir, los actos que impugna el actor consistentes  en</w:t>
      </w:r>
      <w:r w:rsidRPr="00D711C5">
        <w:rPr>
          <w:rFonts w:ascii="Arial" w:hAnsi="Arial" w:cs="Arial"/>
          <w:b/>
          <w:bCs/>
          <w:sz w:val="26"/>
          <w:szCs w:val="26"/>
        </w:rPr>
        <w:t xml:space="preserve">  la ilegalidad del: a)</w:t>
      </w:r>
      <w:r w:rsidRPr="00D711C5">
        <w:rPr>
          <w:rFonts w:ascii="Arial" w:hAnsi="Arial" w:cs="Arial"/>
          <w:b/>
          <w:sz w:val="26"/>
          <w:szCs w:val="26"/>
        </w:rPr>
        <w:t xml:space="preserve"> Mandamiento de ejecución con número de control </w:t>
      </w:r>
      <w:r w:rsidRPr="00D711C5">
        <w:rPr>
          <w:rFonts w:ascii="Arial" w:hAnsi="Arial" w:cs="Arial"/>
          <w:b/>
          <w:color w:val="000000"/>
          <w:sz w:val="26"/>
          <w:szCs w:val="26"/>
        </w:rPr>
        <w:t xml:space="preserve">número 330925021901165, emitido el veinticinco de febrero del dos mil diecinueve, relativo al crédito número 40337; </w:t>
      </w:r>
      <w:r w:rsidRPr="00D711C5">
        <w:rPr>
          <w:rFonts w:ascii="Arial" w:hAnsi="Arial" w:cs="Arial"/>
          <w:b/>
          <w:i/>
          <w:color w:val="000000"/>
          <w:sz w:val="22"/>
          <w:szCs w:val="22"/>
        </w:rPr>
        <w:t xml:space="preserve"> </w:t>
      </w:r>
      <w:r w:rsidRPr="00D711C5">
        <w:rPr>
          <w:rFonts w:ascii="Arial" w:hAnsi="Arial" w:cs="Arial"/>
          <w:b/>
          <w:color w:val="000000"/>
          <w:sz w:val="26"/>
          <w:szCs w:val="26"/>
        </w:rPr>
        <w:t>b) Diligencia de Requerimiento de Pago de fecha tres de abril de dos mil diecinueve;  y, c) El Procedimiento Administrativo de Ejecución</w:t>
      </w:r>
      <w:r w:rsidRPr="00D711C5">
        <w:rPr>
          <w:rFonts w:ascii="Arial" w:hAnsi="Arial" w:cs="Arial"/>
          <w:b/>
          <w:sz w:val="26"/>
          <w:szCs w:val="26"/>
        </w:rPr>
        <w:t>,</w:t>
      </w:r>
      <w:r w:rsidRPr="00D711C5">
        <w:rPr>
          <w:rFonts w:ascii="Arial" w:hAnsi="Arial" w:cs="Arial"/>
          <w:sz w:val="26"/>
          <w:szCs w:val="26"/>
        </w:rPr>
        <w:t xml:space="preserve"> </w:t>
      </w:r>
      <w:r w:rsidRPr="00D711C5">
        <w:rPr>
          <w:rFonts w:ascii="Arial" w:hAnsi="Arial" w:cs="Arial"/>
          <w:b/>
          <w:bCs/>
          <w:sz w:val="26"/>
          <w:szCs w:val="26"/>
        </w:rPr>
        <w:t>no son actos definitivos y no le causan agravio</w:t>
      </w:r>
      <w:r w:rsidRPr="00D711C5">
        <w:rPr>
          <w:rFonts w:ascii="Arial" w:hAnsi="Arial" w:cs="Arial"/>
          <w:sz w:val="26"/>
          <w:szCs w:val="26"/>
        </w:rPr>
        <w:t xml:space="preserve">. - - - - - - - - - - - - - - - </w:t>
      </w:r>
    </w:p>
    <w:p w14:paraId="02517FA8" w14:textId="77777777" w:rsidR="007A5FD6" w:rsidRDefault="007A5FD6" w:rsidP="007A5FD6">
      <w:pPr>
        <w:pStyle w:val="Textoindependiente"/>
        <w:spacing w:line="360" w:lineRule="auto"/>
        <w:jc w:val="both"/>
        <w:rPr>
          <w:rFonts w:ascii="Arial" w:eastAsia="Calibri" w:hAnsi="Arial" w:cs="Arial"/>
          <w:sz w:val="26"/>
          <w:szCs w:val="26"/>
        </w:rPr>
      </w:pPr>
      <w:r w:rsidRPr="00D711C5">
        <w:rPr>
          <w:rFonts w:ascii="Arial" w:hAnsi="Arial" w:cs="Arial"/>
          <w:b/>
          <w:sz w:val="26"/>
          <w:szCs w:val="26"/>
        </w:rPr>
        <w:t xml:space="preserve">      </w:t>
      </w:r>
      <w:r w:rsidRPr="00D711C5">
        <w:rPr>
          <w:rFonts w:ascii="Arial" w:hAnsi="Arial" w:cs="Arial"/>
          <w:bCs/>
          <w:sz w:val="26"/>
          <w:szCs w:val="26"/>
        </w:rPr>
        <w:t>Ahora bien,</w:t>
      </w:r>
      <w:r w:rsidRPr="00D711C5">
        <w:rPr>
          <w:rFonts w:ascii="Arial" w:eastAsia="Calibri" w:hAnsi="Arial" w:cs="Arial"/>
          <w:sz w:val="26"/>
          <w:szCs w:val="26"/>
        </w:rPr>
        <w:t xml:space="preserve"> el citado procedimiento administrativo es de</w:t>
      </w:r>
      <w:r>
        <w:rPr>
          <w:rFonts w:ascii="Arial" w:eastAsia="Calibri" w:hAnsi="Arial" w:cs="Arial"/>
          <w:sz w:val="26"/>
          <w:szCs w:val="26"/>
        </w:rPr>
        <w:t xml:space="preserve"> naturaleza ejecutiva en términos de los artículos 184, 188 y 192 del Código Fiscal para el Estado de Oaxaca, ya que se integra por una serie de actos administrativos que buscan hacer efectivo un crédito fiscal, cuya existencia esté demostrada en un documento auténtico o título ejecutivo, el cual es indispensable para que se intente la vía en cuestión; pues dicho título se encuentra constituido en este caso en concreto por una resolución de una autoridad fiscalizadora como lo es, la entonces Auditoría Superior del Estado de Oaxaca, ahora Órgano de Fiscalización Superior del Estado de Oaxaca, la cual cuenta con la presunción de </w:t>
      </w:r>
      <w:r>
        <w:rPr>
          <w:rFonts w:ascii="Arial" w:eastAsia="Calibri" w:hAnsi="Arial" w:cs="Arial"/>
          <w:sz w:val="26"/>
          <w:szCs w:val="26"/>
        </w:rPr>
        <w:lastRenderedPageBreak/>
        <w:t>legalidad y certeza, de conformidad con el artículo 105</w:t>
      </w:r>
      <w:r>
        <w:rPr>
          <w:rStyle w:val="Refdenotaalpie"/>
          <w:rFonts w:ascii="Arial" w:eastAsia="Calibri" w:hAnsi="Arial" w:cs="Arial"/>
          <w:sz w:val="26"/>
          <w:szCs w:val="26"/>
        </w:rPr>
        <w:footnoteReference w:id="2"/>
      </w:r>
      <w:r>
        <w:rPr>
          <w:rFonts w:ascii="Arial" w:eastAsia="Calibri" w:hAnsi="Arial" w:cs="Arial"/>
          <w:sz w:val="26"/>
          <w:szCs w:val="26"/>
        </w:rPr>
        <w:t xml:space="preserve"> de la Ley de Fiscalización Superior y Rendición de Cuentas del Estado de Oaxaca; por consiguiente, al tratarse de un crédito fiscal proveniente de una multa, la autoridad exactora iniciará el procedimiento de ejecución respectivo, únicamente con el oficio girado por el Titular del órgano Superior de Fiscalización del Estado de Oaxaca.- - - - - - - - - - - - - - - - - </w:t>
      </w:r>
    </w:p>
    <w:p w14:paraId="0B9AEED5" w14:textId="77777777" w:rsidR="007A5FD6" w:rsidRDefault="007A5FD6" w:rsidP="007A5FD6">
      <w:pPr>
        <w:pStyle w:val="Textoindependiente"/>
        <w:spacing w:line="360" w:lineRule="auto"/>
        <w:ind w:firstLine="708"/>
        <w:jc w:val="both"/>
        <w:rPr>
          <w:rFonts w:ascii="Arial" w:eastAsia="Calibri" w:hAnsi="Arial" w:cs="Arial"/>
          <w:sz w:val="26"/>
          <w:szCs w:val="26"/>
        </w:rPr>
      </w:pPr>
      <w:r w:rsidRPr="00976BF8">
        <w:rPr>
          <w:rFonts w:ascii="Arial" w:eastAsia="Calibri" w:hAnsi="Arial" w:cs="Arial"/>
          <w:sz w:val="26"/>
          <w:szCs w:val="26"/>
        </w:rPr>
        <w:t xml:space="preserve"> </w:t>
      </w:r>
      <w:r w:rsidRPr="00047A25">
        <w:rPr>
          <w:rFonts w:ascii="Arial" w:eastAsia="Calibri" w:hAnsi="Arial" w:cs="Arial"/>
          <w:sz w:val="26"/>
          <w:szCs w:val="26"/>
        </w:rPr>
        <w:t xml:space="preserve">Caso contrario es, cuando la autoridad en cumplimiento a sus facultades de </w:t>
      </w:r>
      <w:r w:rsidRPr="00047A25">
        <w:rPr>
          <w:rFonts w:ascii="Arial" w:hAnsi="Arial" w:cs="Arial"/>
          <w:color w:val="000000"/>
          <w:sz w:val="26"/>
          <w:szCs w:val="26"/>
          <w:shd w:val="clear" w:color="auto" w:fill="FFFFFF"/>
        </w:rPr>
        <w:t xml:space="preserve">fiscalización o comprobación que tiene, para vigilar el cumplimiento de las obligaciones fiscales por parte del contribuyente, </w:t>
      </w:r>
      <w:r w:rsidRPr="00047A25">
        <w:rPr>
          <w:rFonts w:ascii="Arial" w:eastAsia="Calibri" w:hAnsi="Arial" w:cs="Arial"/>
          <w:sz w:val="26"/>
          <w:szCs w:val="26"/>
        </w:rPr>
        <w:t>inicia el procedimiento de ejecución del crédito fiscal correspondiente, para el cobro del crédito fiscal respectivo</w:t>
      </w:r>
      <w:r w:rsidRPr="00047A25">
        <w:rPr>
          <w:rFonts w:ascii="Arial" w:eastAsia="Calibri" w:hAnsi="Arial" w:cs="Arial"/>
          <w:b/>
          <w:bCs/>
          <w:i/>
          <w:iCs/>
          <w:sz w:val="26"/>
          <w:szCs w:val="26"/>
        </w:rPr>
        <w:t>.</w:t>
      </w:r>
      <w:r>
        <w:rPr>
          <w:rFonts w:ascii="Arial" w:eastAsia="Calibri" w:hAnsi="Arial" w:cs="Arial"/>
          <w:b/>
          <w:bCs/>
          <w:i/>
          <w:iCs/>
          <w:sz w:val="26"/>
          <w:szCs w:val="26"/>
        </w:rPr>
        <w:t xml:space="preserve">  </w:t>
      </w:r>
      <w:r>
        <w:rPr>
          <w:rFonts w:ascii="Arial" w:eastAsia="Calibri" w:hAnsi="Arial" w:cs="Arial"/>
          <w:sz w:val="26"/>
          <w:szCs w:val="26"/>
        </w:rPr>
        <w:t xml:space="preserve">Por lo que, el desechamiento de la demanda no transgrede la esfera jurídica del </w:t>
      </w:r>
      <w:proofErr w:type="gramStart"/>
      <w:r>
        <w:rPr>
          <w:rFonts w:ascii="Arial" w:eastAsia="Calibri" w:hAnsi="Arial" w:cs="Arial"/>
          <w:sz w:val="26"/>
          <w:szCs w:val="26"/>
        </w:rPr>
        <w:t>administrado.-</w:t>
      </w:r>
      <w:proofErr w:type="gramEnd"/>
      <w:r>
        <w:rPr>
          <w:rFonts w:ascii="Arial" w:eastAsia="Calibri" w:hAnsi="Arial" w:cs="Arial"/>
          <w:sz w:val="26"/>
          <w:szCs w:val="26"/>
        </w:rPr>
        <w:t xml:space="preserve"> - - - - - </w:t>
      </w:r>
    </w:p>
    <w:p w14:paraId="51C90798" w14:textId="77777777" w:rsidR="007A5FD6" w:rsidRPr="00865005" w:rsidRDefault="007A5FD6" w:rsidP="007A5FD6">
      <w:pPr>
        <w:pStyle w:val="Textoindependiente"/>
        <w:spacing w:line="360" w:lineRule="auto"/>
        <w:jc w:val="both"/>
        <w:rPr>
          <w:rFonts w:ascii="Arial" w:hAnsi="Arial" w:cs="Arial"/>
          <w:b/>
          <w:sz w:val="26"/>
          <w:szCs w:val="26"/>
        </w:rPr>
      </w:pPr>
      <w:r>
        <w:rPr>
          <w:rFonts w:ascii="Arial" w:eastAsia="Calibri" w:hAnsi="Arial" w:cs="Arial"/>
          <w:sz w:val="26"/>
          <w:szCs w:val="26"/>
        </w:rPr>
        <w:t xml:space="preserve">     </w:t>
      </w:r>
      <w:r>
        <w:rPr>
          <w:rFonts w:ascii="Arial" w:eastAsia="Calibri" w:hAnsi="Arial" w:cs="Arial"/>
          <w:sz w:val="26"/>
          <w:szCs w:val="26"/>
        </w:rPr>
        <w:tab/>
        <w:t xml:space="preserve">Asimismo, </w:t>
      </w:r>
      <w:r>
        <w:rPr>
          <w:rFonts w:ascii="Arial" w:hAnsi="Arial" w:cs="Arial"/>
          <w:bCs/>
          <w:sz w:val="26"/>
          <w:szCs w:val="26"/>
        </w:rPr>
        <w:t>de las documentales que adjunta a su escrito de demanda, no se advierte la conclusión del procedimiento administrativo de ejecución, tampoco se advierte que se haya emitido la resolución que aprueba el remate, a efecto de que pueda acudir ante este Tribunal de Justicia Administrativa del Estado, y promover el juicio en contra de dicha resolución y argumentar las violaciones que a su juicio se cometieron durante el procedimiento administrativo de ejecución, conforme lo establece el artículo 133, fracción VIII inciso d) de la Ley de Procedimiento y Justicia Administrativa para el Estado de Oaxaca.- - - -</w:t>
      </w:r>
    </w:p>
    <w:p w14:paraId="2835351E" w14:textId="77777777" w:rsidR="007A5FD6" w:rsidRDefault="007A5FD6" w:rsidP="007A5FD6">
      <w:pPr>
        <w:spacing w:line="360" w:lineRule="auto"/>
        <w:jc w:val="both"/>
        <w:rPr>
          <w:rFonts w:ascii="Arial" w:hAnsi="Arial" w:cs="Arial"/>
          <w:sz w:val="26"/>
          <w:szCs w:val="26"/>
        </w:rPr>
      </w:pPr>
      <w:r w:rsidRPr="00865005">
        <w:rPr>
          <w:rFonts w:ascii="Arial" w:hAnsi="Arial" w:cs="Arial"/>
          <w:sz w:val="26"/>
          <w:szCs w:val="26"/>
        </w:rPr>
        <w:t xml:space="preserve">    </w:t>
      </w:r>
      <w:r>
        <w:rPr>
          <w:rFonts w:ascii="Arial" w:hAnsi="Arial" w:cs="Arial"/>
          <w:sz w:val="26"/>
          <w:szCs w:val="26"/>
        </w:rPr>
        <w:t xml:space="preserve"> </w:t>
      </w:r>
      <w:r w:rsidRPr="00865005">
        <w:rPr>
          <w:rFonts w:ascii="Arial" w:hAnsi="Arial" w:cs="Arial"/>
          <w:sz w:val="26"/>
          <w:szCs w:val="26"/>
        </w:rPr>
        <w:t xml:space="preserve"> </w:t>
      </w:r>
      <w:r w:rsidRPr="00963BC8">
        <w:rPr>
          <w:rFonts w:ascii="Arial" w:hAnsi="Arial" w:cs="Arial"/>
          <w:bCs/>
          <w:sz w:val="26"/>
          <w:szCs w:val="26"/>
        </w:rPr>
        <w:t>En esas condiciones</w:t>
      </w:r>
      <w:r>
        <w:rPr>
          <w:rFonts w:ascii="Arial" w:hAnsi="Arial" w:cs="Arial"/>
          <w:sz w:val="26"/>
          <w:szCs w:val="26"/>
        </w:rPr>
        <w:t>, contrario a lo manifestado por el recurrente, esta Sala Superior advierte que al impugnarse actos contenidos en el procedimiento administrativo de ejecución, no se actualiza lo dispuesto en la fracción I, del artículo 133</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sino que la procedencia del juicio, devendría en todo caso de la actualización de</w:t>
      </w:r>
      <w:r w:rsidRPr="009C7CB6">
        <w:rPr>
          <w:rFonts w:ascii="Arial" w:hAnsi="Arial" w:cs="Arial"/>
          <w:sz w:val="26"/>
          <w:szCs w:val="26"/>
        </w:rPr>
        <w:t xml:space="preserve"> las hipótesis previstas en los incisos a), b) y c)</w:t>
      </w:r>
      <w:r>
        <w:rPr>
          <w:rFonts w:ascii="Arial" w:hAnsi="Arial" w:cs="Arial"/>
          <w:sz w:val="26"/>
          <w:szCs w:val="26"/>
        </w:rPr>
        <w:t>,</w:t>
      </w:r>
      <w:r w:rsidRPr="009C7CB6">
        <w:rPr>
          <w:rFonts w:ascii="Arial" w:hAnsi="Arial" w:cs="Arial"/>
          <w:sz w:val="26"/>
          <w:szCs w:val="26"/>
        </w:rPr>
        <w:t xml:space="preserve"> fracción VIII del artículo 133</w:t>
      </w:r>
      <w:r w:rsidRPr="00405658">
        <w:rPr>
          <w:rFonts w:ascii="Arial" w:hAnsi="Arial" w:cs="Arial"/>
          <w:b/>
          <w:sz w:val="26"/>
          <w:szCs w:val="26"/>
        </w:rPr>
        <w:t xml:space="preserve"> </w:t>
      </w:r>
      <w:r w:rsidRPr="00405658">
        <w:rPr>
          <w:rFonts w:ascii="Arial" w:hAnsi="Arial" w:cs="Arial"/>
          <w:sz w:val="26"/>
          <w:szCs w:val="26"/>
        </w:rPr>
        <w:t xml:space="preserve">de la Ley </w:t>
      </w:r>
      <w:r w:rsidRPr="00405658">
        <w:rPr>
          <w:rFonts w:ascii="Arial" w:hAnsi="Arial" w:cs="Arial"/>
          <w:sz w:val="26"/>
          <w:szCs w:val="26"/>
        </w:rPr>
        <w:lastRenderedPageBreak/>
        <w:t>de Procedimiento y Justicia Administrativa para el Estado de Oaxaca</w:t>
      </w:r>
      <w:r>
        <w:rPr>
          <w:rFonts w:ascii="Arial" w:hAnsi="Arial" w:cs="Arial"/>
          <w:sz w:val="26"/>
          <w:szCs w:val="26"/>
        </w:rPr>
        <w:t xml:space="preserve">, lo que aquí no acontece.  (se trascribe artículo)- - - - - - - - - - - - - - - - - - - - </w:t>
      </w:r>
    </w:p>
    <w:p w14:paraId="1C438177" w14:textId="77777777" w:rsidR="007A5FD6" w:rsidRPr="00F21A7E" w:rsidRDefault="007A5FD6" w:rsidP="007A5FD6">
      <w:pPr>
        <w:spacing w:after="0" w:line="360" w:lineRule="auto"/>
        <w:ind w:left="992" w:right="1185"/>
        <w:jc w:val="both"/>
        <w:rPr>
          <w:rFonts w:ascii="Arial" w:eastAsia="Calibri" w:hAnsi="Arial" w:cs="Arial"/>
          <w:i/>
        </w:rPr>
      </w:pPr>
      <w:r w:rsidRPr="00F21A7E">
        <w:rPr>
          <w:rFonts w:ascii="Arial" w:eastAsia="Calibri" w:hAnsi="Arial" w:cs="Arial"/>
          <w:b/>
          <w:i/>
        </w:rPr>
        <w:t xml:space="preserve">“ARTÍCULO </w:t>
      </w:r>
      <w:r>
        <w:rPr>
          <w:rFonts w:ascii="Arial" w:eastAsia="Calibri" w:hAnsi="Arial" w:cs="Arial"/>
          <w:b/>
          <w:i/>
        </w:rPr>
        <w:t>133</w:t>
      </w:r>
      <w:r w:rsidRPr="00F21A7E">
        <w:rPr>
          <w:rFonts w:ascii="Arial" w:eastAsia="Calibri" w:hAnsi="Arial" w:cs="Arial"/>
          <w:b/>
          <w:i/>
        </w:rPr>
        <w:t xml:space="preserve">.- </w:t>
      </w:r>
      <w:r w:rsidRPr="00F21A7E">
        <w:rPr>
          <w:rFonts w:ascii="Arial" w:eastAsia="Calibri" w:hAnsi="Arial" w:cs="Arial"/>
          <w:i/>
        </w:rPr>
        <w:t>Las Salas de primera instancia del Tribunal son competentes para conocer y resolver los juicios que se promuevan en contra de:</w:t>
      </w:r>
    </w:p>
    <w:p w14:paraId="64CA633B" w14:textId="77777777" w:rsidR="007A5FD6" w:rsidRPr="00F21A7E" w:rsidRDefault="007A5FD6" w:rsidP="007A5FD6">
      <w:pPr>
        <w:spacing w:after="0" w:line="360" w:lineRule="auto"/>
        <w:ind w:left="1276" w:right="900"/>
        <w:jc w:val="both"/>
        <w:rPr>
          <w:rFonts w:ascii="Arial" w:eastAsia="Calibri" w:hAnsi="Arial" w:cs="Arial"/>
          <w:i/>
        </w:rPr>
      </w:pPr>
      <w:r w:rsidRPr="00F21A7E">
        <w:rPr>
          <w:rFonts w:ascii="Arial" w:eastAsia="Calibri" w:hAnsi="Arial" w:cs="Arial"/>
          <w:i/>
        </w:rPr>
        <w:t>(…)</w:t>
      </w:r>
    </w:p>
    <w:p w14:paraId="434DC6B2" w14:textId="77777777" w:rsidR="007A5FD6" w:rsidRPr="00F21A7E" w:rsidRDefault="007A5FD6" w:rsidP="007A5FD6">
      <w:pPr>
        <w:spacing w:after="0" w:line="360" w:lineRule="auto"/>
        <w:ind w:left="1276" w:right="900"/>
        <w:jc w:val="both"/>
        <w:rPr>
          <w:rFonts w:ascii="Arial" w:eastAsia="Calibri" w:hAnsi="Arial" w:cs="Arial"/>
          <w:i/>
        </w:rPr>
      </w:pPr>
      <w:r w:rsidRPr="00F21A7E">
        <w:rPr>
          <w:rFonts w:ascii="Arial" w:eastAsia="Calibri" w:hAnsi="Arial" w:cs="Arial"/>
          <w:b/>
        </w:rPr>
        <w:t xml:space="preserve"> </w:t>
      </w:r>
      <w:r w:rsidRPr="00F21A7E">
        <w:rPr>
          <w:rFonts w:ascii="Arial" w:eastAsia="Calibri" w:hAnsi="Arial" w:cs="Arial"/>
          <w:b/>
          <w:i/>
        </w:rPr>
        <w:t>VIII.-</w:t>
      </w:r>
      <w:r w:rsidRPr="00F21A7E">
        <w:rPr>
          <w:rFonts w:ascii="Arial" w:eastAsia="Calibri" w:hAnsi="Arial" w:cs="Arial"/>
          <w:i/>
        </w:rPr>
        <w:t xml:space="preserve"> El procedimiento administrativo de ejecución cuando el afectado en dicho procedimiento opte por no interponer el recurso ordinario ante las autoridades competentes y cuando afirme:</w:t>
      </w:r>
    </w:p>
    <w:p w14:paraId="19CC6299" w14:textId="77777777" w:rsidR="007A5FD6" w:rsidRPr="00F21A7E" w:rsidRDefault="007A5FD6" w:rsidP="007A5FD6">
      <w:pPr>
        <w:spacing w:after="0" w:line="360" w:lineRule="auto"/>
        <w:ind w:left="1276" w:right="900"/>
        <w:jc w:val="both"/>
        <w:rPr>
          <w:rFonts w:ascii="Arial" w:eastAsia="Calibri" w:hAnsi="Arial" w:cs="Arial"/>
          <w:i/>
        </w:rPr>
      </w:pPr>
      <w:r w:rsidRPr="00F21A7E">
        <w:rPr>
          <w:rFonts w:ascii="Arial" w:eastAsia="Calibri" w:hAnsi="Arial" w:cs="Arial"/>
          <w:i/>
        </w:rPr>
        <w:t>a). Que el crédito que le exige se ha extinguido legalmente;</w:t>
      </w:r>
    </w:p>
    <w:p w14:paraId="50EF4971" w14:textId="77777777" w:rsidR="007A5FD6" w:rsidRPr="00F21A7E" w:rsidRDefault="007A5FD6" w:rsidP="007A5FD6">
      <w:pPr>
        <w:spacing w:after="0" w:line="360" w:lineRule="auto"/>
        <w:ind w:left="1276" w:right="900"/>
        <w:jc w:val="both"/>
        <w:rPr>
          <w:rFonts w:ascii="Arial" w:eastAsia="Calibri" w:hAnsi="Arial" w:cs="Arial"/>
          <w:i/>
        </w:rPr>
      </w:pPr>
      <w:r w:rsidRPr="00F21A7E">
        <w:rPr>
          <w:rFonts w:ascii="Arial" w:eastAsia="Calibri" w:hAnsi="Arial" w:cs="Arial"/>
          <w:i/>
        </w:rPr>
        <w:t>b). Que el monto del crédito es inferior al exigible;</w:t>
      </w:r>
    </w:p>
    <w:p w14:paraId="06E1674B" w14:textId="77777777" w:rsidR="007A5FD6" w:rsidRPr="00BE7A77" w:rsidRDefault="007A5FD6" w:rsidP="007A5FD6">
      <w:pPr>
        <w:spacing w:after="0" w:line="360" w:lineRule="auto"/>
        <w:ind w:left="1276" w:right="900"/>
        <w:jc w:val="both"/>
        <w:rPr>
          <w:rFonts w:ascii="Arial" w:eastAsia="Calibri" w:hAnsi="Arial" w:cs="Arial"/>
          <w:b/>
          <w:bCs/>
          <w:iCs/>
        </w:rPr>
      </w:pPr>
      <w:r w:rsidRPr="00F21A7E">
        <w:rPr>
          <w:rFonts w:ascii="Arial" w:eastAsia="Calibri" w:hAnsi="Arial" w:cs="Arial"/>
          <w:i/>
        </w:rPr>
        <w:t>c). Que es poseedor, a título de propietario del bien embargado</w:t>
      </w:r>
      <w:r>
        <w:rPr>
          <w:rFonts w:ascii="Arial" w:eastAsia="Calibri" w:hAnsi="Arial" w:cs="Arial"/>
          <w:i/>
        </w:rPr>
        <w:t xml:space="preserve"> </w:t>
      </w:r>
    </w:p>
    <w:p w14:paraId="104469A9" w14:textId="77777777" w:rsidR="007A5FD6" w:rsidRPr="00F21A7E" w:rsidRDefault="007A5FD6" w:rsidP="007A5FD6">
      <w:pPr>
        <w:spacing w:after="0" w:line="360" w:lineRule="auto"/>
        <w:ind w:left="1276" w:right="900"/>
        <w:jc w:val="both"/>
        <w:rPr>
          <w:rFonts w:ascii="Arial" w:eastAsia="Calibri" w:hAnsi="Arial" w:cs="Arial"/>
          <w:i/>
        </w:rPr>
      </w:pPr>
      <w:r w:rsidRPr="00F21A7E">
        <w:rPr>
          <w:rFonts w:ascii="Arial" w:eastAsia="Calibri" w:hAnsi="Arial" w:cs="Arial"/>
          <w:i/>
        </w:rPr>
        <w:t>d). Que el procedimiento coactivo no se ajuste a la ley.</w:t>
      </w:r>
    </w:p>
    <w:p w14:paraId="2B9641D3" w14:textId="77777777" w:rsidR="007A5FD6" w:rsidRPr="00F21A7E" w:rsidRDefault="007A5FD6" w:rsidP="007A5FD6">
      <w:pPr>
        <w:spacing w:after="0" w:line="360" w:lineRule="auto"/>
        <w:ind w:left="1276" w:right="900"/>
        <w:jc w:val="both"/>
        <w:rPr>
          <w:rFonts w:ascii="Arial" w:eastAsia="Calibri" w:hAnsi="Arial" w:cs="Arial"/>
          <w:b/>
          <w:i/>
        </w:rPr>
      </w:pPr>
      <w:r w:rsidRPr="00F21A7E">
        <w:rPr>
          <w:rFonts w:ascii="Arial" w:eastAsia="Calibri" w:hAnsi="Arial" w:cs="Arial"/>
          <w:i/>
        </w:rPr>
        <w:t>En este caso, la oposición no se podrá hacer valer, sino contra la resolución que apruebe el remate; salvo que se trate resoluciones cuya ejecución mate</w:t>
      </w:r>
      <w:r>
        <w:rPr>
          <w:rFonts w:ascii="Arial" w:eastAsia="Calibri" w:hAnsi="Arial" w:cs="Arial"/>
          <w:i/>
        </w:rPr>
        <w:t xml:space="preserve">rial sea imposible reparación. </w:t>
      </w:r>
    </w:p>
    <w:p w14:paraId="3E6815CB" w14:textId="77777777" w:rsidR="007A5FD6" w:rsidRPr="00A244E4" w:rsidRDefault="007A5FD6" w:rsidP="007A5FD6">
      <w:pPr>
        <w:spacing w:after="0" w:line="360" w:lineRule="auto"/>
        <w:ind w:left="1276" w:right="900"/>
        <w:jc w:val="both"/>
        <w:rPr>
          <w:rFonts w:ascii="Arial" w:eastAsia="Calibri" w:hAnsi="Arial" w:cs="Arial"/>
          <w:i/>
        </w:rPr>
      </w:pPr>
      <w:r w:rsidRPr="00A244E4">
        <w:rPr>
          <w:rFonts w:ascii="Arial" w:eastAsia="Calibri" w:hAnsi="Arial" w:cs="Arial"/>
          <w:i/>
        </w:rPr>
        <w:t>(…)”</w:t>
      </w:r>
    </w:p>
    <w:p w14:paraId="3A18D3EE" w14:textId="77777777" w:rsidR="007A5FD6" w:rsidRPr="0065470A" w:rsidRDefault="007A5FD6" w:rsidP="007A5FD6">
      <w:pPr>
        <w:spacing w:after="0" w:line="360" w:lineRule="auto"/>
        <w:ind w:left="992" w:right="1185"/>
        <w:jc w:val="both"/>
        <w:rPr>
          <w:rFonts w:ascii="Arial" w:eastAsia="Calibri" w:hAnsi="Arial" w:cs="Arial"/>
          <w:b/>
          <w:i/>
        </w:rPr>
      </w:pPr>
    </w:p>
    <w:p w14:paraId="65871A5D" w14:textId="77777777" w:rsidR="007A5FD6" w:rsidRDefault="007A5FD6" w:rsidP="007A5FD6">
      <w:pPr>
        <w:spacing w:after="120" w:line="360" w:lineRule="auto"/>
        <w:jc w:val="both"/>
        <w:rPr>
          <w:rFonts w:ascii="Arial" w:hAnsi="Arial" w:cs="Arial"/>
          <w:sz w:val="26"/>
          <w:szCs w:val="26"/>
        </w:rPr>
      </w:pPr>
      <w:r>
        <w:rPr>
          <w:rFonts w:ascii="Arial" w:hAnsi="Arial" w:cs="Arial"/>
          <w:sz w:val="26"/>
          <w:szCs w:val="26"/>
        </w:rPr>
        <w:t xml:space="preserve">       E</w:t>
      </w:r>
      <w:r w:rsidRPr="00405658">
        <w:rPr>
          <w:rFonts w:ascii="Arial" w:hAnsi="Arial" w:cs="Arial"/>
          <w:sz w:val="26"/>
          <w:szCs w:val="26"/>
        </w:rPr>
        <w:t xml:space="preserve">sto es así, en virtud de que </w:t>
      </w:r>
      <w:r w:rsidRPr="00405658">
        <w:rPr>
          <w:rFonts w:ascii="Arial" w:eastAsia="Calibri" w:hAnsi="Arial" w:cs="Arial"/>
          <w:sz w:val="26"/>
          <w:szCs w:val="26"/>
        </w:rPr>
        <w:t>no alegó que el cr</w:t>
      </w:r>
      <w:r>
        <w:rPr>
          <w:rFonts w:ascii="Arial" w:eastAsia="Calibri" w:hAnsi="Arial" w:cs="Arial"/>
          <w:sz w:val="26"/>
          <w:szCs w:val="26"/>
        </w:rPr>
        <w:t>édito fiscal se haya extinguido,</w:t>
      </w:r>
      <w:r w:rsidRPr="00405658">
        <w:rPr>
          <w:rFonts w:ascii="Arial" w:eastAsia="Calibri" w:hAnsi="Arial" w:cs="Arial"/>
          <w:sz w:val="26"/>
          <w:szCs w:val="26"/>
        </w:rPr>
        <w:t xml:space="preserve"> el</w:t>
      </w:r>
      <w:r>
        <w:rPr>
          <w:rFonts w:ascii="Arial" w:eastAsia="Calibri" w:hAnsi="Arial" w:cs="Arial"/>
          <w:sz w:val="26"/>
          <w:szCs w:val="26"/>
        </w:rPr>
        <w:t xml:space="preserve"> monto sea inferior al exigible,</w:t>
      </w:r>
      <w:r w:rsidRPr="00405658">
        <w:rPr>
          <w:rFonts w:ascii="Arial" w:eastAsia="Calibri" w:hAnsi="Arial" w:cs="Arial"/>
          <w:sz w:val="26"/>
          <w:szCs w:val="26"/>
        </w:rPr>
        <w:t xml:space="preserve"> que es poseedor a título de propietario de algún bien embargado con </w:t>
      </w:r>
      <w:r>
        <w:rPr>
          <w:rFonts w:ascii="Arial" w:eastAsia="Calibri" w:hAnsi="Arial" w:cs="Arial"/>
          <w:sz w:val="26"/>
          <w:szCs w:val="26"/>
        </w:rPr>
        <w:t xml:space="preserve">motivo de dicho crédito fiscal, </w:t>
      </w:r>
      <w:r w:rsidRPr="00405658">
        <w:rPr>
          <w:rFonts w:ascii="Arial" w:eastAsia="Calibri" w:hAnsi="Arial" w:cs="Arial"/>
          <w:sz w:val="26"/>
          <w:szCs w:val="26"/>
        </w:rPr>
        <w:t>que el proc</w:t>
      </w:r>
      <w:r>
        <w:rPr>
          <w:rFonts w:ascii="Arial" w:eastAsia="Calibri" w:hAnsi="Arial" w:cs="Arial"/>
          <w:sz w:val="26"/>
          <w:szCs w:val="26"/>
        </w:rPr>
        <w:t>edimiento no se ajuste a la ley,</w:t>
      </w:r>
      <w:r w:rsidRPr="00405658">
        <w:rPr>
          <w:rFonts w:ascii="Arial" w:eastAsia="Calibri" w:hAnsi="Arial" w:cs="Arial"/>
          <w:sz w:val="26"/>
          <w:szCs w:val="26"/>
        </w:rPr>
        <w:t xml:space="preserve"> o que se trate de resoluciones cuya ejecución material sea de </w:t>
      </w:r>
      <w:r>
        <w:rPr>
          <w:rFonts w:ascii="Arial" w:eastAsia="Calibri" w:hAnsi="Arial" w:cs="Arial"/>
          <w:sz w:val="26"/>
          <w:szCs w:val="26"/>
        </w:rPr>
        <w:t>imposible reparación; lo cual só</w:t>
      </w:r>
      <w:r w:rsidRPr="00405658">
        <w:rPr>
          <w:rFonts w:ascii="Arial" w:eastAsia="Calibri" w:hAnsi="Arial" w:cs="Arial"/>
          <w:sz w:val="26"/>
          <w:szCs w:val="26"/>
        </w:rPr>
        <w:t xml:space="preserve">lo se podrá hacer valer hasta que se dicte  la  resolución que apruebe el remate </w:t>
      </w:r>
      <w:r w:rsidRPr="00405658">
        <w:rPr>
          <w:rFonts w:ascii="Arial" w:hAnsi="Arial" w:cs="Arial"/>
          <w:sz w:val="26"/>
          <w:szCs w:val="26"/>
        </w:rPr>
        <w:t>d</w:t>
      </w:r>
      <w:r>
        <w:rPr>
          <w:rFonts w:ascii="Arial" w:hAnsi="Arial" w:cs="Arial"/>
          <w:sz w:val="26"/>
          <w:szCs w:val="26"/>
        </w:rPr>
        <w:t>e un bien embargado, salvo que é</w:t>
      </w:r>
      <w:r w:rsidRPr="00405658">
        <w:rPr>
          <w:rFonts w:ascii="Arial" w:hAnsi="Arial" w:cs="Arial"/>
          <w:sz w:val="26"/>
          <w:szCs w:val="26"/>
        </w:rPr>
        <w:t>ste sea de imposib</w:t>
      </w:r>
      <w:r>
        <w:rPr>
          <w:rFonts w:ascii="Arial" w:hAnsi="Arial" w:cs="Arial"/>
          <w:sz w:val="26"/>
          <w:szCs w:val="26"/>
        </w:rPr>
        <w:t>le reparación.- - - - - - - - - - - - - - - - - -  - - - - - - - - - - - - - - - - - - - - - - - - - -</w:t>
      </w:r>
    </w:p>
    <w:p w14:paraId="0B0B57E0" w14:textId="77777777" w:rsidR="007A5FD6" w:rsidRPr="00D94AD2" w:rsidRDefault="007A5FD6" w:rsidP="007A5FD6">
      <w:pPr>
        <w:spacing w:after="120" w:line="360" w:lineRule="auto"/>
        <w:jc w:val="both"/>
        <w:rPr>
          <w:rFonts w:ascii="Arial" w:hAnsi="Arial" w:cs="Arial"/>
          <w:sz w:val="26"/>
          <w:szCs w:val="26"/>
        </w:rPr>
      </w:pPr>
      <w:r>
        <w:rPr>
          <w:rFonts w:ascii="Arial" w:eastAsia="Calibri" w:hAnsi="Arial" w:cs="Arial"/>
          <w:b/>
          <w:sz w:val="26"/>
          <w:szCs w:val="26"/>
        </w:rPr>
        <w:t xml:space="preserve">     </w:t>
      </w:r>
      <w:r w:rsidRPr="008D1C49">
        <w:rPr>
          <w:rFonts w:ascii="Arial" w:eastAsia="Calibri" w:hAnsi="Arial" w:cs="Arial"/>
          <w:sz w:val="26"/>
          <w:szCs w:val="26"/>
        </w:rPr>
        <w:t xml:space="preserve"> </w:t>
      </w:r>
      <w:r w:rsidRPr="00963BC8">
        <w:rPr>
          <w:rFonts w:ascii="Arial" w:eastAsia="Calibri" w:hAnsi="Arial" w:cs="Arial"/>
          <w:bCs/>
          <w:sz w:val="26"/>
          <w:szCs w:val="26"/>
        </w:rPr>
        <w:t>En ese tenor</w:t>
      </w:r>
      <w:r w:rsidRPr="00D82C07">
        <w:rPr>
          <w:rFonts w:ascii="Arial" w:eastAsia="Calibri" w:hAnsi="Arial" w:cs="Arial"/>
          <w:sz w:val="26"/>
          <w:szCs w:val="26"/>
        </w:rPr>
        <w:t>, la</w:t>
      </w:r>
      <w:r>
        <w:rPr>
          <w:rFonts w:ascii="Arial" w:eastAsia="Calibri" w:hAnsi="Arial" w:cs="Arial"/>
          <w:sz w:val="26"/>
          <w:szCs w:val="26"/>
        </w:rPr>
        <w:t>s</w:t>
      </w:r>
      <w:r w:rsidRPr="00D82C07">
        <w:rPr>
          <w:rFonts w:ascii="Arial" w:eastAsia="Calibri" w:hAnsi="Arial" w:cs="Arial"/>
          <w:sz w:val="26"/>
          <w:szCs w:val="26"/>
        </w:rPr>
        <w:t xml:space="preserve"> Sala</w:t>
      </w:r>
      <w:r>
        <w:rPr>
          <w:rFonts w:ascii="Arial" w:eastAsia="Calibri" w:hAnsi="Arial" w:cs="Arial"/>
          <w:sz w:val="26"/>
          <w:szCs w:val="26"/>
        </w:rPr>
        <w:t>s</w:t>
      </w:r>
      <w:r w:rsidRPr="00D82C07">
        <w:rPr>
          <w:rFonts w:ascii="Arial" w:eastAsia="Calibri" w:hAnsi="Arial" w:cs="Arial"/>
          <w:sz w:val="26"/>
          <w:szCs w:val="26"/>
        </w:rPr>
        <w:t xml:space="preserve"> Unitaria</w:t>
      </w:r>
      <w:r>
        <w:rPr>
          <w:rFonts w:ascii="Arial" w:eastAsia="Calibri" w:hAnsi="Arial" w:cs="Arial"/>
          <w:sz w:val="26"/>
          <w:szCs w:val="26"/>
        </w:rPr>
        <w:t>s de este Tribunal son</w:t>
      </w:r>
      <w:r w:rsidRPr="00D82C07">
        <w:rPr>
          <w:rFonts w:ascii="Arial" w:eastAsia="Calibri" w:hAnsi="Arial" w:cs="Arial"/>
          <w:sz w:val="26"/>
          <w:szCs w:val="26"/>
        </w:rPr>
        <w:t xml:space="preserve"> incompetente</w:t>
      </w:r>
      <w:r>
        <w:rPr>
          <w:rFonts w:ascii="Arial" w:eastAsia="Calibri" w:hAnsi="Arial" w:cs="Arial"/>
          <w:sz w:val="26"/>
          <w:szCs w:val="26"/>
        </w:rPr>
        <w:t>s</w:t>
      </w:r>
      <w:r w:rsidRPr="00D82C07">
        <w:rPr>
          <w:rFonts w:ascii="Arial" w:eastAsia="Calibri" w:hAnsi="Arial" w:cs="Arial"/>
          <w:sz w:val="26"/>
          <w:szCs w:val="26"/>
        </w:rPr>
        <w:t xml:space="preserve"> para conocer, tramitar y resolver la demanda de nulidad </w:t>
      </w:r>
      <w:r>
        <w:rPr>
          <w:rFonts w:ascii="Arial" w:eastAsia="Calibri" w:hAnsi="Arial" w:cs="Arial"/>
          <w:sz w:val="26"/>
          <w:szCs w:val="26"/>
        </w:rPr>
        <w:t xml:space="preserve">promovida en contra de </w:t>
      </w:r>
      <w:r>
        <w:rPr>
          <w:rFonts w:ascii="Arial" w:hAnsi="Arial" w:cs="Arial"/>
          <w:sz w:val="26"/>
          <w:szCs w:val="26"/>
        </w:rPr>
        <w:t>la ilegalidad del mandamiento de ejecución y el requerimiento de pago emitidos por la Coordinadora de Cobro Coactivo de la Dirección de Ingresos y Recaudación de la Secretaría de Finanzas del Poder Ejecutivo del Estado,</w:t>
      </w:r>
      <w:r w:rsidRPr="00405658">
        <w:rPr>
          <w:rFonts w:ascii="Arial" w:hAnsi="Arial" w:cs="Arial"/>
          <w:sz w:val="26"/>
          <w:szCs w:val="26"/>
        </w:rPr>
        <w:t xml:space="preserve"> </w:t>
      </w:r>
      <w:r>
        <w:rPr>
          <w:rFonts w:ascii="Arial" w:hAnsi="Arial" w:cs="Arial"/>
          <w:sz w:val="26"/>
          <w:szCs w:val="26"/>
        </w:rPr>
        <w:t xml:space="preserve">al no ser actos </w:t>
      </w:r>
      <w:r w:rsidRPr="00405658">
        <w:rPr>
          <w:rFonts w:ascii="Arial" w:hAnsi="Arial" w:cs="Arial"/>
          <w:sz w:val="26"/>
          <w:szCs w:val="26"/>
        </w:rPr>
        <w:t>definitivo</w:t>
      </w:r>
      <w:r>
        <w:rPr>
          <w:rFonts w:ascii="Arial" w:hAnsi="Arial" w:cs="Arial"/>
          <w:sz w:val="26"/>
          <w:szCs w:val="26"/>
        </w:rPr>
        <w:t>s, al no encontrarse</w:t>
      </w:r>
      <w:r w:rsidRPr="00405658">
        <w:rPr>
          <w:rFonts w:ascii="Arial" w:hAnsi="Arial" w:cs="Arial"/>
          <w:sz w:val="26"/>
          <w:szCs w:val="26"/>
        </w:rPr>
        <w:t xml:space="preserve"> dentro de las hipótesis indicadas en est</w:t>
      </w:r>
      <w:r>
        <w:rPr>
          <w:rFonts w:ascii="Arial" w:hAnsi="Arial" w:cs="Arial"/>
          <w:sz w:val="26"/>
          <w:szCs w:val="26"/>
        </w:rPr>
        <w:t xml:space="preserve">a resolución, </w:t>
      </w:r>
      <w:r w:rsidRPr="001F1DCC">
        <w:rPr>
          <w:rFonts w:ascii="Arial" w:hAnsi="Arial" w:cs="Arial"/>
          <w:sz w:val="26"/>
          <w:szCs w:val="26"/>
        </w:rPr>
        <w:t>ni causarle</w:t>
      </w:r>
      <w:r w:rsidRPr="00405658">
        <w:rPr>
          <w:rFonts w:ascii="Arial" w:hAnsi="Arial" w:cs="Arial"/>
          <w:sz w:val="26"/>
          <w:szCs w:val="26"/>
        </w:rPr>
        <w:t xml:space="preserve"> agravio</w:t>
      </w:r>
      <w:r>
        <w:rPr>
          <w:rFonts w:ascii="Arial" w:hAnsi="Arial" w:cs="Arial"/>
          <w:sz w:val="26"/>
          <w:szCs w:val="26"/>
        </w:rPr>
        <w:t xml:space="preserve"> al actor, por lo que, se actualizan las causales de improcedencia  previstas en los </w:t>
      </w:r>
      <w:r>
        <w:rPr>
          <w:rFonts w:ascii="Arial" w:hAnsi="Arial" w:cs="Arial"/>
          <w:sz w:val="26"/>
          <w:szCs w:val="26"/>
        </w:rPr>
        <w:lastRenderedPageBreak/>
        <w:t>artículos 161</w:t>
      </w:r>
      <w:r>
        <w:rPr>
          <w:rStyle w:val="Refdenotaalpie"/>
          <w:rFonts w:ascii="Arial" w:hAnsi="Arial" w:cs="Arial"/>
          <w:sz w:val="26"/>
          <w:szCs w:val="26"/>
        </w:rPr>
        <w:footnoteReference w:id="4"/>
      </w:r>
      <w:r>
        <w:rPr>
          <w:rFonts w:ascii="Arial" w:hAnsi="Arial" w:cs="Arial"/>
          <w:sz w:val="26"/>
          <w:szCs w:val="26"/>
        </w:rPr>
        <w:t>, fracciones, IX y X, 162</w:t>
      </w:r>
      <w:r>
        <w:rPr>
          <w:rStyle w:val="Refdenotaalpie"/>
          <w:rFonts w:ascii="Arial" w:hAnsi="Arial" w:cs="Arial"/>
          <w:sz w:val="26"/>
          <w:szCs w:val="26"/>
        </w:rPr>
        <w:footnoteReference w:id="5"/>
      </w:r>
      <w:r>
        <w:rPr>
          <w:rFonts w:ascii="Arial" w:hAnsi="Arial" w:cs="Arial"/>
          <w:sz w:val="26"/>
          <w:szCs w:val="26"/>
        </w:rPr>
        <w:t>, fracciones, VI y 182</w:t>
      </w:r>
      <w:r>
        <w:rPr>
          <w:rStyle w:val="Refdenotaalpie"/>
          <w:rFonts w:ascii="Arial" w:hAnsi="Arial" w:cs="Arial"/>
          <w:sz w:val="26"/>
          <w:szCs w:val="26"/>
        </w:rPr>
        <w:footnoteReference w:id="6"/>
      </w:r>
      <w:r>
        <w:rPr>
          <w:rFonts w:ascii="Arial" w:hAnsi="Arial" w:cs="Arial"/>
          <w:sz w:val="26"/>
          <w:szCs w:val="26"/>
        </w:rPr>
        <w:t xml:space="preserve">, fracción I de la Ley de Procedimiento y Justicia Administrativa para el Estado de Oaxaca, como acertadamente lo determinó el resolutor de la Cuarta Sala Unitaria de Primera Instancia, apegándose al principio de legalidad previsto en el artículo 16 de la Constitución Política de los Estados Unidos Mexicanos.- - - - - - - - - - - - - - - - - - - - - - - - - - - - - - - - - - - - - - - </w:t>
      </w:r>
    </w:p>
    <w:p w14:paraId="4D36EA0A" w14:textId="1C304008" w:rsidR="007A5FD6" w:rsidRPr="009555F5" w:rsidRDefault="007A5FD6" w:rsidP="007A5FD6">
      <w:pPr>
        <w:pStyle w:val="Prrafodelista"/>
        <w:spacing w:after="120" w:line="360" w:lineRule="auto"/>
        <w:ind w:left="0"/>
        <w:jc w:val="both"/>
        <w:rPr>
          <w:rFonts w:ascii="Arial" w:hAnsi="Arial" w:cs="Arial"/>
          <w:sz w:val="26"/>
          <w:szCs w:val="26"/>
        </w:rPr>
      </w:pPr>
      <w:r>
        <w:rPr>
          <w:rFonts w:ascii="Arial" w:hAnsi="Arial" w:cs="Arial"/>
          <w:sz w:val="26"/>
          <w:szCs w:val="26"/>
        </w:rPr>
        <w:t xml:space="preserve">      Sirve de apoyo la Jurisprudencia con r</w:t>
      </w:r>
      <w:r w:rsidRPr="009555F5">
        <w:rPr>
          <w:rFonts w:ascii="Arial" w:hAnsi="Arial" w:cs="Arial"/>
          <w:sz w:val="26"/>
          <w:szCs w:val="26"/>
        </w:rPr>
        <w:t>egistro 196530</w:t>
      </w:r>
      <w:r>
        <w:rPr>
          <w:rFonts w:ascii="Arial" w:hAnsi="Arial" w:cs="Arial"/>
          <w:sz w:val="26"/>
          <w:szCs w:val="26"/>
        </w:rPr>
        <w:t>, de la</w:t>
      </w:r>
      <w:r w:rsidRPr="009555F5">
        <w:rPr>
          <w:rFonts w:ascii="Arial" w:hAnsi="Arial" w:cs="Arial"/>
          <w:sz w:val="26"/>
          <w:szCs w:val="26"/>
        </w:rPr>
        <w:t xml:space="preserve"> Novena Época</w:t>
      </w:r>
      <w:r>
        <w:rPr>
          <w:rFonts w:ascii="Arial" w:hAnsi="Arial" w:cs="Arial"/>
          <w:sz w:val="26"/>
          <w:szCs w:val="26"/>
        </w:rPr>
        <w:t>,</w:t>
      </w:r>
      <w:r w:rsidRPr="009555F5">
        <w:rPr>
          <w:rFonts w:ascii="Arial" w:hAnsi="Arial" w:cs="Arial"/>
          <w:sz w:val="26"/>
          <w:szCs w:val="26"/>
        </w:rPr>
        <w:t xml:space="preserve"> Segunda Sala</w:t>
      </w:r>
      <w:r>
        <w:rPr>
          <w:rFonts w:ascii="Arial" w:hAnsi="Arial" w:cs="Arial"/>
          <w:sz w:val="26"/>
          <w:szCs w:val="26"/>
        </w:rPr>
        <w:t xml:space="preserve">, </w:t>
      </w:r>
      <w:r w:rsidRPr="009555F5">
        <w:rPr>
          <w:rFonts w:ascii="Arial" w:hAnsi="Arial" w:cs="Arial"/>
          <w:sz w:val="26"/>
          <w:szCs w:val="26"/>
        </w:rPr>
        <w:t>Semanario Judicial de la Federación y su Gaceta</w:t>
      </w:r>
      <w:r>
        <w:rPr>
          <w:rFonts w:ascii="Arial" w:hAnsi="Arial" w:cs="Arial"/>
          <w:sz w:val="26"/>
          <w:szCs w:val="26"/>
        </w:rPr>
        <w:t xml:space="preserve"> </w:t>
      </w:r>
      <w:r w:rsidRPr="009555F5">
        <w:rPr>
          <w:rFonts w:ascii="Arial" w:hAnsi="Arial" w:cs="Arial"/>
          <w:sz w:val="26"/>
          <w:szCs w:val="26"/>
        </w:rPr>
        <w:t xml:space="preserve">Tomo VII, </w:t>
      </w:r>
      <w:proofErr w:type="gramStart"/>
      <w:r w:rsidRPr="009555F5">
        <w:rPr>
          <w:rFonts w:ascii="Arial" w:hAnsi="Arial" w:cs="Arial"/>
          <w:sz w:val="26"/>
          <w:szCs w:val="26"/>
        </w:rPr>
        <w:t>Abril</w:t>
      </w:r>
      <w:proofErr w:type="gramEnd"/>
      <w:r w:rsidRPr="009555F5">
        <w:rPr>
          <w:rFonts w:ascii="Arial" w:hAnsi="Arial" w:cs="Arial"/>
          <w:sz w:val="26"/>
          <w:szCs w:val="26"/>
        </w:rPr>
        <w:t xml:space="preserve"> de 1998</w:t>
      </w:r>
      <w:r>
        <w:rPr>
          <w:rFonts w:ascii="Arial" w:hAnsi="Arial" w:cs="Arial"/>
          <w:sz w:val="26"/>
          <w:szCs w:val="26"/>
        </w:rPr>
        <w:t xml:space="preserve">, </w:t>
      </w:r>
      <w:r w:rsidRPr="009555F5">
        <w:rPr>
          <w:rFonts w:ascii="Arial" w:hAnsi="Arial" w:cs="Arial"/>
          <w:sz w:val="26"/>
          <w:szCs w:val="26"/>
        </w:rPr>
        <w:t>Administrativa</w:t>
      </w:r>
      <w:r>
        <w:rPr>
          <w:rFonts w:ascii="Arial" w:hAnsi="Arial" w:cs="Arial"/>
          <w:sz w:val="26"/>
          <w:szCs w:val="26"/>
        </w:rPr>
        <w:t xml:space="preserve">, </w:t>
      </w:r>
      <w:r w:rsidRPr="009555F5">
        <w:rPr>
          <w:rFonts w:ascii="Arial" w:hAnsi="Arial" w:cs="Arial"/>
          <w:sz w:val="26"/>
          <w:szCs w:val="26"/>
        </w:rPr>
        <w:t>Tesis: 2a/J. 17/98</w:t>
      </w:r>
      <w:r>
        <w:rPr>
          <w:rFonts w:ascii="Arial" w:hAnsi="Arial" w:cs="Arial"/>
          <w:sz w:val="26"/>
          <w:szCs w:val="26"/>
        </w:rPr>
        <w:t xml:space="preserve">, </w:t>
      </w:r>
      <w:r w:rsidRPr="009555F5">
        <w:rPr>
          <w:rFonts w:ascii="Arial" w:hAnsi="Arial" w:cs="Arial"/>
          <w:sz w:val="26"/>
          <w:szCs w:val="26"/>
        </w:rPr>
        <w:t>Página: 187</w:t>
      </w:r>
      <w:r>
        <w:rPr>
          <w:rFonts w:ascii="Arial" w:hAnsi="Arial" w:cs="Arial"/>
          <w:sz w:val="26"/>
          <w:szCs w:val="26"/>
        </w:rPr>
        <w:t xml:space="preserve">, de rubro y texto </w:t>
      </w:r>
      <w:r w:rsidR="000369A2">
        <w:rPr>
          <w:rFonts w:ascii="Arial" w:hAnsi="Arial" w:cs="Arial"/>
          <w:sz w:val="26"/>
          <w:szCs w:val="26"/>
        </w:rPr>
        <w:t>siguientes: -</w:t>
      </w:r>
      <w:r>
        <w:rPr>
          <w:rFonts w:ascii="Arial" w:hAnsi="Arial" w:cs="Arial"/>
          <w:sz w:val="26"/>
          <w:szCs w:val="26"/>
        </w:rPr>
        <w:t xml:space="preserve"> - - - - - - - - - - - - - - - - - - - - - - - - - - - - - - - </w:t>
      </w:r>
    </w:p>
    <w:p w14:paraId="4EBD6E47" w14:textId="77777777" w:rsidR="007A5FD6" w:rsidRPr="00963BC8" w:rsidRDefault="007A5FD6" w:rsidP="007A5FD6">
      <w:pPr>
        <w:spacing w:after="240"/>
        <w:ind w:left="851" w:right="900"/>
        <w:jc w:val="both"/>
        <w:rPr>
          <w:rFonts w:ascii="Arial" w:hAnsi="Arial" w:cs="Arial"/>
          <w:i/>
          <w:iCs/>
        </w:rPr>
      </w:pPr>
      <w:r w:rsidRPr="0065470A">
        <w:rPr>
          <w:rFonts w:ascii="Arial" w:hAnsi="Arial" w:cs="Arial"/>
          <w:b/>
        </w:rPr>
        <w:t>“</w:t>
      </w:r>
      <w:r w:rsidRPr="00963BC8">
        <w:rPr>
          <w:rFonts w:ascii="Arial" w:hAnsi="Arial" w:cs="Arial"/>
          <w:b/>
          <w:i/>
          <w:iCs/>
        </w:rPr>
        <w:t xml:space="preserve">EJECUCIÓN, PROCEDIMIENTO ADMINISTRATIVO DE. EL AMPARO CONTRA RESOLUCIONES DICTADAS EN AQUÉL SÓLO PROCEDE CUANDO SE RECLAMA LA DEFINITIVA, A PESAR DE QUE SE IMPUGNE LA CONSTITUCIONALIDAD DE LEYES. </w:t>
      </w:r>
      <w:r w:rsidRPr="00963BC8">
        <w:rPr>
          <w:rFonts w:ascii="Arial" w:hAnsi="Arial" w:cs="Arial"/>
          <w:i/>
          <w:iCs/>
          <w:color w:val="000000"/>
        </w:rPr>
        <w:t>El </w:t>
      </w:r>
      <w:r w:rsidRPr="00963BC8">
        <w:rPr>
          <w:rStyle w:val="red"/>
          <w:rFonts w:ascii="Arial" w:hAnsi="Arial" w:cs="Arial"/>
          <w:bCs/>
          <w:i/>
          <w:iCs/>
        </w:rPr>
        <w:t>procedimiento</w:t>
      </w:r>
      <w:r w:rsidRPr="00963BC8">
        <w:rPr>
          <w:rFonts w:ascii="Arial" w:hAnsi="Arial" w:cs="Arial"/>
          <w:i/>
          <w:iCs/>
        </w:rPr>
        <w:t> </w:t>
      </w:r>
      <w:r w:rsidRPr="00963BC8">
        <w:rPr>
          <w:rStyle w:val="red"/>
          <w:rFonts w:ascii="Arial" w:hAnsi="Arial" w:cs="Arial"/>
          <w:bCs/>
          <w:i/>
          <w:iCs/>
        </w:rPr>
        <w:t>administrativo</w:t>
      </w:r>
      <w:r w:rsidRPr="00963BC8">
        <w:rPr>
          <w:rFonts w:ascii="Arial" w:hAnsi="Arial" w:cs="Arial"/>
          <w:i/>
          <w:iCs/>
        </w:rPr>
        <w:t> de </w:t>
      </w:r>
      <w:r w:rsidRPr="00963BC8">
        <w:rPr>
          <w:rStyle w:val="red"/>
          <w:rFonts w:ascii="Arial" w:hAnsi="Arial" w:cs="Arial"/>
          <w:bCs/>
          <w:i/>
          <w:iCs/>
        </w:rPr>
        <w:t>ejecución</w:t>
      </w:r>
      <w:r w:rsidRPr="00963BC8">
        <w:rPr>
          <w:rFonts w:ascii="Arial" w:hAnsi="Arial" w:cs="Arial"/>
          <w:i/>
          <w:iCs/>
        </w:rPr>
        <w:t> regulado por los artículos </w:t>
      </w:r>
      <w:hyperlink r:id="rId8" w:history="1">
        <w:r w:rsidRPr="00963BC8">
          <w:rPr>
            <w:rStyle w:val="Hipervnculo"/>
            <w:rFonts w:ascii="Arial" w:hAnsi="Arial" w:cs="Arial"/>
            <w:i/>
            <w:iCs/>
          </w:rPr>
          <w:t>145 a 196 del Código Fiscal de la Federación</w:t>
        </w:r>
      </w:hyperlink>
      <w:r w:rsidRPr="00963BC8">
        <w:rPr>
          <w:rFonts w:ascii="Arial" w:hAnsi="Arial" w:cs="Arial"/>
          <w:i/>
          <w:iCs/>
          <w:color w:val="000000"/>
        </w:rPr>
        <w:t> no tiene como finalidad la resolución de alguna controversia entre partes contendientes, por lo que en rigor no puede decirse que se trate de un </w:t>
      </w:r>
      <w:r w:rsidRPr="00963BC8">
        <w:rPr>
          <w:rStyle w:val="red"/>
          <w:rFonts w:ascii="Arial" w:hAnsi="Arial" w:cs="Arial"/>
          <w:bCs/>
          <w:i/>
          <w:iCs/>
        </w:rPr>
        <w:t>procedimiento</w:t>
      </w:r>
      <w:r w:rsidRPr="00963BC8">
        <w:rPr>
          <w:rFonts w:ascii="Arial" w:hAnsi="Arial" w:cs="Arial"/>
          <w:i/>
          <w:iCs/>
        </w:rPr>
        <w:t> </w:t>
      </w:r>
      <w:r w:rsidRPr="00963BC8">
        <w:rPr>
          <w:rFonts w:ascii="Arial" w:hAnsi="Arial" w:cs="Arial"/>
          <w:i/>
          <w:iCs/>
          <w:color w:val="000000"/>
        </w:rPr>
        <w:t>seguido en forma de juicio, en los términos literales del artículo </w:t>
      </w:r>
      <w:hyperlink r:id="rId9" w:history="1">
        <w:r w:rsidRPr="00963BC8">
          <w:rPr>
            <w:rStyle w:val="Hipervnculo"/>
            <w:rFonts w:ascii="Arial" w:hAnsi="Arial" w:cs="Arial"/>
            <w:i/>
            <w:iCs/>
          </w:rPr>
          <w:t>114, fracción II, párrafo segundo, de la Ley de </w:t>
        </w:r>
        <w:r w:rsidRPr="00963BC8">
          <w:rPr>
            <w:rStyle w:val="red"/>
            <w:rFonts w:ascii="Arial" w:hAnsi="Arial" w:cs="Arial"/>
            <w:bCs/>
            <w:i/>
            <w:iCs/>
          </w:rPr>
          <w:t>Amparo</w:t>
        </w:r>
      </w:hyperlink>
      <w:r w:rsidRPr="00963BC8">
        <w:rPr>
          <w:rFonts w:ascii="Arial" w:hAnsi="Arial" w:cs="Arial"/>
          <w:i/>
          <w:iCs/>
        </w:rPr>
        <w:t>, p</w:t>
      </w:r>
      <w:r w:rsidRPr="00963BC8">
        <w:rPr>
          <w:rFonts w:ascii="Arial" w:hAnsi="Arial" w:cs="Arial"/>
          <w:i/>
          <w:iCs/>
          <w:color w:val="000000"/>
        </w:rPr>
        <w:t>ero consta de una serie coherente y concordante de actos tendientes a la obtención ejecutiva del cumplimiento de una obligación con base en una liquidación firme que constituye la prueba legal de la existencia del crédito, de su liquidez y de su inmediata reclamación y, como tal, presupuesto formal del comentado </w:t>
      </w:r>
      <w:r w:rsidRPr="00963BC8">
        <w:rPr>
          <w:rStyle w:val="red"/>
          <w:rFonts w:ascii="Arial" w:hAnsi="Arial" w:cs="Arial"/>
          <w:bCs/>
          <w:i/>
          <w:iCs/>
        </w:rPr>
        <w:t>procedimiento</w:t>
      </w:r>
      <w:r w:rsidRPr="00963BC8">
        <w:rPr>
          <w:rFonts w:ascii="Arial" w:hAnsi="Arial" w:cs="Arial"/>
          <w:i/>
          <w:iCs/>
        </w:rPr>
        <w:t> de </w:t>
      </w:r>
      <w:r w:rsidRPr="00963BC8">
        <w:rPr>
          <w:rStyle w:val="red"/>
          <w:rFonts w:ascii="Arial" w:hAnsi="Arial" w:cs="Arial"/>
          <w:bCs/>
          <w:i/>
          <w:iCs/>
        </w:rPr>
        <w:t>ejecución</w:t>
      </w:r>
      <w:r w:rsidRPr="00963BC8">
        <w:rPr>
          <w:rFonts w:ascii="Arial" w:hAnsi="Arial" w:cs="Arial"/>
          <w:i/>
          <w:iCs/>
        </w:rPr>
        <w:t>, similar en estos aspectos a una sentencia ejecutoriada. Por tanto, se justifica que el juicio de </w:t>
      </w:r>
      <w:r w:rsidRPr="00963BC8">
        <w:rPr>
          <w:rStyle w:val="red"/>
          <w:rFonts w:ascii="Arial" w:hAnsi="Arial" w:cs="Arial"/>
          <w:bCs/>
          <w:i/>
          <w:iCs/>
        </w:rPr>
        <w:t>amparo</w:t>
      </w:r>
      <w:r w:rsidRPr="00963BC8">
        <w:rPr>
          <w:rFonts w:ascii="Arial" w:hAnsi="Arial" w:cs="Arial"/>
          <w:i/>
          <w:iCs/>
        </w:rPr>
        <w:t> sólo pueda promoverse hasta que se dicte en el citado </w:t>
      </w:r>
      <w:r w:rsidRPr="00963BC8">
        <w:rPr>
          <w:rStyle w:val="red"/>
          <w:rFonts w:ascii="Arial" w:hAnsi="Arial" w:cs="Arial"/>
          <w:bCs/>
          <w:i/>
          <w:iCs/>
        </w:rPr>
        <w:t>procedimiento</w:t>
      </w:r>
      <w:r w:rsidRPr="00963BC8">
        <w:rPr>
          <w:rFonts w:ascii="Arial" w:hAnsi="Arial" w:cs="Arial"/>
          <w:i/>
          <w:iCs/>
        </w:rPr>
        <w:t> de </w:t>
      </w:r>
      <w:r w:rsidRPr="00963BC8">
        <w:rPr>
          <w:rStyle w:val="red"/>
          <w:rFonts w:ascii="Arial" w:hAnsi="Arial" w:cs="Arial"/>
          <w:bCs/>
          <w:i/>
          <w:iCs/>
        </w:rPr>
        <w:t>ejecución</w:t>
      </w:r>
      <w:r w:rsidRPr="00963BC8">
        <w:rPr>
          <w:rFonts w:ascii="Arial" w:hAnsi="Arial" w:cs="Arial"/>
          <w:i/>
          <w:iCs/>
        </w:rPr>
        <w:t> f</w:t>
      </w:r>
      <w:r w:rsidRPr="00963BC8">
        <w:rPr>
          <w:rFonts w:ascii="Arial" w:hAnsi="Arial" w:cs="Arial"/>
          <w:i/>
          <w:iCs/>
          <w:color w:val="000000"/>
        </w:rPr>
        <w:t xml:space="preserve">iscal la resolución con la que culmine, es decir, la definitiva en que se apruebe o desapruebe el remate, pudiéndose reclamar en tal oportunidad todas las violaciones cometidas dentro de </w:t>
      </w:r>
      <w:r w:rsidRPr="00963BC8">
        <w:rPr>
          <w:rFonts w:ascii="Arial" w:hAnsi="Arial" w:cs="Arial"/>
          <w:i/>
          <w:iCs/>
        </w:rPr>
        <w:t>dicho </w:t>
      </w:r>
      <w:r w:rsidRPr="00963BC8">
        <w:rPr>
          <w:rStyle w:val="red"/>
          <w:rFonts w:ascii="Arial" w:hAnsi="Arial" w:cs="Arial"/>
          <w:bCs/>
          <w:i/>
          <w:iCs/>
        </w:rPr>
        <w:t>procedimiento</w:t>
      </w:r>
      <w:r w:rsidRPr="00963BC8">
        <w:rPr>
          <w:rFonts w:ascii="Arial" w:hAnsi="Arial" w:cs="Arial"/>
          <w:i/>
          <w:iCs/>
        </w:rPr>
        <w:t>. De lo contrario, si se estimara procedente el juicio de garantías </w:t>
      </w:r>
      <w:r w:rsidRPr="00963BC8">
        <w:rPr>
          <w:rStyle w:val="red"/>
          <w:rFonts w:ascii="Arial" w:hAnsi="Arial" w:cs="Arial"/>
          <w:bCs/>
          <w:i/>
          <w:iCs/>
        </w:rPr>
        <w:t>contra</w:t>
      </w:r>
      <w:r w:rsidRPr="00963BC8">
        <w:rPr>
          <w:rFonts w:ascii="Arial" w:hAnsi="Arial" w:cs="Arial"/>
          <w:i/>
          <w:iCs/>
        </w:rPr>
        <w:t> cada uno de los actos procesales de modo aislado, se obstaculizaría injustificadamente la secuencia ejecutiva, lo cual no debe permitirse aunque se reclame la inconstitucionalidad de las leyes que rigen ese </w:t>
      </w:r>
      <w:r w:rsidRPr="00963BC8">
        <w:rPr>
          <w:rStyle w:val="red"/>
          <w:rFonts w:ascii="Arial" w:hAnsi="Arial" w:cs="Arial"/>
          <w:bCs/>
          <w:i/>
          <w:iCs/>
        </w:rPr>
        <w:t>procedimiento</w:t>
      </w:r>
      <w:r w:rsidRPr="00963BC8">
        <w:rPr>
          <w:rFonts w:ascii="Arial" w:hAnsi="Arial" w:cs="Arial"/>
          <w:i/>
          <w:iCs/>
        </w:rPr>
        <w:t>, ya que de la interpretación relacionada de la citada fracción II del artículo 114 de la Ley de </w:t>
      </w:r>
      <w:r w:rsidRPr="00963BC8">
        <w:rPr>
          <w:rStyle w:val="red"/>
          <w:rFonts w:ascii="Arial" w:hAnsi="Arial" w:cs="Arial"/>
          <w:bCs/>
          <w:i/>
          <w:iCs/>
        </w:rPr>
        <w:t>Amparo</w:t>
      </w:r>
      <w:r w:rsidRPr="00963BC8">
        <w:rPr>
          <w:rFonts w:ascii="Arial" w:hAnsi="Arial" w:cs="Arial"/>
          <w:i/>
          <w:iCs/>
        </w:rPr>
        <w:t>, acerca de que el </w:t>
      </w:r>
      <w:r w:rsidRPr="00963BC8">
        <w:rPr>
          <w:rStyle w:val="red"/>
          <w:rFonts w:ascii="Arial" w:hAnsi="Arial" w:cs="Arial"/>
          <w:bCs/>
          <w:i/>
          <w:iCs/>
        </w:rPr>
        <w:t>amparo</w:t>
      </w:r>
      <w:r w:rsidRPr="00963BC8">
        <w:rPr>
          <w:rFonts w:ascii="Arial" w:hAnsi="Arial" w:cs="Arial"/>
          <w:i/>
          <w:iCs/>
        </w:rPr>
        <w:t> </w:t>
      </w:r>
      <w:r w:rsidRPr="00963BC8">
        <w:rPr>
          <w:rStyle w:val="red"/>
          <w:rFonts w:ascii="Arial" w:hAnsi="Arial" w:cs="Arial"/>
          <w:bCs/>
          <w:i/>
          <w:iCs/>
        </w:rPr>
        <w:t>contra</w:t>
      </w:r>
      <w:r w:rsidRPr="00963BC8">
        <w:rPr>
          <w:rFonts w:ascii="Arial" w:hAnsi="Arial" w:cs="Arial"/>
          <w:i/>
          <w:iCs/>
        </w:rPr>
        <w:t> remates sólo procede </w:t>
      </w:r>
      <w:r w:rsidRPr="00963BC8">
        <w:rPr>
          <w:rStyle w:val="red"/>
          <w:rFonts w:ascii="Arial" w:hAnsi="Arial" w:cs="Arial"/>
          <w:bCs/>
          <w:i/>
          <w:iCs/>
        </w:rPr>
        <w:t>contra</w:t>
      </w:r>
      <w:r w:rsidRPr="00963BC8">
        <w:rPr>
          <w:rFonts w:ascii="Arial" w:hAnsi="Arial" w:cs="Arial"/>
          <w:i/>
          <w:iCs/>
        </w:rPr>
        <w:t> </w:t>
      </w:r>
      <w:r w:rsidRPr="00963BC8">
        <w:rPr>
          <w:rFonts w:ascii="Arial" w:hAnsi="Arial" w:cs="Arial"/>
          <w:i/>
          <w:iCs/>
          <w:color w:val="000000"/>
        </w:rPr>
        <w:t xml:space="preserve">la resolución definitiva que los apruebe o desapruebe, y de la fracción III del mismo precepto legal, se desprende que, en lo conducente, la intención del legislador ha sido la de que no se entorpezcan, </w:t>
      </w:r>
      <w:r w:rsidRPr="00963BC8">
        <w:rPr>
          <w:rFonts w:ascii="Arial" w:hAnsi="Arial" w:cs="Arial"/>
          <w:i/>
          <w:iCs/>
        </w:rPr>
        <w:t xml:space="preserve">mediante la promoción del juicio constitucional, los procedimientos </w:t>
      </w:r>
      <w:r w:rsidRPr="00963BC8">
        <w:rPr>
          <w:rFonts w:ascii="Arial" w:hAnsi="Arial" w:cs="Arial"/>
          <w:i/>
          <w:iCs/>
        </w:rPr>
        <w:lastRenderedPageBreak/>
        <w:t>de </w:t>
      </w:r>
      <w:r w:rsidRPr="00963BC8">
        <w:rPr>
          <w:rStyle w:val="red"/>
          <w:rFonts w:ascii="Arial" w:hAnsi="Arial" w:cs="Arial"/>
          <w:bCs/>
          <w:i/>
          <w:iCs/>
        </w:rPr>
        <w:t>ejecución</w:t>
      </w:r>
      <w:r w:rsidRPr="00963BC8">
        <w:rPr>
          <w:rFonts w:ascii="Arial" w:hAnsi="Arial" w:cs="Arial"/>
          <w:i/>
          <w:iCs/>
        </w:rPr>
        <w:t> fundados en </w:t>
      </w:r>
      <w:r w:rsidRPr="00963BC8">
        <w:rPr>
          <w:rStyle w:val="red"/>
          <w:rFonts w:ascii="Arial" w:hAnsi="Arial" w:cs="Arial"/>
          <w:bCs/>
          <w:i/>
          <w:iCs/>
        </w:rPr>
        <w:t>resoluciones</w:t>
      </w:r>
      <w:r w:rsidRPr="00963BC8">
        <w:rPr>
          <w:rFonts w:ascii="Arial" w:hAnsi="Arial" w:cs="Arial"/>
          <w:i/>
          <w:iCs/>
        </w:rPr>
        <w:t> o sentencias definitivas, a pesar de que éstas no deriven de tribunales judiciales, administrativos o del trabajo, por lo que operan las mismas razones para sostener que, tratándose del mencionado </w:t>
      </w:r>
      <w:r w:rsidRPr="00963BC8">
        <w:rPr>
          <w:rStyle w:val="red"/>
          <w:rFonts w:ascii="Arial" w:hAnsi="Arial" w:cs="Arial"/>
          <w:bCs/>
          <w:i/>
          <w:iCs/>
        </w:rPr>
        <w:t>procedimiento</w:t>
      </w:r>
      <w:r w:rsidRPr="00963BC8">
        <w:rPr>
          <w:rFonts w:ascii="Arial" w:hAnsi="Arial" w:cs="Arial"/>
          <w:i/>
          <w:iCs/>
        </w:rPr>
        <w:t>, el juicio de </w:t>
      </w:r>
      <w:r w:rsidRPr="00963BC8">
        <w:rPr>
          <w:rStyle w:val="red"/>
          <w:rFonts w:ascii="Arial" w:hAnsi="Arial" w:cs="Arial"/>
          <w:bCs/>
          <w:i/>
          <w:iCs/>
        </w:rPr>
        <w:t>amparo</w:t>
      </w:r>
      <w:r w:rsidRPr="00963BC8">
        <w:rPr>
          <w:rFonts w:ascii="Arial" w:hAnsi="Arial" w:cs="Arial"/>
          <w:i/>
          <w:iCs/>
        </w:rPr>
        <w:t xml:space="preserve"> puede promoverse hasta que se dicte la última </w:t>
      </w:r>
      <w:r w:rsidRPr="00963BC8">
        <w:rPr>
          <w:rFonts w:ascii="Arial" w:hAnsi="Arial" w:cs="Arial"/>
          <w:i/>
          <w:iCs/>
          <w:color w:val="000000"/>
        </w:rPr>
        <w:t>resolución que en aquél se pronuncie.”</w:t>
      </w:r>
    </w:p>
    <w:p w14:paraId="1BE42FDC" w14:textId="290A13BA" w:rsidR="007A5FD6" w:rsidRDefault="007A5FD6" w:rsidP="007A5FD6">
      <w:pPr>
        <w:spacing w:after="240" w:line="360" w:lineRule="auto"/>
        <w:jc w:val="both"/>
        <w:rPr>
          <w:rFonts w:ascii="Arial" w:eastAsia="Calibri" w:hAnsi="Arial" w:cs="Arial"/>
          <w:sz w:val="26"/>
          <w:szCs w:val="26"/>
        </w:rPr>
      </w:pPr>
      <w:r>
        <w:rPr>
          <w:rFonts w:ascii="Arial" w:eastAsia="Calibri" w:hAnsi="Arial" w:cs="Arial"/>
          <w:sz w:val="26"/>
          <w:szCs w:val="26"/>
        </w:rPr>
        <w:t xml:space="preserve">   </w:t>
      </w:r>
      <w:r>
        <w:rPr>
          <w:rFonts w:ascii="Arial" w:eastAsia="Calibri" w:hAnsi="Arial" w:cs="Arial"/>
          <w:sz w:val="26"/>
          <w:szCs w:val="26"/>
        </w:rPr>
        <w:tab/>
        <w:t xml:space="preserve">Consecuentemente, </w:t>
      </w:r>
      <w:r w:rsidRPr="00D82C07">
        <w:rPr>
          <w:rFonts w:ascii="Arial" w:eastAsia="Calibri" w:hAnsi="Arial" w:cs="Arial"/>
          <w:sz w:val="26"/>
          <w:szCs w:val="26"/>
        </w:rPr>
        <w:t>con fundamento en los artículos 2</w:t>
      </w:r>
      <w:r>
        <w:rPr>
          <w:rFonts w:ascii="Arial" w:eastAsia="Calibri" w:hAnsi="Arial" w:cs="Arial"/>
          <w:sz w:val="26"/>
          <w:szCs w:val="26"/>
        </w:rPr>
        <w:t>3</w:t>
      </w:r>
      <w:r w:rsidRPr="00D82C07">
        <w:rPr>
          <w:rFonts w:ascii="Arial" w:eastAsia="Calibri" w:hAnsi="Arial" w:cs="Arial"/>
          <w:sz w:val="26"/>
          <w:szCs w:val="26"/>
        </w:rPr>
        <w:t>7 y 2</w:t>
      </w:r>
      <w:r>
        <w:rPr>
          <w:rFonts w:ascii="Arial" w:eastAsia="Calibri" w:hAnsi="Arial" w:cs="Arial"/>
          <w:sz w:val="26"/>
          <w:szCs w:val="26"/>
        </w:rPr>
        <w:t>3</w:t>
      </w:r>
      <w:r w:rsidRPr="00D82C07">
        <w:rPr>
          <w:rFonts w:ascii="Arial" w:eastAsia="Calibri" w:hAnsi="Arial" w:cs="Arial"/>
          <w:sz w:val="26"/>
          <w:szCs w:val="26"/>
        </w:rPr>
        <w:t xml:space="preserve">8 de la Ley de </w:t>
      </w:r>
      <w:r>
        <w:rPr>
          <w:rFonts w:ascii="Arial" w:eastAsia="Calibri" w:hAnsi="Arial" w:cs="Arial"/>
          <w:sz w:val="26"/>
          <w:szCs w:val="26"/>
        </w:rPr>
        <w:t xml:space="preserve">Procedimiento y </w:t>
      </w:r>
      <w:r w:rsidRPr="00D82C07">
        <w:rPr>
          <w:rFonts w:ascii="Arial" w:eastAsia="Calibri" w:hAnsi="Arial" w:cs="Arial"/>
          <w:sz w:val="26"/>
          <w:szCs w:val="26"/>
        </w:rPr>
        <w:t>Justicia Administrativa para el Estado,</w:t>
      </w:r>
      <w:r>
        <w:rPr>
          <w:rFonts w:ascii="Arial" w:eastAsia="Calibri" w:hAnsi="Arial" w:cs="Arial"/>
          <w:sz w:val="26"/>
          <w:szCs w:val="26"/>
        </w:rPr>
        <w:t xml:space="preserve"> procede </w:t>
      </w:r>
      <w:r w:rsidRPr="00242444">
        <w:rPr>
          <w:rFonts w:ascii="Arial" w:eastAsia="Calibri" w:hAnsi="Arial" w:cs="Arial"/>
          <w:b/>
          <w:sz w:val="26"/>
          <w:szCs w:val="26"/>
        </w:rPr>
        <w:t>CONFIRMAR</w:t>
      </w:r>
      <w:r>
        <w:rPr>
          <w:rFonts w:ascii="Arial" w:eastAsia="Calibri" w:hAnsi="Arial" w:cs="Arial"/>
          <w:sz w:val="26"/>
          <w:szCs w:val="26"/>
        </w:rPr>
        <w:t xml:space="preserve"> el acuerdo recurrido,</w:t>
      </w:r>
      <w:r w:rsidRPr="00D82C07">
        <w:rPr>
          <w:rFonts w:ascii="Arial" w:eastAsia="Calibri" w:hAnsi="Arial" w:cs="Arial"/>
          <w:sz w:val="26"/>
          <w:szCs w:val="26"/>
        </w:rPr>
        <w:t xml:space="preserve"> </w:t>
      </w:r>
      <w:r w:rsidR="00B8736D" w:rsidRPr="00D82C07">
        <w:rPr>
          <w:rFonts w:ascii="Arial" w:eastAsia="Calibri" w:hAnsi="Arial" w:cs="Arial"/>
          <w:sz w:val="26"/>
          <w:szCs w:val="26"/>
        </w:rPr>
        <w:t>se:</w:t>
      </w:r>
      <w:r w:rsidR="00B8736D">
        <w:rPr>
          <w:rFonts w:ascii="Arial" w:eastAsia="Calibri" w:hAnsi="Arial" w:cs="Arial"/>
          <w:sz w:val="26"/>
          <w:szCs w:val="26"/>
        </w:rPr>
        <w:t xml:space="preserve"> -</w:t>
      </w:r>
      <w:r>
        <w:rPr>
          <w:rFonts w:ascii="Arial" w:eastAsia="Calibri" w:hAnsi="Arial" w:cs="Arial"/>
          <w:sz w:val="26"/>
          <w:szCs w:val="26"/>
        </w:rPr>
        <w:t xml:space="preserve"> - - - - - - - - - - - - - - - - </w:t>
      </w:r>
    </w:p>
    <w:p w14:paraId="11C9CA2E" w14:textId="77777777" w:rsidR="003502EE" w:rsidRDefault="003502EE" w:rsidP="003502EE">
      <w:pPr>
        <w:pStyle w:val="Sinespaciado"/>
        <w:rPr>
          <w:rFonts w:eastAsia="Calibri"/>
        </w:rPr>
      </w:pPr>
    </w:p>
    <w:p w14:paraId="1C0CD51A" w14:textId="2F837E04" w:rsidR="007A5FD6" w:rsidRPr="00F912A8" w:rsidRDefault="007A5FD6" w:rsidP="003502EE">
      <w:pPr>
        <w:spacing w:after="240" w:line="360" w:lineRule="auto"/>
        <w:jc w:val="center"/>
        <w:rPr>
          <w:rFonts w:ascii="Arial" w:eastAsia="Calibri" w:hAnsi="Arial" w:cs="Arial"/>
          <w:bCs/>
          <w:sz w:val="26"/>
          <w:szCs w:val="26"/>
        </w:rPr>
      </w:pPr>
      <w:r w:rsidRPr="00D82C07">
        <w:rPr>
          <w:rFonts w:ascii="Arial" w:eastAsia="Calibri" w:hAnsi="Arial" w:cs="Arial"/>
          <w:b/>
          <w:sz w:val="26"/>
          <w:szCs w:val="26"/>
        </w:rPr>
        <w:t>R E S U E L V E</w:t>
      </w:r>
    </w:p>
    <w:p w14:paraId="3358198B" w14:textId="77777777" w:rsidR="007A5FD6" w:rsidRDefault="007A5FD6" w:rsidP="007A5FD6">
      <w:pPr>
        <w:spacing w:after="120" w:line="360" w:lineRule="auto"/>
        <w:jc w:val="both"/>
        <w:rPr>
          <w:rFonts w:ascii="Arial" w:eastAsia="Calibri" w:hAnsi="Arial" w:cs="Arial"/>
          <w:sz w:val="26"/>
          <w:szCs w:val="26"/>
        </w:rPr>
      </w:pPr>
      <w:r>
        <w:rPr>
          <w:rFonts w:ascii="Arial" w:eastAsia="Calibri" w:hAnsi="Arial" w:cs="Arial"/>
          <w:sz w:val="26"/>
          <w:szCs w:val="26"/>
        </w:rPr>
        <w:t xml:space="preserve"> </w:t>
      </w:r>
      <w:r>
        <w:rPr>
          <w:rFonts w:ascii="Arial" w:eastAsia="Calibri" w:hAnsi="Arial" w:cs="Arial"/>
          <w:sz w:val="26"/>
          <w:szCs w:val="26"/>
        </w:rPr>
        <w:tab/>
      </w:r>
      <w:r w:rsidRPr="00D82C07">
        <w:rPr>
          <w:rFonts w:ascii="Arial" w:eastAsia="Calibri" w:hAnsi="Arial" w:cs="Arial"/>
          <w:b/>
          <w:sz w:val="26"/>
          <w:szCs w:val="26"/>
        </w:rPr>
        <w:t>PRIMERO</w:t>
      </w:r>
      <w:r w:rsidRPr="00D82C07">
        <w:rPr>
          <w:rFonts w:ascii="Arial" w:eastAsia="Calibri" w:hAnsi="Arial" w:cs="Arial"/>
          <w:sz w:val="26"/>
          <w:szCs w:val="26"/>
        </w:rPr>
        <w:t xml:space="preserve">. </w:t>
      </w:r>
      <w:r>
        <w:rPr>
          <w:rFonts w:ascii="Arial" w:eastAsia="Calibri" w:hAnsi="Arial" w:cs="Arial"/>
          <w:sz w:val="26"/>
          <w:szCs w:val="26"/>
        </w:rPr>
        <w:t>Se</w:t>
      </w:r>
      <w:r w:rsidRPr="00D82C07">
        <w:rPr>
          <w:rFonts w:ascii="Arial" w:eastAsia="Calibri" w:hAnsi="Arial" w:cs="Arial"/>
          <w:b/>
          <w:sz w:val="26"/>
          <w:szCs w:val="26"/>
        </w:rPr>
        <w:t xml:space="preserve"> </w:t>
      </w:r>
      <w:r>
        <w:rPr>
          <w:rFonts w:ascii="Arial" w:eastAsia="Calibri" w:hAnsi="Arial" w:cs="Arial"/>
          <w:b/>
          <w:sz w:val="26"/>
          <w:szCs w:val="26"/>
        </w:rPr>
        <w:t>CONFIRMA</w:t>
      </w:r>
      <w:r w:rsidRPr="00D82C07">
        <w:rPr>
          <w:rFonts w:ascii="Arial" w:eastAsia="Calibri" w:hAnsi="Arial" w:cs="Arial"/>
          <w:b/>
          <w:sz w:val="26"/>
          <w:szCs w:val="26"/>
        </w:rPr>
        <w:t xml:space="preserve"> </w:t>
      </w:r>
      <w:r>
        <w:rPr>
          <w:rFonts w:ascii="Arial" w:eastAsia="Calibri" w:hAnsi="Arial" w:cs="Arial"/>
          <w:sz w:val="26"/>
          <w:szCs w:val="26"/>
        </w:rPr>
        <w:t>el</w:t>
      </w:r>
      <w:r w:rsidRPr="00D82C07">
        <w:rPr>
          <w:rFonts w:ascii="Arial" w:eastAsia="Calibri" w:hAnsi="Arial" w:cs="Arial"/>
          <w:sz w:val="26"/>
          <w:szCs w:val="26"/>
        </w:rPr>
        <w:t xml:space="preserve"> </w:t>
      </w:r>
      <w:r>
        <w:rPr>
          <w:rFonts w:ascii="Arial" w:eastAsia="Calibri" w:hAnsi="Arial" w:cs="Arial"/>
          <w:sz w:val="26"/>
          <w:szCs w:val="26"/>
        </w:rPr>
        <w:t>acuerdo de fecha veinticinco de septiembre de dos mil veinte,</w:t>
      </w:r>
      <w:r w:rsidRPr="00D82C07">
        <w:rPr>
          <w:rFonts w:ascii="Arial" w:eastAsia="Calibri" w:hAnsi="Arial" w:cs="Arial"/>
          <w:sz w:val="26"/>
          <w:szCs w:val="26"/>
        </w:rPr>
        <w:t xml:space="preserve"> por las razones expuestas en el considerando que antecede. </w:t>
      </w:r>
      <w:r>
        <w:rPr>
          <w:rFonts w:ascii="Arial" w:eastAsia="Calibri" w:hAnsi="Arial" w:cs="Arial"/>
          <w:sz w:val="26"/>
          <w:szCs w:val="26"/>
        </w:rPr>
        <w:t xml:space="preserve">- - - - - - - - - - - - - - - - - - - - - - - - - - - - - - -  </w:t>
      </w:r>
    </w:p>
    <w:p w14:paraId="55D8ADD4" w14:textId="0FA2CFC5" w:rsidR="007A5FD6" w:rsidRDefault="007A5FD6" w:rsidP="007A5FD6">
      <w:pPr>
        <w:spacing w:after="120"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Pr>
          <w:rFonts w:ascii="Arial" w:hAnsi="Arial" w:cs="Arial"/>
          <w:sz w:val="26"/>
          <w:szCs w:val="26"/>
        </w:rPr>
        <w:t>Cuarta</w:t>
      </w:r>
      <w:r w:rsidRPr="00D82C07">
        <w:rPr>
          <w:rFonts w:ascii="Arial" w:hAnsi="Arial" w:cs="Arial"/>
          <w:sz w:val="26"/>
          <w:szCs w:val="26"/>
        </w:rPr>
        <w:t xml:space="preserve"> Sala Unitaria de Primera Instancia, y en su oportunidad archívese el cuaderno de revisión como </w:t>
      </w:r>
      <w:r w:rsidR="00344DF2" w:rsidRPr="00D82C07">
        <w:rPr>
          <w:rFonts w:ascii="Arial" w:hAnsi="Arial" w:cs="Arial"/>
          <w:sz w:val="26"/>
          <w:szCs w:val="26"/>
        </w:rPr>
        <w:t>concluido.</w:t>
      </w:r>
      <w:r w:rsidR="00344DF2">
        <w:rPr>
          <w:rFonts w:ascii="Arial" w:hAnsi="Arial" w:cs="Arial"/>
          <w:sz w:val="26"/>
          <w:szCs w:val="26"/>
        </w:rPr>
        <w:t xml:space="preserve"> -</w:t>
      </w:r>
      <w:r>
        <w:rPr>
          <w:rFonts w:ascii="Arial" w:hAnsi="Arial" w:cs="Arial"/>
          <w:sz w:val="26"/>
          <w:szCs w:val="26"/>
        </w:rPr>
        <w:t xml:space="preserve"> - - - - - - - - - - - - - - - - - - - - - - - </w:t>
      </w:r>
    </w:p>
    <w:p w14:paraId="74919107" w14:textId="77777777" w:rsidR="007A5FD6" w:rsidRDefault="007A5FD6" w:rsidP="00B15BDC">
      <w:pPr>
        <w:pStyle w:val="Sinespaciado"/>
        <w:spacing w:before="240" w:line="360" w:lineRule="auto"/>
        <w:ind w:right="-376" w:firstLine="708"/>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w:t>
      </w:r>
      <w:r>
        <w:rPr>
          <w:rFonts w:ascii="Arial" w:hAnsi="Arial" w:cs="Arial"/>
          <w:b/>
          <w:bCs/>
          <w:sz w:val="26"/>
          <w:szCs w:val="26"/>
        </w:rPr>
        <w:t>(ponente)</w:t>
      </w:r>
      <w:r>
        <w:rPr>
          <w:rFonts w:ascii="Arial" w:hAnsi="Arial" w:cs="Arial"/>
          <w:sz w:val="26"/>
          <w:szCs w:val="26"/>
        </w:rPr>
        <w:t xml:space="preserve">, y Paulo José Luis Tapia Palacios, quienes actúan con el Licenciado Juan Edy García Coronado, </w:t>
      </w:r>
      <w:proofErr w:type="gramStart"/>
      <w:r>
        <w:rPr>
          <w:rFonts w:ascii="Arial" w:hAnsi="Arial" w:cs="Arial"/>
          <w:sz w:val="26"/>
          <w:szCs w:val="26"/>
        </w:rPr>
        <w:t>Secretario General</w:t>
      </w:r>
      <w:proofErr w:type="gramEnd"/>
      <w:r>
        <w:rPr>
          <w:rFonts w:ascii="Arial" w:hAnsi="Arial" w:cs="Arial"/>
          <w:sz w:val="26"/>
          <w:szCs w:val="26"/>
        </w:rPr>
        <w:t xml:space="preserve"> de Acuerdos de este Tribunal, que autoriza y da fe. - - - - - - - - - - - - - - - - - - - - - - - - - - - - - </w:t>
      </w:r>
    </w:p>
    <w:p w14:paraId="0F75B2C8" w14:textId="77777777" w:rsidR="007A5FD6" w:rsidRDefault="007A5FD6" w:rsidP="007A5FD6">
      <w:pPr>
        <w:spacing w:after="0" w:line="360" w:lineRule="auto"/>
        <w:ind w:right="51" w:firstLine="567"/>
        <w:jc w:val="center"/>
        <w:rPr>
          <w:rFonts w:ascii="Arial" w:eastAsia="Calibri" w:hAnsi="Arial" w:cs="Arial"/>
          <w:b/>
          <w:sz w:val="18"/>
          <w:szCs w:val="18"/>
        </w:rPr>
      </w:pPr>
    </w:p>
    <w:p w14:paraId="3158523D" w14:textId="7B8643F0" w:rsidR="007A5FD6" w:rsidRDefault="007A5FD6" w:rsidP="007A5FD6">
      <w:pPr>
        <w:spacing w:after="0" w:line="360" w:lineRule="auto"/>
        <w:ind w:right="51" w:firstLine="567"/>
        <w:jc w:val="center"/>
        <w:rPr>
          <w:rFonts w:ascii="Arial" w:eastAsia="Calibri" w:hAnsi="Arial" w:cs="Arial"/>
          <w:b/>
          <w:sz w:val="18"/>
          <w:szCs w:val="18"/>
        </w:rPr>
      </w:pPr>
    </w:p>
    <w:p w14:paraId="68E94B64" w14:textId="58FE293F" w:rsidR="00344DF2" w:rsidRDefault="00344DF2" w:rsidP="007A5FD6">
      <w:pPr>
        <w:spacing w:after="0" w:line="360" w:lineRule="auto"/>
        <w:ind w:right="51" w:firstLine="567"/>
        <w:jc w:val="center"/>
        <w:rPr>
          <w:rFonts w:ascii="Arial" w:eastAsia="Calibri" w:hAnsi="Arial" w:cs="Arial"/>
          <w:b/>
          <w:sz w:val="18"/>
          <w:szCs w:val="18"/>
        </w:rPr>
      </w:pPr>
    </w:p>
    <w:p w14:paraId="298141A3" w14:textId="77777777" w:rsidR="00344DF2" w:rsidRDefault="00344DF2" w:rsidP="007A5FD6">
      <w:pPr>
        <w:spacing w:after="0" w:line="360" w:lineRule="auto"/>
        <w:ind w:right="51" w:firstLine="567"/>
        <w:jc w:val="center"/>
        <w:rPr>
          <w:rFonts w:ascii="Arial" w:eastAsia="Calibri" w:hAnsi="Arial" w:cs="Arial"/>
          <w:b/>
          <w:sz w:val="18"/>
          <w:szCs w:val="18"/>
        </w:rPr>
      </w:pPr>
    </w:p>
    <w:p w14:paraId="2457AEC0" w14:textId="77777777" w:rsidR="007A5FD6" w:rsidRDefault="007A5FD6" w:rsidP="007A5FD6">
      <w:pPr>
        <w:spacing w:after="0" w:line="360" w:lineRule="auto"/>
        <w:ind w:right="51"/>
        <w:jc w:val="center"/>
        <w:rPr>
          <w:rFonts w:ascii="Arial" w:eastAsia="Calibri" w:hAnsi="Arial" w:cs="Arial"/>
          <w:bCs/>
          <w:sz w:val="20"/>
          <w:szCs w:val="20"/>
        </w:rPr>
      </w:pPr>
    </w:p>
    <w:p w14:paraId="52D7C541" w14:textId="77777777" w:rsidR="007A5FD6" w:rsidRDefault="007A5FD6" w:rsidP="007A5FD6">
      <w:pPr>
        <w:spacing w:after="0" w:line="240" w:lineRule="auto"/>
        <w:rPr>
          <w:rFonts w:ascii="Arial" w:eastAsia="Times New Roman" w:hAnsi="Arial" w:cs="Arial"/>
          <w:sz w:val="26"/>
          <w:szCs w:val="26"/>
        </w:rPr>
      </w:pPr>
    </w:p>
    <w:p w14:paraId="3AB72FB9" w14:textId="77777777" w:rsidR="007A5FD6" w:rsidRDefault="007A5FD6" w:rsidP="007A5FD6">
      <w:pPr>
        <w:spacing w:after="0" w:line="240" w:lineRule="auto"/>
        <w:ind w:firstLine="567"/>
        <w:jc w:val="center"/>
        <w:rPr>
          <w:rFonts w:ascii="Arial" w:eastAsia="Times New Roman" w:hAnsi="Arial" w:cs="Arial"/>
          <w:sz w:val="26"/>
          <w:szCs w:val="26"/>
        </w:rPr>
      </w:pPr>
    </w:p>
    <w:p w14:paraId="20AE8F45" w14:textId="77777777" w:rsidR="007A5FD6" w:rsidRDefault="007A5FD6" w:rsidP="007A5FD6">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63BB1358" w14:textId="77777777" w:rsidR="007A5FD6" w:rsidRDefault="007A5FD6" w:rsidP="007A5FD6">
      <w:pPr>
        <w:spacing w:after="0" w:line="240" w:lineRule="auto"/>
        <w:ind w:firstLine="567"/>
        <w:jc w:val="center"/>
        <w:rPr>
          <w:rFonts w:ascii="Arial" w:hAnsi="Arial" w:cs="Arial"/>
          <w:sz w:val="26"/>
          <w:szCs w:val="26"/>
        </w:rPr>
      </w:pPr>
      <w:r>
        <w:rPr>
          <w:rFonts w:ascii="Arial" w:hAnsi="Arial" w:cs="Arial"/>
          <w:sz w:val="26"/>
          <w:szCs w:val="26"/>
        </w:rPr>
        <w:t>PRESIDENTE</w:t>
      </w:r>
    </w:p>
    <w:p w14:paraId="1AE20989" w14:textId="77777777" w:rsidR="007A5FD6" w:rsidRDefault="007A5FD6" w:rsidP="007A5FD6">
      <w:pPr>
        <w:jc w:val="center"/>
        <w:rPr>
          <w:rFonts w:ascii="Arial" w:hAnsi="Arial" w:cs="Arial"/>
          <w:sz w:val="26"/>
          <w:szCs w:val="26"/>
        </w:rPr>
      </w:pPr>
    </w:p>
    <w:p w14:paraId="6C949C31" w14:textId="5EBFC555" w:rsidR="007A5FD6" w:rsidRDefault="007A5FD6" w:rsidP="007A5FD6">
      <w:pPr>
        <w:rPr>
          <w:rFonts w:ascii="Arial" w:hAnsi="Arial" w:cs="Arial"/>
          <w:sz w:val="26"/>
          <w:szCs w:val="26"/>
        </w:rPr>
      </w:pPr>
    </w:p>
    <w:p w14:paraId="7E0233C7" w14:textId="35895AB2" w:rsidR="00344DF2" w:rsidRDefault="00344DF2" w:rsidP="007A5FD6">
      <w:pPr>
        <w:rPr>
          <w:rFonts w:ascii="Arial" w:hAnsi="Arial" w:cs="Arial"/>
          <w:sz w:val="26"/>
          <w:szCs w:val="26"/>
        </w:rPr>
      </w:pPr>
    </w:p>
    <w:p w14:paraId="71692CD0" w14:textId="77777777" w:rsidR="00344DF2" w:rsidRDefault="00344DF2" w:rsidP="007A5FD6">
      <w:pPr>
        <w:rPr>
          <w:rFonts w:ascii="Arial" w:hAnsi="Arial" w:cs="Arial"/>
          <w:sz w:val="26"/>
          <w:szCs w:val="26"/>
        </w:rPr>
      </w:pPr>
    </w:p>
    <w:p w14:paraId="1C38F253" w14:textId="77777777" w:rsidR="007A5FD6" w:rsidRDefault="007A5FD6" w:rsidP="007A5FD6">
      <w:pPr>
        <w:jc w:val="center"/>
        <w:rPr>
          <w:rFonts w:ascii="Arial" w:hAnsi="Arial" w:cs="Arial"/>
          <w:sz w:val="26"/>
          <w:szCs w:val="26"/>
        </w:rPr>
      </w:pPr>
    </w:p>
    <w:p w14:paraId="4FB50AA1" w14:textId="77777777" w:rsidR="007A5FD6" w:rsidRDefault="007A5FD6" w:rsidP="007A5FD6">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6F65B055" w14:textId="6D42E24E" w:rsidR="007A5FD6" w:rsidRPr="00344DF2" w:rsidRDefault="007A5FD6" w:rsidP="007A5FD6">
      <w:pPr>
        <w:jc w:val="center"/>
        <w:rPr>
          <w:rFonts w:ascii="Arial" w:hAnsi="Arial" w:cs="Arial"/>
          <w:b/>
          <w:bCs/>
          <w:sz w:val="16"/>
          <w:szCs w:val="16"/>
        </w:rPr>
      </w:pPr>
      <w:r w:rsidRPr="00344DF2">
        <w:rPr>
          <w:rFonts w:ascii="Arial" w:hAnsi="Arial" w:cs="Arial"/>
          <w:b/>
          <w:bCs/>
          <w:sz w:val="16"/>
          <w:szCs w:val="16"/>
        </w:rPr>
        <w:lastRenderedPageBreak/>
        <w:t xml:space="preserve">     </w:t>
      </w:r>
      <w:r w:rsidR="00344DF2" w:rsidRPr="00344DF2">
        <w:rPr>
          <w:rFonts w:ascii="Arial" w:hAnsi="Arial" w:cs="Arial"/>
          <w:b/>
          <w:bCs/>
          <w:sz w:val="16"/>
          <w:szCs w:val="16"/>
        </w:rPr>
        <w:t>LAS PRESENTES FIRMAS CORRESPONDEN AL RECURSO DE REVISIÓN 0227/2020.</w:t>
      </w:r>
      <w:r w:rsidRPr="00344DF2">
        <w:rPr>
          <w:rFonts w:ascii="Arial" w:hAnsi="Arial" w:cs="Arial"/>
          <w:b/>
          <w:bCs/>
          <w:sz w:val="16"/>
          <w:szCs w:val="16"/>
        </w:rPr>
        <w:t xml:space="preserve">  </w:t>
      </w:r>
    </w:p>
    <w:p w14:paraId="2B2A91A9" w14:textId="39F0C8BE" w:rsidR="007A5FD6" w:rsidRDefault="007A5FD6" w:rsidP="007A5FD6">
      <w:pPr>
        <w:rPr>
          <w:rFonts w:ascii="Arial" w:hAnsi="Arial" w:cs="Arial"/>
          <w:sz w:val="26"/>
          <w:szCs w:val="26"/>
        </w:rPr>
      </w:pPr>
    </w:p>
    <w:p w14:paraId="6551E4FB" w14:textId="11CA67B9" w:rsidR="00344DF2" w:rsidRDefault="00344DF2" w:rsidP="007A5FD6">
      <w:pPr>
        <w:rPr>
          <w:rFonts w:ascii="Arial" w:hAnsi="Arial" w:cs="Arial"/>
          <w:sz w:val="26"/>
          <w:szCs w:val="26"/>
        </w:rPr>
      </w:pPr>
    </w:p>
    <w:p w14:paraId="1CF9E552" w14:textId="39DF4EB6" w:rsidR="00344DF2" w:rsidRDefault="00344DF2" w:rsidP="007A5FD6">
      <w:pPr>
        <w:rPr>
          <w:rFonts w:ascii="Arial" w:hAnsi="Arial" w:cs="Arial"/>
          <w:sz w:val="26"/>
          <w:szCs w:val="26"/>
        </w:rPr>
      </w:pPr>
    </w:p>
    <w:p w14:paraId="46DB6060" w14:textId="77777777" w:rsidR="00344DF2" w:rsidRDefault="00344DF2" w:rsidP="007A5FD6">
      <w:pPr>
        <w:rPr>
          <w:rFonts w:ascii="Arial" w:hAnsi="Arial" w:cs="Arial"/>
          <w:sz w:val="26"/>
          <w:szCs w:val="26"/>
        </w:rPr>
      </w:pPr>
    </w:p>
    <w:p w14:paraId="1F216F41" w14:textId="77777777" w:rsidR="007A5FD6" w:rsidRDefault="007A5FD6" w:rsidP="00344DF2">
      <w:pPr>
        <w:jc w:val="center"/>
        <w:rPr>
          <w:rFonts w:ascii="Arial" w:hAnsi="Arial" w:cs="Arial"/>
          <w:sz w:val="26"/>
          <w:szCs w:val="26"/>
        </w:rPr>
      </w:pPr>
      <w:r>
        <w:rPr>
          <w:rFonts w:ascii="Arial" w:hAnsi="Arial" w:cs="Arial"/>
          <w:sz w:val="26"/>
          <w:szCs w:val="26"/>
        </w:rPr>
        <w:t>MAGISTRADO RAÚL PALOMARES PALOMINO</w:t>
      </w:r>
    </w:p>
    <w:p w14:paraId="60B5C4B0" w14:textId="77777777" w:rsidR="007A5FD6" w:rsidRDefault="007A5FD6" w:rsidP="007A5FD6">
      <w:pPr>
        <w:jc w:val="center"/>
        <w:rPr>
          <w:rFonts w:ascii="Arial" w:hAnsi="Arial" w:cs="Arial"/>
          <w:sz w:val="26"/>
          <w:szCs w:val="26"/>
        </w:rPr>
      </w:pPr>
    </w:p>
    <w:p w14:paraId="384776FE" w14:textId="77777777" w:rsidR="007A5FD6" w:rsidRDefault="007A5FD6" w:rsidP="007A5FD6">
      <w:pPr>
        <w:jc w:val="center"/>
        <w:rPr>
          <w:rFonts w:ascii="Arial" w:hAnsi="Arial" w:cs="Arial"/>
          <w:sz w:val="26"/>
          <w:szCs w:val="26"/>
        </w:rPr>
      </w:pPr>
    </w:p>
    <w:p w14:paraId="28ACCD0F" w14:textId="77777777" w:rsidR="007A5FD6" w:rsidRDefault="007A5FD6" w:rsidP="007A5FD6">
      <w:pPr>
        <w:jc w:val="center"/>
        <w:rPr>
          <w:rFonts w:ascii="Arial" w:hAnsi="Arial" w:cs="Arial"/>
          <w:sz w:val="26"/>
          <w:szCs w:val="26"/>
        </w:rPr>
      </w:pPr>
    </w:p>
    <w:p w14:paraId="084389AD" w14:textId="77777777" w:rsidR="007A5FD6" w:rsidRDefault="007A5FD6" w:rsidP="007A5FD6">
      <w:pPr>
        <w:jc w:val="center"/>
        <w:rPr>
          <w:rFonts w:ascii="Arial" w:hAnsi="Arial" w:cs="Arial"/>
          <w:sz w:val="26"/>
          <w:szCs w:val="26"/>
        </w:rPr>
      </w:pPr>
    </w:p>
    <w:p w14:paraId="2205616E" w14:textId="77777777" w:rsidR="007A5FD6" w:rsidRDefault="007A5FD6" w:rsidP="007A5FD6">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55B4AD45" w14:textId="77777777" w:rsidR="007A5FD6" w:rsidRDefault="007A5FD6" w:rsidP="007A5FD6">
      <w:pPr>
        <w:tabs>
          <w:tab w:val="left" w:pos="1680"/>
          <w:tab w:val="center" w:pos="4277"/>
        </w:tabs>
        <w:spacing w:line="360" w:lineRule="auto"/>
        <w:rPr>
          <w:rFonts w:ascii="Arial" w:hAnsi="Arial" w:cs="Arial"/>
          <w:sz w:val="26"/>
          <w:szCs w:val="26"/>
        </w:rPr>
      </w:pPr>
    </w:p>
    <w:p w14:paraId="0F681FCA" w14:textId="77777777" w:rsidR="007A5FD6" w:rsidRDefault="007A5FD6" w:rsidP="007A5FD6">
      <w:pPr>
        <w:tabs>
          <w:tab w:val="left" w:pos="1680"/>
          <w:tab w:val="center" w:pos="4277"/>
        </w:tabs>
        <w:spacing w:line="360" w:lineRule="auto"/>
        <w:rPr>
          <w:rFonts w:ascii="Arial" w:hAnsi="Arial" w:cs="Arial"/>
          <w:sz w:val="26"/>
          <w:szCs w:val="26"/>
        </w:rPr>
      </w:pPr>
    </w:p>
    <w:p w14:paraId="28983531" w14:textId="77777777" w:rsidR="007A5FD6" w:rsidRDefault="007A5FD6" w:rsidP="007A5FD6">
      <w:pPr>
        <w:tabs>
          <w:tab w:val="left" w:pos="1680"/>
          <w:tab w:val="center" w:pos="4277"/>
        </w:tabs>
        <w:spacing w:line="360" w:lineRule="auto"/>
        <w:rPr>
          <w:rFonts w:ascii="Arial" w:hAnsi="Arial" w:cs="Arial"/>
          <w:sz w:val="26"/>
          <w:szCs w:val="26"/>
        </w:rPr>
      </w:pPr>
    </w:p>
    <w:p w14:paraId="723D641A" w14:textId="77777777" w:rsidR="007A5FD6" w:rsidRDefault="007A5FD6" w:rsidP="007A5FD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38362857" w14:textId="77777777" w:rsidR="007A5FD6" w:rsidRDefault="007A5FD6" w:rsidP="007A5FD6">
      <w:pPr>
        <w:tabs>
          <w:tab w:val="left" w:pos="1680"/>
          <w:tab w:val="center" w:pos="4277"/>
        </w:tabs>
        <w:spacing w:line="360" w:lineRule="auto"/>
        <w:jc w:val="center"/>
        <w:rPr>
          <w:rFonts w:ascii="Arial" w:hAnsi="Arial" w:cs="Arial"/>
          <w:sz w:val="26"/>
          <w:szCs w:val="26"/>
        </w:rPr>
      </w:pPr>
    </w:p>
    <w:p w14:paraId="10B664DB" w14:textId="77777777" w:rsidR="007A5FD6" w:rsidRDefault="007A5FD6" w:rsidP="007A5FD6">
      <w:pPr>
        <w:tabs>
          <w:tab w:val="left" w:pos="1680"/>
          <w:tab w:val="center" w:pos="4277"/>
        </w:tabs>
        <w:spacing w:line="360" w:lineRule="auto"/>
        <w:jc w:val="center"/>
        <w:rPr>
          <w:rFonts w:ascii="Arial" w:hAnsi="Arial" w:cs="Arial"/>
          <w:sz w:val="26"/>
          <w:szCs w:val="26"/>
        </w:rPr>
      </w:pPr>
    </w:p>
    <w:p w14:paraId="4047D178" w14:textId="77777777" w:rsidR="007A5FD6" w:rsidRDefault="007A5FD6" w:rsidP="007A5FD6">
      <w:pPr>
        <w:spacing w:after="0" w:line="240" w:lineRule="auto"/>
        <w:jc w:val="center"/>
        <w:rPr>
          <w:rFonts w:ascii="Arial" w:hAnsi="Arial" w:cs="Arial"/>
          <w:sz w:val="26"/>
          <w:szCs w:val="26"/>
        </w:rPr>
      </w:pPr>
    </w:p>
    <w:p w14:paraId="1E3BAD01" w14:textId="77777777" w:rsidR="007A5FD6" w:rsidRDefault="007A5FD6" w:rsidP="007A5FD6">
      <w:pPr>
        <w:spacing w:after="0" w:line="240" w:lineRule="auto"/>
        <w:jc w:val="center"/>
        <w:rPr>
          <w:rFonts w:ascii="Arial" w:hAnsi="Arial" w:cs="Arial"/>
          <w:sz w:val="26"/>
          <w:szCs w:val="26"/>
        </w:rPr>
      </w:pPr>
    </w:p>
    <w:p w14:paraId="7268D2FB" w14:textId="77777777" w:rsidR="007A5FD6" w:rsidRDefault="007A5FD6" w:rsidP="007A5FD6">
      <w:pPr>
        <w:spacing w:after="0" w:line="240" w:lineRule="auto"/>
        <w:jc w:val="center"/>
        <w:rPr>
          <w:rFonts w:ascii="Arial" w:hAnsi="Arial" w:cs="Arial"/>
          <w:sz w:val="26"/>
          <w:szCs w:val="26"/>
        </w:rPr>
      </w:pPr>
      <w:r>
        <w:rPr>
          <w:rFonts w:ascii="Arial" w:hAnsi="Arial" w:cs="Arial"/>
          <w:sz w:val="26"/>
          <w:szCs w:val="26"/>
        </w:rPr>
        <w:t>LIC. JUAN EDY GARCÍA CORONADO.</w:t>
      </w:r>
    </w:p>
    <w:p w14:paraId="3A72DC4C" w14:textId="77777777" w:rsidR="007A5FD6" w:rsidRDefault="007A5FD6" w:rsidP="007A5FD6">
      <w:pPr>
        <w:spacing w:after="0" w:line="240" w:lineRule="auto"/>
        <w:jc w:val="center"/>
      </w:pPr>
      <w:r>
        <w:rPr>
          <w:rFonts w:ascii="Arial" w:hAnsi="Arial" w:cs="Arial"/>
          <w:sz w:val="26"/>
          <w:szCs w:val="26"/>
        </w:rPr>
        <w:t>SECRETARIO GENERAL DE ACUERDOS</w:t>
      </w:r>
    </w:p>
    <w:p w14:paraId="637A25DA" w14:textId="77777777" w:rsidR="007A5FD6" w:rsidRDefault="007A5FD6" w:rsidP="007A5FD6">
      <w:pPr>
        <w:widowControl w:val="0"/>
        <w:tabs>
          <w:tab w:val="left" w:pos="0"/>
        </w:tabs>
        <w:spacing w:before="120" w:after="0" w:line="360" w:lineRule="auto"/>
        <w:ind w:right="18"/>
        <w:jc w:val="both"/>
        <w:rPr>
          <w:lang w:val="es-ES"/>
        </w:rPr>
      </w:pPr>
    </w:p>
    <w:p w14:paraId="600AF8A8" w14:textId="77777777" w:rsidR="007A5FD6" w:rsidRPr="00D82C07" w:rsidRDefault="007A5FD6" w:rsidP="007A5FD6">
      <w:pPr>
        <w:spacing w:after="0" w:line="240" w:lineRule="auto"/>
        <w:jc w:val="center"/>
        <w:rPr>
          <w:rFonts w:ascii="Arial" w:eastAsia="Calibri" w:hAnsi="Arial" w:cs="Arial"/>
          <w:sz w:val="26"/>
          <w:szCs w:val="26"/>
        </w:rPr>
      </w:pPr>
    </w:p>
    <w:p w14:paraId="50453FE0" w14:textId="758CCE4D" w:rsidR="00BA258A" w:rsidRPr="00673539" w:rsidRDefault="00BA258A" w:rsidP="00673539">
      <w:pPr>
        <w:jc w:val="center"/>
        <w:rPr>
          <w:rFonts w:ascii="Arial" w:hAnsi="Arial" w:cs="Arial"/>
          <w:sz w:val="26"/>
          <w:szCs w:val="26"/>
        </w:rPr>
      </w:pPr>
    </w:p>
    <w:sectPr w:rsidR="00BA258A" w:rsidRPr="00673539" w:rsidSect="0024672A">
      <w:headerReference w:type="even" r:id="rId10"/>
      <w:headerReference w:type="default" r:id="rId11"/>
      <w:footerReference w:type="default" r:id="rId12"/>
      <w:head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CD292" w14:textId="77777777" w:rsidR="00846DAF" w:rsidRDefault="00846DAF">
      <w:pPr>
        <w:spacing w:after="0" w:line="240" w:lineRule="auto"/>
      </w:pPr>
      <w:r>
        <w:separator/>
      </w:r>
    </w:p>
  </w:endnote>
  <w:endnote w:type="continuationSeparator" w:id="0">
    <w:p w14:paraId="6681F419" w14:textId="77777777" w:rsidR="00846DAF" w:rsidRDefault="00846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9F6F0" w14:textId="77777777" w:rsidR="00846DAF" w:rsidRDefault="00846DAF">
      <w:pPr>
        <w:spacing w:after="0" w:line="240" w:lineRule="auto"/>
      </w:pPr>
      <w:r>
        <w:separator/>
      </w:r>
    </w:p>
  </w:footnote>
  <w:footnote w:type="continuationSeparator" w:id="0">
    <w:p w14:paraId="386378FA" w14:textId="77777777" w:rsidR="00846DAF" w:rsidRDefault="00846DAF">
      <w:pPr>
        <w:spacing w:after="0" w:line="240" w:lineRule="auto"/>
      </w:pPr>
      <w:r>
        <w:continuationSeparator/>
      </w:r>
    </w:p>
  </w:footnote>
  <w:footnote w:id="1">
    <w:p w14:paraId="1FF2246B" w14:textId="77777777" w:rsidR="007A5FD6" w:rsidRPr="00085DC5" w:rsidRDefault="007A5FD6" w:rsidP="007A5FD6">
      <w:pPr>
        <w:pStyle w:val="Textonotapie"/>
        <w:jc w:val="both"/>
        <w:rPr>
          <w:sz w:val="16"/>
          <w:szCs w:val="16"/>
        </w:rPr>
      </w:pPr>
      <w:r>
        <w:rPr>
          <w:rStyle w:val="Refdenotaalpie"/>
        </w:rPr>
        <w:footnoteRef/>
      </w:r>
      <w:r>
        <w:t xml:space="preserve"> “</w:t>
      </w:r>
      <w:r w:rsidRPr="009D7060">
        <w:rPr>
          <w:b/>
        </w:rPr>
        <w:t>ARTÍCULO 98.-</w:t>
      </w:r>
      <w:r>
        <w:t xml:space="preserve"> Los interesados afectados por los actos y resoluciones de las autoridades </w:t>
      </w:r>
      <w:r w:rsidRPr="00085DC5">
        <w:rPr>
          <w:sz w:val="16"/>
          <w:szCs w:val="16"/>
        </w:rPr>
        <w:t>administrativas que pongan fin al procedimiento administrativo, a una instancia o resuelvan un expediente, podrán interponer recurso de revisión o intentar las vías judiciales-administrativas correspondientes ante el Tribunal. (…)”</w:t>
      </w:r>
    </w:p>
  </w:footnote>
  <w:footnote w:id="2">
    <w:p w14:paraId="276BD91E" w14:textId="77777777" w:rsidR="007A5FD6" w:rsidRPr="00085DC5" w:rsidRDefault="007A5FD6" w:rsidP="007A5FD6">
      <w:pPr>
        <w:pStyle w:val="Textonotapie"/>
        <w:jc w:val="both"/>
        <w:rPr>
          <w:sz w:val="16"/>
          <w:szCs w:val="16"/>
        </w:rPr>
      </w:pPr>
      <w:r w:rsidRPr="00085DC5">
        <w:rPr>
          <w:rStyle w:val="Refdenotaalpie"/>
          <w:sz w:val="16"/>
          <w:szCs w:val="16"/>
        </w:rPr>
        <w:footnoteRef/>
      </w:r>
      <w:r w:rsidRPr="00085DC5">
        <w:rPr>
          <w:b/>
          <w:bCs/>
          <w:sz w:val="16"/>
          <w:szCs w:val="16"/>
        </w:rPr>
        <w:t xml:space="preserve">ARTÍCULO 105. </w:t>
      </w:r>
      <w:r w:rsidRPr="00085DC5">
        <w:rPr>
          <w:sz w:val="16"/>
          <w:szCs w:val="16"/>
        </w:rPr>
        <w:t>[…]</w:t>
      </w:r>
    </w:p>
    <w:p w14:paraId="6F7508DF" w14:textId="77777777" w:rsidR="007A5FD6" w:rsidRDefault="007A5FD6" w:rsidP="007A5FD6">
      <w:pPr>
        <w:pStyle w:val="Textonotapie"/>
        <w:jc w:val="both"/>
        <w:rPr>
          <w:sz w:val="16"/>
          <w:szCs w:val="16"/>
        </w:rPr>
      </w:pPr>
      <w:r w:rsidRPr="00085DC5">
        <w:rPr>
          <w:sz w:val="16"/>
          <w:szCs w:val="16"/>
        </w:rPr>
        <w:t xml:space="preserve">Para los efectos de la fracción I de </w:t>
      </w:r>
      <w:proofErr w:type="gramStart"/>
      <w:r w:rsidRPr="00085DC5">
        <w:rPr>
          <w:sz w:val="16"/>
          <w:szCs w:val="16"/>
        </w:rPr>
        <w:t>éste</w:t>
      </w:r>
      <w:proofErr w:type="gramEnd"/>
      <w:r w:rsidRPr="00085DC5">
        <w:rPr>
          <w:sz w:val="16"/>
          <w:szCs w:val="16"/>
        </w:rPr>
        <w:t xml:space="preserve"> artículo, las multas que imponga el Órgano Superior de Fiscalización del Estado de Oaxaca tendrán el carácter de créditos fiscales, se fijarán en cantidad líquida y se harán efectivas a través de la Secretaría de Finanzas del Gobierno del Estado, conforme al procedimiento administrativo de ejecución previsto en el Código Fiscal para el Estado de Oaxaca y demás disposiciones aplicables. </w:t>
      </w:r>
    </w:p>
    <w:p w14:paraId="77E23CF5" w14:textId="77777777" w:rsidR="007A5FD6" w:rsidRPr="00085DC5" w:rsidRDefault="007A5FD6" w:rsidP="007A5FD6">
      <w:pPr>
        <w:pStyle w:val="Textonotapie"/>
        <w:jc w:val="both"/>
        <w:rPr>
          <w:sz w:val="16"/>
          <w:szCs w:val="16"/>
        </w:rPr>
      </w:pPr>
      <w:r w:rsidRPr="00085DC5">
        <w:rPr>
          <w:sz w:val="16"/>
          <w:szCs w:val="16"/>
        </w:rPr>
        <w:t>El importe que se obtenga por el cobro de multas, deberá ser entregado por la Secretaría de Finanzas del Gobierno del Estado a él Órgano Superior de Fiscalización del Estado de Oaxaca, dentro de los quince días hábiles siguientes a la conclusión del trimestre en que se haya obtenido el cobro.</w:t>
      </w:r>
    </w:p>
    <w:p w14:paraId="3D497D36" w14:textId="77777777" w:rsidR="007A5FD6" w:rsidRPr="00D97F14" w:rsidRDefault="007A5FD6" w:rsidP="007A5FD6">
      <w:pPr>
        <w:pStyle w:val="Textonotapie"/>
        <w:rPr>
          <w:lang w:val="es-ES"/>
        </w:rPr>
      </w:pPr>
    </w:p>
  </w:footnote>
  <w:footnote w:id="3">
    <w:p w14:paraId="47556459" w14:textId="77777777" w:rsidR="007A5FD6" w:rsidRDefault="007A5FD6" w:rsidP="007A5FD6">
      <w:pPr>
        <w:pStyle w:val="Textonotapie"/>
        <w:jc w:val="both"/>
      </w:pPr>
      <w:r>
        <w:rPr>
          <w:rStyle w:val="Refdenotaalpie"/>
        </w:rPr>
        <w:footnoteRef/>
      </w:r>
      <w:r>
        <w:t xml:space="preserve"> “</w:t>
      </w:r>
      <w:r>
        <w:rPr>
          <w:b/>
        </w:rPr>
        <w:t>ARTÍCULO 133.-</w:t>
      </w:r>
      <w:r>
        <w:t xml:space="preserve"> Las Salas Unitarias del Tribunal son competentes para conocer y resolver los juicios que se promueven en contra de: I. Los actos y resoluciones emanados de las autoridades del Poder Ejecutivo, de los Municipios y de sus órganos descentralizados y desconcentrados, cuando estos actúen como autoridades, dictándolas, ordenándolas, ejecutándolas o tratando de ejecutarlas y que causen agravio los particulares, por no ajustarse a los elementos y requisitos de validez previstos por el artículo 17 de </w:t>
      </w:r>
      <w:proofErr w:type="gramStart"/>
      <w:r>
        <w:t>ésta</w:t>
      </w:r>
      <w:proofErr w:type="gramEnd"/>
      <w:r>
        <w:t xml:space="preserve"> ley; (…)”</w:t>
      </w:r>
    </w:p>
  </w:footnote>
  <w:footnote w:id="4">
    <w:p w14:paraId="31F77B1B" w14:textId="77777777" w:rsidR="007A5FD6" w:rsidRDefault="007A5FD6" w:rsidP="007A5FD6">
      <w:pPr>
        <w:pStyle w:val="Textonotapie"/>
        <w:jc w:val="both"/>
      </w:pPr>
      <w:r>
        <w:rPr>
          <w:rStyle w:val="Refdenotaalpie"/>
        </w:rPr>
        <w:footnoteRef/>
      </w:r>
      <w:r>
        <w:t xml:space="preserve"> “</w:t>
      </w:r>
      <w:r w:rsidRPr="00D94AD2">
        <w:rPr>
          <w:b/>
        </w:rPr>
        <w:t>ARTÍCULO 161.-</w:t>
      </w:r>
      <w:r>
        <w:t xml:space="preserve"> Es improcedente el juicio ante el Tribunal contra actos: (…) IX. Cuando de las constancias de apareciere claramente que no existe el acto reclamado o cuando no se probare su existencia; y X. En los demás casos en que la improcedencia resulte de alguna disposición de esta Ley o de cualquiera otra de naturaleza o administrativa. (…)”</w:t>
      </w:r>
    </w:p>
  </w:footnote>
  <w:footnote w:id="5">
    <w:p w14:paraId="7E3A8D4D" w14:textId="77777777" w:rsidR="007A5FD6" w:rsidRDefault="007A5FD6" w:rsidP="007A5FD6">
      <w:pPr>
        <w:pStyle w:val="Textonotapie"/>
        <w:jc w:val="both"/>
      </w:pPr>
      <w:r>
        <w:rPr>
          <w:rStyle w:val="Refdenotaalpie"/>
        </w:rPr>
        <w:footnoteRef/>
      </w:r>
      <w:r>
        <w:t xml:space="preserve"> “</w:t>
      </w:r>
      <w:r w:rsidRPr="00D94AD2">
        <w:rPr>
          <w:b/>
        </w:rPr>
        <w:t>ARTÍCULO 162.-</w:t>
      </w:r>
      <w:r>
        <w:t xml:space="preserve"> Procede el sobreseimiento del juicio: (…) VI. En los demás casos en los que por disposición legal exista impedimento para emitir resoluciones en cuanto al fondo; y (…)”</w:t>
      </w:r>
    </w:p>
  </w:footnote>
  <w:footnote w:id="6">
    <w:p w14:paraId="274BC2A7" w14:textId="77777777" w:rsidR="007A5FD6" w:rsidRDefault="007A5FD6" w:rsidP="007A5FD6">
      <w:pPr>
        <w:pStyle w:val="Textonotapie"/>
      </w:pPr>
      <w:r>
        <w:rPr>
          <w:rStyle w:val="Refdenotaalpie"/>
        </w:rPr>
        <w:footnoteRef/>
      </w:r>
      <w:r>
        <w:t xml:space="preserve"> </w:t>
      </w:r>
      <w:r w:rsidRPr="00963BC8">
        <w:rPr>
          <w:b/>
          <w:bCs/>
        </w:rPr>
        <w:t>ARTÍCULO 182.-</w:t>
      </w:r>
      <w:r>
        <w:t xml:space="preserve"> Se podrá desechar la demanda:</w:t>
      </w:r>
    </w:p>
    <w:p w14:paraId="207747ED" w14:textId="77777777" w:rsidR="007A5FD6" w:rsidRPr="00963BC8" w:rsidRDefault="007A5FD6" w:rsidP="007A5FD6">
      <w:pPr>
        <w:pStyle w:val="Textonotapie"/>
        <w:jc w:val="both"/>
        <w:rPr>
          <w:lang w:val="es-ES"/>
        </w:rPr>
      </w:pPr>
      <w:r>
        <w:t xml:space="preserve"> I. Si se encontrare motivo manifiesto e indudable de improcedencia;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81766"/>
      <w:docPartObj>
        <w:docPartGallery w:val="Page Numbers (Top of Page)"/>
        <w:docPartUnique/>
      </w:docPartObj>
    </w:sdtPr>
    <w:sdtEndPr/>
    <w:sdtContent>
      <w:p w14:paraId="0409FE29" w14:textId="17248900" w:rsidR="000F5C41" w:rsidRDefault="00846DA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AA0704" w:rsidRPr="00AA0704">
          <w:rPr>
            <w:noProof/>
            <w:lang w:val="es-ES"/>
          </w:rPr>
          <w:t>14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874C" w14:textId="7319D6A5" w:rsidR="000F5C41" w:rsidRDefault="00846DA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AA0704" w:rsidRPr="00AA0704">
          <w:rPr>
            <w:noProof/>
            <w:lang w:val="es-ES"/>
          </w:rPr>
          <w:t>1</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3C94" w14:textId="2C1A9D1C" w:rsidR="00D73C07" w:rsidRDefault="00846DA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5"/>
  </w:num>
  <w:num w:numId="8">
    <w:abstractNumId w:val="1"/>
  </w:num>
  <w:num w:numId="9">
    <w:abstractNumId w:val="4"/>
  </w:num>
  <w:num w:numId="10">
    <w:abstractNumId w:val="8"/>
  </w:num>
  <w:num w:numId="11">
    <w:abstractNumId w:val="1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2"/>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CED"/>
    <w:rsid w:val="00140D7E"/>
    <w:rsid w:val="00141C3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EDE"/>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706"/>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BB"/>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4DF2"/>
    <w:rsid w:val="00345946"/>
    <w:rsid w:val="00345C53"/>
    <w:rsid w:val="00346754"/>
    <w:rsid w:val="00347AAB"/>
    <w:rsid w:val="00347FD3"/>
    <w:rsid w:val="0035006A"/>
    <w:rsid w:val="003502EE"/>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2792"/>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986"/>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5FD6"/>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4DF"/>
    <w:rsid w:val="008370CF"/>
    <w:rsid w:val="00837CEF"/>
    <w:rsid w:val="00840C89"/>
    <w:rsid w:val="0084114B"/>
    <w:rsid w:val="00842756"/>
    <w:rsid w:val="008430AD"/>
    <w:rsid w:val="008433AE"/>
    <w:rsid w:val="0084355F"/>
    <w:rsid w:val="00843D17"/>
    <w:rsid w:val="00846DAF"/>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ACA"/>
    <w:rsid w:val="00940C5D"/>
    <w:rsid w:val="00941598"/>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0"/>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704"/>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5BDC"/>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36D"/>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4FB0"/>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36A"/>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0E3"/>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d">
    <w:name w:val="red"/>
    <w:basedOn w:val="Fuentedeprrafopredeter"/>
    <w:rsid w:val="007A5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3)"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FB6C8-2DA7-4DED-910F-EDE3ABBFC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Pages>
  <Words>4441</Words>
  <Characters>24429</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29</cp:revision>
  <cp:lastPrinted>2021-10-13T19:20:00Z</cp:lastPrinted>
  <dcterms:created xsi:type="dcterms:W3CDTF">2021-02-11T20:15:00Z</dcterms:created>
  <dcterms:modified xsi:type="dcterms:W3CDTF">2021-10-13T19:20:00Z</dcterms:modified>
</cp:coreProperties>
</file>