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01F" w:rsidRDefault="006B201F" w:rsidP="006B201F">
      <w:pPr>
        <w:spacing w:line="240" w:lineRule="auto"/>
        <w:ind w:left="2127" w:right="497"/>
        <w:jc w:val="both"/>
        <w:rPr>
          <w:rFonts w:ascii="Arial" w:hAnsi="Arial" w:cs="Arial"/>
          <w:b/>
          <w:color w:val="FF0000"/>
          <w:sz w:val="26"/>
          <w:szCs w:val="26"/>
        </w:rPr>
      </w:pPr>
      <w:r>
        <w:rPr>
          <w:rFonts w:ascii="Arial" w:hAnsi="Arial" w:cs="Arial"/>
          <w:b/>
          <w:sz w:val="26"/>
          <w:szCs w:val="26"/>
        </w:rPr>
        <w:t>SALA SUPERIOR DEL T</w:t>
      </w:r>
      <w:r w:rsidR="00DB2803">
        <w:rPr>
          <w:rFonts w:ascii="Arial" w:hAnsi="Arial" w:cs="Arial"/>
          <w:b/>
          <w:sz w:val="26"/>
          <w:szCs w:val="26"/>
        </w:rPr>
        <w:t>RIBUNAL DE JUSTICIA ADMINISTRAT</w:t>
      </w:r>
      <w:r>
        <w:rPr>
          <w:rFonts w:ascii="Arial" w:hAnsi="Arial" w:cs="Arial"/>
          <w:b/>
          <w:sz w:val="26"/>
          <w:szCs w:val="26"/>
        </w:rPr>
        <w:t>IVA DEL ESTADO DE OAXACA</w:t>
      </w:r>
      <w:r w:rsidR="00D16166" w:rsidRPr="00D16166">
        <w:rPr>
          <w:rFonts w:ascii="Arial" w:hAnsi="Arial" w:cs="Arial"/>
          <w:color w:val="FF0000"/>
          <w:sz w:val="26"/>
          <w:szCs w:val="26"/>
        </w:rPr>
        <w:t>.</w:t>
      </w:r>
    </w:p>
    <w:p w:rsidR="006B201F" w:rsidRDefault="006B201F" w:rsidP="006B201F">
      <w:pPr>
        <w:spacing w:after="0" w:line="36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D16166">
        <w:rPr>
          <w:rFonts w:ascii="Arial" w:hAnsi="Arial" w:cs="Arial"/>
          <w:b/>
          <w:sz w:val="26"/>
          <w:szCs w:val="26"/>
        </w:rPr>
        <w:t>0</w:t>
      </w:r>
      <w:r>
        <w:rPr>
          <w:rFonts w:ascii="Arial" w:hAnsi="Arial" w:cs="Arial"/>
          <w:b/>
          <w:sz w:val="26"/>
          <w:szCs w:val="26"/>
        </w:rPr>
        <w:t>231/2018</w:t>
      </w:r>
    </w:p>
    <w:p w:rsidR="006B201F" w:rsidRDefault="006B201F" w:rsidP="006B201F">
      <w:pPr>
        <w:spacing w:after="0" w:line="36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013/2017 TERCERA SALA UNITARIA DE PRIMERA INSTANCIA</w:t>
      </w:r>
    </w:p>
    <w:p w:rsidR="006B201F" w:rsidRDefault="006B201F" w:rsidP="006B201F">
      <w:pPr>
        <w:spacing w:line="360" w:lineRule="auto"/>
        <w:ind w:left="2124"/>
        <w:jc w:val="both"/>
        <w:rPr>
          <w:rFonts w:ascii="Arial" w:hAnsi="Arial" w:cs="Arial"/>
          <w:b/>
          <w:sz w:val="26"/>
          <w:szCs w:val="26"/>
        </w:rPr>
      </w:pPr>
      <w:r>
        <w:rPr>
          <w:rFonts w:ascii="Arial" w:hAnsi="Arial" w:cs="Arial"/>
          <w:b/>
          <w:sz w:val="26"/>
          <w:szCs w:val="26"/>
        </w:rPr>
        <w:t>PONENTE: MAGISTRADA MARÍA ELENA VILLA DE JARQUIN.</w:t>
      </w:r>
    </w:p>
    <w:p w:rsidR="006B201F" w:rsidRDefault="00DB2803" w:rsidP="006B201F">
      <w:pPr>
        <w:spacing w:after="0" w:line="360" w:lineRule="auto"/>
        <w:jc w:val="both"/>
        <w:rPr>
          <w:rFonts w:ascii="Arial" w:hAnsi="Arial" w:cs="Arial"/>
          <w:b/>
          <w:sz w:val="26"/>
          <w:szCs w:val="26"/>
        </w:rPr>
      </w:pPr>
      <w:r>
        <w:rPr>
          <w:rFonts w:ascii="Arial" w:hAnsi="Arial" w:cs="Arial"/>
          <w:b/>
          <w:sz w:val="26"/>
          <w:szCs w:val="26"/>
        </w:rPr>
        <w:t xml:space="preserve">OAXACA DE JUÁREZ, OAXACA, CATORCE </w:t>
      </w:r>
      <w:r w:rsidR="006B201F">
        <w:rPr>
          <w:rFonts w:ascii="Arial" w:hAnsi="Arial" w:cs="Arial"/>
          <w:b/>
          <w:sz w:val="26"/>
          <w:szCs w:val="26"/>
        </w:rPr>
        <w:t xml:space="preserve">DE </w:t>
      </w:r>
      <w:r w:rsidR="00B27ECD">
        <w:rPr>
          <w:rFonts w:ascii="Arial" w:hAnsi="Arial" w:cs="Arial"/>
          <w:b/>
          <w:sz w:val="26"/>
          <w:szCs w:val="26"/>
        </w:rPr>
        <w:t xml:space="preserve">NOVIEMBRE </w:t>
      </w:r>
      <w:r>
        <w:rPr>
          <w:rFonts w:ascii="Arial" w:hAnsi="Arial" w:cs="Arial"/>
          <w:b/>
          <w:sz w:val="26"/>
          <w:szCs w:val="26"/>
        </w:rPr>
        <w:t>DE DOS MIL DIECIOCHO.</w:t>
      </w:r>
    </w:p>
    <w:p w:rsidR="006B201F" w:rsidRDefault="006B201F" w:rsidP="006B201F">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D16166" w:rsidRPr="00D16166">
        <w:rPr>
          <w:rFonts w:ascii="Arial" w:hAnsi="Arial" w:cs="Arial"/>
          <w:b/>
          <w:sz w:val="26"/>
          <w:szCs w:val="26"/>
        </w:rPr>
        <w:t>0</w:t>
      </w:r>
      <w:r>
        <w:rPr>
          <w:rFonts w:ascii="Arial" w:hAnsi="Arial" w:cs="Arial"/>
          <w:b/>
          <w:sz w:val="26"/>
          <w:szCs w:val="26"/>
        </w:rPr>
        <w:t>231/2018</w:t>
      </w:r>
      <w:r>
        <w:rPr>
          <w:rFonts w:ascii="Arial" w:hAnsi="Arial" w:cs="Arial"/>
          <w:sz w:val="26"/>
          <w:szCs w:val="26"/>
        </w:rPr>
        <w:t xml:space="preserve">, que remite la Secretaría General de Acuerdos, con motivo del recurso de revisión interpuesto por </w:t>
      </w:r>
      <w:r>
        <w:rPr>
          <w:rFonts w:ascii="Arial" w:hAnsi="Arial" w:cs="Arial"/>
          <w:b/>
          <w:sz w:val="26"/>
          <w:szCs w:val="26"/>
        </w:rPr>
        <w:t xml:space="preserve">LICENCIADA TANIA GABRIEL UNDA MORENO CONTRALORA MUNICIPAL DE OAXACA DE JUÁREZ, </w:t>
      </w:r>
      <w:r>
        <w:rPr>
          <w:rFonts w:ascii="Arial" w:hAnsi="Arial" w:cs="Arial"/>
          <w:sz w:val="26"/>
          <w:szCs w:val="26"/>
        </w:rPr>
        <w:t xml:space="preserve">en contra de  la sentencia de </w:t>
      </w:r>
      <w:r w:rsidR="00DB2803">
        <w:rPr>
          <w:rFonts w:ascii="Arial" w:hAnsi="Arial" w:cs="Arial"/>
          <w:sz w:val="26"/>
          <w:szCs w:val="26"/>
        </w:rPr>
        <w:t>veintisiete de abril de</w:t>
      </w:r>
      <w:r w:rsidR="00B27ECD">
        <w:rPr>
          <w:rFonts w:ascii="Arial" w:hAnsi="Arial" w:cs="Arial"/>
          <w:sz w:val="26"/>
          <w:szCs w:val="26"/>
        </w:rPr>
        <w:t xml:space="preserve"> </w:t>
      </w:r>
      <w:r>
        <w:rPr>
          <w:rFonts w:ascii="Arial" w:hAnsi="Arial" w:cs="Arial"/>
          <w:sz w:val="26"/>
          <w:szCs w:val="26"/>
        </w:rPr>
        <w:t xml:space="preserve">dos mil dieciocho, dictada en el expediente </w:t>
      </w:r>
      <w:r>
        <w:rPr>
          <w:rFonts w:ascii="Arial" w:hAnsi="Arial" w:cs="Arial"/>
          <w:b/>
          <w:sz w:val="26"/>
          <w:szCs w:val="26"/>
        </w:rPr>
        <w:t>013/2017,</w:t>
      </w:r>
      <w:r>
        <w:rPr>
          <w:rFonts w:ascii="Arial" w:hAnsi="Arial" w:cs="Arial"/>
          <w:sz w:val="26"/>
          <w:szCs w:val="26"/>
        </w:rPr>
        <w:t xml:space="preserve"> de la Tercera Sala Unitaria de Primera Instancia, relativo al juicio de nulidad promovido por </w:t>
      </w:r>
      <w:r w:rsidR="00853DD9">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CONTRALOR MUNICIPAL DE OAXACA DE JUÁREZ</w:t>
      </w:r>
      <w:r w:rsidR="00B27ECD">
        <w:rPr>
          <w:rFonts w:ascii="Arial" w:hAnsi="Arial" w:cs="Arial"/>
          <w:b/>
          <w:sz w:val="26"/>
          <w:szCs w:val="26"/>
        </w:rPr>
        <w:t>, OAXACA</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vigente hasta el </w:t>
      </w:r>
      <w:r w:rsidR="00B27ECD">
        <w:rPr>
          <w:rFonts w:ascii="Arial" w:hAnsi="Arial" w:cs="Arial"/>
          <w:sz w:val="26"/>
          <w:szCs w:val="26"/>
        </w:rPr>
        <w:t>20</w:t>
      </w:r>
      <w:r>
        <w:rPr>
          <w:rFonts w:ascii="Arial" w:hAnsi="Arial" w:cs="Arial"/>
          <w:sz w:val="26"/>
          <w:szCs w:val="26"/>
        </w:rPr>
        <w:t xml:space="preserve"> veinte de octubre de </w:t>
      </w:r>
      <w:r w:rsidR="00B27ECD">
        <w:rPr>
          <w:rFonts w:ascii="Arial" w:hAnsi="Arial" w:cs="Arial"/>
          <w:sz w:val="26"/>
          <w:szCs w:val="26"/>
        </w:rPr>
        <w:t>2018</w:t>
      </w:r>
      <w:r>
        <w:rPr>
          <w:rFonts w:ascii="Arial" w:hAnsi="Arial" w:cs="Arial"/>
          <w:sz w:val="26"/>
          <w:szCs w:val="26"/>
        </w:rPr>
        <w:t xml:space="preserve"> dos mil diecisiete, se admite. En consecuencia, se procede a dictar resolución en los siguientes términos:</w:t>
      </w:r>
    </w:p>
    <w:p w:rsidR="006B201F" w:rsidRDefault="006B201F" w:rsidP="006B201F">
      <w:pPr>
        <w:spacing w:line="360" w:lineRule="auto"/>
        <w:jc w:val="center"/>
        <w:rPr>
          <w:rFonts w:ascii="Arial" w:hAnsi="Arial" w:cs="Arial"/>
          <w:b/>
          <w:bCs/>
          <w:sz w:val="26"/>
          <w:szCs w:val="26"/>
        </w:rPr>
      </w:pPr>
      <w:r>
        <w:rPr>
          <w:rFonts w:ascii="Arial" w:hAnsi="Arial" w:cs="Arial"/>
          <w:b/>
          <w:bCs/>
          <w:sz w:val="26"/>
          <w:szCs w:val="26"/>
        </w:rPr>
        <w:t xml:space="preserve">R E S U L T A N D O </w:t>
      </w:r>
    </w:p>
    <w:p w:rsidR="006B201F" w:rsidRDefault="006B201F" w:rsidP="006B201F">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veintisiete de abril de dos mil dieciocho, dictada por la Tercera Sala Unitaria de Primera Instancia, </w:t>
      </w:r>
      <w:r>
        <w:rPr>
          <w:rFonts w:ascii="Arial" w:hAnsi="Arial" w:cs="Arial"/>
          <w:b/>
          <w:sz w:val="26"/>
          <w:szCs w:val="26"/>
        </w:rPr>
        <w:t>LICENCIADA TANIA GABRIEL UNDA MORENO</w:t>
      </w:r>
      <w:r w:rsidR="00D16166">
        <w:rPr>
          <w:rFonts w:ascii="Arial" w:hAnsi="Arial" w:cs="Arial"/>
          <w:b/>
          <w:sz w:val="26"/>
          <w:szCs w:val="26"/>
        </w:rPr>
        <w:t>,</w:t>
      </w:r>
      <w:r>
        <w:rPr>
          <w:rFonts w:ascii="Arial" w:hAnsi="Arial" w:cs="Arial"/>
          <w:b/>
          <w:sz w:val="26"/>
          <w:szCs w:val="26"/>
        </w:rPr>
        <w:t xml:space="preserve"> CONTRALORA MUNICIPAL DE OAXACA DE JUÁREZ,</w:t>
      </w:r>
      <w:r>
        <w:rPr>
          <w:rFonts w:ascii="Arial" w:hAnsi="Arial" w:cs="Arial"/>
          <w:sz w:val="26"/>
          <w:szCs w:val="26"/>
        </w:rPr>
        <w:t xml:space="preserve"> interpuso en su contra recurso de revisión.</w:t>
      </w:r>
    </w:p>
    <w:p w:rsidR="006B201F" w:rsidRDefault="006B201F" w:rsidP="006B201F">
      <w:pPr>
        <w:spacing w:line="360" w:lineRule="auto"/>
        <w:ind w:firstLine="708"/>
        <w:jc w:val="both"/>
        <w:rPr>
          <w:rFonts w:ascii="Arial" w:hAnsi="Arial" w:cs="Arial"/>
          <w:sz w:val="26"/>
          <w:szCs w:val="26"/>
        </w:rPr>
      </w:pPr>
      <w:r>
        <w:rPr>
          <w:rFonts w:ascii="Arial" w:hAnsi="Arial" w:cs="Arial"/>
          <w:b/>
          <w:bCs/>
          <w:sz w:val="26"/>
          <w:szCs w:val="26"/>
        </w:rPr>
        <w:t xml:space="preserve">SEGUNDO. </w:t>
      </w:r>
      <w:r w:rsidR="00D16166">
        <w:rPr>
          <w:rFonts w:ascii="Arial" w:hAnsi="Arial" w:cs="Arial"/>
          <w:sz w:val="26"/>
          <w:szCs w:val="26"/>
        </w:rPr>
        <w:t xml:space="preserve">Los puntos resolutivos de la sentencia son </w:t>
      </w:r>
      <w:r>
        <w:rPr>
          <w:rFonts w:ascii="Arial" w:hAnsi="Arial" w:cs="Arial"/>
          <w:sz w:val="26"/>
          <w:szCs w:val="26"/>
        </w:rPr>
        <w:t>del tenor literal siguiente:</w:t>
      </w:r>
    </w:p>
    <w:p w:rsidR="006B201F" w:rsidRDefault="006B201F" w:rsidP="006B201F">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 xml:space="preserve">PRIMERO.- </w:t>
      </w:r>
      <w:r>
        <w:rPr>
          <w:rFonts w:ascii="Arial" w:eastAsia="Calibri" w:hAnsi="Arial" w:cs="Arial"/>
          <w:bCs/>
          <w:color w:val="000000" w:themeColor="text1"/>
        </w:rPr>
        <w:t xml:space="preserve">Esta Tercera Sala Unitaria de Primera Instancia del Tribunal de Justicia Administrativa del Estado, fue competente para conocer y resolver del presente asunto.- - - - - - - - - - - - - - - - </w:t>
      </w:r>
    </w:p>
    <w:p w:rsidR="00D16166" w:rsidRDefault="00D16166" w:rsidP="006B201F">
      <w:pPr>
        <w:spacing w:after="0" w:line="360" w:lineRule="auto"/>
        <w:ind w:left="1134" w:right="566"/>
        <w:jc w:val="both"/>
        <w:rPr>
          <w:rFonts w:ascii="Arial" w:eastAsia="Calibri" w:hAnsi="Arial" w:cs="Arial"/>
          <w:bCs/>
          <w:color w:val="000000" w:themeColor="text1"/>
        </w:rPr>
      </w:pPr>
    </w:p>
    <w:p w:rsidR="006B201F" w:rsidRDefault="006B201F" w:rsidP="006B201F">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SEGUNDO.</w:t>
      </w:r>
      <w:r>
        <w:rPr>
          <w:rFonts w:ascii="Arial" w:eastAsia="Calibri" w:hAnsi="Arial" w:cs="Arial"/>
          <w:bCs/>
          <w:color w:val="000000" w:themeColor="text1"/>
        </w:rPr>
        <w:t xml:space="preserve">- La personalidad de la parte actora quedó acredita en autos.- - - - - - - - - - - - - - - - - - - - - - - - - - - - - - - - - - - - - - - - - - - - </w:t>
      </w:r>
    </w:p>
    <w:p w:rsidR="006B201F" w:rsidRDefault="006B201F" w:rsidP="006B201F">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TERCERO.</w:t>
      </w:r>
      <w:r>
        <w:rPr>
          <w:rFonts w:ascii="Arial" w:eastAsia="Calibri" w:hAnsi="Arial" w:cs="Arial"/>
          <w:bCs/>
          <w:color w:val="000000" w:themeColor="text1"/>
        </w:rPr>
        <w:t xml:space="preserve">- Se </w:t>
      </w:r>
      <w:r>
        <w:rPr>
          <w:rFonts w:ascii="Arial" w:eastAsia="Calibri" w:hAnsi="Arial" w:cs="Arial"/>
          <w:b/>
          <w:bCs/>
          <w:color w:val="000000" w:themeColor="text1"/>
        </w:rPr>
        <w:t>SOBRESEE</w:t>
      </w:r>
      <w:r>
        <w:rPr>
          <w:rFonts w:ascii="Arial" w:eastAsia="Calibri" w:hAnsi="Arial" w:cs="Arial"/>
          <w:bCs/>
          <w:color w:val="000000" w:themeColor="text1"/>
        </w:rPr>
        <w:t xml:space="preserve"> en el presente juicio, con fundamento en el último considerando.- - - - - - - - - - - - - - - - - - - - - - - - - - - - - - </w:t>
      </w:r>
    </w:p>
    <w:p w:rsidR="00D16166" w:rsidRDefault="00D16166" w:rsidP="006B201F">
      <w:pPr>
        <w:spacing w:after="0" w:line="360" w:lineRule="auto"/>
        <w:ind w:left="1134" w:right="566"/>
        <w:jc w:val="both"/>
        <w:rPr>
          <w:rFonts w:ascii="Arial" w:eastAsia="Calibri" w:hAnsi="Arial" w:cs="Arial"/>
          <w:bCs/>
          <w:color w:val="000000" w:themeColor="text1"/>
        </w:rPr>
      </w:pPr>
    </w:p>
    <w:p w:rsidR="006B201F" w:rsidRDefault="006B201F" w:rsidP="006B201F">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CUARTO.</w:t>
      </w:r>
      <w:r>
        <w:rPr>
          <w:rFonts w:ascii="Arial" w:eastAsia="Calibri" w:hAnsi="Arial" w:cs="Arial"/>
          <w:bCs/>
          <w:color w:val="000000" w:themeColor="text1"/>
        </w:rPr>
        <w:t xml:space="preserve">- Se tiene por recibido en la Oficialía de Partes Común de este Tribunal, el 16 dieciséis de octubre de 2017 dos mil diecisiete, el oficio CM/DRSP/1713/2017, de la Contralora Municipal de Oaxaca de Juárez; téngase a la citada autoridad señalando nuevo domicilio para oír y recibir notificaciones.- - - - - - </w:t>
      </w:r>
    </w:p>
    <w:p w:rsidR="00D16166" w:rsidRDefault="00D16166" w:rsidP="006B201F">
      <w:pPr>
        <w:spacing w:after="0" w:line="360" w:lineRule="auto"/>
        <w:ind w:left="1134" w:right="566"/>
        <w:jc w:val="both"/>
        <w:rPr>
          <w:rFonts w:ascii="Arial" w:eastAsia="Calibri" w:hAnsi="Arial" w:cs="Arial"/>
          <w:bCs/>
          <w:color w:val="000000" w:themeColor="text1"/>
        </w:rPr>
      </w:pPr>
    </w:p>
    <w:p w:rsidR="006B201F" w:rsidRDefault="006B201F" w:rsidP="006B201F">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QUINTO.</w:t>
      </w:r>
      <w:r>
        <w:rPr>
          <w:rFonts w:ascii="Arial" w:eastAsia="Calibri" w:hAnsi="Arial" w:cs="Arial"/>
          <w:bCs/>
          <w:color w:val="000000" w:themeColor="text1"/>
        </w:rPr>
        <w:t xml:space="preserve">- Agréguese a los autos, el oficio TJAO/SGA/662/2018, emitido por la Secretaría General de Acuerdos de este Tribunal, por el cual remite copias certificadas de la resolución de fecha 1 uno de diciembre de 2017 dos mil diecisiete, emitida por la Sala Superior, en el recurso de revisión 520/2017, que desecha por improcedente el medio de defensa, interpuesto por la autoridad demandada, en contra del acuerdo de 7 siete de abril del 2017 dos mil diecisiete.- - </w:t>
      </w:r>
      <w:r w:rsidR="00D16166">
        <w:rPr>
          <w:rFonts w:ascii="Arial" w:eastAsia="Calibri" w:hAnsi="Arial" w:cs="Arial"/>
          <w:bCs/>
          <w:color w:val="000000" w:themeColor="text1"/>
        </w:rPr>
        <w:t>- - - - - - - - - - - - - - - - - - - - - - - - - - - - - - - - - - -</w:t>
      </w:r>
    </w:p>
    <w:p w:rsidR="00D16166" w:rsidRDefault="00D16166" w:rsidP="006B201F">
      <w:pPr>
        <w:spacing w:after="0" w:line="360" w:lineRule="auto"/>
        <w:ind w:left="1134" w:right="566"/>
        <w:jc w:val="both"/>
        <w:rPr>
          <w:rFonts w:ascii="Arial" w:eastAsia="Calibri" w:hAnsi="Arial" w:cs="Arial"/>
          <w:bCs/>
          <w:color w:val="000000" w:themeColor="text1"/>
        </w:rPr>
      </w:pPr>
    </w:p>
    <w:p w:rsidR="006B201F" w:rsidRDefault="006B201F" w:rsidP="006B201F">
      <w:pPr>
        <w:spacing w:after="0" w:line="360" w:lineRule="auto"/>
        <w:ind w:left="1134" w:right="566"/>
        <w:jc w:val="both"/>
        <w:rPr>
          <w:rFonts w:ascii="Arial" w:eastAsia="Calibri" w:hAnsi="Arial" w:cs="Arial"/>
          <w:b/>
          <w:bCs/>
          <w:color w:val="000000" w:themeColor="text1"/>
        </w:rPr>
      </w:pPr>
      <w:r>
        <w:rPr>
          <w:rFonts w:ascii="Arial" w:eastAsia="Calibri" w:hAnsi="Arial" w:cs="Arial"/>
          <w:b/>
          <w:bCs/>
          <w:color w:val="000000" w:themeColor="text1"/>
        </w:rPr>
        <w:t>SEXTO.</w:t>
      </w:r>
      <w:r>
        <w:rPr>
          <w:rFonts w:ascii="Arial" w:eastAsia="Calibri" w:hAnsi="Arial" w:cs="Arial"/>
          <w:bCs/>
          <w:color w:val="000000" w:themeColor="text1"/>
        </w:rPr>
        <w:t xml:space="preserve">- Conforme a lo dispuesto en los artículos 142, fracción I, y 143, fracciones I y II, de la Ley de Justicia Administrativa para el Estado, (norma vigente al inicio del presente juicio), </w:t>
      </w:r>
      <w:r>
        <w:rPr>
          <w:rFonts w:ascii="Arial" w:eastAsia="Calibri" w:hAnsi="Arial" w:cs="Arial"/>
          <w:b/>
          <w:bCs/>
          <w:color w:val="000000" w:themeColor="text1"/>
        </w:rPr>
        <w:t xml:space="preserve">NOTIFÍQUESE PERSONALMENTE A LA PARTE ACTORA Y POR OFICIO A LA AUTORIDAD DEMANDADA. CÚMPLASE.- - - </w:t>
      </w:r>
      <w:r w:rsidR="00D16166">
        <w:rPr>
          <w:rFonts w:ascii="Arial" w:eastAsia="Calibri" w:hAnsi="Arial" w:cs="Arial"/>
          <w:b/>
          <w:bCs/>
          <w:color w:val="000000" w:themeColor="text1"/>
        </w:rPr>
        <w:t>…”</w:t>
      </w:r>
    </w:p>
    <w:p w:rsidR="006B201F" w:rsidRDefault="006B201F" w:rsidP="006B201F">
      <w:pPr>
        <w:spacing w:after="0" w:line="360" w:lineRule="auto"/>
        <w:ind w:left="1134" w:right="566"/>
        <w:jc w:val="both"/>
        <w:rPr>
          <w:rFonts w:ascii="Arial" w:eastAsia="Calibri" w:hAnsi="Arial" w:cs="Arial"/>
          <w:b/>
          <w:bCs/>
          <w:color w:val="000000" w:themeColor="text1"/>
        </w:rPr>
      </w:pPr>
    </w:p>
    <w:p w:rsidR="006B201F" w:rsidRDefault="006B201F" w:rsidP="006B201F">
      <w:pPr>
        <w:spacing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B27ECD" w:rsidRDefault="00B27ECD" w:rsidP="006F653A">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20 veinte de octubre de 2017 dos mil diecisiete,</w:t>
      </w:r>
      <w:r>
        <w:rPr>
          <w:rFonts w:ascii="Arial" w:hAnsi="Arial" w:cs="Arial"/>
          <w:sz w:val="26"/>
          <w:szCs w:val="26"/>
        </w:rPr>
        <w:t xml:space="preserve"> </w:t>
      </w:r>
      <w:r>
        <w:rPr>
          <w:rFonts w:ascii="Arial" w:hAnsi="Arial" w:cs="Arial"/>
          <w:bCs/>
          <w:iCs/>
          <w:sz w:val="26"/>
          <w:szCs w:val="26"/>
        </w:rPr>
        <w:t>dado que se trata de un Recurso de Revisión interpuesto en contra de la sentencia de veintisiete de abril de dos mil dieciocho</w:t>
      </w:r>
      <w:r w:rsidRPr="00392335">
        <w:rPr>
          <w:rFonts w:ascii="Arial" w:hAnsi="Arial" w:cs="Arial"/>
          <w:bCs/>
          <w:iCs/>
          <w:sz w:val="26"/>
          <w:szCs w:val="26"/>
        </w:rPr>
        <w:t xml:space="preserve">, </w:t>
      </w:r>
      <w:r w:rsidR="00DB2803">
        <w:rPr>
          <w:rFonts w:ascii="Arial" w:hAnsi="Arial" w:cs="Arial"/>
          <w:bCs/>
          <w:iCs/>
          <w:sz w:val="26"/>
          <w:szCs w:val="26"/>
        </w:rPr>
        <w:t xml:space="preserve">dictado por la Tercera </w:t>
      </w:r>
      <w:r>
        <w:rPr>
          <w:rFonts w:ascii="Arial" w:hAnsi="Arial" w:cs="Arial"/>
          <w:bCs/>
          <w:iCs/>
          <w:sz w:val="26"/>
          <w:szCs w:val="26"/>
        </w:rPr>
        <w:t xml:space="preserve">Sala Unitaria de Primera Instancia, en el expediente </w:t>
      </w:r>
      <w:r>
        <w:rPr>
          <w:rFonts w:ascii="Arial" w:hAnsi="Arial" w:cs="Arial"/>
          <w:b/>
          <w:bCs/>
          <w:iCs/>
          <w:sz w:val="26"/>
          <w:szCs w:val="26"/>
        </w:rPr>
        <w:t>013/2017.</w:t>
      </w:r>
    </w:p>
    <w:p w:rsidR="006B201F" w:rsidRPr="006F653A" w:rsidRDefault="006B201F" w:rsidP="006F653A">
      <w:pPr>
        <w:spacing w:before="240" w:line="360" w:lineRule="auto"/>
        <w:ind w:firstLine="708"/>
        <w:jc w:val="both"/>
        <w:rPr>
          <w:rFonts w:ascii="Arial" w:hAnsi="Arial" w:cs="Arial"/>
          <w:bCs/>
          <w:color w:val="000000"/>
          <w:sz w:val="26"/>
          <w:szCs w:val="26"/>
          <w:lang w:val="es-MX"/>
        </w:rPr>
      </w:pPr>
      <w:r>
        <w:rPr>
          <w:rFonts w:ascii="Arial" w:hAnsi="Arial" w:cs="Arial"/>
          <w:b/>
          <w:bCs/>
          <w:sz w:val="26"/>
          <w:szCs w:val="26"/>
        </w:rPr>
        <w:t>SEGUNDO.</w:t>
      </w:r>
      <w:r>
        <w:rPr>
          <w:rFonts w:ascii="Arial" w:hAnsi="Arial" w:cs="Arial"/>
          <w:bCs/>
          <w:sz w:val="26"/>
          <w:szCs w:val="26"/>
        </w:rPr>
        <w:t xml:space="preserve"> </w:t>
      </w:r>
      <w:r>
        <w:rPr>
          <w:rFonts w:ascii="Arial" w:hAnsi="Arial" w:cs="Arial"/>
          <w:bCs/>
          <w:color w:val="000000"/>
          <w:sz w:val="26"/>
          <w:szCs w:val="26"/>
          <w:lang w:val="es-MX"/>
        </w:rPr>
        <w:t xml:space="preserve">De las constancias que integran el expediente principal, así como del cuaderno del presente recurso de revisión, a las que se les otorga pleno valor probatorio conforme a lo dispuesto por el artículo 173, fracción I, de la </w:t>
      </w:r>
      <w:r w:rsidR="00DB2803">
        <w:rPr>
          <w:rFonts w:ascii="Arial" w:hAnsi="Arial" w:cs="Arial"/>
          <w:bCs/>
          <w:color w:val="000000"/>
          <w:sz w:val="26"/>
          <w:szCs w:val="26"/>
          <w:lang w:val="es-MX"/>
        </w:rPr>
        <w:t xml:space="preserve">reformada </w:t>
      </w:r>
      <w:r>
        <w:rPr>
          <w:rFonts w:ascii="Arial" w:hAnsi="Arial" w:cs="Arial"/>
          <w:bCs/>
          <w:color w:val="000000"/>
          <w:sz w:val="26"/>
          <w:szCs w:val="26"/>
          <w:lang w:val="es-MX"/>
        </w:rPr>
        <w:t xml:space="preserve">Ley de Justicia Administrativa </w:t>
      </w:r>
      <w:r>
        <w:rPr>
          <w:rFonts w:ascii="Arial" w:hAnsi="Arial" w:cs="Arial"/>
          <w:bCs/>
          <w:color w:val="000000"/>
          <w:sz w:val="26"/>
          <w:szCs w:val="26"/>
          <w:lang w:val="es-MX"/>
        </w:rPr>
        <w:lastRenderedPageBreak/>
        <w:t xml:space="preserve">para el Estado de Oaxaca, por tratarse de actuaciones judiciales, se advierte que: </w:t>
      </w:r>
      <w:r>
        <w:rPr>
          <w:rFonts w:ascii="Arial" w:hAnsi="Arial" w:cs="Arial"/>
          <w:b/>
          <w:color w:val="000000"/>
          <w:sz w:val="26"/>
          <w:szCs w:val="26"/>
          <w:lang w:val="es-MX"/>
        </w:rPr>
        <w:t>LICENCIADA TANIA GABRIEL UNDA MORENO CONTRALORA MUNICIPAL DE OAXACA DE JUAREZ</w:t>
      </w:r>
      <w:r>
        <w:rPr>
          <w:rFonts w:ascii="Arial" w:hAnsi="Arial" w:cs="Arial"/>
          <w:sz w:val="26"/>
          <w:szCs w:val="26"/>
        </w:rPr>
        <w:t xml:space="preserve">, </w:t>
      </w:r>
      <w:r>
        <w:rPr>
          <w:rFonts w:ascii="Arial" w:hAnsi="Arial" w:cs="Arial"/>
          <w:color w:val="000000"/>
          <w:sz w:val="26"/>
          <w:szCs w:val="26"/>
          <w:lang w:val="es-MX"/>
        </w:rPr>
        <w:t xml:space="preserve">presentó el escrito del recurso de revisión en contra de la sentencia de </w:t>
      </w:r>
      <w:r w:rsidR="006F653A">
        <w:rPr>
          <w:rFonts w:ascii="Arial" w:hAnsi="Arial" w:cs="Arial"/>
          <w:color w:val="000000"/>
          <w:sz w:val="26"/>
          <w:szCs w:val="26"/>
          <w:lang w:val="es-MX"/>
        </w:rPr>
        <w:t xml:space="preserve"> veintisiete de abril de</w:t>
      </w:r>
      <w:r w:rsidR="007C5C6A">
        <w:rPr>
          <w:rFonts w:ascii="Arial" w:hAnsi="Arial" w:cs="Arial"/>
          <w:color w:val="000000"/>
          <w:sz w:val="26"/>
          <w:szCs w:val="26"/>
          <w:lang w:val="es-MX"/>
        </w:rPr>
        <w:t xml:space="preserve"> dos mil dieciocho</w:t>
      </w:r>
      <w:r>
        <w:rPr>
          <w:rFonts w:ascii="Arial" w:hAnsi="Arial" w:cs="Arial"/>
          <w:color w:val="000000"/>
          <w:sz w:val="26"/>
          <w:szCs w:val="26"/>
          <w:lang w:val="es-MX"/>
        </w:rPr>
        <w:t>, el cual fue recibid</w:t>
      </w:r>
      <w:r w:rsidR="007C5C6A">
        <w:rPr>
          <w:rFonts w:ascii="Arial" w:hAnsi="Arial" w:cs="Arial"/>
          <w:color w:val="000000"/>
          <w:sz w:val="26"/>
          <w:szCs w:val="26"/>
          <w:lang w:val="es-MX"/>
        </w:rPr>
        <w:t xml:space="preserve">o en la Oficialía de Partes el </w:t>
      </w:r>
      <w:r>
        <w:rPr>
          <w:rFonts w:ascii="Arial" w:hAnsi="Arial" w:cs="Arial"/>
          <w:color w:val="000000"/>
          <w:sz w:val="26"/>
          <w:szCs w:val="26"/>
          <w:lang w:val="es-MX"/>
        </w:rPr>
        <w:t>ocho de junio de  dos mil dieciocho.</w:t>
      </w:r>
    </w:p>
    <w:p w:rsidR="006B201F" w:rsidRDefault="006B201F" w:rsidP="006B201F">
      <w:pPr>
        <w:spacing w:line="360" w:lineRule="auto"/>
        <w:jc w:val="both"/>
        <w:rPr>
          <w:rFonts w:ascii="Arial" w:hAnsi="Arial" w:cs="Arial"/>
          <w:color w:val="000000"/>
          <w:sz w:val="26"/>
          <w:szCs w:val="26"/>
          <w:lang w:val="es-MX"/>
        </w:rPr>
      </w:pPr>
      <w:r>
        <w:rPr>
          <w:rFonts w:ascii="Arial" w:hAnsi="Arial" w:cs="Arial"/>
          <w:color w:val="000000"/>
          <w:sz w:val="26"/>
          <w:szCs w:val="26"/>
          <w:lang w:val="es-MX"/>
        </w:rPr>
        <w:tab/>
        <w:t>Ahora, el artículo 207 de la Ley de Justicia Administrativa para el Estado de Oaxaca, establece:</w:t>
      </w:r>
    </w:p>
    <w:p w:rsidR="006B201F" w:rsidRDefault="006B201F" w:rsidP="006B201F">
      <w:pPr>
        <w:tabs>
          <w:tab w:val="left" w:pos="7938"/>
        </w:tabs>
        <w:spacing w:before="240"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ARTÍCULO 207</w:t>
      </w:r>
      <w:r>
        <w:rPr>
          <w:rFonts w:ascii="Arial" w:hAnsi="Arial" w:cs="Arial"/>
          <w:color w:val="000000"/>
          <w:sz w:val="20"/>
          <w:szCs w:val="20"/>
          <w:lang w:val="es-MX"/>
        </w:rPr>
        <w:t>.- El recurso de revisión se presentará por escrito con expresión de agravios ante el Juzgado que dictó el acuerdo o resolución que se impugna, dentro de los cinco días siguientes a la notificación de la resolución recurrida.”</w:t>
      </w:r>
    </w:p>
    <w:p w:rsidR="006B201F" w:rsidRDefault="006B201F" w:rsidP="006B201F">
      <w:pPr>
        <w:spacing w:before="240" w:after="0" w:line="360" w:lineRule="auto"/>
        <w:ind w:right="476"/>
        <w:jc w:val="both"/>
        <w:rPr>
          <w:rFonts w:ascii="Arial" w:hAnsi="Arial" w:cs="Arial"/>
          <w:color w:val="000000"/>
          <w:sz w:val="26"/>
          <w:szCs w:val="26"/>
          <w:lang w:val="es-MX"/>
        </w:rPr>
      </w:pPr>
      <w:r>
        <w:rPr>
          <w:rFonts w:ascii="Arial" w:hAnsi="Arial" w:cs="Arial"/>
          <w:color w:val="000000"/>
          <w:sz w:val="26"/>
          <w:szCs w:val="26"/>
          <w:lang w:val="es-MX"/>
        </w:rPr>
        <w:t xml:space="preserve"> </w:t>
      </w:r>
      <w:r>
        <w:rPr>
          <w:rFonts w:ascii="Arial" w:hAnsi="Arial" w:cs="Arial"/>
          <w:color w:val="000000"/>
          <w:sz w:val="26"/>
          <w:szCs w:val="26"/>
          <w:lang w:val="es-MX"/>
        </w:rPr>
        <w:tab/>
        <w:t>Y, el diverso artículo 140, segundo párrafo de la citada Ley, señala:</w:t>
      </w:r>
    </w:p>
    <w:p w:rsidR="006B201F" w:rsidRDefault="006B201F" w:rsidP="006B201F">
      <w:pPr>
        <w:tabs>
          <w:tab w:val="left" w:pos="7938"/>
        </w:tabs>
        <w:spacing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ARTÍCULO 140</w:t>
      </w:r>
      <w:r>
        <w:rPr>
          <w:rFonts w:ascii="Arial" w:hAnsi="Arial" w:cs="Arial"/>
          <w:color w:val="000000"/>
          <w:sz w:val="20"/>
          <w:szCs w:val="20"/>
          <w:lang w:val="es-MX"/>
        </w:rPr>
        <w:t>.-…</w:t>
      </w:r>
    </w:p>
    <w:p w:rsidR="006B201F" w:rsidRDefault="006B201F" w:rsidP="006B201F">
      <w:pPr>
        <w:tabs>
          <w:tab w:val="left" w:pos="7938"/>
        </w:tabs>
        <w:spacing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Las notificaciones surtirán sus efectos el día hábil siguiente de aquel en que se realicen.”</w:t>
      </w:r>
    </w:p>
    <w:p w:rsidR="006B201F" w:rsidRDefault="006B201F" w:rsidP="006B201F">
      <w:pPr>
        <w:spacing w:before="240" w:after="0" w:line="360" w:lineRule="auto"/>
        <w:jc w:val="both"/>
        <w:rPr>
          <w:rFonts w:ascii="Arial" w:eastAsia="Calibri" w:hAnsi="Arial" w:cs="Arial"/>
          <w:color w:val="000000"/>
          <w:sz w:val="26"/>
          <w:szCs w:val="26"/>
          <w:lang w:val="es-MX"/>
        </w:rPr>
      </w:pPr>
      <w:r>
        <w:rPr>
          <w:rFonts w:ascii="Arial" w:hAnsi="Arial" w:cs="Arial"/>
          <w:color w:val="000000"/>
          <w:sz w:val="26"/>
          <w:szCs w:val="26"/>
          <w:lang w:val="es-MX"/>
        </w:rPr>
        <w:tab/>
        <w:t>Así, se tiene que dicha resolución le fue notificada el 22 de mayo de 2018 dos mil dieciocho, como consta en diligencia de notificación correspondiente (folio 97</w:t>
      </w:r>
      <w:r w:rsidR="00D75008">
        <w:rPr>
          <w:rFonts w:ascii="Arial" w:hAnsi="Arial" w:cs="Arial"/>
          <w:color w:val="000000"/>
          <w:sz w:val="26"/>
          <w:szCs w:val="26"/>
          <w:lang w:val="es-MX"/>
        </w:rPr>
        <w:t>), y surtiendo efectos el 23</w:t>
      </w:r>
      <w:r>
        <w:rPr>
          <w:rFonts w:ascii="Arial" w:hAnsi="Arial" w:cs="Arial"/>
          <w:color w:val="000000"/>
          <w:sz w:val="26"/>
          <w:szCs w:val="26"/>
          <w:lang w:val="es-MX"/>
        </w:rPr>
        <w:t xml:space="preserve"> </w:t>
      </w:r>
      <w:r w:rsidR="00D75008">
        <w:rPr>
          <w:rFonts w:ascii="Arial" w:hAnsi="Arial" w:cs="Arial"/>
          <w:color w:val="000000"/>
          <w:sz w:val="26"/>
          <w:szCs w:val="26"/>
          <w:lang w:val="es-MX"/>
        </w:rPr>
        <w:t>veintitrés</w:t>
      </w:r>
      <w:r w:rsidR="006F653A">
        <w:rPr>
          <w:rFonts w:ascii="Arial" w:hAnsi="Arial" w:cs="Arial"/>
          <w:color w:val="000000"/>
          <w:sz w:val="26"/>
          <w:szCs w:val="26"/>
          <w:lang w:val="es-MX"/>
        </w:rPr>
        <w:t xml:space="preserve"> de mayo del </w:t>
      </w:r>
      <w:r w:rsidR="00D75008">
        <w:rPr>
          <w:rFonts w:ascii="Arial" w:hAnsi="Arial" w:cs="Arial"/>
          <w:color w:val="000000"/>
          <w:sz w:val="26"/>
          <w:szCs w:val="26"/>
          <w:lang w:val="es-MX"/>
        </w:rPr>
        <w:t xml:space="preserve">presente </w:t>
      </w:r>
      <w:r w:rsidR="006F653A">
        <w:rPr>
          <w:rFonts w:ascii="Arial" w:hAnsi="Arial" w:cs="Arial"/>
          <w:color w:val="000000"/>
          <w:sz w:val="26"/>
          <w:szCs w:val="26"/>
          <w:lang w:val="es-MX"/>
        </w:rPr>
        <w:t>año, d</w:t>
      </w:r>
      <w:r>
        <w:rPr>
          <w:rFonts w:ascii="Arial" w:hAnsi="Arial" w:cs="Arial"/>
          <w:color w:val="000000"/>
          <w:sz w:val="26"/>
          <w:szCs w:val="26"/>
          <w:lang w:val="es-MX"/>
        </w:rPr>
        <w:t xml:space="preserve">el día hábil siguiente a la realización de la referida notificación, por lo que el plazo aludido transcurrió del </w:t>
      </w:r>
      <w:r w:rsidRPr="001E3385">
        <w:rPr>
          <w:rFonts w:ascii="Arial" w:hAnsi="Arial" w:cs="Arial"/>
          <w:b/>
          <w:color w:val="000000"/>
          <w:sz w:val="26"/>
          <w:szCs w:val="26"/>
          <w:lang w:val="es-MX"/>
        </w:rPr>
        <w:t>24 veinticuatro de mayo de 2018 dos mil dieciocho al 30 treinta de mayo del 2018 dos mil dieciocho,</w:t>
      </w:r>
      <w:r>
        <w:rPr>
          <w:rFonts w:ascii="Arial" w:hAnsi="Arial" w:cs="Arial"/>
          <w:color w:val="000000"/>
          <w:sz w:val="26"/>
          <w:szCs w:val="26"/>
          <w:lang w:val="es-MX"/>
        </w:rPr>
        <w:t xml:space="preserve"> descontándose los días del 26 y 27 de mayo, </w:t>
      </w:r>
      <w:r>
        <w:rPr>
          <w:rFonts w:ascii="Arial" w:eastAsia="Calibri" w:hAnsi="Arial" w:cs="Arial"/>
          <w:color w:val="000000"/>
          <w:sz w:val="26"/>
          <w:szCs w:val="26"/>
          <w:lang w:val="es-MX"/>
        </w:rPr>
        <w:t>por corresponder a días inhábiles; lo anterior, conforme  a lo dispuesto en los artículos 135 y 138 de la Ley de Justicia Administrativa para el Estado de Oaxaca, los cuales establecen:</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ARTICULO 135</w:t>
      </w:r>
      <w:r>
        <w:rPr>
          <w:rFonts w:ascii="Arial" w:hAnsi="Arial" w:cs="Arial"/>
          <w:color w:val="000000"/>
          <w:sz w:val="20"/>
          <w:szCs w:val="20"/>
          <w:lang w:val="es-MX"/>
        </w:rPr>
        <w:t>.- Son días hábiles para la promoción, substanciación y resolución del juicio contencioso administrativo, todos los días del año, con exclusión de los sábados y domingos, así como los señalados en el calendario oficial del Tribunal.”</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w:t>
      </w:r>
      <w:r>
        <w:rPr>
          <w:rFonts w:ascii="Arial" w:hAnsi="Arial" w:cs="Arial"/>
          <w:b/>
          <w:color w:val="000000"/>
          <w:sz w:val="20"/>
          <w:szCs w:val="20"/>
          <w:lang w:val="es-MX"/>
        </w:rPr>
        <w:t>ARTICULO 138</w:t>
      </w:r>
      <w:r>
        <w:rPr>
          <w:rFonts w:ascii="Arial" w:hAnsi="Arial" w:cs="Arial"/>
          <w:color w:val="000000"/>
          <w:sz w:val="20"/>
          <w:szCs w:val="20"/>
          <w:lang w:val="es-MX"/>
        </w:rPr>
        <w:t>.- Los plazos serán improrrogables y su cómputo se sujetará a las reglas siguientes:</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I. Empezarán a correr a partir del día siguiente a aquél en que surta efectos la notificación y se incluirá en ellos el día del vencimiento, y</w:t>
      </w:r>
    </w:p>
    <w:p w:rsidR="006B201F" w:rsidRDefault="006B201F" w:rsidP="006B201F">
      <w:pPr>
        <w:spacing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II. Los plazos se contarán por días hábiles.”</w:t>
      </w:r>
    </w:p>
    <w:p w:rsidR="006B201F" w:rsidRDefault="006B201F" w:rsidP="006B201F">
      <w:pPr>
        <w:spacing w:after="0" w:line="360" w:lineRule="auto"/>
        <w:ind w:left="1134" w:right="616"/>
        <w:jc w:val="both"/>
        <w:rPr>
          <w:rFonts w:ascii="Arial" w:hAnsi="Arial" w:cs="Arial"/>
          <w:color w:val="000000"/>
          <w:sz w:val="20"/>
          <w:szCs w:val="20"/>
          <w:lang w:val="es-MX"/>
        </w:rPr>
      </w:pPr>
    </w:p>
    <w:p w:rsidR="006B201F" w:rsidRDefault="006B201F" w:rsidP="006B201F">
      <w:pPr>
        <w:spacing w:after="0" w:line="360" w:lineRule="auto"/>
        <w:ind w:left="1134" w:right="616"/>
        <w:jc w:val="both"/>
        <w:rPr>
          <w:rFonts w:ascii="Arial" w:hAnsi="Arial" w:cs="Arial"/>
          <w:color w:val="000000"/>
          <w:sz w:val="20"/>
          <w:szCs w:val="20"/>
          <w:lang w:val="es-MX"/>
        </w:rPr>
      </w:pPr>
    </w:p>
    <w:p w:rsidR="00B27ECD" w:rsidRDefault="006B201F" w:rsidP="006B201F">
      <w:pPr>
        <w:widowControl w:val="0"/>
        <w:tabs>
          <w:tab w:val="left" w:pos="7938"/>
          <w:tab w:val="left" w:pos="8222"/>
        </w:tabs>
        <w:spacing w:after="0" w:line="360" w:lineRule="auto"/>
        <w:ind w:right="49"/>
        <w:jc w:val="both"/>
        <w:rPr>
          <w:rFonts w:ascii="Arial" w:hAnsi="Arial" w:cs="Arial"/>
          <w:b/>
          <w:color w:val="000000"/>
          <w:sz w:val="26"/>
          <w:szCs w:val="26"/>
          <w:lang w:val="es-MX"/>
        </w:rPr>
      </w:pPr>
      <w:r>
        <w:rPr>
          <w:rFonts w:ascii="Arial" w:hAnsi="Arial" w:cs="Arial"/>
          <w:color w:val="000000"/>
          <w:sz w:val="26"/>
          <w:szCs w:val="26"/>
          <w:lang w:val="es-MX"/>
        </w:rPr>
        <w:t xml:space="preserve">            Por tanto, al haberse presentado el escrito del recurso de </w:t>
      </w:r>
      <w:r>
        <w:rPr>
          <w:rFonts w:ascii="Arial" w:hAnsi="Arial" w:cs="Arial"/>
          <w:color w:val="000000"/>
          <w:sz w:val="26"/>
          <w:szCs w:val="26"/>
          <w:lang w:val="es-MX"/>
        </w:rPr>
        <w:lastRenderedPageBreak/>
        <w:t xml:space="preserve">revisión el </w:t>
      </w:r>
      <w:r w:rsidRPr="007664C6">
        <w:rPr>
          <w:rFonts w:ascii="Arial" w:hAnsi="Arial" w:cs="Arial"/>
          <w:color w:val="000000"/>
          <w:sz w:val="26"/>
          <w:szCs w:val="26"/>
          <w:lang w:val="es-MX"/>
        </w:rPr>
        <w:t>ocho de junio de dos</w:t>
      </w:r>
      <w:r>
        <w:rPr>
          <w:rFonts w:ascii="Arial" w:hAnsi="Arial" w:cs="Arial"/>
          <w:color w:val="000000"/>
          <w:sz w:val="26"/>
          <w:szCs w:val="26"/>
          <w:lang w:val="es-MX"/>
        </w:rPr>
        <w:t xml:space="preserve"> mil dieciocho, como consta del sello de recepción de la Oficialía de Partes de este Tribunal, es evidente que se realizó fuera del plazo, que dispone el artículo 207 de la Ley en comento, lo que impone </w:t>
      </w:r>
      <w:r>
        <w:rPr>
          <w:rFonts w:ascii="Arial" w:hAnsi="Arial" w:cs="Arial"/>
          <w:b/>
          <w:color w:val="000000"/>
          <w:sz w:val="26"/>
          <w:szCs w:val="26"/>
          <w:lang w:val="es-MX"/>
        </w:rPr>
        <w:t>DESECHARLO</w:t>
      </w:r>
      <w:r>
        <w:rPr>
          <w:rFonts w:ascii="Arial" w:hAnsi="Arial" w:cs="Arial"/>
          <w:color w:val="000000"/>
          <w:sz w:val="26"/>
          <w:szCs w:val="26"/>
          <w:lang w:val="es-MX"/>
        </w:rPr>
        <w:t xml:space="preserve"> por </w:t>
      </w:r>
      <w:r>
        <w:rPr>
          <w:rFonts w:ascii="Arial" w:hAnsi="Arial" w:cs="Arial"/>
          <w:b/>
          <w:color w:val="000000"/>
          <w:sz w:val="26"/>
          <w:szCs w:val="26"/>
          <w:lang w:val="es-MX"/>
        </w:rPr>
        <w:t xml:space="preserve">EXTEMPORÁNEO. </w:t>
      </w:r>
    </w:p>
    <w:p w:rsidR="00B27ECD" w:rsidRDefault="00B27ECD" w:rsidP="006B201F">
      <w:pPr>
        <w:widowControl w:val="0"/>
        <w:tabs>
          <w:tab w:val="left" w:pos="7938"/>
          <w:tab w:val="left" w:pos="8222"/>
        </w:tabs>
        <w:spacing w:after="0" w:line="360" w:lineRule="auto"/>
        <w:ind w:right="49"/>
        <w:jc w:val="both"/>
        <w:rPr>
          <w:rFonts w:ascii="Arial" w:hAnsi="Arial" w:cs="Arial"/>
          <w:b/>
          <w:color w:val="000000"/>
          <w:sz w:val="26"/>
          <w:szCs w:val="26"/>
          <w:lang w:val="es-MX"/>
        </w:rPr>
      </w:pPr>
    </w:p>
    <w:p w:rsidR="006B201F" w:rsidRDefault="00B27ECD" w:rsidP="006B201F">
      <w:pPr>
        <w:widowControl w:val="0"/>
        <w:tabs>
          <w:tab w:val="left" w:pos="7938"/>
          <w:tab w:val="left" w:pos="8222"/>
        </w:tabs>
        <w:spacing w:after="0" w:line="360" w:lineRule="auto"/>
        <w:ind w:right="49"/>
        <w:jc w:val="both"/>
        <w:rPr>
          <w:rFonts w:ascii="Arial" w:eastAsia="Calibri" w:hAnsi="Arial" w:cs="Arial"/>
          <w:sz w:val="26"/>
          <w:szCs w:val="26"/>
          <w:lang w:val="es-MX"/>
        </w:rPr>
      </w:pPr>
      <w:r>
        <w:rPr>
          <w:rFonts w:ascii="Arial" w:hAnsi="Arial" w:cs="Arial"/>
          <w:b/>
          <w:color w:val="000000"/>
          <w:sz w:val="26"/>
          <w:szCs w:val="26"/>
          <w:lang w:val="es-MX"/>
        </w:rPr>
        <w:t xml:space="preserve">             </w:t>
      </w:r>
      <w:r w:rsidR="006B201F">
        <w:rPr>
          <w:rFonts w:ascii="Arial" w:eastAsia="Calibri" w:hAnsi="Arial" w:cs="Arial"/>
          <w:sz w:val="26"/>
          <w:szCs w:val="26"/>
          <w:lang w:val="es-MX"/>
        </w:rPr>
        <w:t>En mérito de lo anterior, con fundamento en los artículos 207 y 208 de la Ley de Justicia Administrativa para el Estado,</w:t>
      </w:r>
      <w:r w:rsidR="00557C64">
        <w:rPr>
          <w:rFonts w:ascii="Arial" w:eastAsia="Calibri" w:hAnsi="Arial" w:cs="Arial"/>
          <w:sz w:val="26"/>
          <w:szCs w:val="26"/>
          <w:lang w:val="es-MX"/>
        </w:rPr>
        <w:t xml:space="preserve"> vigente al inicio del juicio principal,</w:t>
      </w:r>
      <w:r w:rsidR="006B201F">
        <w:rPr>
          <w:rFonts w:ascii="Arial" w:eastAsia="Calibri" w:hAnsi="Arial" w:cs="Arial"/>
          <w:sz w:val="26"/>
          <w:szCs w:val="26"/>
          <w:lang w:val="es-MX"/>
        </w:rPr>
        <w:t xml:space="preserve"> se:</w:t>
      </w:r>
    </w:p>
    <w:p w:rsidR="006B201F" w:rsidRDefault="006B201F" w:rsidP="006B201F">
      <w:pPr>
        <w:spacing w:before="240" w:line="360" w:lineRule="auto"/>
        <w:jc w:val="center"/>
        <w:rPr>
          <w:rFonts w:ascii="Arial" w:hAnsi="Arial" w:cs="Arial"/>
          <w:b/>
          <w:sz w:val="24"/>
          <w:szCs w:val="24"/>
        </w:rPr>
      </w:pPr>
      <w:r>
        <w:rPr>
          <w:rFonts w:ascii="Arial" w:hAnsi="Arial" w:cs="Arial"/>
          <w:b/>
          <w:sz w:val="24"/>
          <w:szCs w:val="24"/>
        </w:rPr>
        <w:t>R E S U E L V E</w:t>
      </w:r>
    </w:p>
    <w:p w:rsidR="006B201F" w:rsidRDefault="006B201F" w:rsidP="006B201F">
      <w:pPr>
        <w:spacing w:after="0" w:line="360" w:lineRule="auto"/>
        <w:jc w:val="both"/>
        <w:rPr>
          <w:rFonts w:ascii="Arial" w:hAnsi="Arial" w:cs="Arial"/>
          <w:sz w:val="26"/>
          <w:szCs w:val="26"/>
          <w:lang w:val="es-MX"/>
        </w:rPr>
      </w:pPr>
      <w:r>
        <w:rPr>
          <w:rFonts w:ascii="Arial" w:hAnsi="Arial" w:cs="Arial"/>
          <w:b/>
          <w:sz w:val="26"/>
          <w:szCs w:val="26"/>
        </w:rPr>
        <w:tab/>
        <w:t>PRIMERO</w:t>
      </w:r>
      <w:r>
        <w:rPr>
          <w:rFonts w:ascii="Arial" w:hAnsi="Arial" w:cs="Arial"/>
          <w:sz w:val="26"/>
          <w:szCs w:val="26"/>
          <w:lang w:val="es-MX"/>
        </w:rPr>
        <w:t xml:space="preserve">. Se </w:t>
      </w:r>
      <w:r>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EXTEMPORÁNEO</w:t>
      </w:r>
      <w:r>
        <w:rPr>
          <w:rFonts w:ascii="Arial" w:hAnsi="Arial" w:cs="Arial"/>
          <w:sz w:val="26"/>
          <w:szCs w:val="26"/>
          <w:lang w:val="es-MX"/>
        </w:rPr>
        <w:t>, el recurso de revisión interpuesto en contra de la sentencia de veintisiete de</w:t>
      </w:r>
      <w:r w:rsidR="001E3385">
        <w:rPr>
          <w:rFonts w:ascii="Arial" w:hAnsi="Arial" w:cs="Arial"/>
          <w:sz w:val="26"/>
          <w:szCs w:val="26"/>
          <w:lang w:val="es-MX"/>
        </w:rPr>
        <w:t xml:space="preserve"> abril </w:t>
      </w:r>
      <w:r>
        <w:rPr>
          <w:rFonts w:ascii="Arial" w:hAnsi="Arial" w:cs="Arial"/>
          <w:sz w:val="26"/>
          <w:szCs w:val="26"/>
          <w:lang w:val="es-MX"/>
        </w:rPr>
        <w:t xml:space="preserve">  dos mil dieciocho, por las razones expuestas en el Considerando que antecede.</w:t>
      </w:r>
    </w:p>
    <w:p w:rsidR="006B201F" w:rsidRDefault="006B201F" w:rsidP="006B201F">
      <w:pPr>
        <w:spacing w:line="360" w:lineRule="auto"/>
        <w:ind w:firstLine="708"/>
        <w:jc w:val="both"/>
        <w:rPr>
          <w:rFonts w:ascii="Arial" w:hAnsi="Arial" w:cs="Arial"/>
          <w:sz w:val="26"/>
          <w:szCs w:val="26"/>
        </w:rPr>
      </w:pPr>
      <w:r>
        <w:rPr>
          <w:rFonts w:ascii="Arial" w:hAnsi="Arial" w:cs="Arial"/>
          <w:b/>
          <w:sz w:val="26"/>
          <w:szCs w:val="26"/>
        </w:rPr>
        <w:t>SEGUNDO.- NOTIFÍQUESE Y CÚMPLASE,</w:t>
      </w:r>
      <w:bookmarkStart w:id="0" w:name="_GoBack"/>
      <w:bookmarkEnd w:id="0"/>
      <w:r>
        <w:rPr>
          <w:rFonts w:ascii="Arial" w:hAnsi="Arial" w:cs="Arial"/>
          <w:sz w:val="26"/>
          <w:szCs w:val="26"/>
        </w:rPr>
        <w:t xml:space="preserve"> con copia certificada de la presente resolución, vuelvan las constancias remitidas a la Tercera Sala Unitaria de Primera Instancia, y en su oportunidad archívese el cuaderno</w:t>
      </w:r>
      <w:r w:rsidR="00557C64">
        <w:rPr>
          <w:rFonts w:ascii="Arial" w:hAnsi="Arial" w:cs="Arial"/>
          <w:sz w:val="26"/>
          <w:szCs w:val="26"/>
        </w:rPr>
        <w:t xml:space="preserve"> de revisión como concluido.</w:t>
      </w:r>
    </w:p>
    <w:p w:rsidR="00557C64" w:rsidRDefault="00DB2803" w:rsidP="00557C64">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57C64" w:rsidRDefault="00557C64" w:rsidP="00557C64">
      <w:pPr>
        <w:pStyle w:val="Sinespaciado"/>
        <w:spacing w:before="240" w:line="360" w:lineRule="auto"/>
        <w:ind w:firstLine="708"/>
        <w:jc w:val="both"/>
        <w:rPr>
          <w:rFonts w:ascii="Arial" w:eastAsiaTheme="minorEastAsia" w:hAnsi="Arial" w:cs="Arial"/>
          <w:sz w:val="26"/>
          <w:szCs w:val="26"/>
          <w:lang w:val="es-MX" w:eastAsia="es-MX"/>
        </w:rPr>
      </w:pPr>
    </w:p>
    <w:p w:rsidR="00557C64" w:rsidRDefault="00557C64" w:rsidP="00557C64">
      <w:pPr>
        <w:pStyle w:val="Sinespaciado"/>
        <w:spacing w:before="240" w:line="360" w:lineRule="auto"/>
        <w:ind w:firstLine="708"/>
        <w:jc w:val="both"/>
        <w:rPr>
          <w:rFonts w:ascii="Arial" w:eastAsiaTheme="minorEastAsia" w:hAnsi="Arial" w:cs="Arial"/>
          <w:sz w:val="26"/>
          <w:szCs w:val="26"/>
          <w:lang w:val="es-MX" w:eastAsia="es-MX"/>
        </w:rPr>
      </w:pPr>
    </w:p>
    <w:p w:rsidR="00557C64" w:rsidRPr="00557C64" w:rsidRDefault="00DB2803" w:rsidP="00557C64">
      <w:pPr>
        <w:pStyle w:val="Sinespaciado"/>
        <w:spacing w:before="240" w:line="360" w:lineRule="auto"/>
        <w:ind w:firstLine="708"/>
        <w:jc w:val="center"/>
        <w:rPr>
          <w:rFonts w:ascii="Arial" w:eastAsiaTheme="minorEastAsia" w:hAnsi="Arial" w:cs="Arial"/>
          <w:sz w:val="26"/>
          <w:szCs w:val="26"/>
          <w:lang w:val="es-MX" w:eastAsia="es-MX"/>
        </w:rPr>
      </w:pPr>
      <w:r w:rsidRPr="0007468A">
        <w:rPr>
          <w:rFonts w:ascii="Arial" w:eastAsia="Calibri" w:hAnsi="Arial" w:cs="Arial"/>
          <w:sz w:val="26"/>
          <w:szCs w:val="26"/>
        </w:rPr>
        <w:t>MAGISTRADO ADRIÁN QUIROGA AVENDAÑO</w:t>
      </w:r>
    </w:p>
    <w:p w:rsidR="00557C64" w:rsidRDefault="00DB2803" w:rsidP="00557C64">
      <w:pPr>
        <w:spacing w:after="0" w:line="240" w:lineRule="auto"/>
        <w:ind w:left="142" w:firstLine="709"/>
        <w:jc w:val="center"/>
        <w:rPr>
          <w:rFonts w:ascii="Arial" w:eastAsia="Calibri" w:hAnsi="Arial" w:cs="Arial"/>
          <w:sz w:val="26"/>
          <w:szCs w:val="26"/>
        </w:rPr>
      </w:pPr>
      <w:r w:rsidRPr="0007468A">
        <w:rPr>
          <w:rFonts w:ascii="Arial" w:eastAsia="Arial" w:hAnsi="Arial" w:cs="Arial"/>
          <w:bCs/>
          <w:sz w:val="26"/>
          <w:szCs w:val="26"/>
        </w:rPr>
        <w:t>PRESIDENTE</w:t>
      </w: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DB2803" w:rsidP="00557C64">
      <w:pPr>
        <w:spacing w:after="0" w:line="240" w:lineRule="auto"/>
        <w:ind w:left="142" w:firstLine="709"/>
        <w:jc w:val="center"/>
        <w:rPr>
          <w:rFonts w:ascii="Arial" w:eastAsia="Calibri" w:hAnsi="Arial" w:cs="Arial"/>
          <w:sz w:val="26"/>
          <w:szCs w:val="26"/>
        </w:rPr>
      </w:pPr>
      <w:r>
        <w:rPr>
          <w:rFonts w:ascii="Arial" w:eastAsia="Calibri" w:hAnsi="Arial" w:cs="Arial"/>
          <w:sz w:val="26"/>
          <w:szCs w:val="26"/>
        </w:rPr>
        <w:t>MAGISTRADO HUGO VILLEGAS AQUINO</w:t>
      </w: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line="240" w:lineRule="auto"/>
        <w:ind w:left="142" w:firstLine="709"/>
        <w:jc w:val="center"/>
        <w:rPr>
          <w:rFonts w:ascii="Arial" w:eastAsia="Calibri" w:hAnsi="Arial" w:cs="Arial"/>
          <w:sz w:val="26"/>
          <w:szCs w:val="26"/>
        </w:rPr>
      </w:pPr>
    </w:p>
    <w:p w:rsidR="00DB2803" w:rsidRDefault="00DB2803" w:rsidP="00557C64">
      <w:pPr>
        <w:spacing w:after="0" w:line="240" w:lineRule="auto"/>
        <w:ind w:left="142" w:firstLine="709"/>
        <w:jc w:val="center"/>
        <w:rPr>
          <w:rFonts w:ascii="Arial" w:eastAsia="Calibri" w:hAnsi="Arial" w:cs="Arial"/>
          <w:sz w:val="26"/>
          <w:szCs w:val="26"/>
        </w:rPr>
      </w:pPr>
      <w:r w:rsidRPr="0007468A">
        <w:rPr>
          <w:rFonts w:ascii="Arial" w:eastAsia="Calibri" w:hAnsi="Arial" w:cs="Arial"/>
          <w:sz w:val="26"/>
          <w:szCs w:val="26"/>
        </w:rPr>
        <w:t>MAGISTRADO ENRIQUE PACHECO MARTÍNEZ</w:t>
      </w:r>
    </w:p>
    <w:p w:rsidR="00A54EAB" w:rsidRDefault="00A54EAB" w:rsidP="00557C64">
      <w:pPr>
        <w:spacing w:after="0" w:line="240" w:lineRule="auto"/>
        <w:ind w:left="142" w:firstLine="709"/>
        <w:jc w:val="center"/>
        <w:rPr>
          <w:rFonts w:ascii="Arial" w:eastAsia="Calibri" w:hAnsi="Arial" w:cs="Arial"/>
          <w:sz w:val="26"/>
          <w:szCs w:val="26"/>
        </w:rPr>
      </w:pPr>
    </w:p>
    <w:p w:rsidR="00557C64" w:rsidRDefault="00557C64" w:rsidP="00557C64">
      <w:pPr>
        <w:spacing w:after="0"/>
        <w:rPr>
          <w:rFonts w:ascii="Arial" w:eastAsia="Calibri" w:hAnsi="Arial" w:cs="Arial"/>
          <w:sz w:val="26"/>
          <w:szCs w:val="26"/>
        </w:rPr>
      </w:pPr>
    </w:p>
    <w:p w:rsidR="00DB2803" w:rsidRPr="00DC4C8F" w:rsidRDefault="00DB2803" w:rsidP="00557C64">
      <w:pPr>
        <w:spacing w:after="0"/>
        <w:jc w:val="center"/>
        <w:rPr>
          <w:rFonts w:ascii="Arial" w:eastAsia="Calibri" w:hAnsi="Arial" w:cs="Arial"/>
          <w:b/>
          <w:sz w:val="14"/>
          <w:szCs w:val="26"/>
        </w:rPr>
      </w:pPr>
      <w:r w:rsidRPr="00DC4C8F">
        <w:rPr>
          <w:rFonts w:ascii="Arial" w:eastAsia="Calibri" w:hAnsi="Arial" w:cs="Arial"/>
          <w:b/>
          <w:sz w:val="14"/>
          <w:szCs w:val="26"/>
        </w:rPr>
        <w:t>LAS PRESENTES FIRMAS CORRESPONDEN AL RECURSO DE REVISI</w:t>
      </w:r>
      <w:r w:rsidR="00557C64">
        <w:rPr>
          <w:rFonts w:ascii="Arial" w:eastAsia="Calibri" w:hAnsi="Arial" w:cs="Arial"/>
          <w:b/>
          <w:sz w:val="14"/>
          <w:szCs w:val="26"/>
        </w:rPr>
        <w:t>ÓN 231</w:t>
      </w:r>
      <w:r w:rsidRPr="00DC4C8F">
        <w:rPr>
          <w:rFonts w:ascii="Arial" w:eastAsia="Calibri" w:hAnsi="Arial" w:cs="Arial"/>
          <w:b/>
          <w:sz w:val="14"/>
          <w:szCs w:val="26"/>
        </w:rPr>
        <w:t>/2018</w:t>
      </w:r>
    </w:p>
    <w:p w:rsidR="00DB2803" w:rsidRPr="00DC4C8F" w:rsidRDefault="00DB2803" w:rsidP="00DB2803">
      <w:pPr>
        <w:spacing w:after="0"/>
        <w:jc w:val="center"/>
        <w:rPr>
          <w:rFonts w:ascii="Arial" w:eastAsia="Calibri" w:hAnsi="Arial" w:cs="Arial"/>
          <w:b/>
          <w:sz w:val="14"/>
          <w:szCs w:val="26"/>
        </w:rPr>
      </w:pPr>
    </w:p>
    <w:p w:rsidR="00DB2803" w:rsidRDefault="00DB2803" w:rsidP="00DB2803">
      <w:pPr>
        <w:spacing w:after="0"/>
        <w:jc w:val="center"/>
        <w:rPr>
          <w:rFonts w:ascii="Arial" w:eastAsia="Calibri" w:hAnsi="Arial" w:cs="Arial"/>
          <w:sz w:val="26"/>
          <w:szCs w:val="26"/>
        </w:rPr>
      </w:pPr>
    </w:p>
    <w:p w:rsidR="00DB2803" w:rsidRDefault="00DB2803" w:rsidP="00DB2803">
      <w:pPr>
        <w:spacing w:after="0"/>
        <w:jc w:val="center"/>
        <w:rPr>
          <w:rFonts w:ascii="Arial" w:eastAsia="Calibri" w:hAnsi="Arial" w:cs="Arial"/>
          <w:sz w:val="26"/>
          <w:szCs w:val="26"/>
        </w:rPr>
      </w:pPr>
    </w:p>
    <w:p w:rsidR="00DB2803" w:rsidRDefault="00DB2803" w:rsidP="00DB2803">
      <w:pPr>
        <w:spacing w:after="0"/>
        <w:jc w:val="center"/>
        <w:rPr>
          <w:rFonts w:ascii="Arial" w:eastAsia="Calibri" w:hAnsi="Arial" w:cs="Arial"/>
          <w:sz w:val="26"/>
          <w:szCs w:val="26"/>
        </w:rPr>
      </w:pPr>
    </w:p>
    <w:p w:rsidR="00DB2803" w:rsidRDefault="00DB2803" w:rsidP="00DB2803">
      <w:pPr>
        <w:spacing w:after="0"/>
        <w:jc w:val="center"/>
        <w:rPr>
          <w:rFonts w:ascii="Arial" w:eastAsia="Calibri" w:hAnsi="Arial" w:cs="Arial"/>
          <w:sz w:val="26"/>
          <w:szCs w:val="26"/>
        </w:rPr>
      </w:pPr>
    </w:p>
    <w:p w:rsidR="00DB2803" w:rsidRDefault="00DB2803" w:rsidP="00DB2803">
      <w:pPr>
        <w:spacing w:after="0"/>
        <w:jc w:val="center"/>
        <w:rPr>
          <w:rFonts w:ascii="Arial" w:eastAsia="Calibri" w:hAnsi="Arial" w:cs="Arial"/>
          <w:sz w:val="26"/>
          <w:szCs w:val="26"/>
        </w:rPr>
      </w:pPr>
    </w:p>
    <w:p w:rsidR="00DB2803" w:rsidRDefault="00DB2803" w:rsidP="00DB2803">
      <w:pPr>
        <w:spacing w:after="0"/>
        <w:jc w:val="center"/>
        <w:rPr>
          <w:rFonts w:ascii="Arial" w:eastAsia="Calibri" w:hAnsi="Arial" w:cs="Arial"/>
          <w:sz w:val="26"/>
          <w:szCs w:val="26"/>
        </w:rPr>
      </w:pPr>
    </w:p>
    <w:p w:rsidR="00DB2803" w:rsidRDefault="00DB2803" w:rsidP="00DB2803">
      <w:pPr>
        <w:spacing w:after="0" w:line="240" w:lineRule="auto"/>
        <w:ind w:right="-72"/>
        <w:jc w:val="center"/>
        <w:rPr>
          <w:rFonts w:ascii="Arial" w:hAnsi="Arial" w:cs="Arial"/>
          <w:sz w:val="26"/>
          <w:szCs w:val="26"/>
        </w:rPr>
      </w:pPr>
      <w:r w:rsidRPr="0007468A">
        <w:rPr>
          <w:rFonts w:ascii="Arial" w:hAnsi="Arial" w:cs="Arial"/>
          <w:sz w:val="26"/>
          <w:szCs w:val="26"/>
        </w:rPr>
        <w:t>MAGISTRADA MARÍA ELENA VILLA DE JARQUÍN</w:t>
      </w:r>
    </w:p>
    <w:p w:rsidR="00DB2803" w:rsidRDefault="00DB2803" w:rsidP="00DB2803">
      <w:pPr>
        <w:spacing w:after="0" w:line="240" w:lineRule="auto"/>
        <w:ind w:right="-72"/>
        <w:jc w:val="center"/>
        <w:rPr>
          <w:rFonts w:ascii="Arial" w:hAnsi="Arial" w:cs="Arial"/>
          <w:sz w:val="26"/>
          <w:szCs w:val="26"/>
        </w:rPr>
      </w:pPr>
    </w:p>
    <w:p w:rsidR="00DB2803" w:rsidRDefault="00DB2803" w:rsidP="00DB2803">
      <w:pPr>
        <w:spacing w:after="0" w:line="240" w:lineRule="auto"/>
        <w:ind w:right="-72"/>
        <w:jc w:val="center"/>
        <w:rPr>
          <w:rFonts w:ascii="Arial" w:hAnsi="Arial" w:cs="Arial"/>
          <w:sz w:val="26"/>
          <w:szCs w:val="26"/>
        </w:rPr>
      </w:pPr>
    </w:p>
    <w:p w:rsidR="00DB2803" w:rsidRDefault="00DB2803" w:rsidP="00DB2803">
      <w:pPr>
        <w:spacing w:after="0" w:line="240" w:lineRule="auto"/>
        <w:ind w:right="-72"/>
        <w:jc w:val="center"/>
        <w:rPr>
          <w:rFonts w:ascii="Arial" w:hAnsi="Arial" w:cs="Arial"/>
          <w:sz w:val="26"/>
          <w:szCs w:val="26"/>
        </w:rPr>
      </w:pPr>
    </w:p>
    <w:p w:rsidR="00DB2803" w:rsidRDefault="00DB2803" w:rsidP="00DB2803">
      <w:pPr>
        <w:spacing w:after="0" w:line="240" w:lineRule="auto"/>
        <w:ind w:right="-72"/>
        <w:jc w:val="center"/>
        <w:rPr>
          <w:rFonts w:ascii="Arial" w:hAnsi="Arial" w:cs="Arial"/>
          <w:sz w:val="26"/>
          <w:szCs w:val="26"/>
        </w:rPr>
      </w:pPr>
    </w:p>
    <w:p w:rsidR="00DB2803" w:rsidRDefault="00DB2803" w:rsidP="00DB2803">
      <w:pPr>
        <w:spacing w:after="0" w:line="240" w:lineRule="auto"/>
        <w:ind w:right="-72"/>
        <w:jc w:val="center"/>
        <w:rPr>
          <w:rFonts w:ascii="Arial" w:hAnsi="Arial" w:cs="Arial"/>
          <w:sz w:val="26"/>
          <w:szCs w:val="26"/>
        </w:rPr>
      </w:pPr>
    </w:p>
    <w:p w:rsidR="00DB2803" w:rsidRDefault="00DB2803" w:rsidP="00DB2803">
      <w:pPr>
        <w:spacing w:after="0" w:line="240" w:lineRule="auto"/>
        <w:ind w:right="-72"/>
        <w:jc w:val="center"/>
        <w:rPr>
          <w:rFonts w:ascii="Arial" w:hAnsi="Arial" w:cs="Arial"/>
          <w:sz w:val="26"/>
          <w:szCs w:val="26"/>
        </w:rPr>
      </w:pPr>
    </w:p>
    <w:p w:rsidR="00DB2803" w:rsidRPr="0007468A" w:rsidRDefault="00DB2803" w:rsidP="00DB2803">
      <w:pPr>
        <w:spacing w:after="0" w:line="240" w:lineRule="auto"/>
        <w:ind w:right="-72"/>
        <w:jc w:val="center"/>
        <w:rPr>
          <w:rFonts w:ascii="Arial" w:hAnsi="Arial" w:cs="Arial"/>
          <w:sz w:val="26"/>
          <w:szCs w:val="26"/>
        </w:rPr>
      </w:pPr>
    </w:p>
    <w:p w:rsidR="00DB2803" w:rsidRDefault="00DB2803" w:rsidP="00DB2803">
      <w:pPr>
        <w:spacing w:after="0"/>
        <w:jc w:val="center"/>
        <w:rPr>
          <w:rFonts w:ascii="Arial" w:eastAsia="Calibri" w:hAnsi="Arial" w:cs="Arial"/>
          <w:sz w:val="26"/>
          <w:szCs w:val="26"/>
        </w:rPr>
      </w:pPr>
      <w:r>
        <w:rPr>
          <w:rFonts w:ascii="Arial" w:eastAsia="Calibri" w:hAnsi="Arial" w:cs="Arial"/>
          <w:sz w:val="26"/>
          <w:szCs w:val="26"/>
        </w:rPr>
        <w:t xml:space="preserve"> </w:t>
      </w:r>
    </w:p>
    <w:p w:rsidR="00DB2803" w:rsidRDefault="00DB2803" w:rsidP="00DB2803">
      <w:pPr>
        <w:spacing w:after="0"/>
        <w:jc w:val="center"/>
        <w:rPr>
          <w:rFonts w:ascii="Arial" w:eastAsia="Calibri" w:hAnsi="Arial" w:cs="Arial"/>
          <w:sz w:val="26"/>
          <w:szCs w:val="26"/>
        </w:rPr>
      </w:pPr>
      <w:r>
        <w:rPr>
          <w:rFonts w:ascii="Arial" w:eastAsia="Calibri" w:hAnsi="Arial" w:cs="Arial"/>
          <w:sz w:val="26"/>
          <w:szCs w:val="26"/>
        </w:rPr>
        <w:t>MAGISTRADO MANUEL VELASCO ALCANTARA</w:t>
      </w:r>
    </w:p>
    <w:p w:rsidR="00DB2803" w:rsidRDefault="00DB2803" w:rsidP="00DB2803">
      <w:pPr>
        <w:spacing w:after="0"/>
        <w:jc w:val="center"/>
        <w:rPr>
          <w:rFonts w:ascii="Arial" w:eastAsia="Calibri" w:hAnsi="Arial" w:cs="Arial"/>
          <w:sz w:val="26"/>
          <w:szCs w:val="26"/>
        </w:rPr>
      </w:pPr>
    </w:p>
    <w:p w:rsidR="00DB2803" w:rsidRDefault="00DB2803" w:rsidP="00DB2803">
      <w:pPr>
        <w:spacing w:after="0"/>
        <w:jc w:val="center"/>
        <w:rPr>
          <w:rFonts w:ascii="Arial" w:eastAsia="Calibri" w:hAnsi="Arial" w:cs="Arial"/>
          <w:sz w:val="26"/>
          <w:szCs w:val="26"/>
        </w:rPr>
      </w:pPr>
    </w:p>
    <w:p w:rsidR="00DB2803" w:rsidRDefault="00DB2803" w:rsidP="00DB2803">
      <w:pPr>
        <w:spacing w:after="0"/>
        <w:jc w:val="center"/>
        <w:rPr>
          <w:rFonts w:ascii="Arial" w:eastAsia="Calibri" w:hAnsi="Arial" w:cs="Arial"/>
          <w:sz w:val="26"/>
          <w:szCs w:val="26"/>
        </w:rPr>
      </w:pPr>
    </w:p>
    <w:p w:rsidR="00DB2803" w:rsidRDefault="00DB2803" w:rsidP="00DB2803">
      <w:pPr>
        <w:spacing w:after="0"/>
        <w:jc w:val="center"/>
        <w:rPr>
          <w:rFonts w:ascii="Arial" w:eastAsia="Calibri" w:hAnsi="Arial" w:cs="Arial"/>
          <w:sz w:val="26"/>
          <w:szCs w:val="26"/>
        </w:rPr>
      </w:pPr>
    </w:p>
    <w:p w:rsidR="00DB2803" w:rsidRDefault="00DB2803" w:rsidP="00DB2803">
      <w:pPr>
        <w:spacing w:after="0"/>
        <w:jc w:val="center"/>
        <w:rPr>
          <w:rFonts w:ascii="Arial" w:eastAsia="Calibri" w:hAnsi="Arial" w:cs="Arial"/>
          <w:sz w:val="26"/>
          <w:szCs w:val="26"/>
        </w:rPr>
      </w:pPr>
    </w:p>
    <w:p w:rsidR="00DB2803" w:rsidRDefault="00DB2803" w:rsidP="00DB2803">
      <w:pPr>
        <w:spacing w:after="0"/>
        <w:jc w:val="center"/>
        <w:rPr>
          <w:rFonts w:ascii="Arial" w:eastAsia="Calibri" w:hAnsi="Arial" w:cs="Arial"/>
          <w:sz w:val="26"/>
          <w:szCs w:val="26"/>
        </w:rPr>
      </w:pPr>
    </w:p>
    <w:p w:rsidR="00DB2803" w:rsidRPr="0007468A" w:rsidRDefault="00DB2803" w:rsidP="00DB2803">
      <w:pPr>
        <w:spacing w:after="0"/>
        <w:jc w:val="center"/>
        <w:rPr>
          <w:rFonts w:ascii="Arial" w:eastAsia="Calibri" w:hAnsi="Arial" w:cs="Arial"/>
          <w:sz w:val="26"/>
          <w:szCs w:val="26"/>
        </w:rPr>
      </w:pPr>
    </w:p>
    <w:p w:rsidR="00DB2803" w:rsidRPr="0007468A" w:rsidRDefault="00DB2803" w:rsidP="00DB2803">
      <w:pPr>
        <w:spacing w:after="0"/>
        <w:jc w:val="center"/>
        <w:rPr>
          <w:rFonts w:ascii="Arial" w:eastAsia="Calibri" w:hAnsi="Arial" w:cs="Arial"/>
          <w:sz w:val="26"/>
          <w:szCs w:val="26"/>
        </w:rPr>
      </w:pPr>
      <w:r w:rsidRPr="0007468A">
        <w:rPr>
          <w:rFonts w:ascii="Arial" w:eastAsia="Calibri" w:hAnsi="Arial" w:cs="Arial"/>
          <w:sz w:val="26"/>
          <w:szCs w:val="26"/>
        </w:rPr>
        <w:t>LICENCIADA SANDRA PÉREZ CRUZ</w:t>
      </w:r>
    </w:p>
    <w:p w:rsidR="00DB2803" w:rsidRPr="0007468A" w:rsidRDefault="00DB2803" w:rsidP="00DB2803">
      <w:pPr>
        <w:spacing w:after="0"/>
        <w:jc w:val="center"/>
        <w:rPr>
          <w:rFonts w:ascii="Arial" w:eastAsia="Calibri" w:hAnsi="Arial" w:cs="Arial"/>
          <w:sz w:val="26"/>
          <w:szCs w:val="26"/>
        </w:rPr>
      </w:pPr>
      <w:r w:rsidRPr="0007468A">
        <w:rPr>
          <w:rFonts w:ascii="Arial" w:eastAsia="Calibri" w:hAnsi="Arial" w:cs="Arial"/>
          <w:sz w:val="26"/>
          <w:szCs w:val="26"/>
        </w:rPr>
        <w:t>SECRETARIA GENERAL DE ACUERDOS</w:t>
      </w:r>
    </w:p>
    <w:p w:rsidR="00DB2803" w:rsidRPr="0089276A" w:rsidRDefault="00DB2803" w:rsidP="00DB2803">
      <w:pPr>
        <w:pStyle w:val="Sinespaciado"/>
        <w:spacing w:before="240" w:line="360" w:lineRule="auto"/>
        <w:ind w:firstLine="708"/>
        <w:jc w:val="both"/>
        <w:rPr>
          <w:rFonts w:ascii="Arial" w:eastAsiaTheme="minorEastAsia" w:hAnsi="Arial" w:cs="Arial"/>
          <w:sz w:val="26"/>
          <w:szCs w:val="26"/>
          <w:lang w:eastAsia="es-MX"/>
        </w:rPr>
      </w:pPr>
    </w:p>
    <w:p w:rsidR="00DB2803" w:rsidRPr="0089276A" w:rsidRDefault="00DB2803" w:rsidP="00DB2803">
      <w:pPr>
        <w:pStyle w:val="Sinespaciado"/>
        <w:spacing w:before="240" w:line="360" w:lineRule="auto"/>
        <w:ind w:firstLine="708"/>
        <w:jc w:val="both"/>
        <w:rPr>
          <w:rFonts w:ascii="Arial" w:eastAsiaTheme="minorEastAsia" w:hAnsi="Arial" w:cs="Arial"/>
          <w:sz w:val="26"/>
          <w:szCs w:val="26"/>
          <w:lang w:eastAsia="es-MX"/>
        </w:rPr>
      </w:pPr>
    </w:p>
    <w:p w:rsidR="0023434D" w:rsidRPr="00C60EB1" w:rsidRDefault="0023434D" w:rsidP="00DB2803">
      <w:pPr>
        <w:pStyle w:val="Sinespaciado"/>
        <w:spacing w:line="360" w:lineRule="auto"/>
        <w:jc w:val="both"/>
      </w:pPr>
    </w:p>
    <w:sectPr w:rsidR="0023434D" w:rsidRPr="00C60EB1" w:rsidSect="00DB2803">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8DA" w:rsidRDefault="009008DA">
      <w:pPr>
        <w:spacing w:after="0" w:line="240" w:lineRule="auto"/>
      </w:pPr>
      <w:r>
        <w:separator/>
      </w:r>
    </w:p>
  </w:endnote>
  <w:endnote w:type="continuationSeparator" w:id="0">
    <w:p w:rsidR="009008DA" w:rsidRDefault="00900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8DA" w:rsidRDefault="009008DA">
      <w:pPr>
        <w:spacing w:after="0" w:line="240" w:lineRule="auto"/>
      </w:pPr>
      <w:r>
        <w:separator/>
      </w:r>
    </w:p>
  </w:footnote>
  <w:footnote w:type="continuationSeparator" w:id="0">
    <w:p w:rsidR="009008DA" w:rsidRDefault="009008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F374CD" w:rsidP="00D25099">
        <w:pPr>
          <w:pStyle w:val="Encabezado"/>
          <w:jc w:val="center"/>
        </w:pPr>
        <w:r>
          <w:rPr>
            <w:noProof/>
            <w:lang w:val="es-MX" w:eastAsia="es-MX"/>
          </w:rPr>
          <w:drawing>
            <wp:anchor distT="0" distB="0" distL="114300" distR="114300" simplePos="0" relativeHeight="251665408" behindDoc="0" locked="0" layoutInCell="1" allowOverlap="1" wp14:anchorId="2BF82F27" wp14:editId="6B35BF4F">
              <wp:simplePos x="0" y="0"/>
              <wp:positionH relativeFrom="column">
                <wp:posOffset>5528310</wp:posOffset>
              </wp:positionH>
              <wp:positionV relativeFrom="paragraph">
                <wp:posOffset>5059045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E61AB6">
          <w:fldChar w:fldCharType="begin"/>
        </w:r>
        <w:r w:rsidR="00E61AB6">
          <w:instrText>PAGE   \* MERGEFORMAT</w:instrText>
        </w:r>
        <w:r w:rsidR="00E61AB6">
          <w:fldChar w:fldCharType="separate"/>
        </w:r>
        <w:r>
          <w:rPr>
            <w:noProof/>
          </w:rPr>
          <w:t>4</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F374CD">
          <w:rPr>
            <w:noProof/>
          </w:rPr>
          <w:t>5</w:t>
        </w:r>
        <w:r>
          <w:rPr>
            <w:noProof/>
          </w:rPr>
          <w:fldChar w:fldCharType="end"/>
        </w:r>
      </w:p>
      <w:p w:rsidR="00E61AB6" w:rsidRDefault="009008DA" w:rsidP="008C74CA">
        <w:pPr>
          <w:pStyle w:val="Encabezado"/>
          <w:jc w:val="center"/>
        </w:pPr>
      </w:p>
    </w:sdtContent>
  </w:sdt>
  <w:p w:rsidR="00E61AB6" w:rsidRDefault="00E61AB6" w:rsidP="00256B01">
    <w:pPr>
      <w:pStyle w:val="Encabezado"/>
      <w:jc w:val="center"/>
    </w:pPr>
  </w:p>
  <w:p w:rsidR="00E61AB6" w:rsidRDefault="00F374CD" w:rsidP="00256B01">
    <w:pPr>
      <w:pStyle w:val="Encabezado"/>
      <w:jc w:val="center"/>
    </w:pPr>
    <w:r>
      <w:rPr>
        <w:noProof/>
        <w:lang w:val="es-MX" w:eastAsia="es-MX"/>
      </w:rPr>
      <w:drawing>
        <wp:anchor distT="0" distB="0" distL="114300" distR="114300" simplePos="0" relativeHeight="251663360" behindDoc="0" locked="0" layoutInCell="1" allowOverlap="1" wp14:anchorId="331770DC" wp14:editId="2551716E">
          <wp:simplePos x="0" y="0"/>
          <wp:positionH relativeFrom="column">
            <wp:posOffset>-1133475</wp:posOffset>
          </wp:positionH>
          <wp:positionV relativeFrom="paragraph">
            <wp:posOffset>4895215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2EEB"/>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385"/>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2665C"/>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C7AE2"/>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3FAD"/>
    <w:rsid w:val="004365BF"/>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57C64"/>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434A"/>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01F"/>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53A"/>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664C6"/>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5C6A"/>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3DD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52F4"/>
    <w:rsid w:val="008F6A42"/>
    <w:rsid w:val="008F7D31"/>
    <w:rsid w:val="00900115"/>
    <w:rsid w:val="009007FC"/>
    <w:rsid w:val="009008DA"/>
    <w:rsid w:val="00900A88"/>
    <w:rsid w:val="0090282D"/>
    <w:rsid w:val="009031EC"/>
    <w:rsid w:val="00903BE5"/>
    <w:rsid w:val="009049BE"/>
    <w:rsid w:val="009073DD"/>
    <w:rsid w:val="00907FE3"/>
    <w:rsid w:val="009111EA"/>
    <w:rsid w:val="0091170B"/>
    <w:rsid w:val="00912837"/>
    <w:rsid w:val="0091304F"/>
    <w:rsid w:val="009133A9"/>
    <w:rsid w:val="009159DA"/>
    <w:rsid w:val="00916E07"/>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4EAB"/>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27ECD"/>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A63E6"/>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15A"/>
    <w:rsid w:val="00D16166"/>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75008"/>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2803"/>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4CD"/>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ABD04-3B2A-41AB-ABCB-35D016FE6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5</Pages>
  <Words>1224</Words>
  <Characters>6735</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12</cp:revision>
  <cp:lastPrinted>2018-10-10T18:12:00Z</cp:lastPrinted>
  <dcterms:created xsi:type="dcterms:W3CDTF">2018-10-10T16:43:00Z</dcterms:created>
  <dcterms:modified xsi:type="dcterms:W3CDTF">2019-01-31T17:50:00Z</dcterms:modified>
</cp:coreProperties>
</file>