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52F1E26C"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70AC2A4"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553AE">
        <w:rPr>
          <w:rFonts w:ascii="Arial" w:hAnsi="Arial" w:cs="Arial"/>
          <w:b/>
          <w:sz w:val="26"/>
          <w:szCs w:val="26"/>
        </w:rPr>
        <w:t>23</w:t>
      </w:r>
      <w:r w:rsidR="005F7FAA">
        <w:rPr>
          <w:rFonts w:ascii="Arial" w:hAnsi="Arial" w:cs="Arial"/>
          <w:b/>
          <w:sz w:val="26"/>
          <w:szCs w:val="26"/>
        </w:rPr>
        <w:t>4</w:t>
      </w:r>
      <w:r>
        <w:rPr>
          <w:rFonts w:ascii="Arial" w:hAnsi="Arial" w:cs="Arial"/>
          <w:b/>
          <w:sz w:val="26"/>
          <w:szCs w:val="26"/>
        </w:rPr>
        <w:t>/2020.</w:t>
      </w:r>
    </w:p>
    <w:p w14:paraId="4DFA70CD" w14:textId="681EF1BF"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553AE">
        <w:rPr>
          <w:rFonts w:ascii="Arial" w:hAnsi="Arial" w:cs="Arial"/>
          <w:b/>
          <w:sz w:val="26"/>
          <w:szCs w:val="26"/>
        </w:rPr>
        <w:t>0023</w:t>
      </w:r>
      <w:r>
        <w:rPr>
          <w:rFonts w:ascii="Arial" w:hAnsi="Arial" w:cs="Arial"/>
          <w:b/>
          <w:sz w:val="26"/>
          <w:szCs w:val="26"/>
        </w:rPr>
        <w:t>/</w:t>
      </w:r>
      <w:r w:rsidRPr="00CB6405">
        <w:rPr>
          <w:rFonts w:ascii="Arial" w:hAnsi="Arial" w:cs="Arial"/>
          <w:b/>
          <w:sz w:val="26"/>
          <w:szCs w:val="26"/>
        </w:rPr>
        <w:t>20</w:t>
      </w:r>
      <w:r w:rsidR="00E553AE">
        <w:rPr>
          <w:rFonts w:ascii="Arial" w:hAnsi="Arial" w:cs="Arial"/>
          <w:b/>
          <w:sz w:val="26"/>
          <w:szCs w:val="26"/>
        </w:rPr>
        <w:t>20</w:t>
      </w:r>
      <w:r w:rsidRPr="00CB6405">
        <w:rPr>
          <w:rFonts w:ascii="Arial" w:hAnsi="Arial" w:cs="Arial"/>
          <w:b/>
          <w:sz w:val="26"/>
          <w:szCs w:val="26"/>
        </w:rPr>
        <w:t xml:space="preserve"> </w:t>
      </w:r>
      <w:r w:rsidR="00706058">
        <w:rPr>
          <w:rFonts w:ascii="Arial" w:hAnsi="Arial" w:cs="Arial"/>
          <w:b/>
          <w:sz w:val="26"/>
          <w:szCs w:val="26"/>
        </w:rPr>
        <w:t>QUIN</w:t>
      </w:r>
      <w:r w:rsidR="00D733BC">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Pr="001D78AA" w:rsidRDefault="003B6CF0" w:rsidP="008B473C">
      <w:pPr>
        <w:pStyle w:val="Sinespaciado"/>
      </w:pPr>
    </w:p>
    <w:p w14:paraId="3DE7165A" w14:textId="477FFE6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7C06D9">
        <w:rPr>
          <w:rFonts w:ascii="Arial" w:hAnsi="Arial" w:cs="Arial"/>
          <w:b/>
          <w:sz w:val="26"/>
          <w:szCs w:val="26"/>
        </w:rPr>
        <w:t xml:space="preserve">TRES DE JUNIO </w:t>
      </w:r>
      <w:r>
        <w:rPr>
          <w:rFonts w:ascii="Arial" w:hAnsi="Arial" w:cs="Arial"/>
          <w:b/>
          <w:sz w:val="26"/>
          <w:szCs w:val="26"/>
        </w:rPr>
        <w:t xml:space="preserve">DE DOS MIL VEINTIUNO. - - - - - - - - - - - - - - - - - - - - - - - - - - - - - - - - - - - - - - - - - - - </w:t>
      </w:r>
    </w:p>
    <w:p w14:paraId="7CF0F441" w14:textId="71C55292" w:rsidR="003B6CF0" w:rsidRPr="002F2D94" w:rsidRDefault="003B6CF0" w:rsidP="002F2D94">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E553AE">
        <w:rPr>
          <w:rFonts w:ascii="Arial" w:hAnsi="Arial" w:cs="Arial"/>
          <w:b/>
          <w:sz w:val="26"/>
          <w:szCs w:val="26"/>
        </w:rPr>
        <w:t>23</w:t>
      </w:r>
      <w:r w:rsidR="005F7FAA">
        <w:rPr>
          <w:rFonts w:ascii="Arial" w:hAnsi="Arial" w:cs="Arial"/>
          <w:b/>
          <w:sz w:val="26"/>
          <w:szCs w:val="26"/>
        </w:rPr>
        <w:t>4</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E553AE">
        <w:rPr>
          <w:rFonts w:ascii="Arial" w:hAnsi="Arial" w:cs="Arial"/>
          <w:b/>
          <w:sz w:val="26"/>
          <w:szCs w:val="26"/>
        </w:rPr>
        <w:t xml:space="preserve"> LUIS PEDRO CRUZ SUMANO, POLICÍA VIAL CON NÚMERO ESTADÍSTICO PV-132, ADSCRITO A LA SUBDIRECCIÓN DE TRÁNSITO Y MOVILIDAD DEL MUNICIPIO DE OAXACA DE JUÁREZ,</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E553AE">
        <w:rPr>
          <w:rFonts w:ascii="Arial" w:hAnsi="Arial" w:cs="Arial"/>
          <w:sz w:val="26"/>
          <w:szCs w:val="26"/>
        </w:rPr>
        <w:t xml:space="preserve"> la sentencia </w:t>
      </w:r>
      <w:r w:rsidR="00AC648A">
        <w:rPr>
          <w:rFonts w:ascii="Arial" w:hAnsi="Arial" w:cs="Arial"/>
          <w:sz w:val="26"/>
          <w:szCs w:val="26"/>
        </w:rPr>
        <w:t xml:space="preserve">de fecha </w:t>
      </w:r>
      <w:r w:rsidR="005F7FAA">
        <w:rPr>
          <w:rFonts w:ascii="Arial" w:hAnsi="Arial" w:cs="Arial"/>
          <w:sz w:val="26"/>
          <w:szCs w:val="26"/>
        </w:rPr>
        <w:t>catorce</w:t>
      </w:r>
      <w:r>
        <w:rPr>
          <w:rFonts w:ascii="Arial" w:hAnsi="Arial" w:cs="Arial"/>
          <w:sz w:val="26"/>
          <w:szCs w:val="26"/>
        </w:rPr>
        <w:t xml:space="preserve"> de </w:t>
      </w:r>
      <w:r w:rsidR="005F7FAA">
        <w:rPr>
          <w:rFonts w:ascii="Arial" w:hAnsi="Arial" w:cs="Arial"/>
          <w:sz w:val="26"/>
          <w:szCs w:val="26"/>
        </w:rPr>
        <w:t>octu</w:t>
      </w:r>
      <w:r w:rsidR="00706058">
        <w:rPr>
          <w:rFonts w:ascii="Arial" w:hAnsi="Arial" w:cs="Arial"/>
          <w:sz w:val="26"/>
          <w:szCs w:val="26"/>
        </w:rPr>
        <w:t>bre</w:t>
      </w:r>
      <w:r>
        <w:rPr>
          <w:rFonts w:ascii="Arial" w:hAnsi="Arial" w:cs="Arial"/>
          <w:sz w:val="26"/>
          <w:szCs w:val="26"/>
        </w:rPr>
        <w:t xml:space="preserve"> de dos mil veinte, dictad</w:t>
      </w:r>
      <w:r w:rsidR="00E553AE">
        <w:rPr>
          <w:rFonts w:ascii="Arial" w:hAnsi="Arial" w:cs="Arial"/>
          <w:sz w:val="26"/>
          <w:szCs w:val="26"/>
        </w:rPr>
        <w:t>a</w:t>
      </w:r>
      <w:r>
        <w:rPr>
          <w:rFonts w:ascii="Arial" w:hAnsi="Arial" w:cs="Arial"/>
          <w:sz w:val="26"/>
          <w:szCs w:val="26"/>
        </w:rPr>
        <w:t xml:space="preserve"> en el expediente </w:t>
      </w:r>
      <w:r w:rsidR="00E1384D">
        <w:rPr>
          <w:rFonts w:ascii="Arial" w:hAnsi="Arial" w:cs="Arial"/>
          <w:b/>
          <w:sz w:val="26"/>
          <w:szCs w:val="26"/>
        </w:rPr>
        <w:t>0</w:t>
      </w:r>
      <w:r w:rsidR="00706058">
        <w:rPr>
          <w:rFonts w:ascii="Arial" w:hAnsi="Arial" w:cs="Arial"/>
          <w:b/>
          <w:sz w:val="26"/>
          <w:szCs w:val="26"/>
        </w:rPr>
        <w:t>0</w:t>
      </w:r>
      <w:r w:rsidR="00B716D7">
        <w:rPr>
          <w:rFonts w:ascii="Arial" w:hAnsi="Arial" w:cs="Arial"/>
          <w:b/>
          <w:sz w:val="26"/>
          <w:szCs w:val="26"/>
        </w:rPr>
        <w:t>23</w:t>
      </w:r>
      <w:r w:rsidR="007007A1">
        <w:rPr>
          <w:rFonts w:ascii="Arial" w:hAnsi="Arial" w:cs="Arial"/>
          <w:b/>
          <w:sz w:val="26"/>
          <w:szCs w:val="26"/>
        </w:rPr>
        <w:t>/20</w:t>
      </w:r>
      <w:r w:rsidR="00B716D7">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706058">
        <w:rPr>
          <w:rFonts w:ascii="Arial" w:hAnsi="Arial" w:cs="Arial"/>
          <w:sz w:val="26"/>
          <w:szCs w:val="26"/>
        </w:rPr>
        <w:t>Quin</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8B250C">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5F7FAA">
        <w:rPr>
          <w:rFonts w:ascii="Arial" w:hAnsi="Arial" w:cs="Arial"/>
          <w:b/>
          <w:sz w:val="26"/>
          <w:szCs w:val="26"/>
        </w:rPr>
        <w:t xml:space="preserve"> </w:t>
      </w:r>
      <w:r w:rsidR="00B716D7">
        <w:rPr>
          <w:rFonts w:ascii="Arial" w:hAnsi="Arial" w:cs="Arial"/>
          <w:b/>
          <w:sz w:val="26"/>
          <w:szCs w:val="26"/>
        </w:rPr>
        <w:t>LUIS PEDRO CRUZ SUMANO, POLICÍA VIAL CON NÚMERO ESTADÍSTICO PV-132, ADSCRITO A LA SUBDIRECCIÓN DE TRÁNSITO Y MOVILIDAD DEL MUNICIPIO DE OAXACA DE JUÁREZ</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F61967">
        <w:rPr>
          <w:rFonts w:ascii="Arial" w:hAnsi="Arial" w:cs="Arial"/>
          <w:sz w:val="26"/>
          <w:szCs w:val="26"/>
        </w:rPr>
        <w:t xml:space="preserve">- </w:t>
      </w:r>
      <w:r w:rsidR="008B250C">
        <w:rPr>
          <w:rFonts w:ascii="Arial" w:hAnsi="Arial" w:cs="Arial"/>
          <w:sz w:val="26"/>
          <w:szCs w:val="26"/>
        </w:rPr>
        <w:t xml:space="preserve"> </w:t>
      </w:r>
      <w:r w:rsidR="00F61967">
        <w:rPr>
          <w:rFonts w:ascii="Arial" w:hAnsi="Arial" w:cs="Arial"/>
          <w:sz w:val="26"/>
          <w:szCs w:val="26"/>
        </w:rPr>
        <w:t xml:space="preserve">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0F15FB51"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B716D7">
        <w:rPr>
          <w:rFonts w:ascii="Arial" w:hAnsi="Arial" w:cs="Arial"/>
          <w:sz w:val="26"/>
          <w:szCs w:val="26"/>
        </w:rPr>
        <w:t>la sentencia</w:t>
      </w:r>
      <w:r>
        <w:rPr>
          <w:rFonts w:ascii="Arial" w:hAnsi="Arial" w:cs="Arial"/>
          <w:sz w:val="26"/>
          <w:szCs w:val="26"/>
        </w:rPr>
        <w:t xml:space="preserve"> de fecha </w:t>
      </w:r>
      <w:r w:rsidR="005F7FAA">
        <w:rPr>
          <w:rFonts w:ascii="Arial" w:hAnsi="Arial" w:cs="Arial"/>
          <w:sz w:val="26"/>
          <w:szCs w:val="26"/>
        </w:rPr>
        <w:t xml:space="preserve">catorce </w:t>
      </w:r>
      <w:r w:rsidR="00B736E2">
        <w:rPr>
          <w:rFonts w:ascii="Arial" w:hAnsi="Arial" w:cs="Arial"/>
          <w:sz w:val="26"/>
          <w:szCs w:val="26"/>
        </w:rPr>
        <w:t xml:space="preserve">de </w:t>
      </w:r>
      <w:r w:rsidR="005F7FAA">
        <w:rPr>
          <w:rFonts w:ascii="Arial" w:hAnsi="Arial" w:cs="Arial"/>
          <w:sz w:val="26"/>
          <w:szCs w:val="26"/>
        </w:rPr>
        <w:t>octu</w:t>
      </w:r>
      <w:r w:rsidR="00B94CF4">
        <w:rPr>
          <w:rFonts w:ascii="Arial" w:hAnsi="Arial" w:cs="Arial"/>
          <w:sz w:val="26"/>
          <w:szCs w:val="26"/>
        </w:rPr>
        <w:t>bre</w:t>
      </w:r>
      <w:r w:rsidR="00B736E2">
        <w:rPr>
          <w:rFonts w:ascii="Arial" w:hAnsi="Arial" w:cs="Arial"/>
          <w:sz w:val="26"/>
          <w:szCs w:val="26"/>
        </w:rPr>
        <w:t xml:space="preserve"> de dos mil veinte</w:t>
      </w:r>
      <w:r>
        <w:rPr>
          <w:rFonts w:ascii="Arial" w:hAnsi="Arial" w:cs="Arial"/>
          <w:sz w:val="26"/>
          <w:szCs w:val="26"/>
        </w:rPr>
        <w:t xml:space="preserve">, </w:t>
      </w:r>
      <w:r w:rsidRPr="00CB6405">
        <w:rPr>
          <w:rFonts w:ascii="Arial" w:hAnsi="Arial" w:cs="Arial"/>
          <w:sz w:val="26"/>
          <w:szCs w:val="26"/>
        </w:rPr>
        <w:t>dictad</w:t>
      </w:r>
      <w:r w:rsidR="00B716D7">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B94CF4">
        <w:rPr>
          <w:rFonts w:ascii="Arial" w:hAnsi="Arial" w:cs="Arial"/>
          <w:sz w:val="26"/>
          <w:szCs w:val="26"/>
        </w:rPr>
        <w:t>Quin</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8D62BF">
        <w:rPr>
          <w:rFonts w:ascii="Arial" w:hAnsi="Arial" w:cs="Arial"/>
          <w:b/>
          <w:sz w:val="26"/>
          <w:szCs w:val="26"/>
        </w:rPr>
        <w:t>LUIS PEDRO CRUZ SUMANO, POLICÍA VIAL CON NÚMERO ESTADÍSTICO PV-132, ADSCRITO A LA SUBDIRECCIÓN DE TRÁNSITO Y MOVILIDAD DEL MUNICIPIO DE OAXACA DE JUÁREZ</w:t>
      </w:r>
      <w:r w:rsidR="00E1384D">
        <w:rPr>
          <w:rFonts w:ascii="Arial" w:hAnsi="Arial" w:cs="Arial"/>
          <w:sz w:val="26"/>
          <w:szCs w:val="26"/>
        </w:rPr>
        <w:t xml:space="preserve">, </w:t>
      </w:r>
      <w:r w:rsidRPr="00CB6405">
        <w:rPr>
          <w:rFonts w:ascii="Arial" w:hAnsi="Arial" w:cs="Arial"/>
          <w:sz w:val="26"/>
          <w:szCs w:val="26"/>
        </w:rPr>
        <w:t xml:space="preserve">interpuso en su contra recurso de </w:t>
      </w:r>
      <w:r w:rsidR="00A87BE0" w:rsidRPr="00CB6405">
        <w:rPr>
          <w:rFonts w:ascii="Arial" w:hAnsi="Arial" w:cs="Arial"/>
          <w:sz w:val="26"/>
          <w:szCs w:val="26"/>
        </w:rPr>
        <w:t>revisión.</w:t>
      </w:r>
      <w:r w:rsidR="00A87BE0">
        <w:rPr>
          <w:rFonts w:ascii="Arial" w:hAnsi="Arial" w:cs="Arial"/>
          <w:sz w:val="26"/>
          <w:szCs w:val="26"/>
        </w:rPr>
        <w:t xml:space="preserve"> - - - - - - - - - - - - - - </w:t>
      </w:r>
    </w:p>
    <w:p w14:paraId="54CECD74" w14:textId="20060783" w:rsidR="008D62BF" w:rsidRDefault="008D62BF" w:rsidP="008D62BF">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 xml:space="preserve">Los puntos resolutivos de la sentencia recurrida son los </w:t>
      </w:r>
      <w:r w:rsidR="00A87BE0" w:rsidRPr="003B084B">
        <w:rPr>
          <w:rFonts w:ascii="Arial" w:hAnsi="Arial" w:cs="Arial"/>
          <w:bCs/>
          <w:iCs/>
          <w:sz w:val="26"/>
          <w:szCs w:val="26"/>
        </w:rPr>
        <w:t>siguientes:</w:t>
      </w:r>
      <w:r w:rsidR="00A87BE0">
        <w:rPr>
          <w:rFonts w:ascii="Arial" w:hAnsi="Arial" w:cs="Arial"/>
          <w:bCs/>
          <w:iCs/>
          <w:sz w:val="26"/>
          <w:szCs w:val="26"/>
        </w:rPr>
        <w:t xml:space="preserve"> - - - - - - - - - - - - - - - - - - - - - - - - - - - - - - - - - - - - - - - - - - </w:t>
      </w:r>
    </w:p>
    <w:p w14:paraId="0506933D" w14:textId="77777777" w:rsidR="001D78AA" w:rsidRPr="003B084B" w:rsidRDefault="001D78AA" w:rsidP="008D62BF">
      <w:pPr>
        <w:spacing w:after="0" w:line="360" w:lineRule="auto"/>
        <w:ind w:firstLine="567"/>
        <w:jc w:val="both"/>
        <w:rPr>
          <w:rFonts w:ascii="Arial" w:hAnsi="Arial" w:cs="Arial"/>
          <w:bCs/>
          <w:iCs/>
          <w:sz w:val="26"/>
          <w:szCs w:val="26"/>
        </w:rPr>
      </w:pPr>
    </w:p>
    <w:p w14:paraId="272F4EA9" w14:textId="52B86DAF" w:rsidR="00FC67B9" w:rsidRDefault="00B94CF4" w:rsidP="001D78AA">
      <w:pPr>
        <w:spacing w:after="0" w:line="360" w:lineRule="auto"/>
        <w:ind w:left="567" w:right="616"/>
        <w:jc w:val="both"/>
        <w:rPr>
          <w:rFonts w:ascii="Arial" w:hAnsi="Arial" w:cs="Arial"/>
          <w:i/>
        </w:rPr>
      </w:pPr>
      <w:r w:rsidRPr="003B084B">
        <w:rPr>
          <w:rFonts w:ascii="Arial" w:eastAsia="Times New Roman" w:hAnsi="Arial" w:cs="Arial"/>
          <w:b/>
          <w:bCs/>
          <w:i/>
          <w:iCs/>
          <w:lang w:eastAsia="es-ES"/>
        </w:rPr>
        <w:lastRenderedPageBreak/>
        <w:t xml:space="preserve"> </w:t>
      </w:r>
      <w:r w:rsidR="008D62BF" w:rsidRPr="003B084B">
        <w:rPr>
          <w:rFonts w:ascii="Arial" w:eastAsia="Times New Roman" w:hAnsi="Arial" w:cs="Arial"/>
          <w:b/>
          <w:bCs/>
          <w:i/>
          <w:iCs/>
          <w:lang w:eastAsia="es-ES"/>
        </w:rPr>
        <w:t>“</w:t>
      </w:r>
      <w:r w:rsidR="008D62BF" w:rsidRPr="008D62BF">
        <w:rPr>
          <w:rFonts w:ascii="Arial" w:hAnsi="Arial" w:cs="Arial"/>
          <w:b/>
          <w:i/>
        </w:rPr>
        <w:t>PRIMERO. -</w:t>
      </w:r>
      <w:r w:rsidR="008D62BF">
        <w:rPr>
          <w:rFonts w:ascii="Arial" w:hAnsi="Arial" w:cs="Arial"/>
          <w:b/>
          <w:i/>
        </w:rPr>
        <w:t xml:space="preserve"> </w:t>
      </w:r>
      <w:r w:rsidR="008D62BF">
        <w:rPr>
          <w:rFonts w:ascii="Arial" w:hAnsi="Arial" w:cs="Arial"/>
          <w:i/>
        </w:rPr>
        <w:t xml:space="preserve">Esta Quinta Sala Unitaria del Tribunal de Justicia Administrativa del Estado de Oaxaca, es competente para conocer y resolver el presente juicio. </w:t>
      </w:r>
    </w:p>
    <w:p w14:paraId="0854B51C" w14:textId="05AA9DCD" w:rsidR="008D62BF" w:rsidRDefault="008D62BF" w:rsidP="001D78AA">
      <w:pPr>
        <w:spacing w:after="0" w:line="360" w:lineRule="auto"/>
        <w:ind w:left="567" w:right="616"/>
        <w:jc w:val="both"/>
        <w:rPr>
          <w:rFonts w:ascii="Arial" w:hAnsi="Arial" w:cs="Arial"/>
          <w:i/>
        </w:rPr>
      </w:pPr>
      <w:r>
        <w:rPr>
          <w:rFonts w:ascii="Arial" w:hAnsi="Arial" w:cs="Arial"/>
          <w:b/>
          <w:i/>
        </w:rPr>
        <w:t xml:space="preserve">SEGUNDO. - </w:t>
      </w:r>
      <w:r>
        <w:rPr>
          <w:rFonts w:ascii="Arial" w:hAnsi="Arial" w:cs="Arial"/>
          <w:i/>
        </w:rPr>
        <w:t xml:space="preserve">La personalidad de las partes quedaron debidamente acreditadas en autos. </w:t>
      </w:r>
    </w:p>
    <w:p w14:paraId="508D296C" w14:textId="7F888856" w:rsidR="00A23788" w:rsidRPr="00557650" w:rsidRDefault="008D62BF" w:rsidP="001D78AA">
      <w:pPr>
        <w:spacing w:after="0" w:line="360" w:lineRule="auto"/>
        <w:ind w:left="567" w:right="616"/>
        <w:jc w:val="both"/>
        <w:rPr>
          <w:rFonts w:ascii="Arial" w:hAnsi="Arial" w:cs="Arial"/>
          <w:i/>
        </w:rPr>
      </w:pPr>
      <w:r>
        <w:rPr>
          <w:rFonts w:ascii="Arial" w:hAnsi="Arial" w:cs="Arial"/>
          <w:b/>
          <w:i/>
        </w:rPr>
        <w:t xml:space="preserve">TERCERO. </w:t>
      </w:r>
      <w:r w:rsidR="00A23788">
        <w:rPr>
          <w:rFonts w:ascii="Arial" w:hAnsi="Arial" w:cs="Arial"/>
          <w:b/>
          <w:i/>
        </w:rPr>
        <w:t>–</w:t>
      </w:r>
      <w:r>
        <w:rPr>
          <w:rFonts w:ascii="Arial" w:hAnsi="Arial" w:cs="Arial"/>
          <w:b/>
          <w:i/>
        </w:rPr>
        <w:t xml:space="preserve"> </w:t>
      </w:r>
      <w:r w:rsidR="00A23788" w:rsidRPr="00A23788">
        <w:rPr>
          <w:rFonts w:ascii="Arial" w:hAnsi="Arial" w:cs="Arial"/>
          <w:i/>
        </w:rPr>
        <w:t>Este Juzgador advierte</w:t>
      </w:r>
      <w:r w:rsidR="00A23788">
        <w:rPr>
          <w:rFonts w:ascii="Arial" w:hAnsi="Arial" w:cs="Arial"/>
          <w:b/>
          <w:i/>
        </w:rPr>
        <w:t xml:space="preserve"> </w:t>
      </w:r>
      <w:r w:rsidR="00557650">
        <w:rPr>
          <w:rFonts w:ascii="Arial" w:hAnsi="Arial" w:cs="Arial"/>
          <w:i/>
        </w:rPr>
        <w:t xml:space="preserve">que, en el presente juicio no se configura </w:t>
      </w:r>
      <w:r w:rsidR="007C31C2">
        <w:rPr>
          <w:rFonts w:ascii="Arial" w:hAnsi="Arial" w:cs="Arial"/>
          <w:i/>
        </w:rPr>
        <w:t xml:space="preserve">ninguna causal de improcedente (sic) o sobreseimiento; por lo que </w:t>
      </w:r>
      <w:r w:rsidR="007C31C2" w:rsidRPr="007C31C2">
        <w:rPr>
          <w:rFonts w:ascii="Arial" w:hAnsi="Arial" w:cs="Arial"/>
          <w:b/>
          <w:i/>
        </w:rPr>
        <w:t>NO SE SOBRESEE</w:t>
      </w:r>
      <w:r w:rsidR="007C31C2">
        <w:rPr>
          <w:rFonts w:ascii="Arial" w:hAnsi="Arial" w:cs="Arial"/>
          <w:i/>
        </w:rPr>
        <w:t xml:space="preserve">, el presente juicio en términos del considerando </w:t>
      </w:r>
      <w:r w:rsidR="007C31C2" w:rsidRPr="007C31C2">
        <w:rPr>
          <w:rFonts w:ascii="Arial" w:hAnsi="Arial" w:cs="Arial"/>
          <w:b/>
          <w:i/>
        </w:rPr>
        <w:t>TERCERO</w:t>
      </w:r>
      <w:r w:rsidR="007C31C2">
        <w:rPr>
          <w:rFonts w:ascii="Arial" w:hAnsi="Arial" w:cs="Arial"/>
          <w:i/>
        </w:rPr>
        <w:t xml:space="preserve"> de este fallo.</w:t>
      </w:r>
    </w:p>
    <w:p w14:paraId="32252E53" w14:textId="548DD09C" w:rsidR="005331A4" w:rsidRDefault="007C31C2" w:rsidP="001D78AA">
      <w:pPr>
        <w:spacing w:after="0" w:line="360" w:lineRule="auto"/>
        <w:ind w:left="567" w:right="616"/>
        <w:jc w:val="both"/>
        <w:rPr>
          <w:rFonts w:ascii="Arial" w:hAnsi="Arial" w:cs="Arial"/>
          <w:i/>
        </w:rPr>
      </w:pPr>
      <w:r>
        <w:rPr>
          <w:rFonts w:ascii="Arial" w:hAnsi="Arial" w:cs="Arial"/>
          <w:b/>
          <w:i/>
        </w:rPr>
        <w:t xml:space="preserve">CUARTO.- </w:t>
      </w:r>
      <w:r w:rsidR="008D62BF">
        <w:rPr>
          <w:rFonts w:ascii="Arial" w:hAnsi="Arial" w:cs="Arial"/>
          <w:b/>
          <w:i/>
        </w:rPr>
        <w:t xml:space="preserve">SE DECLARA LA NULIDAD LISA Y LLANA </w:t>
      </w:r>
      <w:r>
        <w:rPr>
          <w:rFonts w:ascii="Arial" w:hAnsi="Arial" w:cs="Arial"/>
          <w:b/>
          <w:i/>
        </w:rPr>
        <w:t xml:space="preserve">(sic) </w:t>
      </w:r>
      <w:r w:rsidR="008D62BF">
        <w:rPr>
          <w:rFonts w:ascii="Arial" w:hAnsi="Arial" w:cs="Arial"/>
          <w:i/>
        </w:rPr>
        <w:t xml:space="preserve">acta de infracción con número de folio </w:t>
      </w:r>
      <w:r w:rsidR="008B250C">
        <w:rPr>
          <w:rFonts w:ascii="Arial" w:hAnsi="Arial" w:cs="Arial"/>
          <w:b/>
          <w:sz w:val="26"/>
          <w:szCs w:val="26"/>
        </w:rPr>
        <w:t>***********,</w:t>
      </w:r>
      <w:r w:rsidR="008D62BF">
        <w:rPr>
          <w:rFonts w:ascii="Arial" w:hAnsi="Arial" w:cs="Arial"/>
          <w:b/>
          <w:i/>
        </w:rPr>
        <w:t xml:space="preserve"> </w:t>
      </w:r>
      <w:r w:rsidR="008D62BF">
        <w:rPr>
          <w:rFonts w:ascii="Arial" w:hAnsi="Arial" w:cs="Arial"/>
          <w:i/>
        </w:rPr>
        <w:t xml:space="preserve">de dos de febrero de dos mil veinte, emitida por Luis Pedro Cruz Sumano, </w:t>
      </w:r>
      <w:r w:rsidR="008D62BF">
        <w:rPr>
          <w:rFonts w:ascii="Arial" w:hAnsi="Arial" w:cs="Arial"/>
          <w:b/>
          <w:i/>
        </w:rPr>
        <w:t xml:space="preserve">POLICÍA VIAL MUNICIPAL </w:t>
      </w:r>
      <w:r w:rsidR="008D62BF">
        <w:rPr>
          <w:rFonts w:ascii="Arial" w:hAnsi="Arial" w:cs="Arial"/>
          <w:i/>
        </w:rPr>
        <w:t>de Oaxaca de Ju</w:t>
      </w:r>
      <w:r w:rsidR="005331A4">
        <w:rPr>
          <w:rFonts w:ascii="Arial" w:hAnsi="Arial" w:cs="Arial"/>
          <w:i/>
        </w:rPr>
        <w:t xml:space="preserve">árez, con número estadístico </w:t>
      </w:r>
      <w:r w:rsidR="005331A4">
        <w:rPr>
          <w:rFonts w:ascii="Arial" w:hAnsi="Arial" w:cs="Arial"/>
          <w:b/>
          <w:i/>
        </w:rPr>
        <w:t xml:space="preserve">PV-132, </w:t>
      </w:r>
      <w:r w:rsidR="005331A4">
        <w:rPr>
          <w:rFonts w:ascii="Arial" w:hAnsi="Arial" w:cs="Arial"/>
          <w:i/>
        </w:rPr>
        <w:t xml:space="preserve">elemento adscrito a la Subdirección de Tránsito y Movilidad del Municipio de Oaxaca de Juárez, Oaxaca, por las razones esgrimidas en el considerando </w:t>
      </w:r>
      <w:r w:rsidR="005331A4">
        <w:rPr>
          <w:rFonts w:ascii="Arial" w:hAnsi="Arial" w:cs="Arial"/>
          <w:b/>
          <w:i/>
        </w:rPr>
        <w:t xml:space="preserve">CUARTO </w:t>
      </w:r>
      <w:r w:rsidR="005331A4">
        <w:rPr>
          <w:rFonts w:ascii="Arial" w:hAnsi="Arial" w:cs="Arial"/>
          <w:i/>
        </w:rPr>
        <w:t>de esta sentencia.</w:t>
      </w:r>
    </w:p>
    <w:p w14:paraId="66E094AE" w14:textId="0D5AB700" w:rsidR="008D62BF" w:rsidRPr="008D62BF" w:rsidRDefault="005331A4" w:rsidP="001D78AA">
      <w:pPr>
        <w:spacing w:after="0" w:line="360" w:lineRule="auto"/>
        <w:ind w:left="567" w:right="616"/>
        <w:jc w:val="both"/>
        <w:rPr>
          <w:rFonts w:ascii="Arial" w:hAnsi="Arial" w:cs="Arial"/>
          <w:i/>
        </w:rPr>
      </w:pPr>
      <w:r>
        <w:rPr>
          <w:rFonts w:ascii="Arial" w:hAnsi="Arial" w:cs="Arial"/>
          <w:b/>
          <w:i/>
        </w:rPr>
        <w:t xml:space="preserve">QUINTO. - </w:t>
      </w:r>
      <w:r>
        <w:rPr>
          <w:rFonts w:ascii="Arial" w:hAnsi="Arial" w:cs="Arial"/>
          <w:i/>
        </w:rPr>
        <w:t xml:space="preserve">Conforme a lo dispuesto en los artículos 172 y 173 fracciones </w:t>
      </w:r>
      <w:r w:rsidR="00C87F6C">
        <w:rPr>
          <w:rFonts w:ascii="Arial" w:hAnsi="Arial" w:cs="Arial"/>
          <w:i/>
        </w:rPr>
        <w:t xml:space="preserve">(sic) </w:t>
      </w:r>
      <w:r>
        <w:rPr>
          <w:rFonts w:ascii="Arial" w:hAnsi="Arial" w:cs="Arial"/>
          <w:i/>
        </w:rPr>
        <w:t xml:space="preserve">de la Ley de Procedimiento y Justicia Administrativa para el Estado de Oaxaca, </w:t>
      </w:r>
      <w:r>
        <w:rPr>
          <w:rFonts w:ascii="Arial" w:hAnsi="Arial" w:cs="Arial"/>
          <w:b/>
          <w:i/>
        </w:rPr>
        <w:t xml:space="preserve">NOTIFÍQUESE </w:t>
      </w:r>
      <w:r>
        <w:rPr>
          <w:rFonts w:ascii="Arial" w:hAnsi="Arial" w:cs="Arial"/>
          <w:i/>
        </w:rPr>
        <w:t xml:space="preserve">personalmente a la actora y por oficio a la autoridad demandada. </w:t>
      </w:r>
      <w:r>
        <w:rPr>
          <w:rFonts w:ascii="Arial" w:hAnsi="Arial" w:cs="Arial"/>
          <w:b/>
          <w:i/>
        </w:rPr>
        <w:t xml:space="preserve">CÚMPLASE. </w:t>
      </w:r>
      <w:r>
        <w:rPr>
          <w:rFonts w:ascii="Arial" w:hAnsi="Arial" w:cs="Arial"/>
          <w:i/>
        </w:rPr>
        <w:t xml:space="preserve"> </w:t>
      </w:r>
    </w:p>
    <w:p w14:paraId="1DD2B178" w14:textId="209C0458" w:rsidR="003B6CF0" w:rsidRDefault="00FC67B9" w:rsidP="00A23788">
      <w:pPr>
        <w:spacing w:after="0" w:line="360" w:lineRule="auto"/>
        <w:ind w:left="567" w:right="616"/>
        <w:jc w:val="both"/>
        <w:rPr>
          <w:rFonts w:ascii="Arial" w:eastAsia="Times New Roman" w:hAnsi="Arial" w:cs="Arial"/>
          <w:b/>
          <w:bCs/>
          <w:i/>
          <w:iCs/>
          <w:lang w:eastAsia="es-ES"/>
        </w:rPr>
      </w:pPr>
      <w:r>
        <w:rPr>
          <w:rFonts w:ascii="Arial" w:hAnsi="Arial" w:cs="Arial"/>
          <w:i/>
        </w:rPr>
        <w:t>Así lo acordó y firma la Licenciada M</w:t>
      </w:r>
      <w:r w:rsidR="004567E0">
        <w:rPr>
          <w:rFonts w:ascii="Arial" w:hAnsi="Arial" w:cs="Arial"/>
          <w:i/>
        </w:rPr>
        <w:t>a</w:t>
      </w:r>
      <w:r>
        <w:rPr>
          <w:rFonts w:ascii="Arial" w:hAnsi="Arial" w:cs="Arial"/>
          <w:i/>
        </w:rPr>
        <w:t>rissa Ignacio Valencia, Secretaria de Acuerdos adscrita a la Quinta Sala Unitaria de Primera I</w:t>
      </w:r>
      <w:r w:rsidR="004567E0">
        <w:rPr>
          <w:rFonts w:ascii="Arial" w:hAnsi="Arial" w:cs="Arial"/>
          <w:i/>
        </w:rPr>
        <w:t>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Ruíz Castro, actuario de esta Sala, que autoriza y da fe</w:t>
      </w:r>
      <w:r w:rsidR="005A28FD">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6FDEC735" w14:textId="77777777" w:rsidR="00A23788" w:rsidRPr="002614F4" w:rsidRDefault="00A23788" w:rsidP="00A23788">
      <w:pPr>
        <w:spacing w:after="0" w:line="360" w:lineRule="auto"/>
        <w:ind w:left="567" w:right="616"/>
        <w:jc w:val="both"/>
        <w:rPr>
          <w:rFonts w:ascii="Arial" w:eastAsia="Times New Roman" w:hAnsi="Arial" w:cs="Arial"/>
          <w:bCs/>
          <w:i/>
          <w:iCs/>
          <w:lang w:eastAsia="es-ES"/>
        </w:rPr>
      </w:pPr>
    </w:p>
    <w:p w14:paraId="36EF0AC2" w14:textId="1242AFBA" w:rsidR="003B6CF0" w:rsidRPr="00CB6405" w:rsidRDefault="005A28FD"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48919E82"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5331A4">
        <w:rPr>
          <w:rFonts w:ascii="Arial" w:hAnsi="Arial" w:cs="Arial"/>
          <w:bCs/>
          <w:iCs/>
          <w:sz w:val="26"/>
          <w:szCs w:val="26"/>
        </w:rPr>
        <w:t xml:space="preserve"> </w:t>
      </w:r>
      <w:r w:rsidR="00FE401A">
        <w:rPr>
          <w:rFonts w:ascii="Arial" w:hAnsi="Arial" w:cs="Arial"/>
          <w:bCs/>
          <w:iCs/>
          <w:sz w:val="26"/>
          <w:szCs w:val="26"/>
        </w:rPr>
        <w:t>l</w:t>
      </w:r>
      <w:r w:rsidR="005331A4">
        <w:rPr>
          <w:rFonts w:ascii="Arial" w:hAnsi="Arial" w:cs="Arial"/>
          <w:bCs/>
          <w:iCs/>
          <w:sz w:val="26"/>
          <w:szCs w:val="26"/>
        </w:rPr>
        <w:t>a</w:t>
      </w:r>
      <w:r>
        <w:rPr>
          <w:rFonts w:ascii="Arial" w:hAnsi="Arial" w:cs="Arial"/>
          <w:bCs/>
          <w:iCs/>
          <w:sz w:val="26"/>
          <w:szCs w:val="26"/>
        </w:rPr>
        <w:t xml:space="preserve"> </w:t>
      </w:r>
      <w:r w:rsidR="00BD4A71">
        <w:rPr>
          <w:rFonts w:ascii="Arial" w:hAnsi="Arial" w:cs="Arial"/>
          <w:bCs/>
          <w:iCs/>
          <w:sz w:val="26"/>
          <w:szCs w:val="26"/>
        </w:rPr>
        <w:t>sentencia</w:t>
      </w:r>
      <w:r>
        <w:rPr>
          <w:rFonts w:ascii="Arial" w:hAnsi="Arial" w:cs="Arial"/>
          <w:sz w:val="26"/>
          <w:szCs w:val="26"/>
        </w:rPr>
        <w:t xml:space="preserve"> de fecha </w:t>
      </w:r>
      <w:r w:rsidR="004567E0">
        <w:rPr>
          <w:rFonts w:ascii="Arial" w:hAnsi="Arial" w:cs="Arial"/>
          <w:sz w:val="26"/>
          <w:szCs w:val="26"/>
        </w:rPr>
        <w:t>catorce</w:t>
      </w:r>
      <w:r w:rsidR="006F7407">
        <w:rPr>
          <w:rFonts w:ascii="Arial" w:hAnsi="Arial" w:cs="Arial"/>
          <w:sz w:val="26"/>
          <w:szCs w:val="26"/>
        </w:rPr>
        <w:t xml:space="preserve"> de </w:t>
      </w:r>
      <w:r w:rsidR="004567E0">
        <w:rPr>
          <w:rFonts w:ascii="Arial" w:hAnsi="Arial" w:cs="Arial"/>
          <w:sz w:val="26"/>
          <w:szCs w:val="26"/>
        </w:rPr>
        <w:t>octu</w:t>
      </w:r>
      <w:r w:rsidR="00FE401A">
        <w:rPr>
          <w:rFonts w:ascii="Arial" w:hAnsi="Arial" w:cs="Arial"/>
          <w:sz w:val="26"/>
          <w:szCs w:val="26"/>
        </w:rPr>
        <w:t>bre</w:t>
      </w:r>
      <w:r w:rsidR="006F7407">
        <w:rPr>
          <w:rFonts w:ascii="Arial" w:hAnsi="Arial" w:cs="Arial"/>
          <w:sz w:val="26"/>
          <w:szCs w:val="26"/>
        </w:rPr>
        <w:t xml:space="preserve"> de dos mil veinte</w:t>
      </w:r>
      <w:r w:rsidR="00305CF4">
        <w:rPr>
          <w:rFonts w:ascii="Arial" w:hAnsi="Arial" w:cs="Arial"/>
          <w:bCs/>
          <w:iCs/>
          <w:sz w:val="26"/>
          <w:szCs w:val="26"/>
        </w:rPr>
        <w:t>, dictad</w:t>
      </w:r>
      <w:r w:rsidR="00BD4A71">
        <w:rPr>
          <w:rFonts w:ascii="Arial" w:hAnsi="Arial" w:cs="Arial"/>
          <w:bCs/>
          <w:iCs/>
          <w:sz w:val="26"/>
          <w:szCs w:val="26"/>
        </w:rPr>
        <w:t>a</w:t>
      </w:r>
      <w:r w:rsidRPr="008E3662">
        <w:rPr>
          <w:rFonts w:ascii="Arial" w:hAnsi="Arial" w:cs="Arial"/>
          <w:bCs/>
          <w:iCs/>
          <w:sz w:val="26"/>
          <w:szCs w:val="26"/>
        </w:rPr>
        <w:t xml:space="preserve"> por la </w:t>
      </w:r>
      <w:r w:rsidR="00FE401A">
        <w:rPr>
          <w:rFonts w:ascii="Arial" w:hAnsi="Arial" w:cs="Arial"/>
          <w:bCs/>
          <w:iCs/>
          <w:sz w:val="26"/>
          <w:szCs w:val="26"/>
        </w:rPr>
        <w:lastRenderedPageBreak/>
        <w:t>Quin</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0268DB">
        <w:rPr>
          <w:rFonts w:ascii="Arial" w:hAnsi="Arial" w:cs="Arial"/>
          <w:b/>
          <w:bCs/>
          <w:iCs/>
          <w:sz w:val="26"/>
          <w:szCs w:val="26"/>
        </w:rPr>
        <w:t>0</w:t>
      </w:r>
      <w:r w:rsidR="00BD4A71">
        <w:rPr>
          <w:rFonts w:ascii="Arial" w:hAnsi="Arial" w:cs="Arial"/>
          <w:b/>
          <w:bCs/>
          <w:iCs/>
          <w:sz w:val="26"/>
          <w:szCs w:val="26"/>
        </w:rPr>
        <w:t>23</w:t>
      </w:r>
      <w:r w:rsidRPr="00AE78C3">
        <w:rPr>
          <w:rFonts w:ascii="Arial" w:hAnsi="Arial" w:cs="Arial"/>
          <w:b/>
          <w:bCs/>
          <w:iCs/>
          <w:sz w:val="26"/>
          <w:szCs w:val="26"/>
        </w:rPr>
        <w:t>/20</w:t>
      </w:r>
      <w:r w:rsidR="000268DB">
        <w:rPr>
          <w:rFonts w:ascii="Arial" w:hAnsi="Arial" w:cs="Arial"/>
          <w:b/>
          <w:bCs/>
          <w:iCs/>
          <w:sz w:val="26"/>
          <w:szCs w:val="26"/>
        </w:rPr>
        <w:t>20</w:t>
      </w:r>
      <w:r w:rsidRPr="00AE78C3">
        <w:rPr>
          <w:rFonts w:ascii="Arial" w:hAnsi="Arial" w:cs="Arial"/>
          <w:b/>
          <w:bCs/>
          <w:iCs/>
          <w:sz w:val="26"/>
          <w:szCs w:val="26"/>
        </w:rPr>
        <w:t>.</w:t>
      </w:r>
      <w:r w:rsidR="00CB13A7">
        <w:rPr>
          <w:rFonts w:ascii="Arial" w:hAnsi="Arial" w:cs="Arial"/>
          <w:b/>
          <w:bCs/>
          <w:iCs/>
          <w:sz w:val="26"/>
          <w:szCs w:val="26"/>
        </w:rPr>
        <w:t xml:space="preserve"> - - - - - - - - - </w:t>
      </w:r>
      <w:r w:rsidR="006A1E2E">
        <w:rPr>
          <w:rFonts w:ascii="Arial" w:hAnsi="Arial" w:cs="Arial"/>
          <w:b/>
          <w:bCs/>
          <w:iCs/>
          <w:sz w:val="26"/>
          <w:szCs w:val="26"/>
        </w:rPr>
        <w:t xml:space="preserve">- - - - - - - - - - - - - - - - - - - - - - - - - - </w:t>
      </w:r>
    </w:p>
    <w:p w14:paraId="5B55C11A" w14:textId="3C3AA0B4" w:rsidR="00F6141C" w:rsidRPr="00B52F9A" w:rsidRDefault="00F6141C" w:rsidP="00F6141C">
      <w:pPr>
        <w:spacing w:before="240" w:after="0" w:line="360" w:lineRule="auto"/>
        <w:ind w:firstLine="709"/>
        <w:jc w:val="both"/>
        <w:rPr>
          <w:rFonts w:ascii="Arial" w:hAnsi="Arial" w:cs="Arial"/>
          <w:sz w:val="26"/>
          <w:szCs w:val="26"/>
        </w:rPr>
      </w:pPr>
      <w:r w:rsidRPr="00B52F9A">
        <w:rPr>
          <w:rFonts w:ascii="Arial" w:hAnsi="Arial" w:cs="Arial"/>
          <w:b/>
          <w:sz w:val="26"/>
          <w:szCs w:val="26"/>
        </w:rPr>
        <w:t>SEGUNDO</w:t>
      </w:r>
      <w:r w:rsidRPr="00B52F9A">
        <w:rPr>
          <w:rFonts w:ascii="Arial" w:hAnsi="Arial" w:cs="Arial"/>
          <w:sz w:val="26"/>
          <w:szCs w:val="26"/>
        </w:rPr>
        <w:t>. 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w:t>
      </w:r>
      <w:proofErr w:type="gramStart"/>
      <w:r w:rsidRPr="00B52F9A">
        <w:rPr>
          <w:rFonts w:ascii="Arial" w:hAnsi="Arial" w:cs="Arial"/>
          <w:sz w:val="26"/>
          <w:szCs w:val="26"/>
        </w:rPr>
        <w:t>./</w:t>
      </w:r>
      <w:proofErr w:type="gramEnd"/>
      <w:r w:rsidRPr="00B52F9A">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6A1E2E">
        <w:rPr>
          <w:rFonts w:ascii="Arial" w:hAnsi="Arial" w:cs="Arial"/>
          <w:sz w:val="26"/>
          <w:szCs w:val="26"/>
        </w:rPr>
        <w:t xml:space="preserve">- - - - - - - - - - - - - - - - - - - - - - - - - - - - - - - - - - </w:t>
      </w:r>
    </w:p>
    <w:p w14:paraId="03DDE9C7" w14:textId="77777777" w:rsidR="00F6141C" w:rsidRPr="00B52F9A" w:rsidRDefault="00F6141C" w:rsidP="00F6141C">
      <w:pPr>
        <w:spacing w:before="240" w:after="0" w:line="360" w:lineRule="auto"/>
        <w:ind w:left="567" w:right="616"/>
        <w:jc w:val="both"/>
        <w:rPr>
          <w:rFonts w:ascii="Arial" w:hAnsi="Arial" w:cs="Arial"/>
          <w:b/>
          <w:i/>
        </w:rPr>
      </w:pPr>
      <w:r w:rsidRPr="00B52F9A">
        <w:rPr>
          <w:rFonts w:ascii="Arial" w:hAnsi="Arial" w:cs="Arial"/>
          <w:b/>
          <w:i/>
        </w:rPr>
        <w:t>“CONCEPTOS DE VIOLACIÓN O AGRAVIOS. PARA CUMPLIR CON LOS PRINCIPIOS DE CONGRUENCIA Y EXHAUSTIVIDAD EN LAS SENTENCIAS DE AMPARO ES INNECESARIA SU TRANSCRIPCIÓN.</w:t>
      </w:r>
    </w:p>
    <w:p w14:paraId="735E16E9" w14:textId="77777777" w:rsidR="00F6141C" w:rsidRPr="00B52F9A" w:rsidRDefault="00F6141C" w:rsidP="00F6141C">
      <w:pPr>
        <w:spacing w:before="240" w:after="0" w:line="360" w:lineRule="auto"/>
        <w:ind w:left="567" w:right="616"/>
        <w:jc w:val="both"/>
        <w:rPr>
          <w:rFonts w:ascii="Arial" w:hAnsi="Arial" w:cs="Arial"/>
          <w:i/>
        </w:rPr>
      </w:pPr>
      <w:r w:rsidRPr="00B52F9A">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BA1DB82" w14:textId="77777777" w:rsidR="00F6141C" w:rsidRPr="00B52F9A" w:rsidRDefault="00F6141C" w:rsidP="00F6141C">
      <w:pPr>
        <w:spacing w:before="240" w:after="0" w:line="360" w:lineRule="auto"/>
        <w:ind w:left="567" w:right="616"/>
        <w:jc w:val="both"/>
        <w:rPr>
          <w:rFonts w:ascii="Arial" w:hAnsi="Arial" w:cs="Arial"/>
          <w:i/>
        </w:rPr>
      </w:pPr>
      <w:r w:rsidRPr="00B52F9A">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0B6EF59A" w14:textId="77777777" w:rsidR="00F6141C" w:rsidRPr="00C644DD" w:rsidRDefault="00F6141C" w:rsidP="00F6141C">
      <w:pPr>
        <w:spacing w:before="240" w:after="0" w:line="360" w:lineRule="auto"/>
        <w:ind w:left="567" w:right="616"/>
        <w:jc w:val="both"/>
        <w:rPr>
          <w:rFonts w:ascii="Arial" w:hAnsi="Arial" w:cs="Arial"/>
          <w:i/>
        </w:rPr>
      </w:pPr>
      <w:r w:rsidRPr="00D81503">
        <w:rPr>
          <w:rFonts w:ascii="Arial" w:hAnsi="Arial" w:cs="Arial"/>
          <w:i/>
        </w:rPr>
        <w:t>Tesis de jurisprudencia 58/2010. Aprobada por la Segunda Sala de este Alto Tribunal, en sesión privada del doce de mayo de dos mil diez.”</w:t>
      </w:r>
    </w:p>
    <w:p w14:paraId="682B226E" w14:textId="3D97E257" w:rsidR="006F40D6" w:rsidRPr="006F40D6" w:rsidRDefault="006F40D6" w:rsidP="006F40D6">
      <w:pPr>
        <w:widowControl w:val="0"/>
        <w:tabs>
          <w:tab w:val="left" w:pos="0"/>
        </w:tabs>
        <w:spacing w:before="240" w:after="0" w:line="360" w:lineRule="auto"/>
        <w:ind w:right="18"/>
        <w:jc w:val="both"/>
        <w:rPr>
          <w:rFonts w:ascii="Arial" w:eastAsia="Times New Roman" w:hAnsi="Arial" w:cs="Arial"/>
          <w:sz w:val="26"/>
          <w:szCs w:val="26"/>
        </w:rPr>
      </w:pPr>
      <w:r>
        <w:rPr>
          <w:rFonts w:ascii="Arial" w:eastAsia="Times New Roman" w:hAnsi="Arial" w:cs="Arial"/>
          <w:b/>
          <w:sz w:val="26"/>
          <w:szCs w:val="26"/>
        </w:rPr>
        <w:lastRenderedPageBreak/>
        <w:tab/>
      </w:r>
      <w:r w:rsidRPr="006F40D6">
        <w:rPr>
          <w:rFonts w:ascii="Arial" w:eastAsia="Times New Roman" w:hAnsi="Arial" w:cs="Arial"/>
          <w:b/>
          <w:sz w:val="26"/>
          <w:szCs w:val="26"/>
        </w:rPr>
        <w:t xml:space="preserve">TERCERO.- </w:t>
      </w:r>
      <w:r w:rsidRPr="006F40D6">
        <w:rPr>
          <w:rFonts w:ascii="Arial" w:eastAsia="Times New Roman" w:hAnsi="Arial" w:cs="Arial"/>
          <w:sz w:val="26"/>
          <w:szCs w:val="26"/>
        </w:rPr>
        <w:t>La autoridad</w:t>
      </w:r>
      <w:r w:rsidRPr="006F40D6">
        <w:rPr>
          <w:rFonts w:ascii="Arial" w:eastAsia="Calibri" w:hAnsi="Arial" w:cs="Arial"/>
          <w:bCs/>
          <w:sz w:val="26"/>
          <w:szCs w:val="26"/>
          <w:lang w:val="es-ES" w:eastAsia="en-US"/>
        </w:rPr>
        <w:t xml:space="preserve"> recurrente </w:t>
      </w:r>
      <w:r w:rsidRPr="006F40D6">
        <w:rPr>
          <w:rFonts w:ascii="Arial" w:eastAsia="Times New Roman" w:hAnsi="Arial" w:cs="Arial"/>
          <w:sz w:val="26"/>
          <w:szCs w:val="26"/>
        </w:rPr>
        <w:t>argumenta que la sentencia en revisión, le causa agravios a su investidura como policía vial, ya que la citada resolución no se encuentra debidamente fundada y motivada, requisito que debe llenarse para un acto de autoridad de acuerdo a lo previsto en el artículo 16 Constitucional, lo anterior es así porque tomando en consideración que en el presente asunto se está en presencia de un juicio de naturaleza administrativa, que no admite suplencia de la queja, y que el Juzgador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6A1E2E">
        <w:rPr>
          <w:rFonts w:ascii="Arial" w:eastAsia="Times New Roman" w:hAnsi="Arial" w:cs="Arial"/>
          <w:sz w:val="26"/>
          <w:szCs w:val="26"/>
        </w:rPr>
        <w:t>- - -</w:t>
      </w:r>
    </w:p>
    <w:p w14:paraId="42B2A6B3" w14:textId="77777777" w:rsidR="006F40D6" w:rsidRDefault="006F40D6" w:rsidP="006A1E2E">
      <w:pPr>
        <w:pStyle w:val="Sinespaciado"/>
        <w:rPr>
          <w:rFonts w:eastAsia="Calibri"/>
          <w:lang w:eastAsia="en-US"/>
        </w:rPr>
      </w:pPr>
    </w:p>
    <w:p w14:paraId="59D4D15E" w14:textId="204ED86D" w:rsidR="006F40D6" w:rsidRPr="006F40D6" w:rsidRDefault="006F40D6" w:rsidP="006F40D6">
      <w:pPr>
        <w:spacing w:line="360" w:lineRule="auto"/>
        <w:ind w:right="49" w:firstLine="567"/>
        <w:jc w:val="both"/>
        <w:rPr>
          <w:rFonts w:ascii="Arial" w:eastAsia="Calibri" w:hAnsi="Arial" w:cs="Arial"/>
          <w:b/>
          <w:sz w:val="26"/>
          <w:szCs w:val="26"/>
          <w:lang w:val="es-ES" w:eastAsia="en-US"/>
        </w:rPr>
      </w:pPr>
      <w:r w:rsidRPr="006F40D6">
        <w:rPr>
          <w:rFonts w:ascii="Arial" w:eastAsia="Calibri" w:hAnsi="Arial" w:cs="Arial"/>
          <w:bCs/>
          <w:iCs/>
          <w:sz w:val="26"/>
          <w:szCs w:val="26"/>
          <w:lang w:eastAsia="en-US"/>
        </w:rPr>
        <w:t xml:space="preserve">Esta Sala Superior estima que las aseveraciones </w:t>
      </w:r>
      <w:r w:rsidRPr="006F40D6">
        <w:rPr>
          <w:rFonts w:ascii="Arial" w:eastAsia="Calibri" w:hAnsi="Arial" w:cs="Arial"/>
          <w:bCs/>
          <w:sz w:val="26"/>
          <w:szCs w:val="26"/>
          <w:lang w:val="es-ES" w:eastAsia="en-US"/>
        </w:rPr>
        <w:t xml:space="preserve">expresadas por la autoridad inconforme en su oficio de recurso de revisión </w:t>
      </w:r>
      <w:r w:rsidRPr="006F40D6">
        <w:rPr>
          <w:rFonts w:ascii="Arial" w:eastAsia="Calibri" w:hAnsi="Arial" w:cs="Arial"/>
          <w:b/>
          <w:bCs/>
          <w:sz w:val="26"/>
          <w:szCs w:val="26"/>
          <w:lang w:val="es-ES" w:eastAsia="en-US"/>
        </w:rPr>
        <w:t>carecen de razón,</w:t>
      </w:r>
      <w:r w:rsidRPr="006F40D6">
        <w:rPr>
          <w:rFonts w:ascii="Arial" w:eastAsia="Calibri" w:hAnsi="Arial" w:cs="Arial"/>
          <w:bCs/>
          <w:sz w:val="26"/>
          <w:szCs w:val="26"/>
          <w:lang w:val="es-ES" w:eastAsia="en-US"/>
        </w:rPr>
        <w:t xml:space="preserve"> porque dichos argumentos de ninguna manera van encaminados a controvertir las consideraciones principales de la sentencia combatida, en la que se declaró la nulidad lisa y llana del acta de infr</w:t>
      </w:r>
      <w:r>
        <w:rPr>
          <w:rFonts w:ascii="Arial" w:eastAsia="Calibri" w:hAnsi="Arial" w:cs="Arial"/>
          <w:bCs/>
          <w:sz w:val="26"/>
          <w:szCs w:val="26"/>
          <w:lang w:val="es-ES" w:eastAsia="en-US"/>
        </w:rPr>
        <w:t xml:space="preserve">acción con número de folio </w:t>
      </w:r>
      <w:r w:rsidR="008B250C">
        <w:rPr>
          <w:rFonts w:ascii="Arial" w:hAnsi="Arial" w:cs="Arial"/>
          <w:b/>
          <w:sz w:val="26"/>
          <w:szCs w:val="26"/>
        </w:rPr>
        <w:t>***********,</w:t>
      </w:r>
      <w:r w:rsidRPr="006F40D6">
        <w:rPr>
          <w:rFonts w:ascii="Arial" w:eastAsia="Calibri" w:hAnsi="Arial" w:cs="Arial"/>
          <w:bCs/>
          <w:sz w:val="26"/>
          <w:szCs w:val="26"/>
          <w:lang w:val="es-ES" w:eastAsia="en-US"/>
        </w:rPr>
        <w:t xml:space="preserve"> de fecha dos de </w:t>
      </w:r>
      <w:r>
        <w:rPr>
          <w:rFonts w:ascii="Arial" w:eastAsia="Calibri" w:hAnsi="Arial" w:cs="Arial"/>
          <w:bCs/>
          <w:sz w:val="26"/>
          <w:szCs w:val="26"/>
          <w:lang w:val="es-ES" w:eastAsia="en-US"/>
        </w:rPr>
        <w:t>febrero</w:t>
      </w:r>
      <w:r w:rsidRPr="006F40D6">
        <w:rPr>
          <w:rFonts w:ascii="Arial" w:eastAsia="Calibri" w:hAnsi="Arial" w:cs="Arial"/>
          <w:bCs/>
          <w:sz w:val="26"/>
          <w:szCs w:val="26"/>
          <w:lang w:val="es-ES" w:eastAsia="en-US"/>
        </w:rPr>
        <w:t xml:space="preserve"> de dos mil </w:t>
      </w:r>
      <w:r>
        <w:rPr>
          <w:rFonts w:ascii="Arial" w:eastAsia="Calibri" w:hAnsi="Arial" w:cs="Arial"/>
          <w:bCs/>
          <w:sz w:val="26"/>
          <w:szCs w:val="26"/>
          <w:lang w:val="es-ES" w:eastAsia="en-US"/>
        </w:rPr>
        <w:t>veinte</w:t>
      </w:r>
      <w:r w:rsidRPr="006F40D6">
        <w:rPr>
          <w:rFonts w:ascii="Arial" w:eastAsia="Calibri" w:hAnsi="Arial" w:cs="Arial"/>
          <w:bCs/>
          <w:sz w:val="26"/>
          <w:szCs w:val="26"/>
          <w:lang w:val="es-ES" w:eastAsia="en-US"/>
        </w:rPr>
        <w:t xml:space="preserve">. Ello, porque en su afirmación inicial la recurrente </w:t>
      </w:r>
      <w:r w:rsidRPr="006F40D6">
        <w:rPr>
          <w:rFonts w:ascii="Arial" w:eastAsiaTheme="minorHAnsi" w:hAnsi="Arial" w:cs="Arial"/>
          <w:bCs/>
          <w:sz w:val="26"/>
          <w:szCs w:val="26"/>
          <w:lang w:val="es-ES" w:eastAsia="en-US"/>
        </w:rPr>
        <w:t xml:space="preserve">alega cuestiones notoriamente distintas a las del juicio de primera instancia, al haber referido que en la sentencia </w:t>
      </w:r>
      <w:r w:rsidRPr="006F40D6">
        <w:rPr>
          <w:rFonts w:ascii="Arial" w:eastAsia="Calibri" w:hAnsi="Arial" w:cs="Arial"/>
          <w:bCs/>
          <w:sz w:val="26"/>
          <w:szCs w:val="26"/>
          <w:lang w:val="es-ES" w:eastAsia="en-US"/>
        </w:rPr>
        <w:t xml:space="preserve">de </w:t>
      </w:r>
      <w:r w:rsidRPr="000F633F">
        <w:rPr>
          <w:rFonts w:ascii="Arial" w:eastAsia="Calibri" w:hAnsi="Arial" w:cs="Arial"/>
          <w:bCs/>
          <w:sz w:val="26"/>
          <w:szCs w:val="26"/>
          <w:lang w:val="es-ES" w:eastAsia="en-US"/>
        </w:rPr>
        <w:t>fecha</w:t>
      </w:r>
      <w:r w:rsidR="00286E86" w:rsidRPr="000F633F">
        <w:rPr>
          <w:rFonts w:ascii="Arial" w:eastAsia="Calibri" w:hAnsi="Arial" w:cs="Arial"/>
          <w:bCs/>
          <w:sz w:val="26"/>
          <w:szCs w:val="26"/>
          <w:lang w:val="es-ES" w:eastAsia="en-US"/>
        </w:rPr>
        <w:t xml:space="preserve"> catorce de octubre de dos mil veinte</w:t>
      </w:r>
      <w:r w:rsidRPr="000F633F">
        <w:rPr>
          <w:rFonts w:ascii="Arial" w:eastAsia="Calibri" w:hAnsi="Arial" w:cs="Arial"/>
          <w:sz w:val="26"/>
          <w:szCs w:val="26"/>
          <w:lang w:val="es-ES" w:eastAsia="en-US"/>
        </w:rPr>
        <w:t>, la</w:t>
      </w:r>
      <w:r w:rsidRPr="006F40D6">
        <w:rPr>
          <w:rFonts w:ascii="Arial" w:eastAsia="Calibri" w:hAnsi="Arial" w:cs="Arial"/>
          <w:sz w:val="26"/>
          <w:szCs w:val="26"/>
          <w:lang w:val="es-ES" w:eastAsia="en-US"/>
        </w:rPr>
        <w:t xml:space="preserve"> </w:t>
      </w:r>
      <w:r w:rsidRPr="006F40D6">
        <w:rPr>
          <w:rFonts w:ascii="Arial" w:eastAsia="Calibri" w:hAnsi="Arial" w:cs="Arial"/>
          <w:i/>
          <w:sz w:val="26"/>
          <w:szCs w:val="26"/>
          <w:lang w:val="es-ES" w:eastAsia="en-US"/>
        </w:rPr>
        <w:t>A quo</w:t>
      </w:r>
      <w:r w:rsidRPr="006F40D6">
        <w:rPr>
          <w:rFonts w:ascii="Arial" w:eastAsia="Calibri" w:hAnsi="Arial" w:cs="Arial"/>
          <w:sz w:val="26"/>
          <w:szCs w:val="26"/>
          <w:lang w:val="es-ES" w:eastAsia="en-US"/>
        </w:rPr>
        <w:t xml:space="preserve"> intervino y suplió deficiencias de la queja y que no tiene facultades para ordenar la reposición del procedimiento, lo cual no fue realizado por la </w:t>
      </w:r>
      <w:r w:rsidRPr="006F40D6">
        <w:rPr>
          <w:rFonts w:ascii="Arial" w:eastAsia="Calibri" w:hAnsi="Arial" w:cs="Arial"/>
          <w:i/>
          <w:sz w:val="26"/>
          <w:szCs w:val="26"/>
          <w:lang w:val="es-ES" w:eastAsia="en-US"/>
        </w:rPr>
        <w:t>A quo</w:t>
      </w:r>
      <w:r w:rsidRPr="006F40D6">
        <w:rPr>
          <w:rFonts w:ascii="Arial" w:eastAsia="Calibri" w:hAnsi="Arial" w:cs="Arial"/>
          <w:sz w:val="26"/>
          <w:szCs w:val="26"/>
          <w:lang w:val="es-ES" w:eastAsia="en-US"/>
        </w:rPr>
        <w:t xml:space="preserve">, lo que se </w:t>
      </w:r>
      <w:r w:rsidRPr="006F40D6">
        <w:rPr>
          <w:rFonts w:ascii="Arial" w:eastAsia="Calibri" w:hAnsi="Arial" w:cs="Arial"/>
          <w:bCs/>
          <w:sz w:val="26"/>
          <w:szCs w:val="26"/>
          <w:lang w:val="es-ES" w:eastAsia="en-US"/>
        </w:rPr>
        <w:t>comprueba del análisis efectuado a la sentencia en revisión</w:t>
      </w:r>
      <w:r w:rsidR="00D81503">
        <w:rPr>
          <w:rFonts w:ascii="Arial" w:eastAsia="Calibri" w:hAnsi="Arial" w:cs="Arial"/>
          <w:bCs/>
          <w:sz w:val="26"/>
          <w:szCs w:val="26"/>
          <w:lang w:val="es-ES" w:eastAsia="en-US"/>
        </w:rPr>
        <w:t>, y que obra agregada a fojas 35</w:t>
      </w:r>
      <w:r w:rsidRPr="006F40D6">
        <w:rPr>
          <w:rFonts w:ascii="Arial" w:eastAsia="Calibri" w:hAnsi="Arial" w:cs="Arial"/>
          <w:sz w:val="26"/>
          <w:szCs w:val="26"/>
          <w:lang w:val="es-ES" w:eastAsia="en-US"/>
        </w:rPr>
        <w:t xml:space="preserve"> (treinta y </w:t>
      </w:r>
      <w:r w:rsidR="00D81503">
        <w:rPr>
          <w:rFonts w:ascii="Arial" w:eastAsia="Calibri" w:hAnsi="Arial" w:cs="Arial"/>
          <w:sz w:val="26"/>
          <w:szCs w:val="26"/>
          <w:lang w:val="es-ES" w:eastAsia="en-US"/>
        </w:rPr>
        <w:t>cinco</w:t>
      </w:r>
      <w:r w:rsidRPr="006F40D6">
        <w:rPr>
          <w:rFonts w:ascii="Arial" w:eastAsia="Calibri" w:hAnsi="Arial" w:cs="Arial"/>
          <w:sz w:val="26"/>
          <w:szCs w:val="26"/>
          <w:lang w:val="es-ES" w:eastAsia="en-US"/>
        </w:rPr>
        <w:t xml:space="preserve">) a </w:t>
      </w:r>
      <w:r w:rsidR="00D81503">
        <w:rPr>
          <w:rFonts w:ascii="Arial" w:eastAsia="Calibri" w:hAnsi="Arial" w:cs="Arial"/>
          <w:sz w:val="26"/>
          <w:szCs w:val="26"/>
          <w:lang w:val="es-ES" w:eastAsia="en-US"/>
        </w:rPr>
        <w:t>37</w:t>
      </w:r>
      <w:r w:rsidRPr="006F40D6">
        <w:rPr>
          <w:rFonts w:ascii="Arial" w:eastAsia="Calibri" w:hAnsi="Arial" w:cs="Arial"/>
          <w:sz w:val="26"/>
          <w:szCs w:val="26"/>
          <w:lang w:val="es-ES" w:eastAsia="en-US"/>
        </w:rPr>
        <w:t xml:space="preserve"> (treinta y </w:t>
      </w:r>
      <w:r w:rsidR="00D81503">
        <w:rPr>
          <w:rFonts w:ascii="Arial" w:eastAsia="Calibri" w:hAnsi="Arial" w:cs="Arial"/>
          <w:sz w:val="26"/>
          <w:szCs w:val="26"/>
          <w:lang w:val="es-ES" w:eastAsia="en-US"/>
        </w:rPr>
        <w:t>siete</w:t>
      </w:r>
      <w:r w:rsidRPr="006F40D6">
        <w:rPr>
          <w:rFonts w:ascii="Arial" w:eastAsia="Calibri" w:hAnsi="Arial" w:cs="Arial"/>
          <w:sz w:val="26"/>
          <w:szCs w:val="26"/>
          <w:lang w:val="es-ES" w:eastAsia="en-US"/>
        </w:rPr>
        <w:t>),</w:t>
      </w:r>
      <w:r w:rsidRPr="006F40D6">
        <w:rPr>
          <w:rFonts w:ascii="Arial" w:eastAsia="Calibri" w:hAnsi="Arial" w:cs="Arial"/>
          <w:i/>
          <w:lang w:val="es-ES" w:eastAsia="en-US"/>
        </w:rPr>
        <w:t xml:space="preserve"> </w:t>
      </w:r>
      <w:r w:rsidRPr="006F40D6">
        <w:rPr>
          <w:rFonts w:ascii="Arial" w:eastAsia="Calibri" w:hAnsi="Arial" w:cs="Arial"/>
          <w:sz w:val="26"/>
          <w:szCs w:val="26"/>
          <w:lang w:val="es-ES" w:eastAsia="en-US"/>
        </w:rPr>
        <w:t xml:space="preserve">de </w:t>
      </w:r>
      <w:r w:rsidRPr="006F40D6">
        <w:rPr>
          <w:rFonts w:ascii="Arial" w:eastAsia="Calibri" w:hAnsi="Arial" w:cs="Arial"/>
          <w:bCs/>
          <w:sz w:val="26"/>
          <w:szCs w:val="26"/>
          <w:lang w:val="es-ES" w:eastAsia="en-US"/>
        </w:rPr>
        <w:t xml:space="preserve">las constancias procesales que integran el expediente de primera instancia, las que tienen pleno valor probatorio conforme </w:t>
      </w:r>
      <w:r w:rsidR="00DA1D6A">
        <w:rPr>
          <w:rFonts w:ascii="Arial" w:eastAsia="Calibri" w:hAnsi="Arial" w:cs="Arial"/>
          <w:bCs/>
          <w:sz w:val="26"/>
          <w:szCs w:val="26"/>
          <w:lang w:val="es-ES" w:eastAsia="en-US"/>
        </w:rPr>
        <w:t xml:space="preserve">a </w:t>
      </w:r>
      <w:r w:rsidRPr="006F40D6">
        <w:rPr>
          <w:rFonts w:ascii="Arial" w:eastAsia="Calibri" w:hAnsi="Arial" w:cs="Arial"/>
          <w:bCs/>
          <w:sz w:val="26"/>
          <w:szCs w:val="26"/>
          <w:lang w:val="es-ES" w:eastAsia="en-US"/>
        </w:rPr>
        <w:t>lo dispuesto por el artículo 203 fracción I</w:t>
      </w:r>
      <w:r w:rsidRPr="006F40D6">
        <w:rPr>
          <w:rFonts w:ascii="Arial" w:eastAsia="Calibri" w:hAnsi="Arial" w:cs="Arial"/>
          <w:bCs/>
          <w:sz w:val="26"/>
          <w:szCs w:val="26"/>
          <w:vertAlign w:val="superscript"/>
          <w:lang w:val="es-ES" w:eastAsia="en-US"/>
        </w:rPr>
        <w:footnoteReference w:id="1"/>
      </w:r>
      <w:r w:rsidRPr="006F40D6">
        <w:rPr>
          <w:rFonts w:ascii="Arial" w:eastAsia="Calibri" w:hAnsi="Arial" w:cs="Arial"/>
          <w:bCs/>
          <w:sz w:val="26"/>
          <w:szCs w:val="26"/>
          <w:lang w:val="es-ES" w:eastAsia="en-US"/>
        </w:rPr>
        <w:t xml:space="preserve"> de la Ley de </w:t>
      </w:r>
      <w:r w:rsidRPr="006F40D6">
        <w:rPr>
          <w:rFonts w:ascii="Arial" w:eastAsia="Calibri" w:hAnsi="Arial" w:cs="Arial"/>
          <w:bCs/>
          <w:sz w:val="26"/>
          <w:szCs w:val="26"/>
          <w:lang w:val="es-ES" w:eastAsia="en-US"/>
        </w:rPr>
        <w:lastRenderedPageBreak/>
        <w:t xml:space="preserve">Procedimiento y Justicia Administrativa para el Estado de Oaxaca, por tratarse de actuaciones judiciales, </w:t>
      </w:r>
      <w:r w:rsidRPr="006F40D6">
        <w:rPr>
          <w:rFonts w:ascii="Arial" w:eastAsia="Calibri" w:hAnsi="Arial" w:cs="Arial"/>
          <w:sz w:val="26"/>
          <w:szCs w:val="26"/>
          <w:lang w:val="es-ES" w:eastAsia="en-US"/>
        </w:rPr>
        <w:t xml:space="preserve">lo cual es motivo para declarar el agravio en estudio, como </w:t>
      </w:r>
      <w:r w:rsidRPr="006F40D6">
        <w:rPr>
          <w:rFonts w:ascii="Arial" w:eastAsia="Calibri" w:hAnsi="Arial" w:cs="Arial"/>
          <w:b/>
          <w:sz w:val="26"/>
          <w:szCs w:val="26"/>
          <w:lang w:val="es-ES" w:eastAsia="en-US"/>
        </w:rPr>
        <w:t>INFUNDADO.</w:t>
      </w:r>
      <w:r w:rsidR="006A1E2E">
        <w:rPr>
          <w:rFonts w:ascii="Arial" w:eastAsia="Calibri" w:hAnsi="Arial" w:cs="Arial"/>
          <w:b/>
          <w:sz w:val="26"/>
          <w:szCs w:val="26"/>
          <w:lang w:val="es-ES" w:eastAsia="en-US"/>
        </w:rPr>
        <w:t xml:space="preserve"> - - - - - - - - - - - - - - - - - - - - - - </w:t>
      </w:r>
    </w:p>
    <w:p w14:paraId="08302D72" w14:textId="6F407C89" w:rsidR="006F40D6" w:rsidRPr="006F40D6" w:rsidRDefault="006F40D6" w:rsidP="006F40D6">
      <w:pPr>
        <w:spacing w:line="360" w:lineRule="auto"/>
        <w:ind w:right="49" w:firstLine="567"/>
        <w:jc w:val="both"/>
        <w:rPr>
          <w:rFonts w:ascii="Arial" w:eastAsia="Calibri" w:hAnsi="Arial" w:cs="Arial"/>
          <w:sz w:val="26"/>
          <w:szCs w:val="26"/>
          <w:lang w:val="es-ES" w:eastAsia="en-US"/>
        </w:rPr>
      </w:pPr>
      <w:r w:rsidRPr="006F40D6">
        <w:rPr>
          <w:rFonts w:ascii="Arial" w:eastAsia="Calibri" w:hAnsi="Arial" w:cs="Arial"/>
          <w:sz w:val="26"/>
          <w:szCs w:val="26"/>
          <w:lang w:val="es-ES" w:eastAsia="en-US"/>
        </w:rPr>
        <w:t>Por otra parte, la autoridad recurrente so</w:t>
      </w:r>
      <w:r w:rsidR="00E56061">
        <w:rPr>
          <w:rFonts w:ascii="Arial" w:eastAsia="Calibri" w:hAnsi="Arial" w:cs="Arial"/>
          <w:sz w:val="26"/>
          <w:szCs w:val="26"/>
          <w:lang w:val="es-ES" w:eastAsia="en-US"/>
        </w:rPr>
        <w:t xml:space="preserve">stiene que </w:t>
      </w:r>
      <w:r w:rsidR="00E56061" w:rsidRPr="000F633F">
        <w:rPr>
          <w:rFonts w:ascii="Arial" w:eastAsia="Calibri" w:hAnsi="Arial" w:cs="Arial"/>
          <w:sz w:val="26"/>
          <w:szCs w:val="26"/>
          <w:lang w:val="es-ES" w:eastAsia="en-US"/>
        </w:rPr>
        <w:t>con</w:t>
      </w:r>
      <w:r w:rsidRPr="006F40D6">
        <w:rPr>
          <w:rFonts w:ascii="Arial" w:eastAsia="Calibri" w:hAnsi="Arial" w:cs="Arial"/>
          <w:sz w:val="26"/>
          <w:szCs w:val="26"/>
          <w:lang w:val="es-ES" w:eastAsia="en-US"/>
        </w:rPr>
        <w:t xml:space="preserve"> la investidura de policía, plasmó las razones, motivos y circunstancias que le llevaron a efectuar el acta de infracción con número de folio 18555 de fecha dos de febrero de dos mil veinte</w:t>
      </w:r>
      <w:r>
        <w:rPr>
          <w:rFonts w:ascii="Arial" w:eastAsia="Calibri" w:hAnsi="Arial" w:cs="Arial"/>
          <w:sz w:val="26"/>
          <w:szCs w:val="26"/>
          <w:lang w:val="es-ES" w:eastAsia="en-US"/>
        </w:rPr>
        <w:t xml:space="preserve">, </w:t>
      </w:r>
      <w:r w:rsidR="00730D09">
        <w:rPr>
          <w:rFonts w:ascii="Arial" w:eastAsia="Calibri" w:hAnsi="Arial" w:cs="Arial"/>
          <w:sz w:val="26"/>
          <w:szCs w:val="26"/>
          <w:lang w:val="es-ES" w:eastAsia="en-US"/>
        </w:rPr>
        <w:t xml:space="preserve">                                                                                                                                          </w:t>
      </w:r>
      <w:r w:rsidRPr="006F40D6">
        <w:rPr>
          <w:rFonts w:ascii="Arial" w:eastAsia="Calibri" w:hAnsi="Arial" w:cs="Arial"/>
          <w:sz w:val="26"/>
          <w:szCs w:val="26"/>
          <w:lang w:val="es-ES" w:eastAsia="en-US"/>
        </w:rPr>
        <w:t>pues en la misma se encuentran plasmados los artículos y reglamentos que en materia de vialidad prevén la conducta ilegal, ordenamiento que es de orden público y obligatorio, por lo que es bien sabido por todos que al cometer una infracción serán acreedores a una sanción, y que en este caso la multa a la que se hizo acreedor el actor es la consecuencia desprendida de su conducta por la comisión de la infracción, de donde se desprende la ilegalidad de la multa.</w:t>
      </w:r>
      <w:r w:rsidR="006A1E2E">
        <w:rPr>
          <w:rFonts w:ascii="Arial" w:eastAsia="Calibri" w:hAnsi="Arial" w:cs="Arial"/>
          <w:sz w:val="26"/>
          <w:szCs w:val="26"/>
          <w:lang w:val="es-ES" w:eastAsia="en-US"/>
        </w:rPr>
        <w:t xml:space="preserve"> - - - - - - - - - - - - - - - - - - - - - - - - </w:t>
      </w:r>
    </w:p>
    <w:p w14:paraId="3B4C355F" w14:textId="7F82655F" w:rsidR="006F40D6" w:rsidRPr="006F40D6" w:rsidRDefault="006F40D6" w:rsidP="00ED05EB">
      <w:pPr>
        <w:spacing w:line="360" w:lineRule="auto"/>
        <w:ind w:right="49" w:firstLine="567"/>
        <w:jc w:val="both"/>
        <w:rPr>
          <w:rFonts w:ascii="Arial" w:eastAsia="Calibri" w:hAnsi="Arial" w:cs="Arial"/>
          <w:sz w:val="26"/>
          <w:szCs w:val="26"/>
          <w:lang w:val="es-ES" w:eastAsia="en-US"/>
        </w:rPr>
      </w:pPr>
      <w:r w:rsidRPr="006F40D6">
        <w:rPr>
          <w:rFonts w:ascii="Arial" w:eastAsia="Calibri" w:hAnsi="Arial" w:cs="Arial"/>
          <w:sz w:val="26"/>
          <w:szCs w:val="26"/>
          <w:lang w:val="es-ES" w:eastAsia="en-US"/>
        </w:rPr>
        <w:t xml:space="preserve">Continúa manifestando la inconforme que “en el acto impugnado citó las circunstancias de modo, tiempo y lugar, por lo que dicha falta administrativa, resulta suficiente para cumplir con el requisito de fundamentación que exige la fracción V del artículo 7 de la Ley de Justicia Administrativa para el Estado de Oaxaca, pues señaló las normas aplicables, con lo que se desprende por qué se emitió la infracción en pugna, con lo que el actor tuvo conocimiento, de la causa por la que se hizo acreedor a una infracción consistente en </w:t>
      </w:r>
      <w:r w:rsidR="00730D09">
        <w:rPr>
          <w:rFonts w:ascii="Arial" w:eastAsia="Calibri" w:hAnsi="Arial" w:cs="Arial"/>
          <w:sz w:val="26"/>
          <w:szCs w:val="26"/>
          <w:lang w:val="es-ES" w:eastAsia="en-US"/>
        </w:rPr>
        <w:t xml:space="preserve">“ASCENSO </w:t>
      </w:r>
      <w:r w:rsidRPr="006F40D6">
        <w:rPr>
          <w:rFonts w:ascii="Arial" w:eastAsia="Calibri" w:hAnsi="Arial" w:cs="Arial"/>
          <w:sz w:val="26"/>
          <w:szCs w:val="26"/>
          <w:lang w:val="es-ES" w:eastAsia="en-US"/>
        </w:rPr>
        <w:t xml:space="preserve">EN LUGAR PROHIBIDO”, y sostiene el recurrente que en ningún momento dejó en estado de indefensión al hoy actor, quien se encuentra impugnando el acta de infracción con número de folio </w:t>
      </w:r>
      <w:r w:rsidR="008B250C">
        <w:rPr>
          <w:rFonts w:ascii="Arial" w:hAnsi="Arial" w:cs="Arial"/>
          <w:b/>
          <w:sz w:val="26"/>
          <w:szCs w:val="26"/>
        </w:rPr>
        <w:t>***********,</w:t>
      </w:r>
      <w:r w:rsidR="00ED05EB">
        <w:rPr>
          <w:rFonts w:ascii="Arial" w:eastAsia="Calibri" w:hAnsi="Arial" w:cs="Arial"/>
          <w:sz w:val="26"/>
          <w:szCs w:val="26"/>
          <w:lang w:val="es-ES" w:eastAsia="en-US"/>
        </w:rPr>
        <w:t xml:space="preserve"> de fecha </w:t>
      </w:r>
      <w:r w:rsidR="00853F33" w:rsidRPr="00853F33">
        <w:rPr>
          <w:rFonts w:ascii="Arial" w:eastAsia="Calibri" w:hAnsi="Arial" w:cs="Arial"/>
          <w:sz w:val="26"/>
          <w:szCs w:val="26"/>
          <w:lang w:val="es-ES" w:eastAsia="en-US"/>
        </w:rPr>
        <w:t>dos d</w:t>
      </w:r>
      <w:r w:rsidR="00853F33">
        <w:rPr>
          <w:rFonts w:ascii="Arial" w:eastAsia="Calibri" w:hAnsi="Arial" w:cs="Arial"/>
          <w:sz w:val="26"/>
          <w:szCs w:val="26"/>
          <w:lang w:val="es-ES" w:eastAsia="en-US"/>
        </w:rPr>
        <w:t xml:space="preserve">e febrero de dos mil veinte, </w:t>
      </w:r>
      <w:r w:rsidRPr="006F40D6">
        <w:rPr>
          <w:rFonts w:ascii="Arial" w:eastAsia="Calibri" w:hAnsi="Arial" w:cs="Arial"/>
          <w:sz w:val="26"/>
          <w:szCs w:val="26"/>
          <w:lang w:val="es-ES" w:eastAsia="en-US"/>
        </w:rPr>
        <w:t>aunado al hecho de que fue sorprendido en flagra</w:t>
      </w:r>
      <w:r w:rsidR="002F7287">
        <w:rPr>
          <w:rFonts w:ascii="Arial" w:eastAsia="Calibri" w:hAnsi="Arial" w:cs="Arial"/>
          <w:sz w:val="26"/>
          <w:szCs w:val="26"/>
          <w:lang w:val="es-ES" w:eastAsia="en-US"/>
        </w:rPr>
        <w:t>ncia, además de que se señaló el artículo</w:t>
      </w:r>
      <w:r w:rsidRPr="006F40D6">
        <w:rPr>
          <w:rFonts w:ascii="Arial" w:eastAsia="Calibri" w:hAnsi="Arial" w:cs="Arial"/>
          <w:sz w:val="26"/>
          <w:szCs w:val="26"/>
          <w:lang w:val="es-ES" w:eastAsia="en-US"/>
        </w:rPr>
        <w:t xml:space="preserve"> </w:t>
      </w:r>
      <w:r w:rsidR="002F7287">
        <w:rPr>
          <w:rFonts w:ascii="Arial" w:eastAsia="Calibri" w:hAnsi="Arial" w:cs="Arial"/>
          <w:sz w:val="26"/>
          <w:szCs w:val="26"/>
          <w:lang w:val="es-ES" w:eastAsia="en-US"/>
        </w:rPr>
        <w:t xml:space="preserve">116 fracción II del Reglamento de Vialidad </w:t>
      </w:r>
      <w:r w:rsidRPr="006F40D6">
        <w:rPr>
          <w:rFonts w:ascii="Arial" w:eastAsia="Calibri" w:hAnsi="Arial" w:cs="Arial"/>
          <w:sz w:val="26"/>
          <w:szCs w:val="26"/>
          <w:lang w:val="es-ES" w:eastAsia="en-US"/>
        </w:rPr>
        <w:t>del Municipio de Oaxaca de Juárez, pues el artículo 16 Constitucional establece la obligación para las autoridades de fundar y motivar sus actos.</w:t>
      </w:r>
      <w:r w:rsidR="006A1E2E">
        <w:rPr>
          <w:rFonts w:ascii="Arial" w:eastAsia="Calibri" w:hAnsi="Arial" w:cs="Arial"/>
          <w:sz w:val="26"/>
          <w:szCs w:val="26"/>
          <w:lang w:val="es-ES" w:eastAsia="en-US"/>
        </w:rPr>
        <w:t xml:space="preserve"> - - - - - - - - - - - - - - - - - - </w:t>
      </w:r>
    </w:p>
    <w:p w14:paraId="3965F2E4" w14:textId="625BACC9" w:rsidR="006A1E2E" w:rsidRDefault="006F40D6" w:rsidP="006A1E2E">
      <w:pPr>
        <w:spacing w:after="0" w:line="360" w:lineRule="auto"/>
        <w:ind w:right="191" w:firstLine="567"/>
        <w:jc w:val="both"/>
        <w:rPr>
          <w:rFonts w:ascii="Arial" w:eastAsia="Calibri" w:hAnsi="Arial" w:cs="Arial"/>
          <w:bCs/>
          <w:sz w:val="26"/>
          <w:szCs w:val="26"/>
          <w:lang w:eastAsia="en-US"/>
        </w:rPr>
      </w:pPr>
      <w:r w:rsidRPr="006F40D6">
        <w:rPr>
          <w:rFonts w:ascii="Arial" w:eastAsia="Calibri" w:hAnsi="Arial" w:cs="Arial"/>
          <w:bCs/>
          <w:iCs/>
          <w:sz w:val="26"/>
          <w:szCs w:val="26"/>
          <w:lang w:val="es-ES" w:eastAsia="en-US"/>
        </w:rPr>
        <w:t xml:space="preserve">Estos argumentos son </w:t>
      </w:r>
      <w:r w:rsidRPr="006F40D6">
        <w:rPr>
          <w:rFonts w:ascii="Arial" w:eastAsia="Calibri" w:hAnsi="Arial" w:cs="Arial"/>
          <w:b/>
          <w:bCs/>
          <w:iCs/>
          <w:sz w:val="26"/>
          <w:szCs w:val="26"/>
          <w:lang w:val="es-ES" w:eastAsia="en-US"/>
        </w:rPr>
        <w:t>inoperantes</w:t>
      </w:r>
      <w:r w:rsidRPr="006F40D6">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6F40D6">
        <w:rPr>
          <w:rFonts w:ascii="Arial" w:eastAsia="Calibri" w:hAnsi="Arial" w:cs="Arial"/>
          <w:bCs/>
          <w:sz w:val="26"/>
          <w:szCs w:val="26"/>
          <w:lang w:eastAsia="en-US"/>
        </w:rPr>
        <w:t xml:space="preserve">a autoridad recurrente debió expresar ese argumento al momento de formular su oficio de contestación de </w:t>
      </w:r>
      <w:r w:rsidRPr="006F40D6">
        <w:rPr>
          <w:rFonts w:ascii="Arial" w:eastAsia="Calibri" w:hAnsi="Arial" w:cs="Arial"/>
          <w:bCs/>
          <w:sz w:val="26"/>
          <w:szCs w:val="26"/>
          <w:lang w:eastAsia="en-US"/>
        </w:rPr>
        <w:lastRenderedPageBreak/>
        <w:t xml:space="preserve">demanda, ya que desde que fue emplazado a juicio, era conocedor de todos los elementos para formular su contestación, siendo ese momento procesal el oportuno para esgrimir los argumentos relativos a la defensa de los elementos y requisitos de validez del acto impugnado, lo cual no hizo, como se desprende del contenido del oficio de contestación de demanda </w:t>
      </w:r>
      <w:r w:rsidR="006D42D3">
        <w:rPr>
          <w:rFonts w:ascii="Arial" w:eastAsia="Calibri" w:hAnsi="Arial" w:cs="Arial"/>
          <w:bCs/>
          <w:sz w:val="26"/>
          <w:szCs w:val="26"/>
          <w:lang w:eastAsia="en-US"/>
        </w:rPr>
        <w:t xml:space="preserve">número </w:t>
      </w:r>
      <w:r w:rsidR="008B250C">
        <w:rPr>
          <w:rFonts w:ascii="Arial" w:hAnsi="Arial" w:cs="Arial"/>
          <w:b/>
          <w:sz w:val="26"/>
          <w:szCs w:val="26"/>
        </w:rPr>
        <w:t>***********,</w:t>
      </w:r>
      <w:r w:rsidR="008B250C">
        <w:rPr>
          <w:rFonts w:ascii="Arial" w:hAnsi="Arial" w:cs="Arial"/>
          <w:b/>
          <w:sz w:val="26"/>
          <w:szCs w:val="26"/>
        </w:rPr>
        <w:t xml:space="preserve"> </w:t>
      </w:r>
      <w:r w:rsidRPr="006F40D6">
        <w:rPr>
          <w:rFonts w:ascii="Arial" w:eastAsia="Calibri" w:hAnsi="Arial" w:cs="Arial"/>
          <w:bCs/>
          <w:sz w:val="26"/>
          <w:szCs w:val="26"/>
          <w:lang w:eastAsia="en-US"/>
        </w:rPr>
        <w:t>de fecha</w:t>
      </w:r>
      <w:r w:rsidR="006D42D3">
        <w:rPr>
          <w:rFonts w:ascii="Arial" w:eastAsia="Calibri" w:hAnsi="Arial" w:cs="Arial"/>
          <w:bCs/>
          <w:sz w:val="26"/>
          <w:szCs w:val="26"/>
          <w:lang w:eastAsia="en-US"/>
        </w:rPr>
        <w:t xml:space="preserve"> tres de marzo de dos mil veinte</w:t>
      </w:r>
      <w:r w:rsidRPr="006F40D6">
        <w:rPr>
          <w:rFonts w:ascii="Arial" w:eastAsia="Calibri" w:hAnsi="Arial" w:cs="Arial"/>
          <w:bCs/>
          <w:sz w:val="26"/>
          <w:szCs w:val="26"/>
          <w:vertAlign w:val="superscript"/>
          <w:lang w:eastAsia="en-US"/>
        </w:rPr>
        <w:footnoteReference w:id="2"/>
      </w:r>
      <w:r w:rsidRPr="006F40D6">
        <w:rPr>
          <w:rFonts w:ascii="Arial" w:eastAsia="Calibri" w:hAnsi="Arial" w:cs="Arial"/>
          <w:bCs/>
          <w:sz w:val="26"/>
          <w:szCs w:val="26"/>
          <w:lang w:eastAsia="en-US"/>
        </w:rPr>
        <w:t>, por lo tanto, ese argumento no puede ser analizado en esta Instancia.</w:t>
      </w:r>
      <w:r w:rsidR="006A1E2E">
        <w:rPr>
          <w:rFonts w:ascii="Arial" w:eastAsia="Calibri" w:hAnsi="Arial" w:cs="Arial"/>
          <w:bCs/>
          <w:sz w:val="26"/>
          <w:szCs w:val="26"/>
          <w:lang w:eastAsia="en-US"/>
        </w:rPr>
        <w:t xml:space="preserve"> - - - - - - - - - - - - - - - - - - - - - - -</w:t>
      </w:r>
      <w:r w:rsidR="008B250C">
        <w:rPr>
          <w:rFonts w:ascii="Arial" w:eastAsia="Calibri" w:hAnsi="Arial" w:cs="Arial"/>
          <w:bCs/>
          <w:sz w:val="26"/>
          <w:szCs w:val="26"/>
          <w:lang w:eastAsia="en-US"/>
        </w:rPr>
        <w:t xml:space="preserve"> - - - - - - -</w:t>
      </w:r>
      <w:bookmarkStart w:id="0" w:name="_GoBack"/>
      <w:bookmarkEnd w:id="0"/>
    </w:p>
    <w:p w14:paraId="58684937" w14:textId="77777777" w:rsidR="006A1E2E" w:rsidRDefault="006A1E2E" w:rsidP="006A1E2E">
      <w:pPr>
        <w:pStyle w:val="Sinespaciado"/>
        <w:rPr>
          <w:rFonts w:eastAsia="Calibri"/>
          <w:lang w:eastAsia="en-US"/>
        </w:rPr>
      </w:pPr>
    </w:p>
    <w:p w14:paraId="56400876" w14:textId="52B5B8CC" w:rsidR="006F40D6" w:rsidRDefault="006F40D6" w:rsidP="006A1E2E">
      <w:pPr>
        <w:spacing w:after="0" w:line="360" w:lineRule="auto"/>
        <w:ind w:right="191" w:firstLine="567"/>
        <w:jc w:val="both"/>
        <w:rPr>
          <w:rFonts w:ascii="Arial" w:eastAsia="Calibri" w:hAnsi="Arial" w:cs="Arial"/>
          <w:sz w:val="26"/>
          <w:szCs w:val="26"/>
          <w:lang w:val="es-ES" w:eastAsia="en-US"/>
        </w:rPr>
      </w:pPr>
      <w:r w:rsidRPr="006F40D6">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6A1E2E">
        <w:rPr>
          <w:rFonts w:ascii="Arial" w:eastAsia="Calibri" w:hAnsi="Arial" w:cs="Arial"/>
          <w:sz w:val="26"/>
          <w:szCs w:val="26"/>
          <w:lang w:val="es-ES" w:eastAsia="en-US"/>
        </w:rPr>
        <w:t>- - - - - - - - - - - - - - - - - - - - - - - - - - - - - - - - - - - - - - - -</w:t>
      </w:r>
    </w:p>
    <w:p w14:paraId="7656B569" w14:textId="77777777" w:rsidR="006A1E2E" w:rsidRPr="006A1E2E" w:rsidRDefault="006A1E2E" w:rsidP="006A1E2E">
      <w:pPr>
        <w:pStyle w:val="Sinespaciado"/>
        <w:rPr>
          <w:rFonts w:eastAsia="Calibri"/>
          <w:lang w:eastAsia="en-US"/>
        </w:rPr>
      </w:pPr>
    </w:p>
    <w:p w14:paraId="719179D8" w14:textId="77777777" w:rsidR="006F40D6" w:rsidRPr="006F40D6" w:rsidRDefault="006F40D6" w:rsidP="00B94798">
      <w:pPr>
        <w:tabs>
          <w:tab w:val="left" w:pos="8364"/>
        </w:tabs>
        <w:autoSpaceDE w:val="0"/>
        <w:autoSpaceDN w:val="0"/>
        <w:adjustRightInd w:val="0"/>
        <w:ind w:left="567" w:right="758"/>
        <w:jc w:val="both"/>
        <w:rPr>
          <w:rFonts w:ascii="Arial" w:eastAsia="Calibri" w:hAnsi="Arial" w:cs="Arial"/>
          <w:i/>
          <w:lang w:val="es-ES" w:eastAsia="en-US"/>
        </w:rPr>
      </w:pPr>
      <w:r w:rsidRPr="006F40D6">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6F40D6">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74FC51A5" w14:textId="77777777" w:rsidR="006F40D6" w:rsidRPr="006F40D6" w:rsidRDefault="006F40D6" w:rsidP="006F40D6">
      <w:pPr>
        <w:autoSpaceDE w:val="0"/>
        <w:autoSpaceDN w:val="0"/>
        <w:adjustRightInd w:val="0"/>
        <w:spacing w:line="360" w:lineRule="auto"/>
        <w:ind w:right="49"/>
        <w:jc w:val="both"/>
        <w:rPr>
          <w:rFonts w:ascii="Arial" w:eastAsia="Calibri" w:hAnsi="Arial" w:cs="Arial"/>
          <w:sz w:val="26"/>
          <w:szCs w:val="26"/>
          <w:lang w:val="es-ES" w:eastAsia="en-US"/>
        </w:rPr>
      </w:pPr>
      <w:r w:rsidRPr="006F40D6">
        <w:rPr>
          <w:rFonts w:ascii="Arial" w:eastAsia="Calibri" w:hAnsi="Arial" w:cs="Arial"/>
          <w:sz w:val="26"/>
          <w:szCs w:val="26"/>
          <w:lang w:val="es-ES" w:eastAsia="en-US"/>
        </w:rPr>
        <w:tab/>
        <w:t xml:space="preserve">También argumenta la autoridad recurrente que, le causa agravio que la autoridad jurisdiccional funda su actuar en la última parte del artículo 179 de la Ley de Procedimiento y Justicia Administrativa para el Estado de Oaxaca, del que no se desprende que la sentencia deba tener el sentido en el que la autoridad la emana, por lo que causa agravios. Agrega que de tal precepto, se colige que, cualquier autoridad está obligada en el ámbito de sus competencia, a regir su actuación por el margen que la ley le permite, sin que en ningún caso pueda extralimitarse, toda vez que de ser así, se vulneran garantías otorgadas a su representada, como es lo establecido en el artículo 14 de la Constitución Política de los Estados Unidos Mexicanos. </w:t>
      </w:r>
    </w:p>
    <w:p w14:paraId="0ED522A7" w14:textId="73CFAE5B" w:rsidR="006F40D6" w:rsidRPr="006F40D6" w:rsidRDefault="006F40D6" w:rsidP="006F40D6">
      <w:pPr>
        <w:autoSpaceDE w:val="0"/>
        <w:autoSpaceDN w:val="0"/>
        <w:adjustRightInd w:val="0"/>
        <w:spacing w:line="360" w:lineRule="auto"/>
        <w:ind w:right="49" w:firstLine="567"/>
        <w:jc w:val="both"/>
        <w:rPr>
          <w:rFonts w:ascii="Arial" w:eastAsia="Calibri" w:hAnsi="Arial" w:cs="Arial"/>
          <w:b/>
          <w:sz w:val="26"/>
          <w:szCs w:val="26"/>
          <w:lang w:val="es-ES" w:eastAsia="en-US"/>
        </w:rPr>
      </w:pPr>
      <w:r w:rsidRPr="006F40D6">
        <w:rPr>
          <w:rFonts w:ascii="Arial" w:eastAsia="Calibri" w:hAnsi="Arial" w:cs="Arial"/>
          <w:sz w:val="26"/>
          <w:szCs w:val="26"/>
          <w:lang w:val="es-ES" w:eastAsia="en-US"/>
        </w:rPr>
        <w:lastRenderedPageBreak/>
        <w:t xml:space="preserve">Esta Sala Superior estima que el argumento en estudio carece de razón y por tanto es </w:t>
      </w:r>
      <w:r w:rsidRPr="006F40D6">
        <w:rPr>
          <w:rFonts w:ascii="Arial" w:eastAsia="Calibri" w:hAnsi="Arial" w:cs="Arial"/>
          <w:b/>
          <w:sz w:val="26"/>
          <w:szCs w:val="26"/>
          <w:lang w:val="es-ES" w:eastAsia="en-US"/>
        </w:rPr>
        <w:t>infundado,</w:t>
      </w:r>
      <w:r w:rsidRPr="006F40D6">
        <w:rPr>
          <w:rFonts w:ascii="Arial" w:eastAsia="Calibri" w:hAnsi="Arial" w:cs="Arial"/>
          <w:sz w:val="26"/>
          <w:szCs w:val="26"/>
          <w:lang w:val="es-ES" w:eastAsia="en-US"/>
        </w:rPr>
        <w:t xml:space="preserve"> porque contrariamente a lo que afirma la inconforme, del análisis efectuado al texto de la sentencia en revisión, no se advierte en ninguna parte, la cita del artículo 179 de la Ley de Procedimiento y Justicia Administrativa para el Estado de Oaxaca como parte de la fundamentación de dicha determinación, aunado a que el contenido de ese precepto legal no es atinente al sentido de las sentencias, sino que se refiere al supuesto en que la Sala de primera instancia debe requerir al actor para que cumpla con alguno de los requisitos de la demanda o sus anexos, cuando haya omitido su presentación, lo que se demuestra con la cita del propio numeral en comento, que se inserta enseguida.</w:t>
      </w:r>
      <w:r w:rsidR="001E25D6">
        <w:rPr>
          <w:rFonts w:ascii="Arial" w:eastAsia="Calibri" w:hAnsi="Arial" w:cs="Arial"/>
          <w:sz w:val="26"/>
          <w:szCs w:val="26"/>
          <w:lang w:val="es-ES" w:eastAsia="en-US"/>
        </w:rPr>
        <w:t xml:space="preserve"> - - - - - - - - - - - - - - - - - - - - - - - - - - </w:t>
      </w:r>
      <w:r w:rsidRPr="006F40D6">
        <w:rPr>
          <w:rFonts w:ascii="Arial" w:eastAsia="Calibri" w:hAnsi="Arial" w:cs="Arial"/>
          <w:sz w:val="26"/>
          <w:szCs w:val="26"/>
          <w:lang w:val="es-ES" w:eastAsia="en-US"/>
        </w:rPr>
        <w:t xml:space="preserve"> </w:t>
      </w:r>
    </w:p>
    <w:p w14:paraId="219F0FF3" w14:textId="77777777" w:rsidR="006F40D6" w:rsidRPr="006F40D6" w:rsidRDefault="006F40D6" w:rsidP="006F40D6">
      <w:pPr>
        <w:autoSpaceDE w:val="0"/>
        <w:autoSpaceDN w:val="0"/>
        <w:adjustRightInd w:val="0"/>
        <w:spacing w:line="360" w:lineRule="auto"/>
        <w:ind w:left="567" w:right="616"/>
        <w:jc w:val="both"/>
        <w:rPr>
          <w:rFonts w:ascii="Arial" w:eastAsia="Calibri" w:hAnsi="Arial" w:cs="Arial"/>
          <w:i/>
          <w:lang w:val="es-ES" w:eastAsia="en-US"/>
        </w:rPr>
      </w:pPr>
      <w:r w:rsidRPr="006F40D6">
        <w:rPr>
          <w:rFonts w:ascii="Arial" w:eastAsia="Calibri" w:hAnsi="Arial" w:cs="Arial"/>
          <w:b/>
          <w:i/>
          <w:lang w:val="es-ES" w:eastAsia="en-US"/>
        </w:rPr>
        <w:t>“ARTÍCULO 179.-</w:t>
      </w:r>
      <w:r w:rsidRPr="006F40D6">
        <w:rPr>
          <w:rFonts w:ascii="Arial" w:eastAsia="Calibri" w:hAnsi="Arial" w:cs="Arial"/>
          <w:i/>
          <w:lang w:val="es-ES" w:eastAsia="en-U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p w14:paraId="0A6F23B0" w14:textId="64B8BFB2" w:rsidR="003356C9" w:rsidRPr="006F40D6" w:rsidRDefault="006F40D6" w:rsidP="006F40D6">
      <w:pPr>
        <w:spacing w:before="240" w:after="0" w:line="360" w:lineRule="auto"/>
        <w:jc w:val="both"/>
        <w:rPr>
          <w:rFonts w:ascii="Arial" w:eastAsia="Calibri" w:hAnsi="Arial" w:cs="Arial"/>
          <w:sz w:val="26"/>
          <w:szCs w:val="26"/>
          <w:lang w:val="es-ES" w:eastAsia="en-US"/>
        </w:rPr>
      </w:pPr>
      <w:r w:rsidRPr="006F40D6">
        <w:rPr>
          <w:rFonts w:ascii="Arial" w:eastAsia="Calibri" w:hAnsi="Arial" w:cs="Arial"/>
          <w:bCs/>
          <w:sz w:val="26"/>
          <w:szCs w:val="26"/>
          <w:lang w:val="es-ES" w:eastAsia="en-US"/>
        </w:rPr>
        <w:tab/>
      </w:r>
      <w:r w:rsidRPr="006F40D6">
        <w:rPr>
          <w:rFonts w:ascii="Arial" w:eastAsia="Calibri" w:hAnsi="Arial" w:cs="Arial"/>
          <w:sz w:val="26"/>
          <w:szCs w:val="26"/>
          <w:lang w:val="es-ES" w:eastAsia="en-US"/>
        </w:rPr>
        <w:t xml:space="preserve">Por las consideraciones antes expuestas, y dado lo inoperante e infundado de los agravios formulados por la autoridad inconforme, procede </w:t>
      </w:r>
      <w:r w:rsidRPr="006F40D6">
        <w:rPr>
          <w:rFonts w:ascii="Arial" w:eastAsia="Calibri" w:hAnsi="Arial" w:cs="Arial"/>
          <w:b/>
          <w:sz w:val="26"/>
          <w:szCs w:val="26"/>
          <w:lang w:val="es-ES" w:eastAsia="en-US"/>
        </w:rPr>
        <w:t>CONFIRMAR</w:t>
      </w:r>
      <w:r w:rsidRPr="006F40D6">
        <w:rPr>
          <w:rFonts w:ascii="Arial" w:eastAsia="Calibri" w:hAnsi="Arial" w:cs="Arial"/>
          <w:sz w:val="26"/>
          <w:szCs w:val="26"/>
          <w:lang w:val="es-ES" w:eastAsia="en-US"/>
        </w:rPr>
        <w:t xml:space="preserve"> la sentencia alzada; y, </w:t>
      </w:r>
      <w:r w:rsidRPr="006F40D6">
        <w:rPr>
          <w:rFonts w:ascii="Arial" w:eastAsia="Calibri" w:hAnsi="Arial" w:cs="Arial"/>
          <w:bCs/>
          <w:sz w:val="26"/>
          <w:szCs w:val="26"/>
          <w:lang w:val="es-ES" w:eastAsia="en-US"/>
        </w:rPr>
        <w:t>c</w:t>
      </w:r>
      <w:r w:rsidRPr="006F40D6">
        <w:rPr>
          <w:rFonts w:ascii="Arial" w:eastAsia="Calibri" w:hAnsi="Arial" w:cs="Arial"/>
          <w:sz w:val="26"/>
          <w:szCs w:val="26"/>
          <w:lang w:val="es-ES" w:eastAsia="en-US"/>
        </w:rPr>
        <w:t>on fundamento en los artículos 237 y 238 de la Ley de Procedimiento y Justicia Administrativa para el Estado de Oaxaca, se:</w:t>
      </w:r>
      <w:r w:rsidR="003356C9">
        <w:rPr>
          <w:rFonts w:ascii="Arial" w:eastAsia="Calibri" w:hAnsi="Arial" w:cs="Arial"/>
          <w:sz w:val="26"/>
          <w:szCs w:val="26"/>
          <w:lang w:val="es-ES" w:eastAsia="en-US"/>
        </w:rPr>
        <w:t xml:space="preserve"> - - - - - - - - - - - - - - - - - - - - - - - - - - - - - - </w:t>
      </w:r>
    </w:p>
    <w:p w14:paraId="63D2FD0A" w14:textId="77777777" w:rsidR="006F40D6" w:rsidRPr="008B473C" w:rsidRDefault="006F40D6" w:rsidP="006F40D6">
      <w:pPr>
        <w:spacing w:before="240" w:after="0" w:line="360" w:lineRule="auto"/>
        <w:jc w:val="center"/>
        <w:rPr>
          <w:rFonts w:ascii="Arial" w:eastAsia="Times New Roman" w:hAnsi="Arial" w:cs="Arial"/>
          <w:b/>
          <w:sz w:val="26"/>
          <w:szCs w:val="26"/>
          <w:lang w:val="es-ES"/>
        </w:rPr>
      </w:pPr>
      <w:r w:rsidRPr="008B473C">
        <w:rPr>
          <w:rFonts w:ascii="Arial" w:eastAsia="Times New Roman" w:hAnsi="Arial" w:cs="Arial"/>
          <w:b/>
          <w:sz w:val="26"/>
          <w:szCs w:val="26"/>
          <w:lang w:val="es-ES"/>
        </w:rPr>
        <w:t>R E S U E L V E</w:t>
      </w:r>
    </w:p>
    <w:p w14:paraId="3042671D" w14:textId="64D0C5F7" w:rsidR="006F40D6" w:rsidRPr="006F40D6" w:rsidRDefault="006F40D6" w:rsidP="006F40D6">
      <w:pPr>
        <w:spacing w:before="240" w:after="0" w:line="360" w:lineRule="auto"/>
        <w:ind w:firstLine="708"/>
        <w:jc w:val="both"/>
        <w:rPr>
          <w:rFonts w:ascii="Arial" w:eastAsia="Times New Roman" w:hAnsi="Arial" w:cs="Arial"/>
          <w:color w:val="000000"/>
          <w:sz w:val="26"/>
          <w:szCs w:val="26"/>
        </w:rPr>
      </w:pPr>
      <w:r w:rsidRPr="006F40D6">
        <w:rPr>
          <w:rFonts w:ascii="Arial" w:eastAsia="Times New Roman" w:hAnsi="Arial" w:cs="Arial"/>
          <w:b/>
          <w:color w:val="000000"/>
          <w:sz w:val="26"/>
          <w:szCs w:val="26"/>
          <w:lang w:val="es-ES"/>
        </w:rPr>
        <w:t>PRIMERO</w:t>
      </w:r>
      <w:r w:rsidRPr="006F40D6">
        <w:rPr>
          <w:rFonts w:ascii="Arial" w:eastAsia="Times New Roman" w:hAnsi="Arial" w:cs="Arial"/>
          <w:color w:val="000000"/>
          <w:sz w:val="26"/>
          <w:szCs w:val="26"/>
          <w:lang w:val="es-ES"/>
        </w:rPr>
        <w:t xml:space="preserve">. </w:t>
      </w:r>
      <w:r w:rsidRPr="006F40D6">
        <w:rPr>
          <w:rFonts w:ascii="Arial" w:eastAsia="Times New Roman" w:hAnsi="Arial" w:cs="Arial"/>
          <w:color w:val="000000"/>
          <w:sz w:val="26"/>
          <w:szCs w:val="26"/>
        </w:rPr>
        <w:t>Se</w:t>
      </w:r>
      <w:r w:rsidRPr="006F40D6">
        <w:rPr>
          <w:rFonts w:ascii="Arial" w:eastAsia="Times New Roman" w:hAnsi="Arial" w:cs="Arial"/>
          <w:b/>
          <w:color w:val="000000"/>
          <w:sz w:val="26"/>
          <w:szCs w:val="26"/>
        </w:rPr>
        <w:t xml:space="preserve"> CONFIRMA </w:t>
      </w:r>
      <w:r w:rsidRPr="006F40D6">
        <w:rPr>
          <w:rFonts w:ascii="Arial" w:eastAsia="Times New Roman" w:hAnsi="Arial" w:cs="Arial"/>
          <w:bCs/>
          <w:color w:val="000000"/>
          <w:sz w:val="26"/>
          <w:szCs w:val="26"/>
        </w:rPr>
        <w:t>la sentencia recurrida</w:t>
      </w:r>
      <w:r w:rsidRPr="006F40D6">
        <w:rPr>
          <w:rFonts w:ascii="Arial" w:eastAsia="Times New Roman" w:hAnsi="Arial" w:cs="Arial"/>
          <w:color w:val="000000"/>
          <w:sz w:val="26"/>
          <w:szCs w:val="26"/>
        </w:rPr>
        <w:t>, por las razones expuestas por esta Sala Superior en el considerando que antecede.</w:t>
      </w:r>
      <w:r w:rsidR="003356C9">
        <w:rPr>
          <w:rFonts w:ascii="Arial" w:eastAsia="Times New Roman" w:hAnsi="Arial" w:cs="Arial"/>
          <w:color w:val="000000"/>
          <w:sz w:val="26"/>
          <w:szCs w:val="26"/>
        </w:rPr>
        <w:t xml:space="preserve"> - - - </w:t>
      </w:r>
    </w:p>
    <w:p w14:paraId="7E7A8E63" w14:textId="109C8B9B" w:rsidR="006F40D6" w:rsidRPr="006F40D6" w:rsidRDefault="006F40D6" w:rsidP="006F40D6">
      <w:pPr>
        <w:widowControl w:val="0"/>
        <w:tabs>
          <w:tab w:val="left" w:pos="0"/>
        </w:tabs>
        <w:spacing w:before="240" w:after="0" w:line="360" w:lineRule="auto"/>
        <w:ind w:right="18"/>
        <w:jc w:val="both"/>
        <w:rPr>
          <w:rFonts w:ascii="Arial" w:eastAsia="Times New Roman" w:hAnsi="Arial" w:cs="Arial"/>
          <w:sz w:val="26"/>
          <w:szCs w:val="26"/>
        </w:rPr>
      </w:pPr>
      <w:r w:rsidRPr="006F40D6">
        <w:rPr>
          <w:rFonts w:ascii="Arial" w:eastAsia="Times New Roman" w:hAnsi="Arial" w:cs="Arial"/>
          <w:b/>
          <w:sz w:val="26"/>
          <w:szCs w:val="26"/>
        </w:rPr>
        <w:tab/>
        <w:t>SEGUNDO.- NOTIFÍQUESE Y CÚMPLASE,</w:t>
      </w:r>
      <w:r w:rsidRPr="006F40D6">
        <w:rPr>
          <w:rFonts w:ascii="Arial" w:eastAsia="Times New Roman" w:hAnsi="Arial" w:cs="Arial"/>
          <w:sz w:val="26"/>
          <w:szCs w:val="26"/>
        </w:rPr>
        <w:t xml:space="preserve"> remítase copia certificada de la</w:t>
      </w:r>
      <w:r w:rsidR="00E634FD">
        <w:rPr>
          <w:rFonts w:ascii="Arial" w:eastAsia="Times New Roman" w:hAnsi="Arial" w:cs="Arial"/>
          <w:sz w:val="26"/>
          <w:szCs w:val="26"/>
        </w:rPr>
        <w:t xml:space="preserve"> presente resolución a la Quinta</w:t>
      </w:r>
      <w:r w:rsidRPr="006F40D6">
        <w:rPr>
          <w:rFonts w:ascii="Arial" w:eastAsia="Times New Roman" w:hAnsi="Arial" w:cs="Arial"/>
          <w:sz w:val="26"/>
          <w:szCs w:val="26"/>
        </w:rPr>
        <w:t xml:space="preserve"> Sala Unitaria de Primera Instancia de este Tribunal y en su oportunidad archívese el presente cuaderno de revisión como asunto concluido.</w:t>
      </w:r>
      <w:r w:rsidR="003356C9">
        <w:rPr>
          <w:rFonts w:ascii="Arial" w:eastAsia="Times New Roman" w:hAnsi="Arial" w:cs="Arial"/>
          <w:sz w:val="26"/>
          <w:szCs w:val="26"/>
        </w:rPr>
        <w:t xml:space="preserve">- - - - - - - - - - - - - - - - - - - </w:t>
      </w:r>
    </w:p>
    <w:p w14:paraId="3EB5576A" w14:textId="22AC55DA" w:rsidR="006F40D6" w:rsidRPr="006F40D6" w:rsidRDefault="006F40D6" w:rsidP="006F40D6">
      <w:pPr>
        <w:spacing w:before="240" w:line="360" w:lineRule="auto"/>
        <w:ind w:firstLine="708"/>
        <w:jc w:val="both"/>
        <w:rPr>
          <w:rFonts w:ascii="Arial" w:hAnsi="Arial" w:cs="Arial"/>
          <w:sz w:val="26"/>
          <w:szCs w:val="26"/>
        </w:rPr>
      </w:pPr>
      <w:r w:rsidRPr="006F40D6">
        <w:rPr>
          <w:rFonts w:ascii="Arial" w:hAnsi="Arial" w:cs="Arial"/>
          <w:sz w:val="26"/>
          <w:szCs w:val="26"/>
        </w:rPr>
        <w:t xml:space="preserve">Por unanimidad de votos, lo resolvieron y firmaron los Magistrados Manuel Velasco Alcántara, </w:t>
      </w:r>
      <w:r w:rsidR="00E634FD" w:rsidRPr="006F40D6">
        <w:rPr>
          <w:rFonts w:ascii="Arial" w:hAnsi="Arial" w:cs="Arial"/>
          <w:sz w:val="26"/>
          <w:szCs w:val="26"/>
        </w:rPr>
        <w:t>Abraham Santiago Soriano</w:t>
      </w:r>
      <w:r w:rsidR="00E634FD">
        <w:rPr>
          <w:rFonts w:ascii="Arial" w:hAnsi="Arial" w:cs="Arial"/>
          <w:sz w:val="26"/>
          <w:szCs w:val="26"/>
        </w:rPr>
        <w:t xml:space="preserve">, </w:t>
      </w:r>
      <w:r w:rsidRPr="006F40D6">
        <w:rPr>
          <w:rFonts w:ascii="Arial" w:hAnsi="Arial" w:cs="Arial"/>
          <w:sz w:val="26"/>
          <w:szCs w:val="26"/>
        </w:rPr>
        <w:t xml:space="preserve">Raúl Palomares Palomino </w:t>
      </w:r>
      <w:r w:rsidRPr="006F40D6">
        <w:rPr>
          <w:rFonts w:ascii="Arial" w:hAnsi="Arial" w:cs="Arial"/>
          <w:b/>
          <w:bCs/>
          <w:sz w:val="26"/>
          <w:szCs w:val="26"/>
        </w:rPr>
        <w:t>(ponente),</w:t>
      </w:r>
      <w:r w:rsidR="00E634FD">
        <w:rPr>
          <w:rFonts w:ascii="Arial" w:hAnsi="Arial" w:cs="Arial"/>
          <w:b/>
          <w:bCs/>
          <w:sz w:val="26"/>
          <w:szCs w:val="26"/>
        </w:rPr>
        <w:t xml:space="preserve"> </w:t>
      </w:r>
      <w:r w:rsidR="00E634FD" w:rsidRPr="006F40D6">
        <w:rPr>
          <w:rFonts w:ascii="Arial" w:hAnsi="Arial" w:cs="Arial"/>
          <w:sz w:val="26"/>
          <w:szCs w:val="26"/>
        </w:rPr>
        <w:t>Gloria del Carmen Camacho Meza</w:t>
      </w:r>
      <w:r w:rsidR="00E634FD">
        <w:rPr>
          <w:rFonts w:ascii="Arial" w:hAnsi="Arial" w:cs="Arial"/>
          <w:sz w:val="26"/>
          <w:szCs w:val="26"/>
        </w:rPr>
        <w:t xml:space="preserve"> y Paulo José Luis Tapia Palacios</w:t>
      </w:r>
      <w:r w:rsidRPr="006F40D6">
        <w:rPr>
          <w:rFonts w:ascii="Arial" w:hAnsi="Arial" w:cs="Arial"/>
          <w:sz w:val="26"/>
          <w:szCs w:val="26"/>
        </w:rPr>
        <w:t xml:space="preserve">, quienes actúan con el Licenciado Juan Edy García Coronado, </w:t>
      </w:r>
      <w:r w:rsidR="00EB4095">
        <w:rPr>
          <w:rFonts w:ascii="Arial" w:hAnsi="Arial" w:cs="Arial"/>
          <w:sz w:val="26"/>
          <w:szCs w:val="26"/>
        </w:rPr>
        <w:t>S</w:t>
      </w:r>
      <w:r w:rsidR="00EB4095" w:rsidRPr="006F40D6">
        <w:rPr>
          <w:rFonts w:ascii="Arial" w:hAnsi="Arial" w:cs="Arial"/>
          <w:sz w:val="26"/>
          <w:szCs w:val="26"/>
        </w:rPr>
        <w:t xml:space="preserve">ecretario </w:t>
      </w:r>
      <w:r w:rsidR="00EB4095">
        <w:rPr>
          <w:rFonts w:ascii="Arial" w:hAnsi="Arial" w:cs="Arial"/>
          <w:sz w:val="26"/>
          <w:szCs w:val="26"/>
        </w:rPr>
        <w:t>G</w:t>
      </w:r>
      <w:r w:rsidR="00EB4095" w:rsidRPr="006F40D6">
        <w:rPr>
          <w:rFonts w:ascii="Arial" w:hAnsi="Arial" w:cs="Arial"/>
          <w:sz w:val="26"/>
          <w:szCs w:val="26"/>
        </w:rPr>
        <w:t>eneral</w:t>
      </w:r>
      <w:r w:rsidRPr="006F40D6">
        <w:rPr>
          <w:rFonts w:ascii="Arial" w:hAnsi="Arial" w:cs="Arial"/>
          <w:sz w:val="26"/>
          <w:szCs w:val="26"/>
        </w:rPr>
        <w:t xml:space="preserve"> de Acuerdos de este Tribunal, que autoriza y da fe. -</w:t>
      </w:r>
      <w:r w:rsidR="00EB4095">
        <w:rPr>
          <w:rFonts w:ascii="Arial" w:hAnsi="Arial" w:cs="Arial"/>
          <w:sz w:val="26"/>
          <w:szCs w:val="26"/>
        </w:rPr>
        <w:t xml:space="preserve"> - - - - - - - - - - - - - - - - - - - - - - - - - - - - - - - - - - - - - - - </w:t>
      </w:r>
    </w:p>
    <w:p w14:paraId="12256C12" w14:textId="7EBD8C42" w:rsidR="00E3709C" w:rsidRPr="00EB4095" w:rsidRDefault="00EB4095" w:rsidP="00E3709C">
      <w:pPr>
        <w:pStyle w:val="Sinespaciado"/>
        <w:jc w:val="center"/>
        <w:rPr>
          <w:rFonts w:ascii="Arial" w:eastAsia="Times New Roman" w:hAnsi="Arial" w:cs="Arial"/>
          <w:b/>
          <w:bCs/>
          <w:sz w:val="18"/>
          <w:szCs w:val="18"/>
        </w:rPr>
      </w:pPr>
      <w:r w:rsidRPr="00EB4095">
        <w:rPr>
          <w:rFonts w:ascii="Arial" w:eastAsia="Times New Roman" w:hAnsi="Arial" w:cs="Arial"/>
          <w:b/>
          <w:bCs/>
          <w:sz w:val="18"/>
          <w:szCs w:val="18"/>
        </w:rPr>
        <w:lastRenderedPageBreak/>
        <w:t>LAS PRESENTES FIRMAS CORRESPONDEN AL RECURSO DE REVISIÓN 234/2020</w:t>
      </w:r>
    </w:p>
    <w:p w14:paraId="40AFA0F7" w14:textId="77777777" w:rsidR="00E3709C" w:rsidRDefault="00E3709C" w:rsidP="00E3709C">
      <w:pPr>
        <w:pStyle w:val="Sinespaciado"/>
        <w:jc w:val="center"/>
        <w:rPr>
          <w:rFonts w:ascii="Arial" w:eastAsia="Times New Roman" w:hAnsi="Arial" w:cs="Arial"/>
          <w:sz w:val="26"/>
          <w:szCs w:val="26"/>
        </w:rPr>
      </w:pPr>
    </w:p>
    <w:p w14:paraId="2CBF06F0" w14:textId="77777777" w:rsidR="00E3709C" w:rsidRDefault="00E3709C" w:rsidP="00E3709C">
      <w:pPr>
        <w:pStyle w:val="Sinespaciado"/>
        <w:jc w:val="center"/>
        <w:rPr>
          <w:rFonts w:ascii="Arial" w:eastAsia="Times New Roman" w:hAnsi="Arial" w:cs="Arial"/>
          <w:sz w:val="26"/>
          <w:szCs w:val="26"/>
        </w:rPr>
      </w:pPr>
    </w:p>
    <w:p w14:paraId="3779EB8C" w14:textId="77777777" w:rsidR="00E3709C" w:rsidRDefault="00E3709C" w:rsidP="00E3709C">
      <w:pPr>
        <w:pStyle w:val="Sinespaciado"/>
        <w:jc w:val="center"/>
        <w:rPr>
          <w:rFonts w:ascii="Arial" w:eastAsia="Times New Roman" w:hAnsi="Arial" w:cs="Arial"/>
          <w:sz w:val="26"/>
          <w:szCs w:val="26"/>
        </w:rPr>
      </w:pPr>
    </w:p>
    <w:p w14:paraId="5B4E22D7" w14:textId="48BAC486" w:rsidR="00E3709C" w:rsidRDefault="00E3709C" w:rsidP="00E3709C">
      <w:pPr>
        <w:pStyle w:val="Sinespaciado"/>
        <w:jc w:val="center"/>
        <w:rPr>
          <w:rFonts w:ascii="Arial" w:eastAsia="Times New Roman" w:hAnsi="Arial" w:cs="Arial"/>
          <w:sz w:val="26"/>
          <w:szCs w:val="26"/>
        </w:rPr>
      </w:pPr>
    </w:p>
    <w:p w14:paraId="40122EF5" w14:textId="77777777" w:rsidR="00EB4095" w:rsidRDefault="00EB4095" w:rsidP="00E3709C">
      <w:pPr>
        <w:pStyle w:val="Sinespaciado"/>
        <w:jc w:val="center"/>
        <w:rPr>
          <w:rFonts w:ascii="Arial" w:eastAsia="Times New Roman" w:hAnsi="Arial" w:cs="Arial"/>
          <w:sz w:val="26"/>
          <w:szCs w:val="26"/>
        </w:rPr>
      </w:pPr>
    </w:p>
    <w:p w14:paraId="5F9B68CC" w14:textId="77777777" w:rsidR="00E3709C" w:rsidRDefault="00E3709C" w:rsidP="00E3709C">
      <w:pPr>
        <w:pStyle w:val="Sinespaciado"/>
        <w:jc w:val="center"/>
        <w:rPr>
          <w:rFonts w:ascii="Arial" w:eastAsia="Times New Roman" w:hAnsi="Arial" w:cs="Arial"/>
          <w:sz w:val="26"/>
          <w:szCs w:val="26"/>
        </w:rPr>
      </w:pPr>
    </w:p>
    <w:p w14:paraId="68103A04" w14:textId="77777777" w:rsidR="00E3709C" w:rsidRDefault="00E3709C" w:rsidP="00E3709C">
      <w:pPr>
        <w:pStyle w:val="Sinespaciado"/>
        <w:jc w:val="center"/>
        <w:rPr>
          <w:rFonts w:ascii="Arial" w:eastAsia="Times New Roman" w:hAnsi="Arial" w:cs="Arial"/>
          <w:sz w:val="26"/>
          <w:szCs w:val="26"/>
        </w:rPr>
      </w:pPr>
    </w:p>
    <w:p w14:paraId="518E9879" w14:textId="77777777" w:rsidR="00E3709C" w:rsidRPr="00473C1A" w:rsidRDefault="00E3709C" w:rsidP="00E3709C">
      <w:pPr>
        <w:pStyle w:val="Sinespaciado"/>
        <w:jc w:val="center"/>
        <w:rPr>
          <w:rFonts w:ascii="Arial" w:eastAsiaTheme="minorHAnsi" w:hAnsi="Arial" w:cs="Arial"/>
          <w:b/>
          <w:sz w:val="26"/>
          <w:szCs w:val="26"/>
          <w:lang w:eastAsia="en-US"/>
        </w:rPr>
      </w:pPr>
      <w:r w:rsidRPr="00473C1A">
        <w:rPr>
          <w:rFonts w:ascii="Arial" w:eastAsia="Times New Roman" w:hAnsi="Arial" w:cs="Arial"/>
          <w:sz w:val="26"/>
          <w:szCs w:val="26"/>
        </w:rPr>
        <w:t>MAGISTRADO MANUEL VELASCO ALCÁNTARA</w:t>
      </w:r>
    </w:p>
    <w:p w14:paraId="667C3ECF" w14:textId="77777777" w:rsidR="00E3709C" w:rsidRPr="00473C1A" w:rsidRDefault="00E3709C" w:rsidP="00E3709C">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PRESIDENTE</w:t>
      </w:r>
    </w:p>
    <w:p w14:paraId="478277C5" w14:textId="77777777" w:rsidR="00E3709C" w:rsidRDefault="00E3709C" w:rsidP="00E3709C">
      <w:pPr>
        <w:pStyle w:val="Sinespaciado"/>
        <w:jc w:val="center"/>
        <w:rPr>
          <w:rFonts w:ascii="Arial" w:eastAsiaTheme="minorHAnsi" w:hAnsi="Arial" w:cs="Arial"/>
          <w:sz w:val="26"/>
          <w:szCs w:val="26"/>
          <w:lang w:eastAsia="en-US"/>
        </w:rPr>
      </w:pPr>
    </w:p>
    <w:p w14:paraId="7339A1F8" w14:textId="77777777" w:rsidR="00E3709C" w:rsidRDefault="00E3709C" w:rsidP="00E3709C">
      <w:pPr>
        <w:pStyle w:val="Sinespaciado"/>
        <w:jc w:val="center"/>
        <w:rPr>
          <w:rFonts w:ascii="Arial" w:eastAsiaTheme="minorHAnsi" w:hAnsi="Arial" w:cs="Arial"/>
          <w:sz w:val="26"/>
          <w:szCs w:val="26"/>
          <w:lang w:eastAsia="en-US"/>
        </w:rPr>
      </w:pPr>
    </w:p>
    <w:p w14:paraId="0507AC65" w14:textId="77777777" w:rsidR="00E3709C" w:rsidRDefault="00E3709C" w:rsidP="00E3709C">
      <w:pPr>
        <w:pStyle w:val="Sinespaciado"/>
        <w:jc w:val="center"/>
        <w:rPr>
          <w:rFonts w:ascii="Arial" w:eastAsiaTheme="minorHAnsi" w:hAnsi="Arial" w:cs="Arial"/>
          <w:sz w:val="26"/>
          <w:szCs w:val="26"/>
          <w:lang w:eastAsia="en-US"/>
        </w:rPr>
      </w:pPr>
    </w:p>
    <w:p w14:paraId="126D5791" w14:textId="77777777" w:rsidR="00E3709C" w:rsidRDefault="00E3709C" w:rsidP="00E3709C">
      <w:pPr>
        <w:pStyle w:val="Sinespaciado"/>
        <w:jc w:val="center"/>
        <w:rPr>
          <w:rFonts w:ascii="Arial" w:eastAsiaTheme="minorHAnsi" w:hAnsi="Arial" w:cs="Arial"/>
          <w:sz w:val="26"/>
          <w:szCs w:val="26"/>
          <w:lang w:eastAsia="en-US"/>
        </w:rPr>
      </w:pPr>
    </w:p>
    <w:p w14:paraId="07C503FC" w14:textId="77777777" w:rsidR="00E3709C" w:rsidRDefault="00E3709C" w:rsidP="00E3709C">
      <w:pPr>
        <w:pStyle w:val="Sinespaciado"/>
        <w:jc w:val="center"/>
        <w:rPr>
          <w:rFonts w:ascii="Arial" w:eastAsiaTheme="minorHAnsi" w:hAnsi="Arial" w:cs="Arial"/>
          <w:sz w:val="26"/>
          <w:szCs w:val="26"/>
          <w:lang w:eastAsia="en-US"/>
        </w:rPr>
      </w:pPr>
    </w:p>
    <w:p w14:paraId="2C3697C4" w14:textId="77777777" w:rsidR="00E3709C" w:rsidRDefault="00E3709C" w:rsidP="00E3709C">
      <w:pPr>
        <w:pStyle w:val="Sinespaciado"/>
        <w:jc w:val="center"/>
        <w:rPr>
          <w:rFonts w:ascii="Arial" w:eastAsiaTheme="minorHAnsi" w:hAnsi="Arial" w:cs="Arial"/>
          <w:sz w:val="26"/>
          <w:szCs w:val="26"/>
          <w:lang w:eastAsia="en-US"/>
        </w:rPr>
      </w:pPr>
    </w:p>
    <w:p w14:paraId="4568FD0A" w14:textId="77777777" w:rsidR="00E3709C" w:rsidRPr="00473C1A" w:rsidRDefault="00E3709C" w:rsidP="00E3709C">
      <w:pPr>
        <w:pStyle w:val="Sinespaciado"/>
        <w:jc w:val="center"/>
        <w:rPr>
          <w:rFonts w:ascii="Arial" w:eastAsiaTheme="minorHAnsi" w:hAnsi="Arial" w:cs="Arial"/>
          <w:sz w:val="26"/>
          <w:szCs w:val="26"/>
          <w:lang w:eastAsia="en-US"/>
        </w:rPr>
      </w:pPr>
    </w:p>
    <w:p w14:paraId="67C0435E" w14:textId="77777777" w:rsidR="00E3709C" w:rsidRPr="00473C1A" w:rsidRDefault="00E3709C" w:rsidP="00E3709C">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ABRAHAM SANTIAGO SORIANO</w:t>
      </w:r>
    </w:p>
    <w:p w14:paraId="55E56C13" w14:textId="77777777" w:rsidR="00E3709C" w:rsidRDefault="00E3709C" w:rsidP="00E3709C">
      <w:pPr>
        <w:pStyle w:val="Sinespaciado"/>
        <w:jc w:val="center"/>
        <w:rPr>
          <w:rFonts w:ascii="Arial" w:eastAsiaTheme="minorHAnsi" w:hAnsi="Arial" w:cs="Arial"/>
          <w:sz w:val="26"/>
          <w:szCs w:val="26"/>
          <w:lang w:eastAsia="en-US"/>
        </w:rPr>
      </w:pPr>
    </w:p>
    <w:p w14:paraId="5D700990" w14:textId="77777777" w:rsidR="00E3709C" w:rsidRDefault="00E3709C" w:rsidP="00E3709C">
      <w:pPr>
        <w:pStyle w:val="Sinespaciado"/>
        <w:jc w:val="center"/>
        <w:rPr>
          <w:rFonts w:ascii="Arial" w:eastAsiaTheme="minorHAnsi" w:hAnsi="Arial" w:cs="Arial"/>
          <w:sz w:val="26"/>
          <w:szCs w:val="26"/>
          <w:lang w:eastAsia="en-US"/>
        </w:rPr>
      </w:pPr>
    </w:p>
    <w:p w14:paraId="2E2BD266" w14:textId="77777777" w:rsidR="00E3709C" w:rsidRDefault="00E3709C" w:rsidP="00E3709C">
      <w:pPr>
        <w:pStyle w:val="Sinespaciado"/>
        <w:jc w:val="center"/>
        <w:rPr>
          <w:rFonts w:ascii="Arial" w:eastAsiaTheme="minorHAnsi" w:hAnsi="Arial" w:cs="Arial"/>
          <w:sz w:val="26"/>
          <w:szCs w:val="26"/>
          <w:lang w:eastAsia="en-US"/>
        </w:rPr>
      </w:pPr>
    </w:p>
    <w:p w14:paraId="62335AE9" w14:textId="77777777" w:rsidR="00E3709C" w:rsidRDefault="00E3709C" w:rsidP="00E3709C">
      <w:pPr>
        <w:pStyle w:val="Sinespaciado"/>
        <w:jc w:val="center"/>
        <w:rPr>
          <w:rFonts w:ascii="Arial" w:eastAsiaTheme="minorHAnsi" w:hAnsi="Arial" w:cs="Arial"/>
          <w:sz w:val="26"/>
          <w:szCs w:val="26"/>
          <w:lang w:eastAsia="en-US"/>
        </w:rPr>
      </w:pPr>
    </w:p>
    <w:p w14:paraId="67337DE6" w14:textId="77777777" w:rsidR="00E3709C" w:rsidRDefault="00E3709C" w:rsidP="00E3709C">
      <w:pPr>
        <w:pStyle w:val="Sinespaciado"/>
        <w:jc w:val="center"/>
        <w:rPr>
          <w:rFonts w:ascii="Arial" w:eastAsiaTheme="minorHAnsi" w:hAnsi="Arial" w:cs="Arial"/>
          <w:sz w:val="26"/>
          <w:szCs w:val="26"/>
          <w:lang w:eastAsia="en-US"/>
        </w:rPr>
      </w:pPr>
    </w:p>
    <w:p w14:paraId="3D71D7EA" w14:textId="77777777" w:rsidR="00E3709C" w:rsidRDefault="00E3709C" w:rsidP="00E3709C">
      <w:pPr>
        <w:pStyle w:val="Sinespaciado"/>
        <w:jc w:val="center"/>
        <w:rPr>
          <w:rFonts w:ascii="Arial" w:eastAsiaTheme="minorHAnsi" w:hAnsi="Arial" w:cs="Arial"/>
          <w:sz w:val="26"/>
          <w:szCs w:val="26"/>
          <w:lang w:eastAsia="en-US"/>
        </w:rPr>
      </w:pPr>
    </w:p>
    <w:p w14:paraId="53751368" w14:textId="77777777" w:rsidR="00E3709C" w:rsidRPr="00473C1A" w:rsidRDefault="00E3709C" w:rsidP="00E3709C">
      <w:pPr>
        <w:pStyle w:val="Sinespaciado"/>
        <w:jc w:val="center"/>
        <w:rPr>
          <w:rFonts w:ascii="Arial" w:eastAsiaTheme="minorHAnsi" w:hAnsi="Arial" w:cs="Arial"/>
          <w:sz w:val="26"/>
          <w:szCs w:val="26"/>
          <w:lang w:eastAsia="en-US"/>
        </w:rPr>
      </w:pPr>
    </w:p>
    <w:p w14:paraId="4D767018" w14:textId="77777777" w:rsidR="00E3709C" w:rsidRPr="00473C1A" w:rsidRDefault="00E3709C" w:rsidP="00E3709C">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RAÚL PALOMARES PALOMINO</w:t>
      </w:r>
    </w:p>
    <w:p w14:paraId="53B73776" w14:textId="77777777" w:rsidR="00E3709C" w:rsidRDefault="00E3709C" w:rsidP="00E3709C">
      <w:pPr>
        <w:pStyle w:val="Sinespaciado"/>
        <w:jc w:val="center"/>
        <w:rPr>
          <w:rFonts w:ascii="Arial" w:eastAsiaTheme="minorHAnsi" w:hAnsi="Arial" w:cs="Arial"/>
          <w:sz w:val="26"/>
          <w:szCs w:val="26"/>
          <w:lang w:eastAsia="en-US"/>
        </w:rPr>
      </w:pPr>
    </w:p>
    <w:p w14:paraId="36D7958A" w14:textId="77777777" w:rsidR="00E3709C" w:rsidRDefault="00E3709C" w:rsidP="00E3709C">
      <w:pPr>
        <w:pStyle w:val="Sinespaciado"/>
        <w:jc w:val="center"/>
        <w:rPr>
          <w:rFonts w:ascii="Arial" w:eastAsiaTheme="minorHAnsi" w:hAnsi="Arial" w:cs="Arial"/>
          <w:sz w:val="26"/>
          <w:szCs w:val="26"/>
          <w:lang w:eastAsia="en-US"/>
        </w:rPr>
      </w:pPr>
    </w:p>
    <w:p w14:paraId="0790A9A6" w14:textId="77777777" w:rsidR="00E3709C" w:rsidRDefault="00E3709C" w:rsidP="00E3709C">
      <w:pPr>
        <w:pStyle w:val="Sinespaciado"/>
        <w:jc w:val="center"/>
        <w:rPr>
          <w:rFonts w:ascii="Arial" w:eastAsiaTheme="minorHAnsi" w:hAnsi="Arial" w:cs="Arial"/>
          <w:sz w:val="26"/>
          <w:szCs w:val="26"/>
          <w:lang w:eastAsia="en-US"/>
        </w:rPr>
      </w:pPr>
    </w:p>
    <w:p w14:paraId="53C908F7" w14:textId="77777777" w:rsidR="00E3709C" w:rsidRDefault="00E3709C" w:rsidP="00E3709C">
      <w:pPr>
        <w:pStyle w:val="Sinespaciado"/>
        <w:jc w:val="center"/>
        <w:rPr>
          <w:rFonts w:ascii="Arial" w:eastAsiaTheme="minorHAnsi" w:hAnsi="Arial" w:cs="Arial"/>
          <w:sz w:val="26"/>
          <w:szCs w:val="26"/>
          <w:lang w:eastAsia="en-US"/>
        </w:rPr>
      </w:pPr>
    </w:p>
    <w:p w14:paraId="6269C664" w14:textId="77777777" w:rsidR="00E3709C" w:rsidRDefault="00E3709C" w:rsidP="00E3709C">
      <w:pPr>
        <w:pStyle w:val="Sinespaciado"/>
        <w:jc w:val="center"/>
        <w:rPr>
          <w:rFonts w:ascii="Arial" w:eastAsiaTheme="minorHAnsi" w:hAnsi="Arial" w:cs="Arial"/>
          <w:sz w:val="26"/>
          <w:szCs w:val="26"/>
          <w:lang w:eastAsia="en-US"/>
        </w:rPr>
      </w:pPr>
    </w:p>
    <w:p w14:paraId="0EECE24B" w14:textId="77777777" w:rsidR="00E3709C" w:rsidRPr="00473C1A" w:rsidRDefault="00E3709C" w:rsidP="00E3709C">
      <w:pPr>
        <w:pStyle w:val="Sinespaciado"/>
        <w:jc w:val="center"/>
        <w:rPr>
          <w:rFonts w:ascii="Arial" w:eastAsiaTheme="minorHAnsi" w:hAnsi="Arial" w:cs="Arial"/>
          <w:sz w:val="26"/>
          <w:szCs w:val="26"/>
          <w:lang w:eastAsia="en-US"/>
        </w:rPr>
      </w:pPr>
    </w:p>
    <w:p w14:paraId="30B2034E" w14:textId="77777777" w:rsidR="00E3709C" w:rsidRPr="00473C1A" w:rsidRDefault="00E3709C" w:rsidP="00E3709C">
      <w:pPr>
        <w:pStyle w:val="Sinespaciado"/>
        <w:jc w:val="center"/>
        <w:rPr>
          <w:rFonts w:ascii="Arial" w:eastAsiaTheme="minorHAnsi" w:hAnsi="Arial" w:cs="Arial"/>
          <w:sz w:val="26"/>
          <w:szCs w:val="26"/>
          <w:lang w:eastAsia="en-US"/>
        </w:rPr>
      </w:pPr>
    </w:p>
    <w:p w14:paraId="383599AF" w14:textId="77777777" w:rsidR="00E3709C" w:rsidRPr="00473C1A" w:rsidRDefault="00E3709C" w:rsidP="00E3709C">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MAGISTRADA GLORIA DEL CARMEN CAMACHO MEZA</w:t>
      </w:r>
    </w:p>
    <w:p w14:paraId="7B5599F3" w14:textId="77777777" w:rsidR="00E3709C" w:rsidRDefault="00E3709C" w:rsidP="00E3709C">
      <w:pPr>
        <w:pStyle w:val="Sinespaciado"/>
        <w:jc w:val="center"/>
        <w:rPr>
          <w:rFonts w:ascii="Arial" w:eastAsiaTheme="minorHAnsi" w:hAnsi="Arial" w:cs="Arial"/>
          <w:sz w:val="26"/>
          <w:szCs w:val="26"/>
          <w:lang w:eastAsia="en-US"/>
        </w:rPr>
      </w:pPr>
    </w:p>
    <w:p w14:paraId="1DFFF524" w14:textId="77777777" w:rsidR="00E3709C" w:rsidRDefault="00E3709C" w:rsidP="00E3709C">
      <w:pPr>
        <w:pStyle w:val="Sinespaciado"/>
        <w:jc w:val="center"/>
        <w:rPr>
          <w:rFonts w:ascii="Arial" w:eastAsiaTheme="minorHAnsi" w:hAnsi="Arial" w:cs="Arial"/>
          <w:sz w:val="26"/>
          <w:szCs w:val="26"/>
          <w:lang w:eastAsia="en-US"/>
        </w:rPr>
      </w:pPr>
    </w:p>
    <w:p w14:paraId="7F6C3546" w14:textId="77777777" w:rsidR="00E3709C" w:rsidRDefault="00E3709C" w:rsidP="00E3709C">
      <w:pPr>
        <w:pStyle w:val="Sinespaciado"/>
        <w:jc w:val="center"/>
        <w:rPr>
          <w:rFonts w:ascii="Arial" w:eastAsiaTheme="minorHAnsi" w:hAnsi="Arial" w:cs="Arial"/>
          <w:sz w:val="26"/>
          <w:szCs w:val="26"/>
          <w:lang w:eastAsia="en-US"/>
        </w:rPr>
      </w:pPr>
    </w:p>
    <w:p w14:paraId="7544BE67" w14:textId="77777777" w:rsidR="00E3709C" w:rsidRDefault="00E3709C" w:rsidP="00E3709C">
      <w:pPr>
        <w:pStyle w:val="Sinespaciado"/>
        <w:jc w:val="center"/>
        <w:rPr>
          <w:rFonts w:ascii="Arial" w:eastAsiaTheme="minorHAnsi" w:hAnsi="Arial" w:cs="Arial"/>
          <w:sz w:val="26"/>
          <w:szCs w:val="26"/>
          <w:lang w:eastAsia="en-US"/>
        </w:rPr>
      </w:pPr>
    </w:p>
    <w:p w14:paraId="69497EE9" w14:textId="77777777" w:rsidR="00E3709C" w:rsidRDefault="00E3709C" w:rsidP="00E3709C">
      <w:pPr>
        <w:pStyle w:val="Sinespaciado"/>
        <w:jc w:val="center"/>
        <w:rPr>
          <w:rFonts w:ascii="Arial" w:eastAsiaTheme="minorHAnsi" w:hAnsi="Arial" w:cs="Arial"/>
          <w:sz w:val="26"/>
          <w:szCs w:val="26"/>
          <w:lang w:eastAsia="en-US"/>
        </w:rPr>
      </w:pPr>
    </w:p>
    <w:p w14:paraId="43969679" w14:textId="77777777" w:rsidR="00E3709C" w:rsidRDefault="00E3709C" w:rsidP="00E3709C">
      <w:pPr>
        <w:pStyle w:val="Sinespaciado"/>
        <w:jc w:val="center"/>
        <w:rPr>
          <w:rFonts w:ascii="Arial" w:eastAsiaTheme="minorHAnsi" w:hAnsi="Arial" w:cs="Arial"/>
          <w:sz w:val="26"/>
          <w:szCs w:val="26"/>
          <w:lang w:eastAsia="en-US"/>
        </w:rPr>
      </w:pPr>
    </w:p>
    <w:p w14:paraId="03177408" w14:textId="77777777" w:rsidR="00E3709C" w:rsidRPr="00473C1A" w:rsidRDefault="00E3709C" w:rsidP="00E3709C">
      <w:pPr>
        <w:pStyle w:val="Sinespaciado"/>
        <w:jc w:val="center"/>
        <w:rPr>
          <w:rFonts w:ascii="Arial" w:eastAsiaTheme="minorHAnsi" w:hAnsi="Arial" w:cs="Arial"/>
          <w:sz w:val="26"/>
          <w:szCs w:val="26"/>
          <w:lang w:eastAsia="en-US"/>
        </w:rPr>
      </w:pPr>
    </w:p>
    <w:p w14:paraId="35CB02BE" w14:textId="77777777" w:rsidR="00E3709C" w:rsidRPr="00473C1A" w:rsidRDefault="00E3709C" w:rsidP="00E3709C">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PAULO JOSÉ LUIS TAPIA PALACIOS</w:t>
      </w:r>
    </w:p>
    <w:p w14:paraId="4834F078" w14:textId="77777777" w:rsidR="00E3709C" w:rsidRDefault="00E3709C" w:rsidP="00E3709C">
      <w:pPr>
        <w:pStyle w:val="Sinespaciado"/>
        <w:jc w:val="center"/>
        <w:rPr>
          <w:rFonts w:ascii="Arial" w:eastAsiaTheme="minorHAnsi" w:hAnsi="Arial" w:cs="Arial"/>
          <w:sz w:val="26"/>
          <w:szCs w:val="26"/>
          <w:lang w:eastAsia="en-US"/>
        </w:rPr>
      </w:pPr>
    </w:p>
    <w:p w14:paraId="31F9F3FA" w14:textId="77777777" w:rsidR="00E3709C" w:rsidRDefault="00E3709C" w:rsidP="00E3709C">
      <w:pPr>
        <w:pStyle w:val="Sinespaciado"/>
        <w:jc w:val="center"/>
        <w:rPr>
          <w:rFonts w:ascii="Arial" w:eastAsiaTheme="minorHAnsi" w:hAnsi="Arial" w:cs="Arial"/>
          <w:sz w:val="26"/>
          <w:szCs w:val="26"/>
          <w:lang w:eastAsia="en-US"/>
        </w:rPr>
      </w:pPr>
    </w:p>
    <w:p w14:paraId="5D118321" w14:textId="77777777" w:rsidR="00E3709C" w:rsidRDefault="00E3709C" w:rsidP="00E3709C">
      <w:pPr>
        <w:pStyle w:val="Sinespaciado"/>
        <w:jc w:val="center"/>
        <w:rPr>
          <w:rFonts w:ascii="Arial" w:eastAsiaTheme="minorHAnsi" w:hAnsi="Arial" w:cs="Arial"/>
          <w:sz w:val="26"/>
          <w:szCs w:val="26"/>
          <w:lang w:eastAsia="en-US"/>
        </w:rPr>
      </w:pPr>
    </w:p>
    <w:p w14:paraId="03E06381" w14:textId="77777777" w:rsidR="00E3709C" w:rsidRDefault="00E3709C" w:rsidP="00E3709C">
      <w:pPr>
        <w:pStyle w:val="Sinespaciado"/>
        <w:jc w:val="center"/>
        <w:rPr>
          <w:rFonts w:ascii="Arial" w:eastAsiaTheme="minorHAnsi" w:hAnsi="Arial" w:cs="Arial"/>
          <w:sz w:val="26"/>
          <w:szCs w:val="26"/>
          <w:lang w:eastAsia="en-US"/>
        </w:rPr>
      </w:pPr>
    </w:p>
    <w:p w14:paraId="52560F86" w14:textId="77777777" w:rsidR="00E3709C" w:rsidRDefault="00E3709C" w:rsidP="00E3709C">
      <w:pPr>
        <w:pStyle w:val="Sinespaciado"/>
        <w:jc w:val="center"/>
        <w:rPr>
          <w:rFonts w:ascii="Arial" w:eastAsiaTheme="minorHAnsi" w:hAnsi="Arial" w:cs="Arial"/>
          <w:sz w:val="26"/>
          <w:szCs w:val="26"/>
          <w:lang w:eastAsia="en-US"/>
        </w:rPr>
      </w:pPr>
    </w:p>
    <w:p w14:paraId="4A9E6258" w14:textId="77777777" w:rsidR="00E3709C" w:rsidRDefault="00E3709C" w:rsidP="00E3709C">
      <w:pPr>
        <w:pStyle w:val="Sinespaciado"/>
        <w:jc w:val="center"/>
        <w:rPr>
          <w:rFonts w:ascii="Arial" w:eastAsiaTheme="minorHAnsi" w:hAnsi="Arial" w:cs="Arial"/>
          <w:sz w:val="26"/>
          <w:szCs w:val="26"/>
          <w:lang w:eastAsia="en-US"/>
        </w:rPr>
      </w:pPr>
    </w:p>
    <w:p w14:paraId="392F9B91" w14:textId="77777777" w:rsidR="00E3709C" w:rsidRPr="00473C1A" w:rsidRDefault="00E3709C" w:rsidP="00E3709C">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LICENCIADO JUAN EDY GARCÍA CORONADO</w:t>
      </w:r>
    </w:p>
    <w:p w14:paraId="726FDC18" w14:textId="77777777" w:rsidR="00E3709C" w:rsidRPr="00473C1A" w:rsidRDefault="00E3709C" w:rsidP="00E3709C">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SECRETARIO GENERAL DE ACUERDOS</w:t>
      </w:r>
    </w:p>
    <w:p w14:paraId="64BA69AA" w14:textId="40C99448" w:rsidR="006F40D6" w:rsidRPr="006F40D6" w:rsidRDefault="006F40D6" w:rsidP="00E3709C">
      <w:pPr>
        <w:tabs>
          <w:tab w:val="center" w:pos="4135"/>
          <w:tab w:val="left" w:pos="7515"/>
        </w:tabs>
        <w:spacing w:line="360" w:lineRule="auto"/>
        <w:jc w:val="center"/>
      </w:pPr>
    </w:p>
    <w:sectPr w:rsidR="006F40D6" w:rsidRPr="006F40D6" w:rsidSect="00794D6B">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C53BEF" w14:textId="77777777" w:rsidR="00CF23E9" w:rsidRDefault="00CF23E9">
      <w:pPr>
        <w:spacing w:after="0" w:line="240" w:lineRule="auto"/>
      </w:pPr>
      <w:r>
        <w:separator/>
      </w:r>
    </w:p>
  </w:endnote>
  <w:endnote w:type="continuationSeparator" w:id="0">
    <w:p w14:paraId="197449BF" w14:textId="77777777" w:rsidR="00CF23E9" w:rsidRDefault="00CF2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7B992" w14:textId="77777777" w:rsidR="00CF23E9" w:rsidRDefault="00CF23E9">
      <w:pPr>
        <w:spacing w:after="0" w:line="240" w:lineRule="auto"/>
      </w:pPr>
      <w:r>
        <w:separator/>
      </w:r>
    </w:p>
  </w:footnote>
  <w:footnote w:type="continuationSeparator" w:id="0">
    <w:p w14:paraId="53FEEC81" w14:textId="77777777" w:rsidR="00CF23E9" w:rsidRDefault="00CF23E9">
      <w:pPr>
        <w:spacing w:after="0" w:line="240" w:lineRule="auto"/>
      </w:pPr>
      <w:r>
        <w:continuationSeparator/>
      </w:r>
    </w:p>
  </w:footnote>
  <w:footnote w:id="1">
    <w:p w14:paraId="5E747B98" w14:textId="77777777" w:rsidR="006F40D6" w:rsidRPr="0095018D" w:rsidRDefault="006F40D6" w:rsidP="006F40D6">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14:paraId="35B65215" w14:textId="77777777" w:rsidR="006F40D6" w:rsidRPr="006C4EE7" w:rsidRDefault="006F40D6" w:rsidP="006F40D6">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2">
    <w:p w14:paraId="2E77BDA1" w14:textId="7EC51E1D" w:rsidR="006F40D6" w:rsidRPr="005E45CF" w:rsidRDefault="006F40D6" w:rsidP="006F40D6">
      <w:pPr>
        <w:pStyle w:val="Textonotapie"/>
        <w:rPr>
          <w:lang w:val="es-ES"/>
        </w:rPr>
      </w:pPr>
      <w:r>
        <w:rPr>
          <w:rStyle w:val="Refdenotaalpie"/>
        </w:rPr>
        <w:footnoteRef/>
      </w:r>
      <w:r>
        <w:t xml:space="preserve"> </w:t>
      </w:r>
      <w:r>
        <w:rPr>
          <w:lang w:val="es-ES"/>
        </w:rPr>
        <w:t>Consultable a fojas 1</w:t>
      </w:r>
      <w:r w:rsidR="006D42D3">
        <w:rPr>
          <w:lang w:val="es-ES"/>
        </w:rPr>
        <w:t>4</w:t>
      </w:r>
      <w:r>
        <w:rPr>
          <w:lang w:val="es-ES"/>
        </w:rPr>
        <w:t xml:space="preserve"> (</w:t>
      </w:r>
      <w:r w:rsidR="006D42D3">
        <w:rPr>
          <w:lang w:val="es-ES"/>
        </w:rPr>
        <w:t>catorce) a 19</w:t>
      </w:r>
      <w:r>
        <w:rPr>
          <w:lang w:val="es-ES"/>
        </w:rPr>
        <w:t xml:space="preserve"> (</w:t>
      </w:r>
      <w:r w:rsidR="006D42D3">
        <w:rPr>
          <w:lang w:val="es-ES"/>
        </w:rPr>
        <w:t>diecinueve</w:t>
      </w:r>
      <w:r>
        <w:rPr>
          <w:lang w:val="es-ES"/>
        </w:rPr>
        <w:t>) del expediente 0</w:t>
      </w:r>
      <w:r w:rsidR="006D42D3">
        <w:rPr>
          <w:lang w:val="es-ES"/>
        </w:rPr>
        <w:t>023</w:t>
      </w:r>
      <w:r>
        <w:rPr>
          <w:lang w:val="es-ES"/>
        </w:rPr>
        <w:t>/20</w:t>
      </w:r>
      <w:r w:rsidR="006D42D3">
        <w:rPr>
          <w:lang w:val="es-ES"/>
        </w:rPr>
        <w:t>20</w:t>
      </w:r>
      <w:r>
        <w:rPr>
          <w:lang w:val="es-ES"/>
        </w:rPr>
        <w:t xml:space="preserve"> del índice de la </w:t>
      </w:r>
      <w:r w:rsidR="006D42D3">
        <w:rPr>
          <w:lang w:val="es-ES"/>
        </w:rPr>
        <w:t>Quinta</w:t>
      </w:r>
      <w:r>
        <w:rPr>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53D076F" w:rsidR="000F5C41" w:rsidRDefault="008B250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B250C">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2EC02B5" w:rsidR="000F5C41" w:rsidRDefault="008B250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B250C">
          <w:rPr>
            <w:noProof/>
            <w:lang w:val="es-ES"/>
          </w:rPr>
          <w:t>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B250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8DB"/>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3BCE"/>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5D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633F"/>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83D"/>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F78"/>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F52"/>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8AA"/>
    <w:rsid w:val="001E25D6"/>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45B2"/>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6E86"/>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36E"/>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D94"/>
    <w:rsid w:val="002F32F4"/>
    <w:rsid w:val="002F3B18"/>
    <w:rsid w:val="002F3DC5"/>
    <w:rsid w:val="002F4F72"/>
    <w:rsid w:val="002F511C"/>
    <w:rsid w:val="002F5BC6"/>
    <w:rsid w:val="002F5E12"/>
    <w:rsid w:val="002F67C7"/>
    <w:rsid w:val="002F6EC3"/>
    <w:rsid w:val="002F7173"/>
    <w:rsid w:val="002F7287"/>
    <w:rsid w:val="002F7484"/>
    <w:rsid w:val="002F77C3"/>
    <w:rsid w:val="00301CB4"/>
    <w:rsid w:val="00302960"/>
    <w:rsid w:val="0030330D"/>
    <w:rsid w:val="00304999"/>
    <w:rsid w:val="00304F25"/>
    <w:rsid w:val="003056B2"/>
    <w:rsid w:val="00305CF4"/>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0FD"/>
    <w:rsid w:val="003342D1"/>
    <w:rsid w:val="00334A65"/>
    <w:rsid w:val="003356C9"/>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75F"/>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D1E"/>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67E0"/>
    <w:rsid w:val="004572E7"/>
    <w:rsid w:val="00457778"/>
    <w:rsid w:val="00457FE0"/>
    <w:rsid w:val="00461033"/>
    <w:rsid w:val="00461086"/>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379"/>
    <w:rsid w:val="00500A0B"/>
    <w:rsid w:val="00500C4C"/>
    <w:rsid w:val="005016CA"/>
    <w:rsid w:val="00502093"/>
    <w:rsid w:val="00502177"/>
    <w:rsid w:val="0050345B"/>
    <w:rsid w:val="00504E19"/>
    <w:rsid w:val="0050552A"/>
    <w:rsid w:val="005063B6"/>
    <w:rsid w:val="00506944"/>
    <w:rsid w:val="00506A1C"/>
    <w:rsid w:val="00506C9A"/>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1A4"/>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650"/>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132D"/>
    <w:rsid w:val="00592360"/>
    <w:rsid w:val="00593333"/>
    <w:rsid w:val="005960D3"/>
    <w:rsid w:val="005973A7"/>
    <w:rsid w:val="005A0825"/>
    <w:rsid w:val="005A09A3"/>
    <w:rsid w:val="005A1FEE"/>
    <w:rsid w:val="005A273F"/>
    <w:rsid w:val="005A28FD"/>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5F7FAA"/>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A32"/>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2E"/>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088"/>
    <w:rsid w:val="006B511B"/>
    <w:rsid w:val="006B5508"/>
    <w:rsid w:val="006B6812"/>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42D3"/>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0D6"/>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058"/>
    <w:rsid w:val="00706144"/>
    <w:rsid w:val="007061EE"/>
    <w:rsid w:val="007063E6"/>
    <w:rsid w:val="00707031"/>
    <w:rsid w:val="00707245"/>
    <w:rsid w:val="00707707"/>
    <w:rsid w:val="00707E14"/>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0D09"/>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6B"/>
    <w:rsid w:val="00786A0E"/>
    <w:rsid w:val="00787328"/>
    <w:rsid w:val="00787FF8"/>
    <w:rsid w:val="007904C9"/>
    <w:rsid w:val="00790CF4"/>
    <w:rsid w:val="00790DA7"/>
    <w:rsid w:val="00791F5C"/>
    <w:rsid w:val="007927EC"/>
    <w:rsid w:val="00792E46"/>
    <w:rsid w:val="00792E5F"/>
    <w:rsid w:val="00793C07"/>
    <w:rsid w:val="00794D6B"/>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6D9"/>
    <w:rsid w:val="007C1271"/>
    <w:rsid w:val="007C313D"/>
    <w:rsid w:val="007C31C2"/>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9B9"/>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0"/>
    <w:rsid w:val="008504C8"/>
    <w:rsid w:val="00851000"/>
    <w:rsid w:val="00851789"/>
    <w:rsid w:val="00853F33"/>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50C"/>
    <w:rsid w:val="008B299F"/>
    <w:rsid w:val="008B2A33"/>
    <w:rsid w:val="008B3030"/>
    <w:rsid w:val="008B32AC"/>
    <w:rsid w:val="008B33CF"/>
    <w:rsid w:val="008B43C8"/>
    <w:rsid w:val="008B458E"/>
    <w:rsid w:val="008B473C"/>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0FF"/>
    <w:rsid w:val="008C5220"/>
    <w:rsid w:val="008C65C9"/>
    <w:rsid w:val="008C7C52"/>
    <w:rsid w:val="008C7E30"/>
    <w:rsid w:val="008D1236"/>
    <w:rsid w:val="008D1EDE"/>
    <w:rsid w:val="008D32AD"/>
    <w:rsid w:val="008D3620"/>
    <w:rsid w:val="008D458F"/>
    <w:rsid w:val="008D52D9"/>
    <w:rsid w:val="008D62BF"/>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08B5"/>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795"/>
    <w:rsid w:val="009C6929"/>
    <w:rsid w:val="009C6A52"/>
    <w:rsid w:val="009C72C2"/>
    <w:rsid w:val="009C747C"/>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628"/>
    <w:rsid w:val="009E1EBC"/>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788"/>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1E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BE0"/>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6E4"/>
    <w:rsid w:val="00AF67FD"/>
    <w:rsid w:val="00AF6C6B"/>
    <w:rsid w:val="00AF6E07"/>
    <w:rsid w:val="00AF72B1"/>
    <w:rsid w:val="00B0093A"/>
    <w:rsid w:val="00B00AAC"/>
    <w:rsid w:val="00B02152"/>
    <w:rsid w:val="00B0229E"/>
    <w:rsid w:val="00B02BB1"/>
    <w:rsid w:val="00B02FB6"/>
    <w:rsid w:val="00B03ACC"/>
    <w:rsid w:val="00B04123"/>
    <w:rsid w:val="00B046AB"/>
    <w:rsid w:val="00B049EC"/>
    <w:rsid w:val="00B04B6B"/>
    <w:rsid w:val="00B04DD6"/>
    <w:rsid w:val="00B050D6"/>
    <w:rsid w:val="00B0522D"/>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6D7"/>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798"/>
    <w:rsid w:val="00B94CF4"/>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F3E"/>
    <w:rsid w:val="00BA42E0"/>
    <w:rsid w:val="00BA5246"/>
    <w:rsid w:val="00BA59AD"/>
    <w:rsid w:val="00BA5B49"/>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A71"/>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4A9"/>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F6C"/>
    <w:rsid w:val="00C9111E"/>
    <w:rsid w:val="00C91446"/>
    <w:rsid w:val="00C919AB"/>
    <w:rsid w:val="00C92681"/>
    <w:rsid w:val="00C94994"/>
    <w:rsid w:val="00C94C04"/>
    <w:rsid w:val="00C9511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3A7"/>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23E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00C"/>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1503"/>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1D6A"/>
    <w:rsid w:val="00DA23DC"/>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17FFA"/>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09C"/>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3AE"/>
    <w:rsid w:val="00E55F46"/>
    <w:rsid w:val="00E56061"/>
    <w:rsid w:val="00E5633C"/>
    <w:rsid w:val="00E56E97"/>
    <w:rsid w:val="00E56EE4"/>
    <w:rsid w:val="00E60A17"/>
    <w:rsid w:val="00E621FE"/>
    <w:rsid w:val="00E62CBA"/>
    <w:rsid w:val="00E634FD"/>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4095"/>
    <w:rsid w:val="00EB51C7"/>
    <w:rsid w:val="00EB5858"/>
    <w:rsid w:val="00EB5DEF"/>
    <w:rsid w:val="00EB61E5"/>
    <w:rsid w:val="00EB67AA"/>
    <w:rsid w:val="00EB70B5"/>
    <w:rsid w:val="00EB780C"/>
    <w:rsid w:val="00EC3309"/>
    <w:rsid w:val="00EC45FC"/>
    <w:rsid w:val="00EC4A4E"/>
    <w:rsid w:val="00EC4B0C"/>
    <w:rsid w:val="00EC5A01"/>
    <w:rsid w:val="00EC5CC8"/>
    <w:rsid w:val="00EC6864"/>
    <w:rsid w:val="00EC6A8E"/>
    <w:rsid w:val="00EC6B14"/>
    <w:rsid w:val="00EC6BCB"/>
    <w:rsid w:val="00EC729C"/>
    <w:rsid w:val="00EC7AAA"/>
    <w:rsid w:val="00ED0365"/>
    <w:rsid w:val="00ED05EB"/>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3A6A"/>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41C"/>
    <w:rsid w:val="00F6166A"/>
    <w:rsid w:val="00F61967"/>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7B9"/>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1A"/>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186AB-4F4D-40E2-B8D3-3E15C968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8</Pages>
  <Words>2686</Words>
  <Characters>14777</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72</cp:revision>
  <cp:lastPrinted>2021-06-08T19:05:00Z</cp:lastPrinted>
  <dcterms:created xsi:type="dcterms:W3CDTF">2021-02-11T19:49:00Z</dcterms:created>
  <dcterms:modified xsi:type="dcterms:W3CDTF">2021-09-13T18:11:00Z</dcterms:modified>
</cp:coreProperties>
</file>