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A153D" w:rsidRPr="006469FC" w:rsidRDefault="001A153D" w:rsidP="001A153D">
      <w:pPr>
        <w:spacing w:before="240" w:line="360" w:lineRule="auto"/>
        <w:jc w:val="both"/>
        <w:rPr>
          <w:sz w:val="26"/>
          <w:szCs w:val="26"/>
        </w:rPr>
      </w:pPr>
    </w:p>
    <w:tbl>
      <w:tblPr>
        <w:tblpPr w:leftFromText="141" w:rightFromText="141" w:vertAnchor="text" w:horzAnchor="page" w:tblpX="1846" w:tblpY="-530"/>
        <w:tblW w:w="9782" w:type="dxa"/>
        <w:tblLayout w:type="fixed"/>
        <w:tblCellMar>
          <w:left w:w="70" w:type="dxa"/>
          <w:right w:w="70" w:type="dxa"/>
        </w:tblCellMar>
        <w:tblLook w:val="0000" w:firstRow="0" w:lastRow="0" w:firstColumn="0" w:lastColumn="0" w:noHBand="0" w:noVBand="0"/>
      </w:tblPr>
      <w:tblGrid>
        <w:gridCol w:w="2905"/>
        <w:gridCol w:w="6877"/>
      </w:tblGrid>
      <w:tr w:rsidR="001A153D" w:rsidRPr="006469FC" w:rsidTr="004F2A08">
        <w:tc>
          <w:tcPr>
            <w:tcW w:w="2905" w:type="dxa"/>
          </w:tcPr>
          <w:p w:rsidR="001A153D" w:rsidRPr="006469FC" w:rsidRDefault="001A153D" w:rsidP="004F2A08">
            <w:pPr>
              <w:spacing w:line="360" w:lineRule="auto"/>
              <w:ind w:right="-356"/>
              <w:jc w:val="both"/>
              <w:rPr>
                <w:rFonts w:ascii="Arial" w:eastAsia="Calibri" w:hAnsi="Arial" w:cs="Arial"/>
                <w:b/>
                <w:sz w:val="26"/>
                <w:szCs w:val="26"/>
              </w:rPr>
            </w:pPr>
            <w:r w:rsidRPr="006469FC">
              <w:rPr>
                <w:rFonts w:ascii="Arial" w:eastAsia="Calibri" w:hAnsi="Arial" w:cs="Arial"/>
                <w:b/>
                <w:sz w:val="26"/>
                <w:szCs w:val="26"/>
              </w:rPr>
              <w:t xml:space="preserve">     </w:t>
            </w:r>
          </w:p>
        </w:tc>
        <w:tc>
          <w:tcPr>
            <w:tcW w:w="6877" w:type="dxa"/>
          </w:tcPr>
          <w:p w:rsidR="001A153D" w:rsidRPr="006469FC" w:rsidRDefault="001A153D" w:rsidP="004F2A08">
            <w:pPr>
              <w:ind w:right="498"/>
              <w:jc w:val="both"/>
              <w:rPr>
                <w:rFonts w:ascii="Arial" w:eastAsia="Calibri" w:hAnsi="Arial" w:cs="Arial"/>
                <w:b/>
                <w:i/>
                <w:iCs/>
                <w:sz w:val="26"/>
                <w:szCs w:val="26"/>
              </w:rPr>
            </w:pPr>
          </w:p>
          <w:p w:rsidR="001A153D" w:rsidRPr="006469FC" w:rsidRDefault="001A153D" w:rsidP="001A153D">
            <w:pPr>
              <w:ind w:left="639" w:right="498"/>
              <w:jc w:val="both"/>
              <w:rPr>
                <w:rFonts w:ascii="Arial" w:eastAsia="Calibri" w:hAnsi="Arial" w:cs="Arial"/>
                <w:b/>
                <w:iCs/>
                <w:sz w:val="26"/>
                <w:szCs w:val="26"/>
                <w:lang w:val="es-PE"/>
              </w:rPr>
            </w:pPr>
            <w:r w:rsidRPr="006469FC">
              <w:rPr>
                <w:rFonts w:ascii="Arial" w:eastAsia="Calibri" w:hAnsi="Arial" w:cs="Arial"/>
                <w:b/>
                <w:iCs/>
                <w:sz w:val="26"/>
                <w:szCs w:val="26"/>
              </w:rPr>
              <w:t>SALA SUPERIOR DEL TRIBUNAL DE JUSTICIA ADMINISTRATIVA DEL ESTADO DE OAXACA.</w:t>
            </w:r>
            <w:r w:rsidRPr="006469FC">
              <w:rPr>
                <w:rFonts w:ascii="Arial" w:eastAsia="Calibri" w:hAnsi="Arial" w:cs="Arial"/>
                <w:b/>
                <w:iCs/>
                <w:sz w:val="26"/>
                <w:szCs w:val="26"/>
                <w:lang w:val="es-PE"/>
              </w:rPr>
              <w:t xml:space="preserve">      </w:t>
            </w:r>
          </w:p>
          <w:p w:rsidR="001A153D" w:rsidRPr="006469FC" w:rsidRDefault="001A153D" w:rsidP="001A153D">
            <w:pPr>
              <w:ind w:left="639" w:right="498"/>
              <w:jc w:val="both"/>
              <w:rPr>
                <w:rFonts w:ascii="Arial" w:eastAsia="Calibri" w:hAnsi="Arial" w:cs="Arial"/>
                <w:b/>
                <w:iCs/>
                <w:sz w:val="26"/>
                <w:szCs w:val="26"/>
              </w:rPr>
            </w:pPr>
            <w:r w:rsidRPr="006469FC">
              <w:rPr>
                <w:rFonts w:ascii="Arial" w:eastAsia="Calibri" w:hAnsi="Arial" w:cs="Arial"/>
                <w:b/>
                <w:iCs/>
                <w:sz w:val="26"/>
                <w:szCs w:val="26"/>
                <w:lang w:val="es-PE"/>
              </w:rPr>
              <w:t xml:space="preserve">       </w:t>
            </w:r>
          </w:p>
          <w:p w:rsidR="001A153D" w:rsidRPr="006469FC" w:rsidRDefault="001A153D" w:rsidP="001A153D">
            <w:pPr>
              <w:spacing w:line="360" w:lineRule="auto"/>
              <w:ind w:left="639" w:right="498"/>
              <w:jc w:val="both"/>
              <w:rPr>
                <w:rFonts w:ascii="Arial" w:eastAsia="Calibri" w:hAnsi="Arial" w:cs="Arial"/>
                <w:b/>
                <w:iCs/>
                <w:sz w:val="26"/>
                <w:szCs w:val="26"/>
                <w:lang w:val="es-PE"/>
              </w:rPr>
            </w:pPr>
            <w:r w:rsidRPr="006469FC">
              <w:rPr>
                <w:rFonts w:ascii="Arial" w:eastAsia="Calibri" w:hAnsi="Arial" w:cs="Arial"/>
                <w:b/>
                <w:iCs/>
                <w:sz w:val="26"/>
                <w:szCs w:val="26"/>
                <w:lang w:val="es-PE"/>
              </w:rPr>
              <w:t xml:space="preserve">RECURSO DE REVISIÓN: 0237/2018 </w:t>
            </w:r>
          </w:p>
          <w:p w:rsidR="001A153D" w:rsidRPr="006469FC" w:rsidRDefault="001A153D" w:rsidP="001A153D">
            <w:pPr>
              <w:ind w:left="639" w:right="498"/>
              <w:jc w:val="both"/>
              <w:rPr>
                <w:rFonts w:ascii="Arial" w:eastAsia="Calibri" w:hAnsi="Arial" w:cs="Arial"/>
                <w:b/>
                <w:iCs/>
                <w:sz w:val="26"/>
                <w:szCs w:val="26"/>
                <w:lang w:val="es-PE"/>
              </w:rPr>
            </w:pPr>
            <w:r w:rsidRPr="006469FC">
              <w:rPr>
                <w:rFonts w:ascii="Arial" w:eastAsia="Calibri" w:hAnsi="Arial" w:cs="Arial"/>
                <w:b/>
                <w:iCs/>
                <w:sz w:val="26"/>
                <w:szCs w:val="26"/>
                <w:lang w:val="es-PE"/>
              </w:rPr>
              <w:t xml:space="preserve">EXPEDIENTE: 004/2018 DE LA CUARTA SALA UNITARIA DE PRIMERA INSTANCIA.  </w:t>
            </w:r>
          </w:p>
          <w:p w:rsidR="001A153D" w:rsidRPr="006469FC" w:rsidRDefault="001A153D" w:rsidP="001A153D">
            <w:pPr>
              <w:ind w:left="639" w:right="498"/>
              <w:jc w:val="both"/>
              <w:rPr>
                <w:rFonts w:ascii="Arial" w:eastAsia="Calibri" w:hAnsi="Arial" w:cs="Arial"/>
                <w:b/>
                <w:iCs/>
                <w:sz w:val="26"/>
                <w:szCs w:val="26"/>
                <w:lang w:val="es-PE"/>
              </w:rPr>
            </w:pPr>
          </w:p>
          <w:p w:rsidR="001A153D" w:rsidRPr="006469FC" w:rsidRDefault="001A153D" w:rsidP="001A153D">
            <w:pPr>
              <w:ind w:left="639" w:right="498"/>
              <w:jc w:val="both"/>
              <w:rPr>
                <w:rFonts w:ascii="Arial" w:eastAsia="Calibri" w:hAnsi="Arial" w:cs="Arial"/>
                <w:b/>
                <w:iCs/>
                <w:sz w:val="26"/>
                <w:szCs w:val="26"/>
                <w:lang w:val="es-PE"/>
              </w:rPr>
            </w:pPr>
            <w:r w:rsidRPr="006469FC">
              <w:rPr>
                <w:rFonts w:ascii="Arial" w:eastAsia="Calibri" w:hAnsi="Arial" w:cs="Arial"/>
                <w:b/>
                <w:iCs/>
                <w:sz w:val="26"/>
                <w:szCs w:val="26"/>
                <w:lang w:val="es-PE"/>
              </w:rPr>
              <w:t>PONENTE: MAGISTRADO RAÚ</w:t>
            </w:r>
            <w:r>
              <w:rPr>
                <w:rFonts w:ascii="Arial" w:eastAsia="Calibri" w:hAnsi="Arial" w:cs="Arial"/>
                <w:b/>
                <w:iCs/>
                <w:sz w:val="26"/>
                <w:szCs w:val="26"/>
                <w:lang w:val="es-PE"/>
              </w:rPr>
              <w:t xml:space="preserve">L </w:t>
            </w:r>
            <w:r w:rsidRPr="006469FC">
              <w:rPr>
                <w:rFonts w:ascii="Arial" w:eastAsia="Calibri" w:hAnsi="Arial" w:cs="Arial"/>
                <w:b/>
                <w:iCs/>
                <w:sz w:val="26"/>
                <w:szCs w:val="26"/>
                <w:lang w:val="es-PE"/>
              </w:rPr>
              <w:t>PALOMARES PALOMINO.</w:t>
            </w:r>
          </w:p>
        </w:tc>
      </w:tr>
    </w:tbl>
    <w:p w:rsidR="001A153D" w:rsidRDefault="001A153D" w:rsidP="001A153D">
      <w:pPr>
        <w:spacing w:line="360" w:lineRule="auto"/>
        <w:ind w:right="49"/>
        <w:jc w:val="both"/>
        <w:rPr>
          <w:rFonts w:ascii="Arial" w:eastAsia="Calibri" w:hAnsi="Arial" w:cs="Arial"/>
          <w:b/>
          <w:sz w:val="26"/>
          <w:szCs w:val="26"/>
        </w:rPr>
      </w:pPr>
      <w:r w:rsidRPr="006469FC">
        <w:rPr>
          <w:rFonts w:ascii="Arial" w:eastAsia="Calibri" w:hAnsi="Arial" w:cs="Arial"/>
          <w:b/>
          <w:sz w:val="26"/>
          <w:szCs w:val="26"/>
        </w:rPr>
        <w:t xml:space="preserve">OAXACA DE JUÁREZ, OAXACA, </w:t>
      </w:r>
      <w:r>
        <w:rPr>
          <w:rFonts w:ascii="Arial" w:eastAsia="Calibri" w:hAnsi="Arial" w:cs="Arial"/>
          <w:b/>
          <w:sz w:val="26"/>
          <w:szCs w:val="26"/>
        </w:rPr>
        <w:t xml:space="preserve">VEINTICUATRO </w:t>
      </w:r>
      <w:r w:rsidRPr="006469FC">
        <w:rPr>
          <w:rFonts w:ascii="Arial" w:eastAsia="Calibri" w:hAnsi="Arial" w:cs="Arial"/>
          <w:b/>
          <w:sz w:val="26"/>
          <w:szCs w:val="26"/>
        </w:rPr>
        <w:t>DE OCTUBRE DE DOS MIL DIECINUEVE.</w:t>
      </w:r>
      <w:r>
        <w:rPr>
          <w:rFonts w:ascii="Arial" w:eastAsia="Calibri" w:hAnsi="Arial" w:cs="Arial"/>
          <w:b/>
          <w:sz w:val="26"/>
          <w:szCs w:val="26"/>
        </w:rPr>
        <w:t xml:space="preserve"> </w:t>
      </w:r>
    </w:p>
    <w:p w:rsidR="001A153D" w:rsidRDefault="001A153D" w:rsidP="001A153D">
      <w:pPr>
        <w:spacing w:line="360" w:lineRule="auto"/>
        <w:ind w:right="49"/>
        <w:jc w:val="both"/>
        <w:rPr>
          <w:rFonts w:ascii="Arial" w:eastAsia="Calibri" w:hAnsi="Arial" w:cs="Arial"/>
          <w:b/>
          <w:sz w:val="26"/>
          <w:szCs w:val="26"/>
        </w:rPr>
      </w:pPr>
    </w:p>
    <w:p w:rsidR="001A153D" w:rsidRPr="006469FC" w:rsidRDefault="001A153D" w:rsidP="001A153D">
      <w:pPr>
        <w:spacing w:line="360" w:lineRule="auto"/>
        <w:ind w:right="49" w:firstLine="708"/>
        <w:jc w:val="both"/>
        <w:rPr>
          <w:rFonts w:ascii="Arial" w:hAnsi="Arial" w:cs="Arial"/>
          <w:sz w:val="26"/>
          <w:szCs w:val="26"/>
        </w:rPr>
      </w:pPr>
      <w:r w:rsidRPr="006469FC">
        <w:rPr>
          <w:rFonts w:ascii="Arial" w:hAnsi="Arial" w:cs="Arial"/>
          <w:color w:val="000000" w:themeColor="text1"/>
          <w:sz w:val="26"/>
          <w:szCs w:val="26"/>
        </w:rPr>
        <w:t xml:space="preserve">Téngase por recibido el cuaderno de revisión </w:t>
      </w:r>
      <w:r w:rsidRPr="006469FC">
        <w:rPr>
          <w:rFonts w:ascii="Arial" w:hAnsi="Arial" w:cs="Arial"/>
          <w:b/>
          <w:color w:val="000000" w:themeColor="text1"/>
          <w:sz w:val="26"/>
          <w:szCs w:val="26"/>
        </w:rPr>
        <w:t>0237/2018</w:t>
      </w:r>
      <w:r w:rsidRPr="006469FC">
        <w:rPr>
          <w:rFonts w:ascii="Arial" w:hAnsi="Arial" w:cs="Arial"/>
          <w:sz w:val="26"/>
          <w:szCs w:val="26"/>
        </w:rPr>
        <w:t xml:space="preserve"> remitido por la Secretaría General de Acuerdos, con motivo del</w:t>
      </w:r>
      <w:r w:rsidRPr="006469FC">
        <w:rPr>
          <w:rFonts w:ascii="Arial" w:hAnsi="Arial" w:cs="Arial"/>
          <w:sz w:val="26"/>
          <w:szCs w:val="26"/>
        </w:rPr>
        <w:softHyphen/>
      </w:r>
      <w:r w:rsidRPr="006469FC">
        <w:rPr>
          <w:rFonts w:ascii="Arial" w:hAnsi="Arial" w:cs="Arial"/>
          <w:sz w:val="26"/>
          <w:szCs w:val="26"/>
        </w:rPr>
        <w:softHyphen/>
      </w:r>
      <w:r w:rsidRPr="006469FC">
        <w:rPr>
          <w:rFonts w:ascii="Arial" w:hAnsi="Arial" w:cs="Arial"/>
          <w:sz w:val="26"/>
          <w:szCs w:val="26"/>
        </w:rPr>
        <w:softHyphen/>
      </w:r>
      <w:r w:rsidRPr="006469FC">
        <w:rPr>
          <w:rFonts w:ascii="Arial" w:hAnsi="Arial" w:cs="Arial"/>
          <w:sz w:val="26"/>
          <w:szCs w:val="26"/>
        </w:rPr>
        <w:softHyphen/>
      </w:r>
      <w:r w:rsidRPr="006469FC">
        <w:rPr>
          <w:rFonts w:ascii="Arial" w:hAnsi="Arial" w:cs="Arial"/>
          <w:sz w:val="26"/>
          <w:szCs w:val="26"/>
        </w:rPr>
        <w:softHyphen/>
      </w:r>
      <w:r w:rsidRPr="006469FC">
        <w:rPr>
          <w:rFonts w:ascii="Arial" w:hAnsi="Arial" w:cs="Arial"/>
          <w:sz w:val="26"/>
          <w:szCs w:val="26"/>
        </w:rPr>
        <w:softHyphen/>
      </w:r>
      <w:r w:rsidRPr="006469FC">
        <w:rPr>
          <w:rFonts w:ascii="Arial" w:hAnsi="Arial" w:cs="Arial"/>
          <w:sz w:val="26"/>
          <w:szCs w:val="26"/>
        </w:rPr>
        <w:softHyphen/>
      </w:r>
      <w:r w:rsidRPr="006469FC">
        <w:rPr>
          <w:rFonts w:ascii="Arial" w:hAnsi="Arial" w:cs="Arial"/>
          <w:sz w:val="26"/>
          <w:szCs w:val="26"/>
        </w:rPr>
        <w:softHyphen/>
      </w:r>
      <w:r w:rsidRPr="006469FC">
        <w:rPr>
          <w:rFonts w:ascii="Arial" w:hAnsi="Arial" w:cs="Arial"/>
          <w:sz w:val="26"/>
          <w:szCs w:val="26"/>
        </w:rPr>
        <w:softHyphen/>
      </w:r>
      <w:r w:rsidRPr="006469FC">
        <w:rPr>
          <w:rFonts w:ascii="Arial" w:hAnsi="Arial" w:cs="Arial"/>
          <w:sz w:val="26"/>
          <w:szCs w:val="26"/>
        </w:rPr>
        <w:softHyphen/>
      </w:r>
      <w:r w:rsidRPr="006469FC">
        <w:rPr>
          <w:rFonts w:ascii="Arial" w:hAnsi="Arial" w:cs="Arial"/>
          <w:sz w:val="26"/>
          <w:szCs w:val="26"/>
        </w:rPr>
        <w:softHyphen/>
      </w:r>
      <w:r w:rsidRPr="006469FC">
        <w:rPr>
          <w:rFonts w:ascii="Arial" w:hAnsi="Arial" w:cs="Arial"/>
          <w:sz w:val="26"/>
          <w:szCs w:val="26"/>
        </w:rPr>
        <w:softHyphen/>
      </w:r>
      <w:r w:rsidRPr="006469FC">
        <w:rPr>
          <w:rFonts w:ascii="Arial" w:hAnsi="Arial" w:cs="Arial"/>
          <w:sz w:val="26"/>
          <w:szCs w:val="26"/>
        </w:rPr>
        <w:softHyphen/>
        <w:t xml:space="preserve"> juicio de amparo directo promovido por</w:t>
      </w:r>
      <w:r w:rsidRPr="006469FC">
        <w:rPr>
          <w:rFonts w:ascii="Arial" w:hAnsi="Arial" w:cs="Arial"/>
          <w:b/>
          <w:sz w:val="26"/>
          <w:szCs w:val="26"/>
        </w:rPr>
        <w:t xml:space="preserve"> </w:t>
      </w:r>
      <w:r w:rsidR="005911F6">
        <w:rPr>
          <w:rFonts w:ascii="Arial" w:hAnsi="Arial" w:cs="Arial"/>
          <w:bCs/>
          <w:i/>
          <w:color w:val="000000"/>
        </w:rPr>
        <w:t>**********</w:t>
      </w:r>
      <w:r w:rsidRPr="006469FC">
        <w:rPr>
          <w:rFonts w:ascii="Arial" w:hAnsi="Arial" w:cs="Arial"/>
          <w:b/>
          <w:sz w:val="26"/>
          <w:szCs w:val="26"/>
        </w:rPr>
        <w:t xml:space="preserve">, </w:t>
      </w:r>
      <w:r w:rsidRPr="006469FC">
        <w:rPr>
          <w:rFonts w:ascii="Arial" w:hAnsi="Arial" w:cs="Arial"/>
          <w:sz w:val="26"/>
          <w:szCs w:val="26"/>
        </w:rPr>
        <w:t xml:space="preserve">en contra de la resolución dictada el veinticinco de octubre de dos mil dieciocho, por la Sala Superior del Tribunal de Justicia Administrativa del Estado de Oaxaca, en el cuaderno de revisión al rubro indicado; por lo que en cumplimiento a la ejecutoria de amparo de fecha veintiséis de septiembre de dos mil diecinueve, emitida por el Primer Tribunal Colegiado </w:t>
      </w:r>
      <w:r w:rsidRPr="006C43A5">
        <w:rPr>
          <w:rFonts w:ascii="Arial" w:hAnsi="Arial" w:cs="Arial"/>
          <w:sz w:val="26"/>
          <w:szCs w:val="26"/>
        </w:rPr>
        <w:t>en Materias Civil y Administrativa del Décimo Tercer Circuito, con residencia en San Bartolo Coyotepec, Oaxaca, y con fundamento en los artículos 236 y 238 de la Ley de</w:t>
      </w:r>
      <w:r w:rsidRPr="006469FC">
        <w:rPr>
          <w:rFonts w:ascii="Arial" w:hAnsi="Arial" w:cs="Arial"/>
          <w:sz w:val="26"/>
          <w:szCs w:val="26"/>
        </w:rPr>
        <w:t xml:space="preserve"> Procedimiento y Justicia Administrativa para el</w:t>
      </w:r>
      <w:r w:rsidR="006C43A5">
        <w:rPr>
          <w:rFonts w:ascii="Arial" w:hAnsi="Arial" w:cs="Arial"/>
          <w:sz w:val="26"/>
          <w:szCs w:val="26"/>
        </w:rPr>
        <w:t xml:space="preserve"> Estado de Oaxaca,</w:t>
      </w:r>
      <w:r w:rsidRPr="006469FC">
        <w:rPr>
          <w:rFonts w:ascii="Arial" w:hAnsi="Arial" w:cs="Arial"/>
          <w:sz w:val="26"/>
          <w:szCs w:val="26"/>
        </w:rPr>
        <w:t xml:space="preserve"> se procede a dictar la nueva resolución en los términos siguientes:</w:t>
      </w:r>
    </w:p>
    <w:p w:rsidR="001A153D" w:rsidRPr="006469FC" w:rsidRDefault="001A153D" w:rsidP="001A153D">
      <w:pPr>
        <w:spacing w:before="240" w:line="360" w:lineRule="auto"/>
        <w:ind w:firstLine="708"/>
        <w:jc w:val="both"/>
        <w:rPr>
          <w:rFonts w:ascii="Arial" w:hAnsi="Arial" w:cs="Arial"/>
          <w:sz w:val="26"/>
          <w:szCs w:val="26"/>
        </w:rPr>
      </w:pPr>
    </w:p>
    <w:p w:rsidR="001A153D" w:rsidRPr="006469FC" w:rsidRDefault="001A153D" w:rsidP="001A153D">
      <w:pPr>
        <w:spacing w:line="360" w:lineRule="auto"/>
        <w:jc w:val="center"/>
        <w:rPr>
          <w:rFonts w:ascii="Arial" w:hAnsi="Arial" w:cs="Arial"/>
          <w:b/>
          <w:bCs/>
          <w:sz w:val="26"/>
          <w:szCs w:val="26"/>
        </w:rPr>
      </w:pPr>
      <w:r w:rsidRPr="006469FC">
        <w:rPr>
          <w:rFonts w:ascii="Arial" w:hAnsi="Arial" w:cs="Arial"/>
          <w:b/>
          <w:bCs/>
          <w:sz w:val="26"/>
          <w:szCs w:val="26"/>
        </w:rPr>
        <w:t>R E S U L T A N D O</w:t>
      </w:r>
    </w:p>
    <w:p w:rsidR="001A153D" w:rsidRPr="006469FC" w:rsidRDefault="001A153D" w:rsidP="001A153D">
      <w:pPr>
        <w:spacing w:line="360" w:lineRule="auto"/>
        <w:ind w:firstLine="709"/>
        <w:jc w:val="both"/>
        <w:rPr>
          <w:rFonts w:ascii="Arial" w:hAnsi="Arial" w:cs="Arial"/>
          <w:sz w:val="26"/>
          <w:szCs w:val="26"/>
        </w:rPr>
      </w:pPr>
      <w:r w:rsidRPr="006469FC">
        <w:rPr>
          <w:rFonts w:ascii="Arial" w:hAnsi="Arial" w:cs="Arial"/>
          <w:b/>
          <w:bCs/>
          <w:sz w:val="26"/>
          <w:szCs w:val="26"/>
        </w:rPr>
        <w:t xml:space="preserve">PRIMERO. </w:t>
      </w:r>
      <w:r w:rsidRPr="006469FC">
        <w:rPr>
          <w:rFonts w:ascii="Arial" w:hAnsi="Arial" w:cs="Arial"/>
          <w:sz w:val="26"/>
          <w:szCs w:val="26"/>
        </w:rPr>
        <w:t>La Sala Superior de este Tribunal, el veinticinco de octubre de dos mil dieciocho dictó resolución, en cuyos puntos resolutivos determinó:</w:t>
      </w:r>
    </w:p>
    <w:p w:rsidR="001A153D" w:rsidRPr="001A153D" w:rsidRDefault="001A153D" w:rsidP="001A153D">
      <w:pPr>
        <w:widowControl w:val="0"/>
        <w:tabs>
          <w:tab w:val="left" w:pos="-1985"/>
          <w:tab w:val="left" w:pos="7938"/>
        </w:tabs>
        <w:spacing w:before="240" w:line="360" w:lineRule="auto"/>
        <w:ind w:left="709" w:right="333"/>
        <w:jc w:val="both"/>
        <w:rPr>
          <w:rFonts w:ascii="Arial" w:eastAsia="Times New Roman" w:hAnsi="Arial" w:cs="Arial"/>
          <w:b/>
          <w:i/>
          <w:szCs w:val="26"/>
          <w:lang w:eastAsia="es-ES"/>
        </w:rPr>
      </w:pPr>
      <w:r w:rsidRPr="001A153D">
        <w:rPr>
          <w:rFonts w:ascii="Arial" w:eastAsia="Times New Roman" w:hAnsi="Arial" w:cs="Arial"/>
          <w:b/>
          <w:i/>
          <w:szCs w:val="26"/>
          <w:lang w:eastAsia="es-ES"/>
        </w:rPr>
        <w:t xml:space="preserve">“…PRIMERO. </w:t>
      </w:r>
      <w:r w:rsidRPr="001A153D">
        <w:rPr>
          <w:rFonts w:ascii="Arial" w:eastAsia="Times New Roman" w:hAnsi="Arial" w:cs="Arial"/>
          <w:i/>
          <w:szCs w:val="26"/>
          <w:lang w:eastAsia="es-ES"/>
        </w:rPr>
        <w:t>Se</w:t>
      </w:r>
      <w:r w:rsidRPr="001A153D">
        <w:rPr>
          <w:rFonts w:ascii="Arial" w:eastAsia="Times New Roman" w:hAnsi="Arial" w:cs="Arial"/>
          <w:b/>
          <w:i/>
          <w:szCs w:val="26"/>
          <w:lang w:eastAsia="es-ES"/>
        </w:rPr>
        <w:t xml:space="preserve"> CONFIRMA </w:t>
      </w:r>
      <w:r w:rsidRPr="001A153D">
        <w:rPr>
          <w:rFonts w:ascii="Arial" w:eastAsia="Times New Roman" w:hAnsi="Arial" w:cs="Arial"/>
          <w:i/>
          <w:szCs w:val="26"/>
          <w:lang w:eastAsia="es-ES"/>
        </w:rPr>
        <w:t>la sentencia de veintiuno de mayo de dos mil dieciocho, como se apuntó en el considerando que antecede.</w:t>
      </w:r>
      <w:r w:rsidRPr="001A153D">
        <w:rPr>
          <w:rFonts w:ascii="Arial" w:eastAsia="Times New Roman" w:hAnsi="Arial" w:cs="Arial"/>
          <w:b/>
          <w:i/>
          <w:szCs w:val="26"/>
          <w:lang w:eastAsia="es-ES"/>
        </w:rPr>
        <w:t xml:space="preserve"> </w:t>
      </w:r>
    </w:p>
    <w:p w:rsidR="001A153D" w:rsidRPr="001A153D" w:rsidRDefault="001A153D" w:rsidP="001A153D">
      <w:pPr>
        <w:widowControl w:val="0"/>
        <w:tabs>
          <w:tab w:val="left" w:pos="-1985"/>
          <w:tab w:val="left" w:pos="7938"/>
        </w:tabs>
        <w:spacing w:before="240" w:line="360" w:lineRule="auto"/>
        <w:ind w:left="709" w:right="333"/>
        <w:jc w:val="both"/>
        <w:rPr>
          <w:rFonts w:ascii="Arial" w:hAnsi="Arial" w:cs="Arial"/>
          <w:i/>
          <w:szCs w:val="26"/>
        </w:rPr>
      </w:pPr>
      <w:r w:rsidRPr="001A153D">
        <w:rPr>
          <w:rFonts w:ascii="Arial" w:eastAsia="Times New Roman" w:hAnsi="Arial" w:cs="Arial"/>
          <w:b/>
          <w:i/>
          <w:szCs w:val="26"/>
          <w:lang w:eastAsia="es-ES"/>
        </w:rPr>
        <w:t xml:space="preserve">SEGUNDO. NOTIFÍQUESE Y CÚMPLASE, </w:t>
      </w:r>
      <w:r w:rsidRPr="001A153D">
        <w:rPr>
          <w:rFonts w:ascii="Arial" w:eastAsia="Times New Roman" w:hAnsi="Arial" w:cs="Arial"/>
          <w:i/>
          <w:szCs w:val="26"/>
          <w:lang w:eastAsia="es-ES"/>
        </w:rPr>
        <w:t>con copia certificada de la presente resolución, vuelvan las constancias remitidas a la Cuarta   Sala Unitaria de Primera Instancia, y en su oportunidad archívese el cuaderno de revisión como concluido.</w:t>
      </w:r>
      <w:r w:rsidRPr="001A153D">
        <w:rPr>
          <w:rFonts w:ascii="Arial" w:eastAsia="Times New Roman" w:hAnsi="Arial" w:cs="Arial"/>
          <w:b/>
          <w:i/>
          <w:szCs w:val="26"/>
          <w:lang w:eastAsia="es-ES"/>
        </w:rPr>
        <w:t xml:space="preserve"> …</w:t>
      </w:r>
      <w:r w:rsidRPr="001A153D">
        <w:rPr>
          <w:rFonts w:ascii="Arial" w:hAnsi="Arial" w:cs="Arial"/>
          <w:i/>
          <w:szCs w:val="26"/>
        </w:rPr>
        <w:t xml:space="preserve">” </w:t>
      </w:r>
    </w:p>
    <w:p w:rsidR="001A153D" w:rsidRPr="006469FC" w:rsidRDefault="001A153D" w:rsidP="001A153D">
      <w:pPr>
        <w:spacing w:line="360" w:lineRule="auto"/>
        <w:ind w:firstLine="709"/>
        <w:jc w:val="both"/>
        <w:rPr>
          <w:rFonts w:ascii="Arial" w:hAnsi="Arial" w:cs="Arial"/>
          <w:b/>
          <w:bCs/>
          <w:sz w:val="26"/>
          <w:szCs w:val="26"/>
        </w:rPr>
      </w:pPr>
      <w:r w:rsidRPr="006469FC">
        <w:rPr>
          <w:rFonts w:ascii="Arial" w:hAnsi="Arial" w:cs="Arial"/>
          <w:b/>
          <w:bCs/>
          <w:sz w:val="26"/>
          <w:szCs w:val="26"/>
        </w:rPr>
        <w:lastRenderedPageBreak/>
        <w:t xml:space="preserve">                                                                </w:t>
      </w:r>
    </w:p>
    <w:p w:rsidR="001A153D" w:rsidRPr="006469FC" w:rsidRDefault="001A153D" w:rsidP="001A153D">
      <w:pPr>
        <w:spacing w:after="120" w:line="360" w:lineRule="auto"/>
        <w:ind w:firstLine="567"/>
        <w:jc w:val="both"/>
        <w:rPr>
          <w:rFonts w:ascii="Arial" w:hAnsi="Arial" w:cs="Arial"/>
          <w:sz w:val="26"/>
          <w:szCs w:val="26"/>
        </w:rPr>
      </w:pPr>
      <w:r w:rsidRPr="006469FC">
        <w:rPr>
          <w:rFonts w:ascii="Arial" w:hAnsi="Arial" w:cs="Arial"/>
          <w:b/>
          <w:bCs/>
          <w:sz w:val="26"/>
          <w:szCs w:val="26"/>
        </w:rPr>
        <w:t xml:space="preserve">SEGUNDO.- </w:t>
      </w:r>
      <w:r w:rsidRPr="006469FC">
        <w:rPr>
          <w:rFonts w:ascii="Arial" w:hAnsi="Arial" w:cs="Arial"/>
          <w:bCs/>
          <w:sz w:val="26"/>
          <w:szCs w:val="26"/>
        </w:rPr>
        <w:t>En contra de dicha resolución</w:t>
      </w:r>
      <w:r>
        <w:rPr>
          <w:rFonts w:ascii="Arial" w:hAnsi="Arial" w:cs="Arial"/>
          <w:bCs/>
          <w:sz w:val="26"/>
          <w:szCs w:val="26"/>
        </w:rPr>
        <w:t>,</w:t>
      </w:r>
      <w:r w:rsidRPr="006469FC">
        <w:rPr>
          <w:rFonts w:ascii="Arial" w:hAnsi="Arial" w:cs="Arial"/>
          <w:bCs/>
          <w:sz w:val="26"/>
          <w:szCs w:val="26"/>
        </w:rPr>
        <w:t xml:space="preserve"> </w:t>
      </w:r>
      <w:r w:rsidR="005911F6">
        <w:rPr>
          <w:rFonts w:ascii="Arial" w:hAnsi="Arial" w:cs="Arial"/>
          <w:bCs/>
          <w:i/>
          <w:color w:val="000000"/>
        </w:rPr>
        <w:t xml:space="preserve">********** </w:t>
      </w:r>
      <w:r w:rsidRPr="006469FC">
        <w:rPr>
          <w:rFonts w:ascii="Arial" w:hAnsi="Arial" w:cs="Arial"/>
          <w:bCs/>
          <w:sz w:val="26"/>
          <w:szCs w:val="26"/>
        </w:rPr>
        <w:t xml:space="preserve">promovió juicio de amparo directo, el cual fue radicado bajo el número </w:t>
      </w:r>
      <w:r w:rsidRPr="006469FC">
        <w:rPr>
          <w:rFonts w:ascii="Arial" w:hAnsi="Arial" w:cs="Arial"/>
          <w:b/>
          <w:bCs/>
          <w:sz w:val="26"/>
          <w:szCs w:val="26"/>
        </w:rPr>
        <w:t>218/2019</w:t>
      </w:r>
      <w:r w:rsidRPr="006469FC">
        <w:rPr>
          <w:rFonts w:ascii="Arial" w:hAnsi="Arial" w:cs="Arial"/>
          <w:bCs/>
          <w:sz w:val="26"/>
          <w:szCs w:val="26"/>
        </w:rPr>
        <w:t xml:space="preserve"> del índice del Primer </w:t>
      </w:r>
      <w:r w:rsidRPr="006469FC">
        <w:rPr>
          <w:rFonts w:ascii="Arial" w:hAnsi="Arial" w:cs="Arial"/>
          <w:sz w:val="26"/>
          <w:szCs w:val="26"/>
        </w:rPr>
        <w:t>Tribunal Colegiado en Materias Civil y Administrativa del Decimotercer Circuito, con residencia en San Bartolo Coyotepec, Oaxaca</w:t>
      </w:r>
      <w:r w:rsidRPr="006469FC">
        <w:rPr>
          <w:rFonts w:ascii="Arial" w:hAnsi="Arial" w:cs="Arial"/>
          <w:bCs/>
          <w:sz w:val="26"/>
          <w:szCs w:val="26"/>
        </w:rPr>
        <w:t xml:space="preserve">, que concedió el </w:t>
      </w:r>
      <w:r w:rsidRPr="006469FC">
        <w:rPr>
          <w:rFonts w:ascii="Arial" w:hAnsi="Arial" w:cs="Arial"/>
          <w:b/>
          <w:bCs/>
          <w:sz w:val="26"/>
          <w:szCs w:val="26"/>
        </w:rPr>
        <w:t>AMPARO Y PROTECCIÓN DE LA JUSTICIA FEDERAL</w:t>
      </w:r>
      <w:r w:rsidRPr="006469FC">
        <w:rPr>
          <w:rFonts w:ascii="Arial" w:hAnsi="Arial" w:cs="Arial"/>
          <w:bCs/>
          <w:sz w:val="26"/>
          <w:szCs w:val="26"/>
        </w:rPr>
        <w:t xml:space="preserve"> al quejoso mediante ejecutoria de veintiséis de septiembre de </w:t>
      </w:r>
      <w:r w:rsidRPr="006469FC">
        <w:rPr>
          <w:rFonts w:ascii="Arial" w:hAnsi="Arial" w:cs="Arial"/>
          <w:sz w:val="26"/>
          <w:szCs w:val="26"/>
        </w:rPr>
        <w:t>dos mil diecinueve, al estimar lo siguiente:</w:t>
      </w:r>
    </w:p>
    <w:p w:rsidR="001A153D" w:rsidRPr="006469FC" w:rsidRDefault="001A153D" w:rsidP="001A153D">
      <w:pPr>
        <w:spacing w:after="160" w:line="259" w:lineRule="auto"/>
        <w:ind w:left="567" w:right="616"/>
        <w:jc w:val="center"/>
        <w:rPr>
          <w:rFonts w:ascii="Arial" w:eastAsia="Calibri" w:hAnsi="Arial" w:cs="Arial"/>
          <w:b/>
          <w:bCs/>
          <w:i/>
          <w:sz w:val="26"/>
          <w:szCs w:val="26"/>
        </w:rPr>
      </w:pPr>
    </w:p>
    <w:p w:rsidR="001A153D" w:rsidRPr="006469FC" w:rsidRDefault="001A153D" w:rsidP="001A153D">
      <w:pPr>
        <w:spacing w:after="160" w:line="259" w:lineRule="auto"/>
        <w:ind w:left="567" w:right="616"/>
        <w:jc w:val="center"/>
        <w:rPr>
          <w:rFonts w:ascii="Arial" w:eastAsia="Calibri" w:hAnsi="Arial" w:cs="Arial"/>
          <w:b/>
          <w:bCs/>
          <w:i/>
          <w:sz w:val="26"/>
          <w:szCs w:val="26"/>
        </w:rPr>
      </w:pPr>
      <w:r w:rsidRPr="006469FC">
        <w:rPr>
          <w:rFonts w:ascii="Arial" w:eastAsia="Calibri" w:hAnsi="Arial" w:cs="Arial"/>
          <w:b/>
          <w:bCs/>
          <w:i/>
          <w:sz w:val="26"/>
          <w:szCs w:val="26"/>
        </w:rPr>
        <w:t>“…ANÁLISIS DE LOS CONCEPTOS DE VIOLACIÓN</w:t>
      </w:r>
    </w:p>
    <w:p w:rsidR="001A153D" w:rsidRPr="006469FC" w:rsidRDefault="001A153D" w:rsidP="001A153D">
      <w:pPr>
        <w:spacing w:after="160" w:line="259" w:lineRule="auto"/>
        <w:ind w:left="567" w:right="616"/>
        <w:jc w:val="both"/>
        <w:rPr>
          <w:rFonts w:ascii="Arial" w:eastAsia="Calibri" w:hAnsi="Arial" w:cs="Arial"/>
          <w:i/>
          <w:sz w:val="26"/>
          <w:szCs w:val="26"/>
        </w:rPr>
      </w:pPr>
      <w:r w:rsidRPr="006469FC">
        <w:rPr>
          <w:rFonts w:ascii="Arial" w:eastAsia="Calibri" w:hAnsi="Arial" w:cs="Arial"/>
          <w:i/>
          <w:sz w:val="26"/>
          <w:szCs w:val="26"/>
        </w:rPr>
        <w:t xml:space="preserve">           Son esencialmente fundados los argumentos expresados por el quejoso.</w:t>
      </w:r>
    </w:p>
    <w:p w:rsidR="001A153D" w:rsidRPr="006469FC" w:rsidRDefault="001A153D" w:rsidP="001A153D">
      <w:pPr>
        <w:spacing w:after="160" w:line="259" w:lineRule="auto"/>
        <w:ind w:left="567" w:right="616"/>
        <w:jc w:val="both"/>
        <w:rPr>
          <w:rFonts w:ascii="Arial" w:eastAsia="Calibri" w:hAnsi="Arial" w:cs="Arial"/>
          <w:i/>
          <w:sz w:val="26"/>
          <w:szCs w:val="26"/>
        </w:rPr>
      </w:pPr>
      <w:r w:rsidRPr="006469FC">
        <w:rPr>
          <w:rFonts w:ascii="Arial" w:eastAsia="Calibri" w:hAnsi="Arial" w:cs="Arial"/>
          <w:i/>
          <w:sz w:val="26"/>
          <w:szCs w:val="26"/>
        </w:rPr>
        <w:t xml:space="preserve">          Para explicar lo anterior, es pertinente destacar que, en la parte relativa a las pretensiones, de la demanda de nulidad, el solicitante del amparo señalo:</w:t>
      </w:r>
    </w:p>
    <w:p w:rsidR="001A153D" w:rsidRPr="006469FC" w:rsidRDefault="001A153D" w:rsidP="001A153D">
      <w:pPr>
        <w:spacing w:after="160" w:line="259" w:lineRule="auto"/>
        <w:ind w:left="567" w:right="616"/>
        <w:jc w:val="both"/>
        <w:rPr>
          <w:rFonts w:ascii="Arial" w:eastAsia="Calibri" w:hAnsi="Arial" w:cs="Arial"/>
          <w:i/>
          <w:sz w:val="26"/>
          <w:szCs w:val="26"/>
        </w:rPr>
      </w:pPr>
      <w:r w:rsidRPr="006469FC">
        <w:rPr>
          <w:rFonts w:ascii="Arial" w:eastAsia="Calibri" w:hAnsi="Arial" w:cs="Arial"/>
          <w:i/>
          <w:sz w:val="26"/>
          <w:szCs w:val="26"/>
        </w:rPr>
        <w:t xml:space="preserve">         “…2) El pago del interés a razón de la tasa de interés interbancaria de equilibrio (TIIE) vigente más los cinco puntos porcentuales y que haya generado la cantidad indicada en el inciso que antecede desde la fecha en que se me realizó el primer descuento a mi sueldo por concepto de FONDO DE PENSIONES, es decir desde el 15 de julio de 2012 hasta la fecha en que se me cubra de manera total el pago y/o devolución de la cantidad que me fue descontada durante</w:t>
      </w:r>
      <w:r>
        <w:rPr>
          <w:rFonts w:ascii="Arial" w:eastAsia="Calibri" w:hAnsi="Arial" w:cs="Arial"/>
          <w:i/>
          <w:sz w:val="26"/>
          <w:szCs w:val="26"/>
        </w:rPr>
        <w:t xml:space="preserve"> todo el tiempo que me desempeñé</w:t>
      </w:r>
      <w:r w:rsidRPr="006469FC">
        <w:rPr>
          <w:rFonts w:ascii="Arial" w:eastAsia="Calibri" w:hAnsi="Arial" w:cs="Arial"/>
          <w:i/>
          <w:sz w:val="26"/>
          <w:szCs w:val="26"/>
        </w:rPr>
        <w:t xml:space="preserve"> como empleado de confianza del Gobierno del Estado, de conformidad con lo establecido por el artículo 64, segundo párrafo, de la Ley de Pensiones para los Trabajadores del Gobierno del Estado de Oaxaca, de aplicación análoga. </w:t>
      </w:r>
      <w:bookmarkStart w:id="0" w:name="_GoBack"/>
      <w:bookmarkEnd w:id="0"/>
    </w:p>
    <w:p w:rsidR="001A153D" w:rsidRPr="006469FC" w:rsidRDefault="001A153D" w:rsidP="001A153D">
      <w:pPr>
        <w:spacing w:after="160" w:line="259" w:lineRule="auto"/>
        <w:ind w:left="567" w:right="616"/>
        <w:jc w:val="both"/>
        <w:rPr>
          <w:rFonts w:ascii="Arial" w:eastAsia="Calibri" w:hAnsi="Arial" w:cs="Arial"/>
          <w:i/>
          <w:sz w:val="26"/>
          <w:szCs w:val="26"/>
        </w:rPr>
      </w:pPr>
      <w:r w:rsidRPr="006469FC">
        <w:rPr>
          <w:rFonts w:ascii="Arial" w:eastAsia="Calibri" w:hAnsi="Arial" w:cs="Arial"/>
          <w:i/>
          <w:sz w:val="26"/>
          <w:szCs w:val="26"/>
        </w:rPr>
        <w:t xml:space="preserve">           3) El pago de los dividendos, ganancias y demás beneficios correspondientes a la cantidad que se reclama en el inciso 1), que por su manejo la oficina de pensiones hubiere generado a favor de mi fondo de pensiones…”</w:t>
      </w:r>
    </w:p>
    <w:p w:rsidR="001A153D" w:rsidRPr="006469FC" w:rsidRDefault="001A153D" w:rsidP="001A153D">
      <w:pPr>
        <w:spacing w:after="160" w:line="259" w:lineRule="auto"/>
        <w:ind w:left="567" w:right="616"/>
        <w:jc w:val="both"/>
        <w:rPr>
          <w:rFonts w:ascii="Arial" w:eastAsia="Calibri" w:hAnsi="Arial" w:cs="Arial"/>
          <w:i/>
          <w:sz w:val="26"/>
          <w:szCs w:val="26"/>
        </w:rPr>
      </w:pPr>
      <w:r w:rsidRPr="006469FC">
        <w:rPr>
          <w:rFonts w:ascii="Arial" w:eastAsia="Calibri" w:hAnsi="Arial" w:cs="Arial"/>
          <w:i/>
          <w:sz w:val="26"/>
          <w:szCs w:val="26"/>
        </w:rPr>
        <w:t xml:space="preserve">           En la sentencia reclamada, precisamente en la parte en que el quejoso refiere le agravia, el magistrado de l</w:t>
      </w:r>
      <w:r>
        <w:rPr>
          <w:rFonts w:ascii="Arial" w:eastAsia="Calibri" w:hAnsi="Arial" w:cs="Arial"/>
          <w:i/>
          <w:sz w:val="26"/>
          <w:szCs w:val="26"/>
        </w:rPr>
        <w:t>a Cuarta Sala Unitaria determinó</w:t>
      </w:r>
      <w:r w:rsidRPr="006469FC">
        <w:rPr>
          <w:rFonts w:ascii="Arial" w:eastAsia="Calibri" w:hAnsi="Arial" w:cs="Arial"/>
          <w:i/>
          <w:sz w:val="26"/>
          <w:szCs w:val="26"/>
        </w:rPr>
        <w:t xml:space="preserve"> que es improcedente la pretensión del actor señalada en los puntos 2) y 3), respecto al pago de intereses.</w:t>
      </w:r>
    </w:p>
    <w:p w:rsidR="001A153D" w:rsidRPr="006469FC" w:rsidRDefault="001A153D" w:rsidP="001A153D">
      <w:pPr>
        <w:spacing w:after="160" w:line="259" w:lineRule="auto"/>
        <w:ind w:left="567" w:right="616"/>
        <w:jc w:val="both"/>
        <w:rPr>
          <w:rFonts w:ascii="Arial" w:eastAsia="Calibri" w:hAnsi="Arial" w:cs="Arial"/>
          <w:i/>
          <w:sz w:val="26"/>
          <w:szCs w:val="26"/>
        </w:rPr>
      </w:pPr>
      <w:r w:rsidRPr="006469FC">
        <w:rPr>
          <w:rFonts w:ascii="Arial" w:eastAsia="Calibri" w:hAnsi="Arial" w:cs="Arial"/>
          <w:i/>
          <w:sz w:val="26"/>
          <w:szCs w:val="26"/>
        </w:rPr>
        <w:t xml:space="preserve">          Basó dicha improcedencia en razón de que el fondo de pensiones fue creado en beneficio de todos los trabajadores que laboren para el Gobierno del Estado, no persigue fines de lucro, sino fomentar el ahorro de los servidores públicos constituyendo su patrimonio: las aportaciones a cargo del Gobierno del Estado, del sueldo de los trabajadores, las cuotas a cargo de los trabajadores activos, jubilados y pensionados; de las aportaciones extraordinarias; intereses, rentas, plusvalías y demás utilidades; con el importe de los descuentos, intereses y pensiones que caduquen o </w:t>
      </w:r>
      <w:r w:rsidRPr="006469FC">
        <w:rPr>
          <w:rFonts w:ascii="Arial" w:eastAsia="Calibri" w:hAnsi="Arial" w:cs="Arial"/>
          <w:i/>
          <w:sz w:val="26"/>
          <w:szCs w:val="26"/>
        </w:rPr>
        <w:lastRenderedPageBreak/>
        <w:t xml:space="preserve">prescriban a favor del fondo de pensiones, las donaciones herencias, legados y cuales quiera otras aportaciones de carácter civil o de cualquier naturaleza que se hagan en favor de la oficina de pensiones; los bienes muebles o inmuebles que se adquiera y el importe de las rentas o productos que se recaben, como lo establecen los artículos 4,5,6 fracciones I-X, 30, fracciones I,II,III,IV,V,VI y VII, y demás relativos de la Ley de Pensiones de los Trabajadores del Estado. </w:t>
      </w:r>
    </w:p>
    <w:p w:rsidR="001A153D" w:rsidRPr="006469FC" w:rsidRDefault="001A153D" w:rsidP="001A153D">
      <w:pPr>
        <w:spacing w:after="160" w:line="259" w:lineRule="auto"/>
        <w:ind w:left="567" w:right="616"/>
        <w:jc w:val="both"/>
        <w:rPr>
          <w:rFonts w:ascii="Arial" w:eastAsia="Calibri" w:hAnsi="Arial" w:cs="Arial"/>
          <w:i/>
          <w:sz w:val="26"/>
          <w:szCs w:val="26"/>
        </w:rPr>
      </w:pPr>
      <w:r w:rsidRPr="006469FC">
        <w:rPr>
          <w:rFonts w:ascii="Arial" w:eastAsia="Calibri" w:hAnsi="Arial" w:cs="Arial"/>
          <w:i/>
          <w:sz w:val="26"/>
          <w:szCs w:val="26"/>
        </w:rPr>
        <w:t xml:space="preserve">         Agregó el magistrado que el actor no señaló concepto de impugnación alguno, ni ofreció pruebas para acreditar la tasa de interés interbancaria de equilibrio (TIIE) a veintiocho días, que determina el Banco de México; tampoco señalo el procedimiento de cálculo de dicha tasa; lo cual le correspondía conforme a los artículos 149, 177 fracción VIII y IX, 188, 189 y 203 de la Ley de Procedimientos y Justicia Administrativa del Estado. </w:t>
      </w:r>
    </w:p>
    <w:p w:rsidR="001A153D" w:rsidRPr="006469FC" w:rsidRDefault="001A153D" w:rsidP="001A153D">
      <w:pPr>
        <w:spacing w:after="160" w:line="259" w:lineRule="auto"/>
        <w:ind w:left="567" w:right="616"/>
        <w:jc w:val="both"/>
        <w:rPr>
          <w:rFonts w:ascii="Arial" w:eastAsia="Calibri" w:hAnsi="Arial" w:cs="Arial"/>
          <w:i/>
          <w:sz w:val="26"/>
          <w:szCs w:val="26"/>
        </w:rPr>
      </w:pPr>
      <w:r w:rsidRPr="006469FC">
        <w:rPr>
          <w:rFonts w:ascii="Arial" w:eastAsia="Calibri" w:hAnsi="Arial" w:cs="Arial"/>
          <w:i/>
          <w:sz w:val="26"/>
          <w:szCs w:val="26"/>
        </w:rPr>
        <w:t xml:space="preserve">         Por otro lado, en los agravios planteados en el recurso de revisión, el actor manifestó lo siguiente: </w:t>
      </w:r>
    </w:p>
    <w:p w:rsidR="001A153D" w:rsidRPr="006469FC" w:rsidRDefault="001A153D" w:rsidP="001A153D">
      <w:pPr>
        <w:spacing w:after="160" w:line="259" w:lineRule="auto"/>
        <w:ind w:left="567" w:right="616"/>
        <w:jc w:val="both"/>
        <w:rPr>
          <w:rFonts w:ascii="Arial" w:eastAsia="Calibri" w:hAnsi="Arial" w:cs="Arial"/>
          <w:i/>
          <w:sz w:val="26"/>
          <w:szCs w:val="26"/>
        </w:rPr>
      </w:pPr>
      <w:r w:rsidRPr="006469FC">
        <w:rPr>
          <w:rFonts w:ascii="Arial" w:eastAsia="Calibri" w:hAnsi="Arial" w:cs="Arial"/>
          <w:i/>
          <w:sz w:val="26"/>
          <w:szCs w:val="26"/>
        </w:rPr>
        <w:t xml:space="preserve">         En el primer agravio: </w:t>
      </w:r>
    </w:p>
    <w:p w:rsidR="001A153D" w:rsidRPr="006469FC" w:rsidRDefault="001A153D" w:rsidP="001A153D">
      <w:pPr>
        <w:spacing w:after="160" w:line="259" w:lineRule="auto"/>
        <w:ind w:left="567" w:right="616"/>
        <w:jc w:val="both"/>
        <w:rPr>
          <w:rFonts w:ascii="Arial" w:eastAsia="Calibri" w:hAnsi="Arial" w:cs="Arial"/>
          <w:i/>
          <w:sz w:val="26"/>
          <w:szCs w:val="26"/>
        </w:rPr>
      </w:pPr>
      <w:r w:rsidRPr="006469FC">
        <w:rPr>
          <w:rFonts w:ascii="Arial" w:eastAsia="Calibri" w:hAnsi="Arial" w:cs="Arial"/>
          <w:i/>
          <w:sz w:val="26"/>
          <w:szCs w:val="26"/>
        </w:rPr>
        <w:t xml:space="preserve">        -La Cuarta Sala Unitaria consideró de manera incorrecta e ilegal condenar a la autoridad demandada únicamente sobre el concepto que abarca la nulidad del oficio impugnado, pero no respecto al pago de intereses a razón de la tasa de interés interbancaria de equilibrio vigente más cinco puntos.</w:t>
      </w:r>
    </w:p>
    <w:p w:rsidR="001A153D" w:rsidRPr="006469FC" w:rsidRDefault="001A153D" w:rsidP="001A153D">
      <w:pPr>
        <w:spacing w:after="160" w:line="259" w:lineRule="auto"/>
        <w:ind w:left="567" w:right="616"/>
        <w:jc w:val="both"/>
        <w:rPr>
          <w:rFonts w:ascii="Arial" w:eastAsia="Calibri" w:hAnsi="Arial" w:cs="Arial"/>
          <w:i/>
          <w:sz w:val="26"/>
          <w:szCs w:val="26"/>
        </w:rPr>
      </w:pPr>
      <w:r w:rsidRPr="006469FC">
        <w:rPr>
          <w:rFonts w:ascii="Arial" w:eastAsia="Calibri" w:hAnsi="Arial" w:cs="Arial"/>
          <w:i/>
          <w:sz w:val="26"/>
          <w:szCs w:val="26"/>
        </w:rPr>
        <w:t xml:space="preserve">        -Ello dijo, porque de la lectura del artículo 64 de la Ley de Pensiones para los Trabajadores del Estado se advierte la posibilidad de que si un trabajador se separa del servicio que venía presentando y se efectúa la devolución de los descuentos que se realizaron para el fondo de pensiones, y este vuelve al servicio, podrá reanudar el disfrute de sus derechos y beneficios, siempre y cuando reintegre el importe de los descuentos retirados más los intereses que se calculan en la tasa que resulte de añadir cinco puntos a la tasa de interés interbancaria de equilibrio vigente en la época de la devolución.</w:t>
      </w:r>
    </w:p>
    <w:p w:rsidR="001A153D" w:rsidRPr="006469FC" w:rsidRDefault="001A153D" w:rsidP="001A153D">
      <w:pPr>
        <w:spacing w:after="160" w:line="259" w:lineRule="auto"/>
        <w:ind w:left="567" w:right="616"/>
        <w:jc w:val="both"/>
        <w:rPr>
          <w:rFonts w:ascii="Arial" w:eastAsia="Calibri" w:hAnsi="Arial" w:cs="Arial"/>
          <w:i/>
          <w:sz w:val="26"/>
          <w:szCs w:val="26"/>
        </w:rPr>
      </w:pPr>
      <w:r w:rsidRPr="006469FC">
        <w:rPr>
          <w:rFonts w:ascii="Arial" w:eastAsia="Calibri" w:hAnsi="Arial" w:cs="Arial"/>
          <w:i/>
          <w:sz w:val="26"/>
          <w:szCs w:val="26"/>
        </w:rPr>
        <w:t xml:space="preserve">         -Refirió que la razón de imponer la tasa de interés es porque el dinero que recibió el trabajador como devolución de lo que aporto al fondo de pensiones, no tiene el mismo valor adquisitivo, razón por la cual es justo que el Fondo de Pensiones, cuando recibe nuevamente la cantidad que integró el trabajador que se incorporó al trabajo, exija el pago de intereses. </w:t>
      </w:r>
    </w:p>
    <w:p w:rsidR="001A153D" w:rsidRPr="006469FC" w:rsidRDefault="001A153D" w:rsidP="001A153D">
      <w:pPr>
        <w:spacing w:after="160" w:line="259" w:lineRule="auto"/>
        <w:ind w:left="567" w:right="616"/>
        <w:jc w:val="both"/>
        <w:rPr>
          <w:rFonts w:ascii="Arial" w:eastAsia="Calibri" w:hAnsi="Arial" w:cs="Arial"/>
          <w:i/>
          <w:sz w:val="26"/>
          <w:szCs w:val="26"/>
        </w:rPr>
      </w:pPr>
      <w:r w:rsidRPr="006469FC">
        <w:rPr>
          <w:rFonts w:ascii="Arial" w:eastAsia="Calibri" w:hAnsi="Arial" w:cs="Arial"/>
          <w:i/>
          <w:sz w:val="26"/>
          <w:szCs w:val="26"/>
        </w:rPr>
        <w:t xml:space="preserve">        -Que en atención al principio de no discriminación contenido en el artículo 1° de la Constitución Federal, es evidente que si el trabajador reclama la devolución de las cantidades que le fueron descontadas para integrar el fondo </w:t>
      </w:r>
      <w:r w:rsidRPr="006469FC">
        <w:rPr>
          <w:rFonts w:ascii="Arial" w:eastAsia="Calibri" w:hAnsi="Arial" w:cs="Arial"/>
          <w:i/>
          <w:sz w:val="26"/>
          <w:szCs w:val="26"/>
        </w:rPr>
        <w:lastRenderedPageBreak/>
        <w:t xml:space="preserve">de pensiones, por ser dinero propiedad del trabajador, en la fecha en que se realizó el descuento tenían un valor adquisitivo que no puede ser  el mismo que al momento de ser devueltas, por el efecto inflacionario, por lo que se debió condenar a la parte demandada al pago de los intereses en la misma forma en que está contemplado en el artículo 64 de la referida Ley de Pensiones para los Trabajadores del Estado. Lo cual dijo que no fue tomado en cuenta por la Sala. </w:t>
      </w:r>
    </w:p>
    <w:p w:rsidR="001A153D" w:rsidRPr="006469FC" w:rsidRDefault="001A153D" w:rsidP="001A153D">
      <w:pPr>
        <w:spacing w:after="160" w:line="259" w:lineRule="auto"/>
        <w:ind w:left="567"/>
        <w:jc w:val="both"/>
        <w:rPr>
          <w:rFonts w:ascii="Arial" w:eastAsia="Calibri" w:hAnsi="Arial" w:cs="Arial"/>
          <w:i/>
          <w:sz w:val="26"/>
          <w:szCs w:val="26"/>
        </w:rPr>
      </w:pPr>
      <w:r w:rsidRPr="006469FC">
        <w:rPr>
          <w:rFonts w:ascii="Arial" w:eastAsia="Calibri" w:hAnsi="Arial" w:cs="Arial"/>
          <w:i/>
          <w:sz w:val="26"/>
          <w:szCs w:val="26"/>
        </w:rPr>
        <w:t xml:space="preserve">           En el segundo agravio: </w:t>
      </w:r>
    </w:p>
    <w:p w:rsidR="001A153D" w:rsidRPr="006469FC" w:rsidRDefault="001A153D" w:rsidP="001A153D">
      <w:pPr>
        <w:spacing w:after="160" w:line="259" w:lineRule="auto"/>
        <w:ind w:left="567" w:right="616"/>
        <w:jc w:val="both"/>
        <w:rPr>
          <w:rFonts w:ascii="Arial" w:eastAsia="Calibri" w:hAnsi="Arial" w:cs="Arial"/>
          <w:i/>
          <w:sz w:val="26"/>
          <w:szCs w:val="26"/>
        </w:rPr>
      </w:pPr>
      <w:r w:rsidRPr="006469FC">
        <w:rPr>
          <w:rFonts w:ascii="Arial" w:eastAsia="Calibri" w:hAnsi="Arial" w:cs="Arial"/>
          <w:i/>
          <w:sz w:val="26"/>
          <w:szCs w:val="26"/>
        </w:rPr>
        <w:t xml:space="preserve">         -Argumentó que es ilegal la determinación de la Sala en el sentido de que no señaló concepto de impugnación alguno, ni ofreció prueba para acreditar la tasa de interés interbancaria de equilibrio; ya que para acreditar esa tasa de interés no era necesario expresar concepto de anulación alguno ya que en el oficio impugnado no existió mención alguna sobre el pago o no de  intereses a razón de la tasa ya indicada; sobre todo que el pago de intereses se reclamó como una prestación en la demanda de nulidad, derivado de lo que expresamente señala el artículo 64, segundo párrafo de la ley de Pensiones para los Trabajadores del Estado.</w:t>
      </w:r>
    </w:p>
    <w:p w:rsidR="001A153D" w:rsidRPr="006469FC" w:rsidRDefault="001A153D" w:rsidP="001A153D">
      <w:pPr>
        <w:spacing w:after="160" w:line="259" w:lineRule="auto"/>
        <w:ind w:left="567" w:right="616"/>
        <w:jc w:val="both"/>
        <w:rPr>
          <w:rFonts w:ascii="Arial" w:eastAsia="Calibri" w:hAnsi="Arial" w:cs="Arial"/>
          <w:i/>
          <w:sz w:val="26"/>
          <w:szCs w:val="26"/>
        </w:rPr>
      </w:pPr>
      <w:r w:rsidRPr="006469FC">
        <w:rPr>
          <w:rFonts w:ascii="Arial" w:eastAsia="Calibri" w:hAnsi="Arial" w:cs="Arial"/>
          <w:i/>
          <w:sz w:val="26"/>
          <w:szCs w:val="26"/>
        </w:rPr>
        <w:t xml:space="preserve">          -Que es ilegal no condenar al pago de intereses por ofrecer pruebas para acreditar la tasa de interés interbancaria de equilibrio, ni haber señalado el procedimiento para su cálculo, pues esa tasa se determina por el Banco de México con base en cotizaciones presentadas por las instituciones de crédito, teniendo como fecha de inicio la publicación en el Diario Oficial de la Federación, refiriendo que el procedimiento de cálculo de dicha tasa se encuentra establecido en el Titulo Tercero, capitulo IV, de la circular 3/2012, emitida por el Banco de México, publicada en el Diario Oficial de  la Federación del veintitrés de marzo de mil novecientos noventa y cinco; por lo tanto no era necesario ofrecer prueba. </w:t>
      </w:r>
    </w:p>
    <w:p w:rsidR="001A153D" w:rsidRPr="006469FC" w:rsidRDefault="001A153D" w:rsidP="001A153D">
      <w:pPr>
        <w:spacing w:after="160" w:line="259" w:lineRule="auto"/>
        <w:ind w:left="567" w:right="616"/>
        <w:jc w:val="both"/>
        <w:rPr>
          <w:rFonts w:ascii="Arial" w:eastAsia="Calibri" w:hAnsi="Arial" w:cs="Arial"/>
          <w:i/>
          <w:sz w:val="26"/>
          <w:szCs w:val="26"/>
        </w:rPr>
      </w:pPr>
      <w:r w:rsidRPr="006469FC">
        <w:rPr>
          <w:rFonts w:ascii="Arial" w:eastAsia="Calibri" w:hAnsi="Arial" w:cs="Arial"/>
          <w:i/>
          <w:sz w:val="26"/>
          <w:szCs w:val="26"/>
        </w:rPr>
        <w:t xml:space="preserve">        -Agregó que en cuanto al cálculo de la cantidad que representa el pago de los intereses a razón de la tasa de interés interbancaria de equilibrio, se tendrá que realizar en la etapa de ejecución, ya que se deberá aplicar la tasa vigente en este momento.</w:t>
      </w:r>
    </w:p>
    <w:p w:rsidR="001A153D" w:rsidRPr="006469FC" w:rsidRDefault="001A153D" w:rsidP="001A153D">
      <w:pPr>
        <w:spacing w:after="160" w:line="259" w:lineRule="auto"/>
        <w:ind w:left="567" w:right="616"/>
        <w:jc w:val="both"/>
        <w:rPr>
          <w:rFonts w:ascii="Arial" w:eastAsia="Calibri" w:hAnsi="Arial" w:cs="Arial"/>
          <w:i/>
          <w:sz w:val="26"/>
          <w:szCs w:val="26"/>
        </w:rPr>
      </w:pPr>
      <w:r w:rsidRPr="006469FC">
        <w:rPr>
          <w:rFonts w:ascii="Arial" w:eastAsia="Calibri" w:hAnsi="Arial" w:cs="Arial"/>
          <w:i/>
          <w:sz w:val="26"/>
          <w:szCs w:val="26"/>
        </w:rPr>
        <w:t xml:space="preserve">         Al resolver el </w:t>
      </w:r>
      <w:r w:rsidRPr="006469FC">
        <w:rPr>
          <w:rFonts w:ascii="Arial" w:eastAsia="Calibri" w:hAnsi="Arial" w:cs="Arial"/>
          <w:b/>
          <w:bCs/>
          <w:i/>
          <w:sz w:val="26"/>
          <w:szCs w:val="26"/>
        </w:rPr>
        <w:t xml:space="preserve">recurso de revisión, </w:t>
      </w:r>
      <w:r w:rsidRPr="006469FC">
        <w:rPr>
          <w:rFonts w:ascii="Arial" w:eastAsia="Calibri" w:hAnsi="Arial" w:cs="Arial"/>
          <w:i/>
          <w:sz w:val="26"/>
          <w:szCs w:val="26"/>
        </w:rPr>
        <w:t>los magistrados del Tribunal determinaron:</w:t>
      </w:r>
    </w:p>
    <w:p w:rsidR="001A153D" w:rsidRPr="006469FC" w:rsidRDefault="001A153D" w:rsidP="001A153D">
      <w:pPr>
        <w:spacing w:after="160" w:line="259" w:lineRule="auto"/>
        <w:ind w:left="567" w:right="616"/>
        <w:jc w:val="both"/>
        <w:rPr>
          <w:rFonts w:ascii="Arial" w:eastAsia="Calibri" w:hAnsi="Arial" w:cs="Arial"/>
          <w:i/>
          <w:sz w:val="26"/>
          <w:szCs w:val="26"/>
        </w:rPr>
      </w:pPr>
      <w:r w:rsidRPr="006469FC">
        <w:rPr>
          <w:rFonts w:ascii="Arial" w:eastAsia="Calibri" w:hAnsi="Arial" w:cs="Arial"/>
          <w:i/>
          <w:sz w:val="26"/>
          <w:szCs w:val="26"/>
        </w:rPr>
        <w:t xml:space="preserve">        1. De la transcripción de la consideración específica de la sentencia de primera instancia y el contenido del artículo 64 de la Ley de Pensiones de los Trabajadores del Estado de Oaxaca, se desprende que cuando un trabajador desea reincorporarse al Fondo de Pensiones, para estar en la posibilidad de tener derechos y beneficios que conceder la ley de pensiones, debe reintegrar los descuentos que le hubieran sido entregados, más los intereses que correspondan calculados con la tasa que resulte de añadir </w:t>
      </w:r>
      <w:r w:rsidRPr="006469FC">
        <w:rPr>
          <w:rFonts w:ascii="Arial" w:eastAsia="Calibri" w:hAnsi="Arial" w:cs="Arial"/>
          <w:i/>
          <w:sz w:val="26"/>
          <w:szCs w:val="26"/>
        </w:rPr>
        <w:lastRenderedPageBreak/>
        <w:t>cinco puntos a la tasa de interés interbancaria de equilibrio vigente o la tasa que sustituya.</w:t>
      </w:r>
    </w:p>
    <w:p w:rsidR="001A153D" w:rsidRPr="006469FC" w:rsidRDefault="001A153D" w:rsidP="001A153D">
      <w:pPr>
        <w:spacing w:after="160" w:line="259" w:lineRule="auto"/>
        <w:ind w:left="567" w:right="616"/>
        <w:jc w:val="both"/>
        <w:rPr>
          <w:rFonts w:ascii="Arial" w:eastAsia="Calibri" w:hAnsi="Arial" w:cs="Arial"/>
          <w:i/>
          <w:sz w:val="26"/>
          <w:szCs w:val="26"/>
        </w:rPr>
      </w:pPr>
      <w:r w:rsidRPr="006469FC">
        <w:rPr>
          <w:rFonts w:ascii="Arial" w:eastAsia="Calibri" w:hAnsi="Arial" w:cs="Arial"/>
          <w:i/>
          <w:sz w:val="26"/>
          <w:szCs w:val="26"/>
        </w:rPr>
        <w:t xml:space="preserve">         2. Es fundado el agravio del recurrente en el sentido de que tomando en consideración el principio de no discriminación o bien el sentido positivo de dicho principio, es decir, el principio de igualdad, debe operar la misma carga para el Fondo de Pensiones en el sentido de que deberá devolver los descuentos que le fueron realizados al administrado con intereses a que alude ese precepto legal, porque no es legal que se aplique de manera desigual un precepto legal.</w:t>
      </w:r>
    </w:p>
    <w:p w:rsidR="001A153D" w:rsidRPr="006469FC" w:rsidRDefault="001A153D" w:rsidP="001A153D">
      <w:pPr>
        <w:spacing w:after="160" w:line="259" w:lineRule="auto"/>
        <w:ind w:left="567" w:right="616"/>
        <w:jc w:val="both"/>
        <w:rPr>
          <w:rFonts w:ascii="Arial" w:eastAsia="Calibri" w:hAnsi="Arial" w:cs="Arial"/>
          <w:i/>
          <w:sz w:val="26"/>
          <w:szCs w:val="26"/>
        </w:rPr>
      </w:pPr>
      <w:r w:rsidRPr="006469FC">
        <w:rPr>
          <w:rFonts w:ascii="Arial" w:eastAsia="Calibri" w:hAnsi="Arial" w:cs="Arial"/>
          <w:i/>
          <w:sz w:val="26"/>
          <w:szCs w:val="26"/>
        </w:rPr>
        <w:t xml:space="preserve">        3. No obstante, son inoperantes los agravios por novedosos, ya que debió hacerlos valer desde su escrito de demanda, a fin de que se expusieran a la juzgadora esos razonamientos, esto es, que la Litis se construyera a partir de esos elementos defensivos; por lo que dice, aun cuando sea fundada la razón que aduce, no adquiere vigencia al no haber sido postulada en el momento procesal oportuno, que es la demanda, ya que analizarlo sin tomar en cuenta que no fue sometido a la sala de origen, violaría los principios de legalidad e igualdad, ya que se estaría emitiendo una determinación sin a ver sido analizada tal pretensión por la Sala de origen ni haber dado oportunidad a la contraparte de elaborar su defensa. Invoca en apoyo la jurisprudencia 1ª./J. 150/2005, de la Primera Sala de la Suprema Corte de Justicia de la Nación, publicada en la pagina 52, del Semanario Judicial de la Federación y su Gaceta, tomo XXII, de diciembre de 2005, de rubro:</w:t>
      </w:r>
    </w:p>
    <w:p w:rsidR="001A153D" w:rsidRPr="006469FC" w:rsidRDefault="001A153D" w:rsidP="001A153D">
      <w:pPr>
        <w:spacing w:after="160" w:line="259" w:lineRule="auto"/>
        <w:ind w:left="567" w:right="616"/>
        <w:jc w:val="both"/>
        <w:rPr>
          <w:rFonts w:ascii="Arial" w:eastAsia="Calibri" w:hAnsi="Arial" w:cs="Arial"/>
          <w:i/>
          <w:sz w:val="26"/>
          <w:szCs w:val="26"/>
        </w:rPr>
      </w:pPr>
      <w:r w:rsidRPr="006469FC">
        <w:rPr>
          <w:rFonts w:ascii="Arial" w:eastAsia="Calibri" w:hAnsi="Arial" w:cs="Arial"/>
          <w:i/>
          <w:sz w:val="26"/>
          <w:szCs w:val="26"/>
        </w:rPr>
        <w:t xml:space="preserve">        “</w:t>
      </w:r>
      <w:r w:rsidRPr="006469FC">
        <w:rPr>
          <w:rFonts w:ascii="Arial" w:eastAsia="Calibri" w:hAnsi="Arial" w:cs="Arial"/>
          <w:b/>
          <w:bCs/>
          <w:i/>
          <w:sz w:val="26"/>
          <w:szCs w:val="26"/>
        </w:rPr>
        <w:t>AGRAVIOS INOPERANTES. LO SON AQUELLOS QUE SE REFIEREN A CUESTIONES NO INVOCADAS EN LA DEMANDA Y QUE, POR ENDE, CONSTITUYEN ASPECTOS NOVEDOSOS EN LA REVISIÓN”.</w:t>
      </w:r>
      <w:r w:rsidRPr="006469FC">
        <w:rPr>
          <w:rFonts w:ascii="Arial" w:eastAsia="Calibri" w:hAnsi="Arial" w:cs="Arial"/>
          <w:i/>
          <w:sz w:val="26"/>
          <w:szCs w:val="26"/>
        </w:rPr>
        <w:t xml:space="preserve"> </w:t>
      </w:r>
    </w:p>
    <w:p w:rsidR="001A153D" w:rsidRPr="006469FC" w:rsidRDefault="001A153D" w:rsidP="001A153D">
      <w:pPr>
        <w:spacing w:after="160" w:line="259" w:lineRule="auto"/>
        <w:ind w:left="567" w:right="616"/>
        <w:jc w:val="both"/>
        <w:rPr>
          <w:rFonts w:ascii="Arial" w:eastAsia="Calibri" w:hAnsi="Arial" w:cs="Arial"/>
          <w:i/>
          <w:sz w:val="26"/>
          <w:szCs w:val="26"/>
        </w:rPr>
      </w:pPr>
      <w:r w:rsidRPr="006469FC">
        <w:rPr>
          <w:rFonts w:ascii="Arial" w:eastAsia="Calibri" w:hAnsi="Arial" w:cs="Arial"/>
          <w:i/>
          <w:sz w:val="26"/>
          <w:szCs w:val="26"/>
        </w:rPr>
        <w:t xml:space="preserve">          De lo anterior se desprende que la autoridad responsable consideró los agravios del recurrente fundados pero inoperantes. Fundados en razón de que en aplicación al principio de igualdad efectivamente debe operar la carga para el Fondo de Pensiones, relativa a que deberá devolver los descuentos realizados al administrado con los intereses a que se refiere el artículo 64 de la Ley de Pensiones de los Trabajadores del Estado de Oaxaca; pero inoperantes, ya que esos argumentos son novedosos. </w:t>
      </w:r>
    </w:p>
    <w:p w:rsidR="001A153D" w:rsidRPr="006469FC" w:rsidRDefault="001A153D" w:rsidP="001A153D">
      <w:pPr>
        <w:spacing w:after="160" w:line="259" w:lineRule="auto"/>
        <w:ind w:left="567" w:right="616"/>
        <w:jc w:val="both"/>
        <w:rPr>
          <w:rFonts w:ascii="Arial" w:eastAsia="Calibri" w:hAnsi="Arial" w:cs="Arial"/>
          <w:i/>
          <w:sz w:val="26"/>
          <w:szCs w:val="26"/>
        </w:rPr>
      </w:pPr>
      <w:r w:rsidRPr="006469FC">
        <w:rPr>
          <w:rFonts w:ascii="Arial" w:eastAsia="Calibri" w:hAnsi="Arial" w:cs="Arial"/>
          <w:i/>
          <w:sz w:val="26"/>
          <w:szCs w:val="26"/>
        </w:rPr>
        <w:t xml:space="preserve">         Pronunciamiento que se estima incorrecto, porque como señala el quejoso, no puede determinarse que los agravios hechos valer en el recurso de revisión sean novedosos, por ende, inoperantes; en virtud de que como refiere el quejoso, para que pudiera estimarse de ese modo, debió existir una consideración específica en relación con ese aspecto en el oficio impugnado en el juicio de nulidad. </w:t>
      </w:r>
    </w:p>
    <w:p w:rsidR="001A153D" w:rsidRPr="006469FC" w:rsidRDefault="001A153D" w:rsidP="001A153D">
      <w:pPr>
        <w:spacing w:after="160" w:line="259" w:lineRule="auto"/>
        <w:ind w:left="567" w:right="758"/>
        <w:jc w:val="both"/>
        <w:rPr>
          <w:rFonts w:ascii="Arial" w:eastAsia="Calibri" w:hAnsi="Arial" w:cs="Arial"/>
          <w:i/>
          <w:sz w:val="26"/>
          <w:szCs w:val="26"/>
        </w:rPr>
      </w:pPr>
      <w:r w:rsidRPr="006469FC">
        <w:rPr>
          <w:rFonts w:ascii="Arial" w:eastAsia="Calibri" w:hAnsi="Arial" w:cs="Arial"/>
          <w:i/>
          <w:sz w:val="26"/>
          <w:szCs w:val="26"/>
        </w:rPr>
        <w:lastRenderedPageBreak/>
        <w:t xml:space="preserve">         En efecto, en el oficio número </w:t>
      </w:r>
      <w:r w:rsidR="005911F6">
        <w:rPr>
          <w:rFonts w:ascii="Arial" w:hAnsi="Arial" w:cs="Arial"/>
          <w:bCs/>
          <w:i/>
          <w:color w:val="000000"/>
        </w:rPr>
        <w:t>**********</w:t>
      </w:r>
      <w:r w:rsidRPr="006469FC">
        <w:rPr>
          <w:rFonts w:ascii="Arial" w:eastAsia="Calibri" w:hAnsi="Arial" w:cs="Arial"/>
          <w:i/>
          <w:sz w:val="26"/>
          <w:szCs w:val="26"/>
        </w:rPr>
        <w:t xml:space="preserve">, de trece de noviembre de dos mil diecisiete, impugnado en el procedimiento de origen, el Director General de la Oficina de Pensiones del Estado de Oaxaca, determino no efectuar la devolución de las aportaciones realizadas al fondo de pensiones en virtud que conforme al artículo 64 de la Ley relativa, ello solo corresponde a los trabajadores de base y el solicitante se ocupó un cargo de confianza. </w:t>
      </w:r>
    </w:p>
    <w:p w:rsidR="001A153D" w:rsidRPr="006469FC" w:rsidRDefault="001A153D" w:rsidP="001A153D">
      <w:pPr>
        <w:spacing w:after="160" w:line="259" w:lineRule="auto"/>
        <w:ind w:left="567" w:right="758" w:firstLine="141"/>
        <w:jc w:val="both"/>
        <w:rPr>
          <w:rFonts w:ascii="Arial" w:eastAsia="Calibri" w:hAnsi="Arial" w:cs="Arial"/>
          <w:i/>
          <w:sz w:val="26"/>
          <w:szCs w:val="26"/>
        </w:rPr>
      </w:pPr>
      <w:r w:rsidRPr="006469FC">
        <w:rPr>
          <w:rFonts w:ascii="Arial" w:eastAsia="Calibri" w:hAnsi="Arial" w:cs="Arial"/>
          <w:i/>
          <w:sz w:val="26"/>
          <w:szCs w:val="26"/>
        </w:rPr>
        <w:t xml:space="preserve">     Y como se destacó en párrafos anteriores, en la demanda de nulidad el actor precisó como pretensiones, la devolución de las aportaciones realizadas por él en el Fondo de Pensiones, así como el pago de intereses a razón de la Tasa de Interés Interbancaria de Equilibrio (TIIE) vigente, más los cinco puntos porcentuales y que haya generado la cantidad descontada desde  el quince de julio de dos mil doce hasta la fecha en que se le cubra, con base en el segundo párrafo del artículo 64 de la Ley de Pensiones para los Trabajadores del Gobierno del Estado de Oaxaca. </w:t>
      </w:r>
    </w:p>
    <w:p w:rsidR="001A153D" w:rsidRPr="006469FC" w:rsidRDefault="001A153D" w:rsidP="001A153D">
      <w:pPr>
        <w:spacing w:after="160" w:line="259" w:lineRule="auto"/>
        <w:ind w:left="567" w:right="758"/>
        <w:jc w:val="both"/>
        <w:rPr>
          <w:rFonts w:ascii="Arial" w:eastAsia="Calibri" w:hAnsi="Arial" w:cs="Arial"/>
          <w:i/>
          <w:sz w:val="26"/>
          <w:szCs w:val="26"/>
        </w:rPr>
      </w:pPr>
      <w:r w:rsidRPr="006469FC">
        <w:rPr>
          <w:rFonts w:ascii="Arial" w:eastAsia="Calibri" w:hAnsi="Arial" w:cs="Arial"/>
          <w:i/>
          <w:sz w:val="26"/>
          <w:szCs w:val="26"/>
        </w:rPr>
        <w:t xml:space="preserve">        De tal manera, que como refiere el quejoso, no podía exigirse que en la demanda inicial se formulara argumento alguno en el capítulo de conceptos de nulidad, para justificar el pago de los intereses, pues aunado a que al no existir una negativa expresa previamente, no podían señalarse argumentos defensivos, como exige la autoridad responsable, lo cierto es que al formular la pretensión en la demanda de nulidad, se precisó que se basaba en el segundo párrafo del artículo 64, de la Ley de Pensiones para los Trabajadores del Gobierno del Estado de Oaxaca, de aplicación análoga, indicó el promovente. </w:t>
      </w:r>
    </w:p>
    <w:p w:rsidR="001A153D" w:rsidRPr="006469FC" w:rsidRDefault="001A153D" w:rsidP="001A153D">
      <w:pPr>
        <w:spacing w:after="160" w:line="259" w:lineRule="auto"/>
        <w:ind w:left="567" w:right="758"/>
        <w:jc w:val="both"/>
        <w:rPr>
          <w:rFonts w:ascii="Arial" w:eastAsia="Calibri" w:hAnsi="Arial" w:cs="Arial"/>
          <w:i/>
          <w:sz w:val="26"/>
          <w:szCs w:val="26"/>
        </w:rPr>
      </w:pPr>
      <w:r w:rsidRPr="006469FC">
        <w:rPr>
          <w:rFonts w:ascii="Arial" w:eastAsia="Calibri" w:hAnsi="Arial" w:cs="Arial"/>
          <w:i/>
          <w:sz w:val="26"/>
          <w:szCs w:val="26"/>
        </w:rPr>
        <w:t xml:space="preserve">        Es decir, en la demanda original si se planteó la pretensión del actor, tan es así, que el magistrado de primera instancia resolvió sobre la misma, declarándola improcedente, a partir de los argumentos ya sintetizados. </w:t>
      </w:r>
    </w:p>
    <w:p w:rsidR="001A153D" w:rsidRPr="006469FC" w:rsidRDefault="001A153D" w:rsidP="001A153D">
      <w:pPr>
        <w:spacing w:after="160" w:line="259" w:lineRule="auto"/>
        <w:ind w:left="567" w:right="758"/>
        <w:jc w:val="both"/>
        <w:rPr>
          <w:rFonts w:ascii="Arial" w:eastAsia="Calibri" w:hAnsi="Arial" w:cs="Arial"/>
          <w:i/>
          <w:sz w:val="26"/>
          <w:szCs w:val="26"/>
        </w:rPr>
      </w:pPr>
      <w:r w:rsidRPr="006469FC">
        <w:rPr>
          <w:rFonts w:ascii="Arial" w:eastAsia="Calibri" w:hAnsi="Arial" w:cs="Arial"/>
          <w:i/>
          <w:sz w:val="26"/>
          <w:szCs w:val="26"/>
        </w:rPr>
        <w:t xml:space="preserve">        Así, fue hasta la impugnación de la sentencia de primera instancia en que el recurrente estaba obligado a formular argumentos defensivos respecto a las consideraciones contenidas en dicha resolución para declarar improcedente su petición, pues en esta se introdujeron a la litis razones por las cuales no era procedente el pago de los intereses pretendidos y esas debían ser controvertidas en el recurso de revisión.</w:t>
      </w:r>
    </w:p>
    <w:p w:rsidR="001A153D" w:rsidRPr="006469FC" w:rsidRDefault="001A153D" w:rsidP="001A153D">
      <w:pPr>
        <w:spacing w:after="160" w:line="259" w:lineRule="auto"/>
        <w:ind w:left="567" w:right="758"/>
        <w:jc w:val="both"/>
        <w:rPr>
          <w:rFonts w:ascii="Arial" w:eastAsia="Calibri" w:hAnsi="Arial" w:cs="Arial"/>
          <w:i/>
          <w:sz w:val="26"/>
          <w:szCs w:val="26"/>
        </w:rPr>
      </w:pPr>
      <w:r w:rsidRPr="006469FC">
        <w:rPr>
          <w:rFonts w:ascii="Arial" w:eastAsia="Calibri" w:hAnsi="Arial" w:cs="Arial"/>
          <w:i/>
          <w:sz w:val="26"/>
          <w:szCs w:val="26"/>
        </w:rPr>
        <w:t xml:space="preserve">        Aunado a lo anterior, en los agravios hechos valer en el recurso de revisión, el recurrente si formula agravios en contra de las consideraciones de la sentencia de primera instancia, los cuales no fueron analizados en su totalidad en la sentencia reclamada, como son los relativos a que no hay necesidad de ofrecer pruebas para acreditar la tasa de interés interbancaria de equilibrio, ni el cálculo del procedimiento de dicha tasa. </w:t>
      </w:r>
    </w:p>
    <w:p w:rsidR="001A153D" w:rsidRPr="006469FC" w:rsidRDefault="001A153D" w:rsidP="001A153D">
      <w:pPr>
        <w:spacing w:after="160" w:line="259" w:lineRule="auto"/>
        <w:ind w:left="567" w:right="758"/>
        <w:jc w:val="both"/>
        <w:rPr>
          <w:rFonts w:ascii="Arial" w:eastAsia="Calibri" w:hAnsi="Arial" w:cs="Arial"/>
          <w:i/>
          <w:sz w:val="26"/>
          <w:szCs w:val="26"/>
        </w:rPr>
      </w:pPr>
      <w:r w:rsidRPr="006469FC">
        <w:rPr>
          <w:rFonts w:ascii="Arial" w:eastAsia="Calibri" w:hAnsi="Arial" w:cs="Arial"/>
          <w:i/>
          <w:sz w:val="26"/>
          <w:szCs w:val="26"/>
        </w:rPr>
        <w:lastRenderedPageBreak/>
        <w:t xml:space="preserve">         De tal manera que no fue correcta la determinación del Tribunal responsable al desestimar los agravios del recurrente como inoperantes por novedosos, ya que dichos argumentos se formularon a partir de la consideración del Magistrado de primera instancia se agregaron a la litis razones por las cuales no es procedente el pago de los referidos intereses. </w:t>
      </w:r>
    </w:p>
    <w:p w:rsidR="001A153D" w:rsidRPr="006469FC" w:rsidRDefault="001A153D" w:rsidP="001A153D">
      <w:pPr>
        <w:spacing w:after="160" w:line="259" w:lineRule="auto"/>
        <w:ind w:left="567" w:right="758"/>
        <w:jc w:val="both"/>
        <w:rPr>
          <w:rFonts w:ascii="Arial" w:eastAsia="Calibri" w:hAnsi="Arial" w:cs="Arial"/>
          <w:i/>
          <w:sz w:val="26"/>
          <w:szCs w:val="26"/>
        </w:rPr>
      </w:pPr>
      <w:r w:rsidRPr="006469FC">
        <w:rPr>
          <w:rFonts w:ascii="Arial" w:eastAsia="Calibri" w:hAnsi="Arial" w:cs="Arial"/>
          <w:i/>
          <w:sz w:val="26"/>
          <w:szCs w:val="26"/>
        </w:rPr>
        <w:t xml:space="preserve">           En ese orden de ideas, al resultar fundado el argumento del quejoso, y advertirse que la autoridad responsable consideró que en atención al principio de no discriminación o bien el sentido positivo de dicho principio, es decir el principio de igualdad, debe operar la misma carga para el Fondo de Pensiones en el sentido de que este deberá devolver los descuentos que le fueron realizados al administrado </w:t>
      </w:r>
      <w:r w:rsidRPr="006469FC">
        <w:rPr>
          <w:rFonts w:ascii="Arial" w:eastAsia="Calibri" w:hAnsi="Arial" w:cs="Arial"/>
          <w:b/>
          <w:bCs/>
          <w:i/>
          <w:sz w:val="26"/>
          <w:szCs w:val="26"/>
        </w:rPr>
        <w:t xml:space="preserve">con los intereses a que alude el artículo 64 de la Ley de Pensiones de los Trabajadores del Estado, </w:t>
      </w:r>
      <w:r w:rsidRPr="006469FC">
        <w:rPr>
          <w:rFonts w:ascii="Arial" w:eastAsia="Calibri" w:hAnsi="Arial" w:cs="Arial"/>
          <w:i/>
          <w:sz w:val="26"/>
          <w:szCs w:val="26"/>
        </w:rPr>
        <w:t>lo procedente es conceder el amparo al quejoso, para que la autoridad responsable:</w:t>
      </w:r>
    </w:p>
    <w:p w:rsidR="001A153D" w:rsidRPr="006469FC" w:rsidRDefault="001A153D" w:rsidP="001A153D">
      <w:pPr>
        <w:spacing w:after="160" w:line="259" w:lineRule="auto"/>
        <w:ind w:left="720" w:right="758"/>
        <w:contextualSpacing/>
        <w:jc w:val="both"/>
        <w:rPr>
          <w:rFonts w:ascii="Arial" w:eastAsia="Calibri" w:hAnsi="Arial" w:cs="Arial"/>
          <w:i/>
          <w:sz w:val="26"/>
          <w:szCs w:val="26"/>
        </w:rPr>
      </w:pPr>
      <w:r w:rsidRPr="006469FC">
        <w:rPr>
          <w:rFonts w:ascii="Arial" w:eastAsia="Calibri" w:hAnsi="Arial" w:cs="Arial"/>
          <w:b/>
          <w:i/>
          <w:sz w:val="26"/>
          <w:szCs w:val="26"/>
        </w:rPr>
        <w:t>1.-</w:t>
      </w:r>
      <w:r w:rsidRPr="006469FC">
        <w:rPr>
          <w:rFonts w:ascii="Arial" w:eastAsia="Calibri" w:hAnsi="Arial" w:cs="Arial"/>
          <w:i/>
          <w:sz w:val="26"/>
          <w:szCs w:val="26"/>
        </w:rPr>
        <w:t xml:space="preserve"> Deje insubsistente la sentencia de veinticinco de octubre de dos mil dieciocho, dictada en el recurso de revisión 237/2018.</w:t>
      </w:r>
    </w:p>
    <w:p w:rsidR="001A153D" w:rsidRPr="006469FC" w:rsidRDefault="001A153D" w:rsidP="001A153D">
      <w:pPr>
        <w:spacing w:after="160" w:line="259" w:lineRule="auto"/>
        <w:ind w:left="720" w:right="758"/>
        <w:contextualSpacing/>
        <w:jc w:val="both"/>
        <w:rPr>
          <w:rFonts w:ascii="Arial" w:eastAsia="Calibri" w:hAnsi="Arial" w:cs="Arial"/>
          <w:b/>
          <w:bCs/>
          <w:i/>
          <w:sz w:val="26"/>
          <w:szCs w:val="26"/>
        </w:rPr>
      </w:pPr>
    </w:p>
    <w:p w:rsidR="001A153D" w:rsidRPr="006469FC" w:rsidRDefault="001A153D" w:rsidP="001A153D">
      <w:pPr>
        <w:spacing w:after="160" w:line="259" w:lineRule="auto"/>
        <w:ind w:left="720" w:right="758"/>
        <w:contextualSpacing/>
        <w:jc w:val="both"/>
        <w:rPr>
          <w:rFonts w:ascii="Arial" w:eastAsia="Calibri" w:hAnsi="Arial" w:cs="Arial"/>
          <w:i/>
          <w:sz w:val="26"/>
          <w:szCs w:val="26"/>
        </w:rPr>
      </w:pPr>
      <w:r w:rsidRPr="006469FC">
        <w:rPr>
          <w:rFonts w:ascii="Arial" w:eastAsia="Calibri" w:hAnsi="Arial" w:cs="Arial"/>
          <w:b/>
          <w:i/>
          <w:sz w:val="26"/>
          <w:szCs w:val="26"/>
        </w:rPr>
        <w:t>2.-</w:t>
      </w:r>
      <w:r w:rsidRPr="006469FC">
        <w:rPr>
          <w:rFonts w:ascii="Arial" w:eastAsia="Calibri" w:hAnsi="Arial" w:cs="Arial"/>
          <w:i/>
          <w:sz w:val="26"/>
          <w:szCs w:val="26"/>
        </w:rPr>
        <w:t xml:space="preserve"> Emita una nueva sentencia en la que:</w:t>
      </w:r>
    </w:p>
    <w:p w:rsidR="001A153D" w:rsidRPr="006469FC" w:rsidRDefault="001A153D" w:rsidP="001A153D">
      <w:pPr>
        <w:spacing w:after="160" w:line="259" w:lineRule="auto"/>
        <w:ind w:left="720" w:right="758"/>
        <w:contextualSpacing/>
        <w:jc w:val="both"/>
        <w:rPr>
          <w:rFonts w:ascii="Arial" w:eastAsia="Calibri" w:hAnsi="Arial" w:cs="Arial"/>
          <w:b/>
          <w:bCs/>
          <w:i/>
          <w:sz w:val="26"/>
          <w:szCs w:val="26"/>
        </w:rPr>
      </w:pPr>
    </w:p>
    <w:p w:rsidR="001A153D" w:rsidRPr="006469FC" w:rsidRDefault="001A153D" w:rsidP="001A153D">
      <w:pPr>
        <w:spacing w:after="160" w:line="259" w:lineRule="auto"/>
        <w:ind w:left="709" w:right="758"/>
        <w:jc w:val="both"/>
        <w:rPr>
          <w:rFonts w:ascii="Arial" w:eastAsia="Calibri" w:hAnsi="Arial" w:cs="Arial"/>
          <w:i/>
          <w:sz w:val="26"/>
          <w:szCs w:val="26"/>
        </w:rPr>
      </w:pPr>
      <w:r w:rsidRPr="006469FC">
        <w:rPr>
          <w:rFonts w:ascii="Arial" w:eastAsia="Calibri" w:hAnsi="Arial" w:cs="Arial"/>
          <w:b/>
          <w:bCs/>
          <w:i/>
          <w:sz w:val="26"/>
          <w:szCs w:val="26"/>
        </w:rPr>
        <w:t xml:space="preserve">      a) </w:t>
      </w:r>
      <w:r w:rsidRPr="006469FC">
        <w:rPr>
          <w:rFonts w:ascii="Arial" w:eastAsia="Calibri" w:hAnsi="Arial" w:cs="Arial"/>
          <w:i/>
          <w:sz w:val="26"/>
          <w:szCs w:val="26"/>
        </w:rPr>
        <w:t xml:space="preserve">Reitere lo que no es materia de la concesión, a saber, la competencia de la autoridad responsable, la consideración de ser fundado el agravio consistente en que conforme al principio de igualdad debe operar la misma carga al Fondo de Pensiones, prevista en el artículo 64 de la Ley de Pensiones de los Trabajadores del Estado de Oaxaca, en el sentido de que deberá devolver los descuentos que le fueron realizados al administrado, con los intereses a que alude ese precepto legal. </w:t>
      </w:r>
    </w:p>
    <w:p w:rsidR="001A153D" w:rsidRPr="006469FC" w:rsidRDefault="001A153D" w:rsidP="001A153D">
      <w:pPr>
        <w:spacing w:after="160" w:line="259" w:lineRule="auto"/>
        <w:ind w:left="709" w:right="758"/>
        <w:jc w:val="both"/>
        <w:rPr>
          <w:rFonts w:ascii="Arial" w:eastAsia="Calibri" w:hAnsi="Arial" w:cs="Arial"/>
          <w:i/>
          <w:sz w:val="26"/>
          <w:szCs w:val="26"/>
        </w:rPr>
      </w:pPr>
      <w:r w:rsidRPr="006469FC">
        <w:rPr>
          <w:rFonts w:ascii="Arial" w:eastAsia="Calibri" w:hAnsi="Arial" w:cs="Arial"/>
          <w:b/>
          <w:bCs/>
          <w:i/>
          <w:sz w:val="26"/>
          <w:szCs w:val="26"/>
        </w:rPr>
        <w:t xml:space="preserve">        b)  </w:t>
      </w:r>
      <w:r w:rsidRPr="006469FC">
        <w:rPr>
          <w:rFonts w:ascii="Arial" w:eastAsia="Calibri" w:hAnsi="Arial" w:cs="Arial"/>
          <w:i/>
          <w:sz w:val="26"/>
          <w:szCs w:val="26"/>
        </w:rPr>
        <w:t xml:space="preserve">Omita considerar inoperantes los agravios del recurrente por novedosos pues no lo son. </w:t>
      </w:r>
    </w:p>
    <w:p w:rsidR="001A153D" w:rsidRPr="006469FC" w:rsidRDefault="001A153D" w:rsidP="001A153D">
      <w:pPr>
        <w:spacing w:after="160" w:line="259" w:lineRule="auto"/>
        <w:ind w:left="709" w:right="758"/>
        <w:jc w:val="both"/>
        <w:rPr>
          <w:rFonts w:ascii="Arial" w:eastAsia="Calibri" w:hAnsi="Arial" w:cs="Arial"/>
          <w:i/>
          <w:sz w:val="26"/>
          <w:szCs w:val="26"/>
        </w:rPr>
      </w:pPr>
      <w:r w:rsidRPr="006469FC">
        <w:rPr>
          <w:rFonts w:ascii="Arial" w:eastAsia="Calibri" w:hAnsi="Arial" w:cs="Arial"/>
          <w:b/>
          <w:bCs/>
          <w:i/>
          <w:sz w:val="26"/>
          <w:szCs w:val="26"/>
        </w:rPr>
        <w:t xml:space="preserve">         c)  </w:t>
      </w:r>
      <w:r w:rsidRPr="006469FC">
        <w:rPr>
          <w:rFonts w:ascii="Arial" w:eastAsia="Calibri" w:hAnsi="Arial" w:cs="Arial"/>
          <w:i/>
          <w:sz w:val="26"/>
          <w:szCs w:val="26"/>
        </w:rPr>
        <w:t xml:space="preserve">Condene a la parte demandada al pago de los interese conforme al artículo 64 de la referida ley. </w:t>
      </w:r>
    </w:p>
    <w:p w:rsidR="001A153D" w:rsidRPr="006469FC" w:rsidRDefault="001A153D" w:rsidP="001A153D">
      <w:pPr>
        <w:spacing w:after="160" w:line="259" w:lineRule="auto"/>
        <w:ind w:left="709" w:right="758"/>
        <w:jc w:val="both"/>
        <w:rPr>
          <w:rFonts w:ascii="Arial" w:eastAsia="Calibri" w:hAnsi="Arial" w:cs="Arial"/>
          <w:i/>
          <w:sz w:val="26"/>
          <w:szCs w:val="26"/>
        </w:rPr>
      </w:pPr>
      <w:r w:rsidRPr="006469FC">
        <w:rPr>
          <w:rFonts w:ascii="Arial" w:eastAsia="Calibri" w:hAnsi="Arial" w:cs="Arial"/>
          <w:b/>
          <w:bCs/>
          <w:i/>
          <w:sz w:val="26"/>
          <w:szCs w:val="26"/>
        </w:rPr>
        <w:t xml:space="preserve">         </w:t>
      </w:r>
      <w:r w:rsidRPr="006469FC">
        <w:rPr>
          <w:rFonts w:ascii="Arial" w:eastAsia="Calibri" w:hAnsi="Arial" w:cs="Arial"/>
          <w:i/>
          <w:sz w:val="26"/>
          <w:szCs w:val="26"/>
        </w:rPr>
        <w:t xml:space="preserve">Por lo expuesto y con apoyo, además, en lo establecido en los artículos 73,74,75,186 y 217 de la Ley de Amparo vigente; y 35 de la Ley Orgánica del Poder Judicial de la Federación; se,  </w:t>
      </w:r>
    </w:p>
    <w:p w:rsidR="001A153D" w:rsidRPr="006469FC" w:rsidRDefault="001A153D" w:rsidP="001A153D">
      <w:pPr>
        <w:spacing w:after="160" w:line="259" w:lineRule="auto"/>
        <w:ind w:left="360"/>
        <w:jc w:val="both"/>
        <w:rPr>
          <w:rFonts w:ascii="Arial" w:eastAsia="Calibri" w:hAnsi="Arial" w:cs="Arial"/>
          <w:i/>
          <w:sz w:val="26"/>
          <w:szCs w:val="26"/>
        </w:rPr>
      </w:pPr>
      <w:r w:rsidRPr="006469FC">
        <w:rPr>
          <w:rFonts w:ascii="Arial" w:eastAsia="Calibri" w:hAnsi="Arial" w:cs="Arial"/>
          <w:i/>
          <w:sz w:val="26"/>
          <w:szCs w:val="26"/>
        </w:rPr>
        <w:t xml:space="preserve">      </w:t>
      </w:r>
    </w:p>
    <w:p w:rsidR="001A153D" w:rsidRPr="006469FC" w:rsidRDefault="001A153D" w:rsidP="001A153D">
      <w:pPr>
        <w:spacing w:after="160" w:line="259" w:lineRule="auto"/>
        <w:jc w:val="center"/>
        <w:rPr>
          <w:rFonts w:ascii="Arial" w:eastAsia="Calibri" w:hAnsi="Arial" w:cs="Arial"/>
          <w:b/>
          <w:bCs/>
          <w:i/>
          <w:sz w:val="26"/>
          <w:szCs w:val="26"/>
        </w:rPr>
      </w:pPr>
      <w:r w:rsidRPr="006469FC">
        <w:rPr>
          <w:rFonts w:ascii="Arial" w:eastAsia="Calibri" w:hAnsi="Arial" w:cs="Arial"/>
          <w:b/>
          <w:bCs/>
          <w:i/>
          <w:sz w:val="26"/>
          <w:szCs w:val="26"/>
        </w:rPr>
        <w:t>RESUELVE:</w:t>
      </w:r>
    </w:p>
    <w:p w:rsidR="001A153D" w:rsidRPr="006469FC" w:rsidRDefault="001A153D" w:rsidP="001A153D">
      <w:pPr>
        <w:spacing w:after="160" w:line="259" w:lineRule="auto"/>
        <w:ind w:left="709" w:right="758"/>
        <w:jc w:val="both"/>
        <w:rPr>
          <w:rFonts w:ascii="Arial" w:eastAsia="Calibri" w:hAnsi="Arial" w:cs="Arial"/>
          <w:i/>
          <w:sz w:val="26"/>
          <w:szCs w:val="26"/>
        </w:rPr>
      </w:pPr>
      <w:r w:rsidRPr="006469FC">
        <w:rPr>
          <w:rFonts w:ascii="Arial" w:eastAsia="Calibri" w:hAnsi="Arial" w:cs="Arial"/>
          <w:b/>
          <w:bCs/>
          <w:i/>
          <w:sz w:val="26"/>
          <w:szCs w:val="26"/>
        </w:rPr>
        <w:t xml:space="preserve">           ÚNICO: </w:t>
      </w:r>
      <w:r w:rsidRPr="006469FC">
        <w:rPr>
          <w:rFonts w:ascii="Arial" w:eastAsia="Calibri" w:hAnsi="Arial" w:cs="Arial"/>
          <w:i/>
          <w:sz w:val="26"/>
          <w:szCs w:val="26"/>
        </w:rPr>
        <w:t xml:space="preserve">La justicia de la Unión </w:t>
      </w:r>
      <w:r w:rsidRPr="006469FC">
        <w:rPr>
          <w:rFonts w:ascii="Arial" w:eastAsia="Calibri" w:hAnsi="Arial" w:cs="Arial"/>
          <w:b/>
          <w:bCs/>
          <w:i/>
          <w:sz w:val="26"/>
          <w:szCs w:val="26"/>
        </w:rPr>
        <w:t xml:space="preserve">AMPARA Y PROTEGE </w:t>
      </w:r>
      <w:r w:rsidRPr="006469FC">
        <w:rPr>
          <w:rFonts w:ascii="Arial" w:eastAsia="Calibri" w:hAnsi="Arial" w:cs="Arial"/>
          <w:i/>
          <w:sz w:val="26"/>
          <w:szCs w:val="26"/>
        </w:rPr>
        <w:t xml:space="preserve">a </w:t>
      </w:r>
      <w:r w:rsidR="005911F6">
        <w:rPr>
          <w:rFonts w:ascii="Arial" w:hAnsi="Arial" w:cs="Arial"/>
          <w:bCs/>
          <w:i/>
          <w:color w:val="000000"/>
        </w:rPr>
        <w:t>**********</w:t>
      </w:r>
      <w:r w:rsidRPr="006469FC">
        <w:rPr>
          <w:rFonts w:ascii="Arial" w:eastAsia="Calibri" w:hAnsi="Arial" w:cs="Arial"/>
          <w:b/>
          <w:i/>
          <w:sz w:val="26"/>
          <w:szCs w:val="26"/>
        </w:rPr>
        <w:t>,</w:t>
      </w:r>
      <w:r w:rsidRPr="006469FC">
        <w:rPr>
          <w:rFonts w:ascii="Arial" w:eastAsia="Calibri" w:hAnsi="Arial" w:cs="Arial"/>
          <w:i/>
          <w:sz w:val="26"/>
          <w:szCs w:val="26"/>
        </w:rPr>
        <w:t xml:space="preserve"> contra la sentencia de veinticinco de octubre de dos mil dieciocho, dictada por la Sala Superior del Tribunal de Justicia Administrativa del Estado de Oaxaca, en el recurso de revisión 237/2018, en los </w:t>
      </w:r>
      <w:r w:rsidRPr="006469FC">
        <w:rPr>
          <w:rFonts w:ascii="Arial" w:eastAsia="Calibri" w:hAnsi="Arial" w:cs="Arial"/>
          <w:i/>
          <w:sz w:val="26"/>
          <w:szCs w:val="26"/>
        </w:rPr>
        <w:lastRenderedPageBreak/>
        <w:t xml:space="preserve">términos precisados en el último considerando de esta ejecutoria. </w:t>
      </w:r>
    </w:p>
    <w:p w:rsidR="001A153D" w:rsidRPr="006469FC" w:rsidRDefault="001A153D" w:rsidP="001A153D">
      <w:pPr>
        <w:spacing w:after="160" w:line="259" w:lineRule="auto"/>
        <w:jc w:val="both"/>
        <w:rPr>
          <w:rFonts w:ascii="Arial" w:eastAsia="Calibri" w:hAnsi="Arial" w:cs="Arial"/>
          <w:i/>
          <w:sz w:val="26"/>
          <w:szCs w:val="26"/>
        </w:rPr>
      </w:pPr>
      <w:r w:rsidRPr="006469FC">
        <w:rPr>
          <w:rFonts w:ascii="Arial" w:eastAsia="Calibri" w:hAnsi="Arial" w:cs="Arial"/>
          <w:i/>
          <w:sz w:val="26"/>
          <w:szCs w:val="26"/>
        </w:rPr>
        <w:t xml:space="preserve">  </w:t>
      </w:r>
    </w:p>
    <w:p w:rsidR="001A153D" w:rsidRPr="006469FC" w:rsidRDefault="001A153D" w:rsidP="001A153D">
      <w:pPr>
        <w:tabs>
          <w:tab w:val="left" w:pos="1560"/>
          <w:tab w:val="left" w:pos="5310"/>
        </w:tabs>
        <w:spacing w:line="360" w:lineRule="auto"/>
        <w:ind w:right="49"/>
        <w:jc w:val="both"/>
        <w:rPr>
          <w:rFonts w:ascii="Arial" w:hAnsi="Arial" w:cs="Arial"/>
          <w:bCs/>
          <w:sz w:val="26"/>
          <w:szCs w:val="26"/>
        </w:rPr>
      </w:pPr>
      <w:r w:rsidRPr="006469FC">
        <w:rPr>
          <w:rFonts w:ascii="Arial" w:hAnsi="Arial" w:cs="Arial"/>
          <w:b/>
          <w:bCs/>
          <w:sz w:val="26"/>
          <w:szCs w:val="26"/>
        </w:rPr>
        <w:t xml:space="preserve">       TERCERO. </w:t>
      </w:r>
      <w:r w:rsidRPr="006469FC">
        <w:rPr>
          <w:rFonts w:ascii="Arial" w:hAnsi="Arial" w:cs="Arial"/>
          <w:bCs/>
          <w:sz w:val="26"/>
          <w:szCs w:val="26"/>
        </w:rPr>
        <w:t xml:space="preserve">A través del oficio </w:t>
      </w:r>
      <w:r w:rsidRPr="006469FC">
        <w:rPr>
          <w:rFonts w:ascii="Arial" w:hAnsi="Arial" w:cs="Arial"/>
          <w:b/>
          <w:bCs/>
          <w:sz w:val="26"/>
          <w:szCs w:val="26"/>
        </w:rPr>
        <w:t>18402/2019</w:t>
      </w:r>
      <w:r w:rsidRPr="006469FC">
        <w:rPr>
          <w:rFonts w:ascii="Arial" w:hAnsi="Arial" w:cs="Arial"/>
          <w:bCs/>
          <w:sz w:val="26"/>
          <w:szCs w:val="26"/>
        </w:rPr>
        <w:t xml:space="preserve"> de fecha tres de octubre de dos mil diecinueve, el Primer Tribunal Colegiado en  Materias Civil y Administrativa del Decimotercer Circuito con residencia en el Estado de Oaxaca, notificó el acuerdo de tres de octubre de dos mil diecinueve, por el cual requiere a esta Sala Superior para que en el plazo de tres días cumpla la ejecutoria referida. Y con el oficio 18700/2019, el mencionado Tribunal Colegiado de Circuito otorga una prórroga de 10 diez días para el cumplimiento de la ejecutoria de mérito. Así, en cumplimiento al citado acuerdo, esta Sala procede a dar cumplimiento a la ejecutoria de amparo indicada.</w:t>
      </w:r>
    </w:p>
    <w:p w:rsidR="001A153D" w:rsidRPr="006469FC" w:rsidRDefault="001A153D" w:rsidP="001A153D">
      <w:pPr>
        <w:pStyle w:val="Prrafodelista"/>
        <w:spacing w:line="360" w:lineRule="auto"/>
        <w:ind w:left="1069"/>
        <w:jc w:val="center"/>
        <w:rPr>
          <w:rFonts w:ascii="Arial" w:eastAsia="Calibri" w:hAnsi="Arial" w:cs="Arial"/>
          <w:b/>
          <w:bCs/>
          <w:sz w:val="26"/>
          <w:szCs w:val="26"/>
          <w:lang w:val="es-MX"/>
        </w:rPr>
      </w:pPr>
    </w:p>
    <w:p w:rsidR="001A153D" w:rsidRPr="006469FC" w:rsidRDefault="001A153D" w:rsidP="001A153D">
      <w:pPr>
        <w:pStyle w:val="Prrafodelista"/>
        <w:spacing w:line="360" w:lineRule="auto"/>
        <w:ind w:left="1069"/>
        <w:jc w:val="center"/>
        <w:rPr>
          <w:rFonts w:ascii="Arial" w:eastAsia="Calibri" w:hAnsi="Arial" w:cs="Arial"/>
          <w:b/>
          <w:bCs/>
          <w:sz w:val="26"/>
          <w:szCs w:val="26"/>
          <w:lang w:val="es-MX"/>
        </w:rPr>
      </w:pPr>
      <w:r w:rsidRPr="006469FC">
        <w:rPr>
          <w:rFonts w:ascii="Arial" w:eastAsia="Calibri" w:hAnsi="Arial" w:cs="Arial"/>
          <w:b/>
          <w:bCs/>
          <w:sz w:val="26"/>
          <w:szCs w:val="26"/>
          <w:lang w:val="es-MX"/>
        </w:rPr>
        <w:t>C O N S I D E R A N D O</w:t>
      </w:r>
    </w:p>
    <w:p w:rsidR="001A153D" w:rsidRPr="006469FC" w:rsidRDefault="001A153D" w:rsidP="001A153D">
      <w:pPr>
        <w:widowControl w:val="0"/>
        <w:tabs>
          <w:tab w:val="left" w:pos="7938"/>
        </w:tabs>
        <w:spacing w:before="240" w:line="360" w:lineRule="auto"/>
        <w:ind w:right="18" w:firstLine="709"/>
        <w:jc w:val="both"/>
        <w:rPr>
          <w:rFonts w:ascii="Arial" w:eastAsia="Calibri" w:hAnsi="Arial" w:cs="Arial"/>
          <w:sz w:val="26"/>
          <w:szCs w:val="26"/>
          <w:lang w:eastAsia="es-ES"/>
        </w:rPr>
      </w:pPr>
      <w:r w:rsidRPr="006469FC">
        <w:rPr>
          <w:rFonts w:ascii="Arial" w:eastAsia="Calibri" w:hAnsi="Arial" w:cs="Arial"/>
          <w:b/>
          <w:bCs/>
          <w:sz w:val="26"/>
          <w:szCs w:val="26"/>
        </w:rPr>
        <w:t xml:space="preserve">PRIMERO. </w:t>
      </w:r>
      <w:r w:rsidRPr="006469FC">
        <w:rPr>
          <w:rFonts w:ascii="Arial" w:hAnsi="Arial" w:cs="Arial"/>
          <w:bCs/>
          <w:iCs/>
          <w:sz w:val="26"/>
          <w:szCs w:val="26"/>
          <w:lang w:eastAsia="es-ES"/>
        </w:rPr>
        <w:t xml:space="preserve">Esta Sala Superior es competente para conocer del presente asunto, de conformidad con lo dispuesto por los artículos 114 QUÁTER de la Constitución Política del Estado Libre y Soberano de Oaxaca, 125, 127, 129, 130 fracción I, 131, 231, 236 y 238 </w:t>
      </w:r>
      <w:r w:rsidRPr="006469FC">
        <w:rPr>
          <w:rFonts w:ascii="Arial" w:hAnsi="Arial" w:cs="Arial"/>
          <w:bCs/>
          <w:iCs/>
          <w:sz w:val="26"/>
          <w:szCs w:val="26"/>
        </w:rPr>
        <w:t xml:space="preserve">de la Ley de Procedimiento y Justicia Administrativa para el Estado de Oaxaca, en virtud de que se trata de un recurso de revisión interpuesto en contra de la sentencia de veintiuno de mayo </w:t>
      </w:r>
      <w:r w:rsidRPr="006469FC">
        <w:rPr>
          <w:rFonts w:ascii="Arial" w:hAnsi="Arial" w:cs="Arial"/>
          <w:sz w:val="26"/>
          <w:szCs w:val="26"/>
        </w:rPr>
        <w:t>de dos mil dieci</w:t>
      </w:r>
      <w:r>
        <w:rPr>
          <w:rFonts w:ascii="Arial" w:hAnsi="Arial" w:cs="Arial"/>
          <w:sz w:val="26"/>
          <w:szCs w:val="26"/>
        </w:rPr>
        <w:t xml:space="preserve">ocho, dictada en el expediente </w:t>
      </w:r>
      <w:r w:rsidRPr="006469FC">
        <w:rPr>
          <w:rFonts w:ascii="Arial" w:hAnsi="Arial" w:cs="Arial"/>
          <w:b/>
          <w:sz w:val="26"/>
          <w:szCs w:val="26"/>
        </w:rPr>
        <w:t xml:space="preserve">0004/2018 </w:t>
      </w:r>
      <w:r w:rsidRPr="006469FC">
        <w:rPr>
          <w:rFonts w:ascii="Arial" w:hAnsi="Arial" w:cs="Arial"/>
          <w:sz w:val="26"/>
          <w:szCs w:val="26"/>
        </w:rPr>
        <w:t>del índice de la Cuarta Sala Unitaria de Primera Instancia</w:t>
      </w:r>
      <w:r w:rsidRPr="006469FC">
        <w:rPr>
          <w:rFonts w:ascii="Arial" w:eastAsia="Calibri" w:hAnsi="Arial" w:cs="Arial"/>
          <w:bCs/>
          <w:iCs/>
          <w:sz w:val="26"/>
          <w:szCs w:val="26"/>
          <w:lang w:eastAsia="es-ES"/>
        </w:rPr>
        <w:t xml:space="preserve"> de este Tribunal.</w:t>
      </w:r>
    </w:p>
    <w:p w:rsidR="001A153D" w:rsidRPr="006469FC" w:rsidRDefault="001A153D" w:rsidP="001A153D">
      <w:pPr>
        <w:widowControl w:val="0"/>
        <w:tabs>
          <w:tab w:val="left" w:pos="7938"/>
        </w:tabs>
        <w:spacing w:before="240" w:line="360" w:lineRule="auto"/>
        <w:ind w:right="18" w:firstLine="709"/>
        <w:jc w:val="both"/>
        <w:rPr>
          <w:rFonts w:ascii="Arial" w:eastAsia="Calibri" w:hAnsi="Arial" w:cs="Arial"/>
          <w:bCs/>
          <w:sz w:val="26"/>
          <w:szCs w:val="26"/>
        </w:rPr>
      </w:pPr>
      <w:r w:rsidRPr="006469FC">
        <w:rPr>
          <w:rFonts w:ascii="Arial" w:eastAsia="Calibri" w:hAnsi="Arial" w:cs="Arial"/>
          <w:b/>
          <w:bCs/>
          <w:sz w:val="26"/>
          <w:szCs w:val="26"/>
        </w:rPr>
        <w:t xml:space="preserve">SEGUNDO. </w:t>
      </w:r>
      <w:r w:rsidRPr="006469FC">
        <w:rPr>
          <w:rFonts w:ascii="Arial" w:eastAsia="Calibri" w:hAnsi="Arial" w:cs="Arial"/>
          <w:bCs/>
          <w:sz w:val="26"/>
          <w:szCs w:val="26"/>
        </w:rPr>
        <w:t xml:space="preserve">En estricto acatamiento a la ejecutoria de amparo de </w:t>
      </w:r>
      <w:r w:rsidRPr="006469FC">
        <w:rPr>
          <w:rFonts w:ascii="Arial" w:hAnsi="Arial" w:cs="Arial"/>
          <w:sz w:val="26"/>
          <w:szCs w:val="26"/>
        </w:rPr>
        <w:t xml:space="preserve">fecha veintiséis de septiembre de dos mil diecinueve, dictada en el </w:t>
      </w:r>
      <w:r w:rsidRPr="006469FC">
        <w:rPr>
          <w:rFonts w:ascii="Arial" w:eastAsia="Calibri" w:hAnsi="Arial" w:cs="Arial"/>
          <w:bCs/>
          <w:sz w:val="26"/>
          <w:szCs w:val="26"/>
        </w:rPr>
        <w:t>juicio de amparo directo</w:t>
      </w:r>
      <w:r w:rsidRPr="006469FC">
        <w:rPr>
          <w:rFonts w:ascii="Arial" w:eastAsia="Calibri" w:hAnsi="Arial" w:cs="Arial"/>
          <w:b/>
          <w:bCs/>
          <w:sz w:val="26"/>
          <w:szCs w:val="26"/>
        </w:rPr>
        <w:t xml:space="preserve"> </w:t>
      </w:r>
      <w:r w:rsidRPr="006469FC">
        <w:rPr>
          <w:rFonts w:ascii="Arial" w:eastAsia="Calibri" w:hAnsi="Arial" w:cs="Arial"/>
          <w:bCs/>
          <w:sz w:val="26"/>
          <w:szCs w:val="26"/>
        </w:rPr>
        <w:t>número</w:t>
      </w:r>
      <w:r w:rsidRPr="006469FC">
        <w:rPr>
          <w:rFonts w:ascii="Arial" w:eastAsia="Calibri" w:hAnsi="Arial" w:cs="Arial"/>
          <w:b/>
          <w:bCs/>
          <w:sz w:val="26"/>
          <w:szCs w:val="26"/>
        </w:rPr>
        <w:t xml:space="preserve"> 218/2019, </w:t>
      </w:r>
      <w:r w:rsidRPr="006469FC">
        <w:rPr>
          <w:rFonts w:ascii="Arial" w:eastAsia="Calibri" w:hAnsi="Arial" w:cs="Arial"/>
          <w:bCs/>
          <w:sz w:val="26"/>
          <w:szCs w:val="26"/>
        </w:rPr>
        <w:t>el cual fue radicado en el Primer Tribunal Colegiado en Materias Civil y Administrativa del Decimotercer Circuito, con residencia en San Bartolo Coyotepec, Oaxaca, se procede acorde a sus lineamientos:</w:t>
      </w:r>
    </w:p>
    <w:p w:rsidR="001A153D" w:rsidRPr="006469FC" w:rsidRDefault="001A153D" w:rsidP="001A153D">
      <w:pPr>
        <w:widowControl w:val="0"/>
        <w:tabs>
          <w:tab w:val="left" w:pos="7938"/>
        </w:tabs>
        <w:spacing w:before="240" w:line="360" w:lineRule="auto"/>
        <w:ind w:right="18" w:firstLine="709"/>
        <w:jc w:val="both"/>
        <w:rPr>
          <w:rFonts w:ascii="Arial" w:eastAsia="Times New Roman" w:hAnsi="Arial" w:cs="Arial"/>
          <w:bCs/>
          <w:iCs/>
          <w:sz w:val="26"/>
          <w:szCs w:val="26"/>
          <w:lang w:eastAsia="es-ES"/>
        </w:rPr>
      </w:pPr>
      <w:r w:rsidRPr="006469FC">
        <w:rPr>
          <w:rFonts w:ascii="Arial" w:eastAsia="Times New Roman" w:hAnsi="Arial" w:cs="Arial"/>
          <w:b/>
          <w:bCs/>
          <w:iCs/>
          <w:sz w:val="26"/>
          <w:szCs w:val="26"/>
          <w:lang w:eastAsia="es-ES"/>
        </w:rPr>
        <w:t>TERCERO.</w:t>
      </w:r>
      <w:r w:rsidRPr="006469FC">
        <w:rPr>
          <w:rFonts w:ascii="Arial" w:eastAsia="Times New Roman" w:hAnsi="Arial" w:cs="Arial"/>
          <w:bCs/>
          <w:iCs/>
          <w:sz w:val="26"/>
          <w:szCs w:val="26"/>
          <w:lang w:eastAsia="es-ES"/>
        </w:rPr>
        <w:t xml:space="preserve"> Se deja insubsistente la parte conducente de </w:t>
      </w:r>
      <w:r>
        <w:rPr>
          <w:rFonts w:ascii="Arial" w:eastAsia="Times New Roman" w:hAnsi="Arial" w:cs="Arial"/>
          <w:bCs/>
          <w:iCs/>
          <w:sz w:val="26"/>
          <w:szCs w:val="26"/>
          <w:lang w:eastAsia="es-ES"/>
        </w:rPr>
        <w:t>la resolución de 25</w:t>
      </w:r>
      <w:r w:rsidRPr="006469FC">
        <w:rPr>
          <w:rFonts w:ascii="Arial" w:eastAsia="Times New Roman" w:hAnsi="Arial" w:cs="Arial"/>
          <w:bCs/>
          <w:iCs/>
          <w:sz w:val="26"/>
          <w:szCs w:val="26"/>
          <w:lang w:eastAsia="es-ES"/>
        </w:rPr>
        <w:t xml:space="preserve"> veinti</w:t>
      </w:r>
      <w:r>
        <w:rPr>
          <w:rFonts w:ascii="Arial" w:eastAsia="Times New Roman" w:hAnsi="Arial" w:cs="Arial"/>
          <w:bCs/>
          <w:iCs/>
          <w:sz w:val="26"/>
          <w:szCs w:val="26"/>
          <w:lang w:eastAsia="es-ES"/>
        </w:rPr>
        <w:t>cinco</w:t>
      </w:r>
      <w:r w:rsidRPr="006469FC">
        <w:rPr>
          <w:rFonts w:ascii="Arial" w:eastAsia="Times New Roman" w:hAnsi="Arial" w:cs="Arial"/>
          <w:bCs/>
          <w:iCs/>
          <w:sz w:val="26"/>
          <w:szCs w:val="26"/>
          <w:lang w:eastAsia="es-ES"/>
        </w:rPr>
        <w:t xml:space="preserve"> de octubre de 2018 dos mil dieciocho dictada por esta Sala Superior del Tribunal de Justicia Administrativa del Estado de Oaxaca, en el recurso de revisión </w:t>
      </w:r>
      <w:r w:rsidRPr="006469FC">
        <w:rPr>
          <w:rFonts w:ascii="Arial" w:eastAsia="Times New Roman" w:hAnsi="Arial" w:cs="Arial"/>
          <w:b/>
          <w:bCs/>
          <w:iCs/>
          <w:sz w:val="26"/>
          <w:szCs w:val="26"/>
          <w:lang w:eastAsia="es-ES"/>
        </w:rPr>
        <w:t>237/2018</w:t>
      </w:r>
      <w:r w:rsidRPr="006469FC">
        <w:rPr>
          <w:rFonts w:ascii="Arial" w:eastAsia="Times New Roman" w:hAnsi="Arial" w:cs="Arial"/>
          <w:bCs/>
          <w:iCs/>
          <w:sz w:val="26"/>
          <w:szCs w:val="26"/>
          <w:lang w:eastAsia="es-ES"/>
        </w:rPr>
        <w:t xml:space="preserve">, en la cual se </w:t>
      </w:r>
      <w:r w:rsidRPr="006469FC">
        <w:rPr>
          <w:rFonts w:ascii="Arial" w:eastAsia="Times New Roman" w:hAnsi="Arial" w:cs="Arial"/>
          <w:b/>
          <w:bCs/>
          <w:iCs/>
          <w:sz w:val="26"/>
          <w:szCs w:val="26"/>
          <w:lang w:eastAsia="es-ES"/>
        </w:rPr>
        <w:t>confirmó</w:t>
      </w:r>
      <w:r w:rsidRPr="006469FC">
        <w:rPr>
          <w:rFonts w:ascii="Arial" w:eastAsia="Times New Roman" w:hAnsi="Arial" w:cs="Arial"/>
          <w:bCs/>
          <w:iCs/>
          <w:sz w:val="26"/>
          <w:szCs w:val="26"/>
          <w:lang w:eastAsia="es-ES"/>
        </w:rPr>
        <w:t xml:space="preserve"> el resolutivo </w:t>
      </w:r>
      <w:r w:rsidRPr="00F54800">
        <w:rPr>
          <w:rFonts w:ascii="Arial" w:eastAsia="Times New Roman" w:hAnsi="Arial" w:cs="Arial"/>
          <w:b/>
          <w:bCs/>
          <w:iCs/>
          <w:sz w:val="26"/>
          <w:szCs w:val="26"/>
          <w:lang w:eastAsia="es-ES"/>
        </w:rPr>
        <w:t>quinto</w:t>
      </w:r>
      <w:r w:rsidRPr="006469FC">
        <w:rPr>
          <w:rFonts w:ascii="Arial" w:eastAsia="Times New Roman" w:hAnsi="Arial" w:cs="Arial"/>
          <w:bCs/>
          <w:iCs/>
          <w:sz w:val="26"/>
          <w:szCs w:val="26"/>
          <w:lang w:eastAsia="es-ES"/>
        </w:rPr>
        <w:t xml:space="preserve"> de la sentencia recurrida de fecha 21 veintiuno de mayo de 2018 dos mil dieciocho, en el que se determinó que no procedió el pago de intereses a razón de la tasa de interés interbancaria de equilibrio (TIIE), ni el pago de dividendos, ganancias y </w:t>
      </w:r>
      <w:r w:rsidRPr="006469FC">
        <w:rPr>
          <w:rFonts w:ascii="Arial" w:eastAsia="Times New Roman" w:hAnsi="Arial" w:cs="Arial"/>
          <w:bCs/>
          <w:iCs/>
          <w:sz w:val="26"/>
          <w:szCs w:val="26"/>
          <w:lang w:eastAsia="es-ES"/>
        </w:rPr>
        <w:lastRenderedPageBreak/>
        <w:t>demás beneficios derivados de la devolución de los descuentos que le fueron efectuados al actor para el fondo de pensiones, conforme a lo establecido en el artículo 64 de la Ley de Pensiones para los Trabajadores del Gobierno del Estado de Oaxaca.</w:t>
      </w:r>
    </w:p>
    <w:p w:rsidR="001A153D" w:rsidRPr="006469FC" w:rsidRDefault="001A153D" w:rsidP="001A153D">
      <w:pPr>
        <w:spacing w:line="360" w:lineRule="auto"/>
        <w:ind w:firstLine="709"/>
        <w:jc w:val="both"/>
        <w:rPr>
          <w:rFonts w:ascii="Arial" w:eastAsia="Calibri" w:hAnsi="Arial" w:cs="Arial"/>
          <w:bCs/>
          <w:color w:val="000000"/>
          <w:sz w:val="26"/>
          <w:szCs w:val="26"/>
        </w:rPr>
      </w:pPr>
      <w:r w:rsidRPr="006469FC">
        <w:rPr>
          <w:rFonts w:ascii="Arial" w:eastAsia="Calibri" w:hAnsi="Arial" w:cs="Arial"/>
          <w:b/>
          <w:bCs/>
          <w:color w:val="000000"/>
          <w:sz w:val="26"/>
          <w:szCs w:val="26"/>
        </w:rPr>
        <w:t>CUARTO.-</w:t>
      </w:r>
      <w:r w:rsidRPr="006469FC">
        <w:rPr>
          <w:rFonts w:ascii="Arial" w:eastAsia="Calibri" w:hAnsi="Arial" w:cs="Arial"/>
          <w:bCs/>
          <w:color w:val="000000"/>
          <w:sz w:val="26"/>
          <w:szCs w:val="26"/>
        </w:rPr>
        <w:t xml:space="preserve"> Se reitera que</w:t>
      </w:r>
      <w:r>
        <w:rPr>
          <w:rFonts w:ascii="Arial" w:eastAsia="Calibri" w:hAnsi="Arial" w:cs="Arial"/>
          <w:bCs/>
          <w:color w:val="000000"/>
          <w:sz w:val="26"/>
          <w:szCs w:val="26"/>
        </w:rPr>
        <w:t xml:space="preserve"> se deja intocado el </w:t>
      </w:r>
      <w:r w:rsidRPr="00F85A18">
        <w:rPr>
          <w:rFonts w:ascii="Arial" w:eastAsia="Calibri" w:hAnsi="Arial" w:cs="Arial"/>
          <w:bCs/>
          <w:color w:val="000000"/>
          <w:sz w:val="26"/>
          <w:szCs w:val="26"/>
        </w:rPr>
        <w:t>resolutivo cuarto</w:t>
      </w:r>
      <w:r>
        <w:rPr>
          <w:rFonts w:ascii="Arial" w:eastAsia="Calibri" w:hAnsi="Arial" w:cs="Arial"/>
          <w:bCs/>
          <w:color w:val="000000"/>
          <w:sz w:val="26"/>
          <w:szCs w:val="26"/>
        </w:rPr>
        <w:t xml:space="preserve"> </w:t>
      </w:r>
      <w:r w:rsidRPr="006469FC">
        <w:rPr>
          <w:rFonts w:ascii="Arial" w:eastAsia="Calibri" w:hAnsi="Arial" w:cs="Arial"/>
          <w:bCs/>
          <w:color w:val="000000"/>
          <w:sz w:val="26"/>
          <w:szCs w:val="26"/>
        </w:rPr>
        <w:t xml:space="preserve"> </w:t>
      </w:r>
      <w:r>
        <w:rPr>
          <w:rFonts w:ascii="Arial" w:eastAsia="Calibri" w:hAnsi="Arial" w:cs="Arial"/>
          <w:bCs/>
          <w:color w:val="000000"/>
          <w:sz w:val="26"/>
          <w:szCs w:val="26"/>
        </w:rPr>
        <w:t xml:space="preserve">de la sentencia recurrida, pues </w:t>
      </w:r>
      <w:r w:rsidRPr="006469FC">
        <w:rPr>
          <w:rFonts w:ascii="Arial" w:eastAsia="Calibri" w:hAnsi="Arial" w:cs="Arial"/>
          <w:bCs/>
          <w:color w:val="000000"/>
          <w:sz w:val="26"/>
          <w:szCs w:val="26"/>
        </w:rPr>
        <w:t xml:space="preserve">no es materia de la concesión del amparo lo referente a la declaración de la nulidad de la resolución contenida en el oficio número </w:t>
      </w:r>
      <w:r w:rsidR="005911F6">
        <w:rPr>
          <w:rFonts w:ascii="Arial" w:hAnsi="Arial" w:cs="Arial"/>
          <w:bCs/>
          <w:i/>
          <w:color w:val="000000"/>
        </w:rPr>
        <w:t>**********</w:t>
      </w:r>
      <w:r w:rsidRPr="006469FC">
        <w:rPr>
          <w:rFonts w:ascii="Arial" w:eastAsia="Calibri" w:hAnsi="Arial" w:cs="Arial"/>
          <w:bCs/>
          <w:color w:val="000000"/>
          <w:sz w:val="26"/>
          <w:szCs w:val="26"/>
        </w:rPr>
        <w:t xml:space="preserve">, de 13 trece de noviembre de 2017 dos mil diecisiete, emitido por el Director General de la Oficina de Pensiones del Estado de Oaxaca </w:t>
      </w:r>
      <w:r w:rsidRPr="006469FC">
        <w:rPr>
          <w:rFonts w:ascii="Arial" w:eastAsia="Calibri" w:hAnsi="Arial" w:cs="Arial"/>
          <w:b/>
          <w:bCs/>
          <w:color w:val="000000"/>
          <w:sz w:val="26"/>
          <w:szCs w:val="26"/>
        </w:rPr>
        <w:t>PARA EL EFECTO</w:t>
      </w:r>
      <w:r w:rsidRPr="006469FC">
        <w:rPr>
          <w:rFonts w:ascii="Arial" w:eastAsia="Calibri" w:hAnsi="Arial" w:cs="Arial"/>
          <w:bCs/>
          <w:color w:val="000000"/>
          <w:sz w:val="26"/>
          <w:szCs w:val="26"/>
        </w:rPr>
        <w:t xml:space="preserve"> de que dicte otra resolución en la que se ordene la devolución de las cantidades que por concepto de descuento se realizaron al sueldo del quejoso </w:t>
      </w:r>
      <w:r w:rsidR="005911F6">
        <w:rPr>
          <w:rFonts w:ascii="Arial" w:hAnsi="Arial" w:cs="Arial"/>
          <w:bCs/>
          <w:i/>
          <w:color w:val="000000"/>
        </w:rPr>
        <w:t>**********</w:t>
      </w:r>
      <w:r w:rsidRPr="006469FC">
        <w:rPr>
          <w:rFonts w:ascii="Arial" w:eastAsia="Calibri" w:hAnsi="Arial" w:cs="Arial"/>
          <w:bCs/>
          <w:color w:val="000000"/>
          <w:sz w:val="26"/>
          <w:szCs w:val="26"/>
        </w:rPr>
        <w:t>, por un periodo comprendido de la primera quincena del mes de julio de dos mil doce hasta la segunda quincena del mes de marzo de dos mil dieciséis, por lo que tal determinación queda intocada.</w:t>
      </w:r>
    </w:p>
    <w:p w:rsidR="001A153D" w:rsidRPr="006469FC" w:rsidRDefault="001A153D" w:rsidP="001A153D">
      <w:pPr>
        <w:spacing w:line="360" w:lineRule="auto"/>
        <w:ind w:firstLine="709"/>
        <w:jc w:val="both"/>
        <w:rPr>
          <w:rFonts w:ascii="Arial" w:hAnsi="Arial" w:cs="Arial"/>
          <w:bCs/>
          <w:sz w:val="26"/>
          <w:szCs w:val="26"/>
        </w:rPr>
      </w:pPr>
      <w:r w:rsidRPr="006469FC">
        <w:rPr>
          <w:rFonts w:ascii="Arial" w:eastAsia="Calibri" w:hAnsi="Arial" w:cs="Arial"/>
          <w:b/>
          <w:bCs/>
          <w:color w:val="000000"/>
          <w:sz w:val="26"/>
          <w:szCs w:val="26"/>
        </w:rPr>
        <w:t>QUINTO.-</w:t>
      </w:r>
      <w:r w:rsidRPr="006469FC">
        <w:rPr>
          <w:rFonts w:ascii="Arial" w:eastAsia="Calibri" w:hAnsi="Arial" w:cs="Arial"/>
          <w:bCs/>
          <w:color w:val="000000"/>
          <w:sz w:val="26"/>
          <w:szCs w:val="26"/>
        </w:rPr>
        <w:t xml:space="preserve"> </w:t>
      </w:r>
      <w:r w:rsidRPr="006469FC">
        <w:rPr>
          <w:rFonts w:ascii="Arial" w:hAnsi="Arial" w:cs="Arial"/>
          <w:bCs/>
          <w:sz w:val="26"/>
          <w:szCs w:val="26"/>
        </w:rPr>
        <w:t>El recurrente, en sus agravios argumentó que la sentencia de veintiuno de mayo de dos mil dieciocho de la Cuarta Sala de Primera Instancia viola en su perjuicio los derechos fundamentales previstos por los artículos 1, 14 y 16 de la Constitución Política de los Estados Unidos Mexicanos, en relación con el diverso 64 segundo párrafo de la Ley de Pensiones para los Trabajadores del Estado de Oaxaca.</w:t>
      </w:r>
    </w:p>
    <w:p w:rsidR="001A153D" w:rsidRPr="006469FC" w:rsidRDefault="001A153D" w:rsidP="001A153D">
      <w:pPr>
        <w:spacing w:line="360" w:lineRule="auto"/>
        <w:ind w:firstLine="709"/>
        <w:jc w:val="both"/>
        <w:rPr>
          <w:rFonts w:ascii="Arial" w:hAnsi="Arial" w:cs="Arial"/>
          <w:bCs/>
          <w:sz w:val="26"/>
          <w:szCs w:val="26"/>
        </w:rPr>
      </w:pPr>
      <w:r w:rsidRPr="006469FC">
        <w:rPr>
          <w:rFonts w:ascii="Arial" w:hAnsi="Arial" w:cs="Arial"/>
          <w:bCs/>
          <w:sz w:val="26"/>
          <w:szCs w:val="26"/>
        </w:rPr>
        <w:t xml:space="preserve">Aduce que la </w:t>
      </w:r>
      <w:r w:rsidRPr="006469FC">
        <w:rPr>
          <w:rFonts w:ascii="Arial" w:hAnsi="Arial" w:cs="Arial"/>
          <w:bCs/>
          <w:i/>
          <w:sz w:val="26"/>
          <w:szCs w:val="26"/>
        </w:rPr>
        <w:t>A quo</w:t>
      </w:r>
      <w:r w:rsidRPr="006469FC">
        <w:rPr>
          <w:rFonts w:ascii="Arial" w:hAnsi="Arial" w:cs="Arial"/>
          <w:bCs/>
          <w:sz w:val="26"/>
          <w:szCs w:val="26"/>
        </w:rPr>
        <w:t xml:space="preserve"> de manera incorrecta e ilegal condenó a la demandada únicamente sobre el concepto relativo al oficio </w:t>
      </w:r>
      <w:r w:rsidR="005911F6">
        <w:rPr>
          <w:rFonts w:ascii="Arial" w:hAnsi="Arial" w:cs="Arial"/>
          <w:bCs/>
          <w:i/>
          <w:color w:val="000000"/>
        </w:rPr>
        <w:t>**********</w:t>
      </w:r>
      <w:r w:rsidRPr="006469FC">
        <w:rPr>
          <w:rFonts w:ascii="Arial" w:hAnsi="Arial" w:cs="Arial"/>
          <w:bCs/>
          <w:sz w:val="26"/>
          <w:szCs w:val="26"/>
        </w:rPr>
        <w:t xml:space="preserve"> de 13 trece de noviembre de 2017 dos mil diecisiete, consistente en la </w:t>
      </w:r>
      <w:r w:rsidRPr="006469FC">
        <w:rPr>
          <w:rFonts w:ascii="Arial" w:hAnsi="Arial" w:cs="Arial"/>
          <w:bCs/>
          <w:i/>
          <w:sz w:val="26"/>
          <w:szCs w:val="26"/>
        </w:rPr>
        <w:t xml:space="preserve">devolución de las cantidades que por concepto de descuentos se le realizaron al sueldo del actor </w:t>
      </w:r>
      <w:r w:rsidR="005911F6">
        <w:rPr>
          <w:rFonts w:ascii="Arial" w:hAnsi="Arial" w:cs="Arial"/>
          <w:bCs/>
          <w:i/>
          <w:color w:val="000000"/>
        </w:rPr>
        <w:t>**********</w:t>
      </w:r>
      <w:r w:rsidRPr="006469FC">
        <w:rPr>
          <w:rFonts w:ascii="Arial" w:hAnsi="Arial" w:cs="Arial"/>
          <w:bCs/>
          <w:i/>
          <w:sz w:val="26"/>
          <w:szCs w:val="26"/>
        </w:rPr>
        <w:t xml:space="preserve">, </w:t>
      </w:r>
      <w:r w:rsidRPr="006469FC">
        <w:rPr>
          <w:rFonts w:ascii="Arial" w:hAnsi="Arial" w:cs="Arial"/>
          <w:bCs/>
          <w:sz w:val="26"/>
          <w:szCs w:val="26"/>
        </w:rPr>
        <w:t>según lo establecido</w:t>
      </w:r>
      <w:r w:rsidRPr="006469FC">
        <w:rPr>
          <w:rFonts w:ascii="Arial" w:hAnsi="Arial" w:cs="Arial"/>
          <w:bCs/>
          <w:i/>
          <w:sz w:val="26"/>
          <w:szCs w:val="26"/>
        </w:rPr>
        <w:t xml:space="preserve"> </w:t>
      </w:r>
      <w:r w:rsidRPr="006469FC">
        <w:rPr>
          <w:rFonts w:ascii="Arial" w:hAnsi="Arial" w:cs="Arial"/>
          <w:bCs/>
          <w:sz w:val="26"/>
          <w:szCs w:val="26"/>
        </w:rPr>
        <w:t xml:space="preserve">por el artículo 1 de la Constitución Federal y el 64 de la Ley de Pensiones para los Trabajadores del Estado, aplicado de manera extensiva. </w:t>
      </w:r>
    </w:p>
    <w:p w:rsidR="001A153D" w:rsidRPr="006469FC" w:rsidRDefault="001A153D" w:rsidP="001A153D">
      <w:pPr>
        <w:spacing w:line="360" w:lineRule="auto"/>
        <w:ind w:firstLine="709"/>
        <w:jc w:val="both"/>
        <w:rPr>
          <w:rFonts w:ascii="Arial" w:hAnsi="Arial" w:cs="Arial"/>
          <w:bCs/>
          <w:sz w:val="26"/>
          <w:szCs w:val="26"/>
        </w:rPr>
      </w:pPr>
      <w:r w:rsidRPr="006469FC">
        <w:rPr>
          <w:rFonts w:ascii="Arial" w:hAnsi="Arial" w:cs="Arial"/>
          <w:bCs/>
          <w:sz w:val="26"/>
          <w:szCs w:val="26"/>
        </w:rPr>
        <w:t>Manifiesta que</w:t>
      </w:r>
      <w:r>
        <w:rPr>
          <w:rFonts w:ascii="Arial" w:hAnsi="Arial" w:cs="Arial"/>
          <w:bCs/>
          <w:sz w:val="26"/>
          <w:szCs w:val="26"/>
        </w:rPr>
        <w:t>,</w:t>
      </w:r>
      <w:r w:rsidRPr="006469FC">
        <w:rPr>
          <w:rFonts w:ascii="Arial" w:hAnsi="Arial" w:cs="Arial"/>
          <w:bCs/>
          <w:sz w:val="26"/>
          <w:szCs w:val="26"/>
        </w:rPr>
        <w:t xml:space="preserve"> es ilegal que la Primera Instancia haya determinado no condenar a la demandada respecto del pago de intereses a razón de la tasa de interés interbancaria de equilibrio vigente más cinco puntos. </w:t>
      </w:r>
    </w:p>
    <w:p w:rsidR="001A153D" w:rsidRPr="006469FC" w:rsidRDefault="001A153D" w:rsidP="001A153D">
      <w:pPr>
        <w:spacing w:line="360" w:lineRule="auto"/>
        <w:ind w:firstLine="709"/>
        <w:jc w:val="both"/>
        <w:rPr>
          <w:rFonts w:ascii="Arial" w:hAnsi="Arial" w:cs="Arial"/>
          <w:bCs/>
          <w:sz w:val="26"/>
          <w:szCs w:val="26"/>
        </w:rPr>
      </w:pPr>
      <w:r w:rsidRPr="006469FC">
        <w:rPr>
          <w:rFonts w:ascii="Arial" w:hAnsi="Arial" w:cs="Arial"/>
          <w:bCs/>
          <w:sz w:val="26"/>
          <w:szCs w:val="26"/>
        </w:rPr>
        <w:t>Para sostener esto, indica que en términos del artículo 64 de la Ley de Pensiones de los Trabajadores del Estado</w:t>
      </w:r>
      <w:r>
        <w:rPr>
          <w:rFonts w:ascii="Arial" w:hAnsi="Arial" w:cs="Arial"/>
          <w:bCs/>
          <w:sz w:val="26"/>
          <w:szCs w:val="26"/>
        </w:rPr>
        <w:t>,</w:t>
      </w:r>
      <w:r w:rsidRPr="006469FC">
        <w:rPr>
          <w:rFonts w:ascii="Arial" w:hAnsi="Arial" w:cs="Arial"/>
          <w:bCs/>
          <w:sz w:val="26"/>
          <w:szCs w:val="26"/>
        </w:rPr>
        <w:t xml:space="preserve"> un empleado puede reanudar el disfrute de sus derechos y beneficios, siempre y cuando reintegre el importe de los descuentos retirados más los intereses que </w:t>
      </w:r>
      <w:r w:rsidRPr="006469FC">
        <w:rPr>
          <w:rFonts w:ascii="Arial" w:hAnsi="Arial" w:cs="Arial"/>
          <w:bCs/>
          <w:sz w:val="26"/>
          <w:szCs w:val="26"/>
        </w:rPr>
        <w:lastRenderedPageBreak/>
        <w:t xml:space="preserve">se calcularán con la tasa que resulte de añadir cinco puntos a la tasa de interés interbancaria de equilibrio vigente en la fecha de su devolución. </w:t>
      </w:r>
    </w:p>
    <w:p w:rsidR="001A153D" w:rsidRPr="006469FC" w:rsidRDefault="001A153D" w:rsidP="001A153D">
      <w:pPr>
        <w:spacing w:line="360" w:lineRule="auto"/>
        <w:ind w:firstLine="709"/>
        <w:jc w:val="both"/>
        <w:rPr>
          <w:rFonts w:ascii="Arial" w:hAnsi="Arial" w:cs="Arial"/>
          <w:bCs/>
          <w:sz w:val="26"/>
          <w:szCs w:val="26"/>
        </w:rPr>
      </w:pPr>
      <w:r w:rsidRPr="006469FC">
        <w:rPr>
          <w:rFonts w:ascii="Arial" w:hAnsi="Arial" w:cs="Arial"/>
          <w:bCs/>
          <w:sz w:val="26"/>
          <w:szCs w:val="26"/>
        </w:rPr>
        <w:t>También menciona que el artículo 64 de la Ley de Pensiones de los Trabajadores del Estado</w:t>
      </w:r>
      <w:r>
        <w:rPr>
          <w:rFonts w:ascii="Arial" w:hAnsi="Arial" w:cs="Arial"/>
          <w:bCs/>
          <w:sz w:val="26"/>
          <w:szCs w:val="26"/>
        </w:rPr>
        <w:t>,</w:t>
      </w:r>
      <w:r w:rsidRPr="006469FC">
        <w:rPr>
          <w:rFonts w:ascii="Arial" w:hAnsi="Arial" w:cs="Arial"/>
          <w:bCs/>
          <w:sz w:val="26"/>
          <w:szCs w:val="26"/>
        </w:rPr>
        <w:t xml:space="preserve"> exige este reintegro de los descuentos con una adición de los intereses</w:t>
      </w:r>
      <w:r>
        <w:rPr>
          <w:rFonts w:ascii="Arial" w:hAnsi="Arial" w:cs="Arial"/>
          <w:bCs/>
          <w:sz w:val="26"/>
          <w:szCs w:val="26"/>
        </w:rPr>
        <w:t>,</w:t>
      </w:r>
      <w:r w:rsidRPr="006469FC">
        <w:rPr>
          <w:rFonts w:ascii="Arial" w:hAnsi="Arial" w:cs="Arial"/>
          <w:bCs/>
          <w:sz w:val="26"/>
          <w:szCs w:val="26"/>
        </w:rPr>
        <w:t xml:space="preserve"> porque el dinero que recibió el trabajador como devolución de lo que aportó al Fondo de Pensiones, no tiene el mismo valor adquisitivo cuando el trabajador lo reintegra al citado fondo, porque el dinero pierde su valor con el tiempo al sufrir los efectos de la inflación, </w:t>
      </w:r>
      <w:r>
        <w:rPr>
          <w:rFonts w:ascii="Arial" w:hAnsi="Arial" w:cs="Arial"/>
          <w:bCs/>
          <w:sz w:val="26"/>
          <w:szCs w:val="26"/>
        </w:rPr>
        <w:t>es decir,</w:t>
      </w:r>
      <w:r w:rsidRPr="006469FC">
        <w:rPr>
          <w:rFonts w:ascii="Arial" w:hAnsi="Arial" w:cs="Arial"/>
          <w:bCs/>
          <w:sz w:val="26"/>
          <w:szCs w:val="26"/>
        </w:rPr>
        <w:t xml:space="preserve"> el dinero se devalúa por la inflación, de ello, afirma, que sea justo que el Fondo de Pensiones exija el reintegro de las devoluciones junto con los intereses calculados con base en la tasa interbancaria</w:t>
      </w:r>
      <w:r>
        <w:rPr>
          <w:rFonts w:ascii="Arial" w:hAnsi="Arial" w:cs="Arial"/>
          <w:bCs/>
          <w:sz w:val="26"/>
          <w:szCs w:val="26"/>
        </w:rPr>
        <w:t xml:space="preserve"> estandarizada</w:t>
      </w:r>
      <w:r w:rsidRPr="006469FC">
        <w:rPr>
          <w:rFonts w:ascii="Arial" w:hAnsi="Arial" w:cs="Arial"/>
          <w:bCs/>
          <w:sz w:val="26"/>
          <w:szCs w:val="26"/>
        </w:rPr>
        <w:t xml:space="preserve"> de equilibrio vigente al momento de la devolución. </w:t>
      </w:r>
    </w:p>
    <w:p w:rsidR="001A153D" w:rsidRDefault="001A153D" w:rsidP="001A153D">
      <w:pPr>
        <w:spacing w:line="360" w:lineRule="auto"/>
        <w:ind w:firstLine="709"/>
        <w:jc w:val="both"/>
        <w:rPr>
          <w:rFonts w:ascii="Arial" w:hAnsi="Arial" w:cs="Arial"/>
          <w:bCs/>
          <w:sz w:val="26"/>
          <w:szCs w:val="26"/>
        </w:rPr>
      </w:pPr>
      <w:r w:rsidRPr="006469FC">
        <w:rPr>
          <w:rFonts w:ascii="Arial" w:hAnsi="Arial" w:cs="Arial"/>
          <w:bCs/>
          <w:sz w:val="26"/>
          <w:szCs w:val="26"/>
        </w:rPr>
        <w:t>Es po</w:t>
      </w:r>
      <w:r>
        <w:rPr>
          <w:rFonts w:ascii="Arial" w:hAnsi="Arial" w:cs="Arial"/>
          <w:bCs/>
          <w:sz w:val="26"/>
          <w:szCs w:val="26"/>
        </w:rPr>
        <w:t>r esto, menciona</w:t>
      </w:r>
      <w:r w:rsidRPr="006469FC">
        <w:rPr>
          <w:rFonts w:ascii="Arial" w:hAnsi="Arial" w:cs="Arial"/>
          <w:bCs/>
          <w:sz w:val="26"/>
          <w:szCs w:val="26"/>
        </w:rPr>
        <w:t>, que en atención al mismo principio de no discriminación establecido en el artículo 1 de la Constitución Federal, que si el trabajador reclama la devolución de las cantidades que aportó al fondo de pensiones, debido a que es dinero de su propiedad, el valor de las cantidades que le han sido descontadas tienen un valor distinto en el momento de su descuento al momento en que le sean devueltas, debido</w:t>
      </w:r>
      <w:r>
        <w:rPr>
          <w:rFonts w:ascii="Arial" w:hAnsi="Arial" w:cs="Arial"/>
          <w:bCs/>
          <w:sz w:val="26"/>
          <w:szCs w:val="26"/>
        </w:rPr>
        <w:t xml:space="preserve"> al valor inflacionario. </w:t>
      </w:r>
    </w:p>
    <w:p w:rsidR="001A153D" w:rsidRPr="006469FC" w:rsidRDefault="001A153D" w:rsidP="001A153D">
      <w:pPr>
        <w:spacing w:line="360" w:lineRule="auto"/>
        <w:ind w:firstLine="709"/>
        <w:jc w:val="both"/>
        <w:rPr>
          <w:rFonts w:ascii="Arial" w:hAnsi="Arial" w:cs="Arial"/>
          <w:bCs/>
          <w:sz w:val="26"/>
          <w:szCs w:val="26"/>
        </w:rPr>
      </w:pPr>
      <w:r>
        <w:rPr>
          <w:rFonts w:ascii="Arial" w:hAnsi="Arial" w:cs="Arial"/>
          <w:bCs/>
          <w:sz w:val="26"/>
          <w:szCs w:val="26"/>
        </w:rPr>
        <w:t>Por lo anteriormente mencionado</w:t>
      </w:r>
      <w:r w:rsidRPr="006469FC">
        <w:rPr>
          <w:rFonts w:ascii="Arial" w:hAnsi="Arial" w:cs="Arial"/>
          <w:bCs/>
          <w:sz w:val="26"/>
          <w:szCs w:val="26"/>
        </w:rPr>
        <w:t xml:space="preserve">, en mérito del principio de igualdad ante la ley, se debió de condenar a la enjuiciada al pago de los descuentos a razón de la tasa de interés interbancaria de equilibrio vigente </w:t>
      </w:r>
      <w:r>
        <w:rPr>
          <w:rFonts w:ascii="Arial" w:hAnsi="Arial" w:cs="Arial"/>
          <w:bCs/>
          <w:sz w:val="26"/>
          <w:szCs w:val="26"/>
        </w:rPr>
        <w:t xml:space="preserve">al momento de hacer </w:t>
      </w:r>
      <w:r w:rsidRPr="006469FC">
        <w:rPr>
          <w:rFonts w:ascii="Arial" w:hAnsi="Arial" w:cs="Arial"/>
          <w:bCs/>
          <w:sz w:val="26"/>
          <w:szCs w:val="26"/>
        </w:rPr>
        <w:t>la devolución más cinco puntos, por ser la tasa de interés que la propia Ley de Pensiones de los Trabajadores del Estado fija en su artículo 64</w:t>
      </w:r>
      <w:r>
        <w:rPr>
          <w:rFonts w:ascii="Arial" w:hAnsi="Arial" w:cs="Arial"/>
          <w:bCs/>
          <w:sz w:val="26"/>
          <w:szCs w:val="26"/>
        </w:rPr>
        <w:t>,</w:t>
      </w:r>
      <w:r w:rsidRPr="006469FC">
        <w:rPr>
          <w:rFonts w:ascii="Arial" w:hAnsi="Arial" w:cs="Arial"/>
          <w:bCs/>
          <w:sz w:val="26"/>
          <w:szCs w:val="26"/>
        </w:rPr>
        <w:t xml:space="preserve"> cuando el trabajador reintegra al Fondo de Pensiones el dinero que le había sido devuelto por haberse separado del servicio.</w:t>
      </w:r>
    </w:p>
    <w:p w:rsidR="001A153D" w:rsidRPr="006469FC" w:rsidRDefault="001A153D" w:rsidP="001A153D">
      <w:pPr>
        <w:spacing w:line="360" w:lineRule="auto"/>
        <w:ind w:firstLine="709"/>
        <w:jc w:val="both"/>
        <w:rPr>
          <w:rFonts w:ascii="Arial" w:hAnsi="Arial" w:cs="Arial"/>
          <w:bCs/>
          <w:sz w:val="26"/>
          <w:szCs w:val="26"/>
        </w:rPr>
      </w:pPr>
      <w:r w:rsidRPr="006469FC">
        <w:rPr>
          <w:rFonts w:ascii="Arial" w:hAnsi="Arial" w:cs="Arial"/>
          <w:bCs/>
          <w:sz w:val="26"/>
          <w:szCs w:val="26"/>
        </w:rPr>
        <w:t>Continú</w:t>
      </w:r>
      <w:r>
        <w:rPr>
          <w:rFonts w:ascii="Arial" w:hAnsi="Arial" w:cs="Arial"/>
          <w:bCs/>
          <w:sz w:val="26"/>
          <w:szCs w:val="26"/>
        </w:rPr>
        <w:t>a sus expresiones argumentando,</w:t>
      </w:r>
      <w:r w:rsidRPr="006469FC">
        <w:rPr>
          <w:rFonts w:ascii="Arial" w:hAnsi="Arial" w:cs="Arial"/>
          <w:bCs/>
          <w:sz w:val="26"/>
          <w:szCs w:val="26"/>
        </w:rPr>
        <w:t xml:space="preserve"> que es ilegal que la Sala de primera instancia haya resuelto no otorgar el pago de intereses a razón de la tasa de interés interbancaria de equilibrio más cinco puntos, bajo la consideración de que no realizó concepto de impugnación alguno</w:t>
      </w:r>
      <w:r>
        <w:rPr>
          <w:rFonts w:ascii="Arial" w:hAnsi="Arial" w:cs="Arial"/>
          <w:bCs/>
          <w:sz w:val="26"/>
          <w:szCs w:val="26"/>
        </w:rPr>
        <w:t>,</w:t>
      </w:r>
      <w:r w:rsidRPr="006469FC">
        <w:rPr>
          <w:rFonts w:ascii="Arial" w:hAnsi="Arial" w:cs="Arial"/>
          <w:bCs/>
          <w:sz w:val="26"/>
          <w:szCs w:val="26"/>
        </w:rPr>
        <w:t xml:space="preserve"> y por no haber ofrecido pruebas para acreditar la tasa de interés interbancario (TIIE) a veintiocho días que determina el Banco de México</w:t>
      </w:r>
      <w:r>
        <w:rPr>
          <w:rFonts w:ascii="Arial" w:hAnsi="Arial" w:cs="Arial"/>
          <w:bCs/>
          <w:sz w:val="26"/>
          <w:szCs w:val="26"/>
        </w:rPr>
        <w:t>,</w:t>
      </w:r>
      <w:r w:rsidRPr="006469FC">
        <w:rPr>
          <w:rFonts w:ascii="Arial" w:hAnsi="Arial" w:cs="Arial"/>
          <w:bCs/>
          <w:sz w:val="26"/>
          <w:szCs w:val="26"/>
        </w:rPr>
        <w:t xml:space="preserve"> con base en cotizaciones presentadas por las instituciones de crédito. </w:t>
      </w:r>
    </w:p>
    <w:p w:rsidR="001A153D" w:rsidRPr="006469FC" w:rsidRDefault="001A153D" w:rsidP="001A153D">
      <w:pPr>
        <w:spacing w:line="360" w:lineRule="auto"/>
        <w:ind w:firstLine="709"/>
        <w:jc w:val="both"/>
        <w:rPr>
          <w:rFonts w:ascii="Arial" w:hAnsi="Arial" w:cs="Arial"/>
          <w:bCs/>
          <w:sz w:val="26"/>
          <w:szCs w:val="26"/>
        </w:rPr>
      </w:pPr>
      <w:r w:rsidRPr="006469FC">
        <w:rPr>
          <w:rFonts w:ascii="Arial" w:hAnsi="Arial" w:cs="Arial"/>
          <w:bCs/>
          <w:sz w:val="26"/>
          <w:szCs w:val="26"/>
        </w:rPr>
        <w:t>Esto</w:t>
      </w:r>
      <w:r>
        <w:rPr>
          <w:rFonts w:ascii="Arial" w:hAnsi="Arial" w:cs="Arial"/>
          <w:bCs/>
          <w:sz w:val="26"/>
          <w:szCs w:val="26"/>
        </w:rPr>
        <w:t>,</w:t>
      </w:r>
      <w:r w:rsidRPr="006469FC">
        <w:rPr>
          <w:rFonts w:ascii="Arial" w:hAnsi="Arial" w:cs="Arial"/>
          <w:bCs/>
          <w:sz w:val="26"/>
          <w:szCs w:val="26"/>
        </w:rPr>
        <w:t xml:space="preserve"> porque dice que para acreditar la tasa interbancaria de equilibrio</w:t>
      </w:r>
      <w:r>
        <w:rPr>
          <w:rFonts w:ascii="Arial" w:hAnsi="Arial" w:cs="Arial"/>
          <w:bCs/>
          <w:sz w:val="26"/>
          <w:szCs w:val="26"/>
        </w:rPr>
        <w:t>,</w:t>
      </w:r>
      <w:r w:rsidRPr="006469FC">
        <w:rPr>
          <w:rFonts w:ascii="Arial" w:hAnsi="Arial" w:cs="Arial"/>
          <w:bCs/>
          <w:sz w:val="26"/>
          <w:szCs w:val="26"/>
        </w:rPr>
        <w:t xml:space="preserve"> no era necesario expresar concepto de impugnación alguno</w:t>
      </w:r>
      <w:r>
        <w:rPr>
          <w:rFonts w:ascii="Arial" w:hAnsi="Arial" w:cs="Arial"/>
          <w:bCs/>
          <w:sz w:val="26"/>
          <w:szCs w:val="26"/>
        </w:rPr>
        <w:t>;</w:t>
      </w:r>
      <w:r w:rsidRPr="006469FC">
        <w:rPr>
          <w:rFonts w:ascii="Arial" w:hAnsi="Arial" w:cs="Arial"/>
          <w:bCs/>
          <w:sz w:val="26"/>
          <w:szCs w:val="26"/>
        </w:rPr>
        <w:t xml:space="preserve"> </w:t>
      </w:r>
      <w:r w:rsidRPr="006469FC">
        <w:rPr>
          <w:rFonts w:ascii="Arial" w:hAnsi="Arial" w:cs="Arial"/>
          <w:bCs/>
          <w:sz w:val="26"/>
          <w:szCs w:val="26"/>
        </w:rPr>
        <w:lastRenderedPageBreak/>
        <w:t>porque en el acto impugnado</w:t>
      </w:r>
      <w:r>
        <w:rPr>
          <w:rFonts w:ascii="Arial" w:hAnsi="Arial" w:cs="Arial"/>
          <w:bCs/>
          <w:sz w:val="26"/>
          <w:szCs w:val="26"/>
        </w:rPr>
        <w:t>,</w:t>
      </w:r>
      <w:r w:rsidRPr="006469FC">
        <w:rPr>
          <w:rFonts w:ascii="Arial" w:hAnsi="Arial" w:cs="Arial"/>
          <w:bCs/>
          <w:sz w:val="26"/>
          <w:szCs w:val="26"/>
        </w:rPr>
        <w:t xml:space="preserve"> no </w:t>
      </w:r>
      <w:r>
        <w:rPr>
          <w:rFonts w:ascii="Arial" w:hAnsi="Arial" w:cs="Arial"/>
          <w:bCs/>
          <w:sz w:val="26"/>
          <w:szCs w:val="26"/>
        </w:rPr>
        <w:t>se</w:t>
      </w:r>
      <w:r w:rsidRPr="006469FC">
        <w:rPr>
          <w:rFonts w:ascii="Arial" w:hAnsi="Arial" w:cs="Arial"/>
          <w:bCs/>
          <w:sz w:val="26"/>
          <w:szCs w:val="26"/>
        </w:rPr>
        <w:t xml:space="preserve"> pronunci</w:t>
      </w:r>
      <w:r>
        <w:rPr>
          <w:rFonts w:ascii="Arial" w:hAnsi="Arial" w:cs="Arial"/>
          <w:bCs/>
          <w:sz w:val="26"/>
          <w:szCs w:val="26"/>
        </w:rPr>
        <w:t>ó la demandada</w:t>
      </w:r>
      <w:r w:rsidRPr="006469FC">
        <w:rPr>
          <w:rFonts w:ascii="Arial" w:hAnsi="Arial" w:cs="Arial"/>
          <w:bCs/>
          <w:sz w:val="26"/>
          <w:szCs w:val="26"/>
        </w:rPr>
        <w:t xml:space="preserve"> sobre la entrega o no de intereses</w:t>
      </w:r>
      <w:r>
        <w:rPr>
          <w:rFonts w:ascii="Arial" w:hAnsi="Arial" w:cs="Arial"/>
          <w:bCs/>
          <w:sz w:val="26"/>
          <w:szCs w:val="26"/>
        </w:rPr>
        <w:t xml:space="preserve"> a razón de la tasa ya indicada</w:t>
      </w:r>
      <w:r w:rsidRPr="006469FC">
        <w:rPr>
          <w:rFonts w:ascii="Arial" w:hAnsi="Arial" w:cs="Arial"/>
          <w:bCs/>
          <w:sz w:val="26"/>
          <w:szCs w:val="26"/>
        </w:rPr>
        <w:t xml:space="preserve">. Además, </w:t>
      </w:r>
      <w:r>
        <w:rPr>
          <w:rFonts w:ascii="Arial" w:hAnsi="Arial" w:cs="Arial"/>
          <w:bCs/>
          <w:sz w:val="26"/>
          <w:szCs w:val="26"/>
        </w:rPr>
        <w:t xml:space="preserve">argumentó que demandó </w:t>
      </w:r>
      <w:r w:rsidRPr="006469FC">
        <w:rPr>
          <w:rFonts w:ascii="Arial" w:hAnsi="Arial" w:cs="Arial"/>
          <w:bCs/>
          <w:sz w:val="26"/>
          <w:szCs w:val="26"/>
        </w:rPr>
        <w:t xml:space="preserve">el pago de los </w:t>
      </w:r>
      <w:r>
        <w:rPr>
          <w:rFonts w:ascii="Arial" w:hAnsi="Arial" w:cs="Arial"/>
          <w:bCs/>
          <w:sz w:val="26"/>
          <w:szCs w:val="26"/>
        </w:rPr>
        <w:t>i</w:t>
      </w:r>
      <w:r w:rsidRPr="006469FC">
        <w:rPr>
          <w:rFonts w:ascii="Arial" w:hAnsi="Arial" w:cs="Arial"/>
          <w:bCs/>
          <w:sz w:val="26"/>
          <w:szCs w:val="26"/>
        </w:rPr>
        <w:t xml:space="preserve">ntereses </w:t>
      </w:r>
      <w:r>
        <w:rPr>
          <w:rFonts w:ascii="Arial" w:hAnsi="Arial" w:cs="Arial"/>
          <w:bCs/>
          <w:sz w:val="26"/>
          <w:szCs w:val="26"/>
        </w:rPr>
        <w:t xml:space="preserve">indicados con base en lo </w:t>
      </w:r>
      <w:r w:rsidRPr="006469FC">
        <w:rPr>
          <w:rFonts w:ascii="Arial" w:hAnsi="Arial" w:cs="Arial"/>
          <w:bCs/>
          <w:sz w:val="26"/>
          <w:szCs w:val="26"/>
        </w:rPr>
        <w:t>expresamente señala</w:t>
      </w:r>
      <w:r>
        <w:rPr>
          <w:rFonts w:ascii="Arial" w:hAnsi="Arial" w:cs="Arial"/>
          <w:bCs/>
          <w:sz w:val="26"/>
          <w:szCs w:val="26"/>
        </w:rPr>
        <w:t>do por</w:t>
      </w:r>
      <w:r w:rsidRPr="006469FC">
        <w:rPr>
          <w:rFonts w:ascii="Arial" w:hAnsi="Arial" w:cs="Arial"/>
          <w:bCs/>
          <w:sz w:val="26"/>
          <w:szCs w:val="26"/>
        </w:rPr>
        <w:t xml:space="preserve"> el artículo 64 de la Ley de Pensiones de los Trabajadores del Estado con relación al pago de intereses al fondo de pensiones, aplicado de manera extensiva a los trabajadores de confianza que exigen la devolución de las cantidades de dinero que les fueron descontadas. </w:t>
      </w:r>
    </w:p>
    <w:p w:rsidR="001A153D" w:rsidRPr="006469FC" w:rsidRDefault="001A153D" w:rsidP="001A153D">
      <w:pPr>
        <w:spacing w:line="360" w:lineRule="auto"/>
        <w:ind w:firstLine="709"/>
        <w:jc w:val="both"/>
        <w:rPr>
          <w:rFonts w:ascii="Arial" w:hAnsi="Arial" w:cs="Arial"/>
          <w:bCs/>
          <w:sz w:val="26"/>
          <w:szCs w:val="26"/>
        </w:rPr>
      </w:pPr>
      <w:r>
        <w:rPr>
          <w:rFonts w:ascii="Arial" w:hAnsi="Arial" w:cs="Arial"/>
          <w:bCs/>
          <w:sz w:val="26"/>
          <w:szCs w:val="26"/>
        </w:rPr>
        <w:t>Menciona que, también es ilegal que la S</w:t>
      </w:r>
      <w:r w:rsidRPr="006469FC">
        <w:rPr>
          <w:rFonts w:ascii="Arial" w:hAnsi="Arial" w:cs="Arial"/>
          <w:bCs/>
          <w:sz w:val="26"/>
          <w:szCs w:val="26"/>
        </w:rPr>
        <w:t>ala haya determinado que no concede el pago de los referidos inter</w:t>
      </w:r>
      <w:r>
        <w:rPr>
          <w:rFonts w:ascii="Arial" w:hAnsi="Arial" w:cs="Arial"/>
          <w:bCs/>
          <w:sz w:val="26"/>
          <w:szCs w:val="26"/>
        </w:rPr>
        <w:t>eses, debido a que no se presentaron</w:t>
      </w:r>
      <w:r w:rsidRPr="006469FC">
        <w:rPr>
          <w:rFonts w:ascii="Arial" w:hAnsi="Arial" w:cs="Arial"/>
          <w:bCs/>
          <w:sz w:val="26"/>
          <w:szCs w:val="26"/>
        </w:rPr>
        <w:t xml:space="preserve"> pruebas para acreditar la tasa de interés interbancario de equili</w:t>
      </w:r>
      <w:r>
        <w:rPr>
          <w:rFonts w:ascii="Arial" w:hAnsi="Arial" w:cs="Arial"/>
          <w:bCs/>
          <w:sz w:val="26"/>
          <w:szCs w:val="26"/>
        </w:rPr>
        <w:t>brio, ni se</w:t>
      </w:r>
      <w:r w:rsidRPr="006469FC">
        <w:rPr>
          <w:rFonts w:ascii="Arial" w:hAnsi="Arial" w:cs="Arial"/>
          <w:bCs/>
          <w:sz w:val="26"/>
          <w:szCs w:val="26"/>
        </w:rPr>
        <w:t xml:space="preserve"> señal</w:t>
      </w:r>
      <w:r>
        <w:rPr>
          <w:rFonts w:ascii="Arial" w:hAnsi="Arial" w:cs="Arial"/>
          <w:bCs/>
          <w:sz w:val="26"/>
          <w:szCs w:val="26"/>
        </w:rPr>
        <w:t>ó</w:t>
      </w:r>
      <w:r w:rsidRPr="006469FC">
        <w:rPr>
          <w:rFonts w:ascii="Arial" w:hAnsi="Arial" w:cs="Arial"/>
          <w:bCs/>
          <w:sz w:val="26"/>
          <w:szCs w:val="26"/>
        </w:rPr>
        <w:t xml:space="preserve"> el procedimiento </w:t>
      </w:r>
      <w:r>
        <w:rPr>
          <w:rFonts w:ascii="Arial" w:hAnsi="Arial" w:cs="Arial"/>
          <w:bCs/>
          <w:sz w:val="26"/>
          <w:szCs w:val="26"/>
        </w:rPr>
        <w:t xml:space="preserve">para su cálculo, </w:t>
      </w:r>
      <w:r w:rsidRPr="006469FC">
        <w:rPr>
          <w:rFonts w:ascii="Arial" w:hAnsi="Arial" w:cs="Arial"/>
          <w:bCs/>
          <w:sz w:val="26"/>
          <w:szCs w:val="26"/>
        </w:rPr>
        <w:t>porque esa tasa es calculada por el Banco de México</w:t>
      </w:r>
      <w:r>
        <w:rPr>
          <w:rFonts w:ascii="Arial" w:hAnsi="Arial" w:cs="Arial"/>
          <w:bCs/>
          <w:sz w:val="26"/>
          <w:szCs w:val="26"/>
        </w:rPr>
        <w:t>,</w:t>
      </w:r>
      <w:r w:rsidRPr="006469FC">
        <w:rPr>
          <w:rFonts w:ascii="Arial" w:hAnsi="Arial" w:cs="Arial"/>
          <w:bCs/>
          <w:sz w:val="26"/>
          <w:szCs w:val="26"/>
        </w:rPr>
        <w:t xml:space="preserve"> con base en cotizaciones presentadas por las instituciones de crédito, teniendo como fecha de inicio la publicación del Diario Oficial de la Federación. Que el procedimiento de cálculo se encuentra en el Título Tercero Capítulo IV de la Circular 3/2012 emitida por el Banco de México y el Diario Oficial de la Federación de 23 veintitrés de marzo de 1995, por lo que dice, contrario a lo decidido por la sala primigenia</w:t>
      </w:r>
      <w:r>
        <w:rPr>
          <w:rFonts w:ascii="Arial" w:hAnsi="Arial" w:cs="Arial"/>
          <w:bCs/>
          <w:sz w:val="26"/>
          <w:szCs w:val="26"/>
        </w:rPr>
        <w:t>,</w:t>
      </w:r>
      <w:r w:rsidRPr="006469FC">
        <w:rPr>
          <w:rFonts w:ascii="Arial" w:hAnsi="Arial" w:cs="Arial"/>
          <w:bCs/>
          <w:sz w:val="26"/>
          <w:szCs w:val="26"/>
        </w:rPr>
        <w:t xml:space="preserve"> era innecesaria la demostración de la tasa y del procedimiento para su cálculo. </w:t>
      </w:r>
    </w:p>
    <w:p w:rsidR="001A153D" w:rsidRPr="006469FC" w:rsidRDefault="001A153D" w:rsidP="001A153D">
      <w:pPr>
        <w:spacing w:line="360" w:lineRule="auto"/>
        <w:ind w:firstLine="709"/>
        <w:jc w:val="both"/>
        <w:rPr>
          <w:rFonts w:ascii="Arial" w:hAnsi="Arial" w:cs="Arial"/>
          <w:bCs/>
          <w:sz w:val="26"/>
          <w:szCs w:val="26"/>
        </w:rPr>
      </w:pPr>
      <w:r>
        <w:rPr>
          <w:rFonts w:ascii="Arial" w:hAnsi="Arial" w:cs="Arial"/>
          <w:bCs/>
          <w:sz w:val="26"/>
          <w:szCs w:val="26"/>
        </w:rPr>
        <w:t>El recurrente concluye</w:t>
      </w:r>
      <w:r w:rsidRPr="006469FC">
        <w:rPr>
          <w:rFonts w:ascii="Arial" w:hAnsi="Arial" w:cs="Arial"/>
          <w:bCs/>
          <w:sz w:val="26"/>
          <w:szCs w:val="26"/>
        </w:rPr>
        <w:t xml:space="preserve"> sus argumentos</w:t>
      </w:r>
      <w:r>
        <w:rPr>
          <w:rFonts w:ascii="Arial" w:hAnsi="Arial" w:cs="Arial"/>
          <w:bCs/>
          <w:sz w:val="26"/>
          <w:szCs w:val="26"/>
        </w:rPr>
        <w:t>,</w:t>
      </w:r>
      <w:r w:rsidRPr="006469FC">
        <w:rPr>
          <w:rFonts w:ascii="Arial" w:hAnsi="Arial" w:cs="Arial"/>
          <w:bCs/>
          <w:sz w:val="26"/>
          <w:szCs w:val="26"/>
        </w:rPr>
        <w:t xml:space="preserve"> indicando que el cálculo de la cantidad que representa el pago de los intereses a razón de interés interbancario de equilibrio</w:t>
      </w:r>
      <w:r>
        <w:rPr>
          <w:rFonts w:ascii="Arial" w:hAnsi="Arial" w:cs="Arial"/>
          <w:bCs/>
          <w:sz w:val="26"/>
          <w:szCs w:val="26"/>
        </w:rPr>
        <w:t>,</w:t>
      </w:r>
      <w:r w:rsidRPr="006469FC">
        <w:rPr>
          <w:rFonts w:ascii="Arial" w:hAnsi="Arial" w:cs="Arial"/>
          <w:bCs/>
          <w:sz w:val="26"/>
          <w:szCs w:val="26"/>
        </w:rPr>
        <w:t xml:space="preserve"> deberá establecerse en la etapa de ejecución de sentencia, porque deberá actualizarse al momento en que esté vigente, porque la tasa interbancaria no es la misma que aquélla cuando se presentó la demanda. </w:t>
      </w:r>
    </w:p>
    <w:p w:rsidR="001A153D" w:rsidRPr="006469FC" w:rsidRDefault="001A153D" w:rsidP="001A153D">
      <w:pPr>
        <w:spacing w:line="360" w:lineRule="auto"/>
        <w:ind w:right="778"/>
        <w:jc w:val="both"/>
        <w:rPr>
          <w:rFonts w:ascii="Arial" w:hAnsi="Arial" w:cs="Arial"/>
          <w:sz w:val="26"/>
          <w:szCs w:val="26"/>
        </w:rPr>
      </w:pPr>
    </w:p>
    <w:p w:rsidR="001A153D" w:rsidRPr="006469FC" w:rsidRDefault="001A153D" w:rsidP="001A153D">
      <w:pPr>
        <w:spacing w:line="360" w:lineRule="auto"/>
        <w:ind w:right="-234" w:firstLine="709"/>
        <w:jc w:val="both"/>
        <w:rPr>
          <w:rFonts w:ascii="Arial" w:hAnsi="Arial" w:cs="Arial"/>
          <w:sz w:val="26"/>
          <w:szCs w:val="26"/>
        </w:rPr>
      </w:pPr>
      <w:r w:rsidRPr="006469FC">
        <w:rPr>
          <w:rFonts w:ascii="Arial" w:hAnsi="Arial" w:cs="Arial"/>
          <w:sz w:val="26"/>
          <w:szCs w:val="26"/>
        </w:rPr>
        <w:t>Debiendo actualizarse esta última cantidad hasta el cumplimiento de la sentencia.</w:t>
      </w:r>
    </w:p>
    <w:p w:rsidR="001A153D" w:rsidRPr="006469FC" w:rsidRDefault="001A153D" w:rsidP="001A153D">
      <w:pPr>
        <w:spacing w:line="360" w:lineRule="auto"/>
        <w:ind w:right="-234" w:firstLine="709"/>
        <w:jc w:val="both"/>
        <w:rPr>
          <w:rFonts w:ascii="Arial" w:hAnsi="Arial" w:cs="Arial"/>
          <w:sz w:val="26"/>
          <w:szCs w:val="26"/>
        </w:rPr>
      </w:pPr>
      <w:r w:rsidRPr="002C543C">
        <w:rPr>
          <w:rFonts w:ascii="Arial" w:hAnsi="Arial" w:cs="Arial"/>
          <w:sz w:val="26"/>
          <w:szCs w:val="26"/>
        </w:rPr>
        <w:t xml:space="preserve">En ese orden de ideas, se estiman </w:t>
      </w:r>
      <w:r w:rsidRPr="002C543C">
        <w:rPr>
          <w:rFonts w:ascii="Arial" w:hAnsi="Arial" w:cs="Arial"/>
          <w:b/>
          <w:sz w:val="26"/>
          <w:szCs w:val="26"/>
        </w:rPr>
        <w:t>fundados</w:t>
      </w:r>
      <w:r>
        <w:rPr>
          <w:rFonts w:ascii="Arial" w:hAnsi="Arial" w:cs="Arial"/>
          <w:sz w:val="26"/>
          <w:szCs w:val="26"/>
        </w:rPr>
        <w:t xml:space="preserve"> los agravios del recurrente, por las siguientes consideraciones:</w:t>
      </w:r>
    </w:p>
    <w:p w:rsidR="001A153D" w:rsidRDefault="001A153D" w:rsidP="001A153D">
      <w:pPr>
        <w:spacing w:line="360" w:lineRule="auto"/>
        <w:ind w:right="-234" w:firstLine="567"/>
        <w:jc w:val="both"/>
        <w:rPr>
          <w:rFonts w:ascii="Arial" w:hAnsi="Arial" w:cs="Arial"/>
          <w:sz w:val="26"/>
          <w:szCs w:val="26"/>
        </w:rPr>
      </w:pPr>
      <w:r w:rsidRPr="006469FC">
        <w:rPr>
          <w:rFonts w:ascii="Arial" w:hAnsi="Arial" w:cs="Arial"/>
          <w:sz w:val="26"/>
          <w:szCs w:val="26"/>
        </w:rPr>
        <w:t>Primeramente</w:t>
      </w:r>
      <w:r>
        <w:rPr>
          <w:rFonts w:ascii="Arial" w:hAnsi="Arial" w:cs="Arial"/>
          <w:sz w:val="26"/>
          <w:szCs w:val="26"/>
        </w:rPr>
        <w:t>,</w:t>
      </w:r>
      <w:r w:rsidRPr="006469FC">
        <w:rPr>
          <w:rFonts w:ascii="Arial" w:hAnsi="Arial" w:cs="Arial"/>
          <w:sz w:val="26"/>
          <w:szCs w:val="26"/>
        </w:rPr>
        <w:t xml:space="preserve"> es importante invocar el artículo 64 de la Ley de Pensiones de los Trabajadores del Estado de Oaxaca que dispone</w:t>
      </w:r>
      <w:r>
        <w:rPr>
          <w:rFonts w:ascii="Arial" w:hAnsi="Arial" w:cs="Arial"/>
          <w:sz w:val="26"/>
          <w:szCs w:val="26"/>
        </w:rPr>
        <w:t>:</w:t>
      </w:r>
    </w:p>
    <w:p w:rsidR="00281150" w:rsidRPr="006469FC" w:rsidRDefault="00281150" w:rsidP="001A153D">
      <w:pPr>
        <w:spacing w:line="360" w:lineRule="auto"/>
        <w:ind w:right="-234" w:firstLine="567"/>
        <w:jc w:val="both"/>
        <w:rPr>
          <w:rFonts w:ascii="Arial" w:hAnsi="Arial" w:cs="Arial"/>
          <w:sz w:val="26"/>
          <w:szCs w:val="26"/>
        </w:rPr>
      </w:pPr>
    </w:p>
    <w:p w:rsidR="001A153D" w:rsidRPr="00281150" w:rsidRDefault="001A153D" w:rsidP="00281150">
      <w:pPr>
        <w:spacing w:line="276" w:lineRule="auto"/>
        <w:ind w:left="567" w:right="900"/>
        <w:jc w:val="both"/>
        <w:rPr>
          <w:rFonts w:ascii="Arial" w:hAnsi="Arial" w:cs="Arial"/>
          <w:i/>
        </w:rPr>
      </w:pPr>
      <w:r w:rsidRPr="00281150">
        <w:rPr>
          <w:rFonts w:ascii="Arial" w:hAnsi="Arial" w:cs="Arial"/>
          <w:i/>
        </w:rPr>
        <w:t>“</w:t>
      </w:r>
      <w:r w:rsidRPr="00281150">
        <w:rPr>
          <w:rFonts w:ascii="Arial" w:hAnsi="Arial" w:cs="Arial"/>
          <w:b/>
          <w:i/>
        </w:rPr>
        <w:t>Artículo 64.-</w:t>
      </w:r>
      <w:r w:rsidRPr="00281150">
        <w:rPr>
          <w:rFonts w:ascii="Arial" w:hAnsi="Arial" w:cs="Arial"/>
          <w:i/>
        </w:rPr>
        <w:t xml:space="preserve"> El trabajador de base que no tenga derecho a pensión y se separe, o sea separado definitivamente del servicio, tendrá derecho a que se le devuelvan los descuentos que se le hubieren hecho para el Fondo de Pensiones, deducidos los adeudos que tuviere pendientes con la Oficina de Pensiones. </w:t>
      </w:r>
    </w:p>
    <w:p w:rsidR="001A153D" w:rsidRDefault="001A153D" w:rsidP="00281150">
      <w:pPr>
        <w:spacing w:line="276" w:lineRule="auto"/>
        <w:ind w:left="567" w:right="900"/>
        <w:jc w:val="both"/>
        <w:rPr>
          <w:rFonts w:ascii="Arial" w:hAnsi="Arial" w:cs="Arial"/>
          <w:i/>
        </w:rPr>
      </w:pPr>
      <w:r w:rsidRPr="00281150">
        <w:rPr>
          <w:rFonts w:ascii="Arial" w:hAnsi="Arial" w:cs="Arial"/>
          <w:i/>
        </w:rPr>
        <w:lastRenderedPageBreak/>
        <w:t>Esta devolución deberá hacerse después de treinta días de la fecha de separación del trabajador y antes de que se cumplan sesenta de la fecha de presentación de la solicitud. Con la devolución de los descuentos quedarán suspendidos los derechos y beneficios de esta ley; pero en caso de que el trabajador vuelva al servicio, podrá reanudar el disfrute de sus derechos y beneficios, siempre que reintegre el importe de los descuentos retirados, más los intereses que correspondan calculados con la tasa que resulte de añadir cinco puntos a la tasa de interés interbancaria de equilibrio vigente o la tasa que la sustituya.”</w:t>
      </w:r>
    </w:p>
    <w:p w:rsidR="00D5549D" w:rsidRPr="00281150" w:rsidRDefault="00D5549D" w:rsidP="00281150">
      <w:pPr>
        <w:spacing w:line="276" w:lineRule="auto"/>
        <w:ind w:left="567" w:right="900"/>
        <w:jc w:val="both"/>
        <w:rPr>
          <w:rFonts w:ascii="Arial" w:hAnsi="Arial" w:cs="Arial"/>
          <w:i/>
        </w:rPr>
      </w:pPr>
    </w:p>
    <w:p w:rsidR="001A153D" w:rsidRPr="006469FC" w:rsidRDefault="001A153D" w:rsidP="001A153D">
      <w:pPr>
        <w:spacing w:line="360" w:lineRule="auto"/>
        <w:ind w:right="-234" w:firstLine="567"/>
        <w:jc w:val="both"/>
        <w:rPr>
          <w:rFonts w:ascii="Arial" w:hAnsi="Arial" w:cs="Arial"/>
          <w:sz w:val="26"/>
          <w:szCs w:val="26"/>
        </w:rPr>
      </w:pPr>
      <w:r w:rsidRPr="006469FC">
        <w:rPr>
          <w:rFonts w:ascii="Arial" w:hAnsi="Arial" w:cs="Arial"/>
          <w:sz w:val="26"/>
          <w:szCs w:val="26"/>
        </w:rPr>
        <w:t xml:space="preserve">El precepto legal supra citado, en el segundo párrafo, dispone que cuando un trabajador desea reincorporarse al Fondo de Pensiones, para estar en la posibilidad de tener los derechos y beneficios que concede la Ley de Pensiones en mención, debe reintegrar los descuentos que le hayan sido entregados, más los intereses que correspondan calculados con la tasa que resulte de añadir cinco puntos a la tasa de interés interbancaria de equilibrio vigente o la tasa que la sustituya. </w:t>
      </w:r>
    </w:p>
    <w:p w:rsidR="001A153D" w:rsidRDefault="001A153D" w:rsidP="001A153D">
      <w:pPr>
        <w:spacing w:line="360" w:lineRule="auto"/>
        <w:ind w:right="-234"/>
        <w:jc w:val="both"/>
        <w:rPr>
          <w:rFonts w:ascii="Arial" w:hAnsi="Arial" w:cs="Arial"/>
          <w:sz w:val="26"/>
          <w:szCs w:val="26"/>
        </w:rPr>
      </w:pPr>
      <w:r w:rsidRPr="006469FC">
        <w:rPr>
          <w:rFonts w:ascii="Arial" w:hAnsi="Arial" w:cs="Arial"/>
          <w:sz w:val="26"/>
          <w:szCs w:val="26"/>
        </w:rPr>
        <w:tab/>
      </w:r>
      <w:r w:rsidRPr="0042404B">
        <w:rPr>
          <w:rFonts w:ascii="Arial" w:hAnsi="Arial" w:cs="Arial"/>
          <w:sz w:val="26"/>
          <w:szCs w:val="26"/>
        </w:rPr>
        <w:t xml:space="preserve">Se advierte claramente que </w:t>
      </w:r>
      <w:r>
        <w:rPr>
          <w:rFonts w:ascii="Arial" w:hAnsi="Arial" w:cs="Arial"/>
          <w:sz w:val="26"/>
          <w:szCs w:val="26"/>
        </w:rPr>
        <w:t xml:space="preserve">la disposición </w:t>
      </w:r>
      <w:r w:rsidRPr="0042404B">
        <w:rPr>
          <w:rFonts w:ascii="Arial" w:hAnsi="Arial" w:cs="Arial"/>
          <w:sz w:val="26"/>
          <w:szCs w:val="26"/>
        </w:rPr>
        <w:t xml:space="preserve">legal </w:t>
      </w:r>
      <w:r>
        <w:rPr>
          <w:rFonts w:ascii="Arial" w:hAnsi="Arial" w:cs="Arial"/>
          <w:sz w:val="26"/>
          <w:szCs w:val="26"/>
        </w:rPr>
        <w:t xml:space="preserve">invocada </w:t>
      </w:r>
      <w:r w:rsidRPr="0042404B">
        <w:rPr>
          <w:rFonts w:ascii="Arial" w:hAnsi="Arial" w:cs="Arial"/>
          <w:sz w:val="26"/>
          <w:szCs w:val="26"/>
        </w:rPr>
        <w:t xml:space="preserve">impone una carga a los trabajadores que desean reincorporarse al fondo de pensiones, consistente en que deberán reintegrar los descuentos que les hayan sido devueltos así como los intereses que se hayan generado, tomando en cuenta la tasa de interés interbancaria de equilibrio (TIEE) que se encuentre vigente; de donde, se considera que el principio de no discriminación o bien el sentido positivo de dicho principio, es decir, el </w:t>
      </w:r>
      <w:r w:rsidRPr="00664D7A">
        <w:rPr>
          <w:rFonts w:ascii="Arial" w:hAnsi="Arial" w:cs="Arial"/>
          <w:b/>
          <w:i/>
          <w:sz w:val="26"/>
          <w:szCs w:val="26"/>
        </w:rPr>
        <w:t>principio de igualdad ante la ley</w:t>
      </w:r>
      <w:r w:rsidRPr="0042404B">
        <w:rPr>
          <w:rFonts w:ascii="Arial" w:hAnsi="Arial" w:cs="Arial"/>
          <w:sz w:val="26"/>
          <w:szCs w:val="26"/>
        </w:rPr>
        <w:t xml:space="preserve">, debe operar la misma carga para el Fondo de Pensiones en el sentido de que deberá devolver los descuentos que le fueron realizados al administrado con los intereses a que alude la citada disposición normativa, porque no es legal que se aplique de manera desigual un precepto legal. </w:t>
      </w:r>
    </w:p>
    <w:p w:rsidR="00D5549D" w:rsidRPr="0042404B" w:rsidRDefault="00D5549D" w:rsidP="001A153D">
      <w:pPr>
        <w:spacing w:line="360" w:lineRule="auto"/>
        <w:ind w:right="-234"/>
        <w:jc w:val="both"/>
        <w:rPr>
          <w:rFonts w:ascii="Arial" w:hAnsi="Arial" w:cs="Arial"/>
          <w:sz w:val="26"/>
          <w:szCs w:val="26"/>
        </w:rPr>
      </w:pPr>
    </w:p>
    <w:p w:rsidR="001A153D" w:rsidRPr="0042404B" w:rsidRDefault="001A153D" w:rsidP="00D5549D">
      <w:pPr>
        <w:spacing w:line="360" w:lineRule="auto"/>
        <w:ind w:right="69" w:firstLine="567"/>
        <w:jc w:val="both"/>
        <w:rPr>
          <w:rFonts w:ascii="Arial" w:hAnsi="Arial" w:cs="Arial"/>
          <w:sz w:val="26"/>
          <w:szCs w:val="26"/>
        </w:rPr>
      </w:pPr>
      <w:r w:rsidRPr="0042404B">
        <w:rPr>
          <w:rFonts w:ascii="Arial" w:hAnsi="Arial" w:cs="Arial"/>
          <w:sz w:val="26"/>
          <w:szCs w:val="26"/>
        </w:rPr>
        <w:t xml:space="preserve">A mayor abundamiento, es importante precisar en qué consiste el </w:t>
      </w:r>
      <w:r w:rsidRPr="00664D7A">
        <w:rPr>
          <w:rFonts w:ascii="Arial" w:hAnsi="Arial" w:cs="Arial"/>
          <w:b/>
          <w:i/>
          <w:sz w:val="26"/>
          <w:szCs w:val="26"/>
        </w:rPr>
        <w:t>principio de igualdad ante la ley</w:t>
      </w:r>
      <w:r w:rsidRPr="0042404B">
        <w:rPr>
          <w:rFonts w:ascii="Arial" w:hAnsi="Arial" w:cs="Arial"/>
          <w:sz w:val="26"/>
          <w:szCs w:val="26"/>
        </w:rPr>
        <w:t xml:space="preserve">. </w:t>
      </w:r>
    </w:p>
    <w:p w:rsidR="001A153D" w:rsidRPr="0042404B" w:rsidRDefault="001A153D" w:rsidP="00281150">
      <w:pPr>
        <w:spacing w:line="360" w:lineRule="auto"/>
        <w:ind w:right="69" w:firstLine="567"/>
        <w:jc w:val="both"/>
        <w:rPr>
          <w:rFonts w:ascii="Arial" w:hAnsi="Arial" w:cs="Arial"/>
          <w:sz w:val="26"/>
          <w:szCs w:val="26"/>
        </w:rPr>
      </w:pPr>
      <w:r w:rsidRPr="0042404B">
        <w:rPr>
          <w:rFonts w:ascii="Arial" w:hAnsi="Arial" w:cs="Arial"/>
          <w:sz w:val="26"/>
          <w:szCs w:val="26"/>
        </w:rPr>
        <w:t>La Primera Sala de la Suprema Corte de Justicia de la Nación se ha pronunciado al respecto, en los siguientes términos:</w:t>
      </w:r>
    </w:p>
    <w:p w:rsidR="001A153D" w:rsidRPr="00281150" w:rsidRDefault="001A153D" w:rsidP="00281150">
      <w:pPr>
        <w:spacing w:line="276" w:lineRule="auto"/>
        <w:ind w:left="567" w:right="474"/>
        <w:jc w:val="both"/>
        <w:rPr>
          <w:rFonts w:ascii="Arial" w:hAnsi="Arial" w:cs="Arial"/>
          <w:i/>
        </w:rPr>
      </w:pPr>
      <w:r w:rsidRPr="00281150">
        <w:rPr>
          <w:rFonts w:ascii="Arial" w:hAnsi="Arial" w:cs="Arial"/>
          <w:i/>
        </w:rPr>
        <w:t xml:space="preserve">El principio de igualdad se configura como uno de los valores superiores del orden jurídico, lo que significa que ha de servir de criterio básico para la producción normativa y su posterior interpretación y aplicación, y si bien es cierto que el verdadero sentido de la igualdad es colocar a los particulares en condiciones de poder acceder a derechos reconocidos constitucionalmente, lo que implica eliminar situaciones de desigualdad manifiesta, ello no significa que todos los individuos deban ser iguales en todo, ya que si la propia Constitución protege la propiedad privada, la libertad económica y otros derechos patrimoniales, está aceptando implícitamente la existencia de desigualdades materiales y económicas; es decir, el principio de igualdad no implica que todos los sujetos de la norma se encuentren siempre, en todo momento y ante cualquier circunstancia, en condiciones de absoluta igualdad, sino que dicho </w:t>
      </w:r>
      <w:r w:rsidRPr="00281150">
        <w:rPr>
          <w:rFonts w:ascii="Arial" w:hAnsi="Arial" w:cs="Arial"/>
          <w:i/>
        </w:rPr>
        <w:lastRenderedPageBreak/>
        <w:t xml:space="preserve">principio se refiere a la igualdad jurídica, que debe traducirse en la seguridad de no tener que soportar un perjuicio (o privarse de un beneficio) desigual e injustificado </w:t>
      </w:r>
      <w:r w:rsidRPr="00281150">
        <w:rPr>
          <w:rStyle w:val="Refdenotaalpie"/>
          <w:rFonts w:ascii="Arial" w:hAnsi="Arial" w:cs="Arial"/>
          <w:i/>
        </w:rPr>
        <w:footnoteReference w:id="1"/>
      </w:r>
      <w:r w:rsidRPr="00281150">
        <w:rPr>
          <w:rFonts w:ascii="Arial" w:hAnsi="Arial" w:cs="Arial"/>
          <w:i/>
        </w:rPr>
        <w:t xml:space="preserve">. </w:t>
      </w:r>
    </w:p>
    <w:p w:rsidR="001A153D" w:rsidRPr="00C320CB" w:rsidRDefault="001A153D" w:rsidP="001A153D">
      <w:pPr>
        <w:spacing w:line="360" w:lineRule="auto"/>
        <w:ind w:left="567" w:right="474"/>
        <w:jc w:val="both"/>
        <w:rPr>
          <w:rFonts w:ascii="Arial" w:hAnsi="Arial" w:cs="Arial"/>
          <w:i/>
          <w:sz w:val="26"/>
          <w:szCs w:val="26"/>
        </w:rPr>
      </w:pPr>
    </w:p>
    <w:p w:rsidR="001A153D" w:rsidRDefault="001A153D" w:rsidP="001A153D">
      <w:pPr>
        <w:spacing w:line="360" w:lineRule="auto"/>
        <w:ind w:right="-234" w:firstLine="567"/>
        <w:jc w:val="both"/>
        <w:rPr>
          <w:rFonts w:ascii="Arial" w:hAnsi="Arial" w:cs="Arial"/>
          <w:sz w:val="26"/>
          <w:szCs w:val="26"/>
        </w:rPr>
      </w:pPr>
      <w:r w:rsidRPr="0042404B">
        <w:rPr>
          <w:rFonts w:ascii="Arial" w:hAnsi="Arial" w:cs="Arial"/>
          <w:sz w:val="26"/>
          <w:szCs w:val="26"/>
        </w:rPr>
        <w:t xml:space="preserve">El artículo 1º dispone que todos los individuos que se encuentren en los Estados Unidos Mexicanos, gocen de las garantías que otorga la Constitución; es decir, establece el principio de igualdad para cualquier persona ubicada en el territorio de la República. </w:t>
      </w:r>
    </w:p>
    <w:p w:rsidR="001A153D" w:rsidRPr="0042404B" w:rsidRDefault="001A153D" w:rsidP="001A153D">
      <w:pPr>
        <w:spacing w:line="360" w:lineRule="auto"/>
        <w:ind w:right="-234" w:firstLine="567"/>
        <w:jc w:val="both"/>
        <w:rPr>
          <w:rFonts w:ascii="Arial" w:hAnsi="Arial" w:cs="Arial"/>
          <w:sz w:val="26"/>
          <w:szCs w:val="26"/>
        </w:rPr>
      </w:pPr>
    </w:p>
    <w:p w:rsidR="001A153D" w:rsidRDefault="001A153D" w:rsidP="001A153D">
      <w:pPr>
        <w:spacing w:line="360" w:lineRule="auto"/>
        <w:ind w:right="-234" w:firstLine="567"/>
        <w:jc w:val="both"/>
        <w:rPr>
          <w:rFonts w:ascii="Arial" w:hAnsi="Arial" w:cs="Arial"/>
          <w:sz w:val="26"/>
          <w:szCs w:val="26"/>
        </w:rPr>
      </w:pPr>
      <w:r w:rsidRPr="0042404B">
        <w:rPr>
          <w:rFonts w:ascii="Arial" w:hAnsi="Arial" w:cs="Arial"/>
          <w:sz w:val="26"/>
          <w:szCs w:val="26"/>
        </w:rPr>
        <w:t xml:space="preserve">La misma Primera Sala de la Suprema Corte de Justicia de la Nación, ha establecido que esta garantía de jurídica debe respetarse en relación al contenido de la propia ley: </w:t>
      </w:r>
    </w:p>
    <w:p w:rsidR="001A153D" w:rsidRPr="00281150" w:rsidRDefault="001A153D" w:rsidP="00281150">
      <w:pPr>
        <w:spacing w:line="276" w:lineRule="auto"/>
        <w:ind w:right="-234"/>
        <w:jc w:val="both"/>
        <w:rPr>
          <w:rFonts w:ascii="Arial" w:hAnsi="Arial" w:cs="Arial"/>
        </w:rPr>
      </w:pPr>
    </w:p>
    <w:p w:rsidR="001A153D" w:rsidRPr="00281150" w:rsidRDefault="001A153D" w:rsidP="00281150">
      <w:pPr>
        <w:spacing w:line="276" w:lineRule="auto"/>
        <w:ind w:left="567" w:right="333"/>
        <w:jc w:val="both"/>
        <w:rPr>
          <w:rFonts w:ascii="Arial" w:hAnsi="Arial" w:cs="Arial"/>
          <w:i/>
        </w:rPr>
      </w:pPr>
      <w:r w:rsidRPr="00281150">
        <w:rPr>
          <w:rFonts w:ascii="Arial" w:hAnsi="Arial" w:cs="Arial"/>
          <w:i/>
        </w:rPr>
        <w:t>La igualdad en nuestro texto constitucional constituye un principio complejo que no sólo otorga a las personas la garantía de que serán iguales ante la ley en su condición de destinatarios de las normas y de usuarios del sistema de administración de justicia, sino también en la ley (en relación con su contenido). El principio de igualdad debe entenderse como la exigencia constitucional de tratar igual a los iguales y desigual a los desiguales, de ahí que en algunas ocasiones hacer distinciones estará vedado, mientras que en otras estará permitido o, incluso, constitucionalmente exigido</w:t>
      </w:r>
      <w:r w:rsidRPr="00281150">
        <w:rPr>
          <w:rStyle w:val="Refdenotaalpie"/>
          <w:rFonts w:ascii="Arial" w:hAnsi="Arial" w:cs="Arial"/>
          <w:i/>
        </w:rPr>
        <w:footnoteReference w:id="2"/>
      </w:r>
      <w:r w:rsidRPr="00281150">
        <w:rPr>
          <w:rFonts w:ascii="Arial" w:hAnsi="Arial" w:cs="Arial"/>
          <w:i/>
        </w:rPr>
        <w:t xml:space="preserve">. </w:t>
      </w:r>
    </w:p>
    <w:p w:rsidR="001A153D" w:rsidRPr="001A153D" w:rsidRDefault="001A153D" w:rsidP="001A153D">
      <w:pPr>
        <w:spacing w:line="360" w:lineRule="auto"/>
        <w:ind w:left="567" w:right="333"/>
        <w:jc w:val="both"/>
        <w:rPr>
          <w:rFonts w:ascii="Arial" w:hAnsi="Arial" w:cs="Arial"/>
          <w:i/>
          <w:sz w:val="24"/>
          <w:szCs w:val="26"/>
        </w:rPr>
      </w:pPr>
    </w:p>
    <w:p w:rsidR="001A153D" w:rsidRDefault="001A153D" w:rsidP="001A153D">
      <w:pPr>
        <w:spacing w:line="360" w:lineRule="auto"/>
        <w:ind w:left="-567" w:right="69" w:firstLine="1134"/>
        <w:jc w:val="both"/>
        <w:rPr>
          <w:rFonts w:ascii="Arial" w:hAnsi="Arial" w:cs="Arial"/>
          <w:sz w:val="26"/>
          <w:szCs w:val="26"/>
        </w:rPr>
      </w:pPr>
      <w:r>
        <w:rPr>
          <w:rFonts w:ascii="Arial" w:hAnsi="Arial" w:cs="Arial"/>
          <w:sz w:val="26"/>
          <w:szCs w:val="26"/>
        </w:rPr>
        <w:t xml:space="preserve">Por tanto, con fundamento en lo dispuesto por los artículos 237 y 238 de la </w:t>
      </w:r>
      <w:r w:rsidRPr="0042404B">
        <w:rPr>
          <w:rFonts w:ascii="Arial" w:hAnsi="Arial" w:cs="Arial"/>
          <w:sz w:val="26"/>
          <w:szCs w:val="26"/>
        </w:rPr>
        <w:t>Ley de Procedimiento y Justicia Administrativa para el Estado de Oaxaca,</w:t>
      </w:r>
      <w:r>
        <w:rPr>
          <w:rFonts w:ascii="Arial" w:hAnsi="Arial" w:cs="Arial"/>
          <w:sz w:val="26"/>
          <w:szCs w:val="26"/>
        </w:rPr>
        <w:t xml:space="preserve"> es procedente </w:t>
      </w:r>
      <w:r w:rsidRPr="005A2548">
        <w:rPr>
          <w:rFonts w:ascii="Arial" w:hAnsi="Arial" w:cs="Arial"/>
          <w:b/>
          <w:sz w:val="26"/>
          <w:szCs w:val="26"/>
        </w:rPr>
        <w:t>MODIFICA</w:t>
      </w:r>
      <w:r>
        <w:rPr>
          <w:rFonts w:ascii="Arial" w:hAnsi="Arial" w:cs="Arial"/>
          <w:b/>
          <w:sz w:val="26"/>
          <w:szCs w:val="26"/>
        </w:rPr>
        <w:t>R</w:t>
      </w:r>
      <w:r w:rsidRPr="0042404B">
        <w:rPr>
          <w:rFonts w:ascii="Arial" w:hAnsi="Arial" w:cs="Arial"/>
          <w:sz w:val="26"/>
          <w:szCs w:val="26"/>
        </w:rPr>
        <w:t xml:space="preserve"> la sentencia </w:t>
      </w:r>
      <w:r>
        <w:rPr>
          <w:rFonts w:ascii="Arial" w:hAnsi="Arial" w:cs="Arial"/>
          <w:sz w:val="26"/>
          <w:szCs w:val="26"/>
        </w:rPr>
        <w:t xml:space="preserve">recurrida para el efecto de ordenar a la autoridad demandada </w:t>
      </w:r>
      <w:r w:rsidRPr="005A2548">
        <w:rPr>
          <w:rFonts w:ascii="Arial" w:hAnsi="Arial" w:cs="Arial"/>
          <w:b/>
          <w:sz w:val="26"/>
          <w:szCs w:val="26"/>
        </w:rPr>
        <w:t>DIRECTOR GENERAL DE LA OFICINA DE PENSIONES DEL ESTADO DE OAXACA,</w:t>
      </w:r>
      <w:r>
        <w:rPr>
          <w:rFonts w:ascii="Arial" w:hAnsi="Arial" w:cs="Arial"/>
          <w:sz w:val="26"/>
          <w:szCs w:val="26"/>
        </w:rPr>
        <w:t xml:space="preserve">  realice la devolución al actor </w:t>
      </w:r>
      <w:r w:rsidR="005D0DB9">
        <w:rPr>
          <w:rFonts w:ascii="Arial" w:hAnsi="Arial" w:cs="Arial"/>
          <w:bCs/>
          <w:i/>
          <w:color w:val="000000"/>
        </w:rPr>
        <w:t>**********</w:t>
      </w:r>
      <w:r w:rsidRPr="0042404B">
        <w:rPr>
          <w:rFonts w:ascii="Arial" w:hAnsi="Arial" w:cs="Arial"/>
          <w:sz w:val="26"/>
          <w:szCs w:val="26"/>
        </w:rPr>
        <w:t>,</w:t>
      </w:r>
      <w:r>
        <w:rPr>
          <w:rFonts w:ascii="Arial" w:hAnsi="Arial" w:cs="Arial"/>
          <w:sz w:val="26"/>
          <w:szCs w:val="26"/>
        </w:rPr>
        <w:t xml:space="preserve"> de las cantidades que le fueron descontadas de su sueldo por concepto de deducciones destinadas al fondo de pensiones, comprendidas desde la primera quincena </w:t>
      </w:r>
      <w:r w:rsidRPr="00963851">
        <w:rPr>
          <w:rFonts w:ascii="Arial" w:hAnsi="Arial" w:cs="Arial"/>
          <w:sz w:val="26"/>
          <w:szCs w:val="26"/>
        </w:rPr>
        <w:t>del mes de julio de</w:t>
      </w:r>
      <w:r>
        <w:rPr>
          <w:rFonts w:ascii="Arial" w:hAnsi="Arial" w:cs="Arial"/>
          <w:sz w:val="26"/>
          <w:szCs w:val="26"/>
        </w:rPr>
        <w:t>l año</w:t>
      </w:r>
      <w:r w:rsidRPr="00963851">
        <w:rPr>
          <w:rFonts w:ascii="Arial" w:hAnsi="Arial" w:cs="Arial"/>
          <w:sz w:val="26"/>
          <w:szCs w:val="26"/>
        </w:rPr>
        <w:t xml:space="preserve"> d</w:t>
      </w:r>
      <w:r>
        <w:rPr>
          <w:rFonts w:ascii="Arial" w:hAnsi="Arial" w:cs="Arial"/>
          <w:sz w:val="26"/>
          <w:szCs w:val="26"/>
        </w:rPr>
        <w:t>os mil doce, y</w:t>
      </w:r>
      <w:r w:rsidRPr="00963851">
        <w:rPr>
          <w:rFonts w:ascii="Arial" w:hAnsi="Arial" w:cs="Arial"/>
          <w:sz w:val="26"/>
          <w:szCs w:val="26"/>
        </w:rPr>
        <w:t xml:space="preserve"> hasta la segunda quincena del mes de marzo de</w:t>
      </w:r>
      <w:r>
        <w:rPr>
          <w:rFonts w:ascii="Arial" w:hAnsi="Arial" w:cs="Arial"/>
          <w:sz w:val="26"/>
          <w:szCs w:val="26"/>
        </w:rPr>
        <w:t>l año</w:t>
      </w:r>
      <w:r w:rsidRPr="00963851">
        <w:rPr>
          <w:rFonts w:ascii="Arial" w:hAnsi="Arial" w:cs="Arial"/>
          <w:sz w:val="26"/>
          <w:szCs w:val="26"/>
        </w:rPr>
        <w:t xml:space="preserve"> dos mil dieciséis,</w:t>
      </w:r>
      <w:r>
        <w:rPr>
          <w:rFonts w:ascii="Arial" w:hAnsi="Arial" w:cs="Arial"/>
          <w:sz w:val="26"/>
          <w:szCs w:val="26"/>
        </w:rPr>
        <w:t xml:space="preserve"> inclusive.</w:t>
      </w:r>
    </w:p>
    <w:p w:rsidR="001A153D" w:rsidRDefault="001A153D" w:rsidP="001A153D">
      <w:pPr>
        <w:spacing w:line="360" w:lineRule="auto"/>
        <w:ind w:left="-567" w:right="69"/>
        <w:jc w:val="both"/>
        <w:rPr>
          <w:rFonts w:ascii="Arial" w:hAnsi="Arial" w:cs="Arial"/>
          <w:sz w:val="26"/>
          <w:szCs w:val="26"/>
        </w:rPr>
      </w:pPr>
      <w:r>
        <w:rPr>
          <w:rFonts w:ascii="Arial" w:hAnsi="Arial" w:cs="Arial"/>
          <w:sz w:val="26"/>
          <w:szCs w:val="26"/>
        </w:rPr>
        <w:t xml:space="preserve">        Asimismo, acorde a lo dispuesto, por el artículo 64 de la Ley de Pensiones para los Trabajadores del Gobierno del Estado de Oaxaca, se ordena a la referida autoridad demandada, realice el pago al actor </w:t>
      </w:r>
      <w:r w:rsidR="005D0DB9">
        <w:rPr>
          <w:rFonts w:ascii="Arial" w:hAnsi="Arial" w:cs="Arial"/>
          <w:bCs/>
          <w:i/>
          <w:color w:val="000000"/>
        </w:rPr>
        <w:t>**********</w:t>
      </w:r>
      <w:r>
        <w:rPr>
          <w:rFonts w:ascii="Arial" w:hAnsi="Arial" w:cs="Arial"/>
          <w:sz w:val="26"/>
          <w:szCs w:val="26"/>
        </w:rPr>
        <w:t xml:space="preserve"> de los intereses generados por las cantidades cuya devolución se ordena, tomando como base la tasa de interés interbancaria de equilibrio (TIEE) vigente en la fecha de pago, más cinco puntos; lo anterior en estricta </w:t>
      </w:r>
      <w:r>
        <w:rPr>
          <w:rFonts w:ascii="Arial" w:hAnsi="Arial" w:cs="Arial"/>
          <w:sz w:val="26"/>
          <w:szCs w:val="26"/>
        </w:rPr>
        <w:lastRenderedPageBreak/>
        <w:t xml:space="preserve">observancia al principio de igualdad, dado que donde la Ley no distingue, no tiene por qué hacerlo el Juzgador. </w:t>
      </w:r>
    </w:p>
    <w:p w:rsidR="001A153D" w:rsidRPr="00963851" w:rsidRDefault="001A153D" w:rsidP="001A153D">
      <w:pPr>
        <w:spacing w:line="360" w:lineRule="auto"/>
        <w:ind w:left="-567" w:right="69"/>
        <w:jc w:val="both"/>
        <w:rPr>
          <w:rFonts w:ascii="Arial" w:hAnsi="Arial" w:cs="Arial"/>
          <w:sz w:val="26"/>
          <w:szCs w:val="26"/>
        </w:rPr>
      </w:pPr>
      <w:r>
        <w:rPr>
          <w:rFonts w:ascii="Arial" w:hAnsi="Arial" w:cs="Arial"/>
          <w:sz w:val="26"/>
          <w:szCs w:val="26"/>
        </w:rPr>
        <w:tab/>
        <w:t xml:space="preserve">En mérito de lo anterior, con fundamento en los artículos 237 y 238 de la Ley de Procedimiento y Justicia Administrativa para el Estado de Oaxaca, se:  </w:t>
      </w:r>
    </w:p>
    <w:p w:rsidR="001A153D" w:rsidRPr="006469FC" w:rsidRDefault="001A153D" w:rsidP="001A153D">
      <w:pPr>
        <w:tabs>
          <w:tab w:val="left" w:pos="1134"/>
          <w:tab w:val="center" w:pos="4500"/>
          <w:tab w:val="left" w:pos="6915"/>
        </w:tabs>
        <w:spacing w:before="240" w:line="360" w:lineRule="auto"/>
        <w:rPr>
          <w:rFonts w:ascii="Arial" w:eastAsia="Calibri" w:hAnsi="Arial" w:cs="Arial"/>
          <w:b/>
          <w:sz w:val="26"/>
          <w:szCs w:val="26"/>
        </w:rPr>
      </w:pPr>
      <w:r w:rsidRPr="006469FC">
        <w:rPr>
          <w:rFonts w:ascii="Arial" w:eastAsia="Calibri" w:hAnsi="Arial" w:cs="Arial"/>
          <w:b/>
          <w:sz w:val="26"/>
          <w:szCs w:val="26"/>
        </w:rPr>
        <w:tab/>
      </w:r>
      <w:r w:rsidRPr="006469FC">
        <w:rPr>
          <w:rFonts w:ascii="Arial" w:eastAsia="Calibri" w:hAnsi="Arial" w:cs="Arial"/>
          <w:b/>
          <w:sz w:val="26"/>
          <w:szCs w:val="26"/>
        </w:rPr>
        <w:tab/>
        <w:t>R E S U E L V E</w:t>
      </w:r>
      <w:r w:rsidRPr="006469FC">
        <w:rPr>
          <w:rFonts w:ascii="Arial" w:eastAsia="Calibri" w:hAnsi="Arial" w:cs="Arial"/>
          <w:b/>
          <w:sz w:val="26"/>
          <w:szCs w:val="26"/>
        </w:rPr>
        <w:tab/>
      </w:r>
    </w:p>
    <w:p w:rsidR="001A153D" w:rsidRPr="006469FC" w:rsidRDefault="001A153D" w:rsidP="001A153D">
      <w:pPr>
        <w:widowControl w:val="0"/>
        <w:tabs>
          <w:tab w:val="left" w:pos="-1985"/>
          <w:tab w:val="left" w:pos="7938"/>
        </w:tabs>
        <w:spacing w:line="360" w:lineRule="auto"/>
        <w:ind w:left="-567" w:right="-69"/>
        <w:jc w:val="both"/>
        <w:rPr>
          <w:rFonts w:ascii="Arial" w:eastAsia="Calibri" w:hAnsi="Arial" w:cs="Arial"/>
          <w:b/>
          <w:sz w:val="26"/>
          <w:szCs w:val="26"/>
        </w:rPr>
      </w:pPr>
      <w:r w:rsidRPr="006469FC">
        <w:rPr>
          <w:rFonts w:ascii="Arial" w:eastAsia="Times New Roman" w:hAnsi="Arial" w:cs="Arial"/>
          <w:b/>
          <w:sz w:val="26"/>
          <w:szCs w:val="26"/>
          <w:lang w:eastAsia="es-ES"/>
        </w:rPr>
        <w:t xml:space="preserve">           PRIMERO</w:t>
      </w:r>
      <w:r w:rsidRPr="006469FC">
        <w:rPr>
          <w:rFonts w:ascii="Arial" w:eastAsia="Times New Roman" w:hAnsi="Arial" w:cs="Arial"/>
          <w:sz w:val="26"/>
          <w:szCs w:val="26"/>
          <w:lang w:eastAsia="es-ES"/>
        </w:rPr>
        <w:t xml:space="preserve">. </w:t>
      </w:r>
      <w:r w:rsidRPr="006469FC">
        <w:rPr>
          <w:rFonts w:ascii="Arial" w:eastAsia="Calibri" w:hAnsi="Arial" w:cs="Arial"/>
          <w:sz w:val="26"/>
          <w:szCs w:val="26"/>
        </w:rPr>
        <w:t xml:space="preserve">Se </w:t>
      </w:r>
      <w:r w:rsidRPr="007D468B">
        <w:rPr>
          <w:rFonts w:ascii="Arial" w:eastAsia="Calibri" w:hAnsi="Arial" w:cs="Arial"/>
          <w:b/>
          <w:sz w:val="26"/>
          <w:szCs w:val="26"/>
        </w:rPr>
        <w:t>deja insubsistente</w:t>
      </w:r>
      <w:r w:rsidRPr="006469FC">
        <w:rPr>
          <w:rFonts w:ascii="Arial" w:eastAsia="Calibri" w:hAnsi="Arial" w:cs="Arial"/>
          <w:sz w:val="26"/>
          <w:szCs w:val="26"/>
        </w:rPr>
        <w:t xml:space="preserve"> la resolución de 25 veinticinco de </w:t>
      </w:r>
      <w:r>
        <w:rPr>
          <w:rFonts w:ascii="Arial" w:eastAsia="Calibri" w:hAnsi="Arial" w:cs="Arial"/>
          <w:sz w:val="26"/>
          <w:szCs w:val="26"/>
        </w:rPr>
        <w:t>octubre</w:t>
      </w:r>
      <w:r w:rsidRPr="006469FC">
        <w:rPr>
          <w:rFonts w:ascii="Arial" w:eastAsia="Calibri" w:hAnsi="Arial" w:cs="Arial"/>
          <w:sz w:val="26"/>
          <w:szCs w:val="26"/>
        </w:rPr>
        <w:t xml:space="preserve"> de 2018 dos mil dieciocho, dictada por esta Sala Superior, en los términos precisados en el considerando </w:t>
      </w:r>
      <w:r w:rsidRPr="00155263">
        <w:rPr>
          <w:rFonts w:ascii="Arial" w:eastAsia="Calibri" w:hAnsi="Arial" w:cs="Arial"/>
          <w:b/>
          <w:sz w:val="26"/>
          <w:szCs w:val="26"/>
        </w:rPr>
        <w:t>quinto</w:t>
      </w:r>
      <w:r w:rsidRPr="006469FC">
        <w:rPr>
          <w:rFonts w:ascii="Arial" w:eastAsia="Calibri" w:hAnsi="Arial" w:cs="Arial"/>
          <w:sz w:val="26"/>
          <w:szCs w:val="26"/>
        </w:rPr>
        <w:t xml:space="preserve">. </w:t>
      </w:r>
    </w:p>
    <w:p w:rsidR="001A153D" w:rsidRPr="006469FC" w:rsidRDefault="001A153D" w:rsidP="001A153D">
      <w:pPr>
        <w:widowControl w:val="0"/>
        <w:tabs>
          <w:tab w:val="left" w:pos="-1985"/>
          <w:tab w:val="left" w:pos="7938"/>
        </w:tabs>
        <w:spacing w:line="360" w:lineRule="auto"/>
        <w:ind w:left="-567" w:right="-69" w:firstLine="1134"/>
        <w:jc w:val="both"/>
        <w:rPr>
          <w:rFonts w:ascii="Arial" w:eastAsia="Calibri" w:hAnsi="Arial" w:cs="Arial"/>
          <w:sz w:val="26"/>
          <w:szCs w:val="26"/>
        </w:rPr>
      </w:pPr>
    </w:p>
    <w:p w:rsidR="001A153D" w:rsidRPr="006469FC" w:rsidRDefault="001A153D" w:rsidP="001A153D">
      <w:pPr>
        <w:widowControl w:val="0"/>
        <w:tabs>
          <w:tab w:val="left" w:pos="-1985"/>
          <w:tab w:val="left" w:pos="7938"/>
        </w:tabs>
        <w:spacing w:line="360" w:lineRule="auto"/>
        <w:ind w:left="-567" w:right="-69"/>
        <w:jc w:val="both"/>
        <w:rPr>
          <w:rFonts w:ascii="Arial" w:eastAsia="Times New Roman" w:hAnsi="Arial" w:cs="Arial"/>
          <w:sz w:val="26"/>
          <w:szCs w:val="26"/>
          <w:lang w:eastAsia="es-ES"/>
        </w:rPr>
      </w:pPr>
      <w:r w:rsidRPr="006469FC">
        <w:rPr>
          <w:rFonts w:ascii="Arial" w:eastAsia="Calibri" w:hAnsi="Arial" w:cs="Arial"/>
          <w:b/>
          <w:sz w:val="26"/>
          <w:szCs w:val="26"/>
        </w:rPr>
        <w:t xml:space="preserve">             SEGUNDO. </w:t>
      </w:r>
      <w:r w:rsidRPr="006469FC">
        <w:rPr>
          <w:rFonts w:ascii="Arial" w:eastAsia="Calibri" w:hAnsi="Arial" w:cs="Arial"/>
          <w:sz w:val="26"/>
          <w:szCs w:val="26"/>
        </w:rPr>
        <w:t xml:space="preserve">Se </w:t>
      </w:r>
      <w:r w:rsidRPr="00155263">
        <w:rPr>
          <w:rFonts w:ascii="Arial" w:eastAsia="Calibri" w:hAnsi="Arial" w:cs="Arial"/>
          <w:b/>
          <w:sz w:val="26"/>
          <w:szCs w:val="26"/>
        </w:rPr>
        <w:t>MODIFICA</w:t>
      </w:r>
      <w:r w:rsidRPr="006469FC">
        <w:rPr>
          <w:rFonts w:ascii="Arial" w:eastAsia="Calibri" w:hAnsi="Arial" w:cs="Arial"/>
          <w:b/>
          <w:sz w:val="26"/>
          <w:szCs w:val="26"/>
        </w:rPr>
        <w:t xml:space="preserve"> </w:t>
      </w:r>
      <w:r w:rsidRPr="006469FC">
        <w:rPr>
          <w:rFonts w:ascii="Arial" w:eastAsia="Calibri" w:hAnsi="Arial" w:cs="Arial"/>
          <w:sz w:val="26"/>
          <w:szCs w:val="26"/>
        </w:rPr>
        <w:t xml:space="preserve">la </w:t>
      </w:r>
      <w:r>
        <w:rPr>
          <w:rFonts w:ascii="Arial" w:eastAsia="Calibri" w:hAnsi="Arial" w:cs="Arial"/>
          <w:sz w:val="26"/>
          <w:szCs w:val="26"/>
        </w:rPr>
        <w:t>sentencia de 21 de mayo de dos 2018 mil dieciocho</w:t>
      </w:r>
      <w:r w:rsidRPr="006469FC">
        <w:rPr>
          <w:rFonts w:ascii="Arial" w:eastAsia="Calibri" w:hAnsi="Arial" w:cs="Arial"/>
          <w:sz w:val="26"/>
          <w:szCs w:val="26"/>
        </w:rPr>
        <w:t>,</w:t>
      </w:r>
      <w:r w:rsidRPr="006469FC">
        <w:rPr>
          <w:rFonts w:ascii="Arial" w:eastAsia="Times New Roman" w:hAnsi="Arial" w:cs="Arial"/>
          <w:sz w:val="26"/>
          <w:szCs w:val="26"/>
          <w:lang w:eastAsia="es-ES"/>
        </w:rPr>
        <w:t xml:space="preserve"> como quedó precisado en el considerando que antecede. </w:t>
      </w:r>
    </w:p>
    <w:p w:rsidR="001A153D" w:rsidRPr="006469FC" w:rsidRDefault="001A153D" w:rsidP="001A153D">
      <w:pPr>
        <w:widowControl w:val="0"/>
        <w:tabs>
          <w:tab w:val="left" w:pos="-1985"/>
          <w:tab w:val="left" w:pos="7938"/>
        </w:tabs>
        <w:spacing w:line="360" w:lineRule="auto"/>
        <w:ind w:left="-567" w:right="-69" w:firstLine="1134"/>
        <w:jc w:val="both"/>
        <w:rPr>
          <w:rFonts w:ascii="Arial" w:eastAsia="Times New Roman" w:hAnsi="Arial" w:cs="Arial"/>
          <w:sz w:val="26"/>
          <w:szCs w:val="26"/>
          <w:lang w:eastAsia="es-ES"/>
        </w:rPr>
      </w:pPr>
    </w:p>
    <w:p w:rsidR="001A153D" w:rsidRPr="006469FC" w:rsidRDefault="001A153D" w:rsidP="001A153D">
      <w:pPr>
        <w:widowControl w:val="0"/>
        <w:tabs>
          <w:tab w:val="left" w:pos="-1985"/>
          <w:tab w:val="left" w:pos="7938"/>
        </w:tabs>
        <w:spacing w:line="360" w:lineRule="auto"/>
        <w:ind w:left="-567" w:right="-69"/>
        <w:jc w:val="both"/>
        <w:rPr>
          <w:rFonts w:ascii="Arial" w:eastAsia="Calibri" w:hAnsi="Arial" w:cs="Arial"/>
          <w:sz w:val="26"/>
          <w:szCs w:val="26"/>
        </w:rPr>
      </w:pPr>
      <w:r w:rsidRPr="006469FC">
        <w:rPr>
          <w:rFonts w:ascii="Arial" w:eastAsia="Times New Roman" w:hAnsi="Arial" w:cs="Arial"/>
          <w:b/>
          <w:sz w:val="26"/>
          <w:szCs w:val="26"/>
          <w:lang w:eastAsia="es-ES"/>
        </w:rPr>
        <w:t xml:space="preserve">            TERCERO.- </w:t>
      </w:r>
      <w:r w:rsidRPr="006469FC">
        <w:rPr>
          <w:rFonts w:ascii="Arial" w:eastAsia="Calibri" w:hAnsi="Arial" w:cs="Arial"/>
          <w:sz w:val="26"/>
          <w:szCs w:val="26"/>
        </w:rPr>
        <w:t xml:space="preserve">Remítase copia certificada de la presente resolución al </w:t>
      </w:r>
      <w:r>
        <w:rPr>
          <w:rFonts w:ascii="Arial" w:eastAsia="Calibri" w:hAnsi="Arial" w:cs="Arial"/>
          <w:sz w:val="26"/>
          <w:szCs w:val="26"/>
        </w:rPr>
        <w:t xml:space="preserve">Primer </w:t>
      </w:r>
      <w:r w:rsidRPr="006469FC">
        <w:rPr>
          <w:rFonts w:ascii="Arial" w:eastAsia="Calibri" w:hAnsi="Arial" w:cs="Arial"/>
          <w:sz w:val="26"/>
          <w:szCs w:val="26"/>
        </w:rPr>
        <w:t>Tribunal Colegiado en Materias Civil y Administrativa del Décimo Tercer Circuito con residencia en</w:t>
      </w:r>
      <w:r>
        <w:rPr>
          <w:rFonts w:ascii="Arial" w:eastAsia="Calibri" w:hAnsi="Arial" w:cs="Arial"/>
          <w:sz w:val="26"/>
          <w:szCs w:val="26"/>
        </w:rPr>
        <w:t xml:space="preserve"> San Bartolo Coyotepec, </w:t>
      </w:r>
      <w:r w:rsidRPr="006469FC">
        <w:rPr>
          <w:rFonts w:ascii="Arial" w:eastAsia="Calibri" w:hAnsi="Arial" w:cs="Arial"/>
          <w:sz w:val="26"/>
          <w:szCs w:val="26"/>
        </w:rPr>
        <w:t xml:space="preserve">Oaxaca. </w:t>
      </w:r>
    </w:p>
    <w:p w:rsidR="001A153D" w:rsidRPr="001A153D" w:rsidRDefault="00D5549D" w:rsidP="001A153D">
      <w:pPr>
        <w:spacing w:before="240" w:line="360" w:lineRule="auto"/>
        <w:ind w:left="-567" w:firstLine="708"/>
        <w:jc w:val="both"/>
        <w:rPr>
          <w:rFonts w:ascii="Arial" w:hAnsi="Arial" w:cs="Arial"/>
          <w:sz w:val="26"/>
          <w:szCs w:val="26"/>
        </w:rPr>
      </w:pPr>
      <w:r>
        <w:rPr>
          <w:rFonts w:ascii="Arial" w:hAnsi="Arial" w:cs="Arial"/>
          <w:b/>
          <w:sz w:val="26"/>
          <w:szCs w:val="26"/>
        </w:rPr>
        <w:t xml:space="preserve">     </w:t>
      </w:r>
      <w:r w:rsidR="001A153D">
        <w:rPr>
          <w:rFonts w:ascii="Arial" w:hAnsi="Arial" w:cs="Arial"/>
          <w:b/>
          <w:sz w:val="26"/>
          <w:szCs w:val="26"/>
        </w:rPr>
        <w:t xml:space="preserve">CUARTO. </w:t>
      </w:r>
      <w:r w:rsidR="001A153D" w:rsidRPr="007B1E95">
        <w:rPr>
          <w:rFonts w:ascii="Arial" w:hAnsi="Arial" w:cs="Arial"/>
          <w:b/>
          <w:sz w:val="26"/>
          <w:szCs w:val="26"/>
        </w:rPr>
        <w:t>N</w:t>
      </w:r>
      <w:r w:rsidR="001A153D" w:rsidRPr="006E349D">
        <w:rPr>
          <w:rFonts w:ascii="Arial" w:hAnsi="Arial" w:cs="Arial"/>
          <w:b/>
          <w:sz w:val="26"/>
          <w:szCs w:val="26"/>
        </w:rPr>
        <w:t>OTIFÍQUESE</w:t>
      </w:r>
      <w:r w:rsidR="001A153D">
        <w:rPr>
          <w:rFonts w:ascii="Arial" w:hAnsi="Arial" w:cs="Arial"/>
          <w:b/>
          <w:sz w:val="26"/>
          <w:szCs w:val="26"/>
        </w:rPr>
        <w:t xml:space="preserve"> Y CÚMPLASE</w:t>
      </w:r>
      <w:r w:rsidR="001A153D" w:rsidRPr="006E349D">
        <w:rPr>
          <w:rFonts w:ascii="Arial" w:hAnsi="Arial" w:cs="Arial"/>
          <w:b/>
          <w:sz w:val="26"/>
          <w:szCs w:val="26"/>
        </w:rPr>
        <w:t>,</w:t>
      </w:r>
      <w:r w:rsidR="001A153D" w:rsidRPr="006E349D">
        <w:rPr>
          <w:rFonts w:ascii="Arial" w:hAnsi="Arial" w:cs="Arial"/>
          <w:sz w:val="26"/>
          <w:szCs w:val="26"/>
        </w:rPr>
        <w:t xml:space="preserve"> </w:t>
      </w:r>
      <w:r w:rsidR="001A153D">
        <w:rPr>
          <w:rFonts w:ascii="Arial" w:hAnsi="Arial" w:cs="Arial"/>
          <w:sz w:val="26"/>
          <w:szCs w:val="26"/>
        </w:rPr>
        <w:t xml:space="preserve">remítase copia certificada de la presente resolución a la Cuarta Sala Unitaria de Primera Instancia de este Tribunal, </w:t>
      </w:r>
      <w:r w:rsidR="001A153D" w:rsidRPr="00D81DA7">
        <w:rPr>
          <w:rFonts w:ascii="Arial" w:hAnsi="Arial" w:cs="Arial"/>
          <w:sz w:val="26"/>
          <w:szCs w:val="26"/>
        </w:rPr>
        <w:t xml:space="preserve">y en su oportunidad archívese el </w:t>
      </w:r>
      <w:r w:rsidR="001A153D">
        <w:rPr>
          <w:rFonts w:ascii="Arial" w:hAnsi="Arial" w:cs="Arial"/>
          <w:sz w:val="26"/>
          <w:szCs w:val="26"/>
        </w:rPr>
        <w:t xml:space="preserve">presente </w:t>
      </w:r>
      <w:r w:rsidR="001A153D" w:rsidRPr="00D81DA7">
        <w:rPr>
          <w:rFonts w:ascii="Arial" w:hAnsi="Arial" w:cs="Arial"/>
          <w:sz w:val="26"/>
          <w:szCs w:val="26"/>
        </w:rPr>
        <w:t>cuaderno de revisión como concluido.</w:t>
      </w:r>
    </w:p>
    <w:p w:rsidR="001A153D" w:rsidRDefault="001A153D" w:rsidP="00D5549D">
      <w:pPr>
        <w:pStyle w:val="corte4fondo"/>
        <w:ind w:right="51"/>
        <w:rPr>
          <w:rFonts w:eastAsia="Calibri"/>
          <w:sz w:val="26"/>
          <w:szCs w:val="26"/>
        </w:rPr>
      </w:pPr>
    </w:p>
    <w:p w:rsidR="00112FCD" w:rsidRPr="00745144" w:rsidRDefault="00112FCD" w:rsidP="003710F3">
      <w:pPr>
        <w:pStyle w:val="corte4fondo"/>
        <w:ind w:left="-284" w:right="51" w:firstLine="710"/>
        <w:rPr>
          <w:rFonts w:eastAsia="Calibri"/>
          <w:sz w:val="26"/>
          <w:szCs w:val="26"/>
        </w:rPr>
      </w:pPr>
      <w:r w:rsidRPr="00745144">
        <w:rPr>
          <w:rFonts w:eastAsia="Calibri"/>
          <w:sz w:val="26"/>
          <w:szCs w:val="26"/>
        </w:rPr>
        <w:t xml:space="preserve">Así por </w:t>
      </w:r>
      <w:r>
        <w:rPr>
          <w:rFonts w:eastAsia="Calibri"/>
          <w:sz w:val="26"/>
          <w:szCs w:val="26"/>
        </w:rPr>
        <w:t xml:space="preserve">unanimidad </w:t>
      </w:r>
      <w:r w:rsidRPr="00745144">
        <w:rPr>
          <w:rFonts w:eastAsia="Calibri"/>
          <w:sz w:val="26"/>
          <w:szCs w:val="26"/>
        </w:rPr>
        <w:t>de votos, lo resolvieron y firmaron los Magistrados integrantes de la Sala Superior del Tribunal de Justi</w:t>
      </w:r>
      <w:r>
        <w:rPr>
          <w:rFonts w:eastAsia="Calibri"/>
          <w:sz w:val="26"/>
          <w:szCs w:val="26"/>
        </w:rPr>
        <w:t xml:space="preserve">cia Administrativa del Estado, </w:t>
      </w:r>
      <w:r w:rsidRPr="00745144">
        <w:rPr>
          <w:rFonts w:eastAsia="Calibri"/>
          <w:sz w:val="26"/>
          <w:szCs w:val="26"/>
        </w:rPr>
        <w:t>quienes actúan con la Secretaria General de Acuerdos de este Tribunal, que autoriza y da fe.</w:t>
      </w:r>
    </w:p>
    <w:p w:rsidR="00112FCD" w:rsidRPr="00C10385" w:rsidRDefault="00112FCD" w:rsidP="00112FCD">
      <w:pPr>
        <w:spacing w:line="360" w:lineRule="auto"/>
        <w:rPr>
          <w:rFonts w:ascii="Arial" w:hAnsi="Arial" w:cs="Arial"/>
          <w:sz w:val="26"/>
          <w:szCs w:val="26"/>
          <w:lang w:val="es-ES_tradnl"/>
        </w:rPr>
      </w:pPr>
    </w:p>
    <w:p w:rsidR="00112FCD" w:rsidRPr="00D5549D" w:rsidRDefault="00112FCD" w:rsidP="00112FCD">
      <w:pPr>
        <w:spacing w:line="360" w:lineRule="auto"/>
        <w:rPr>
          <w:rFonts w:ascii="Arial" w:hAnsi="Arial" w:cs="Arial"/>
          <w:sz w:val="26"/>
          <w:szCs w:val="26"/>
          <w:lang w:val="es-ES_tradnl"/>
        </w:rPr>
      </w:pPr>
    </w:p>
    <w:p w:rsidR="00112FCD" w:rsidRDefault="00112FCD" w:rsidP="00112FCD">
      <w:pPr>
        <w:spacing w:line="360" w:lineRule="auto"/>
        <w:rPr>
          <w:rFonts w:ascii="Arial" w:hAnsi="Arial" w:cs="Arial"/>
          <w:sz w:val="26"/>
          <w:szCs w:val="26"/>
        </w:rPr>
      </w:pPr>
    </w:p>
    <w:p w:rsidR="00112FCD" w:rsidRDefault="00112FCD" w:rsidP="00112FCD">
      <w:pPr>
        <w:spacing w:line="360" w:lineRule="auto"/>
        <w:rPr>
          <w:rFonts w:ascii="Arial" w:hAnsi="Arial" w:cs="Arial"/>
          <w:sz w:val="26"/>
          <w:szCs w:val="26"/>
        </w:rPr>
      </w:pPr>
    </w:p>
    <w:p w:rsidR="00112FCD" w:rsidRDefault="00112FCD" w:rsidP="00112FCD">
      <w:pPr>
        <w:jc w:val="center"/>
        <w:rPr>
          <w:rFonts w:ascii="Arial" w:eastAsia="Calibri" w:hAnsi="Arial" w:cs="Arial"/>
          <w:sz w:val="26"/>
          <w:szCs w:val="26"/>
        </w:rPr>
      </w:pPr>
      <w:r>
        <w:rPr>
          <w:rFonts w:ascii="Arial" w:eastAsia="Calibri" w:hAnsi="Arial" w:cs="Arial"/>
          <w:sz w:val="26"/>
          <w:szCs w:val="26"/>
        </w:rPr>
        <w:t>MAGISTRADA MARÍA ELENA VILLA DE JARQUÍN</w:t>
      </w:r>
    </w:p>
    <w:p w:rsidR="00112FCD" w:rsidRDefault="00112FCD" w:rsidP="00112FCD">
      <w:pPr>
        <w:jc w:val="center"/>
        <w:rPr>
          <w:rFonts w:ascii="Arial" w:eastAsia="Calibri" w:hAnsi="Arial" w:cs="Arial"/>
          <w:sz w:val="26"/>
          <w:szCs w:val="26"/>
        </w:rPr>
      </w:pPr>
      <w:r>
        <w:rPr>
          <w:rFonts w:ascii="Arial" w:eastAsia="Calibri" w:hAnsi="Arial" w:cs="Arial"/>
          <w:sz w:val="26"/>
          <w:szCs w:val="26"/>
        </w:rPr>
        <w:t xml:space="preserve">ENCARGADA DEL DESPACHO DE LA PRESIDENCIA </w:t>
      </w:r>
    </w:p>
    <w:p w:rsidR="00112FCD" w:rsidRPr="009803CF" w:rsidRDefault="00112FCD" w:rsidP="00112FCD">
      <w:pPr>
        <w:spacing w:line="360" w:lineRule="auto"/>
        <w:rPr>
          <w:rFonts w:ascii="Arial" w:eastAsiaTheme="minorEastAsia" w:hAnsi="Arial" w:cs="Arial"/>
          <w:sz w:val="26"/>
          <w:szCs w:val="26"/>
          <w:lang w:eastAsia="es-MX"/>
        </w:rPr>
      </w:pPr>
    </w:p>
    <w:p w:rsidR="00112FCD" w:rsidRPr="009803CF" w:rsidRDefault="00112FCD" w:rsidP="00112FCD">
      <w:pPr>
        <w:spacing w:line="360" w:lineRule="auto"/>
        <w:rPr>
          <w:rFonts w:ascii="Arial" w:eastAsiaTheme="minorEastAsia" w:hAnsi="Arial" w:cs="Arial"/>
          <w:sz w:val="26"/>
          <w:szCs w:val="26"/>
          <w:lang w:eastAsia="es-MX"/>
        </w:rPr>
      </w:pPr>
    </w:p>
    <w:p w:rsidR="00112FCD" w:rsidRDefault="00112FCD" w:rsidP="00112FCD">
      <w:pPr>
        <w:spacing w:line="360" w:lineRule="auto"/>
        <w:rPr>
          <w:rFonts w:ascii="Arial" w:eastAsiaTheme="minorEastAsia" w:hAnsi="Arial" w:cs="Arial"/>
          <w:sz w:val="26"/>
          <w:szCs w:val="26"/>
          <w:lang w:eastAsia="es-MX"/>
        </w:rPr>
      </w:pPr>
    </w:p>
    <w:p w:rsidR="00112FCD" w:rsidRDefault="00112FCD" w:rsidP="00112FCD">
      <w:pPr>
        <w:spacing w:line="360" w:lineRule="auto"/>
        <w:rPr>
          <w:rFonts w:ascii="Arial" w:eastAsiaTheme="minorEastAsia" w:hAnsi="Arial" w:cs="Arial"/>
          <w:sz w:val="26"/>
          <w:szCs w:val="26"/>
          <w:lang w:eastAsia="es-MX"/>
        </w:rPr>
      </w:pPr>
    </w:p>
    <w:p w:rsidR="00112FCD" w:rsidRDefault="00112FCD" w:rsidP="00112FCD">
      <w:pPr>
        <w:spacing w:line="360" w:lineRule="auto"/>
        <w:rPr>
          <w:rFonts w:ascii="Arial" w:eastAsiaTheme="minorEastAsia" w:hAnsi="Arial" w:cs="Arial"/>
          <w:sz w:val="26"/>
          <w:szCs w:val="26"/>
          <w:lang w:eastAsia="es-MX"/>
        </w:rPr>
      </w:pPr>
    </w:p>
    <w:p w:rsidR="00112FCD" w:rsidRPr="00D5549D" w:rsidRDefault="00112FCD" w:rsidP="00D5549D">
      <w:pPr>
        <w:spacing w:line="360" w:lineRule="auto"/>
        <w:jc w:val="center"/>
        <w:rPr>
          <w:rFonts w:ascii="Arial" w:eastAsiaTheme="minorEastAsia" w:hAnsi="Arial" w:cs="Arial"/>
          <w:sz w:val="26"/>
          <w:szCs w:val="26"/>
          <w:lang w:eastAsia="es-MX"/>
        </w:rPr>
      </w:pPr>
      <w:r>
        <w:rPr>
          <w:rFonts w:ascii="Arial" w:eastAsiaTheme="minorEastAsia" w:hAnsi="Arial" w:cs="Arial"/>
          <w:sz w:val="26"/>
          <w:szCs w:val="26"/>
          <w:lang w:eastAsia="es-MX"/>
        </w:rPr>
        <w:t>MAGISTRADO MANUEL VELASCO ALCÁNTARA</w:t>
      </w:r>
    </w:p>
    <w:p w:rsidR="00112FCD" w:rsidRPr="00281150" w:rsidRDefault="00281150" w:rsidP="00281150">
      <w:pPr>
        <w:spacing w:line="360" w:lineRule="auto"/>
        <w:jc w:val="center"/>
        <w:rPr>
          <w:rFonts w:ascii="Arial" w:eastAsia="Calibri" w:hAnsi="Arial" w:cs="Arial"/>
          <w:b/>
          <w:sz w:val="14"/>
          <w:szCs w:val="26"/>
        </w:rPr>
      </w:pPr>
      <w:r w:rsidRPr="00281150">
        <w:rPr>
          <w:rFonts w:ascii="Arial" w:eastAsia="Calibri" w:hAnsi="Arial" w:cs="Arial"/>
          <w:b/>
          <w:sz w:val="14"/>
          <w:szCs w:val="26"/>
        </w:rPr>
        <w:t>LAS PRESENTES FIRMAS CORRESPONDEN AL RECURSO DE REVISIÓN 237/2018</w:t>
      </w:r>
    </w:p>
    <w:p w:rsidR="00112FCD" w:rsidRDefault="00112FCD" w:rsidP="00112FCD">
      <w:pPr>
        <w:spacing w:line="360" w:lineRule="auto"/>
        <w:jc w:val="center"/>
        <w:rPr>
          <w:rFonts w:ascii="Arial" w:eastAsia="Calibri" w:hAnsi="Arial" w:cs="Arial"/>
          <w:sz w:val="26"/>
          <w:szCs w:val="26"/>
        </w:rPr>
      </w:pPr>
    </w:p>
    <w:p w:rsidR="00112FCD" w:rsidRDefault="00112FCD" w:rsidP="00112FCD">
      <w:pPr>
        <w:spacing w:line="360" w:lineRule="auto"/>
        <w:rPr>
          <w:rFonts w:ascii="Arial" w:eastAsia="Calibri" w:hAnsi="Arial" w:cs="Arial"/>
          <w:sz w:val="26"/>
          <w:szCs w:val="26"/>
        </w:rPr>
      </w:pPr>
    </w:p>
    <w:p w:rsidR="003C7144" w:rsidRDefault="003C7144" w:rsidP="00112FCD">
      <w:pPr>
        <w:spacing w:line="360" w:lineRule="auto"/>
        <w:rPr>
          <w:rFonts w:ascii="Arial" w:eastAsia="Calibri" w:hAnsi="Arial" w:cs="Arial"/>
          <w:sz w:val="26"/>
          <w:szCs w:val="26"/>
        </w:rPr>
      </w:pPr>
    </w:p>
    <w:p w:rsidR="00112FCD" w:rsidRDefault="00112FCD" w:rsidP="00112FCD">
      <w:pPr>
        <w:tabs>
          <w:tab w:val="center" w:pos="4135"/>
          <w:tab w:val="left" w:pos="7515"/>
        </w:tabs>
        <w:spacing w:line="360" w:lineRule="auto"/>
        <w:jc w:val="center"/>
        <w:rPr>
          <w:rFonts w:ascii="Arial" w:hAnsi="Arial" w:cs="Arial"/>
          <w:sz w:val="26"/>
          <w:szCs w:val="26"/>
        </w:rPr>
      </w:pPr>
    </w:p>
    <w:p w:rsidR="00281150" w:rsidRDefault="00281150" w:rsidP="00112FCD">
      <w:pPr>
        <w:tabs>
          <w:tab w:val="center" w:pos="4135"/>
          <w:tab w:val="left" w:pos="7515"/>
        </w:tabs>
        <w:spacing w:line="360" w:lineRule="auto"/>
        <w:jc w:val="center"/>
        <w:rPr>
          <w:rFonts w:ascii="Arial" w:hAnsi="Arial" w:cs="Arial"/>
          <w:sz w:val="26"/>
          <w:szCs w:val="26"/>
        </w:rPr>
      </w:pPr>
    </w:p>
    <w:p w:rsidR="00281150" w:rsidRDefault="00281150" w:rsidP="00112FCD">
      <w:pPr>
        <w:tabs>
          <w:tab w:val="center" w:pos="4135"/>
          <w:tab w:val="left" w:pos="7515"/>
        </w:tabs>
        <w:spacing w:line="360" w:lineRule="auto"/>
        <w:jc w:val="center"/>
        <w:rPr>
          <w:rFonts w:ascii="Arial" w:hAnsi="Arial" w:cs="Arial"/>
          <w:sz w:val="26"/>
          <w:szCs w:val="26"/>
        </w:rPr>
      </w:pPr>
    </w:p>
    <w:p w:rsidR="00112FCD" w:rsidRDefault="00112FCD" w:rsidP="00112FCD">
      <w:pPr>
        <w:jc w:val="center"/>
        <w:rPr>
          <w:rFonts w:ascii="Arial" w:hAnsi="Arial" w:cs="Arial"/>
          <w:sz w:val="26"/>
          <w:szCs w:val="26"/>
        </w:rPr>
      </w:pPr>
      <w:r>
        <w:rPr>
          <w:rFonts w:ascii="Arial" w:hAnsi="Arial" w:cs="Arial"/>
          <w:sz w:val="26"/>
          <w:szCs w:val="26"/>
        </w:rPr>
        <w:t>MAGISTRADO RAÚL PALOMARES PALOMINO</w:t>
      </w:r>
    </w:p>
    <w:p w:rsidR="00112FCD" w:rsidRDefault="00112FCD" w:rsidP="00112FCD">
      <w:pPr>
        <w:jc w:val="center"/>
        <w:rPr>
          <w:rFonts w:ascii="Arial" w:hAnsi="Arial" w:cs="Arial"/>
          <w:sz w:val="26"/>
          <w:szCs w:val="26"/>
        </w:rPr>
      </w:pPr>
    </w:p>
    <w:p w:rsidR="00112FCD" w:rsidRDefault="00112FCD" w:rsidP="00112FCD">
      <w:pPr>
        <w:jc w:val="center"/>
        <w:rPr>
          <w:rFonts w:ascii="Arial" w:hAnsi="Arial" w:cs="Arial"/>
          <w:sz w:val="26"/>
          <w:szCs w:val="26"/>
        </w:rPr>
      </w:pPr>
    </w:p>
    <w:p w:rsidR="003C7144" w:rsidRDefault="003C7144" w:rsidP="00112FCD">
      <w:pPr>
        <w:jc w:val="center"/>
        <w:rPr>
          <w:rFonts w:ascii="Arial" w:hAnsi="Arial" w:cs="Arial"/>
          <w:sz w:val="26"/>
          <w:szCs w:val="26"/>
        </w:rPr>
      </w:pPr>
    </w:p>
    <w:p w:rsidR="00112FCD" w:rsidRDefault="00112FCD" w:rsidP="001A153D">
      <w:pPr>
        <w:rPr>
          <w:rFonts w:ascii="Arial" w:hAnsi="Arial" w:cs="Arial"/>
          <w:sz w:val="26"/>
          <w:szCs w:val="26"/>
        </w:rPr>
      </w:pPr>
    </w:p>
    <w:p w:rsidR="00112FCD" w:rsidRDefault="00112FCD" w:rsidP="00112FCD">
      <w:pPr>
        <w:jc w:val="center"/>
        <w:rPr>
          <w:rFonts w:ascii="Arial" w:hAnsi="Arial" w:cs="Arial"/>
          <w:sz w:val="26"/>
          <w:szCs w:val="26"/>
        </w:rPr>
      </w:pPr>
    </w:p>
    <w:p w:rsidR="00112FCD" w:rsidRDefault="00112FCD" w:rsidP="00112FCD">
      <w:pPr>
        <w:jc w:val="center"/>
        <w:rPr>
          <w:rFonts w:ascii="Arial" w:hAnsi="Arial" w:cs="Arial"/>
          <w:sz w:val="26"/>
          <w:szCs w:val="26"/>
        </w:rPr>
      </w:pPr>
    </w:p>
    <w:p w:rsidR="00112FCD" w:rsidRDefault="00112FCD" w:rsidP="00112FCD">
      <w:pPr>
        <w:jc w:val="center"/>
        <w:rPr>
          <w:rFonts w:ascii="Arial" w:hAnsi="Arial" w:cs="Arial"/>
          <w:sz w:val="26"/>
          <w:szCs w:val="26"/>
        </w:rPr>
      </w:pPr>
    </w:p>
    <w:p w:rsidR="00112FCD" w:rsidRDefault="00112FCD" w:rsidP="00112FCD">
      <w:pPr>
        <w:tabs>
          <w:tab w:val="center" w:pos="4135"/>
          <w:tab w:val="left" w:pos="7515"/>
        </w:tabs>
        <w:spacing w:line="360" w:lineRule="auto"/>
        <w:rPr>
          <w:rFonts w:ascii="Arial" w:hAnsi="Arial" w:cs="Arial"/>
          <w:sz w:val="26"/>
          <w:szCs w:val="26"/>
        </w:rPr>
      </w:pPr>
    </w:p>
    <w:p w:rsidR="00112FCD" w:rsidRDefault="00112FCD" w:rsidP="00112FCD">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MAGISTRADO ABRAHAM SANTIAGO SORIANO</w:t>
      </w:r>
    </w:p>
    <w:p w:rsidR="00112FCD" w:rsidRDefault="00112FCD" w:rsidP="00112FCD">
      <w:pPr>
        <w:tabs>
          <w:tab w:val="left" w:pos="1680"/>
          <w:tab w:val="center" w:pos="4277"/>
        </w:tabs>
        <w:spacing w:line="360" w:lineRule="auto"/>
        <w:jc w:val="center"/>
        <w:rPr>
          <w:rFonts w:ascii="Arial" w:hAnsi="Arial" w:cs="Arial"/>
          <w:sz w:val="26"/>
          <w:szCs w:val="26"/>
        </w:rPr>
      </w:pPr>
    </w:p>
    <w:p w:rsidR="00112FCD" w:rsidRDefault="00112FCD" w:rsidP="001A153D">
      <w:pPr>
        <w:tabs>
          <w:tab w:val="left" w:pos="1680"/>
          <w:tab w:val="center" w:pos="4277"/>
        </w:tabs>
        <w:spacing w:line="360" w:lineRule="auto"/>
        <w:rPr>
          <w:rFonts w:ascii="Arial" w:hAnsi="Arial" w:cs="Arial"/>
          <w:sz w:val="26"/>
          <w:szCs w:val="26"/>
        </w:rPr>
      </w:pPr>
    </w:p>
    <w:p w:rsidR="00281150" w:rsidRDefault="00281150" w:rsidP="001A153D">
      <w:pPr>
        <w:tabs>
          <w:tab w:val="left" w:pos="1680"/>
          <w:tab w:val="center" w:pos="4277"/>
        </w:tabs>
        <w:spacing w:line="360" w:lineRule="auto"/>
        <w:rPr>
          <w:rFonts w:ascii="Arial" w:hAnsi="Arial" w:cs="Arial"/>
          <w:sz w:val="26"/>
          <w:szCs w:val="26"/>
        </w:rPr>
      </w:pPr>
    </w:p>
    <w:p w:rsidR="00281150" w:rsidRDefault="00281150" w:rsidP="001A153D">
      <w:pPr>
        <w:tabs>
          <w:tab w:val="left" w:pos="1680"/>
          <w:tab w:val="center" w:pos="4277"/>
        </w:tabs>
        <w:spacing w:line="360" w:lineRule="auto"/>
        <w:rPr>
          <w:rFonts w:ascii="Arial" w:hAnsi="Arial" w:cs="Arial"/>
          <w:sz w:val="26"/>
          <w:szCs w:val="26"/>
        </w:rPr>
      </w:pPr>
    </w:p>
    <w:p w:rsidR="00112FCD" w:rsidRDefault="00112FCD" w:rsidP="00112FCD">
      <w:pPr>
        <w:tabs>
          <w:tab w:val="left" w:pos="1680"/>
          <w:tab w:val="center" w:pos="4277"/>
        </w:tabs>
        <w:spacing w:line="360" w:lineRule="auto"/>
        <w:jc w:val="center"/>
        <w:rPr>
          <w:rFonts w:ascii="Arial" w:hAnsi="Arial" w:cs="Arial"/>
          <w:sz w:val="26"/>
          <w:szCs w:val="26"/>
        </w:rPr>
      </w:pPr>
    </w:p>
    <w:p w:rsidR="00112FCD" w:rsidRDefault="00112FCD" w:rsidP="00112FCD">
      <w:pPr>
        <w:tabs>
          <w:tab w:val="left" w:pos="1680"/>
          <w:tab w:val="center" w:pos="4277"/>
        </w:tabs>
        <w:spacing w:line="360" w:lineRule="auto"/>
        <w:jc w:val="center"/>
        <w:rPr>
          <w:rFonts w:ascii="Arial" w:hAnsi="Arial" w:cs="Arial"/>
          <w:sz w:val="26"/>
          <w:szCs w:val="26"/>
        </w:rPr>
      </w:pPr>
    </w:p>
    <w:p w:rsidR="00112FCD" w:rsidRDefault="00112FCD" w:rsidP="00112FCD">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MAGISTRADO ADRIÁN QUIROGA AVENDAÑO</w:t>
      </w:r>
    </w:p>
    <w:p w:rsidR="00112FCD" w:rsidRDefault="00112FCD" w:rsidP="00112FCD">
      <w:pPr>
        <w:tabs>
          <w:tab w:val="left" w:pos="1680"/>
          <w:tab w:val="center" w:pos="4277"/>
        </w:tabs>
        <w:spacing w:line="360" w:lineRule="auto"/>
        <w:jc w:val="center"/>
        <w:rPr>
          <w:rFonts w:ascii="Arial" w:hAnsi="Arial" w:cs="Arial"/>
          <w:sz w:val="26"/>
          <w:szCs w:val="26"/>
        </w:rPr>
      </w:pPr>
    </w:p>
    <w:p w:rsidR="00112FCD" w:rsidRDefault="00112FCD" w:rsidP="00112FCD">
      <w:pPr>
        <w:tabs>
          <w:tab w:val="left" w:pos="1680"/>
          <w:tab w:val="center" w:pos="4277"/>
        </w:tabs>
        <w:spacing w:line="360" w:lineRule="auto"/>
        <w:jc w:val="center"/>
        <w:rPr>
          <w:rFonts w:ascii="Arial" w:hAnsi="Arial" w:cs="Arial"/>
          <w:sz w:val="26"/>
          <w:szCs w:val="26"/>
        </w:rPr>
      </w:pPr>
    </w:p>
    <w:p w:rsidR="003C7144" w:rsidRDefault="003C7144" w:rsidP="00112FCD">
      <w:pPr>
        <w:tabs>
          <w:tab w:val="left" w:pos="1680"/>
          <w:tab w:val="center" w:pos="4277"/>
        </w:tabs>
        <w:spacing w:line="360" w:lineRule="auto"/>
        <w:jc w:val="center"/>
        <w:rPr>
          <w:rFonts w:ascii="Arial" w:hAnsi="Arial" w:cs="Arial"/>
          <w:sz w:val="26"/>
          <w:szCs w:val="26"/>
        </w:rPr>
      </w:pPr>
    </w:p>
    <w:p w:rsidR="003C7144" w:rsidRDefault="003C7144" w:rsidP="00112FCD">
      <w:pPr>
        <w:tabs>
          <w:tab w:val="left" w:pos="1680"/>
          <w:tab w:val="center" w:pos="4277"/>
        </w:tabs>
        <w:spacing w:line="360" w:lineRule="auto"/>
        <w:jc w:val="center"/>
        <w:rPr>
          <w:rFonts w:ascii="Arial" w:hAnsi="Arial" w:cs="Arial"/>
          <w:sz w:val="26"/>
          <w:szCs w:val="26"/>
        </w:rPr>
      </w:pPr>
    </w:p>
    <w:p w:rsidR="00112FCD" w:rsidRDefault="00112FCD" w:rsidP="00112FCD">
      <w:pPr>
        <w:tabs>
          <w:tab w:val="left" w:pos="1680"/>
          <w:tab w:val="center" w:pos="4277"/>
        </w:tabs>
        <w:spacing w:line="360" w:lineRule="auto"/>
        <w:jc w:val="center"/>
        <w:rPr>
          <w:rFonts w:ascii="Arial" w:hAnsi="Arial" w:cs="Arial"/>
          <w:sz w:val="26"/>
          <w:szCs w:val="26"/>
        </w:rPr>
      </w:pPr>
    </w:p>
    <w:p w:rsidR="00112FCD" w:rsidRDefault="00112FCD" w:rsidP="00112FCD">
      <w:pPr>
        <w:jc w:val="center"/>
        <w:rPr>
          <w:rFonts w:ascii="Arial" w:hAnsi="Arial" w:cs="Arial"/>
          <w:sz w:val="26"/>
          <w:szCs w:val="26"/>
        </w:rPr>
      </w:pPr>
    </w:p>
    <w:p w:rsidR="00112FCD" w:rsidRPr="00ED4360" w:rsidRDefault="00112FCD" w:rsidP="00112FCD">
      <w:pPr>
        <w:pStyle w:val="Sinespaciado"/>
        <w:jc w:val="center"/>
        <w:rPr>
          <w:rFonts w:ascii="Arial" w:hAnsi="Arial" w:cs="Arial"/>
          <w:sz w:val="26"/>
          <w:szCs w:val="26"/>
        </w:rPr>
      </w:pPr>
      <w:r>
        <w:rPr>
          <w:rFonts w:ascii="Arial" w:hAnsi="Arial" w:cs="Arial"/>
          <w:sz w:val="26"/>
          <w:szCs w:val="26"/>
        </w:rPr>
        <w:t>LICENCIADA</w:t>
      </w:r>
      <w:r w:rsidRPr="00ED4360">
        <w:rPr>
          <w:rFonts w:ascii="Arial" w:hAnsi="Arial" w:cs="Arial"/>
          <w:sz w:val="26"/>
          <w:szCs w:val="26"/>
        </w:rPr>
        <w:t xml:space="preserve"> </w:t>
      </w:r>
      <w:r>
        <w:rPr>
          <w:rFonts w:ascii="Arial" w:hAnsi="Arial" w:cs="Arial"/>
          <w:sz w:val="26"/>
          <w:szCs w:val="26"/>
        </w:rPr>
        <w:t>FELI</w:t>
      </w:r>
      <w:r w:rsidRPr="00ED4360">
        <w:rPr>
          <w:rFonts w:ascii="Arial" w:hAnsi="Arial" w:cs="Arial"/>
          <w:sz w:val="26"/>
          <w:szCs w:val="26"/>
        </w:rPr>
        <w:t>C</w:t>
      </w:r>
      <w:r>
        <w:rPr>
          <w:rFonts w:ascii="Arial" w:hAnsi="Arial" w:cs="Arial"/>
          <w:sz w:val="26"/>
          <w:szCs w:val="26"/>
        </w:rPr>
        <w:t>I</w:t>
      </w:r>
      <w:r w:rsidRPr="00ED4360">
        <w:rPr>
          <w:rFonts w:ascii="Arial" w:hAnsi="Arial" w:cs="Arial"/>
          <w:sz w:val="26"/>
          <w:szCs w:val="26"/>
        </w:rPr>
        <w:t>TAS DÍAZ VÁZQUEZ</w:t>
      </w:r>
    </w:p>
    <w:p w:rsidR="00112FCD" w:rsidRPr="00ED4360" w:rsidRDefault="00112FCD" w:rsidP="00112FCD">
      <w:pPr>
        <w:pStyle w:val="Sinespaciado"/>
        <w:jc w:val="center"/>
        <w:rPr>
          <w:rFonts w:ascii="Arial" w:hAnsi="Arial" w:cs="Arial"/>
          <w:sz w:val="26"/>
          <w:szCs w:val="26"/>
        </w:rPr>
      </w:pPr>
      <w:r w:rsidRPr="00ED4360">
        <w:rPr>
          <w:rFonts w:ascii="Arial" w:hAnsi="Arial" w:cs="Arial"/>
          <w:sz w:val="26"/>
          <w:szCs w:val="26"/>
        </w:rPr>
        <w:t>SECRETARIA GENERAL DE ACUERDOS</w:t>
      </w:r>
    </w:p>
    <w:p w:rsidR="00112FCD" w:rsidRDefault="00112FCD" w:rsidP="00112FCD">
      <w:pPr>
        <w:pStyle w:val="Sinespaciado"/>
        <w:jc w:val="center"/>
        <w:rPr>
          <w:rFonts w:ascii="Arial" w:hAnsi="Arial" w:cs="Arial"/>
          <w:sz w:val="26"/>
          <w:szCs w:val="26"/>
        </w:rPr>
      </w:pPr>
    </w:p>
    <w:p w:rsidR="00112FCD" w:rsidRPr="00ED4360" w:rsidRDefault="00112FCD" w:rsidP="00112FCD">
      <w:pPr>
        <w:pStyle w:val="Sinespaciado"/>
        <w:jc w:val="center"/>
        <w:rPr>
          <w:rFonts w:ascii="Arial" w:hAnsi="Arial" w:cs="Arial"/>
          <w:sz w:val="26"/>
          <w:szCs w:val="26"/>
        </w:rPr>
      </w:pPr>
    </w:p>
    <w:p w:rsidR="00112FCD" w:rsidRDefault="00112FCD" w:rsidP="00112FCD">
      <w:pPr>
        <w:jc w:val="center"/>
        <w:rPr>
          <w:sz w:val="26"/>
          <w:szCs w:val="26"/>
        </w:rPr>
      </w:pPr>
    </w:p>
    <w:p w:rsidR="006B5907" w:rsidRPr="002226BD" w:rsidRDefault="006B5907" w:rsidP="00112FCD">
      <w:pPr>
        <w:spacing w:line="360" w:lineRule="auto"/>
        <w:ind w:left="-284" w:firstLine="708"/>
        <w:jc w:val="both"/>
        <w:rPr>
          <w:rFonts w:ascii="Arial" w:hAnsi="Arial" w:cs="Arial"/>
          <w:sz w:val="26"/>
          <w:szCs w:val="26"/>
        </w:rPr>
      </w:pPr>
    </w:p>
    <w:sectPr w:rsidR="006B5907" w:rsidRPr="002226BD" w:rsidSect="001A153D">
      <w:headerReference w:type="even" r:id="rId8"/>
      <w:headerReference w:type="default" r:id="rId9"/>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77E6D" w:rsidRDefault="00177E6D" w:rsidP="0086324C">
      <w:r>
        <w:separator/>
      </w:r>
    </w:p>
  </w:endnote>
  <w:endnote w:type="continuationSeparator" w:id="0">
    <w:p w:rsidR="00177E6D" w:rsidRDefault="00177E6D" w:rsidP="008632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77E6D" w:rsidRDefault="00177E6D" w:rsidP="0086324C">
      <w:r>
        <w:separator/>
      </w:r>
    </w:p>
  </w:footnote>
  <w:footnote w:type="continuationSeparator" w:id="0">
    <w:p w:rsidR="00177E6D" w:rsidRDefault="00177E6D" w:rsidP="0086324C">
      <w:r>
        <w:continuationSeparator/>
      </w:r>
    </w:p>
  </w:footnote>
  <w:footnote w:id="1">
    <w:p w:rsidR="001A153D" w:rsidRPr="00C320CB" w:rsidRDefault="001A153D" w:rsidP="001A153D">
      <w:pPr>
        <w:pStyle w:val="Textonotapie"/>
        <w:jc w:val="both"/>
        <w:rPr>
          <w:lang w:val="es-MX"/>
        </w:rPr>
      </w:pPr>
      <w:r>
        <w:rPr>
          <w:rStyle w:val="Refdenotaalpie"/>
        </w:rPr>
        <w:footnoteRef/>
      </w:r>
      <w:r>
        <w:t xml:space="preserve"> </w:t>
      </w:r>
      <w:r w:rsidRPr="00C320CB">
        <w:t>Tesis jurisprudencial número 1001524. 15. Primera Sala. Novena Época. Apéndice 1917-Septiembre 2011. Tomo I.  Constitucional 3. Derechos Fundamentales Primera Parte - SCJN Primera Sección - Igualdad y no discriminación, Pág. 835.</w:t>
      </w:r>
    </w:p>
  </w:footnote>
  <w:footnote w:id="2">
    <w:p w:rsidR="001A153D" w:rsidRPr="009A6EA6" w:rsidRDefault="001A153D" w:rsidP="001A153D">
      <w:pPr>
        <w:pStyle w:val="Textonotapie"/>
        <w:rPr>
          <w:lang w:val="es-MX"/>
        </w:rPr>
      </w:pPr>
      <w:r>
        <w:rPr>
          <w:rStyle w:val="Refdenotaalpie"/>
        </w:rPr>
        <w:footnoteRef/>
      </w:r>
      <w:r>
        <w:t xml:space="preserve"> </w:t>
      </w:r>
      <w:r w:rsidRPr="009A6EA6">
        <w:t>Tesis: 1a./J. 55/2006</w:t>
      </w:r>
      <w:r>
        <w:t xml:space="preserve">, </w:t>
      </w:r>
      <w:r w:rsidRPr="009A6EA6">
        <w:t>Primera Sala</w:t>
      </w:r>
      <w:r>
        <w:t xml:space="preserve">, </w:t>
      </w:r>
      <w:r w:rsidRPr="009A6EA6">
        <w:t>Semanario Judicial de la Federación y su Gaceta</w:t>
      </w:r>
      <w:r>
        <w:t xml:space="preserve">, </w:t>
      </w:r>
      <w:r w:rsidRPr="009A6EA6">
        <w:t>Tomo XXIV, Septiembre de 2006</w:t>
      </w:r>
      <w:r>
        <w:t xml:space="preserve">, </w:t>
      </w:r>
      <w:r w:rsidRPr="009A6EA6">
        <w:t>Novena Época</w:t>
      </w:r>
      <w: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5A0041" w:rsidRDefault="005A0041">
        <w:pPr>
          <w:pStyle w:val="Encabezado"/>
          <w:jc w:val="center"/>
        </w:pPr>
        <w:r>
          <w:fldChar w:fldCharType="begin"/>
        </w:r>
        <w:r>
          <w:instrText>PAGE   \* MERGEFORMAT</w:instrText>
        </w:r>
        <w:r>
          <w:fldChar w:fldCharType="separate"/>
        </w:r>
        <w:r w:rsidR="00C22368">
          <w:rPr>
            <w:noProof/>
          </w:rPr>
          <w:t>6</w:t>
        </w:r>
        <w:r>
          <w:fldChar w:fldCharType="end"/>
        </w:r>
      </w:p>
    </w:sdtContent>
  </w:sdt>
  <w:p w:rsidR="005A0041" w:rsidRDefault="00C22368">
    <w:pPr>
      <w:pStyle w:val="Encabezado"/>
    </w:pPr>
    <w:r>
      <w:rPr>
        <w:noProof/>
        <w:lang w:val="es-MX" w:eastAsia="es-MX"/>
      </w:rPr>
      <w:drawing>
        <wp:anchor distT="0" distB="0" distL="114300" distR="114300" simplePos="0" relativeHeight="251662336" behindDoc="0" locked="0" layoutInCell="1" allowOverlap="1" wp14:anchorId="497A1936" wp14:editId="6C260F5F">
          <wp:simplePos x="0" y="0"/>
          <wp:positionH relativeFrom="column">
            <wp:posOffset>5648325</wp:posOffset>
          </wp:positionH>
          <wp:positionV relativeFrom="paragraph">
            <wp:posOffset>5177155</wp:posOffset>
          </wp:positionV>
          <wp:extent cx="923925" cy="885825"/>
          <wp:effectExtent l="0" t="0" r="9525" b="9525"/>
          <wp:wrapNone/>
          <wp:docPr id="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5A0041" w:rsidRDefault="005A0041" w:rsidP="005A0041">
        <w:pPr>
          <w:pStyle w:val="Encabezado"/>
          <w:jc w:val="center"/>
          <w:rPr>
            <w:noProof/>
          </w:rPr>
        </w:pPr>
        <w:r>
          <w:fldChar w:fldCharType="begin"/>
        </w:r>
        <w:r>
          <w:instrText xml:space="preserve"> PAGE   \* MERGEFORMAT </w:instrText>
        </w:r>
        <w:r>
          <w:fldChar w:fldCharType="separate"/>
        </w:r>
        <w:r w:rsidR="00C22368">
          <w:rPr>
            <w:noProof/>
          </w:rPr>
          <w:t>5</w:t>
        </w:r>
        <w:r>
          <w:rPr>
            <w:noProof/>
          </w:rPr>
          <w:fldChar w:fldCharType="end"/>
        </w:r>
      </w:p>
      <w:p w:rsidR="005A0041" w:rsidRDefault="00C22368" w:rsidP="005A0041">
        <w:pPr>
          <w:pStyle w:val="Encabezado"/>
          <w:jc w:val="center"/>
        </w:pPr>
      </w:p>
    </w:sdtContent>
  </w:sdt>
  <w:p w:rsidR="009D5178" w:rsidRDefault="00112FCD" w:rsidP="00112FCD">
    <w:pPr>
      <w:pStyle w:val="Encabezado"/>
      <w:tabs>
        <w:tab w:val="clear" w:pos="4252"/>
        <w:tab w:val="clear" w:pos="8504"/>
        <w:tab w:val="left" w:pos="142"/>
        <w:tab w:val="left" w:pos="6375"/>
      </w:tabs>
      <w:ind w:left="284"/>
      <w:rPr>
        <w:noProof/>
        <w:lang w:val="es-MX" w:eastAsia="es-MX"/>
      </w:rPr>
    </w:pPr>
    <w:r>
      <w:rPr>
        <w:noProof/>
        <w:lang w:val="es-MX" w:eastAsia="es-MX"/>
      </w:rPr>
      <w:tab/>
    </w:r>
  </w:p>
  <w:p w:rsidR="005A0041" w:rsidRDefault="00C22368" w:rsidP="005A0041">
    <w:pPr>
      <w:pStyle w:val="Encabezado"/>
      <w:tabs>
        <w:tab w:val="left" w:pos="142"/>
      </w:tabs>
      <w:ind w:left="284"/>
    </w:pPr>
    <w:r>
      <w:rPr>
        <w:noProof/>
        <w:lang w:val="es-MX" w:eastAsia="es-MX"/>
      </w:rPr>
      <w:drawing>
        <wp:anchor distT="0" distB="0" distL="114300" distR="114300" simplePos="0" relativeHeight="251657216" behindDoc="0" locked="0" layoutInCell="1" allowOverlap="1" wp14:anchorId="14F5B532" wp14:editId="3134F0FE">
          <wp:simplePos x="0" y="0"/>
          <wp:positionH relativeFrom="column">
            <wp:posOffset>-1304925</wp:posOffset>
          </wp:positionH>
          <wp:positionV relativeFrom="paragraph">
            <wp:posOffset>3335020</wp:posOffset>
          </wp:positionV>
          <wp:extent cx="923925" cy="885825"/>
          <wp:effectExtent l="0" t="0" r="9525" b="9525"/>
          <wp:wrapNone/>
          <wp:docPr id="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a:ln>
                    <a:noFill/>
                  </a:ln>
                </pic:spPr>
              </pic:pic>
            </a:graphicData>
          </a:graphic>
          <wp14:sizeRelH relativeFrom="page">
            <wp14:pctWidth>0</wp14:pctWidth>
          </wp14:sizeRelH>
          <wp14:sizeRelV relativeFrom="page">
            <wp14:pctHeight>0</wp14:pctHeight>
          </wp14:sizeRelV>
        </wp:anchor>
      </w:drawing>
    </w:r>
    <w:r w:rsidR="00112FCD" w:rsidRPr="003E6AD7">
      <w:rPr>
        <w:noProof/>
        <w:lang w:val="es-MX" w:eastAsia="es-MX"/>
      </w:rPr>
      <w:drawing>
        <wp:anchor distT="0" distB="0" distL="114300" distR="114300" simplePos="0" relativeHeight="251655168" behindDoc="0" locked="0" layoutInCell="1" allowOverlap="1" wp14:anchorId="0BE05775" wp14:editId="3887CF30">
          <wp:simplePos x="0" y="0"/>
          <wp:positionH relativeFrom="page">
            <wp:posOffset>349250</wp:posOffset>
          </wp:positionH>
          <wp:positionV relativeFrom="paragraph">
            <wp:posOffset>4665980</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D5178">
      <w:rPr>
        <w:noProof/>
        <w:lang w:val="es-MX" w:eastAsia="es-MX"/>
      </w:rPr>
      <w:b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261531AC"/>
    <w:multiLevelType w:val="hybridMultilevel"/>
    <w:tmpl w:val="0E008988"/>
    <w:lvl w:ilvl="0" w:tplc="B69AC1E6">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
    <w:nsid w:val="34A56D03"/>
    <w:multiLevelType w:val="hybridMultilevel"/>
    <w:tmpl w:val="FCB410E0"/>
    <w:lvl w:ilvl="0" w:tplc="AE186DF6">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3">
    <w:nsid w:val="77792E11"/>
    <w:multiLevelType w:val="hybridMultilevel"/>
    <w:tmpl w:val="E766B0DA"/>
    <w:lvl w:ilvl="0" w:tplc="2F8C9BDC">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defaultTabStop w:val="708"/>
  <w:hyphenationZone w:val="425"/>
  <w:evenAndOddHeaders/>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324C"/>
    <w:rsid w:val="0000291B"/>
    <w:rsid w:val="00002D1B"/>
    <w:rsid w:val="0000639F"/>
    <w:rsid w:val="00010E72"/>
    <w:rsid w:val="0001511C"/>
    <w:rsid w:val="00023AE0"/>
    <w:rsid w:val="000356B8"/>
    <w:rsid w:val="00036E58"/>
    <w:rsid w:val="0003721D"/>
    <w:rsid w:val="000403C3"/>
    <w:rsid w:val="00041685"/>
    <w:rsid w:val="000419E2"/>
    <w:rsid w:val="000435C3"/>
    <w:rsid w:val="00044986"/>
    <w:rsid w:val="00052F68"/>
    <w:rsid w:val="000634AD"/>
    <w:rsid w:val="00063ECC"/>
    <w:rsid w:val="00066584"/>
    <w:rsid w:val="000735CD"/>
    <w:rsid w:val="00073CE2"/>
    <w:rsid w:val="000761BA"/>
    <w:rsid w:val="0008646E"/>
    <w:rsid w:val="0009043C"/>
    <w:rsid w:val="000912F2"/>
    <w:rsid w:val="00093AD2"/>
    <w:rsid w:val="000A6001"/>
    <w:rsid w:val="000B0C12"/>
    <w:rsid w:val="000C2693"/>
    <w:rsid w:val="000C683C"/>
    <w:rsid w:val="000C6957"/>
    <w:rsid w:val="000D2E73"/>
    <w:rsid w:val="000D4AB5"/>
    <w:rsid w:val="000F7460"/>
    <w:rsid w:val="001008B4"/>
    <w:rsid w:val="00100A52"/>
    <w:rsid w:val="00103F85"/>
    <w:rsid w:val="0010570A"/>
    <w:rsid w:val="00110B0E"/>
    <w:rsid w:val="001117B6"/>
    <w:rsid w:val="00112FCD"/>
    <w:rsid w:val="00120984"/>
    <w:rsid w:val="00123EC2"/>
    <w:rsid w:val="001314F2"/>
    <w:rsid w:val="00142B33"/>
    <w:rsid w:val="001437EF"/>
    <w:rsid w:val="00153114"/>
    <w:rsid w:val="001559BF"/>
    <w:rsid w:val="001617BC"/>
    <w:rsid w:val="00161C6A"/>
    <w:rsid w:val="0017342C"/>
    <w:rsid w:val="00176019"/>
    <w:rsid w:val="00176F42"/>
    <w:rsid w:val="001772E5"/>
    <w:rsid w:val="00177E6D"/>
    <w:rsid w:val="00195B00"/>
    <w:rsid w:val="001A0584"/>
    <w:rsid w:val="001A153D"/>
    <w:rsid w:val="001A55C0"/>
    <w:rsid w:val="001B054F"/>
    <w:rsid w:val="001B6799"/>
    <w:rsid w:val="001B720E"/>
    <w:rsid w:val="001B72FC"/>
    <w:rsid w:val="001C7823"/>
    <w:rsid w:val="001D7457"/>
    <w:rsid w:val="001E7EA9"/>
    <w:rsid w:val="001F5A97"/>
    <w:rsid w:val="001F7789"/>
    <w:rsid w:val="0020469D"/>
    <w:rsid w:val="002226BD"/>
    <w:rsid w:val="00226DC2"/>
    <w:rsid w:val="00232E82"/>
    <w:rsid w:val="00233D05"/>
    <w:rsid w:val="00244927"/>
    <w:rsid w:val="0024547A"/>
    <w:rsid w:val="00246FE5"/>
    <w:rsid w:val="00262CFF"/>
    <w:rsid w:val="00262DE6"/>
    <w:rsid w:val="00263CE0"/>
    <w:rsid w:val="00265C24"/>
    <w:rsid w:val="00265E96"/>
    <w:rsid w:val="00266BA6"/>
    <w:rsid w:val="00267AB6"/>
    <w:rsid w:val="00281150"/>
    <w:rsid w:val="00282A4C"/>
    <w:rsid w:val="00286425"/>
    <w:rsid w:val="00293AC9"/>
    <w:rsid w:val="002946FD"/>
    <w:rsid w:val="002947C2"/>
    <w:rsid w:val="002A4A28"/>
    <w:rsid w:val="002A56E7"/>
    <w:rsid w:val="002A6E97"/>
    <w:rsid w:val="002B733C"/>
    <w:rsid w:val="002C05DE"/>
    <w:rsid w:val="002C106D"/>
    <w:rsid w:val="002C6022"/>
    <w:rsid w:val="002C6BD4"/>
    <w:rsid w:val="002D767A"/>
    <w:rsid w:val="002E09D5"/>
    <w:rsid w:val="002E3019"/>
    <w:rsid w:val="002E4046"/>
    <w:rsid w:val="002F76DA"/>
    <w:rsid w:val="003013F5"/>
    <w:rsid w:val="0030320B"/>
    <w:rsid w:val="003074FB"/>
    <w:rsid w:val="00312807"/>
    <w:rsid w:val="00315FF5"/>
    <w:rsid w:val="00322F0A"/>
    <w:rsid w:val="00327112"/>
    <w:rsid w:val="003373D0"/>
    <w:rsid w:val="003453F7"/>
    <w:rsid w:val="00345682"/>
    <w:rsid w:val="00347458"/>
    <w:rsid w:val="00351FFD"/>
    <w:rsid w:val="00362548"/>
    <w:rsid w:val="00370DD3"/>
    <w:rsid w:val="003710F3"/>
    <w:rsid w:val="00374536"/>
    <w:rsid w:val="00374841"/>
    <w:rsid w:val="00375598"/>
    <w:rsid w:val="00375DD4"/>
    <w:rsid w:val="00387132"/>
    <w:rsid w:val="00390DBF"/>
    <w:rsid w:val="003A0B65"/>
    <w:rsid w:val="003A1BCF"/>
    <w:rsid w:val="003A7ED2"/>
    <w:rsid w:val="003C7144"/>
    <w:rsid w:val="003D64A8"/>
    <w:rsid w:val="003E06D0"/>
    <w:rsid w:val="003F0D67"/>
    <w:rsid w:val="003F1B7F"/>
    <w:rsid w:val="003F2456"/>
    <w:rsid w:val="00401620"/>
    <w:rsid w:val="00406EB1"/>
    <w:rsid w:val="00410238"/>
    <w:rsid w:val="00413494"/>
    <w:rsid w:val="00430716"/>
    <w:rsid w:val="00441007"/>
    <w:rsid w:val="00442407"/>
    <w:rsid w:val="0045464F"/>
    <w:rsid w:val="004829E1"/>
    <w:rsid w:val="00483CD6"/>
    <w:rsid w:val="004A0926"/>
    <w:rsid w:val="004B0C15"/>
    <w:rsid w:val="004B474C"/>
    <w:rsid w:val="004D2249"/>
    <w:rsid w:val="004D53E5"/>
    <w:rsid w:val="004E16D5"/>
    <w:rsid w:val="004E3ACA"/>
    <w:rsid w:val="004E49FA"/>
    <w:rsid w:val="004E671F"/>
    <w:rsid w:val="004E7B9E"/>
    <w:rsid w:val="004F2D4F"/>
    <w:rsid w:val="004F6EFE"/>
    <w:rsid w:val="005000B8"/>
    <w:rsid w:val="00500511"/>
    <w:rsid w:val="00504E43"/>
    <w:rsid w:val="00515919"/>
    <w:rsid w:val="00517AED"/>
    <w:rsid w:val="00520E4A"/>
    <w:rsid w:val="0053322D"/>
    <w:rsid w:val="00534B12"/>
    <w:rsid w:val="00543AC8"/>
    <w:rsid w:val="0054778D"/>
    <w:rsid w:val="0055003F"/>
    <w:rsid w:val="00554237"/>
    <w:rsid w:val="005634F0"/>
    <w:rsid w:val="00565066"/>
    <w:rsid w:val="00572100"/>
    <w:rsid w:val="00572312"/>
    <w:rsid w:val="00572CC1"/>
    <w:rsid w:val="005802E3"/>
    <w:rsid w:val="005805E6"/>
    <w:rsid w:val="00582A85"/>
    <w:rsid w:val="005842F9"/>
    <w:rsid w:val="0058561F"/>
    <w:rsid w:val="005911F6"/>
    <w:rsid w:val="005939FC"/>
    <w:rsid w:val="005A0041"/>
    <w:rsid w:val="005A21F9"/>
    <w:rsid w:val="005A5118"/>
    <w:rsid w:val="005A6F11"/>
    <w:rsid w:val="005B7F94"/>
    <w:rsid w:val="005C1643"/>
    <w:rsid w:val="005C2FEE"/>
    <w:rsid w:val="005C49D1"/>
    <w:rsid w:val="005C5E2B"/>
    <w:rsid w:val="005C6D5A"/>
    <w:rsid w:val="005D0269"/>
    <w:rsid w:val="005D0DB9"/>
    <w:rsid w:val="005E22F7"/>
    <w:rsid w:val="005E47D3"/>
    <w:rsid w:val="005F5F50"/>
    <w:rsid w:val="00602C4B"/>
    <w:rsid w:val="00603900"/>
    <w:rsid w:val="00605657"/>
    <w:rsid w:val="006119CB"/>
    <w:rsid w:val="00612491"/>
    <w:rsid w:val="00625AE1"/>
    <w:rsid w:val="00643BCF"/>
    <w:rsid w:val="00651C1E"/>
    <w:rsid w:val="00652127"/>
    <w:rsid w:val="00667E58"/>
    <w:rsid w:val="00674146"/>
    <w:rsid w:val="006755ED"/>
    <w:rsid w:val="006801A6"/>
    <w:rsid w:val="00681A33"/>
    <w:rsid w:val="00683227"/>
    <w:rsid w:val="00687623"/>
    <w:rsid w:val="00696423"/>
    <w:rsid w:val="00696B58"/>
    <w:rsid w:val="00696CAB"/>
    <w:rsid w:val="006A4DD0"/>
    <w:rsid w:val="006A53B7"/>
    <w:rsid w:val="006A69B7"/>
    <w:rsid w:val="006A6C96"/>
    <w:rsid w:val="006B2B1F"/>
    <w:rsid w:val="006B5907"/>
    <w:rsid w:val="006B6E22"/>
    <w:rsid w:val="006C127A"/>
    <w:rsid w:val="006C43A5"/>
    <w:rsid w:val="006C7FF1"/>
    <w:rsid w:val="006D2350"/>
    <w:rsid w:val="006E1498"/>
    <w:rsid w:val="006F0C94"/>
    <w:rsid w:val="006F62A3"/>
    <w:rsid w:val="006F640D"/>
    <w:rsid w:val="006F700A"/>
    <w:rsid w:val="00702AE8"/>
    <w:rsid w:val="00704B8D"/>
    <w:rsid w:val="00710EF4"/>
    <w:rsid w:val="00721D5E"/>
    <w:rsid w:val="00724063"/>
    <w:rsid w:val="00725896"/>
    <w:rsid w:val="00736D95"/>
    <w:rsid w:val="007467F9"/>
    <w:rsid w:val="00750C39"/>
    <w:rsid w:val="007638EA"/>
    <w:rsid w:val="00766EE1"/>
    <w:rsid w:val="00770C05"/>
    <w:rsid w:val="00771FA9"/>
    <w:rsid w:val="00772704"/>
    <w:rsid w:val="007744DB"/>
    <w:rsid w:val="00775208"/>
    <w:rsid w:val="007803F8"/>
    <w:rsid w:val="00784644"/>
    <w:rsid w:val="00787AC6"/>
    <w:rsid w:val="00792D97"/>
    <w:rsid w:val="007951F2"/>
    <w:rsid w:val="00796826"/>
    <w:rsid w:val="007B133E"/>
    <w:rsid w:val="007B24B6"/>
    <w:rsid w:val="007B31BD"/>
    <w:rsid w:val="007B35A3"/>
    <w:rsid w:val="007B5A59"/>
    <w:rsid w:val="007B74A1"/>
    <w:rsid w:val="007C27AD"/>
    <w:rsid w:val="007D2C06"/>
    <w:rsid w:val="007D3714"/>
    <w:rsid w:val="007E0541"/>
    <w:rsid w:val="007E2B9E"/>
    <w:rsid w:val="007E5863"/>
    <w:rsid w:val="00802211"/>
    <w:rsid w:val="008058B6"/>
    <w:rsid w:val="00805C7F"/>
    <w:rsid w:val="0080622E"/>
    <w:rsid w:val="008255FD"/>
    <w:rsid w:val="00841F85"/>
    <w:rsid w:val="0084294D"/>
    <w:rsid w:val="00844FB5"/>
    <w:rsid w:val="008477FF"/>
    <w:rsid w:val="00851A38"/>
    <w:rsid w:val="00853F7D"/>
    <w:rsid w:val="00855755"/>
    <w:rsid w:val="0085671A"/>
    <w:rsid w:val="00857C9C"/>
    <w:rsid w:val="00862906"/>
    <w:rsid w:val="0086295A"/>
    <w:rsid w:val="0086324C"/>
    <w:rsid w:val="00863795"/>
    <w:rsid w:val="00867DC7"/>
    <w:rsid w:val="00871E80"/>
    <w:rsid w:val="0088538D"/>
    <w:rsid w:val="0088680F"/>
    <w:rsid w:val="00886E7A"/>
    <w:rsid w:val="00892857"/>
    <w:rsid w:val="00895421"/>
    <w:rsid w:val="00895A3E"/>
    <w:rsid w:val="0089776E"/>
    <w:rsid w:val="008B0C94"/>
    <w:rsid w:val="008D1C33"/>
    <w:rsid w:val="008D32AA"/>
    <w:rsid w:val="008E08B9"/>
    <w:rsid w:val="008E25F2"/>
    <w:rsid w:val="008E773C"/>
    <w:rsid w:val="008F18D7"/>
    <w:rsid w:val="008F52A7"/>
    <w:rsid w:val="009041FC"/>
    <w:rsid w:val="0092244F"/>
    <w:rsid w:val="009239F3"/>
    <w:rsid w:val="00926745"/>
    <w:rsid w:val="00944265"/>
    <w:rsid w:val="009449E8"/>
    <w:rsid w:val="00944A5C"/>
    <w:rsid w:val="00961155"/>
    <w:rsid w:val="0096695A"/>
    <w:rsid w:val="00974CEB"/>
    <w:rsid w:val="00974E9B"/>
    <w:rsid w:val="009759AA"/>
    <w:rsid w:val="00981211"/>
    <w:rsid w:val="00982303"/>
    <w:rsid w:val="00983B89"/>
    <w:rsid w:val="00984A57"/>
    <w:rsid w:val="009872FE"/>
    <w:rsid w:val="009A29AE"/>
    <w:rsid w:val="009A3413"/>
    <w:rsid w:val="009B2EA7"/>
    <w:rsid w:val="009C0C04"/>
    <w:rsid w:val="009C4792"/>
    <w:rsid w:val="009C5367"/>
    <w:rsid w:val="009D31CA"/>
    <w:rsid w:val="009D5178"/>
    <w:rsid w:val="009E04F1"/>
    <w:rsid w:val="009E42AE"/>
    <w:rsid w:val="009E4F41"/>
    <w:rsid w:val="009E55FA"/>
    <w:rsid w:val="009F1FD5"/>
    <w:rsid w:val="009F4D2B"/>
    <w:rsid w:val="00A0411B"/>
    <w:rsid w:val="00A10F98"/>
    <w:rsid w:val="00A20617"/>
    <w:rsid w:val="00A2733F"/>
    <w:rsid w:val="00A309B6"/>
    <w:rsid w:val="00A3345B"/>
    <w:rsid w:val="00A35447"/>
    <w:rsid w:val="00A40BBE"/>
    <w:rsid w:val="00A42893"/>
    <w:rsid w:val="00A47102"/>
    <w:rsid w:val="00A476CA"/>
    <w:rsid w:val="00A47F7C"/>
    <w:rsid w:val="00A508D7"/>
    <w:rsid w:val="00A56232"/>
    <w:rsid w:val="00A57667"/>
    <w:rsid w:val="00A600AF"/>
    <w:rsid w:val="00A732AB"/>
    <w:rsid w:val="00A847B1"/>
    <w:rsid w:val="00A92AD7"/>
    <w:rsid w:val="00A969C6"/>
    <w:rsid w:val="00A97C4D"/>
    <w:rsid w:val="00AA046D"/>
    <w:rsid w:val="00AA0E76"/>
    <w:rsid w:val="00AB0241"/>
    <w:rsid w:val="00AB0D24"/>
    <w:rsid w:val="00AB3B51"/>
    <w:rsid w:val="00AC27E8"/>
    <w:rsid w:val="00AC6780"/>
    <w:rsid w:val="00AD3626"/>
    <w:rsid w:val="00AD3C9B"/>
    <w:rsid w:val="00AD4DB6"/>
    <w:rsid w:val="00AD73EA"/>
    <w:rsid w:val="00AE4B9A"/>
    <w:rsid w:val="00AE73F3"/>
    <w:rsid w:val="00AF574D"/>
    <w:rsid w:val="00B0177C"/>
    <w:rsid w:val="00B0618B"/>
    <w:rsid w:val="00B06594"/>
    <w:rsid w:val="00B06AC0"/>
    <w:rsid w:val="00B1093A"/>
    <w:rsid w:val="00B1170F"/>
    <w:rsid w:val="00B1605D"/>
    <w:rsid w:val="00B17C94"/>
    <w:rsid w:val="00B23ABF"/>
    <w:rsid w:val="00B274E8"/>
    <w:rsid w:val="00B27EB0"/>
    <w:rsid w:val="00B50462"/>
    <w:rsid w:val="00B525A9"/>
    <w:rsid w:val="00B540A0"/>
    <w:rsid w:val="00B54B17"/>
    <w:rsid w:val="00B60D14"/>
    <w:rsid w:val="00B66AF4"/>
    <w:rsid w:val="00B675C8"/>
    <w:rsid w:val="00B73016"/>
    <w:rsid w:val="00B81ED2"/>
    <w:rsid w:val="00B8500D"/>
    <w:rsid w:val="00B87D56"/>
    <w:rsid w:val="00B959DB"/>
    <w:rsid w:val="00BA67AE"/>
    <w:rsid w:val="00BB0AD8"/>
    <w:rsid w:val="00BB1547"/>
    <w:rsid w:val="00BB3360"/>
    <w:rsid w:val="00BD62B8"/>
    <w:rsid w:val="00BE3B76"/>
    <w:rsid w:val="00BF31B1"/>
    <w:rsid w:val="00BF4270"/>
    <w:rsid w:val="00BF618B"/>
    <w:rsid w:val="00BF6517"/>
    <w:rsid w:val="00C01661"/>
    <w:rsid w:val="00C06F24"/>
    <w:rsid w:val="00C159A5"/>
    <w:rsid w:val="00C1660E"/>
    <w:rsid w:val="00C20538"/>
    <w:rsid w:val="00C22368"/>
    <w:rsid w:val="00C26834"/>
    <w:rsid w:val="00C314D3"/>
    <w:rsid w:val="00C33757"/>
    <w:rsid w:val="00C47321"/>
    <w:rsid w:val="00C503D7"/>
    <w:rsid w:val="00C51772"/>
    <w:rsid w:val="00C531F0"/>
    <w:rsid w:val="00C64F74"/>
    <w:rsid w:val="00C751E6"/>
    <w:rsid w:val="00C7755F"/>
    <w:rsid w:val="00C8038B"/>
    <w:rsid w:val="00C858C3"/>
    <w:rsid w:val="00C87533"/>
    <w:rsid w:val="00C9209A"/>
    <w:rsid w:val="00C94FF0"/>
    <w:rsid w:val="00C9502A"/>
    <w:rsid w:val="00C96AC8"/>
    <w:rsid w:val="00CA4F40"/>
    <w:rsid w:val="00CB1630"/>
    <w:rsid w:val="00CB4F6B"/>
    <w:rsid w:val="00CB721C"/>
    <w:rsid w:val="00CD0972"/>
    <w:rsid w:val="00CD2F3D"/>
    <w:rsid w:val="00CD3A92"/>
    <w:rsid w:val="00CD66CA"/>
    <w:rsid w:val="00CE12E0"/>
    <w:rsid w:val="00CF1C55"/>
    <w:rsid w:val="00CF2E22"/>
    <w:rsid w:val="00CF6487"/>
    <w:rsid w:val="00CF75E3"/>
    <w:rsid w:val="00D0003E"/>
    <w:rsid w:val="00D0246B"/>
    <w:rsid w:val="00D026C4"/>
    <w:rsid w:val="00D07AA3"/>
    <w:rsid w:val="00D11093"/>
    <w:rsid w:val="00D12A30"/>
    <w:rsid w:val="00D23FC5"/>
    <w:rsid w:val="00D24801"/>
    <w:rsid w:val="00D31951"/>
    <w:rsid w:val="00D32014"/>
    <w:rsid w:val="00D32682"/>
    <w:rsid w:val="00D327B8"/>
    <w:rsid w:val="00D32DA3"/>
    <w:rsid w:val="00D33550"/>
    <w:rsid w:val="00D34394"/>
    <w:rsid w:val="00D35AB8"/>
    <w:rsid w:val="00D376AD"/>
    <w:rsid w:val="00D41B95"/>
    <w:rsid w:val="00D4265C"/>
    <w:rsid w:val="00D50AE6"/>
    <w:rsid w:val="00D5276D"/>
    <w:rsid w:val="00D5549D"/>
    <w:rsid w:val="00D63D8F"/>
    <w:rsid w:val="00D64493"/>
    <w:rsid w:val="00D7090D"/>
    <w:rsid w:val="00D91A99"/>
    <w:rsid w:val="00D92032"/>
    <w:rsid w:val="00DB0E12"/>
    <w:rsid w:val="00DB79FE"/>
    <w:rsid w:val="00DC2F6D"/>
    <w:rsid w:val="00DD117A"/>
    <w:rsid w:val="00DD7089"/>
    <w:rsid w:val="00DD76F4"/>
    <w:rsid w:val="00DF0936"/>
    <w:rsid w:val="00DF520D"/>
    <w:rsid w:val="00E04A76"/>
    <w:rsid w:val="00E12938"/>
    <w:rsid w:val="00E23BEE"/>
    <w:rsid w:val="00E26C40"/>
    <w:rsid w:val="00E32781"/>
    <w:rsid w:val="00E32BCA"/>
    <w:rsid w:val="00E36E6C"/>
    <w:rsid w:val="00E43322"/>
    <w:rsid w:val="00E530A1"/>
    <w:rsid w:val="00E57E95"/>
    <w:rsid w:val="00E624E8"/>
    <w:rsid w:val="00E71DE5"/>
    <w:rsid w:val="00E76AE3"/>
    <w:rsid w:val="00E839C6"/>
    <w:rsid w:val="00E87D85"/>
    <w:rsid w:val="00E92163"/>
    <w:rsid w:val="00EA3408"/>
    <w:rsid w:val="00EA7274"/>
    <w:rsid w:val="00EB3361"/>
    <w:rsid w:val="00EB442F"/>
    <w:rsid w:val="00EC316F"/>
    <w:rsid w:val="00EC5D12"/>
    <w:rsid w:val="00ED4373"/>
    <w:rsid w:val="00EE0ABE"/>
    <w:rsid w:val="00EE18C2"/>
    <w:rsid w:val="00EE28F2"/>
    <w:rsid w:val="00EE59F3"/>
    <w:rsid w:val="00EE6B93"/>
    <w:rsid w:val="00EE77F8"/>
    <w:rsid w:val="00F03673"/>
    <w:rsid w:val="00F03E94"/>
    <w:rsid w:val="00F07F94"/>
    <w:rsid w:val="00F12399"/>
    <w:rsid w:val="00F157C7"/>
    <w:rsid w:val="00F16F3C"/>
    <w:rsid w:val="00F21A20"/>
    <w:rsid w:val="00F22F9C"/>
    <w:rsid w:val="00F23B6E"/>
    <w:rsid w:val="00F24299"/>
    <w:rsid w:val="00F26FCD"/>
    <w:rsid w:val="00F37F5B"/>
    <w:rsid w:val="00F4677D"/>
    <w:rsid w:val="00F468ED"/>
    <w:rsid w:val="00F52FBC"/>
    <w:rsid w:val="00F575D8"/>
    <w:rsid w:val="00F674F7"/>
    <w:rsid w:val="00F67A1C"/>
    <w:rsid w:val="00F67E44"/>
    <w:rsid w:val="00F86C69"/>
    <w:rsid w:val="00F92FE2"/>
    <w:rsid w:val="00F95668"/>
    <w:rsid w:val="00F968CB"/>
    <w:rsid w:val="00F97248"/>
    <w:rsid w:val="00F97653"/>
    <w:rsid w:val="00F97D9A"/>
    <w:rsid w:val="00FA08E1"/>
    <w:rsid w:val="00FA6314"/>
    <w:rsid w:val="00FB0316"/>
    <w:rsid w:val="00FC13FE"/>
    <w:rsid w:val="00FC43DD"/>
    <w:rsid w:val="00FC7594"/>
    <w:rsid w:val="00FD089F"/>
    <w:rsid w:val="00FD1CC2"/>
    <w:rsid w:val="00FE7629"/>
    <w:rsid w:val="00FF06A7"/>
    <w:rsid w:val="00FF6E13"/>
    <w:rsid w:val="00FF763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docId w15:val="{C7A84BAA-2D40-4FCC-8F2B-A995CE7FC7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6324C"/>
    <w:pPr>
      <w:spacing w:after="0" w:line="240" w:lineRule="auto"/>
    </w:pPr>
  </w:style>
  <w:style w:type="paragraph" w:styleId="Ttulo1">
    <w:name w:val="heading 1"/>
    <w:basedOn w:val="Normal"/>
    <w:next w:val="Normal"/>
    <w:link w:val="Ttulo1Car"/>
    <w:uiPriority w:val="9"/>
    <w:qFormat/>
    <w:rsid w:val="0086324C"/>
    <w:pPr>
      <w:keepNext/>
      <w:keepLines/>
      <w:spacing w:before="480" w:line="276" w:lineRule="auto"/>
      <w:outlineLvl w:val="0"/>
    </w:pPr>
    <w:rPr>
      <w:rFonts w:asciiTheme="majorHAnsi" w:eastAsiaTheme="majorEastAsia" w:hAnsiTheme="majorHAnsi" w:cstheme="majorBidi"/>
      <w:b/>
      <w:bCs/>
      <w:color w:val="2E74B5" w:themeColor="accent1" w:themeShade="BF"/>
      <w:sz w:val="28"/>
      <w:szCs w:val="28"/>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86324C"/>
    <w:rPr>
      <w:rFonts w:asciiTheme="majorHAnsi" w:eastAsiaTheme="majorEastAsia" w:hAnsiTheme="majorHAnsi" w:cstheme="majorBidi"/>
      <w:b/>
      <w:bCs/>
      <w:color w:val="2E74B5" w:themeColor="accent1" w:themeShade="BF"/>
      <w:sz w:val="28"/>
      <w:szCs w:val="28"/>
      <w:lang w:val="es-ES"/>
    </w:rPr>
  </w:style>
  <w:style w:type="paragraph" w:customStyle="1" w:styleId="Textoindependiente21">
    <w:name w:val="Texto independiente 21"/>
    <w:basedOn w:val="Normal"/>
    <w:rsid w:val="0086324C"/>
    <w:pPr>
      <w:widowControl w:val="0"/>
      <w:spacing w:line="480" w:lineRule="auto"/>
      <w:ind w:right="51" w:firstLine="1134"/>
      <w:jc w:val="both"/>
    </w:pPr>
    <w:rPr>
      <w:rFonts w:ascii="Courier" w:eastAsia="Times New Roman" w:hAnsi="Courier" w:cs="Times New Roman"/>
      <w:sz w:val="24"/>
      <w:szCs w:val="20"/>
      <w:lang w:val="es-ES" w:eastAsia="es-ES"/>
    </w:rPr>
  </w:style>
  <w:style w:type="paragraph" w:styleId="Encabezado">
    <w:name w:val="header"/>
    <w:basedOn w:val="Normal"/>
    <w:link w:val="EncabezadoCar"/>
    <w:uiPriority w:val="99"/>
    <w:rsid w:val="0086324C"/>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86324C"/>
    <w:rPr>
      <w:rFonts w:ascii="Times New Roman" w:eastAsia="PMingLiU" w:hAnsi="Times New Roman" w:cs="Times New Roman"/>
      <w:sz w:val="24"/>
      <w:szCs w:val="24"/>
      <w:lang w:val="es-ES" w:eastAsia="zh-TW"/>
    </w:rPr>
  </w:style>
  <w:style w:type="paragraph" w:styleId="Sinespaciado">
    <w:name w:val="No Spacing"/>
    <w:uiPriority w:val="1"/>
    <w:qFormat/>
    <w:rsid w:val="0086324C"/>
    <w:pPr>
      <w:spacing w:after="0" w:line="240" w:lineRule="auto"/>
    </w:pPr>
    <w:rPr>
      <w:lang w:val="es-ES"/>
    </w:rPr>
  </w:style>
  <w:style w:type="paragraph" w:styleId="Textonotapie">
    <w:name w:val="footnote text"/>
    <w:basedOn w:val="Normal"/>
    <w:link w:val="TextonotapieCar"/>
    <w:uiPriority w:val="99"/>
    <w:unhideWhenUsed/>
    <w:rsid w:val="0086324C"/>
    <w:rPr>
      <w:sz w:val="20"/>
      <w:szCs w:val="20"/>
      <w:lang w:val="es-ES"/>
    </w:rPr>
  </w:style>
  <w:style w:type="character" w:customStyle="1" w:styleId="TextonotapieCar">
    <w:name w:val="Texto nota pie Car"/>
    <w:basedOn w:val="Fuentedeprrafopredeter"/>
    <w:link w:val="Textonotapie"/>
    <w:uiPriority w:val="99"/>
    <w:rsid w:val="0086324C"/>
    <w:rPr>
      <w:sz w:val="20"/>
      <w:szCs w:val="20"/>
      <w:lang w:val="es-ES"/>
    </w:rPr>
  </w:style>
  <w:style w:type="character" w:styleId="Refdenotaalpie">
    <w:name w:val="footnote reference"/>
    <w:basedOn w:val="Fuentedeprrafopredeter"/>
    <w:uiPriority w:val="99"/>
    <w:semiHidden/>
    <w:unhideWhenUsed/>
    <w:rsid w:val="0086324C"/>
    <w:rPr>
      <w:vertAlign w:val="superscript"/>
    </w:rPr>
  </w:style>
  <w:style w:type="paragraph" w:styleId="Prrafodelista">
    <w:name w:val="List Paragraph"/>
    <w:basedOn w:val="Normal"/>
    <w:uiPriority w:val="34"/>
    <w:qFormat/>
    <w:rsid w:val="00796826"/>
    <w:pPr>
      <w:spacing w:after="200" w:line="276" w:lineRule="auto"/>
      <w:ind w:left="720"/>
      <w:contextualSpacing/>
    </w:pPr>
    <w:rPr>
      <w:lang w:val="es-ES"/>
    </w:rPr>
  </w:style>
  <w:style w:type="paragraph" w:styleId="Textodeglobo">
    <w:name w:val="Balloon Text"/>
    <w:basedOn w:val="Normal"/>
    <w:link w:val="TextodegloboCar"/>
    <w:uiPriority w:val="99"/>
    <w:semiHidden/>
    <w:unhideWhenUsed/>
    <w:rsid w:val="005000B8"/>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000B8"/>
    <w:rPr>
      <w:rFonts w:ascii="Segoe UI" w:hAnsi="Segoe UI" w:cs="Segoe UI"/>
      <w:sz w:val="18"/>
      <w:szCs w:val="18"/>
    </w:rPr>
  </w:style>
  <w:style w:type="paragraph" w:customStyle="1" w:styleId="Pa1">
    <w:name w:val="Pa1"/>
    <w:basedOn w:val="Normal"/>
    <w:next w:val="Normal"/>
    <w:uiPriority w:val="99"/>
    <w:rsid w:val="00BD62B8"/>
    <w:pPr>
      <w:autoSpaceDE w:val="0"/>
      <w:autoSpaceDN w:val="0"/>
      <w:adjustRightInd w:val="0"/>
      <w:spacing w:line="241" w:lineRule="atLeast"/>
    </w:pPr>
    <w:rPr>
      <w:rFonts w:ascii="Times New Roman" w:eastAsia="Calibri" w:hAnsi="Times New Roman" w:cs="Times New Roman"/>
      <w:sz w:val="24"/>
      <w:szCs w:val="24"/>
      <w:lang w:eastAsia="es-MX"/>
    </w:rPr>
  </w:style>
  <w:style w:type="character" w:customStyle="1" w:styleId="A1">
    <w:name w:val="A1"/>
    <w:uiPriority w:val="99"/>
    <w:rsid w:val="00BD62B8"/>
    <w:rPr>
      <w:i/>
      <w:iCs/>
      <w:color w:val="000000"/>
      <w:sz w:val="28"/>
      <w:szCs w:val="28"/>
    </w:rPr>
  </w:style>
  <w:style w:type="paragraph" w:styleId="NormalWeb">
    <w:name w:val="Normal (Web)"/>
    <w:basedOn w:val="Normal"/>
    <w:uiPriority w:val="99"/>
    <w:semiHidden/>
    <w:unhideWhenUsed/>
    <w:rsid w:val="003F1B7F"/>
    <w:pPr>
      <w:spacing w:before="100" w:beforeAutospacing="1" w:after="100" w:afterAutospacing="1"/>
    </w:pPr>
    <w:rPr>
      <w:rFonts w:ascii="Times New Roman" w:eastAsia="Times New Roman" w:hAnsi="Times New Roman" w:cs="Times New Roman"/>
      <w:sz w:val="24"/>
      <w:szCs w:val="24"/>
      <w:lang w:eastAsia="es-MX"/>
    </w:rPr>
  </w:style>
  <w:style w:type="paragraph" w:styleId="Piedepgina">
    <w:name w:val="footer"/>
    <w:basedOn w:val="Normal"/>
    <w:link w:val="PiedepginaCar"/>
    <w:uiPriority w:val="99"/>
    <w:unhideWhenUsed/>
    <w:rsid w:val="009D5178"/>
    <w:pPr>
      <w:tabs>
        <w:tab w:val="center" w:pos="4419"/>
        <w:tab w:val="right" w:pos="8838"/>
      </w:tabs>
    </w:pPr>
  </w:style>
  <w:style w:type="character" w:customStyle="1" w:styleId="PiedepginaCar">
    <w:name w:val="Pie de página Car"/>
    <w:basedOn w:val="Fuentedeprrafopredeter"/>
    <w:link w:val="Piedepgina"/>
    <w:uiPriority w:val="99"/>
    <w:rsid w:val="009D5178"/>
  </w:style>
  <w:style w:type="character" w:customStyle="1" w:styleId="corte4fondoCar3">
    <w:name w:val="corte4 fondo Car3"/>
    <w:link w:val="corte4fondo"/>
    <w:locked/>
    <w:rsid w:val="00112FCD"/>
    <w:rPr>
      <w:rFonts w:ascii="Arial" w:hAnsi="Arial" w:cs="Arial"/>
      <w:sz w:val="30"/>
      <w:szCs w:val="30"/>
      <w:lang w:val="es-ES_tradnl"/>
    </w:rPr>
  </w:style>
  <w:style w:type="paragraph" w:customStyle="1" w:styleId="corte4fondo">
    <w:name w:val="corte4 fondo"/>
    <w:basedOn w:val="Normal"/>
    <w:link w:val="corte4fondoCar3"/>
    <w:qFormat/>
    <w:rsid w:val="00112FCD"/>
    <w:pPr>
      <w:spacing w:line="360" w:lineRule="auto"/>
      <w:ind w:firstLine="709"/>
      <w:jc w:val="both"/>
    </w:pPr>
    <w:rPr>
      <w:rFonts w:ascii="Arial" w:hAnsi="Arial" w:cs="Arial"/>
      <w:sz w:val="30"/>
      <w:szCs w:val="30"/>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4036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72B18C-F433-4425-97E8-6C86C16B06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1835</TotalTime>
  <Pages>15</Pages>
  <Words>5191</Words>
  <Characters>28551</Characters>
  <Application>Microsoft Office Word</Application>
  <DocSecurity>0</DocSecurity>
  <Lines>237</Lines>
  <Paragraphs>67</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33675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TCAC-Personal</cp:lastModifiedBy>
  <cp:revision>42</cp:revision>
  <cp:lastPrinted>2019-10-15T17:16:00Z</cp:lastPrinted>
  <dcterms:created xsi:type="dcterms:W3CDTF">2018-03-26T16:41:00Z</dcterms:created>
  <dcterms:modified xsi:type="dcterms:W3CDTF">2020-01-14T21:01:00Z</dcterms:modified>
</cp:coreProperties>
</file>