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609A3132"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A43D96">
        <w:rPr>
          <w:rFonts w:ascii="Arial" w:eastAsia="Times New Roman" w:hAnsi="Arial" w:cs="Arial"/>
          <w:bCs/>
          <w:sz w:val="24"/>
          <w:szCs w:val="27"/>
          <w:lang w:val="es-ES_tradnl" w:eastAsia="es-ES"/>
        </w:rPr>
        <w:t>25</w:t>
      </w:r>
      <w:r w:rsidR="00AB41BD">
        <w:rPr>
          <w:rFonts w:ascii="Arial" w:eastAsia="Times New Roman" w:hAnsi="Arial" w:cs="Arial"/>
          <w:bCs/>
          <w:sz w:val="24"/>
          <w:szCs w:val="27"/>
          <w:lang w:val="es-ES_tradnl" w:eastAsia="es-ES"/>
        </w:rPr>
        <w:t>/2019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00ECD321"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5B166C">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5B166C">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5B166C">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5B166C">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55425F5B"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A43D96">
        <w:rPr>
          <w:rFonts w:ascii="Arial" w:eastAsia="Times New Roman" w:hAnsi="Arial" w:cs="Arial"/>
          <w:sz w:val="24"/>
          <w:szCs w:val="27"/>
          <w:lang w:val="es-ES_tradnl" w:eastAsia="es-ES"/>
        </w:rPr>
        <w:t xml:space="preserve">COMANDANTE </w:t>
      </w:r>
      <w:r w:rsidR="00A07A59">
        <w:rPr>
          <w:rFonts w:ascii="Arial" w:eastAsia="Times New Roman" w:hAnsi="Arial" w:cs="Arial"/>
          <w:sz w:val="24"/>
          <w:szCs w:val="27"/>
          <w:lang w:val="es-ES_tradnl" w:eastAsia="es-ES"/>
        </w:rPr>
        <w:t>***** *****</w:t>
      </w:r>
      <w:r w:rsidR="00A43D96">
        <w:rPr>
          <w:rFonts w:ascii="Arial" w:eastAsia="Times New Roman" w:hAnsi="Arial" w:cs="Arial"/>
          <w:sz w:val="24"/>
          <w:szCs w:val="27"/>
          <w:lang w:val="es-ES_tradnl" w:eastAsia="es-ES"/>
        </w:rPr>
        <w:t xml:space="preserve"> </w:t>
      </w:r>
      <w:r w:rsidR="00A07A59">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A07A59">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A43D96" w:rsidRPr="005117EA">
        <w:rPr>
          <w:rFonts w:ascii="Arial" w:eastAsia="Times New Roman" w:hAnsi="Arial" w:cs="Arial"/>
          <w:sz w:val="24"/>
          <w:szCs w:val="27"/>
          <w:lang w:val="es-ES_tradnl" w:eastAsia="es-ES"/>
        </w:rPr>
        <w:t>POLICÍA VIAL ESTATAL, DEPENDIENTE DE LA DIRECCIÓN GENERAL DE LA POLICÍA ESTATAL DE</w:t>
      </w:r>
      <w:r w:rsidR="00A43D96">
        <w:rPr>
          <w:rFonts w:ascii="Arial" w:eastAsia="Times New Roman" w:hAnsi="Arial" w:cs="Arial"/>
          <w:sz w:val="24"/>
          <w:szCs w:val="27"/>
          <w:lang w:val="es-ES_tradnl" w:eastAsia="es-ES"/>
        </w:rPr>
        <w:t>L ESTADO DE</w:t>
      </w:r>
      <w:r w:rsidR="00A43D96"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7A8D660"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A43D96">
        <w:rPr>
          <w:rFonts w:ascii="Arial" w:eastAsia="Times New Roman" w:hAnsi="Arial" w:cs="Arial"/>
          <w:b/>
          <w:bCs/>
          <w:sz w:val="24"/>
          <w:szCs w:val="27"/>
          <w:lang w:val="es-ES_tradnl" w:eastAsia="es-ES"/>
        </w:rPr>
        <w:t>25</w:t>
      </w:r>
      <w:r w:rsidR="00AB41BD">
        <w:rPr>
          <w:rFonts w:ascii="Arial" w:eastAsia="Times New Roman" w:hAnsi="Arial" w:cs="Arial"/>
          <w:b/>
          <w:bCs/>
          <w:sz w:val="24"/>
          <w:szCs w:val="27"/>
          <w:lang w:val="es-ES_tradnl" w:eastAsia="es-ES"/>
        </w:rPr>
        <w:t>/2019</w:t>
      </w:r>
      <w:r w:rsidR="00102315" w:rsidRPr="009C0C09">
        <w:rPr>
          <w:rFonts w:ascii="Arial" w:eastAsia="Times New Roman" w:hAnsi="Arial" w:cs="Arial"/>
          <w:sz w:val="24"/>
          <w:szCs w:val="27"/>
          <w:lang w:val="es-ES_tradnl" w:eastAsia="es-ES"/>
        </w:rPr>
        <w:t xml:space="preserve">, interpuesto por </w:t>
      </w:r>
      <w:r w:rsidR="005B166C">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5B166C">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5B166C">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5B166C">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A43D96" w:rsidRPr="00A43D96">
        <w:rPr>
          <w:rFonts w:ascii="Arial" w:eastAsia="Times New Roman" w:hAnsi="Arial" w:cs="Arial"/>
          <w:b/>
          <w:sz w:val="24"/>
          <w:szCs w:val="27"/>
          <w:lang w:val="es-ES_tradnl" w:eastAsia="es-ES"/>
        </w:rPr>
        <w:t xml:space="preserve">COMANDANTE </w:t>
      </w:r>
      <w:r w:rsidR="00A07A59">
        <w:rPr>
          <w:rFonts w:ascii="Arial" w:eastAsia="Times New Roman" w:hAnsi="Arial" w:cs="Arial"/>
          <w:b/>
          <w:sz w:val="24"/>
          <w:szCs w:val="27"/>
          <w:lang w:val="es-ES_tradnl" w:eastAsia="es-ES"/>
        </w:rPr>
        <w:t>*****</w:t>
      </w:r>
      <w:r w:rsidR="00B0252E">
        <w:rPr>
          <w:rFonts w:ascii="Arial" w:eastAsia="Times New Roman" w:hAnsi="Arial" w:cs="Arial"/>
          <w:b/>
          <w:sz w:val="24"/>
          <w:szCs w:val="27"/>
          <w:lang w:val="es-ES_tradnl" w:eastAsia="es-ES"/>
        </w:rPr>
        <w:t xml:space="preserve"> </w:t>
      </w:r>
      <w:r w:rsidR="00A07A59">
        <w:rPr>
          <w:rFonts w:ascii="Arial" w:eastAsia="Times New Roman" w:hAnsi="Arial" w:cs="Arial"/>
          <w:b/>
          <w:sz w:val="24"/>
          <w:szCs w:val="27"/>
          <w:lang w:val="es-ES_tradnl" w:eastAsia="es-ES"/>
        </w:rPr>
        <w:t>*****</w:t>
      </w:r>
      <w:r w:rsidR="00A43D96" w:rsidRPr="00A43D96">
        <w:rPr>
          <w:rFonts w:ascii="Arial" w:eastAsia="Times New Roman" w:hAnsi="Arial" w:cs="Arial"/>
          <w:b/>
          <w:sz w:val="24"/>
          <w:szCs w:val="27"/>
          <w:lang w:val="es-ES_tradnl" w:eastAsia="es-ES"/>
        </w:rPr>
        <w:t xml:space="preserve"> </w:t>
      </w:r>
      <w:r w:rsidR="00A07A59">
        <w:rPr>
          <w:rFonts w:ascii="Arial" w:eastAsia="Times New Roman" w:hAnsi="Arial" w:cs="Arial"/>
          <w:b/>
          <w:sz w:val="24"/>
          <w:szCs w:val="27"/>
          <w:lang w:val="es-ES_tradnl" w:eastAsia="es-ES"/>
        </w:rPr>
        <w:t>******</w:t>
      </w:r>
      <w:r w:rsidR="00A43D96" w:rsidRPr="00A43D96">
        <w:rPr>
          <w:rFonts w:ascii="Arial" w:eastAsia="Times New Roman" w:hAnsi="Arial" w:cs="Arial"/>
          <w:b/>
          <w:sz w:val="24"/>
          <w:szCs w:val="27"/>
          <w:lang w:val="es-ES_tradnl" w:eastAsia="es-ES"/>
        </w:rPr>
        <w:t xml:space="preserve"> </w:t>
      </w:r>
      <w:r w:rsidR="00A07A59">
        <w:rPr>
          <w:rFonts w:ascii="Arial" w:eastAsia="Times New Roman" w:hAnsi="Arial" w:cs="Arial"/>
          <w:b/>
          <w:sz w:val="24"/>
          <w:szCs w:val="27"/>
          <w:lang w:val="es-ES_tradnl" w:eastAsia="es-ES"/>
        </w:rPr>
        <w:t>*****</w:t>
      </w:r>
      <w:r w:rsidR="00A43D96" w:rsidRPr="00A43D96">
        <w:rPr>
          <w:rFonts w:ascii="Arial" w:eastAsia="Times New Roman" w:hAnsi="Arial" w:cs="Arial"/>
          <w:b/>
          <w:sz w:val="24"/>
          <w:szCs w:val="27"/>
          <w:lang w:val="es-ES_tradnl" w:eastAsia="es-ES"/>
        </w:rPr>
        <w:t>, POLICÍA VIAL ESTATAL, DEPENDIENTE DE LA DIRECCIÓN GENERAL DE LA POLICÍA ESTATAL DEL ESTADO DE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33B5B396" w14:textId="5EDCAF6F" w:rsidR="003F3E1B"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61788F">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61788F">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61788F">
        <w:rPr>
          <w:rFonts w:ascii="Arial" w:eastAsia="Times New Roman" w:hAnsi="Arial" w:cs="Arial"/>
          <w:sz w:val="24"/>
          <w:szCs w:val="27"/>
          <w:lang w:val="es-ES_tradnl" w:eastAsia="es-ES"/>
        </w:rPr>
        <w:t>*****</w:t>
      </w:r>
      <w:r w:rsidR="00A43D96">
        <w:rPr>
          <w:rFonts w:ascii="Arial" w:eastAsia="Times New Roman" w:hAnsi="Arial" w:cs="Arial"/>
          <w:sz w:val="24"/>
          <w:szCs w:val="27"/>
          <w:lang w:val="es-ES_tradnl" w:eastAsia="es-ES"/>
        </w:rPr>
        <w:t xml:space="preserve"> </w:t>
      </w:r>
      <w:r w:rsidR="0061788F">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w:t>
      </w:r>
      <w:r w:rsidR="00A43D96">
        <w:rPr>
          <w:rFonts w:ascii="Arial" w:hAnsi="Arial" w:cs="Arial"/>
          <w:bCs/>
          <w:spacing w:val="-3"/>
          <w:sz w:val="24"/>
          <w:szCs w:val="27"/>
          <w:lang w:val="es-ES_tradnl"/>
        </w:rPr>
        <w:t>el treinta de abril</w:t>
      </w:r>
      <w:r w:rsidR="006D4B83">
        <w:rPr>
          <w:rFonts w:ascii="Arial" w:hAnsi="Arial" w:cs="Arial"/>
          <w:bCs/>
          <w:spacing w:val="-3"/>
          <w:sz w:val="24"/>
          <w:szCs w:val="27"/>
          <w:lang w:val="es-ES_tradnl"/>
        </w:rPr>
        <w:t xml:space="preserve">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w:t>
      </w:r>
      <w:r w:rsidR="00934395">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con número de folio </w:t>
      </w:r>
      <w:r w:rsidR="00934395">
        <w:rPr>
          <w:rFonts w:ascii="Arial" w:hAnsi="Arial" w:cs="Arial"/>
          <w:bCs/>
          <w:spacing w:val="-3"/>
          <w:sz w:val="24"/>
          <w:szCs w:val="27"/>
          <w:lang w:val="es-ES_tradnl"/>
        </w:rPr>
        <w:t xml:space="preserve">***** </w:t>
      </w:r>
      <w:r w:rsidR="00A43D96">
        <w:rPr>
          <w:rFonts w:ascii="Arial" w:hAnsi="Arial" w:cs="Arial"/>
          <w:bCs/>
          <w:spacing w:val="-3"/>
          <w:sz w:val="24"/>
          <w:szCs w:val="27"/>
          <w:lang w:val="es-ES_tradnl"/>
        </w:rPr>
        <w:t xml:space="preserve">de fecha </w:t>
      </w:r>
      <w:r w:rsidR="007460FD">
        <w:rPr>
          <w:rFonts w:ascii="Arial" w:hAnsi="Arial" w:cs="Arial"/>
          <w:bCs/>
          <w:spacing w:val="-3"/>
          <w:sz w:val="24"/>
          <w:szCs w:val="27"/>
          <w:lang w:val="es-ES_tradnl"/>
        </w:rPr>
        <w:t xml:space="preserve">***** </w:t>
      </w:r>
      <w:r w:rsidR="00A43D96">
        <w:rPr>
          <w:rFonts w:ascii="Arial" w:hAnsi="Arial" w:cs="Arial"/>
          <w:bCs/>
          <w:spacing w:val="-3"/>
          <w:sz w:val="24"/>
          <w:szCs w:val="27"/>
          <w:lang w:val="es-ES_tradnl"/>
        </w:rPr>
        <w:t xml:space="preserve">de </w:t>
      </w:r>
      <w:r w:rsidR="007460FD">
        <w:rPr>
          <w:rFonts w:ascii="Arial" w:hAnsi="Arial" w:cs="Arial"/>
          <w:bCs/>
          <w:spacing w:val="-3"/>
          <w:sz w:val="24"/>
          <w:szCs w:val="27"/>
          <w:lang w:val="es-ES_tradnl"/>
        </w:rPr>
        <w:t>*****</w:t>
      </w:r>
      <w:r w:rsidR="00A43D96">
        <w:rPr>
          <w:rFonts w:ascii="Arial" w:hAnsi="Arial" w:cs="Arial"/>
          <w:bCs/>
          <w:spacing w:val="-3"/>
          <w:sz w:val="24"/>
          <w:szCs w:val="27"/>
          <w:lang w:val="es-ES_tradnl"/>
        </w:rPr>
        <w:t xml:space="preserve"> de dos mil </w:t>
      </w:r>
      <w:r w:rsidR="007460FD">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3F3E1B">
        <w:rPr>
          <w:rFonts w:ascii="Arial" w:hAnsi="Arial" w:cs="Arial"/>
          <w:bCs/>
          <w:spacing w:val="-3"/>
          <w:sz w:val="24"/>
          <w:szCs w:val="27"/>
          <w:lang w:val="es-ES_tradnl"/>
        </w:rPr>
        <w:t>dieciséis de mayo</w:t>
      </w:r>
      <w:r w:rsidR="00A20BF9">
        <w:rPr>
          <w:rFonts w:ascii="Arial" w:hAnsi="Arial" w:cs="Arial"/>
          <w:bCs/>
          <w:spacing w:val="-3"/>
          <w:sz w:val="24"/>
          <w:szCs w:val="27"/>
          <w:lang w:val="es-ES_tradnl"/>
        </w:rPr>
        <w:t xml:space="preserve"> de dos mil diecinueve</w:t>
      </w:r>
      <w:r w:rsidR="00763032">
        <w:rPr>
          <w:rFonts w:ascii="Arial" w:hAnsi="Arial" w:cs="Arial"/>
          <w:bCs/>
          <w:spacing w:val="-3"/>
          <w:sz w:val="24"/>
          <w:szCs w:val="27"/>
          <w:lang w:val="es-ES_tradnl"/>
        </w:rPr>
        <w:t xml:space="preserve">, </w:t>
      </w:r>
      <w:r w:rsidR="003F3E1B">
        <w:rPr>
          <w:rFonts w:ascii="Arial" w:hAnsi="Arial" w:cs="Arial"/>
          <w:bCs/>
          <w:spacing w:val="-3"/>
          <w:sz w:val="24"/>
          <w:szCs w:val="27"/>
          <w:lang w:val="es-ES_tradnl"/>
        </w:rPr>
        <w:t>se requirió al actor para que subsanara diversas omisiones precisadas en dicho acuerdo.</w:t>
      </w:r>
    </w:p>
    <w:p w14:paraId="0D792AAE" w14:textId="29117146" w:rsidR="00793DA7" w:rsidRDefault="003F3E1B" w:rsidP="00605164">
      <w:pPr>
        <w:spacing w:line="360" w:lineRule="auto"/>
        <w:ind w:firstLine="567"/>
        <w:jc w:val="both"/>
        <w:rPr>
          <w:rFonts w:ascii="Arial" w:hAnsi="Arial" w:cs="Arial"/>
          <w:bCs/>
          <w:spacing w:val="-3"/>
          <w:sz w:val="24"/>
          <w:szCs w:val="27"/>
          <w:lang w:val="es-ES_tradnl"/>
        </w:rPr>
      </w:pPr>
      <w:r w:rsidRPr="00423FEC">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 diecinueve de junio de dos mil diecinueve, se tuvo al actor dando cumplimiento al requerimiento de fecha dieciséis de mayo de dos mil diecinueve, </w:t>
      </w:r>
      <w:r w:rsidR="0094594C">
        <w:rPr>
          <w:rFonts w:ascii="Arial" w:hAnsi="Arial" w:cs="Arial"/>
          <w:bCs/>
          <w:spacing w:val="-3"/>
          <w:sz w:val="24"/>
          <w:szCs w:val="27"/>
          <w:lang w:val="es-ES_tradnl"/>
        </w:rPr>
        <w:t xml:space="preserve">por lo que  </w:t>
      </w:r>
      <w:r w:rsidR="00EF6616">
        <w:rPr>
          <w:rFonts w:ascii="Arial" w:hAnsi="Arial" w:cs="Arial"/>
          <w:bCs/>
          <w:spacing w:val="-3"/>
          <w:sz w:val="24"/>
          <w:szCs w:val="27"/>
          <w:lang w:val="es-ES_tradnl"/>
        </w:rPr>
        <w:t xml:space="preserve">se </w:t>
      </w:r>
      <w:r w:rsidR="00D3679B" w:rsidRPr="00D3679B">
        <w:rPr>
          <w:rFonts w:ascii="Arial" w:hAnsi="Arial" w:cs="Arial"/>
          <w:bCs/>
          <w:spacing w:val="-3"/>
          <w:sz w:val="24"/>
          <w:szCs w:val="27"/>
          <w:lang w:val="es-ES_tradnl"/>
        </w:rPr>
        <w:t>admitió a trámite la demanda, ordenándose correr traslado, emplazar a juicio y apercibir a la</w:t>
      </w:r>
      <w:r w:rsidR="0094594C">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xml:space="preserve"> autoridad</w:t>
      </w:r>
      <w:r w:rsidR="0094594C">
        <w:rPr>
          <w:rFonts w:ascii="Arial" w:hAnsi="Arial" w:cs="Arial"/>
          <w:bCs/>
          <w:spacing w:val="-3"/>
          <w:sz w:val="24"/>
          <w:szCs w:val="27"/>
          <w:lang w:val="es-ES_tradnl"/>
        </w:rPr>
        <w:t>es</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94594C">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para que dentro del término que marca la ley, produjera</w:t>
      </w:r>
      <w:r w:rsidR="0094594C">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r w:rsidR="00DB4A91">
        <w:rPr>
          <w:rFonts w:ascii="Arial" w:hAnsi="Arial" w:cs="Arial"/>
          <w:bCs/>
          <w:spacing w:val="-3"/>
          <w:sz w:val="24"/>
          <w:szCs w:val="27"/>
          <w:lang w:val="es-ES_tradnl"/>
        </w:rPr>
        <w:t>De igual forma, se ordenó correr traslado al tercero afectado.</w:t>
      </w:r>
    </w:p>
    <w:p w14:paraId="0E1C4A73" w14:textId="0A82DE45" w:rsidR="00161E06" w:rsidRDefault="00B0252E"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4F4416">
        <w:rPr>
          <w:rFonts w:ascii="Arial" w:hAnsi="Arial" w:cs="Arial"/>
          <w:bCs/>
          <w:spacing w:val="-3"/>
          <w:sz w:val="24"/>
          <w:szCs w:val="27"/>
          <w:lang w:val="es-ES_tradnl"/>
        </w:rPr>
        <w:t>En auto</w:t>
      </w:r>
      <w:r w:rsidR="00521411">
        <w:rPr>
          <w:rFonts w:ascii="Arial" w:hAnsi="Arial" w:cs="Arial"/>
          <w:bCs/>
          <w:spacing w:val="-3"/>
          <w:sz w:val="24"/>
          <w:szCs w:val="27"/>
          <w:lang w:val="es-ES_tradnl"/>
        </w:rPr>
        <w:t xml:space="preserve"> de fecha </w:t>
      </w:r>
      <w:r w:rsidR="004F4416">
        <w:rPr>
          <w:rFonts w:ascii="Arial" w:hAnsi="Arial" w:cs="Arial"/>
          <w:bCs/>
          <w:spacing w:val="-3"/>
          <w:sz w:val="24"/>
          <w:szCs w:val="27"/>
          <w:lang w:val="es-ES_tradnl"/>
        </w:rPr>
        <w:t>veintiocho de agosto</w:t>
      </w:r>
      <w:r w:rsidR="000A5C7A">
        <w:rPr>
          <w:rFonts w:ascii="Arial" w:hAnsi="Arial" w:cs="Arial"/>
          <w:bCs/>
          <w:spacing w:val="-3"/>
          <w:sz w:val="24"/>
          <w:szCs w:val="27"/>
          <w:lang w:val="es-ES_tradnl"/>
        </w:rPr>
        <w:t xml:space="preserve"> de dos mil diecinueve</w:t>
      </w:r>
      <w:r w:rsidR="008C25FD">
        <w:rPr>
          <w:rFonts w:ascii="Arial" w:hAnsi="Arial" w:cs="Arial"/>
          <w:bCs/>
          <w:spacing w:val="-3"/>
          <w:sz w:val="24"/>
          <w:szCs w:val="27"/>
          <w:lang w:val="es-ES_tradnl"/>
        </w:rPr>
        <w:t>, se tuvo a</w:t>
      </w:r>
      <w:r w:rsidR="006E2286">
        <w:rPr>
          <w:rFonts w:ascii="Arial" w:hAnsi="Arial" w:cs="Arial"/>
          <w:bCs/>
          <w:spacing w:val="-3"/>
          <w:sz w:val="24"/>
          <w:szCs w:val="27"/>
          <w:lang w:val="es-ES_tradnl"/>
        </w:rPr>
        <w:t xml:space="preserve"> </w:t>
      </w:r>
      <w:r w:rsidR="00135E80">
        <w:rPr>
          <w:rFonts w:ascii="Arial" w:hAnsi="Arial" w:cs="Arial"/>
          <w:bCs/>
          <w:spacing w:val="-3"/>
          <w:sz w:val="24"/>
          <w:szCs w:val="27"/>
          <w:lang w:val="es-ES_tradnl"/>
        </w:rPr>
        <w:t>la</w:t>
      </w:r>
      <w:r w:rsidR="004F4416">
        <w:rPr>
          <w:rFonts w:ascii="Arial" w:hAnsi="Arial" w:cs="Arial"/>
          <w:bCs/>
          <w:spacing w:val="-3"/>
          <w:sz w:val="24"/>
          <w:szCs w:val="27"/>
          <w:lang w:val="es-ES_tradnl"/>
        </w:rPr>
        <w:t>s</w:t>
      </w:r>
      <w:r w:rsidR="008C25FD">
        <w:rPr>
          <w:rFonts w:ascii="Arial" w:hAnsi="Arial" w:cs="Arial"/>
          <w:bCs/>
          <w:spacing w:val="-3"/>
          <w:sz w:val="24"/>
          <w:szCs w:val="27"/>
          <w:lang w:val="es-ES_tradnl"/>
        </w:rPr>
        <w:t xml:space="preserve"> autoridad</w:t>
      </w:r>
      <w:r w:rsidR="004F4416">
        <w:rPr>
          <w:rFonts w:ascii="Arial" w:hAnsi="Arial" w:cs="Arial"/>
          <w:bCs/>
          <w:spacing w:val="-3"/>
          <w:sz w:val="24"/>
          <w:szCs w:val="27"/>
          <w:lang w:val="es-ES_tradnl"/>
        </w:rPr>
        <w:t>es</w:t>
      </w:r>
      <w:r w:rsidR="008C25FD">
        <w:rPr>
          <w:rFonts w:ascii="Arial" w:hAnsi="Arial" w:cs="Arial"/>
          <w:bCs/>
          <w:spacing w:val="-3"/>
          <w:sz w:val="24"/>
          <w:szCs w:val="27"/>
          <w:lang w:val="es-ES_tradnl"/>
        </w:rPr>
        <w:t xml:space="preserve"> demandada</w:t>
      </w:r>
      <w:r w:rsidR="004F4416">
        <w:rPr>
          <w:rFonts w:ascii="Arial" w:hAnsi="Arial" w:cs="Arial"/>
          <w:bCs/>
          <w:spacing w:val="-3"/>
          <w:sz w:val="24"/>
          <w:szCs w:val="27"/>
          <w:lang w:val="es-ES_tradnl"/>
        </w:rPr>
        <w:t>s</w:t>
      </w:r>
      <w:r w:rsidR="008C25FD">
        <w:rPr>
          <w:rFonts w:ascii="Arial" w:hAnsi="Arial" w:cs="Arial"/>
          <w:bCs/>
          <w:spacing w:val="-3"/>
          <w:sz w:val="24"/>
          <w:szCs w:val="27"/>
          <w:lang w:val="es-ES_tradnl"/>
        </w:rPr>
        <w:t xml:space="preserve">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w:t>
      </w:r>
      <w:r w:rsidR="004F4416">
        <w:rPr>
          <w:rFonts w:ascii="Arial" w:hAnsi="Arial" w:cs="Arial"/>
          <w:bCs/>
          <w:spacing w:val="-3"/>
          <w:sz w:val="24"/>
          <w:szCs w:val="27"/>
          <w:lang w:val="es-ES_tradnl"/>
        </w:rPr>
        <w:t>lo hicieron</w:t>
      </w:r>
      <w:r w:rsidR="0020764C">
        <w:rPr>
          <w:rFonts w:ascii="Arial" w:hAnsi="Arial" w:cs="Arial"/>
          <w:bCs/>
          <w:spacing w:val="-3"/>
          <w:sz w:val="24"/>
          <w:szCs w:val="27"/>
          <w:lang w:val="es-ES_tradnl"/>
        </w:rPr>
        <w:t>, ordenando correr traslado a la parte actora para los efectos legales correspondientes</w:t>
      </w:r>
      <w:r w:rsidR="00161E06">
        <w:rPr>
          <w:rFonts w:ascii="Arial" w:hAnsi="Arial" w:cs="Arial"/>
          <w:bCs/>
          <w:spacing w:val="-3"/>
          <w:sz w:val="24"/>
          <w:szCs w:val="27"/>
          <w:lang w:val="es-ES_tradnl"/>
        </w:rPr>
        <w:t>.</w:t>
      </w:r>
    </w:p>
    <w:p w14:paraId="5AD279FB" w14:textId="6E20AFAF" w:rsidR="004F4416" w:rsidRDefault="004F4416" w:rsidP="004F441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certificó que el Director General de la Policía Vial Estatal no dio contestación a la demanda, por lo que se hizo efectivo el apercibimiento decretado y </w:t>
      </w:r>
      <w:r>
        <w:rPr>
          <w:rFonts w:ascii="Arial" w:hAnsi="Arial" w:cs="Arial"/>
          <w:bCs/>
          <w:spacing w:val="-3"/>
          <w:sz w:val="24"/>
          <w:szCs w:val="27"/>
          <w:lang w:val="es-ES_tradnl"/>
        </w:rPr>
        <w:lastRenderedPageBreak/>
        <w:t>se le tuvo por precluído su derecho y contestando la demanda en sentido afirmativo salvo prueba en contrario. Igualmente, el tercero afectado no se apersonó a juicio.</w:t>
      </w:r>
    </w:p>
    <w:p w14:paraId="7700CA27" w14:textId="38A001A4" w:rsidR="004F4416" w:rsidRDefault="004F4416" w:rsidP="004F4416">
      <w:pPr>
        <w:spacing w:line="360" w:lineRule="auto"/>
        <w:ind w:firstLine="567"/>
        <w:jc w:val="both"/>
        <w:rPr>
          <w:rFonts w:ascii="Arial" w:hAnsi="Arial" w:cs="Arial"/>
          <w:bCs/>
          <w:spacing w:val="-3"/>
          <w:sz w:val="24"/>
          <w:szCs w:val="27"/>
          <w:lang w:val="es-ES_tradnl"/>
        </w:rPr>
      </w:pPr>
      <w:r w:rsidRPr="004F4416">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acuerdo de fecha uno de octubre de dos mil diecinueve</w:t>
      </w:r>
      <w:r w:rsidR="008A7EC0">
        <w:rPr>
          <w:rFonts w:ascii="Arial" w:hAnsi="Arial" w:cs="Arial"/>
          <w:bCs/>
          <w:spacing w:val="-3"/>
          <w:sz w:val="24"/>
          <w:szCs w:val="27"/>
          <w:lang w:val="es-ES_tradnl"/>
        </w:rPr>
        <w:t xml:space="preserve"> se tuvo por recibido un escrito del actor, por medio del cual ampliaba su escrito inicial de demanda, ordenándose correr traslado a las autoridades demandadas para que produjeran la contestación de demanda correspondiente.</w:t>
      </w:r>
    </w:p>
    <w:p w14:paraId="58A47817" w14:textId="41393265" w:rsidR="008A7EC0" w:rsidRDefault="008A7EC0" w:rsidP="004F4416">
      <w:pPr>
        <w:spacing w:line="360" w:lineRule="auto"/>
        <w:ind w:firstLine="567"/>
        <w:jc w:val="both"/>
        <w:rPr>
          <w:rFonts w:ascii="Arial" w:hAnsi="Arial" w:cs="Arial"/>
          <w:bCs/>
          <w:spacing w:val="-3"/>
          <w:sz w:val="24"/>
          <w:szCs w:val="27"/>
          <w:lang w:val="es-ES_tradnl"/>
        </w:rPr>
      </w:pPr>
      <w:r w:rsidRPr="001B6CB4">
        <w:rPr>
          <w:rFonts w:ascii="Arial" w:hAnsi="Arial" w:cs="Arial"/>
          <w:b/>
          <w:bCs/>
          <w:spacing w:val="-3"/>
          <w:sz w:val="24"/>
          <w:szCs w:val="27"/>
          <w:lang w:val="es-ES_tradnl"/>
        </w:rPr>
        <w:t>QUINTO.</w:t>
      </w:r>
      <w:r w:rsidR="001B6CB4">
        <w:rPr>
          <w:rFonts w:ascii="Arial" w:hAnsi="Arial" w:cs="Arial"/>
          <w:bCs/>
          <w:spacing w:val="-3"/>
          <w:sz w:val="24"/>
          <w:szCs w:val="27"/>
          <w:lang w:val="es-ES_tradnl"/>
        </w:rPr>
        <w:t xml:space="preserve"> Mediante proveído de fecha veinticinco de noviembre de dos mil diecinueve, se tuvo a una de las autoridades demandadas dando contestación a la ampliación de demanda en tiempo y forma y en los términos en los que lo hizo, otor</w:t>
      </w:r>
      <w:r w:rsidR="00472084">
        <w:rPr>
          <w:rFonts w:ascii="Arial" w:hAnsi="Arial" w:cs="Arial"/>
          <w:bCs/>
          <w:spacing w:val="-3"/>
          <w:sz w:val="24"/>
          <w:szCs w:val="27"/>
          <w:lang w:val="es-ES_tradnl"/>
        </w:rPr>
        <w:t>gando la vista a la parte actora para los efectos legales correspondientes.</w:t>
      </w:r>
    </w:p>
    <w:p w14:paraId="1EF89357" w14:textId="5AEB07CF" w:rsidR="00472084" w:rsidRDefault="00472084" w:rsidP="004F441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advirtió que las autoridades demandadas restantes no dieron contestación a la ampliación de demanda, por lo que se les tuvo por precluído su derecho.</w:t>
      </w:r>
    </w:p>
    <w:p w14:paraId="7B2009EC" w14:textId="6061FEB5" w:rsidR="00135E80" w:rsidRDefault="00472084"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Finalmente </w:t>
      </w:r>
      <w:r w:rsidR="00135E80">
        <w:rPr>
          <w:rFonts w:ascii="Arial" w:hAnsi="Arial" w:cs="Arial"/>
          <w:bCs/>
          <w:spacing w:val="-3"/>
          <w:sz w:val="24"/>
          <w:szCs w:val="27"/>
          <w:lang w:val="es-ES_tradnl"/>
        </w:rPr>
        <w:t>se señaló fecha y hora para la celebración de la audiencia final.</w:t>
      </w:r>
    </w:p>
    <w:p w14:paraId="4E356CC6" w14:textId="340BB806" w:rsidR="00155F12" w:rsidRPr="009C0C09" w:rsidRDefault="00472084"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SEXTO</w:t>
      </w:r>
      <w:r w:rsidR="00D01000" w:rsidRPr="00D01000">
        <w:rPr>
          <w:rFonts w:ascii="Arial" w:hAnsi="Arial" w:cs="Arial"/>
          <w:b/>
          <w:bCs/>
          <w:spacing w:val="-3"/>
          <w:sz w:val="24"/>
          <w:szCs w:val="27"/>
          <w:lang w:val="es-ES_tradnl"/>
        </w:rPr>
        <w:t>.</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nueve de enero de dos mil veinte</w:t>
      </w:r>
      <w:r w:rsidR="009A0FA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sidR="00D01000">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32237E0F" w14:textId="49B55FEA" w:rsidR="00A53C3A" w:rsidRDefault="003E0CBC" w:rsidP="00605164">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w:t>
      </w:r>
      <w:r w:rsidR="001C3689" w:rsidRPr="001C3689">
        <w:rPr>
          <w:rFonts w:ascii="Arial" w:hAnsi="Arial" w:cs="Arial"/>
          <w:sz w:val="24"/>
          <w:szCs w:val="24"/>
        </w:rPr>
        <w:lastRenderedPageBreak/>
        <w:t xml:space="preserve">el Estado de Oaxaca. </w:t>
      </w:r>
      <w:r w:rsidR="00A53C3A">
        <w:rPr>
          <w:rFonts w:ascii="Arial" w:hAnsi="Arial" w:cs="Arial"/>
          <w:sz w:val="24"/>
          <w:szCs w:val="24"/>
        </w:rPr>
        <w:t>Al respecto, se advierte que respecto a las autorid</w:t>
      </w:r>
      <w:r w:rsidR="00943E55">
        <w:rPr>
          <w:rFonts w:ascii="Arial" w:hAnsi="Arial" w:cs="Arial"/>
          <w:sz w:val="24"/>
          <w:szCs w:val="24"/>
        </w:rPr>
        <w:t xml:space="preserve">ades demandadas, Director General de la Policía Vial Estatal de la Dirección de Tránsito del Estado de Oaxaca y Encargado de la Secretaría de Finanzas del Gobierno del Estado de Oaxaca, </w:t>
      </w:r>
      <w:r w:rsidR="00A53C3A">
        <w:rPr>
          <w:rFonts w:ascii="Arial" w:hAnsi="Arial" w:cs="Arial"/>
          <w:sz w:val="24"/>
          <w:szCs w:val="24"/>
        </w:rPr>
        <w:t>se actualizan las causales de improcedencia y sobreseimiento previstas en los artículos 161 fracción II y 162 fracción II de la Ley de Procedimiento y Justicia Administrativa para el Estado de Oaxaca</w:t>
      </w:r>
      <w:r w:rsidR="00943E55">
        <w:rPr>
          <w:rFonts w:ascii="Arial" w:hAnsi="Arial" w:cs="Arial"/>
          <w:sz w:val="24"/>
          <w:szCs w:val="24"/>
        </w:rPr>
        <w:t xml:space="preserve"> mismo que a la letra dicen lo siguiente:</w:t>
      </w:r>
    </w:p>
    <w:p w14:paraId="0C08D3E3" w14:textId="41268B16" w:rsidR="00943E55" w:rsidRPr="000411DE" w:rsidRDefault="000411DE" w:rsidP="000411DE">
      <w:pPr>
        <w:ind w:left="567"/>
        <w:jc w:val="both"/>
        <w:rPr>
          <w:rFonts w:ascii="Arial" w:hAnsi="Arial" w:cs="Arial"/>
          <w:i/>
          <w:sz w:val="24"/>
          <w:szCs w:val="24"/>
        </w:rPr>
      </w:pPr>
      <w:r>
        <w:rPr>
          <w:rFonts w:ascii="Arial" w:hAnsi="Arial" w:cs="Arial"/>
          <w:b/>
          <w:i/>
          <w:sz w:val="24"/>
          <w:szCs w:val="24"/>
        </w:rPr>
        <w:t>“</w:t>
      </w:r>
      <w:r w:rsidR="00943E55" w:rsidRPr="000411DE">
        <w:rPr>
          <w:rFonts w:ascii="Arial" w:hAnsi="Arial" w:cs="Arial"/>
          <w:b/>
          <w:i/>
          <w:sz w:val="24"/>
          <w:szCs w:val="24"/>
        </w:rPr>
        <w:t>ARTÍCULO 161.-</w:t>
      </w:r>
      <w:r w:rsidR="00943E55" w:rsidRPr="000411DE">
        <w:rPr>
          <w:rFonts w:ascii="Arial" w:hAnsi="Arial" w:cs="Arial"/>
          <w:i/>
          <w:sz w:val="24"/>
          <w:szCs w:val="24"/>
        </w:rPr>
        <w:t xml:space="preserve"> Es improcedente el juicio ante el Tribunal contra actos:</w:t>
      </w:r>
    </w:p>
    <w:p w14:paraId="41A3C641" w14:textId="5EA671B8" w:rsidR="00A53C3A" w:rsidRPr="000411DE" w:rsidRDefault="00943E55" w:rsidP="000411DE">
      <w:pPr>
        <w:ind w:left="567"/>
        <w:jc w:val="both"/>
        <w:rPr>
          <w:rFonts w:ascii="Arial" w:hAnsi="Arial" w:cs="Arial"/>
          <w:i/>
          <w:sz w:val="24"/>
          <w:szCs w:val="24"/>
        </w:rPr>
      </w:pPr>
      <w:r w:rsidRPr="000411DE">
        <w:rPr>
          <w:rFonts w:ascii="Arial" w:hAnsi="Arial" w:cs="Arial"/>
          <w:i/>
          <w:sz w:val="24"/>
          <w:szCs w:val="24"/>
        </w:rPr>
        <w:t>[…]</w:t>
      </w:r>
    </w:p>
    <w:p w14:paraId="326582FA" w14:textId="54AA57B4" w:rsidR="00943E55" w:rsidRPr="000411DE" w:rsidRDefault="00943E55" w:rsidP="000411DE">
      <w:pPr>
        <w:ind w:left="567"/>
        <w:jc w:val="both"/>
        <w:rPr>
          <w:rFonts w:ascii="Arial" w:hAnsi="Arial" w:cs="Arial"/>
          <w:i/>
          <w:sz w:val="24"/>
          <w:szCs w:val="24"/>
        </w:rPr>
      </w:pPr>
      <w:r w:rsidRPr="000411DE">
        <w:rPr>
          <w:rFonts w:ascii="Arial" w:hAnsi="Arial" w:cs="Arial"/>
          <w:i/>
          <w:sz w:val="24"/>
          <w:szCs w:val="24"/>
        </w:rPr>
        <w:t>II. Que no afecten los intereses jurídicos o legítimos del actor;</w:t>
      </w:r>
    </w:p>
    <w:p w14:paraId="25F37905" w14:textId="654BF827" w:rsidR="00943E55" w:rsidRPr="000411DE" w:rsidRDefault="00943E55" w:rsidP="000411DE">
      <w:pPr>
        <w:ind w:left="567"/>
        <w:jc w:val="both"/>
        <w:rPr>
          <w:rFonts w:ascii="Arial" w:hAnsi="Arial" w:cs="Arial"/>
          <w:i/>
          <w:sz w:val="24"/>
          <w:szCs w:val="24"/>
        </w:rPr>
      </w:pPr>
      <w:r w:rsidRPr="000411DE">
        <w:rPr>
          <w:rFonts w:ascii="Arial" w:hAnsi="Arial" w:cs="Arial"/>
          <w:i/>
          <w:sz w:val="24"/>
          <w:szCs w:val="24"/>
        </w:rPr>
        <w:t>[…]</w:t>
      </w:r>
    </w:p>
    <w:p w14:paraId="34C42F01" w14:textId="3C3875F2" w:rsidR="00943E55" w:rsidRPr="000411DE" w:rsidRDefault="00943E55" w:rsidP="000411DE">
      <w:pPr>
        <w:ind w:left="567"/>
        <w:jc w:val="both"/>
        <w:rPr>
          <w:rFonts w:ascii="Arial" w:hAnsi="Arial" w:cs="Arial"/>
          <w:i/>
          <w:sz w:val="24"/>
          <w:szCs w:val="24"/>
        </w:rPr>
      </w:pPr>
      <w:r w:rsidRPr="000411DE">
        <w:rPr>
          <w:rFonts w:ascii="Arial" w:hAnsi="Arial" w:cs="Arial"/>
          <w:b/>
          <w:i/>
          <w:sz w:val="24"/>
          <w:szCs w:val="24"/>
        </w:rPr>
        <w:t>ARTÍCULO 162.-</w:t>
      </w:r>
      <w:r w:rsidRPr="000411DE">
        <w:rPr>
          <w:rFonts w:ascii="Arial" w:hAnsi="Arial" w:cs="Arial"/>
          <w:i/>
          <w:sz w:val="24"/>
          <w:szCs w:val="24"/>
        </w:rPr>
        <w:t xml:space="preserve"> Procede el sobreseimiento del juicio:</w:t>
      </w:r>
    </w:p>
    <w:p w14:paraId="5D119443" w14:textId="478312C8" w:rsidR="00943E55" w:rsidRPr="000411DE" w:rsidRDefault="00943E55" w:rsidP="000411DE">
      <w:pPr>
        <w:ind w:left="567"/>
        <w:jc w:val="both"/>
        <w:rPr>
          <w:rFonts w:ascii="Arial" w:hAnsi="Arial" w:cs="Arial"/>
          <w:i/>
          <w:sz w:val="24"/>
          <w:szCs w:val="24"/>
        </w:rPr>
      </w:pPr>
      <w:r w:rsidRPr="000411DE">
        <w:rPr>
          <w:rFonts w:ascii="Arial" w:hAnsi="Arial" w:cs="Arial"/>
          <w:i/>
          <w:sz w:val="24"/>
          <w:szCs w:val="24"/>
        </w:rPr>
        <w:t>[…]</w:t>
      </w:r>
    </w:p>
    <w:p w14:paraId="42F9757E" w14:textId="6161FC4D" w:rsidR="00A53C3A" w:rsidRDefault="00943E55" w:rsidP="000411DE">
      <w:pPr>
        <w:ind w:left="567"/>
        <w:jc w:val="both"/>
        <w:rPr>
          <w:rFonts w:ascii="Arial" w:hAnsi="Arial" w:cs="Arial"/>
          <w:i/>
          <w:sz w:val="24"/>
          <w:szCs w:val="24"/>
        </w:rPr>
      </w:pPr>
      <w:r w:rsidRPr="000411DE">
        <w:rPr>
          <w:rFonts w:ascii="Arial" w:hAnsi="Arial" w:cs="Arial"/>
          <w:i/>
          <w:sz w:val="24"/>
          <w:szCs w:val="24"/>
        </w:rPr>
        <w:t xml:space="preserve">II. Cuando durante la tramitación del procedimiento sobreviniere alguna de las causas </w:t>
      </w:r>
      <w:r w:rsidR="00256C86" w:rsidRPr="000411DE">
        <w:rPr>
          <w:rFonts w:ascii="Arial" w:hAnsi="Arial" w:cs="Arial"/>
          <w:i/>
          <w:sz w:val="24"/>
          <w:szCs w:val="24"/>
        </w:rPr>
        <w:t xml:space="preserve"> </w:t>
      </w:r>
      <w:r w:rsidRPr="000411DE">
        <w:rPr>
          <w:rFonts w:ascii="Arial" w:hAnsi="Arial" w:cs="Arial"/>
          <w:i/>
          <w:sz w:val="24"/>
          <w:szCs w:val="24"/>
        </w:rPr>
        <w:t>de improcedencia a que se refiere el artículo anterior;</w:t>
      </w:r>
    </w:p>
    <w:p w14:paraId="7EB2A0C8" w14:textId="197AA8B5" w:rsidR="000411DE" w:rsidRPr="000411DE" w:rsidRDefault="000411DE" w:rsidP="000411DE">
      <w:pPr>
        <w:ind w:left="567"/>
        <w:jc w:val="both"/>
        <w:rPr>
          <w:rFonts w:ascii="Arial" w:hAnsi="Arial" w:cs="Arial"/>
          <w:i/>
          <w:sz w:val="24"/>
          <w:szCs w:val="24"/>
        </w:rPr>
      </w:pPr>
      <w:r>
        <w:rPr>
          <w:rFonts w:ascii="Arial" w:hAnsi="Arial" w:cs="Arial"/>
          <w:i/>
          <w:sz w:val="24"/>
          <w:szCs w:val="24"/>
        </w:rPr>
        <w:t>[…]”</w:t>
      </w:r>
    </w:p>
    <w:p w14:paraId="0718F523" w14:textId="2F5F82B4" w:rsidR="00256C86" w:rsidRDefault="00256C86" w:rsidP="00256C86">
      <w:pPr>
        <w:spacing w:line="360" w:lineRule="auto"/>
        <w:ind w:firstLine="567"/>
        <w:jc w:val="both"/>
        <w:rPr>
          <w:rFonts w:ascii="Arial" w:hAnsi="Arial" w:cs="Arial"/>
          <w:sz w:val="24"/>
          <w:szCs w:val="24"/>
        </w:rPr>
      </w:pPr>
      <w:r>
        <w:rPr>
          <w:rFonts w:ascii="Arial" w:hAnsi="Arial" w:cs="Arial"/>
          <w:sz w:val="24"/>
          <w:szCs w:val="24"/>
        </w:rPr>
        <w:t xml:space="preserve">Lo anterior es así </w:t>
      </w:r>
      <w:r w:rsidR="00E8457D">
        <w:rPr>
          <w:rFonts w:ascii="Arial" w:hAnsi="Arial" w:cs="Arial"/>
          <w:sz w:val="24"/>
          <w:szCs w:val="24"/>
        </w:rPr>
        <w:t>ya que de las constancias de autos así como del acto</w:t>
      </w:r>
      <w:r w:rsidR="00292840">
        <w:rPr>
          <w:rFonts w:ascii="Arial" w:hAnsi="Arial" w:cs="Arial"/>
          <w:sz w:val="24"/>
          <w:szCs w:val="24"/>
        </w:rPr>
        <w:t xml:space="preserve"> reclamado, se advierte que dichas autoridades no dictaron, no ordenaron o trataron d</w:t>
      </w:r>
      <w:r w:rsidR="003775A1">
        <w:rPr>
          <w:rFonts w:ascii="Arial" w:hAnsi="Arial" w:cs="Arial"/>
          <w:sz w:val="24"/>
          <w:szCs w:val="24"/>
        </w:rPr>
        <w:t xml:space="preserve">e ejecutar los actos reclamados, puesto que quien levantó el acta de infracción controvertida fue una autoridad diversa, en ese tenor, esta Sala estima procedente </w:t>
      </w:r>
      <w:r w:rsidR="003775A1" w:rsidRPr="003775A1">
        <w:rPr>
          <w:rFonts w:ascii="Arial" w:hAnsi="Arial" w:cs="Arial"/>
          <w:b/>
          <w:sz w:val="24"/>
          <w:szCs w:val="24"/>
        </w:rPr>
        <w:t>SOBRESEER EL PRESENTE JUICIO</w:t>
      </w:r>
      <w:r w:rsidR="003775A1">
        <w:rPr>
          <w:rFonts w:ascii="Arial" w:hAnsi="Arial" w:cs="Arial"/>
          <w:sz w:val="24"/>
          <w:szCs w:val="24"/>
        </w:rPr>
        <w:t xml:space="preserve"> respecto de las autoridades Director General de la Policía Vial Estatal de la Dirección de Tránsito del Estado de Oaxaca y Encargado de la Secretaría de Finanzas del Gobierno del Estado de Oaxaca.</w:t>
      </w:r>
    </w:p>
    <w:p w14:paraId="195F8A43" w14:textId="24F2A51D" w:rsidR="003775A1" w:rsidRDefault="003775A1" w:rsidP="003775A1">
      <w:pPr>
        <w:spacing w:line="360" w:lineRule="auto"/>
        <w:ind w:firstLine="567"/>
        <w:jc w:val="both"/>
        <w:rPr>
          <w:rFonts w:ascii="Arial" w:hAnsi="Arial" w:cs="Arial"/>
          <w:sz w:val="24"/>
          <w:szCs w:val="24"/>
        </w:rPr>
      </w:pPr>
      <w:r>
        <w:rPr>
          <w:rFonts w:ascii="Arial" w:hAnsi="Arial" w:cs="Arial"/>
          <w:sz w:val="24"/>
          <w:szCs w:val="24"/>
        </w:rPr>
        <w:t xml:space="preserve">Por otra parte, respecto del acto reclamado consistente en la </w:t>
      </w:r>
      <w:r w:rsidR="00D93933">
        <w:rPr>
          <w:rFonts w:ascii="Arial" w:hAnsi="Arial" w:cs="Arial"/>
          <w:sz w:val="24"/>
          <w:szCs w:val="24"/>
        </w:rPr>
        <w:t>*****</w:t>
      </w:r>
      <w:r>
        <w:rPr>
          <w:rFonts w:ascii="Arial" w:hAnsi="Arial" w:cs="Arial"/>
          <w:sz w:val="24"/>
          <w:szCs w:val="24"/>
        </w:rPr>
        <w:t xml:space="preserve"> </w:t>
      </w:r>
      <w:r w:rsidR="00D93933">
        <w:rPr>
          <w:rFonts w:ascii="Arial" w:hAnsi="Arial" w:cs="Arial"/>
          <w:sz w:val="24"/>
          <w:szCs w:val="24"/>
        </w:rPr>
        <w:t>*****</w:t>
      </w:r>
      <w:r>
        <w:rPr>
          <w:rFonts w:ascii="Arial" w:hAnsi="Arial" w:cs="Arial"/>
          <w:sz w:val="24"/>
          <w:szCs w:val="24"/>
        </w:rPr>
        <w:t xml:space="preserve">, o escrita por parte del Director General de la Policía Vial Estatal de la Dirección de Tránsito del Estado de Oaxaca que haya dado a sus subordinados par que levantaran la infracción de fecha </w:t>
      </w:r>
      <w:r w:rsidR="00D93933">
        <w:rPr>
          <w:rFonts w:ascii="Arial" w:hAnsi="Arial" w:cs="Arial"/>
          <w:sz w:val="24"/>
          <w:szCs w:val="24"/>
        </w:rPr>
        <w:t>*****</w:t>
      </w:r>
      <w:r>
        <w:rPr>
          <w:rFonts w:ascii="Arial" w:hAnsi="Arial" w:cs="Arial"/>
          <w:sz w:val="24"/>
          <w:szCs w:val="24"/>
        </w:rPr>
        <w:t xml:space="preserve"> de </w:t>
      </w:r>
      <w:r w:rsidR="00D93933">
        <w:rPr>
          <w:rFonts w:ascii="Arial" w:hAnsi="Arial" w:cs="Arial"/>
          <w:sz w:val="24"/>
          <w:szCs w:val="24"/>
        </w:rPr>
        <w:t>*****</w:t>
      </w:r>
      <w:r>
        <w:rPr>
          <w:rFonts w:ascii="Arial" w:hAnsi="Arial" w:cs="Arial"/>
          <w:sz w:val="24"/>
          <w:szCs w:val="24"/>
        </w:rPr>
        <w:t xml:space="preserve"> de dos mil </w:t>
      </w:r>
      <w:r w:rsidR="00D93933">
        <w:rPr>
          <w:rFonts w:ascii="Arial" w:hAnsi="Arial" w:cs="Arial"/>
          <w:sz w:val="24"/>
          <w:szCs w:val="24"/>
        </w:rPr>
        <w:t>******</w:t>
      </w:r>
      <w:r>
        <w:rPr>
          <w:rFonts w:ascii="Arial" w:hAnsi="Arial" w:cs="Arial"/>
          <w:sz w:val="24"/>
          <w:szCs w:val="24"/>
        </w:rPr>
        <w:t>, se actualiza la causal de improcedencia y sobreseimiento contenida en los artículos 161 fracción IX y 162 fracción II de la Ley de Procedimiento y Justicia Administrativa para el Estado de Oaxaca que a la letra dicen:</w:t>
      </w:r>
    </w:p>
    <w:p w14:paraId="355E0C2D" w14:textId="4ECDC1E0" w:rsidR="003775A1" w:rsidRPr="003775A1" w:rsidRDefault="003775A1" w:rsidP="00361C93">
      <w:pPr>
        <w:ind w:left="567"/>
        <w:jc w:val="both"/>
        <w:rPr>
          <w:rFonts w:ascii="Arial" w:hAnsi="Arial" w:cs="Arial"/>
          <w:i/>
          <w:sz w:val="24"/>
          <w:szCs w:val="24"/>
        </w:rPr>
      </w:pPr>
      <w:r>
        <w:rPr>
          <w:rFonts w:ascii="Arial" w:hAnsi="Arial" w:cs="Arial"/>
          <w:b/>
          <w:i/>
          <w:sz w:val="24"/>
          <w:szCs w:val="24"/>
        </w:rPr>
        <w:t>“</w:t>
      </w:r>
      <w:r w:rsidRPr="003775A1">
        <w:rPr>
          <w:rFonts w:ascii="Arial" w:hAnsi="Arial" w:cs="Arial"/>
          <w:b/>
          <w:i/>
          <w:sz w:val="24"/>
          <w:szCs w:val="24"/>
        </w:rPr>
        <w:t>ARTÍCULO 161.-</w:t>
      </w:r>
      <w:r w:rsidRPr="003775A1">
        <w:rPr>
          <w:rFonts w:ascii="Arial" w:hAnsi="Arial" w:cs="Arial"/>
          <w:i/>
          <w:sz w:val="24"/>
          <w:szCs w:val="24"/>
        </w:rPr>
        <w:t xml:space="preserve"> Es improcedente el juicio ante el Tribunal contra actos:</w:t>
      </w:r>
    </w:p>
    <w:p w14:paraId="6D9FB3BC" w14:textId="4DB418F7" w:rsidR="003775A1" w:rsidRPr="003775A1" w:rsidRDefault="003775A1" w:rsidP="00361C93">
      <w:pPr>
        <w:ind w:left="567"/>
        <w:jc w:val="both"/>
        <w:rPr>
          <w:rFonts w:ascii="Arial" w:hAnsi="Arial" w:cs="Arial"/>
          <w:i/>
          <w:sz w:val="24"/>
          <w:szCs w:val="24"/>
        </w:rPr>
      </w:pPr>
      <w:r w:rsidRPr="003775A1">
        <w:rPr>
          <w:rFonts w:ascii="Arial" w:hAnsi="Arial" w:cs="Arial"/>
          <w:i/>
          <w:sz w:val="24"/>
          <w:szCs w:val="24"/>
        </w:rPr>
        <w:t>[…]</w:t>
      </w:r>
    </w:p>
    <w:p w14:paraId="60E509C1" w14:textId="7C81D12E" w:rsidR="003775A1" w:rsidRPr="003775A1" w:rsidRDefault="003775A1" w:rsidP="00361C93">
      <w:pPr>
        <w:ind w:left="567"/>
        <w:jc w:val="both"/>
        <w:rPr>
          <w:rFonts w:ascii="Arial" w:hAnsi="Arial" w:cs="Arial"/>
          <w:i/>
          <w:sz w:val="24"/>
          <w:szCs w:val="24"/>
        </w:rPr>
      </w:pPr>
      <w:r w:rsidRPr="003775A1">
        <w:rPr>
          <w:rFonts w:ascii="Arial" w:hAnsi="Arial" w:cs="Arial"/>
          <w:i/>
          <w:sz w:val="24"/>
          <w:szCs w:val="24"/>
        </w:rPr>
        <w:t>IX. Cuando de las constancias de autos apareciere claramente que no existe el acto reclamado o cuando no se probare su existencia; y</w:t>
      </w:r>
    </w:p>
    <w:p w14:paraId="1B42D7FC" w14:textId="085421D8" w:rsidR="003775A1" w:rsidRPr="003775A1" w:rsidRDefault="003775A1" w:rsidP="00361C93">
      <w:pPr>
        <w:ind w:left="567"/>
        <w:jc w:val="both"/>
        <w:rPr>
          <w:rFonts w:ascii="Arial" w:hAnsi="Arial" w:cs="Arial"/>
          <w:i/>
          <w:sz w:val="24"/>
          <w:szCs w:val="24"/>
        </w:rPr>
      </w:pPr>
      <w:r w:rsidRPr="003775A1">
        <w:rPr>
          <w:rFonts w:ascii="Arial" w:hAnsi="Arial" w:cs="Arial"/>
          <w:i/>
          <w:sz w:val="24"/>
          <w:szCs w:val="24"/>
        </w:rPr>
        <w:t>[…]</w:t>
      </w:r>
    </w:p>
    <w:p w14:paraId="7F80B95D" w14:textId="3E986A41" w:rsidR="003775A1" w:rsidRPr="003775A1" w:rsidRDefault="003775A1" w:rsidP="00361C93">
      <w:pPr>
        <w:ind w:left="567"/>
        <w:jc w:val="both"/>
        <w:rPr>
          <w:rFonts w:ascii="Arial" w:hAnsi="Arial" w:cs="Arial"/>
          <w:i/>
          <w:sz w:val="24"/>
          <w:szCs w:val="24"/>
        </w:rPr>
      </w:pPr>
      <w:r w:rsidRPr="003775A1">
        <w:rPr>
          <w:rFonts w:ascii="Arial" w:hAnsi="Arial" w:cs="Arial"/>
          <w:b/>
          <w:i/>
          <w:sz w:val="24"/>
          <w:szCs w:val="24"/>
        </w:rPr>
        <w:t>ARTÍCULO 162.-</w:t>
      </w:r>
      <w:r w:rsidRPr="003775A1">
        <w:rPr>
          <w:rFonts w:ascii="Arial" w:hAnsi="Arial" w:cs="Arial"/>
          <w:i/>
          <w:sz w:val="24"/>
          <w:szCs w:val="24"/>
        </w:rPr>
        <w:t xml:space="preserve"> Procede el sobreseimiento del juicio:</w:t>
      </w:r>
    </w:p>
    <w:p w14:paraId="78310E5C" w14:textId="1DD96764" w:rsidR="003775A1" w:rsidRPr="003775A1" w:rsidRDefault="003775A1" w:rsidP="00361C93">
      <w:pPr>
        <w:ind w:left="567"/>
        <w:jc w:val="both"/>
        <w:rPr>
          <w:rFonts w:ascii="Arial" w:hAnsi="Arial" w:cs="Arial"/>
          <w:i/>
          <w:sz w:val="24"/>
          <w:szCs w:val="24"/>
        </w:rPr>
      </w:pPr>
      <w:r w:rsidRPr="003775A1">
        <w:rPr>
          <w:rFonts w:ascii="Arial" w:hAnsi="Arial" w:cs="Arial"/>
          <w:i/>
          <w:sz w:val="24"/>
          <w:szCs w:val="24"/>
        </w:rPr>
        <w:lastRenderedPageBreak/>
        <w:t>[…]</w:t>
      </w:r>
    </w:p>
    <w:p w14:paraId="51B813B8" w14:textId="4CC8AD12" w:rsidR="003775A1" w:rsidRPr="003775A1" w:rsidRDefault="003775A1" w:rsidP="00361C93">
      <w:pPr>
        <w:ind w:left="567"/>
        <w:jc w:val="both"/>
        <w:rPr>
          <w:rFonts w:ascii="Arial" w:hAnsi="Arial" w:cs="Arial"/>
          <w:i/>
          <w:sz w:val="24"/>
          <w:szCs w:val="24"/>
        </w:rPr>
      </w:pPr>
      <w:r w:rsidRPr="003775A1">
        <w:rPr>
          <w:rFonts w:ascii="Arial" w:hAnsi="Arial" w:cs="Arial"/>
          <w:i/>
          <w:sz w:val="24"/>
          <w:szCs w:val="24"/>
        </w:rPr>
        <w:t>II. Cuando durante la tramitación del procedimiento sobreviniere alguna de las causas de improcedencia a que se refiere el artículo anterior;</w:t>
      </w:r>
    </w:p>
    <w:p w14:paraId="49A467DA" w14:textId="6B29E7DE" w:rsidR="003775A1" w:rsidRPr="003775A1" w:rsidRDefault="003775A1" w:rsidP="00361C93">
      <w:pPr>
        <w:ind w:left="567"/>
        <w:jc w:val="both"/>
        <w:rPr>
          <w:rFonts w:ascii="Arial" w:hAnsi="Arial" w:cs="Arial"/>
          <w:i/>
          <w:sz w:val="24"/>
          <w:szCs w:val="24"/>
        </w:rPr>
      </w:pPr>
      <w:r w:rsidRPr="003775A1">
        <w:rPr>
          <w:rFonts w:ascii="Arial" w:hAnsi="Arial" w:cs="Arial"/>
          <w:i/>
          <w:sz w:val="24"/>
          <w:szCs w:val="24"/>
        </w:rPr>
        <w:t>[…]</w:t>
      </w:r>
      <w:r>
        <w:rPr>
          <w:rFonts w:ascii="Arial" w:hAnsi="Arial" w:cs="Arial"/>
          <w:i/>
          <w:sz w:val="24"/>
          <w:szCs w:val="24"/>
        </w:rPr>
        <w:t>”</w:t>
      </w:r>
    </w:p>
    <w:p w14:paraId="33B0DD11" w14:textId="4FCEFC56" w:rsidR="003775A1" w:rsidRDefault="003775A1" w:rsidP="003775A1">
      <w:pPr>
        <w:spacing w:line="360" w:lineRule="auto"/>
        <w:ind w:firstLine="567"/>
        <w:jc w:val="both"/>
        <w:rPr>
          <w:rFonts w:ascii="Arial" w:hAnsi="Arial" w:cs="Arial"/>
          <w:sz w:val="24"/>
          <w:szCs w:val="24"/>
        </w:rPr>
      </w:pPr>
      <w:r>
        <w:rPr>
          <w:rFonts w:ascii="Arial" w:hAnsi="Arial" w:cs="Arial"/>
          <w:sz w:val="24"/>
          <w:szCs w:val="24"/>
        </w:rPr>
        <w:t xml:space="preserve">Lo anterior es así, ya que </w:t>
      </w:r>
      <w:r w:rsidR="00361C93">
        <w:rPr>
          <w:rFonts w:ascii="Arial" w:hAnsi="Arial" w:cs="Arial"/>
          <w:sz w:val="24"/>
          <w:szCs w:val="24"/>
        </w:rPr>
        <w:t xml:space="preserve">de las constancias de autos, se advierte que dicho acto es inexistente, máxime que del caudal probatorio el actor no demostró la existencia del mismo, aunado que las autoridades demandadas negaron la existencia de dicho acto, luego entonces, esta Sala esta estima procedente </w:t>
      </w:r>
      <w:r w:rsidR="00361C93" w:rsidRPr="00472725">
        <w:rPr>
          <w:rFonts w:ascii="Arial" w:hAnsi="Arial" w:cs="Arial"/>
          <w:b/>
          <w:sz w:val="24"/>
          <w:szCs w:val="24"/>
        </w:rPr>
        <w:t>SOBRE</w:t>
      </w:r>
      <w:r w:rsidR="00472725" w:rsidRPr="00472725">
        <w:rPr>
          <w:rFonts w:ascii="Arial" w:hAnsi="Arial" w:cs="Arial"/>
          <w:b/>
          <w:sz w:val="24"/>
          <w:szCs w:val="24"/>
        </w:rPr>
        <w:t>SEER EL PRESENTE JUICIO</w:t>
      </w:r>
      <w:r w:rsidR="00472725">
        <w:rPr>
          <w:rFonts w:ascii="Arial" w:hAnsi="Arial" w:cs="Arial"/>
          <w:sz w:val="24"/>
          <w:szCs w:val="24"/>
        </w:rPr>
        <w:t xml:space="preserve"> respecto de la </w:t>
      </w:r>
      <w:r w:rsidR="00D93933">
        <w:rPr>
          <w:rFonts w:ascii="Arial" w:hAnsi="Arial" w:cs="Arial"/>
          <w:sz w:val="24"/>
          <w:szCs w:val="24"/>
        </w:rPr>
        <w:t>*****</w:t>
      </w:r>
      <w:r w:rsidR="00472725">
        <w:rPr>
          <w:rFonts w:ascii="Arial" w:hAnsi="Arial" w:cs="Arial"/>
          <w:sz w:val="24"/>
          <w:szCs w:val="24"/>
        </w:rPr>
        <w:t xml:space="preserve"> </w:t>
      </w:r>
      <w:r w:rsidR="00D93933">
        <w:rPr>
          <w:rFonts w:ascii="Arial" w:hAnsi="Arial" w:cs="Arial"/>
          <w:sz w:val="24"/>
          <w:szCs w:val="24"/>
        </w:rPr>
        <w:t>*****</w:t>
      </w:r>
      <w:r w:rsidR="00472725">
        <w:rPr>
          <w:rFonts w:ascii="Arial" w:hAnsi="Arial" w:cs="Arial"/>
          <w:sz w:val="24"/>
          <w:szCs w:val="24"/>
        </w:rPr>
        <w:t xml:space="preserve">, o escrita por parte del Director General de la Policía Vial Estatal de la Dirección de Tránsito del Estado de Oaxaca que haya dado a sus subordinados par que levantaran la infracción de fecha </w:t>
      </w:r>
      <w:r w:rsidR="00C4260E">
        <w:rPr>
          <w:rFonts w:ascii="Arial" w:hAnsi="Arial" w:cs="Arial"/>
          <w:sz w:val="24"/>
          <w:szCs w:val="24"/>
        </w:rPr>
        <w:t>*****</w:t>
      </w:r>
      <w:r w:rsidR="00472725">
        <w:rPr>
          <w:rFonts w:ascii="Arial" w:hAnsi="Arial" w:cs="Arial"/>
          <w:sz w:val="24"/>
          <w:szCs w:val="24"/>
        </w:rPr>
        <w:t xml:space="preserve"> de </w:t>
      </w:r>
      <w:r w:rsidR="00C4260E">
        <w:rPr>
          <w:rFonts w:ascii="Arial" w:hAnsi="Arial" w:cs="Arial"/>
          <w:sz w:val="24"/>
          <w:szCs w:val="24"/>
        </w:rPr>
        <w:t>*****</w:t>
      </w:r>
      <w:r w:rsidR="00472725">
        <w:rPr>
          <w:rFonts w:ascii="Arial" w:hAnsi="Arial" w:cs="Arial"/>
          <w:sz w:val="24"/>
          <w:szCs w:val="24"/>
        </w:rPr>
        <w:t xml:space="preserve"> de dos mil </w:t>
      </w:r>
      <w:r w:rsidR="00C4260E">
        <w:rPr>
          <w:rFonts w:ascii="Arial" w:hAnsi="Arial" w:cs="Arial"/>
          <w:sz w:val="24"/>
          <w:szCs w:val="24"/>
        </w:rPr>
        <w:t>*****</w:t>
      </w:r>
    </w:p>
    <w:p w14:paraId="40C7DB4D" w14:textId="4047B339" w:rsidR="008C764E" w:rsidRPr="009C0C09" w:rsidRDefault="00472725" w:rsidP="00605164">
      <w:pPr>
        <w:spacing w:line="360" w:lineRule="auto"/>
        <w:ind w:firstLine="567"/>
        <w:jc w:val="both"/>
        <w:rPr>
          <w:rFonts w:ascii="Arial" w:hAnsi="Arial" w:cs="Arial"/>
          <w:bCs/>
          <w:snapToGrid w:val="0"/>
          <w:sz w:val="24"/>
          <w:szCs w:val="27"/>
        </w:rPr>
      </w:pPr>
      <w:r>
        <w:rPr>
          <w:rFonts w:ascii="Arial" w:hAnsi="Arial" w:cs="Arial"/>
          <w:sz w:val="24"/>
          <w:szCs w:val="24"/>
        </w:rPr>
        <w:t xml:space="preserve">Por lo que hace al </w:t>
      </w:r>
      <w:r w:rsidRPr="009C0C09">
        <w:rPr>
          <w:rFonts w:ascii="Arial" w:hAnsi="Arial" w:cs="Arial"/>
          <w:bCs/>
          <w:snapToGrid w:val="0"/>
          <w:sz w:val="24"/>
          <w:szCs w:val="27"/>
        </w:rPr>
        <w:t xml:space="preserve">acta de infracción impugnada </w:t>
      </w:r>
      <w:r w:rsidR="00FE0DC6">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FE0DC6">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FE0DC6">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FE0DC6">
        <w:rPr>
          <w:rFonts w:ascii="Arial" w:hAnsi="Arial" w:cs="Arial"/>
          <w:bCs/>
          <w:spacing w:val="-3"/>
          <w:sz w:val="24"/>
          <w:szCs w:val="27"/>
          <w:lang w:val="es-ES_tradnl"/>
        </w:rPr>
        <w:t>*****</w:t>
      </w:r>
      <w:r>
        <w:rPr>
          <w:rFonts w:ascii="Arial" w:hAnsi="Arial" w:cs="Arial"/>
          <w:bCs/>
          <w:spacing w:val="-3"/>
          <w:sz w:val="24"/>
          <w:szCs w:val="27"/>
          <w:lang w:val="es-ES_tradnl"/>
        </w:rPr>
        <w:t>, e</w:t>
      </w:r>
      <w:r w:rsidR="001C3689" w:rsidRPr="001C3689">
        <w:rPr>
          <w:rFonts w:ascii="Arial" w:hAnsi="Arial" w:cs="Arial"/>
          <w:sz w:val="24"/>
          <w:szCs w:val="24"/>
        </w:rPr>
        <w:t>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64045182" w14:textId="09291141" w:rsidR="005A1686" w:rsidRPr="009C0C09" w:rsidRDefault="0016023B" w:rsidP="005A1686">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5A1686" w:rsidRPr="009C0C09">
        <w:rPr>
          <w:rFonts w:ascii="Arial" w:hAnsi="Arial" w:cs="Arial"/>
          <w:bCs/>
          <w:snapToGrid w:val="0"/>
          <w:sz w:val="24"/>
          <w:szCs w:val="27"/>
        </w:rPr>
        <w:t xml:space="preserve">Ahora bien, esta </w:t>
      </w:r>
      <w:r w:rsidR="005A1686">
        <w:rPr>
          <w:rFonts w:ascii="Arial" w:hAnsi="Arial" w:cs="Arial"/>
          <w:bCs/>
          <w:snapToGrid w:val="0"/>
          <w:sz w:val="24"/>
          <w:szCs w:val="27"/>
        </w:rPr>
        <w:t>Segunda</w:t>
      </w:r>
      <w:r w:rsidR="005A1686" w:rsidRPr="009C0C09">
        <w:rPr>
          <w:rFonts w:ascii="Arial" w:hAnsi="Arial" w:cs="Arial"/>
          <w:bCs/>
          <w:snapToGrid w:val="0"/>
          <w:sz w:val="24"/>
          <w:szCs w:val="27"/>
        </w:rPr>
        <w:t xml:space="preserve"> Sala Unitaria de Primera Instancia del Tribunal de Justicia Administrativa para el Estado de Oaxaca, procede al estudio de los conceptos de impugnación hechos valer por la parte actora y al análisis del acta de infracción impugnada </w:t>
      </w:r>
      <w:r w:rsidR="00DF0CB0">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fecha </w:t>
      </w:r>
      <w:r w:rsidR="00DF0CB0">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w:t>
      </w:r>
      <w:r w:rsidR="00DF0CB0">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dos mil </w:t>
      </w:r>
      <w:r w:rsidR="00DF0CB0">
        <w:rPr>
          <w:rFonts w:ascii="Arial" w:hAnsi="Arial" w:cs="Arial"/>
          <w:bCs/>
          <w:spacing w:val="-3"/>
          <w:sz w:val="24"/>
          <w:szCs w:val="27"/>
          <w:lang w:val="es-ES_tradnl"/>
        </w:rPr>
        <w:t>*****</w:t>
      </w:r>
      <w:r w:rsidR="00EE4AFE">
        <w:rPr>
          <w:rFonts w:ascii="Arial" w:hAnsi="Arial" w:cs="Arial"/>
          <w:bCs/>
          <w:snapToGrid w:val="0"/>
          <w:sz w:val="24"/>
          <w:szCs w:val="27"/>
        </w:rPr>
        <w:t>, visible en la foja 9</w:t>
      </w:r>
      <w:r w:rsidR="005A1686" w:rsidRPr="009C0C09">
        <w:rPr>
          <w:rFonts w:ascii="Arial" w:hAnsi="Arial" w:cs="Arial"/>
          <w:bCs/>
          <w:snapToGrid w:val="0"/>
          <w:sz w:val="24"/>
          <w:szCs w:val="27"/>
        </w:rPr>
        <w:t xml:space="preserve"> del sumario, a la cual se le confiere pleno valor probatorio al haber sido expedida por funcionario público en ejercicio de sus funciones, en té</w:t>
      </w:r>
      <w:r w:rsidR="005A1686">
        <w:rPr>
          <w:rFonts w:ascii="Arial" w:hAnsi="Arial" w:cs="Arial"/>
          <w:bCs/>
          <w:snapToGrid w:val="0"/>
          <w:sz w:val="24"/>
          <w:szCs w:val="27"/>
        </w:rPr>
        <w:t>rminos del artículo 203 fracción I</w:t>
      </w:r>
      <w:r w:rsidR="00EE4AFE">
        <w:rPr>
          <w:rFonts w:ascii="Arial" w:hAnsi="Arial" w:cs="Arial"/>
          <w:bCs/>
          <w:snapToGrid w:val="0"/>
          <w:sz w:val="24"/>
          <w:szCs w:val="27"/>
        </w:rPr>
        <w:t>I</w:t>
      </w:r>
      <w:r w:rsidR="005A1686" w:rsidRPr="009C0C09">
        <w:rPr>
          <w:rFonts w:ascii="Arial" w:hAnsi="Arial" w:cs="Arial"/>
          <w:bCs/>
          <w:snapToGrid w:val="0"/>
          <w:sz w:val="24"/>
          <w:szCs w:val="27"/>
        </w:rPr>
        <w:t>, de l</w:t>
      </w:r>
      <w:r w:rsidR="005A1686">
        <w:rPr>
          <w:rFonts w:ascii="Arial" w:hAnsi="Arial" w:cs="Arial"/>
          <w:bCs/>
          <w:snapToGrid w:val="0"/>
          <w:sz w:val="24"/>
          <w:szCs w:val="27"/>
        </w:rPr>
        <w:t>a Ley que rige a este Tribunal y cuya existencia no fue desvirtuada por la contraparte en el presente juicio.</w:t>
      </w:r>
      <w:r w:rsidR="005A1686" w:rsidRPr="009C0C09">
        <w:rPr>
          <w:rFonts w:ascii="Arial" w:hAnsi="Arial" w:cs="Arial"/>
          <w:bCs/>
          <w:snapToGrid w:val="0"/>
          <w:sz w:val="24"/>
          <w:szCs w:val="27"/>
        </w:rPr>
        <w:t xml:space="preserve"> </w:t>
      </w:r>
    </w:p>
    <w:p w14:paraId="14B7E655" w14:textId="698D1B68" w:rsidR="005A1686" w:rsidRPr="00A40006" w:rsidRDefault="005A1686" w:rsidP="005A168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 xml:space="preserve">6 de la Ley que rige a este Tribunal, se advierte que el acta de </w:t>
      </w:r>
      <w:r w:rsidR="00211EB3">
        <w:rPr>
          <w:rFonts w:ascii="Arial" w:hAnsi="Arial" w:cs="Arial"/>
          <w:bCs/>
          <w:snapToGrid w:val="0"/>
          <w:sz w:val="24"/>
          <w:szCs w:val="27"/>
        </w:rPr>
        <w:t xml:space="preserve">****** </w:t>
      </w:r>
      <w:r w:rsidRPr="00A40006">
        <w:rPr>
          <w:rFonts w:ascii="Arial" w:hAnsi="Arial" w:cs="Arial"/>
          <w:bCs/>
          <w:snapToGrid w:val="0"/>
          <w:sz w:val="24"/>
          <w:szCs w:val="27"/>
        </w:rPr>
        <w:t xml:space="preserve">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en dicho acto se señala que es levantada con fundamento en la Ley de Tránsito Reformada para el Estado de Oaxaca y su respectivo Reglamento, sin embargo, dicha ley fue abrogada mediante decreto 1801, publicada en el Periódico Oficial del Estado de Oaxaca, el día once de abril de dos mil dieciséis (11/04/2016), mismo decreto que creó la Ley de Tránsito, Movilidad y Vialidad del Estado de Oaxaca, y en su transitori</w:t>
      </w:r>
      <w:r>
        <w:rPr>
          <w:rFonts w:ascii="Arial" w:hAnsi="Arial" w:cs="Arial"/>
          <w:bCs/>
          <w:snapToGrid w:val="0"/>
          <w:sz w:val="24"/>
          <w:szCs w:val="27"/>
        </w:rPr>
        <w:t>o SEGUNDO indica lo siguiente:</w:t>
      </w:r>
    </w:p>
    <w:p w14:paraId="6E0C1940" w14:textId="77777777" w:rsidR="005A1686" w:rsidRPr="00B12B90"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6131AC4D" w14:textId="3286876A"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lastRenderedPageBreak/>
        <w:t xml:space="preserve">Derivado de lo anterior, resulta jurídicamente erróneo que la autoridad demandada fundamente su actuar en una Ley ya abrogada hace </w:t>
      </w:r>
      <w:r w:rsidR="00211EB3">
        <w:rPr>
          <w:rFonts w:ascii="Arial" w:hAnsi="Arial" w:cs="Arial"/>
          <w:bCs/>
          <w:snapToGrid w:val="0"/>
          <w:sz w:val="24"/>
          <w:szCs w:val="27"/>
        </w:rPr>
        <w:t>*****</w:t>
      </w:r>
      <w:r w:rsidRPr="00A40006">
        <w:rPr>
          <w:rFonts w:ascii="Arial" w:hAnsi="Arial" w:cs="Arial"/>
          <w:bCs/>
          <w:snapToGrid w:val="0"/>
          <w:sz w:val="24"/>
          <w:szCs w:val="27"/>
        </w:rPr>
        <w:t xml:space="preserve"> años a la fecha de emisión del acto, siendo este actuar contrario al principio de la no irretroactividad contemplado en el artículo 14 primer párrafo de la Constitución Política de los Estados Unidos Mexicanos que a la letra dice:</w:t>
      </w:r>
    </w:p>
    <w:p w14:paraId="49ABF025" w14:textId="77777777" w:rsidR="005A1686" w:rsidRPr="00035E01"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6428A40A" w14:textId="77777777"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abundancia a lo anterior,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 </w:t>
      </w:r>
      <w:r>
        <w:rPr>
          <w:rFonts w:ascii="Arial" w:hAnsi="Arial" w:cs="Arial"/>
          <w:bCs/>
          <w:snapToGrid w:val="0"/>
          <w:sz w:val="24"/>
          <w:szCs w:val="27"/>
        </w:rPr>
        <w:t>advirtiéndose que</w:t>
      </w:r>
      <w:r w:rsidRPr="00A40006">
        <w:rPr>
          <w:rFonts w:ascii="Arial" w:hAnsi="Arial" w:cs="Arial"/>
          <w:bCs/>
          <w:snapToGrid w:val="0"/>
          <w:sz w:val="24"/>
          <w:szCs w:val="27"/>
        </w:rPr>
        <w:t xml:space="preserve">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w:t>
      </w:r>
      <w:r>
        <w:rPr>
          <w:rFonts w:ascii="Arial" w:hAnsi="Arial" w:cs="Arial"/>
          <w:bCs/>
          <w:snapToGrid w:val="0"/>
          <w:sz w:val="24"/>
          <w:szCs w:val="27"/>
        </w:rPr>
        <w:t>ivar que le impone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w:t>
      </w:r>
      <w:r>
        <w:rPr>
          <w:rFonts w:ascii="Arial" w:hAnsi="Arial" w:cs="Arial"/>
          <w:bCs/>
          <w:snapToGrid w:val="0"/>
          <w:sz w:val="24"/>
          <w:szCs w:val="27"/>
        </w:rPr>
        <w:t>ativa para el Estado de Oaxaca.</w:t>
      </w:r>
    </w:p>
    <w:p w14:paraId="062A035B" w14:textId="432F0DC9"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EE4AFE">
        <w:rPr>
          <w:rFonts w:ascii="Arial" w:hAnsi="Arial" w:cs="Arial"/>
          <w:bCs/>
          <w:i/>
          <w:snapToGrid w:val="0"/>
          <w:sz w:val="24"/>
          <w:szCs w:val="27"/>
        </w:rPr>
        <w:t xml:space="preserve">1.- </w:t>
      </w:r>
      <w:r w:rsidR="00BE089F">
        <w:rPr>
          <w:rFonts w:ascii="Arial" w:hAnsi="Arial" w:cs="Arial"/>
          <w:bCs/>
          <w:i/>
          <w:snapToGrid w:val="0"/>
          <w:sz w:val="24"/>
          <w:szCs w:val="27"/>
        </w:rPr>
        <w:t>*****</w:t>
      </w:r>
      <w:r w:rsidR="00EE4AFE">
        <w:rPr>
          <w:rFonts w:ascii="Arial" w:hAnsi="Arial" w:cs="Arial"/>
          <w:bCs/>
          <w:i/>
          <w:snapToGrid w:val="0"/>
          <w:sz w:val="24"/>
          <w:szCs w:val="27"/>
        </w:rPr>
        <w:t xml:space="preserve"> DE </w:t>
      </w:r>
      <w:r w:rsidR="00BE089F">
        <w:rPr>
          <w:rFonts w:ascii="Arial" w:hAnsi="Arial" w:cs="Arial"/>
          <w:bCs/>
          <w:i/>
          <w:snapToGrid w:val="0"/>
          <w:sz w:val="24"/>
          <w:szCs w:val="27"/>
        </w:rPr>
        <w:t>****</w:t>
      </w:r>
      <w:r w:rsidR="00EE4AFE">
        <w:rPr>
          <w:rFonts w:ascii="Arial" w:hAnsi="Arial" w:cs="Arial"/>
          <w:bCs/>
          <w:i/>
          <w:snapToGrid w:val="0"/>
          <w:sz w:val="24"/>
          <w:szCs w:val="27"/>
        </w:rPr>
        <w:t>, 40.- DARSE A LA FUGA DESPUÉS DE COMETER UNA INFRACCIÓN, 41.- NO OBEDECER LAS INDICACIONES DEL POLICÍA DE TRÁNSITO, 50.- MAL COMPORTAMIENTO DEL CONDUCTOR</w:t>
      </w:r>
      <w:r w:rsidRPr="00D81DB4">
        <w:rPr>
          <w:rFonts w:ascii="Arial" w:hAnsi="Arial" w:cs="Arial"/>
          <w:bCs/>
          <w:i/>
          <w:snapToGrid w:val="0"/>
          <w:sz w:val="24"/>
          <w:szCs w:val="27"/>
        </w:rPr>
        <w:t>”</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EE4AFE">
        <w:rPr>
          <w:rFonts w:ascii="Arial" w:hAnsi="Arial" w:cs="Arial"/>
          <w:bCs/>
          <w:i/>
          <w:snapToGrid w:val="0"/>
          <w:sz w:val="24"/>
          <w:szCs w:val="27"/>
        </w:rPr>
        <w:t>no señala ninguno</w:t>
      </w:r>
      <w:r w:rsidRPr="00D81DB4">
        <w:rPr>
          <w:rFonts w:ascii="Arial" w:hAnsi="Arial" w:cs="Arial"/>
          <w:bCs/>
          <w:i/>
          <w:snapToGrid w:val="0"/>
          <w:sz w:val="24"/>
          <w:szCs w:val="27"/>
        </w:rPr>
        <w:t>”</w:t>
      </w:r>
      <w:r w:rsidRPr="00A40006">
        <w:rPr>
          <w:rFonts w:ascii="Arial" w:hAnsi="Arial" w:cs="Arial"/>
          <w:bCs/>
          <w:snapToGrid w:val="0"/>
          <w:sz w:val="24"/>
          <w:szCs w:val="27"/>
        </w:rPr>
        <w:t xml:space="preserve"> y en </w:t>
      </w:r>
      <w:r w:rsidRPr="00D81DB4">
        <w:rPr>
          <w:rFonts w:ascii="Arial" w:hAnsi="Arial" w:cs="Arial"/>
          <w:b/>
          <w:bCs/>
          <w:snapToGrid w:val="0"/>
          <w:sz w:val="24"/>
          <w:szCs w:val="27"/>
        </w:rPr>
        <w:t>OBSERVACIONES:</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EE4AFE">
        <w:rPr>
          <w:rFonts w:ascii="Arial" w:hAnsi="Arial" w:cs="Arial"/>
          <w:bCs/>
          <w:i/>
          <w:snapToGrid w:val="0"/>
          <w:sz w:val="24"/>
          <w:szCs w:val="27"/>
        </w:rPr>
        <w:t>ARTÍCULO 18 FRACCIÓN V DE LA LEY DE TRÁNSITO MOVILIDAD Y VIALIDAD  DEL ESTADO DE OAXACA</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w:t>
      </w:r>
      <w:r>
        <w:rPr>
          <w:rFonts w:ascii="Arial" w:hAnsi="Arial" w:cs="Arial"/>
          <w:bCs/>
          <w:snapToGrid w:val="0"/>
          <w:sz w:val="24"/>
          <w:szCs w:val="27"/>
        </w:rPr>
        <w:t xml:space="preserve"> ya que en la misma no se expresan las causas </w:t>
      </w:r>
      <w:r>
        <w:rPr>
          <w:rFonts w:ascii="Arial" w:hAnsi="Arial" w:cs="Arial"/>
          <w:bCs/>
          <w:snapToGrid w:val="0"/>
          <w:sz w:val="24"/>
          <w:szCs w:val="27"/>
        </w:rPr>
        <w:lastRenderedPageBreak/>
        <w:t>inmediatas por medio del cual el policía vial pudo a través de sus sentidos que el actor incurrió en las faltas ahí tipificadas,</w:t>
      </w:r>
      <w:r w:rsidRPr="00A40006">
        <w:rPr>
          <w:rFonts w:ascii="Arial" w:hAnsi="Arial" w:cs="Arial"/>
          <w:bCs/>
          <w:snapToGrid w:val="0"/>
          <w:sz w:val="24"/>
          <w:szCs w:val="27"/>
        </w:rPr>
        <w:t xml:space="preserve"> por lo que en ese tenor, dicho acto de autoridad carece de motivación y fundamentación,</w:t>
      </w:r>
      <w:r>
        <w:rPr>
          <w:rFonts w:ascii="Arial" w:hAnsi="Arial" w:cs="Arial"/>
          <w:bCs/>
          <w:snapToGrid w:val="0"/>
          <w:sz w:val="24"/>
          <w:szCs w:val="27"/>
        </w:rPr>
        <w:t xml:space="preserve"> y que lo vertido por la autoridad demandada en su contestación de demanda no puede ser considerada como parte integrante del acto reclamado,</w:t>
      </w:r>
      <w:r w:rsidRPr="00A40006">
        <w:rPr>
          <w:rFonts w:ascii="Arial" w:hAnsi="Arial" w:cs="Arial"/>
          <w:bCs/>
          <w:snapToGrid w:val="0"/>
          <w:sz w:val="24"/>
          <w:szCs w:val="27"/>
        </w:rPr>
        <w:t xml:space="preserve"> sirve de apoyo sustancial la tesis número I. 4o. P. 56 P con número de registro 209986, por los Tribunales Colegiados de Circuito en el Semanario Judicial de la Federación Tomo XIV, Noviembre de 1994, página 450, de la Octava Época, materia penal, bajo el rubro y texto siguiente: </w:t>
      </w:r>
    </w:p>
    <w:p w14:paraId="14CF66DE" w14:textId="77777777" w:rsidR="005A1686" w:rsidRPr="009077DC"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9077DC">
        <w:rPr>
          <w:rFonts w:ascii="Arial" w:hAnsi="Arial" w:cs="Arial"/>
          <w:b/>
          <w:bCs/>
          <w:i/>
          <w:snapToGrid w:val="0"/>
          <w:sz w:val="24"/>
          <w:szCs w:val="27"/>
        </w:rPr>
        <w:t>FUNDAMENTACION Y MOTIVACION, CONCEPTO DE.</w:t>
      </w:r>
      <w:r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3AA1DF3" w14:textId="77777777"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Pr>
          <w:rFonts w:ascii="Arial" w:hAnsi="Arial" w:cs="Arial"/>
          <w:bCs/>
          <w:snapToGrid w:val="0"/>
          <w:sz w:val="24"/>
          <w:szCs w:val="27"/>
        </w:rPr>
        <w:t>ivo contemplado en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w:t>
      </w:r>
      <w:r>
        <w:rPr>
          <w:rFonts w:ascii="Arial" w:hAnsi="Arial" w:cs="Arial"/>
          <w:bCs/>
          <w:snapToGrid w:val="0"/>
          <w:sz w:val="24"/>
          <w:szCs w:val="27"/>
        </w:rPr>
        <w:t>jo el rubro y texto siguiente:</w:t>
      </w:r>
    </w:p>
    <w:p w14:paraId="604BE22B" w14:textId="77777777" w:rsidR="005A1686" w:rsidRPr="00CF61E3"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CF61E3">
        <w:rPr>
          <w:rFonts w:ascii="Arial" w:hAnsi="Arial" w:cs="Arial"/>
          <w:b/>
          <w:bCs/>
          <w:i/>
          <w:snapToGrid w:val="0"/>
          <w:sz w:val="24"/>
          <w:szCs w:val="27"/>
        </w:rPr>
        <w:t>TRANSITO, MULTAS POR VIOLACIÓN AL REGLAMENTO DE.</w:t>
      </w:r>
      <w:r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5A30853A" w14:textId="04900393"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cuanto a las pruebas presuncionales legal y humana, y la instrumental de actuaciones, esta Sala estima que es innecesario su estudio ya que existen elementos de pruebas directos dentro del sumario que en el caso es, el acta de </w:t>
      </w:r>
      <w:r w:rsidR="0020510B">
        <w:rPr>
          <w:rFonts w:ascii="Arial" w:hAnsi="Arial" w:cs="Arial"/>
          <w:bCs/>
          <w:snapToGrid w:val="0"/>
          <w:sz w:val="24"/>
          <w:szCs w:val="27"/>
        </w:rPr>
        <w:lastRenderedPageBreak/>
        <w:t>infracción visible en la foja 9</w:t>
      </w:r>
      <w:r w:rsidRPr="00A40006">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w:t>
      </w:r>
    </w:p>
    <w:p w14:paraId="1273FAB5" w14:textId="77777777" w:rsidR="005A1686" w:rsidRPr="00EB75F1"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EB75F1">
        <w:rPr>
          <w:rFonts w:ascii="Arial" w:hAnsi="Arial" w:cs="Arial"/>
          <w:b/>
          <w:bCs/>
          <w:i/>
          <w:snapToGrid w:val="0"/>
          <w:sz w:val="24"/>
          <w:szCs w:val="27"/>
        </w:rPr>
        <w:t>PRUEBA PRESUNCIONAL LEGAL Y HUMANA, CASO EN QUE SU ESTUDIO RESULTA INNECESARIO.</w:t>
      </w:r>
      <w:r w:rsidRPr="00EB75F1">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Pr>
          <w:rFonts w:ascii="Arial" w:hAnsi="Arial" w:cs="Arial"/>
          <w:bCs/>
          <w:i/>
          <w:snapToGrid w:val="0"/>
          <w:sz w:val="24"/>
          <w:szCs w:val="27"/>
        </w:rPr>
        <w:t>”</w:t>
      </w:r>
    </w:p>
    <w:p w14:paraId="0665B62B" w14:textId="4BECC751" w:rsidR="005A168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Pr>
          <w:rFonts w:ascii="Arial" w:hAnsi="Arial" w:cs="Arial"/>
          <w:bCs/>
          <w:snapToGrid w:val="0"/>
          <w:sz w:val="24"/>
          <w:szCs w:val="27"/>
        </w:rPr>
        <w:t xml:space="preserve">los conceptos de impugnación hechos valer por el actor, en términos del artículo 176 de la Ley de Justicia Administrativa para el Estado de Oaxaca, resultan </w:t>
      </w:r>
      <w:r w:rsidRPr="004C582E">
        <w:rPr>
          <w:rFonts w:ascii="Arial" w:hAnsi="Arial" w:cs="Arial"/>
          <w:b/>
          <w:bCs/>
          <w:snapToGrid w:val="0"/>
          <w:sz w:val="24"/>
          <w:szCs w:val="27"/>
        </w:rPr>
        <w:t>FUNDADOS</w:t>
      </w:r>
      <w:r>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BE089F">
        <w:rPr>
          <w:rFonts w:ascii="Arial" w:hAnsi="Arial" w:cs="Arial"/>
          <w:bCs/>
          <w:spacing w:val="-3"/>
          <w:sz w:val="24"/>
          <w:szCs w:val="27"/>
          <w:lang w:val="es-ES_tradnl"/>
        </w:rPr>
        <w:t xml:space="preserve">***** </w:t>
      </w:r>
      <w:r w:rsidR="000859C0">
        <w:rPr>
          <w:rFonts w:ascii="Arial" w:hAnsi="Arial" w:cs="Arial"/>
          <w:bCs/>
          <w:spacing w:val="-3"/>
          <w:sz w:val="24"/>
          <w:szCs w:val="27"/>
          <w:lang w:val="es-ES_tradnl"/>
        </w:rPr>
        <w:t>de fecha</w:t>
      </w:r>
      <w:r w:rsidR="00BE089F">
        <w:rPr>
          <w:rFonts w:ascii="Arial" w:hAnsi="Arial" w:cs="Arial"/>
          <w:bCs/>
          <w:spacing w:val="-3"/>
          <w:sz w:val="24"/>
          <w:szCs w:val="27"/>
          <w:lang w:val="es-ES_tradnl"/>
        </w:rPr>
        <w:t xml:space="preserve"> *****</w:t>
      </w:r>
      <w:r w:rsidR="000859C0">
        <w:rPr>
          <w:rFonts w:ascii="Arial" w:hAnsi="Arial" w:cs="Arial"/>
          <w:bCs/>
          <w:spacing w:val="-3"/>
          <w:sz w:val="24"/>
          <w:szCs w:val="27"/>
          <w:lang w:val="es-ES_tradnl"/>
        </w:rPr>
        <w:t xml:space="preserve"> de </w:t>
      </w:r>
      <w:r w:rsidR="00BE089F">
        <w:rPr>
          <w:rFonts w:ascii="Arial" w:hAnsi="Arial" w:cs="Arial"/>
          <w:bCs/>
          <w:spacing w:val="-3"/>
          <w:sz w:val="24"/>
          <w:szCs w:val="27"/>
          <w:lang w:val="es-ES_tradnl"/>
        </w:rPr>
        <w:t>*****</w:t>
      </w:r>
      <w:r w:rsidR="000859C0">
        <w:rPr>
          <w:rFonts w:ascii="Arial" w:hAnsi="Arial" w:cs="Arial"/>
          <w:bCs/>
          <w:spacing w:val="-3"/>
          <w:sz w:val="24"/>
          <w:szCs w:val="27"/>
          <w:lang w:val="es-ES_tradnl"/>
        </w:rPr>
        <w:t xml:space="preserve"> de dos mil</w:t>
      </w:r>
      <w:r w:rsidR="00BE089F">
        <w:rPr>
          <w:rFonts w:ascii="Arial" w:hAnsi="Arial" w:cs="Arial"/>
          <w:bCs/>
          <w:spacing w:val="-3"/>
          <w:sz w:val="24"/>
          <w:szCs w:val="27"/>
          <w:lang w:val="es-ES_tradnl"/>
        </w:rPr>
        <w:t xml:space="preserve"> *****</w:t>
      </w:r>
      <w:r w:rsidRPr="00A40006">
        <w:rPr>
          <w:rFonts w:ascii="Arial" w:hAnsi="Arial" w:cs="Arial"/>
          <w:bCs/>
          <w:snapToGrid w:val="0"/>
          <w:sz w:val="24"/>
          <w:szCs w:val="27"/>
        </w:rPr>
        <w:t xml:space="preserve">, </w:t>
      </w:r>
      <w:r>
        <w:rPr>
          <w:rFonts w:ascii="Arial" w:hAnsi="Arial" w:cs="Arial"/>
          <w:bCs/>
          <w:snapToGrid w:val="0"/>
          <w:sz w:val="24"/>
          <w:szCs w:val="27"/>
        </w:rPr>
        <w:t xml:space="preserve">emitida por </w:t>
      </w:r>
      <w:r w:rsidR="0020510B">
        <w:rPr>
          <w:rFonts w:ascii="Arial" w:hAnsi="Arial" w:cs="Arial"/>
          <w:bCs/>
          <w:snapToGrid w:val="0"/>
          <w:sz w:val="24"/>
          <w:szCs w:val="27"/>
        </w:rPr>
        <w:t xml:space="preserve">el </w:t>
      </w:r>
      <w:r w:rsidR="0020510B">
        <w:rPr>
          <w:rFonts w:ascii="Arial" w:eastAsia="Times New Roman" w:hAnsi="Arial" w:cs="Arial"/>
          <w:sz w:val="24"/>
          <w:szCs w:val="27"/>
          <w:lang w:val="es-ES_tradnl" w:eastAsia="es-ES"/>
        </w:rPr>
        <w:t xml:space="preserve">Comandante </w:t>
      </w:r>
      <w:r w:rsidR="00BE089F">
        <w:rPr>
          <w:rFonts w:ascii="Arial" w:eastAsia="Times New Roman" w:hAnsi="Arial" w:cs="Arial"/>
          <w:sz w:val="24"/>
          <w:szCs w:val="27"/>
          <w:lang w:val="es-ES_tradnl" w:eastAsia="es-ES"/>
        </w:rPr>
        <w:t>****</w:t>
      </w:r>
      <w:r w:rsidR="0020510B">
        <w:rPr>
          <w:rFonts w:ascii="Arial" w:eastAsia="Times New Roman" w:hAnsi="Arial" w:cs="Arial"/>
          <w:sz w:val="24"/>
          <w:szCs w:val="27"/>
          <w:lang w:val="es-ES_tradnl" w:eastAsia="es-ES"/>
        </w:rPr>
        <w:t xml:space="preserve"> </w:t>
      </w:r>
      <w:r w:rsidR="00BE089F">
        <w:rPr>
          <w:rFonts w:ascii="Arial" w:eastAsia="Times New Roman" w:hAnsi="Arial" w:cs="Arial"/>
          <w:sz w:val="24"/>
          <w:szCs w:val="27"/>
          <w:lang w:val="es-ES_tradnl" w:eastAsia="es-ES"/>
        </w:rPr>
        <w:t>***** *****</w:t>
      </w:r>
      <w:r w:rsidR="0020510B">
        <w:rPr>
          <w:rFonts w:ascii="Arial" w:eastAsia="Times New Roman" w:hAnsi="Arial" w:cs="Arial"/>
          <w:sz w:val="24"/>
          <w:szCs w:val="27"/>
          <w:lang w:val="es-ES_tradnl" w:eastAsia="es-ES"/>
        </w:rPr>
        <w:t xml:space="preserve"> </w:t>
      </w:r>
      <w:r w:rsidR="00BE089F">
        <w:rPr>
          <w:rFonts w:ascii="Arial" w:eastAsia="Times New Roman" w:hAnsi="Arial" w:cs="Arial"/>
          <w:sz w:val="24"/>
          <w:szCs w:val="27"/>
          <w:lang w:val="es-ES_tradnl" w:eastAsia="es-ES"/>
        </w:rPr>
        <w:t>******</w:t>
      </w:r>
      <w:r w:rsidR="0020510B">
        <w:rPr>
          <w:rFonts w:ascii="Arial" w:eastAsia="Times New Roman" w:hAnsi="Arial" w:cs="Arial"/>
          <w:sz w:val="24"/>
          <w:szCs w:val="27"/>
          <w:lang w:val="es-ES_tradnl" w:eastAsia="es-ES"/>
        </w:rPr>
        <w:t>, Policía Vial Estatal, dependiente de la Dirección General de la Policía Estatal d</w:t>
      </w:r>
      <w:r w:rsidR="0020510B" w:rsidRPr="005117EA">
        <w:rPr>
          <w:rFonts w:ascii="Arial" w:eastAsia="Times New Roman" w:hAnsi="Arial" w:cs="Arial"/>
          <w:sz w:val="24"/>
          <w:szCs w:val="27"/>
          <w:lang w:val="es-ES_tradnl" w:eastAsia="es-ES"/>
        </w:rPr>
        <w:t>e</w:t>
      </w:r>
      <w:r w:rsidR="0020510B">
        <w:rPr>
          <w:rFonts w:ascii="Arial" w:eastAsia="Times New Roman" w:hAnsi="Arial" w:cs="Arial"/>
          <w:sz w:val="24"/>
          <w:szCs w:val="27"/>
          <w:lang w:val="es-ES_tradnl" w:eastAsia="es-ES"/>
        </w:rPr>
        <w:t>l Estado de</w:t>
      </w:r>
      <w:r w:rsidR="0020510B" w:rsidRPr="005117EA">
        <w:rPr>
          <w:rFonts w:ascii="Arial" w:eastAsia="Times New Roman" w:hAnsi="Arial" w:cs="Arial"/>
          <w:sz w:val="24"/>
          <w:szCs w:val="27"/>
          <w:lang w:val="es-ES_tradnl" w:eastAsia="es-ES"/>
        </w:rPr>
        <w:t xml:space="preserve"> Oaxaca</w:t>
      </w:r>
      <w:r w:rsidRPr="00A40006">
        <w:rPr>
          <w:rFonts w:ascii="Arial" w:hAnsi="Arial" w:cs="Arial"/>
          <w:bCs/>
          <w:snapToGrid w:val="0"/>
          <w:sz w:val="24"/>
          <w:szCs w:val="27"/>
        </w:rPr>
        <w:t xml:space="preserve">, </w:t>
      </w:r>
      <w:r w:rsidRPr="006F0524">
        <w:rPr>
          <w:rFonts w:ascii="Arial" w:hAnsi="Arial" w:cs="Arial"/>
          <w:bCs/>
          <w:snapToGrid w:val="0"/>
          <w:sz w:val="24"/>
          <w:szCs w:val="27"/>
        </w:rPr>
        <w:t xml:space="preserve">en consecuencia, y bajo el aforismo jurídico que reza: </w:t>
      </w:r>
      <w:r w:rsidRPr="006F0524">
        <w:rPr>
          <w:rFonts w:ascii="Arial" w:hAnsi="Arial" w:cs="Arial"/>
          <w:bCs/>
          <w:i/>
          <w:snapToGrid w:val="0"/>
          <w:sz w:val="24"/>
          <w:szCs w:val="27"/>
        </w:rPr>
        <w:t>“lo accesorio sigue la suerte de lo principal”</w:t>
      </w:r>
      <w:r w:rsidRPr="006F0524">
        <w:rPr>
          <w:rFonts w:ascii="Arial" w:hAnsi="Arial" w:cs="Arial"/>
          <w:bCs/>
          <w:snapToGrid w:val="0"/>
          <w:sz w:val="24"/>
          <w:szCs w:val="27"/>
        </w:rPr>
        <w:t>, se advierte que dicha multa fue lo que originó todas las demás actuaciones, entre ellas, el pago de la multa y el pago por concepto de arrastre, luego entonces, resulta 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BE089F">
        <w:rPr>
          <w:rFonts w:ascii="Arial" w:hAnsi="Arial" w:cs="Arial"/>
          <w:bCs/>
          <w:snapToGrid w:val="0"/>
          <w:sz w:val="24"/>
          <w:szCs w:val="27"/>
          <w:u w:val="single"/>
        </w:rPr>
        <w:t>*****</w:t>
      </w:r>
      <w:r w:rsidRPr="004530CE">
        <w:rPr>
          <w:rFonts w:ascii="Arial" w:hAnsi="Arial" w:cs="Arial"/>
          <w:bCs/>
          <w:snapToGrid w:val="0"/>
          <w:sz w:val="24"/>
          <w:szCs w:val="27"/>
          <w:u w:val="single"/>
        </w:rPr>
        <w:t xml:space="preserve"> (</w:t>
      </w:r>
      <w:r w:rsidR="00BE089F">
        <w:rPr>
          <w:rFonts w:ascii="Arial" w:hAnsi="Arial" w:cs="Arial"/>
          <w:bCs/>
          <w:snapToGrid w:val="0"/>
          <w:sz w:val="24"/>
          <w:szCs w:val="27"/>
          <w:u w:val="single"/>
        </w:rPr>
        <w:t>****</w:t>
      </w:r>
      <w:r w:rsidR="008E6233">
        <w:rPr>
          <w:rFonts w:ascii="Arial" w:hAnsi="Arial" w:cs="Arial"/>
          <w:bCs/>
          <w:snapToGrid w:val="0"/>
          <w:sz w:val="24"/>
          <w:szCs w:val="27"/>
          <w:u w:val="single"/>
        </w:rPr>
        <w:t xml:space="preserve"> </w:t>
      </w:r>
      <w:r w:rsidR="00BE089F">
        <w:rPr>
          <w:rFonts w:ascii="Arial" w:hAnsi="Arial" w:cs="Arial"/>
          <w:bCs/>
          <w:snapToGrid w:val="0"/>
          <w:sz w:val="24"/>
          <w:szCs w:val="27"/>
          <w:u w:val="single"/>
        </w:rPr>
        <w:t>*****</w:t>
      </w:r>
      <w:r w:rsidR="008E6233">
        <w:rPr>
          <w:rFonts w:ascii="Arial" w:hAnsi="Arial" w:cs="Arial"/>
          <w:bCs/>
          <w:snapToGrid w:val="0"/>
          <w:sz w:val="24"/>
          <w:szCs w:val="27"/>
          <w:u w:val="single"/>
        </w:rPr>
        <w:t xml:space="preserve"> </w:t>
      </w:r>
      <w:r w:rsidR="00BE089F">
        <w:rPr>
          <w:rFonts w:ascii="Arial" w:hAnsi="Arial" w:cs="Arial"/>
          <w:bCs/>
          <w:snapToGrid w:val="0"/>
          <w:sz w:val="24"/>
          <w:szCs w:val="27"/>
          <w:u w:val="single"/>
        </w:rPr>
        <w:t>****</w:t>
      </w:r>
      <w:r w:rsidRPr="004530CE">
        <w:rPr>
          <w:rFonts w:ascii="Arial" w:hAnsi="Arial" w:cs="Arial"/>
          <w:bCs/>
          <w:snapToGrid w:val="0"/>
          <w:sz w:val="24"/>
          <w:szCs w:val="27"/>
          <w:u w:val="single"/>
        </w:rPr>
        <w:t xml:space="preserve"> pesos 00/100 moneda nacional) que ampara el recibo con número de folio</w:t>
      </w:r>
      <w:r w:rsidR="00BE089F">
        <w:rPr>
          <w:rFonts w:ascii="Arial" w:hAnsi="Arial" w:cs="Arial"/>
          <w:bCs/>
          <w:snapToGrid w:val="0"/>
          <w:sz w:val="24"/>
          <w:szCs w:val="27"/>
          <w:u w:val="single"/>
        </w:rPr>
        <w:t xml:space="preserve"> *****</w:t>
      </w:r>
      <w:r w:rsidRPr="004530CE">
        <w:rPr>
          <w:rFonts w:ascii="Arial" w:hAnsi="Arial" w:cs="Arial"/>
          <w:bCs/>
          <w:snapToGrid w:val="0"/>
          <w:sz w:val="24"/>
          <w:szCs w:val="27"/>
          <w:u w:val="single"/>
        </w:rPr>
        <w:t xml:space="preserve"> de fecha </w:t>
      </w:r>
      <w:r w:rsidR="00BE089F">
        <w:rPr>
          <w:rFonts w:ascii="Arial" w:hAnsi="Arial" w:cs="Arial"/>
          <w:bCs/>
          <w:snapToGrid w:val="0"/>
          <w:sz w:val="24"/>
          <w:szCs w:val="27"/>
          <w:u w:val="single"/>
        </w:rPr>
        <w:t>*****</w:t>
      </w:r>
      <w:r w:rsidR="0023129C">
        <w:rPr>
          <w:rFonts w:ascii="Arial" w:hAnsi="Arial" w:cs="Arial"/>
          <w:bCs/>
          <w:snapToGrid w:val="0"/>
          <w:sz w:val="24"/>
          <w:szCs w:val="27"/>
          <w:u w:val="single"/>
        </w:rPr>
        <w:t xml:space="preserve"> de </w:t>
      </w:r>
      <w:r w:rsidR="00BE089F">
        <w:rPr>
          <w:rFonts w:ascii="Arial" w:hAnsi="Arial" w:cs="Arial"/>
          <w:bCs/>
          <w:snapToGrid w:val="0"/>
          <w:sz w:val="24"/>
          <w:szCs w:val="27"/>
          <w:u w:val="single"/>
        </w:rPr>
        <w:t>*****</w:t>
      </w:r>
      <w:r w:rsidR="0023129C">
        <w:rPr>
          <w:rFonts w:ascii="Arial" w:hAnsi="Arial" w:cs="Arial"/>
          <w:bCs/>
          <w:snapToGrid w:val="0"/>
          <w:sz w:val="24"/>
          <w:szCs w:val="27"/>
          <w:u w:val="single"/>
        </w:rPr>
        <w:t xml:space="preserve"> de dos mil </w:t>
      </w:r>
      <w:r w:rsidR="00BE089F">
        <w:rPr>
          <w:rFonts w:ascii="Arial" w:hAnsi="Arial" w:cs="Arial"/>
          <w:bCs/>
          <w:snapToGrid w:val="0"/>
          <w:sz w:val="24"/>
          <w:szCs w:val="27"/>
          <w:u w:val="single"/>
        </w:rPr>
        <w:t>*****</w:t>
      </w:r>
      <w:r>
        <w:rPr>
          <w:rFonts w:ascii="Arial" w:hAnsi="Arial" w:cs="Arial"/>
          <w:bCs/>
          <w:snapToGrid w:val="0"/>
          <w:sz w:val="24"/>
          <w:szCs w:val="27"/>
          <w:u w:val="single"/>
        </w:rPr>
        <w:t>, (foja 14</w:t>
      </w:r>
      <w:r w:rsidRPr="004530CE">
        <w:rPr>
          <w:rFonts w:ascii="Arial" w:hAnsi="Arial" w:cs="Arial"/>
          <w:bCs/>
          <w:snapToGrid w:val="0"/>
          <w:sz w:val="24"/>
          <w:szCs w:val="27"/>
          <w:u w:val="single"/>
        </w:rPr>
        <w:t>), documental que adquiere valor probatorio p</w:t>
      </w:r>
      <w:r>
        <w:rPr>
          <w:rFonts w:ascii="Arial" w:hAnsi="Arial" w:cs="Arial"/>
          <w:bCs/>
          <w:snapToGrid w:val="0"/>
          <w:sz w:val="24"/>
          <w:szCs w:val="27"/>
          <w:u w:val="single"/>
        </w:rPr>
        <w:t>leno en términos del artículo 20</w:t>
      </w:r>
      <w:r w:rsidRPr="004530CE">
        <w:rPr>
          <w:rFonts w:ascii="Arial" w:hAnsi="Arial" w:cs="Arial"/>
          <w:bCs/>
          <w:snapToGrid w:val="0"/>
          <w:sz w:val="24"/>
          <w:szCs w:val="27"/>
          <w:u w:val="single"/>
        </w:rPr>
        <w:t xml:space="preserve">3 fracción I de la Ley de </w:t>
      </w:r>
      <w:r>
        <w:rPr>
          <w:rFonts w:ascii="Arial" w:hAnsi="Arial" w:cs="Arial"/>
          <w:bCs/>
          <w:snapToGrid w:val="0"/>
          <w:sz w:val="24"/>
          <w:szCs w:val="27"/>
          <w:u w:val="single"/>
        </w:rPr>
        <w:t xml:space="preserve">Procedimiento y </w:t>
      </w:r>
      <w:r w:rsidRPr="004530CE">
        <w:rPr>
          <w:rFonts w:ascii="Arial" w:hAnsi="Arial" w:cs="Arial"/>
          <w:bCs/>
          <w:snapToGrid w:val="0"/>
          <w:sz w:val="24"/>
          <w:szCs w:val="27"/>
          <w:u w:val="single"/>
        </w:rPr>
        <w:t>Justicia Administrativa para el Estado de Oaxaca, indebidamente pagada</w:t>
      </w:r>
      <w:r>
        <w:rPr>
          <w:rFonts w:ascii="Arial" w:hAnsi="Arial" w:cs="Arial"/>
          <w:bCs/>
          <w:snapToGrid w:val="0"/>
          <w:sz w:val="24"/>
          <w:szCs w:val="27"/>
        </w:rPr>
        <w:t>.</w:t>
      </w:r>
    </w:p>
    <w:p w14:paraId="070A3CE2" w14:textId="1E7B4429" w:rsidR="005A1686" w:rsidRPr="00492932" w:rsidRDefault="005A1686" w:rsidP="005A1686">
      <w:pPr>
        <w:spacing w:line="360" w:lineRule="auto"/>
        <w:ind w:right="51" w:firstLine="567"/>
        <w:jc w:val="both"/>
        <w:rPr>
          <w:rFonts w:ascii="Arial" w:hAnsi="Arial" w:cs="Arial"/>
          <w:bCs/>
          <w:snapToGrid w:val="0"/>
          <w:sz w:val="24"/>
          <w:szCs w:val="27"/>
        </w:rPr>
      </w:pPr>
      <w:r w:rsidRPr="00182786">
        <w:rPr>
          <w:rFonts w:ascii="Arial" w:hAnsi="Arial" w:cs="Arial"/>
          <w:bCs/>
          <w:snapToGrid w:val="0"/>
          <w:sz w:val="24"/>
          <w:szCs w:val="27"/>
        </w:rPr>
        <w:t>Ahora bien, por</w:t>
      </w:r>
      <w:r>
        <w:rPr>
          <w:rFonts w:ascii="Arial" w:hAnsi="Arial" w:cs="Arial"/>
          <w:bCs/>
          <w:snapToGrid w:val="0"/>
          <w:sz w:val="24"/>
          <w:szCs w:val="27"/>
        </w:rPr>
        <w:t xml:space="preserve"> lo que hace a la cantidad de </w:t>
      </w:r>
      <w:r w:rsidR="00BE089F">
        <w:rPr>
          <w:rFonts w:ascii="Arial" w:hAnsi="Arial" w:cs="Arial"/>
          <w:bCs/>
          <w:snapToGrid w:val="0"/>
          <w:sz w:val="24"/>
          <w:szCs w:val="27"/>
        </w:rPr>
        <w:t>*****</w:t>
      </w:r>
      <w:r w:rsidRPr="00182786">
        <w:rPr>
          <w:rFonts w:ascii="Arial" w:hAnsi="Arial" w:cs="Arial"/>
          <w:bCs/>
          <w:snapToGrid w:val="0"/>
          <w:sz w:val="24"/>
          <w:szCs w:val="27"/>
        </w:rPr>
        <w:t xml:space="preserve"> (</w:t>
      </w:r>
      <w:r w:rsidR="00BE089F">
        <w:rPr>
          <w:rFonts w:ascii="Arial" w:hAnsi="Arial" w:cs="Arial"/>
          <w:bCs/>
          <w:snapToGrid w:val="0"/>
          <w:sz w:val="24"/>
          <w:szCs w:val="27"/>
        </w:rPr>
        <w:t>*****</w:t>
      </w:r>
      <w:r w:rsidRPr="00182786">
        <w:rPr>
          <w:rFonts w:ascii="Arial" w:hAnsi="Arial" w:cs="Arial"/>
          <w:bCs/>
          <w:snapToGrid w:val="0"/>
          <w:sz w:val="24"/>
          <w:szCs w:val="27"/>
        </w:rPr>
        <w:t xml:space="preserve"> pesos 00</w:t>
      </w:r>
      <w:r>
        <w:rPr>
          <w:rFonts w:ascii="Arial" w:hAnsi="Arial" w:cs="Arial"/>
          <w:bCs/>
          <w:snapToGrid w:val="0"/>
          <w:sz w:val="24"/>
          <w:szCs w:val="27"/>
        </w:rPr>
        <w:t xml:space="preserve">/100 m.n.) pagadas a “GRÚAS </w:t>
      </w:r>
      <w:r w:rsidR="00F83E43">
        <w:rPr>
          <w:rFonts w:ascii="Arial" w:hAnsi="Arial" w:cs="Arial"/>
          <w:bCs/>
          <w:snapToGrid w:val="0"/>
          <w:sz w:val="24"/>
          <w:szCs w:val="27"/>
        </w:rPr>
        <w:t>GALE OAXACA</w:t>
      </w:r>
      <w:r w:rsidRPr="00182786">
        <w:rPr>
          <w:rFonts w:ascii="Arial" w:hAnsi="Arial" w:cs="Arial"/>
          <w:bCs/>
          <w:snapToGrid w:val="0"/>
          <w:sz w:val="24"/>
          <w:szCs w:val="27"/>
        </w:rPr>
        <w:t xml:space="preserve">”, que ampara el recibo número </w:t>
      </w:r>
      <w:r w:rsidR="00BE089F">
        <w:rPr>
          <w:rFonts w:ascii="Arial" w:hAnsi="Arial" w:cs="Arial"/>
          <w:bCs/>
          <w:snapToGrid w:val="0"/>
          <w:sz w:val="24"/>
          <w:szCs w:val="27"/>
        </w:rPr>
        <w:t>****</w:t>
      </w:r>
      <w:r w:rsidR="00F83E43">
        <w:rPr>
          <w:rFonts w:ascii="Arial" w:hAnsi="Arial" w:cs="Arial"/>
          <w:bCs/>
          <w:snapToGrid w:val="0"/>
          <w:sz w:val="24"/>
          <w:szCs w:val="27"/>
        </w:rPr>
        <w:t xml:space="preserve"> visible en la foja 13</w:t>
      </w:r>
      <w:r w:rsidRPr="00182786">
        <w:rPr>
          <w:rFonts w:ascii="Arial" w:hAnsi="Arial" w:cs="Arial"/>
          <w:bCs/>
          <w:snapToGrid w:val="0"/>
          <w:sz w:val="24"/>
          <w:szCs w:val="27"/>
        </w:rPr>
        <w:t xml:space="preserve"> del sumario, documental que adquiere valor probatorio pleno en </w:t>
      </w:r>
      <w:r>
        <w:rPr>
          <w:rFonts w:ascii="Arial" w:hAnsi="Arial" w:cs="Arial"/>
          <w:bCs/>
          <w:snapToGrid w:val="0"/>
          <w:sz w:val="24"/>
          <w:szCs w:val="27"/>
        </w:rPr>
        <w:t>términos del artículo 20</w:t>
      </w:r>
      <w:r w:rsidRPr="00182786">
        <w:rPr>
          <w:rFonts w:ascii="Arial" w:hAnsi="Arial" w:cs="Arial"/>
          <w:bCs/>
          <w:snapToGrid w:val="0"/>
          <w:sz w:val="24"/>
          <w:szCs w:val="27"/>
        </w:rPr>
        <w:t xml:space="preserve">3 fracción I de la Ley de </w:t>
      </w:r>
      <w:r>
        <w:rPr>
          <w:rFonts w:ascii="Arial" w:hAnsi="Arial" w:cs="Arial"/>
          <w:bCs/>
          <w:snapToGrid w:val="0"/>
          <w:sz w:val="24"/>
          <w:szCs w:val="27"/>
        </w:rPr>
        <w:t xml:space="preserve">Procedimiento y </w:t>
      </w:r>
      <w:r w:rsidRPr="00182786">
        <w:rPr>
          <w:rFonts w:ascii="Arial" w:hAnsi="Arial" w:cs="Arial"/>
          <w:bCs/>
          <w:snapToGrid w:val="0"/>
          <w:sz w:val="24"/>
          <w:szCs w:val="27"/>
        </w:rPr>
        <w:t xml:space="preserve">Justicia Administrativa para el Estado de Oaxaca, ésta igualmente resulta procedente que la autoridad restituya dicha cantidad, toda vez que de las documentales que obran en autos, no se </w:t>
      </w:r>
      <w:r w:rsidRPr="00182786">
        <w:rPr>
          <w:rFonts w:ascii="Arial" w:hAnsi="Arial" w:cs="Arial"/>
          <w:bCs/>
          <w:snapToGrid w:val="0"/>
          <w:sz w:val="24"/>
          <w:szCs w:val="27"/>
        </w:rPr>
        <w:lastRenderedPageBreak/>
        <w:t xml:space="preserve">observa que el actor haya tenido la voluntad de solicitar los servicios de grúa, siendo esta una determinación unilateral por parte de la autoridad demandada, por esa consideración y toda vez que de la multicitada acta de infracción impugnada se desprende el nexo causal entre la autoridad demandada con su concesionaria “GRÚAS </w:t>
      </w:r>
      <w:r w:rsidR="00F83E43">
        <w:rPr>
          <w:rFonts w:ascii="Arial" w:hAnsi="Arial" w:cs="Arial"/>
          <w:bCs/>
          <w:snapToGrid w:val="0"/>
          <w:sz w:val="24"/>
          <w:szCs w:val="27"/>
        </w:rPr>
        <w:t>GALE OAXACA</w:t>
      </w:r>
      <w:r w:rsidRPr="00182786">
        <w:rPr>
          <w:rFonts w:ascii="Arial" w:hAnsi="Arial" w:cs="Arial"/>
          <w:bCs/>
          <w:snapToGrid w:val="0"/>
          <w:sz w:val="24"/>
          <w:szCs w:val="27"/>
        </w:rPr>
        <w:t xml:space="preserve">” se hace una presunción </w:t>
      </w:r>
      <w:r w:rsidRPr="00DF0467">
        <w:rPr>
          <w:rFonts w:ascii="Arial" w:hAnsi="Arial" w:cs="Arial"/>
          <w:bCs/>
          <w:i/>
          <w:snapToGrid w:val="0"/>
          <w:sz w:val="24"/>
          <w:szCs w:val="27"/>
        </w:rPr>
        <w:t>iuris tantum</w:t>
      </w:r>
      <w:r>
        <w:rPr>
          <w:rFonts w:ascii="Arial" w:hAnsi="Arial" w:cs="Arial"/>
          <w:bCs/>
          <w:snapToGrid w:val="0"/>
          <w:sz w:val="24"/>
          <w:szCs w:val="27"/>
        </w:rPr>
        <w:t xml:space="preserve"> de que el</w:t>
      </w:r>
      <w:r w:rsidRPr="00182786">
        <w:rPr>
          <w:rFonts w:ascii="Arial" w:hAnsi="Arial" w:cs="Arial"/>
          <w:bCs/>
          <w:snapToGrid w:val="0"/>
          <w:sz w:val="24"/>
          <w:szCs w:val="27"/>
        </w:rPr>
        <w:t xml:space="preserve"> accionante haya sido obligada a pagar el servicio de grúa, sin que esta lo hubiera solicitado, por lo t</w:t>
      </w:r>
      <w:r>
        <w:rPr>
          <w:rFonts w:ascii="Arial" w:hAnsi="Arial" w:cs="Arial"/>
          <w:bCs/>
          <w:snapToGrid w:val="0"/>
          <w:sz w:val="24"/>
          <w:szCs w:val="27"/>
        </w:rPr>
        <w:t xml:space="preserve">anto, </w:t>
      </w:r>
      <w:r w:rsidRPr="00B65AEB">
        <w:rPr>
          <w:rFonts w:ascii="Arial" w:hAnsi="Arial" w:cs="Arial"/>
          <w:bCs/>
          <w:snapToGrid w:val="0"/>
          <w:sz w:val="24"/>
          <w:szCs w:val="27"/>
          <w:u w:val="single"/>
        </w:rPr>
        <w:t>resulta procedente que la autoridad demandada en el presente asunto, a través de si misma o de quien sea legalmente competente, hagan la dev</w:t>
      </w:r>
      <w:r w:rsidR="00F44DDE">
        <w:rPr>
          <w:rFonts w:ascii="Arial" w:hAnsi="Arial" w:cs="Arial"/>
          <w:bCs/>
          <w:snapToGrid w:val="0"/>
          <w:sz w:val="24"/>
          <w:szCs w:val="27"/>
          <w:u w:val="single"/>
        </w:rPr>
        <w:t>olución de la cantidad de</w:t>
      </w:r>
      <w:r w:rsidR="00147E05">
        <w:rPr>
          <w:rFonts w:ascii="Arial" w:hAnsi="Arial" w:cs="Arial"/>
          <w:bCs/>
          <w:snapToGrid w:val="0"/>
          <w:sz w:val="24"/>
          <w:szCs w:val="27"/>
          <w:u w:val="single"/>
        </w:rPr>
        <w:t xml:space="preserve"> *****</w:t>
      </w:r>
      <w:r w:rsidRPr="00B65AEB">
        <w:rPr>
          <w:rFonts w:ascii="Arial" w:hAnsi="Arial" w:cs="Arial"/>
          <w:bCs/>
          <w:snapToGrid w:val="0"/>
          <w:sz w:val="24"/>
          <w:szCs w:val="27"/>
          <w:u w:val="single"/>
        </w:rPr>
        <w:t xml:space="preserve"> (</w:t>
      </w:r>
      <w:r w:rsidR="00147E05">
        <w:rPr>
          <w:rFonts w:ascii="Arial" w:hAnsi="Arial" w:cs="Arial"/>
          <w:bCs/>
          <w:snapToGrid w:val="0"/>
          <w:sz w:val="24"/>
          <w:szCs w:val="27"/>
          <w:u w:val="single"/>
        </w:rPr>
        <w:t>*****</w:t>
      </w:r>
      <w:r w:rsidRPr="00B65AEB">
        <w:rPr>
          <w:rFonts w:ascii="Arial" w:hAnsi="Arial" w:cs="Arial"/>
          <w:bCs/>
          <w:snapToGrid w:val="0"/>
          <w:sz w:val="24"/>
          <w:szCs w:val="27"/>
          <w:u w:val="single"/>
        </w:rPr>
        <w:t xml:space="preserve"> pesos 00/100 m.n.) </w:t>
      </w:r>
      <w:r w:rsidRPr="00015085">
        <w:rPr>
          <w:rFonts w:ascii="Arial" w:hAnsi="Arial" w:cs="Arial"/>
          <w:bCs/>
          <w:snapToGrid w:val="0"/>
          <w:sz w:val="24"/>
          <w:szCs w:val="27"/>
          <w:u w:val="single"/>
        </w:rPr>
        <w:t xml:space="preserve">que ampara el recibo número </w:t>
      </w:r>
      <w:r w:rsidR="00147E05">
        <w:rPr>
          <w:rFonts w:ascii="Arial" w:hAnsi="Arial" w:cs="Arial"/>
          <w:bCs/>
          <w:snapToGrid w:val="0"/>
          <w:sz w:val="24"/>
          <w:szCs w:val="27"/>
          <w:u w:val="single"/>
        </w:rPr>
        <w:t>*****</w:t>
      </w:r>
      <w:r w:rsidRPr="00015085">
        <w:rPr>
          <w:rFonts w:ascii="Arial" w:hAnsi="Arial" w:cs="Arial"/>
          <w:bCs/>
          <w:snapToGrid w:val="0"/>
          <w:sz w:val="24"/>
          <w:szCs w:val="27"/>
          <w:u w:val="single"/>
        </w:rPr>
        <w:t xml:space="preserve">, de fecha </w:t>
      </w:r>
      <w:r w:rsidR="00147E05">
        <w:rPr>
          <w:rFonts w:ascii="Arial" w:hAnsi="Arial" w:cs="Arial"/>
          <w:bCs/>
          <w:snapToGrid w:val="0"/>
          <w:sz w:val="24"/>
          <w:szCs w:val="27"/>
          <w:u w:val="single"/>
        </w:rPr>
        <w:t>*****</w:t>
      </w:r>
      <w:r w:rsidR="00865026">
        <w:rPr>
          <w:rFonts w:ascii="Arial" w:hAnsi="Arial" w:cs="Arial"/>
          <w:bCs/>
          <w:snapToGrid w:val="0"/>
          <w:sz w:val="24"/>
          <w:szCs w:val="27"/>
          <w:u w:val="single"/>
        </w:rPr>
        <w:t xml:space="preserve"> de </w:t>
      </w:r>
      <w:r w:rsidR="00147E05">
        <w:rPr>
          <w:rFonts w:ascii="Arial" w:hAnsi="Arial" w:cs="Arial"/>
          <w:bCs/>
          <w:snapToGrid w:val="0"/>
          <w:sz w:val="24"/>
          <w:szCs w:val="27"/>
          <w:u w:val="single"/>
        </w:rPr>
        <w:t>*****</w:t>
      </w:r>
      <w:r w:rsidR="00865026">
        <w:rPr>
          <w:rFonts w:ascii="Arial" w:hAnsi="Arial" w:cs="Arial"/>
          <w:bCs/>
          <w:snapToGrid w:val="0"/>
          <w:sz w:val="24"/>
          <w:szCs w:val="27"/>
          <w:u w:val="single"/>
        </w:rPr>
        <w:t xml:space="preserve"> de dos mil </w:t>
      </w:r>
      <w:r w:rsidR="00147E05">
        <w:rPr>
          <w:rFonts w:ascii="Arial" w:hAnsi="Arial" w:cs="Arial"/>
          <w:bCs/>
          <w:snapToGrid w:val="0"/>
          <w:sz w:val="24"/>
          <w:szCs w:val="27"/>
          <w:u w:val="single"/>
        </w:rPr>
        <w:t>*****</w:t>
      </w:r>
      <w:r w:rsidR="000859C0">
        <w:rPr>
          <w:rFonts w:ascii="Arial" w:hAnsi="Arial" w:cs="Arial"/>
          <w:bCs/>
          <w:snapToGrid w:val="0"/>
          <w:sz w:val="24"/>
          <w:szCs w:val="27"/>
          <w:u w:val="single"/>
        </w:rPr>
        <w:t xml:space="preserve">, </w:t>
      </w:r>
      <w:r w:rsidRPr="00015085">
        <w:rPr>
          <w:rFonts w:ascii="Arial" w:hAnsi="Arial" w:cs="Arial"/>
          <w:bCs/>
          <w:snapToGrid w:val="0"/>
          <w:sz w:val="24"/>
          <w:szCs w:val="27"/>
          <w:u w:val="single"/>
        </w:rPr>
        <w:t xml:space="preserve">pagada por el servicio el cual se generó de un acto viciado de ilegalidad señalado en el acta de infracción con número de folio </w:t>
      </w:r>
      <w:r w:rsidR="00147E05">
        <w:rPr>
          <w:rFonts w:ascii="Arial" w:hAnsi="Arial" w:cs="Arial"/>
          <w:bCs/>
          <w:spacing w:val="-3"/>
          <w:sz w:val="24"/>
          <w:szCs w:val="27"/>
          <w:u w:val="single"/>
          <w:lang w:val="es-ES_tradnl"/>
        </w:rPr>
        <w:t>*****</w:t>
      </w:r>
      <w:r w:rsidR="005756D5" w:rsidRPr="005756D5">
        <w:rPr>
          <w:rFonts w:ascii="Arial" w:hAnsi="Arial" w:cs="Arial"/>
          <w:bCs/>
          <w:spacing w:val="-3"/>
          <w:sz w:val="24"/>
          <w:szCs w:val="27"/>
          <w:u w:val="single"/>
          <w:lang w:val="es-ES_tradnl"/>
        </w:rPr>
        <w:t xml:space="preserve"> de fecha </w:t>
      </w:r>
      <w:r w:rsidR="00147E05">
        <w:rPr>
          <w:rFonts w:ascii="Arial" w:hAnsi="Arial" w:cs="Arial"/>
          <w:bCs/>
          <w:spacing w:val="-3"/>
          <w:sz w:val="24"/>
          <w:szCs w:val="27"/>
          <w:u w:val="single"/>
          <w:lang w:val="es-ES_tradnl"/>
        </w:rPr>
        <w:t>*****</w:t>
      </w:r>
      <w:r w:rsidR="005756D5" w:rsidRPr="005756D5">
        <w:rPr>
          <w:rFonts w:ascii="Arial" w:hAnsi="Arial" w:cs="Arial"/>
          <w:bCs/>
          <w:spacing w:val="-3"/>
          <w:sz w:val="24"/>
          <w:szCs w:val="27"/>
          <w:u w:val="single"/>
          <w:lang w:val="es-ES_tradnl"/>
        </w:rPr>
        <w:t xml:space="preserve"> de </w:t>
      </w:r>
      <w:r w:rsidR="00147E05">
        <w:rPr>
          <w:rFonts w:ascii="Arial" w:hAnsi="Arial" w:cs="Arial"/>
          <w:bCs/>
          <w:spacing w:val="-3"/>
          <w:sz w:val="24"/>
          <w:szCs w:val="27"/>
          <w:u w:val="single"/>
          <w:lang w:val="es-ES_tradnl"/>
        </w:rPr>
        <w:t>****</w:t>
      </w:r>
      <w:r w:rsidR="005756D5" w:rsidRPr="005756D5">
        <w:rPr>
          <w:rFonts w:ascii="Arial" w:hAnsi="Arial" w:cs="Arial"/>
          <w:bCs/>
          <w:spacing w:val="-3"/>
          <w:sz w:val="24"/>
          <w:szCs w:val="27"/>
          <w:u w:val="single"/>
          <w:lang w:val="es-ES_tradnl"/>
        </w:rPr>
        <w:t xml:space="preserve"> de dos mil </w:t>
      </w:r>
      <w:r w:rsidR="00147E05">
        <w:rPr>
          <w:rFonts w:ascii="Arial" w:hAnsi="Arial" w:cs="Arial"/>
          <w:bCs/>
          <w:spacing w:val="-3"/>
          <w:sz w:val="24"/>
          <w:szCs w:val="27"/>
          <w:u w:val="single"/>
          <w:lang w:val="es-ES_tradnl"/>
        </w:rPr>
        <w:t>****</w:t>
      </w:r>
      <w:r w:rsidRPr="00182786">
        <w:rPr>
          <w:rFonts w:ascii="Arial" w:hAnsi="Arial" w:cs="Arial"/>
          <w:bCs/>
          <w:snapToGrid w:val="0"/>
          <w:sz w:val="24"/>
          <w:szCs w:val="27"/>
        </w:rPr>
        <w:t xml:space="preserve">, y por ello atento a los principios generales de derecho que rezan: </w:t>
      </w:r>
      <w:r w:rsidRPr="000029A3">
        <w:rPr>
          <w:rFonts w:ascii="Arial" w:hAnsi="Arial" w:cs="Arial"/>
          <w:bCs/>
          <w:i/>
          <w:snapToGrid w:val="0"/>
          <w:sz w:val="24"/>
          <w:szCs w:val="27"/>
        </w:rPr>
        <w:t>“ubi eadem ratio</w:t>
      </w:r>
      <w:r w:rsidRPr="00182786">
        <w:rPr>
          <w:rFonts w:ascii="Arial" w:hAnsi="Arial" w:cs="Arial"/>
          <w:bCs/>
          <w:snapToGrid w:val="0"/>
          <w:sz w:val="24"/>
          <w:szCs w:val="27"/>
        </w:rPr>
        <w:t xml:space="preserve">, </w:t>
      </w:r>
      <w:r w:rsidRPr="000029A3">
        <w:rPr>
          <w:rFonts w:ascii="Arial" w:hAnsi="Arial" w:cs="Arial"/>
          <w:bCs/>
          <w:i/>
          <w:snapToGrid w:val="0"/>
          <w:sz w:val="24"/>
          <w:szCs w:val="27"/>
        </w:rPr>
        <w:t>idem jus”</w:t>
      </w:r>
      <w:r w:rsidRPr="00182786">
        <w:rPr>
          <w:rFonts w:ascii="Arial" w:hAnsi="Arial" w:cs="Arial"/>
          <w:bCs/>
          <w:snapToGrid w:val="0"/>
          <w:sz w:val="24"/>
          <w:szCs w:val="27"/>
        </w:rPr>
        <w:t xml:space="preserve"> </w:t>
      </w:r>
      <w:r w:rsidRPr="000029A3">
        <w:rPr>
          <w:rFonts w:ascii="Arial" w:hAnsi="Arial" w:cs="Arial"/>
          <w:bCs/>
          <w:i/>
          <w:snapToGrid w:val="0"/>
          <w:sz w:val="24"/>
          <w:szCs w:val="27"/>
        </w:rPr>
        <w:t>“a igual razón, igual disposición”</w:t>
      </w:r>
      <w:r w:rsidRPr="00182786">
        <w:rPr>
          <w:rFonts w:ascii="Arial" w:hAnsi="Arial" w:cs="Arial"/>
          <w:bCs/>
          <w:snapToGrid w:val="0"/>
          <w:sz w:val="24"/>
          <w:szCs w:val="27"/>
        </w:rPr>
        <w:t xml:space="preserve"> y </w:t>
      </w:r>
      <w:r w:rsidRPr="000029A3">
        <w:rPr>
          <w:rFonts w:ascii="Arial" w:hAnsi="Arial" w:cs="Arial"/>
          <w:bCs/>
          <w:i/>
          <w:snapToGrid w:val="0"/>
          <w:sz w:val="24"/>
          <w:szCs w:val="27"/>
        </w:rPr>
        <w:t>“causa causae est causa causati” “la causa de la causa es causa de lo causado”</w:t>
      </w:r>
      <w:r w:rsidRPr="00182786">
        <w:rPr>
          <w:rFonts w:ascii="Arial" w:hAnsi="Arial" w:cs="Arial"/>
          <w:bCs/>
          <w:snapToGrid w:val="0"/>
          <w:sz w:val="24"/>
          <w:szCs w:val="27"/>
        </w:rPr>
        <w:t>,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sidRPr="00492932">
        <w:rPr>
          <w:rFonts w:ascii="Arial" w:hAnsi="Arial" w:cs="Arial"/>
          <w:bCs/>
          <w:snapToGrid w:val="0"/>
          <w:sz w:val="24"/>
          <w:szCs w:val="27"/>
        </w:rPr>
        <w:t>.</w:t>
      </w:r>
    </w:p>
    <w:p w14:paraId="72874FF7" w14:textId="09963F3A" w:rsidR="00414AF5" w:rsidRDefault="00414AF5" w:rsidP="005A1686">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5D73978B" w:rsidR="003E0CBC" w:rsidRPr="00937A85" w:rsidRDefault="003E0CBC" w:rsidP="00937A85">
      <w:pPr>
        <w:pStyle w:val="Sangra2detindependiente1"/>
        <w:spacing w:after="200" w:line="360" w:lineRule="auto"/>
        <w:ind w:right="51" w:firstLine="567"/>
        <w:rPr>
          <w:rFonts w:cs="Arial"/>
          <w:b w:val="0"/>
          <w:bCs/>
          <w:i w:val="0"/>
          <w:szCs w:val="27"/>
          <w:u w:val="single"/>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A07A59">
        <w:rPr>
          <w:rFonts w:cs="Arial"/>
          <w:b w:val="0"/>
          <w:i w:val="0"/>
          <w:szCs w:val="27"/>
        </w:rPr>
        <w:t>****</w:t>
      </w:r>
      <w:r w:rsidR="00A43D96">
        <w:rPr>
          <w:rFonts w:cs="Arial"/>
          <w:b w:val="0"/>
          <w:i w:val="0"/>
          <w:szCs w:val="27"/>
        </w:rPr>
        <w:t xml:space="preserve"> de fecha </w:t>
      </w:r>
      <w:r w:rsidR="002111F8">
        <w:rPr>
          <w:rFonts w:cs="Arial"/>
          <w:b w:val="0"/>
          <w:i w:val="0"/>
          <w:szCs w:val="27"/>
        </w:rPr>
        <w:t>*****</w:t>
      </w:r>
      <w:r w:rsidR="00A43D96">
        <w:rPr>
          <w:rFonts w:cs="Arial"/>
          <w:b w:val="0"/>
          <w:i w:val="0"/>
          <w:szCs w:val="27"/>
        </w:rPr>
        <w:t xml:space="preserve"> de </w:t>
      </w:r>
      <w:r w:rsidR="002111F8">
        <w:rPr>
          <w:rFonts w:cs="Arial"/>
          <w:b w:val="0"/>
          <w:i w:val="0"/>
          <w:szCs w:val="27"/>
        </w:rPr>
        <w:t>*****</w:t>
      </w:r>
      <w:r w:rsidR="00A43D96">
        <w:rPr>
          <w:rFonts w:cs="Arial"/>
          <w:b w:val="0"/>
          <w:i w:val="0"/>
          <w:szCs w:val="27"/>
        </w:rPr>
        <w:t xml:space="preserve"> de dos mil </w:t>
      </w:r>
      <w:r w:rsidR="002111F8">
        <w:rPr>
          <w:rFonts w:cs="Arial"/>
          <w:b w:val="0"/>
          <w:i w:val="0"/>
          <w:szCs w:val="27"/>
        </w:rPr>
        <w:t>*****</w:t>
      </w:r>
      <w:r w:rsidR="00E079E6" w:rsidRPr="00E079E6">
        <w:rPr>
          <w:rFonts w:cs="Arial"/>
          <w:b w:val="0"/>
          <w:i w:val="0"/>
          <w:szCs w:val="27"/>
        </w:rPr>
        <w:t xml:space="preserve">, emitida por </w:t>
      </w:r>
      <w:r w:rsidR="00CF1297" w:rsidRPr="00CF1297">
        <w:rPr>
          <w:rFonts w:cs="Arial"/>
          <w:b w:val="0"/>
          <w:i w:val="0"/>
          <w:szCs w:val="27"/>
        </w:rPr>
        <w:t xml:space="preserve">el </w:t>
      </w:r>
      <w:r w:rsidR="00CF1297" w:rsidRPr="00CF1297">
        <w:rPr>
          <w:rFonts w:cs="Arial"/>
          <w:b w:val="0"/>
          <w:i w:val="0"/>
          <w:szCs w:val="27"/>
        </w:rPr>
        <w:lastRenderedPageBreak/>
        <w:t xml:space="preserve">Comandante </w:t>
      </w:r>
      <w:r w:rsidR="002111F8">
        <w:rPr>
          <w:rFonts w:cs="Arial"/>
          <w:b w:val="0"/>
          <w:i w:val="0"/>
          <w:szCs w:val="27"/>
        </w:rPr>
        <w:t>*****</w:t>
      </w:r>
      <w:r w:rsidR="00CF1297" w:rsidRPr="00CF1297">
        <w:rPr>
          <w:rFonts w:cs="Arial"/>
          <w:b w:val="0"/>
          <w:i w:val="0"/>
          <w:szCs w:val="27"/>
        </w:rPr>
        <w:t xml:space="preserve"> </w:t>
      </w:r>
      <w:r w:rsidR="002111F8">
        <w:rPr>
          <w:rFonts w:cs="Arial"/>
          <w:b w:val="0"/>
          <w:i w:val="0"/>
          <w:szCs w:val="27"/>
        </w:rPr>
        <w:t>*****</w:t>
      </w:r>
      <w:r w:rsidR="00CF1297" w:rsidRPr="00CF1297">
        <w:rPr>
          <w:rFonts w:cs="Arial"/>
          <w:b w:val="0"/>
          <w:i w:val="0"/>
          <w:szCs w:val="27"/>
        </w:rPr>
        <w:t xml:space="preserve"> </w:t>
      </w:r>
      <w:r w:rsidR="002111F8">
        <w:rPr>
          <w:rFonts w:cs="Arial"/>
          <w:b w:val="0"/>
          <w:i w:val="0"/>
          <w:szCs w:val="27"/>
        </w:rPr>
        <w:t>*****</w:t>
      </w:r>
      <w:r w:rsidR="00CF1297" w:rsidRPr="00CF1297">
        <w:rPr>
          <w:rFonts w:cs="Arial"/>
          <w:b w:val="0"/>
          <w:i w:val="0"/>
          <w:szCs w:val="27"/>
        </w:rPr>
        <w:t xml:space="preserve"> </w:t>
      </w:r>
      <w:r w:rsidR="002111F8">
        <w:rPr>
          <w:rFonts w:cs="Arial"/>
          <w:b w:val="0"/>
          <w:i w:val="0"/>
          <w:szCs w:val="27"/>
        </w:rPr>
        <w:t>*****</w:t>
      </w:r>
      <w:r w:rsidR="00CF1297" w:rsidRPr="00CF1297">
        <w:rPr>
          <w:rFonts w:cs="Arial"/>
          <w:b w:val="0"/>
          <w:i w:val="0"/>
          <w:szCs w:val="27"/>
        </w:rPr>
        <w:t>, Policía Vial Estatal</w:t>
      </w:r>
      <w:r w:rsidR="00233486" w:rsidRPr="00233486">
        <w:rPr>
          <w:rFonts w:cs="Arial"/>
          <w:b w:val="0"/>
          <w:i w:val="0"/>
          <w:szCs w:val="27"/>
        </w:rPr>
        <w:t>,</w:t>
      </w:r>
      <w:r w:rsidR="00CF1297">
        <w:rPr>
          <w:rFonts w:cs="Arial"/>
          <w:b w:val="0"/>
          <w:i w:val="0"/>
          <w:szCs w:val="27"/>
        </w:rPr>
        <w:t xml:space="preserve"> </w:t>
      </w:r>
      <w:r w:rsidR="00CF1297" w:rsidRPr="00CF1297">
        <w:rPr>
          <w:rFonts w:cs="Arial"/>
          <w:b w:val="0"/>
          <w:i w:val="0"/>
          <w:szCs w:val="27"/>
        </w:rPr>
        <w:t>dependiente de la Dirección General de la Policía Estatal del Estado de Oaxaca</w:t>
      </w:r>
      <w:r w:rsidR="00CF1297">
        <w:rPr>
          <w:rFonts w:cs="Arial"/>
          <w:b w:val="0"/>
          <w:i w:val="0"/>
          <w:szCs w:val="27"/>
        </w:rPr>
        <w:t>,</w:t>
      </w:r>
      <w:r w:rsidR="00233486" w:rsidRPr="00233486">
        <w:rPr>
          <w:rFonts w:cs="Arial"/>
          <w:b w:val="0"/>
          <w:i w:val="0"/>
          <w:szCs w:val="27"/>
        </w:rPr>
        <w:t xml:space="preserve"> </w:t>
      </w:r>
      <w:r w:rsidR="001904C1" w:rsidRPr="00930DDD">
        <w:rPr>
          <w:rFonts w:cs="Arial"/>
          <w:b w:val="0"/>
          <w:i w:val="0"/>
          <w:szCs w:val="27"/>
        </w:rPr>
        <w:t xml:space="preserve">en consecuencia, y bajo el aforismo jurídico </w:t>
      </w:r>
      <w:r w:rsidR="001904C1" w:rsidRPr="00AC1B63">
        <w:rPr>
          <w:rFonts w:cs="Arial"/>
          <w:b w:val="0"/>
          <w:szCs w:val="27"/>
        </w:rPr>
        <w:t>“lo accesorio sigue la suerte de lo principal”</w:t>
      </w:r>
      <w:r w:rsidR="001904C1" w:rsidRPr="00930DDD">
        <w:rPr>
          <w:rFonts w:cs="Arial"/>
          <w:b w:val="0"/>
          <w:i w:val="0"/>
          <w:szCs w:val="27"/>
        </w:rPr>
        <w:t>, se advierte que dicha multa fue lo que originó todas las demás actuaciones, luego entonces, resulta lógico que igualmente las actuaciones posteriores son nulas, por ello, al haber sido declarados nulos dichos actos</w:t>
      </w:r>
      <w:r w:rsidR="001904C1" w:rsidRPr="00912E3C">
        <w:rPr>
          <w:rFonts w:cs="Arial"/>
          <w:b w:val="0"/>
          <w:i w:val="0"/>
          <w:szCs w:val="27"/>
        </w:rPr>
        <w:t xml:space="preserve">, 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w:t>
      </w:r>
      <w:r w:rsidR="001904C1" w:rsidRPr="00930DDD">
        <w:rPr>
          <w:rFonts w:cs="Arial"/>
          <w:b w:val="0"/>
          <w:i w:val="0"/>
          <w:szCs w:val="27"/>
          <w:u w:val="single"/>
        </w:rPr>
        <w:t xml:space="preserve">se ordena la devolución la cantidad de </w:t>
      </w:r>
      <w:r w:rsidR="007C6155">
        <w:rPr>
          <w:rFonts w:cs="Arial"/>
          <w:b w:val="0"/>
          <w:i w:val="0"/>
          <w:szCs w:val="27"/>
          <w:u w:val="single"/>
        </w:rPr>
        <w:t>*****</w:t>
      </w:r>
      <w:r w:rsidR="00B52E8F" w:rsidRPr="00B52E8F">
        <w:rPr>
          <w:rFonts w:cs="Arial"/>
          <w:b w:val="0"/>
          <w:i w:val="0"/>
          <w:szCs w:val="27"/>
          <w:u w:val="single"/>
        </w:rPr>
        <w:t xml:space="preserve"> </w:t>
      </w:r>
      <w:r w:rsidR="007C6155">
        <w:rPr>
          <w:rFonts w:cs="Arial"/>
          <w:b w:val="0"/>
          <w:i w:val="0"/>
          <w:szCs w:val="27"/>
          <w:u w:val="single"/>
        </w:rPr>
        <w:t>(*****</w:t>
      </w:r>
      <w:r w:rsidR="00B52E8F" w:rsidRPr="00B52E8F">
        <w:rPr>
          <w:rFonts w:cs="Arial"/>
          <w:b w:val="0"/>
          <w:i w:val="0"/>
          <w:szCs w:val="27"/>
          <w:u w:val="single"/>
        </w:rPr>
        <w:t xml:space="preserve"> </w:t>
      </w:r>
      <w:r w:rsidR="007C6155">
        <w:rPr>
          <w:rFonts w:cs="Arial"/>
          <w:b w:val="0"/>
          <w:i w:val="0"/>
          <w:szCs w:val="27"/>
          <w:u w:val="single"/>
        </w:rPr>
        <w:t>*****</w:t>
      </w:r>
      <w:r w:rsidR="00B52E8F" w:rsidRPr="00B52E8F">
        <w:rPr>
          <w:rFonts w:cs="Arial"/>
          <w:b w:val="0"/>
          <w:i w:val="0"/>
          <w:szCs w:val="27"/>
          <w:u w:val="single"/>
        </w:rPr>
        <w:t xml:space="preserve"> </w:t>
      </w:r>
      <w:r w:rsidR="007C6155">
        <w:rPr>
          <w:rFonts w:cs="Arial"/>
          <w:b w:val="0"/>
          <w:i w:val="0"/>
          <w:szCs w:val="27"/>
          <w:u w:val="single"/>
        </w:rPr>
        <w:t>*****</w:t>
      </w:r>
      <w:r w:rsidR="00B52E8F" w:rsidRPr="00B52E8F">
        <w:rPr>
          <w:rFonts w:cs="Arial"/>
          <w:b w:val="0"/>
          <w:i w:val="0"/>
          <w:szCs w:val="27"/>
          <w:u w:val="single"/>
        </w:rPr>
        <w:t xml:space="preserve"> pesos 00/100 moneda nacional) que ampara el recibo con número de folio </w:t>
      </w:r>
      <w:r w:rsidR="007C6155">
        <w:rPr>
          <w:rFonts w:cs="Arial"/>
          <w:b w:val="0"/>
          <w:i w:val="0"/>
          <w:szCs w:val="27"/>
          <w:u w:val="single"/>
        </w:rPr>
        <w:t xml:space="preserve">***** </w:t>
      </w:r>
      <w:r w:rsidR="00B52E8F" w:rsidRPr="00B52E8F">
        <w:rPr>
          <w:rFonts w:cs="Arial"/>
          <w:b w:val="0"/>
          <w:i w:val="0"/>
          <w:szCs w:val="27"/>
          <w:u w:val="single"/>
        </w:rPr>
        <w:t xml:space="preserve">de fecha </w:t>
      </w:r>
      <w:r w:rsidR="007C6155">
        <w:rPr>
          <w:rFonts w:cs="Arial"/>
          <w:b w:val="0"/>
          <w:i w:val="0"/>
          <w:szCs w:val="27"/>
          <w:u w:val="single"/>
        </w:rPr>
        <w:t>*****</w:t>
      </w:r>
      <w:r w:rsidR="00B52E8F" w:rsidRPr="00B52E8F">
        <w:rPr>
          <w:rFonts w:cs="Arial"/>
          <w:b w:val="0"/>
          <w:i w:val="0"/>
          <w:szCs w:val="27"/>
          <w:u w:val="single"/>
        </w:rPr>
        <w:t xml:space="preserve"> de </w:t>
      </w:r>
      <w:r w:rsidR="007C6155">
        <w:rPr>
          <w:rFonts w:cs="Arial"/>
          <w:b w:val="0"/>
          <w:i w:val="0"/>
          <w:szCs w:val="27"/>
          <w:u w:val="single"/>
        </w:rPr>
        <w:t>*****</w:t>
      </w:r>
      <w:r w:rsidR="00B52E8F" w:rsidRPr="00B52E8F">
        <w:rPr>
          <w:rFonts w:cs="Arial"/>
          <w:b w:val="0"/>
          <w:i w:val="0"/>
          <w:szCs w:val="27"/>
          <w:u w:val="single"/>
        </w:rPr>
        <w:t xml:space="preserve"> de dos mil </w:t>
      </w:r>
      <w:r w:rsidR="007C6155">
        <w:rPr>
          <w:rFonts w:cs="Arial"/>
          <w:b w:val="0"/>
          <w:i w:val="0"/>
          <w:szCs w:val="27"/>
          <w:u w:val="single"/>
        </w:rPr>
        <w:t>*****</w:t>
      </w:r>
      <w:r w:rsidR="001904C1" w:rsidRPr="00930DDD">
        <w:rPr>
          <w:rFonts w:cs="Arial"/>
          <w:b w:val="0"/>
          <w:i w:val="0"/>
          <w:szCs w:val="27"/>
          <w:u w:val="single"/>
        </w:rPr>
        <w:t xml:space="preserve">, </w:t>
      </w:r>
      <w:r w:rsidR="001904C1" w:rsidRPr="00930DDD">
        <w:rPr>
          <w:rFonts w:cs="Arial"/>
          <w:b w:val="0"/>
          <w:bCs/>
          <w:i w:val="0"/>
          <w:szCs w:val="27"/>
          <w:u w:val="single"/>
        </w:rPr>
        <w:t xml:space="preserve">de igual forma realice la devolución del pago realizado a “GRÚAS </w:t>
      </w:r>
      <w:r w:rsidR="00B52E8F">
        <w:rPr>
          <w:rFonts w:cs="Arial"/>
          <w:b w:val="0"/>
          <w:bCs/>
          <w:i w:val="0"/>
          <w:szCs w:val="27"/>
          <w:u w:val="single"/>
        </w:rPr>
        <w:t>GALE OAXACA</w:t>
      </w:r>
      <w:r w:rsidR="001904C1" w:rsidRPr="00930DDD">
        <w:rPr>
          <w:rFonts w:cs="Arial"/>
          <w:b w:val="0"/>
          <w:bCs/>
          <w:i w:val="0"/>
          <w:szCs w:val="27"/>
          <w:u w:val="single"/>
        </w:rPr>
        <w:t xml:space="preserve">”, por la cantidad de </w:t>
      </w:r>
      <w:r w:rsidR="007C6155">
        <w:rPr>
          <w:rFonts w:cs="Arial"/>
          <w:b w:val="0"/>
          <w:bCs/>
          <w:i w:val="0"/>
          <w:szCs w:val="27"/>
          <w:u w:val="single"/>
        </w:rPr>
        <w:t>*****</w:t>
      </w:r>
      <w:r w:rsidR="00B52E8F" w:rsidRPr="00B52E8F">
        <w:rPr>
          <w:rFonts w:cs="Arial"/>
          <w:b w:val="0"/>
          <w:bCs/>
          <w:i w:val="0"/>
          <w:szCs w:val="27"/>
          <w:u w:val="single"/>
        </w:rPr>
        <w:t xml:space="preserve"> (</w:t>
      </w:r>
      <w:r w:rsidR="007C6155">
        <w:rPr>
          <w:rFonts w:cs="Arial"/>
          <w:b w:val="0"/>
          <w:bCs/>
          <w:i w:val="0"/>
          <w:szCs w:val="27"/>
          <w:u w:val="single"/>
        </w:rPr>
        <w:t>*****</w:t>
      </w:r>
      <w:r w:rsidR="00B52E8F" w:rsidRPr="00B52E8F">
        <w:rPr>
          <w:rFonts w:cs="Arial"/>
          <w:b w:val="0"/>
          <w:bCs/>
          <w:i w:val="0"/>
          <w:szCs w:val="27"/>
          <w:u w:val="single"/>
        </w:rPr>
        <w:t xml:space="preserve"> pesos 00/100 m.n.) que ampara el recibo número </w:t>
      </w:r>
      <w:r w:rsidR="00937A85">
        <w:rPr>
          <w:rFonts w:cs="Arial"/>
          <w:b w:val="0"/>
          <w:bCs/>
          <w:i w:val="0"/>
          <w:szCs w:val="27"/>
          <w:u w:val="single"/>
        </w:rPr>
        <w:t>*****</w:t>
      </w:r>
      <w:r w:rsidR="00B52E8F" w:rsidRPr="00B52E8F">
        <w:rPr>
          <w:rFonts w:cs="Arial"/>
          <w:b w:val="0"/>
          <w:bCs/>
          <w:i w:val="0"/>
          <w:szCs w:val="27"/>
          <w:u w:val="single"/>
        </w:rPr>
        <w:t xml:space="preserve">, de fecha </w:t>
      </w:r>
      <w:r w:rsidR="00937A85">
        <w:rPr>
          <w:rFonts w:cs="Arial"/>
          <w:b w:val="0"/>
          <w:bCs/>
          <w:i w:val="0"/>
          <w:szCs w:val="27"/>
          <w:u w:val="single"/>
        </w:rPr>
        <w:t>*****</w:t>
      </w:r>
      <w:r w:rsidR="00B52E8F" w:rsidRPr="00B52E8F">
        <w:rPr>
          <w:rFonts w:cs="Arial"/>
          <w:b w:val="0"/>
          <w:bCs/>
          <w:i w:val="0"/>
          <w:szCs w:val="27"/>
          <w:u w:val="single"/>
        </w:rPr>
        <w:t xml:space="preserve"> de</w:t>
      </w:r>
      <w:r w:rsidR="00937A85">
        <w:rPr>
          <w:rFonts w:cs="Arial"/>
          <w:b w:val="0"/>
          <w:bCs/>
          <w:i w:val="0"/>
          <w:szCs w:val="27"/>
          <w:u w:val="single"/>
        </w:rPr>
        <w:t xml:space="preserve"> *****</w:t>
      </w:r>
      <w:r w:rsidR="00B52E8F" w:rsidRPr="00B52E8F">
        <w:rPr>
          <w:rFonts w:cs="Arial"/>
          <w:b w:val="0"/>
          <w:bCs/>
          <w:i w:val="0"/>
          <w:szCs w:val="27"/>
          <w:u w:val="single"/>
        </w:rPr>
        <w:t xml:space="preserve"> de dos mil </w:t>
      </w:r>
      <w:r w:rsidR="00937A85">
        <w:rPr>
          <w:rFonts w:cs="Arial"/>
          <w:b w:val="0"/>
          <w:bCs/>
          <w:i w:val="0"/>
          <w:szCs w:val="27"/>
          <w:u w:val="single"/>
        </w:rPr>
        <w:t>*****</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B166C">
      <w:headerReference w:type="default" r:id="rId8"/>
      <w:footerReference w:type="even" r:id="rId9"/>
      <w:footerReference w:type="default" r:id="rId10"/>
      <w:headerReference w:type="first" r:id="rId11"/>
      <w:pgSz w:w="12240" w:h="20160" w:code="5"/>
      <w:pgMar w:top="1376"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6A505" w14:textId="77777777" w:rsidR="00383B10" w:rsidRDefault="00383B10" w:rsidP="00604752">
      <w:pPr>
        <w:spacing w:after="0" w:line="240" w:lineRule="auto"/>
      </w:pPr>
      <w:r>
        <w:separator/>
      </w:r>
    </w:p>
  </w:endnote>
  <w:endnote w:type="continuationSeparator" w:id="0">
    <w:p w14:paraId="18F4C56F" w14:textId="77777777" w:rsidR="00383B10" w:rsidRDefault="00383B1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B4603" w14:textId="717E4983" w:rsidR="005B166C" w:rsidRDefault="005B166C">
    <w:pPr>
      <w:pStyle w:val="Piedepgina"/>
    </w:pPr>
    <w:r w:rsidRPr="004B66A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67CEBE8" wp14:editId="3470557A">
              <wp:simplePos x="0" y="0"/>
              <wp:positionH relativeFrom="page">
                <wp:align>right</wp:align>
              </wp:positionH>
              <wp:positionV relativeFrom="paragraph">
                <wp:posOffset>-5691505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16D8004" w14:textId="77777777" w:rsidR="005B166C" w:rsidRDefault="005B166C" w:rsidP="005B166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7CEBE8" id="_x0000_t202" coordsize="21600,21600" o:spt="202" path="m,l,21600r21600,l21600,xe">
              <v:stroke joinstyle="miter"/>
              <v:path gradientshapeok="t" o:connecttype="rect"/>
            </v:shapetype>
            <v:shape id="Cuadro de texto 1" o:spid="_x0000_s1026" type="#_x0000_t202" style="position:absolute;margin-left:41.8pt;margin-top:-448.1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">
              <v:textbox>
                <w:txbxContent>
                  <w:p w14:paraId="716D8004" w14:textId="77777777" w:rsidR="005B166C" w:rsidRDefault="005B166C" w:rsidP="005B166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513558"/>
      <w:docPartObj>
        <w:docPartGallery w:val="Page Numbers (Bottom of Page)"/>
        <w:docPartUnique/>
      </w:docPartObj>
    </w:sdtPr>
    <w:sdtEndPr>
      <w:rPr>
        <w:rFonts w:ascii="Arial" w:hAnsi="Arial" w:cs="Arial"/>
        <w:sz w:val="24"/>
        <w:szCs w:val="24"/>
      </w:rPr>
    </w:sdtEndPr>
    <w:sdtContent>
      <w:p w14:paraId="71EF2787" w14:textId="58DEEFBE" w:rsidR="0076338B" w:rsidRPr="00604752" w:rsidRDefault="005B166C">
        <w:pPr>
          <w:pStyle w:val="Piedepgina"/>
          <w:jc w:val="center"/>
          <w:rPr>
            <w:rFonts w:ascii="Arial" w:hAnsi="Arial" w:cs="Arial"/>
            <w:sz w:val="24"/>
            <w:szCs w:val="24"/>
          </w:rPr>
        </w:pPr>
        <w:r w:rsidRPr="004B66A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61B339B" wp14:editId="397CD50B">
                  <wp:simplePos x="0" y="0"/>
                  <wp:positionH relativeFrom="leftMargin">
                    <wp:align>right</wp:align>
                  </wp:positionH>
                  <wp:positionV relativeFrom="paragraph">
                    <wp:posOffset>-4992370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2FEA5A4" w14:textId="77777777" w:rsidR="005B166C" w:rsidRDefault="005B166C" w:rsidP="005B166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1B339B" id="_x0000_t202" coordsize="21600,21600" o:spt="202" path="m,l,21600r21600,l21600,xe">
                  <v:stroke joinstyle="miter"/>
                  <v:path gradientshapeok="t" o:connecttype="rect"/>
                </v:shapetype>
                <v:shape id="_x0000_s1027" type="#_x0000_t202" style="position:absolute;left:0;text-align:left;margin-left:41.8pt;margin-top:-393.1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">
                  <v:textbox>
                    <w:txbxContent>
                      <w:p w14:paraId="72FEA5A4" w14:textId="77777777" w:rsidR="005B166C" w:rsidRDefault="005B166C" w:rsidP="005B166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EB54FE" w:rsidRPr="00EB54FE">
          <w:rPr>
            <w:rFonts w:ascii="Arial" w:hAnsi="Arial" w:cs="Arial"/>
            <w:noProof/>
            <w:sz w:val="24"/>
            <w:szCs w:val="24"/>
            <w:lang w:val="es-ES"/>
          </w:rPr>
          <w:t>9</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65380" w14:textId="77777777" w:rsidR="00383B10" w:rsidRDefault="00383B10" w:rsidP="00604752">
      <w:pPr>
        <w:spacing w:after="0" w:line="240" w:lineRule="auto"/>
      </w:pPr>
      <w:r>
        <w:separator/>
      </w:r>
    </w:p>
  </w:footnote>
  <w:footnote w:type="continuationSeparator" w:id="0">
    <w:p w14:paraId="0BD73CE9" w14:textId="77777777" w:rsidR="00383B10" w:rsidRDefault="00383B10"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9A31C38"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764F107A">
          <wp:simplePos x="0" y="0"/>
          <wp:positionH relativeFrom="page">
            <wp:align>right</wp:align>
          </wp:positionH>
          <wp:positionV relativeFrom="paragraph">
            <wp:posOffset>4161790</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94558116">
    <w:abstractNumId w:val="2"/>
  </w:num>
  <w:num w:numId="2" w16cid:durableId="1759131791">
    <w:abstractNumId w:val="3"/>
  </w:num>
  <w:num w:numId="3" w16cid:durableId="147599994">
    <w:abstractNumId w:val="6"/>
  </w:num>
  <w:num w:numId="4" w16cid:durableId="965697368">
    <w:abstractNumId w:val="0"/>
  </w:num>
  <w:num w:numId="5" w16cid:durableId="1918661607">
    <w:abstractNumId w:val="4"/>
  </w:num>
  <w:num w:numId="6" w16cid:durableId="1137796227">
    <w:abstractNumId w:val="1"/>
  </w:num>
  <w:num w:numId="7" w16cid:durableId="1278222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1D4"/>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11DE"/>
    <w:rsid w:val="00043748"/>
    <w:rsid w:val="00045E11"/>
    <w:rsid w:val="000463EA"/>
    <w:rsid w:val="00051177"/>
    <w:rsid w:val="0005415A"/>
    <w:rsid w:val="00055C88"/>
    <w:rsid w:val="000662B7"/>
    <w:rsid w:val="000859C0"/>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0A5E"/>
    <w:rsid w:val="000C1184"/>
    <w:rsid w:val="000C35D8"/>
    <w:rsid w:val="000C5EA0"/>
    <w:rsid w:val="000C6172"/>
    <w:rsid w:val="000C67C3"/>
    <w:rsid w:val="000C6FAD"/>
    <w:rsid w:val="000D23FD"/>
    <w:rsid w:val="000E1601"/>
    <w:rsid w:val="000E2FD3"/>
    <w:rsid w:val="000E728E"/>
    <w:rsid w:val="001009AB"/>
    <w:rsid w:val="00101208"/>
    <w:rsid w:val="00102315"/>
    <w:rsid w:val="00103B07"/>
    <w:rsid w:val="00115274"/>
    <w:rsid w:val="00125DC6"/>
    <w:rsid w:val="001275B8"/>
    <w:rsid w:val="00131EDE"/>
    <w:rsid w:val="00132658"/>
    <w:rsid w:val="001350AA"/>
    <w:rsid w:val="001352D8"/>
    <w:rsid w:val="0013532F"/>
    <w:rsid w:val="00135E80"/>
    <w:rsid w:val="00140805"/>
    <w:rsid w:val="0014099C"/>
    <w:rsid w:val="00147E05"/>
    <w:rsid w:val="00151127"/>
    <w:rsid w:val="001514E4"/>
    <w:rsid w:val="00153004"/>
    <w:rsid w:val="00155F12"/>
    <w:rsid w:val="0016023B"/>
    <w:rsid w:val="00161E06"/>
    <w:rsid w:val="001628B3"/>
    <w:rsid w:val="00163799"/>
    <w:rsid w:val="001658D6"/>
    <w:rsid w:val="0016783D"/>
    <w:rsid w:val="00181533"/>
    <w:rsid w:val="00182281"/>
    <w:rsid w:val="00182786"/>
    <w:rsid w:val="00184940"/>
    <w:rsid w:val="001904C1"/>
    <w:rsid w:val="00196279"/>
    <w:rsid w:val="001A1FE9"/>
    <w:rsid w:val="001A2788"/>
    <w:rsid w:val="001B0663"/>
    <w:rsid w:val="001B5DC7"/>
    <w:rsid w:val="001B6CB4"/>
    <w:rsid w:val="001B77BA"/>
    <w:rsid w:val="001C0F76"/>
    <w:rsid w:val="001C3689"/>
    <w:rsid w:val="001C505A"/>
    <w:rsid w:val="001C6514"/>
    <w:rsid w:val="001D267C"/>
    <w:rsid w:val="001E1A1B"/>
    <w:rsid w:val="001E49C1"/>
    <w:rsid w:val="001E4A0B"/>
    <w:rsid w:val="001F2FF9"/>
    <w:rsid w:val="00203B91"/>
    <w:rsid w:val="0020510B"/>
    <w:rsid w:val="0020764C"/>
    <w:rsid w:val="002111F8"/>
    <w:rsid w:val="00211EB3"/>
    <w:rsid w:val="002175BF"/>
    <w:rsid w:val="002257D3"/>
    <w:rsid w:val="00226128"/>
    <w:rsid w:val="00230E4C"/>
    <w:rsid w:val="0023129C"/>
    <w:rsid w:val="002318D5"/>
    <w:rsid w:val="00233486"/>
    <w:rsid w:val="002419CF"/>
    <w:rsid w:val="00245075"/>
    <w:rsid w:val="00251577"/>
    <w:rsid w:val="002524BD"/>
    <w:rsid w:val="00252E0F"/>
    <w:rsid w:val="00256C86"/>
    <w:rsid w:val="00265704"/>
    <w:rsid w:val="00267C69"/>
    <w:rsid w:val="0027164D"/>
    <w:rsid w:val="002747AF"/>
    <w:rsid w:val="0027572E"/>
    <w:rsid w:val="0027767F"/>
    <w:rsid w:val="0028475A"/>
    <w:rsid w:val="002914F2"/>
    <w:rsid w:val="00292144"/>
    <w:rsid w:val="00292840"/>
    <w:rsid w:val="00295133"/>
    <w:rsid w:val="00296A0F"/>
    <w:rsid w:val="002A48FB"/>
    <w:rsid w:val="002A6281"/>
    <w:rsid w:val="002A7FE6"/>
    <w:rsid w:val="002B245A"/>
    <w:rsid w:val="002B2700"/>
    <w:rsid w:val="002B2C0E"/>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1C93"/>
    <w:rsid w:val="00363EFF"/>
    <w:rsid w:val="00370E42"/>
    <w:rsid w:val="00371394"/>
    <w:rsid w:val="00371465"/>
    <w:rsid w:val="00375C9A"/>
    <w:rsid w:val="003775A1"/>
    <w:rsid w:val="00377B5E"/>
    <w:rsid w:val="00383B10"/>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3F3E1B"/>
    <w:rsid w:val="004018A4"/>
    <w:rsid w:val="0040395C"/>
    <w:rsid w:val="004107AC"/>
    <w:rsid w:val="00410B01"/>
    <w:rsid w:val="00414AF5"/>
    <w:rsid w:val="00421E9B"/>
    <w:rsid w:val="004223B7"/>
    <w:rsid w:val="00423C8C"/>
    <w:rsid w:val="00423FE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084"/>
    <w:rsid w:val="004723BF"/>
    <w:rsid w:val="00472725"/>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4416"/>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676B5"/>
    <w:rsid w:val="00571779"/>
    <w:rsid w:val="00571FEB"/>
    <w:rsid w:val="00573D74"/>
    <w:rsid w:val="005756D5"/>
    <w:rsid w:val="005767FA"/>
    <w:rsid w:val="005814B7"/>
    <w:rsid w:val="00581667"/>
    <w:rsid w:val="00583B55"/>
    <w:rsid w:val="00583E3A"/>
    <w:rsid w:val="00591D82"/>
    <w:rsid w:val="00592DD6"/>
    <w:rsid w:val="005A1686"/>
    <w:rsid w:val="005A4A79"/>
    <w:rsid w:val="005B166C"/>
    <w:rsid w:val="005B18A3"/>
    <w:rsid w:val="005B2116"/>
    <w:rsid w:val="005B5E0B"/>
    <w:rsid w:val="005B650F"/>
    <w:rsid w:val="005C329C"/>
    <w:rsid w:val="005C3D34"/>
    <w:rsid w:val="005D28D8"/>
    <w:rsid w:val="005D3B58"/>
    <w:rsid w:val="005F5334"/>
    <w:rsid w:val="005F6C33"/>
    <w:rsid w:val="00600AF3"/>
    <w:rsid w:val="00604752"/>
    <w:rsid w:val="00605164"/>
    <w:rsid w:val="006062AF"/>
    <w:rsid w:val="0061788F"/>
    <w:rsid w:val="00620928"/>
    <w:rsid w:val="00620938"/>
    <w:rsid w:val="00625ECE"/>
    <w:rsid w:val="00633E37"/>
    <w:rsid w:val="00641215"/>
    <w:rsid w:val="00641CD0"/>
    <w:rsid w:val="00642D22"/>
    <w:rsid w:val="00642DF7"/>
    <w:rsid w:val="00653CF6"/>
    <w:rsid w:val="00655705"/>
    <w:rsid w:val="0066005E"/>
    <w:rsid w:val="00670A60"/>
    <w:rsid w:val="00683324"/>
    <w:rsid w:val="006834CB"/>
    <w:rsid w:val="0069002D"/>
    <w:rsid w:val="006908BC"/>
    <w:rsid w:val="00694F98"/>
    <w:rsid w:val="00696743"/>
    <w:rsid w:val="006969F9"/>
    <w:rsid w:val="006A46E5"/>
    <w:rsid w:val="006A54B9"/>
    <w:rsid w:val="006B091C"/>
    <w:rsid w:val="006B2272"/>
    <w:rsid w:val="006B6EE7"/>
    <w:rsid w:val="006B7E96"/>
    <w:rsid w:val="006C387D"/>
    <w:rsid w:val="006C66B7"/>
    <w:rsid w:val="006D29F5"/>
    <w:rsid w:val="006D4B83"/>
    <w:rsid w:val="006D5469"/>
    <w:rsid w:val="006E2286"/>
    <w:rsid w:val="006E71B3"/>
    <w:rsid w:val="006F0524"/>
    <w:rsid w:val="006F3FD9"/>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60FD"/>
    <w:rsid w:val="00747A8F"/>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6155"/>
    <w:rsid w:val="007C618F"/>
    <w:rsid w:val="007C7071"/>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353"/>
    <w:rsid w:val="00817A5C"/>
    <w:rsid w:val="00820DC4"/>
    <w:rsid w:val="0082290F"/>
    <w:rsid w:val="00830200"/>
    <w:rsid w:val="0083186B"/>
    <w:rsid w:val="00832B4F"/>
    <w:rsid w:val="00835131"/>
    <w:rsid w:val="00853484"/>
    <w:rsid w:val="00855326"/>
    <w:rsid w:val="00856627"/>
    <w:rsid w:val="00856D6D"/>
    <w:rsid w:val="00865026"/>
    <w:rsid w:val="0088558F"/>
    <w:rsid w:val="00885E7B"/>
    <w:rsid w:val="00886F1B"/>
    <w:rsid w:val="00891558"/>
    <w:rsid w:val="008A2064"/>
    <w:rsid w:val="008A2FD4"/>
    <w:rsid w:val="008A3A19"/>
    <w:rsid w:val="008A4435"/>
    <w:rsid w:val="008A7EC0"/>
    <w:rsid w:val="008B0405"/>
    <w:rsid w:val="008B0DBF"/>
    <w:rsid w:val="008B7C4F"/>
    <w:rsid w:val="008C0D59"/>
    <w:rsid w:val="008C1AC1"/>
    <w:rsid w:val="008C25FD"/>
    <w:rsid w:val="008C2D6A"/>
    <w:rsid w:val="008C69A6"/>
    <w:rsid w:val="008C6A3C"/>
    <w:rsid w:val="008C764E"/>
    <w:rsid w:val="008D1A6D"/>
    <w:rsid w:val="008D1F5B"/>
    <w:rsid w:val="008D263B"/>
    <w:rsid w:val="008D71C0"/>
    <w:rsid w:val="008D748B"/>
    <w:rsid w:val="008E453F"/>
    <w:rsid w:val="008E6233"/>
    <w:rsid w:val="008F0098"/>
    <w:rsid w:val="008F0BE4"/>
    <w:rsid w:val="008F7468"/>
    <w:rsid w:val="00903B51"/>
    <w:rsid w:val="009077DC"/>
    <w:rsid w:val="00910A50"/>
    <w:rsid w:val="00910E7B"/>
    <w:rsid w:val="0091257C"/>
    <w:rsid w:val="00912E3C"/>
    <w:rsid w:val="00920C87"/>
    <w:rsid w:val="009210BB"/>
    <w:rsid w:val="0093055C"/>
    <w:rsid w:val="00930DDD"/>
    <w:rsid w:val="00934395"/>
    <w:rsid w:val="00937A85"/>
    <w:rsid w:val="00942F68"/>
    <w:rsid w:val="00943CBE"/>
    <w:rsid w:val="00943E55"/>
    <w:rsid w:val="009441FE"/>
    <w:rsid w:val="00944977"/>
    <w:rsid w:val="0094594C"/>
    <w:rsid w:val="00945DEA"/>
    <w:rsid w:val="009518EB"/>
    <w:rsid w:val="00953FA6"/>
    <w:rsid w:val="009544F4"/>
    <w:rsid w:val="00960A43"/>
    <w:rsid w:val="0096662B"/>
    <w:rsid w:val="00966F53"/>
    <w:rsid w:val="00972EE0"/>
    <w:rsid w:val="00975C4C"/>
    <w:rsid w:val="00982481"/>
    <w:rsid w:val="00985C06"/>
    <w:rsid w:val="0099116A"/>
    <w:rsid w:val="00993332"/>
    <w:rsid w:val="009A0FA5"/>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361F"/>
    <w:rsid w:val="00A04B22"/>
    <w:rsid w:val="00A061F4"/>
    <w:rsid w:val="00A067E5"/>
    <w:rsid w:val="00A07A59"/>
    <w:rsid w:val="00A127E8"/>
    <w:rsid w:val="00A12CD4"/>
    <w:rsid w:val="00A155F9"/>
    <w:rsid w:val="00A17D80"/>
    <w:rsid w:val="00A20BF9"/>
    <w:rsid w:val="00A25FB6"/>
    <w:rsid w:val="00A40006"/>
    <w:rsid w:val="00A4179A"/>
    <w:rsid w:val="00A43413"/>
    <w:rsid w:val="00A43D96"/>
    <w:rsid w:val="00A53C3A"/>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41BD"/>
    <w:rsid w:val="00AB5A0D"/>
    <w:rsid w:val="00AC1B63"/>
    <w:rsid w:val="00AC7A12"/>
    <w:rsid w:val="00AD2811"/>
    <w:rsid w:val="00AD2DBD"/>
    <w:rsid w:val="00AD4F5A"/>
    <w:rsid w:val="00AE01F1"/>
    <w:rsid w:val="00AE51B3"/>
    <w:rsid w:val="00AE7C5D"/>
    <w:rsid w:val="00AF4B3A"/>
    <w:rsid w:val="00AF69FC"/>
    <w:rsid w:val="00B0252E"/>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2E8F"/>
    <w:rsid w:val="00B537D4"/>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485D"/>
    <w:rsid w:val="00BD0277"/>
    <w:rsid w:val="00BD5D6A"/>
    <w:rsid w:val="00BD7643"/>
    <w:rsid w:val="00BE089F"/>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260E"/>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1A0D"/>
    <w:rsid w:val="00CC3A04"/>
    <w:rsid w:val="00CD437E"/>
    <w:rsid w:val="00CD643E"/>
    <w:rsid w:val="00CD6AA0"/>
    <w:rsid w:val="00CE19F5"/>
    <w:rsid w:val="00CE43E4"/>
    <w:rsid w:val="00CF1297"/>
    <w:rsid w:val="00CF31A1"/>
    <w:rsid w:val="00CF61E3"/>
    <w:rsid w:val="00D01000"/>
    <w:rsid w:val="00D03C91"/>
    <w:rsid w:val="00D06B45"/>
    <w:rsid w:val="00D07184"/>
    <w:rsid w:val="00D23BC6"/>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933"/>
    <w:rsid w:val="00D93CA4"/>
    <w:rsid w:val="00D96FCD"/>
    <w:rsid w:val="00DA2EF6"/>
    <w:rsid w:val="00DA6A9E"/>
    <w:rsid w:val="00DA7969"/>
    <w:rsid w:val="00DB0414"/>
    <w:rsid w:val="00DB2E20"/>
    <w:rsid w:val="00DB3BD6"/>
    <w:rsid w:val="00DB4A91"/>
    <w:rsid w:val="00DC2B07"/>
    <w:rsid w:val="00DC47AE"/>
    <w:rsid w:val="00DC7145"/>
    <w:rsid w:val="00DD6510"/>
    <w:rsid w:val="00DD658D"/>
    <w:rsid w:val="00DD6947"/>
    <w:rsid w:val="00DE37D8"/>
    <w:rsid w:val="00DE59D1"/>
    <w:rsid w:val="00DF0467"/>
    <w:rsid w:val="00DF0CB0"/>
    <w:rsid w:val="00DF1F3C"/>
    <w:rsid w:val="00DF473B"/>
    <w:rsid w:val="00DF63A3"/>
    <w:rsid w:val="00E06C2E"/>
    <w:rsid w:val="00E079E6"/>
    <w:rsid w:val="00E12823"/>
    <w:rsid w:val="00E20206"/>
    <w:rsid w:val="00E2236E"/>
    <w:rsid w:val="00E24A0B"/>
    <w:rsid w:val="00E25135"/>
    <w:rsid w:val="00E309E5"/>
    <w:rsid w:val="00E30A39"/>
    <w:rsid w:val="00E32BB5"/>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8457D"/>
    <w:rsid w:val="00E9031A"/>
    <w:rsid w:val="00E92CB2"/>
    <w:rsid w:val="00E93845"/>
    <w:rsid w:val="00E93CFD"/>
    <w:rsid w:val="00E94133"/>
    <w:rsid w:val="00EA6EDA"/>
    <w:rsid w:val="00EB0CEB"/>
    <w:rsid w:val="00EB54FE"/>
    <w:rsid w:val="00EB758B"/>
    <w:rsid w:val="00EB75F1"/>
    <w:rsid w:val="00EC1F3D"/>
    <w:rsid w:val="00EC3012"/>
    <w:rsid w:val="00EC4690"/>
    <w:rsid w:val="00EE4AFE"/>
    <w:rsid w:val="00EF6616"/>
    <w:rsid w:val="00EF689F"/>
    <w:rsid w:val="00F11637"/>
    <w:rsid w:val="00F12439"/>
    <w:rsid w:val="00F23495"/>
    <w:rsid w:val="00F27766"/>
    <w:rsid w:val="00F3684C"/>
    <w:rsid w:val="00F40571"/>
    <w:rsid w:val="00F412C3"/>
    <w:rsid w:val="00F41707"/>
    <w:rsid w:val="00F4400B"/>
    <w:rsid w:val="00F444B9"/>
    <w:rsid w:val="00F446A8"/>
    <w:rsid w:val="00F44DDE"/>
    <w:rsid w:val="00F45547"/>
    <w:rsid w:val="00F53C55"/>
    <w:rsid w:val="00F55045"/>
    <w:rsid w:val="00F571F9"/>
    <w:rsid w:val="00F6100D"/>
    <w:rsid w:val="00F65A57"/>
    <w:rsid w:val="00F75388"/>
    <w:rsid w:val="00F76551"/>
    <w:rsid w:val="00F77E91"/>
    <w:rsid w:val="00F80253"/>
    <w:rsid w:val="00F83E4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0DC6"/>
    <w:rsid w:val="00FE3F7D"/>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FB64A-72F0-4F5D-AF45-CCA722545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3351</TotalTime>
  <Pages>9</Pages>
  <Words>3495</Words>
  <Characters>19228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487</cp:revision>
  <cp:lastPrinted>2020-10-19T16:44:00Z</cp:lastPrinted>
  <dcterms:created xsi:type="dcterms:W3CDTF">2020-06-01T16:32:00Z</dcterms:created>
  <dcterms:modified xsi:type="dcterms:W3CDTF">2023-01-24T17:30:00Z</dcterms:modified>
</cp:coreProperties>
</file>