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B0D" w:rsidRDefault="0036426E">
      <w:pPr>
        <w:spacing w:line="360" w:lineRule="auto"/>
        <w:jc w:val="both"/>
        <w:rPr>
          <w:rFonts w:ascii="Arial" w:eastAsia="Arial" w:hAnsi="Arial" w:cs="Arial"/>
          <w:sz w:val="24"/>
          <w:szCs w:val="24"/>
        </w:rPr>
      </w:pPr>
      <w:r>
        <w:rPr>
          <w:rFonts w:ascii="Arial" w:eastAsia="Arial" w:hAnsi="Arial" w:cs="Arial"/>
          <w:b/>
          <w:sz w:val="24"/>
          <w:szCs w:val="24"/>
        </w:rPr>
        <w:t>OAXACA DE JUÁREZ, OAXACA</w:t>
      </w:r>
      <w:bookmarkStart w:id="0" w:name="_GoBack"/>
      <w:bookmarkEnd w:id="0"/>
      <w:r>
        <w:rPr>
          <w:rFonts w:ascii="Arial" w:eastAsia="Arial" w:hAnsi="Arial" w:cs="Arial"/>
          <w:b/>
          <w:sz w:val="24"/>
          <w:szCs w:val="24"/>
        </w:rPr>
        <w:t>, A</w:t>
      </w:r>
      <w:r w:rsidR="00057D92">
        <w:rPr>
          <w:rFonts w:ascii="Arial" w:eastAsia="Arial" w:hAnsi="Arial" w:cs="Arial"/>
          <w:b/>
          <w:sz w:val="24"/>
          <w:szCs w:val="24"/>
        </w:rPr>
        <w:t xml:space="preserve"> VEINTE</w:t>
      </w:r>
      <w:r>
        <w:rPr>
          <w:rFonts w:ascii="Arial" w:eastAsia="Arial" w:hAnsi="Arial" w:cs="Arial"/>
          <w:b/>
          <w:sz w:val="24"/>
          <w:szCs w:val="24"/>
        </w:rPr>
        <w:t xml:space="preserve"> SEPTIEMBRE DE DOS MIL VEINTIUNO. </w:t>
      </w:r>
      <w:r>
        <w:rPr>
          <w:rFonts w:ascii="Arial" w:eastAsia="Arial" w:hAnsi="Arial" w:cs="Arial"/>
          <w:sz w:val="24"/>
          <w:szCs w:val="24"/>
        </w:rPr>
        <w:t xml:space="preserve">- - - - - - - - - - - - - - - - - - - - - - - - - - - - - - - - - - - - - - - - - - - - - - - - - - - - </w:t>
      </w:r>
    </w:p>
    <w:p w:rsidR="00E64B0D" w:rsidRDefault="009759E4">
      <w:pPr>
        <w:pBdr>
          <w:top w:val="nil"/>
          <w:left w:val="nil"/>
          <w:bottom w:val="nil"/>
          <w:right w:val="nil"/>
          <w:between w:val="nil"/>
        </w:pBdr>
        <w:spacing w:after="240" w:line="360" w:lineRule="auto"/>
        <w:ind w:firstLine="709"/>
        <w:jc w:val="both"/>
        <w:rPr>
          <w:rFonts w:ascii="Arial" w:eastAsia="Arial" w:hAnsi="Arial" w:cs="Arial"/>
          <w:color w:val="000000"/>
          <w:sz w:val="24"/>
          <w:szCs w:val="24"/>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2CAA6F49" wp14:editId="217C0083">
                <wp:simplePos x="0" y="0"/>
                <wp:positionH relativeFrom="column">
                  <wp:posOffset>-824865</wp:posOffset>
                </wp:positionH>
                <wp:positionV relativeFrom="paragraph">
                  <wp:posOffset>835354</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759E4" w:rsidRDefault="009759E4" w:rsidP="009759E4">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AA6F49" id="_x0000_t202" coordsize="21600,21600" o:spt="202" path="m,l,21600r21600,l21600,xe">
                <v:stroke joinstyle="miter"/>
                <v:path gradientshapeok="t" o:connecttype="rect"/>
              </v:shapetype>
              <v:shape id="Cuadro de texto 2" o:spid="_x0000_s1026" type="#_x0000_t202" style="position:absolute;left:0;text-align:left;margin-left:-64.95pt;margin-top:65.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">
                <v:textbox>
                  <w:txbxContent>
                    <w:p w:rsidR="009759E4" w:rsidRDefault="009759E4" w:rsidP="009759E4">
                      <w:pPr>
                        <w:jc w:val="both"/>
                        <w:rPr>
                          <w:sz w:val="20"/>
                          <w:szCs w:val="20"/>
                        </w:rPr>
                      </w:pPr>
                      <w:r>
                        <w:rPr>
                          <w:rFonts w:ascii="Arial" w:hAnsi="Arial" w:cs="Arial"/>
                          <w:sz w:val="20"/>
                          <w:szCs w:val="20"/>
                        </w:rPr>
                        <w:t>Datos protegidos por el artículo 116 de la LGTAIP y el Artículo 56 de la LTAIPEO</w:t>
                      </w:r>
                    </w:p>
                  </w:txbxContent>
                </v:textbox>
              </v:shape>
            </w:pict>
          </mc:Fallback>
        </mc:AlternateContent>
      </w:r>
      <w:r w:rsidR="0036426E">
        <w:rPr>
          <w:rFonts w:ascii="Arial" w:eastAsia="Arial" w:hAnsi="Arial" w:cs="Arial"/>
          <w:b/>
          <w:color w:val="000000"/>
          <w:sz w:val="24"/>
          <w:szCs w:val="24"/>
        </w:rPr>
        <w:t>VISTOS</w:t>
      </w:r>
      <w:r w:rsidR="0036426E">
        <w:rPr>
          <w:rFonts w:ascii="Arial" w:eastAsia="Arial" w:hAnsi="Arial" w:cs="Arial"/>
          <w:color w:val="000000"/>
          <w:sz w:val="24"/>
          <w:szCs w:val="24"/>
        </w:rPr>
        <w:t xml:space="preserve">, para resolver los autos del juicio de nulidad número </w:t>
      </w:r>
      <w:r w:rsidR="0036426E">
        <w:rPr>
          <w:rFonts w:ascii="Arial" w:eastAsia="Arial" w:hAnsi="Arial" w:cs="Arial"/>
          <w:b/>
          <w:color w:val="000000"/>
          <w:sz w:val="24"/>
          <w:szCs w:val="24"/>
        </w:rPr>
        <w:t>002</w:t>
      </w:r>
      <w:r w:rsidR="0036426E">
        <w:rPr>
          <w:rFonts w:ascii="Arial" w:eastAsia="Arial" w:hAnsi="Arial" w:cs="Arial"/>
          <w:b/>
          <w:sz w:val="24"/>
          <w:szCs w:val="24"/>
        </w:rPr>
        <w:t>5</w:t>
      </w:r>
      <w:r w:rsidR="0036426E">
        <w:rPr>
          <w:rFonts w:ascii="Arial" w:eastAsia="Arial" w:hAnsi="Arial" w:cs="Arial"/>
          <w:b/>
          <w:color w:val="000000"/>
          <w:sz w:val="24"/>
          <w:szCs w:val="24"/>
        </w:rPr>
        <w:t>/2021</w:t>
      </w:r>
      <w:r w:rsidR="0036426E">
        <w:rPr>
          <w:rFonts w:ascii="Arial" w:eastAsia="Arial" w:hAnsi="Arial" w:cs="Arial"/>
          <w:color w:val="000000"/>
          <w:sz w:val="24"/>
          <w:szCs w:val="24"/>
        </w:rPr>
        <w:t xml:space="preserve">, promovido por </w:t>
      </w:r>
      <w:r w:rsidR="00EE3527">
        <w:rPr>
          <w:rFonts w:ascii="Arial" w:eastAsia="Arial" w:hAnsi="Arial" w:cs="Arial"/>
          <w:smallCaps/>
          <w:sz w:val="24"/>
          <w:szCs w:val="24"/>
        </w:rPr>
        <w:t>**********</w:t>
      </w:r>
      <w:r w:rsidR="0036426E">
        <w:rPr>
          <w:rFonts w:ascii="Arial" w:eastAsia="Arial" w:hAnsi="Arial" w:cs="Arial"/>
          <w:b/>
          <w:color w:val="000000"/>
          <w:sz w:val="24"/>
          <w:szCs w:val="24"/>
        </w:rPr>
        <w:t xml:space="preserve">, </w:t>
      </w:r>
      <w:r w:rsidR="0036426E">
        <w:rPr>
          <w:rFonts w:ascii="Arial" w:eastAsia="Arial" w:hAnsi="Arial" w:cs="Arial"/>
          <w:color w:val="000000"/>
          <w:sz w:val="24"/>
          <w:szCs w:val="24"/>
        </w:rPr>
        <w:t xml:space="preserve">en contra del acta de infracción con número de folio </w:t>
      </w:r>
      <w:r w:rsidR="00EE3527">
        <w:rPr>
          <w:rFonts w:ascii="Arial" w:eastAsia="Arial" w:hAnsi="Arial" w:cs="Arial"/>
          <w:smallCaps/>
          <w:sz w:val="24"/>
          <w:szCs w:val="24"/>
        </w:rPr>
        <w:t>**********</w:t>
      </w:r>
      <w:r w:rsidR="0036426E">
        <w:rPr>
          <w:rFonts w:ascii="Arial" w:eastAsia="Arial" w:hAnsi="Arial" w:cs="Arial"/>
          <w:color w:val="000000"/>
          <w:sz w:val="24"/>
          <w:szCs w:val="24"/>
        </w:rPr>
        <w:t>,</w:t>
      </w:r>
      <w:r w:rsidR="0036426E">
        <w:rPr>
          <w:rFonts w:ascii="Arial" w:eastAsia="Arial" w:hAnsi="Arial" w:cs="Arial"/>
          <w:b/>
          <w:color w:val="000000"/>
          <w:sz w:val="24"/>
          <w:szCs w:val="24"/>
        </w:rPr>
        <w:t xml:space="preserve"> </w:t>
      </w:r>
      <w:r w:rsidR="0036426E">
        <w:rPr>
          <w:rFonts w:ascii="Arial" w:eastAsia="Arial" w:hAnsi="Arial" w:cs="Arial"/>
          <w:color w:val="000000"/>
          <w:sz w:val="24"/>
          <w:szCs w:val="24"/>
        </w:rPr>
        <w:t xml:space="preserve">de </w:t>
      </w:r>
      <w:r w:rsidR="0036426E">
        <w:rPr>
          <w:rFonts w:ascii="Arial" w:eastAsia="Arial" w:hAnsi="Arial" w:cs="Arial"/>
          <w:sz w:val="24"/>
          <w:szCs w:val="24"/>
        </w:rPr>
        <w:t>cuatro</w:t>
      </w:r>
      <w:r w:rsidR="0036426E">
        <w:rPr>
          <w:rFonts w:ascii="Arial" w:eastAsia="Arial" w:hAnsi="Arial" w:cs="Arial"/>
          <w:color w:val="000000"/>
          <w:sz w:val="24"/>
          <w:szCs w:val="24"/>
        </w:rPr>
        <w:t xml:space="preserve"> de marzo de dos mil veintiuno</w:t>
      </w:r>
      <w:r w:rsidR="0036426E">
        <w:rPr>
          <w:rFonts w:ascii="Arial" w:eastAsia="Arial" w:hAnsi="Arial" w:cs="Arial"/>
          <w:b/>
          <w:color w:val="000000"/>
          <w:sz w:val="24"/>
          <w:szCs w:val="24"/>
        </w:rPr>
        <w:t xml:space="preserve">, </w:t>
      </w:r>
      <w:r w:rsidR="0036426E">
        <w:rPr>
          <w:rFonts w:ascii="Arial" w:eastAsia="Arial" w:hAnsi="Arial" w:cs="Arial"/>
          <w:color w:val="000000"/>
          <w:sz w:val="24"/>
          <w:szCs w:val="24"/>
        </w:rPr>
        <w:t xml:space="preserve">levantada por </w:t>
      </w:r>
      <w:r w:rsidR="0036426E">
        <w:rPr>
          <w:rFonts w:ascii="Arial" w:eastAsia="Arial" w:hAnsi="Arial" w:cs="Arial"/>
          <w:sz w:val="24"/>
          <w:szCs w:val="24"/>
        </w:rPr>
        <w:t xml:space="preserve">la </w:t>
      </w:r>
      <w:r w:rsidR="0036426E">
        <w:rPr>
          <w:rFonts w:ascii="Arial" w:eastAsia="Arial" w:hAnsi="Arial" w:cs="Arial"/>
          <w:b/>
          <w:color w:val="000000"/>
          <w:sz w:val="24"/>
          <w:szCs w:val="24"/>
        </w:rPr>
        <w:t>POLICÍA TERCERO VIAL CON NÚMERO ESTADÍSTICO PV-1</w:t>
      </w:r>
      <w:r w:rsidR="0036426E">
        <w:rPr>
          <w:rFonts w:ascii="Arial" w:eastAsia="Arial" w:hAnsi="Arial" w:cs="Arial"/>
          <w:b/>
          <w:sz w:val="24"/>
          <w:szCs w:val="24"/>
        </w:rPr>
        <w:t>04</w:t>
      </w:r>
      <w:r w:rsidR="0036426E">
        <w:rPr>
          <w:rFonts w:ascii="Arial" w:eastAsia="Arial" w:hAnsi="Arial" w:cs="Arial"/>
          <w:b/>
          <w:color w:val="000000"/>
          <w:sz w:val="24"/>
          <w:szCs w:val="24"/>
        </w:rPr>
        <w:t>, ADSCRIT</w:t>
      </w:r>
      <w:r w:rsidR="0036426E">
        <w:rPr>
          <w:rFonts w:ascii="Arial" w:eastAsia="Arial" w:hAnsi="Arial" w:cs="Arial"/>
          <w:b/>
          <w:sz w:val="24"/>
          <w:szCs w:val="24"/>
        </w:rPr>
        <w:t>A</w:t>
      </w:r>
      <w:r w:rsidR="0036426E">
        <w:rPr>
          <w:rFonts w:ascii="Arial" w:eastAsia="Arial" w:hAnsi="Arial" w:cs="Arial"/>
          <w:b/>
          <w:color w:val="000000"/>
          <w:sz w:val="24"/>
          <w:szCs w:val="24"/>
        </w:rPr>
        <w:t xml:space="preserve"> A LA SUBDIRECCIÓN DE TRÁNSITO Y MOVILIDAD DEL MUNICIPIO DE OAXACA DE JUÁREZ, OAXACA, </w:t>
      </w:r>
      <w:r w:rsidR="0036426E">
        <w:rPr>
          <w:rFonts w:ascii="Arial" w:eastAsia="Arial" w:hAnsi="Arial" w:cs="Arial"/>
          <w:color w:val="000000"/>
          <w:sz w:val="24"/>
          <w:szCs w:val="24"/>
        </w:rPr>
        <w:t xml:space="preserve">y; - - - - - - - - - - - - - - - - - - - - - - - - - - - - - - - - </w:t>
      </w:r>
      <w:r w:rsidR="006062C7">
        <w:rPr>
          <w:rFonts w:ascii="Arial" w:eastAsia="Arial" w:hAnsi="Arial" w:cs="Arial"/>
          <w:color w:val="000000"/>
          <w:sz w:val="24"/>
          <w:szCs w:val="24"/>
        </w:rPr>
        <w:t xml:space="preserve">- - - - - - - - - - </w:t>
      </w:r>
    </w:p>
    <w:p w:rsidR="00E64B0D" w:rsidRDefault="0036426E">
      <w:pPr>
        <w:pBdr>
          <w:top w:val="nil"/>
          <w:left w:val="nil"/>
          <w:bottom w:val="nil"/>
          <w:right w:val="nil"/>
          <w:between w:val="nil"/>
        </w:pBdr>
        <w:spacing w:after="240" w:line="360" w:lineRule="auto"/>
        <w:ind w:firstLine="709"/>
        <w:jc w:val="center"/>
        <w:rPr>
          <w:rFonts w:ascii="Arial" w:eastAsia="Arial" w:hAnsi="Arial" w:cs="Arial"/>
          <w:b/>
          <w:color w:val="000000"/>
          <w:sz w:val="24"/>
          <w:szCs w:val="24"/>
        </w:rPr>
      </w:pPr>
      <w:r>
        <w:rPr>
          <w:rFonts w:ascii="Arial" w:eastAsia="Arial" w:hAnsi="Arial" w:cs="Arial"/>
          <w:b/>
          <w:color w:val="000000"/>
          <w:sz w:val="24"/>
          <w:szCs w:val="24"/>
        </w:rPr>
        <w:t>R E S U L T A N D O:</w:t>
      </w: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siete de abril de dos mil veintiuno, </w:t>
      </w:r>
      <w:r>
        <w:rPr>
          <w:rFonts w:ascii="Arial" w:eastAsia="Arial" w:hAnsi="Arial" w:cs="Arial"/>
          <w:b/>
          <w:sz w:val="24"/>
          <w:szCs w:val="24"/>
        </w:rPr>
        <w:t xml:space="preserve">se admitió a trámite la demanda de nulidad </w:t>
      </w:r>
      <w:r>
        <w:rPr>
          <w:rFonts w:ascii="Arial" w:eastAsia="Arial" w:hAnsi="Arial" w:cs="Arial"/>
          <w:sz w:val="24"/>
          <w:szCs w:val="24"/>
        </w:rPr>
        <w:t xml:space="preserve">de la parte actora, ordenándose notificar, emplazar y correr traslado a la </w:t>
      </w:r>
      <w:r>
        <w:rPr>
          <w:rFonts w:ascii="Arial" w:eastAsia="Arial" w:hAnsi="Arial" w:cs="Arial"/>
          <w:b/>
          <w:sz w:val="24"/>
          <w:szCs w:val="24"/>
        </w:rPr>
        <w:t xml:space="preserve">autoridad demandada, </w:t>
      </w:r>
      <w:r>
        <w:rPr>
          <w:rFonts w:ascii="Arial" w:eastAsia="Arial" w:hAnsi="Arial" w:cs="Arial"/>
          <w:sz w:val="24"/>
          <w:szCs w:val="24"/>
        </w:rPr>
        <w:t xml:space="preserve">para que dentro del término de ley la contestara; apercibida que para el caso de no hacerlo se tendría por </w:t>
      </w:r>
      <w:r w:rsidR="00A42F4C">
        <w:rPr>
          <w:rFonts w:ascii="Arial" w:eastAsia="Arial" w:hAnsi="Arial" w:cs="Arial"/>
          <w:sz w:val="24"/>
          <w:szCs w:val="24"/>
        </w:rPr>
        <w:t>precluído</w:t>
      </w:r>
      <w:r>
        <w:rPr>
          <w:rFonts w:ascii="Arial" w:eastAsia="Arial" w:hAnsi="Arial" w:cs="Arial"/>
          <w:sz w:val="24"/>
          <w:szCs w:val="24"/>
        </w:rPr>
        <w:t xml:space="preserve"> su derecho y por contestada la demanda en sentido afirmativo, salvo prueba en contrario, (fojas 11 y 12).</w:t>
      </w: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Mediante proveído de cinco de julio de dos mil veintiuno,</w:t>
      </w:r>
      <w:r>
        <w:rPr>
          <w:rFonts w:ascii="Arial" w:eastAsia="Arial" w:hAnsi="Arial" w:cs="Arial"/>
          <w:b/>
          <w:sz w:val="24"/>
          <w:szCs w:val="24"/>
        </w:rPr>
        <w:t xml:space="preserve"> </w:t>
      </w:r>
      <w:r>
        <w:rPr>
          <w:rFonts w:ascii="Arial" w:eastAsia="Arial" w:hAnsi="Arial" w:cs="Arial"/>
          <w:sz w:val="24"/>
          <w:szCs w:val="24"/>
        </w:rPr>
        <w:t xml:space="preserve">se tuvo a la autoridad demandada </w:t>
      </w:r>
      <w:r>
        <w:rPr>
          <w:rFonts w:ascii="Arial" w:eastAsia="Arial" w:hAnsi="Arial" w:cs="Arial"/>
          <w:b/>
          <w:sz w:val="24"/>
          <w:szCs w:val="24"/>
        </w:rPr>
        <w:t>en tiempo</w:t>
      </w:r>
      <w:r>
        <w:rPr>
          <w:rFonts w:ascii="Arial" w:eastAsia="Arial" w:hAnsi="Arial" w:cs="Arial"/>
          <w:sz w:val="24"/>
          <w:szCs w:val="24"/>
        </w:rPr>
        <w:t xml:space="preserve"> </w:t>
      </w:r>
      <w:r>
        <w:rPr>
          <w:rFonts w:ascii="Arial" w:eastAsia="Arial" w:hAnsi="Arial" w:cs="Arial"/>
          <w:b/>
          <w:sz w:val="24"/>
          <w:szCs w:val="24"/>
        </w:rPr>
        <w:t>contestando la demanda de nulidad interpuesta por la parte actora</w:t>
      </w:r>
      <w:r>
        <w:rPr>
          <w:rFonts w:ascii="Arial" w:eastAsia="Arial" w:hAnsi="Arial" w:cs="Arial"/>
          <w:sz w:val="24"/>
          <w:szCs w:val="24"/>
        </w:rPr>
        <w:t>, haciendo valer sus excepciones y defensas, y por ofrecidas y admitidas sus pruebas; fijándose día y hora para que tuviera verificativo la audiencia de Ley (foja 23).</w:t>
      </w:r>
    </w:p>
    <w:p w:rsidR="00E64B0D" w:rsidRDefault="0036426E">
      <w:pPr>
        <w:spacing w:line="360" w:lineRule="auto"/>
        <w:ind w:right="51" w:firstLine="567"/>
        <w:jc w:val="both"/>
        <w:rPr>
          <w:rFonts w:ascii="Arial" w:eastAsia="Arial" w:hAnsi="Arial" w:cs="Arial"/>
          <w:b/>
          <w:sz w:val="24"/>
          <w:szCs w:val="24"/>
        </w:rPr>
      </w:pPr>
      <w:r>
        <w:rPr>
          <w:rFonts w:ascii="Arial" w:eastAsia="Arial" w:hAnsi="Arial" w:cs="Arial"/>
          <w:b/>
          <w:sz w:val="24"/>
          <w:szCs w:val="24"/>
        </w:rPr>
        <w:t xml:space="preserve">TERCERO. </w:t>
      </w:r>
      <w:r>
        <w:rPr>
          <w:rFonts w:ascii="Arial" w:eastAsia="Arial" w:hAnsi="Arial" w:cs="Arial"/>
          <w:sz w:val="24"/>
          <w:szCs w:val="24"/>
        </w:rPr>
        <w:t>El veinte de septiembre de dos mil veintiuno, se llevó a cabo la Audiencia de Ley, en la que no comparecieron las partes ni persona alguna que legalmente las representara; no se formularon alegatos y se citó a las partes para oír sentencia, misma que ahora se dicta en términos del artículo 205, de la Ley de Procedimiento y Justicia Administrativa para el Estado</w:t>
      </w:r>
      <w:r>
        <w:rPr>
          <w:rFonts w:ascii="Arial" w:eastAsia="Arial" w:hAnsi="Arial" w:cs="Arial"/>
          <w:color w:val="000000"/>
          <w:sz w:val="24"/>
          <w:szCs w:val="24"/>
        </w:rPr>
        <w:t xml:space="preserve">; y; - - - - - - - - - - - - - - - - - - - </w:t>
      </w:r>
    </w:p>
    <w:p w:rsidR="00EE3527" w:rsidRDefault="00EE3527">
      <w:pPr>
        <w:spacing w:line="360" w:lineRule="auto"/>
        <w:ind w:right="51"/>
        <w:jc w:val="center"/>
        <w:rPr>
          <w:rFonts w:ascii="Arial" w:eastAsia="Arial" w:hAnsi="Arial" w:cs="Arial"/>
          <w:b/>
          <w:sz w:val="24"/>
          <w:szCs w:val="24"/>
        </w:rPr>
      </w:pPr>
    </w:p>
    <w:p w:rsidR="00E64B0D" w:rsidRDefault="0036426E">
      <w:pPr>
        <w:spacing w:line="360" w:lineRule="auto"/>
        <w:ind w:right="51"/>
        <w:jc w:val="center"/>
        <w:rPr>
          <w:rFonts w:ascii="Arial" w:eastAsia="Arial" w:hAnsi="Arial" w:cs="Arial"/>
          <w:b/>
          <w:sz w:val="24"/>
          <w:szCs w:val="24"/>
        </w:rPr>
      </w:pPr>
      <w:r>
        <w:rPr>
          <w:rFonts w:ascii="Arial" w:eastAsia="Arial" w:hAnsi="Arial" w:cs="Arial"/>
          <w:b/>
          <w:sz w:val="24"/>
          <w:szCs w:val="24"/>
        </w:rPr>
        <w:lastRenderedPageBreak/>
        <w:t>C O N S I D E R A N D O:</w:t>
      </w:r>
    </w:p>
    <w:p w:rsidR="00E64B0D" w:rsidRDefault="0036426E">
      <w:pPr>
        <w:pBdr>
          <w:top w:val="nil"/>
          <w:left w:val="nil"/>
          <w:bottom w:val="nil"/>
          <w:right w:val="nil"/>
          <w:between w:val="nil"/>
        </w:pBdr>
        <w:spacing w:line="360" w:lineRule="auto"/>
        <w:ind w:firstLine="567"/>
        <w:jc w:val="both"/>
        <w:rPr>
          <w:rFonts w:ascii="Arial" w:eastAsia="Arial" w:hAnsi="Arial" w:cs="Arial"/>
          <w:color w:val="000000"/>
          <w:sz w:val="24"/>
          <w:szCs w:val="24"/>
        </w:rPr>
      </w:pPr>
      <w:r>
        <w:rPr>
          <w:rFonts w:ascii="Arial" w:eastAsia="Arial" w:hAnsi="Arial" w:cs="Arial"/>
          <w:b/>
          <w:color w:val="000000"/>
          <w:sz w:val="24"/>
          <w:szCs w:val="24"/>
        </w:rPr>
        <w:t xml:space="preserve">PRIMERO. Competencia. </w:t>
      </w:r>
      <w:r>
        <w:rPr>
          <w:rFonts w:ascii="Arial" w:eastAsia="Arial" w:hAnsi="Arial" w:cs="Arial"/>
          <w:color w:val="000000"/>
          <w:sz w:val="24"/>
          <w:szCs w:val="24"/>
        </w:rPr>
        <w:t xml:space="preserve">Esta Cuarta Sala Unitaria de Primera Instancia del Tribunal de Justicia Administrativa del Estado, </w:t>
      </w:r>
      <w:r>
        <w:rPr>
          <w:rFonts w:ascii="Arial" w:eastAsia="Arial" w:hAnsi="Arial" w:cs="Arial"/>
          <w:b/>
          <w:color w:val="000000"/>
          <w:sz w:val="24"/>
          <w:szCs w:val="24"/>
        </w:rPr>
        <w:t>es competente</w:t>
      </w:r>
      <w:r>
        <w:rPr>
          <w:rFonts w:ascii="Arial" w:eastAsia="Arial" w:hAnsi="Arial" w:cs="Arial"/>
          <w:color w:val="000000"/>
          <w:sz w:val="24"/>
          <w:szCs w:val="24"/>
        </w:rPr>
        <w:t xml:space="preserve"> para conocer y resolver el presente juicio de nulidad promovido en contra de un acto atribuido a una autoridad administrativa de carácter municipal, de conformidad con lo dispuesto por el artículo 11</w:t>
      </w:r>
      <w:r>
        <w:rPr>
          <w:rFonts w:ascii="Arial" w:eastAsia="Arial" w:hAnsi="Arial" w:cs="Arial"/>
          <w:sz w:val="24"/>
          <w:szCs w:val="24"/>
        </w:rPr>
        <w:t>6 fracción V de la Constitución Política de los Estados Unidos Mexicanos,</w:t>
      </w:r>
      <w:r>
        <w:rPr>
          <w:rFonts w:ascii="Arial" w:eastAsia="Arial" w:hAnsi="Arial" w:cs="Arial"/>
          <w:color w:val="000000"/>
          <w:sz w:val="24"/>
          <w:szCs w:val="24"/>
        </w:rPr>
        <w:t xml:space="preserve"> 114 QUÁTER, de la Constitución Política del Estado Libre y Soberano de Oaxaca, en relación con los artículos 119, 120 fracción IV, 129, 132 fracciones I y II, 133 fracci</w:t>
      </w:r>
      <w:r>
        <w:rPr>
          <w:rFonts w:ascii="Arial" w:eastAsia="Arial" w:hAnsi="Arial" w:cs="Arial"/>
          <w:sz w:val="24"/>
          <w:szCs w:val="24"/>
        </w:rPr>
        <w:t>ón I</w:t>
      </w:r>
      <w:r>
        <w:rPr>
          <w:rFonts w:ascii="Arial" w:eastAsia="Arial" w:hAnsi="Arial" w:cs="Arial"/>
          <w:color w:val="000000"/>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E64B0D" w:rsidRDefault="0036426E">
      <w:pPr>
        <w:spacing w:line="360" w:lineRule="auto"/>
        <w:ind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 xml:space="preserve">Personalidad. </w:t>
      </w:r>
      <w:r>
        <w:rPr>
          <w:rFonts w:ascii="Arial" w:eastAsia="Arial" w:hAnsi="Arial" w:cs="Arial"/>
          <w:sz w:val="24"/>
          <w:szCs w:val="24"/>
        </w:rPr>
        <w:t xml:space="preserve">La personalidad de la </w:t>
      </w:r>
      <w:r>
        <w:rPr>
          <w:rFonts w:ascii="Arial" w:eastAsia="Arial" w:hAnsi="Arial" w:cs="Arial"/>
          <w:b/>
          <w:sz w:val="24"/>
          <w:szCs w:val="24"/>
        </w:rPr>
        <w:t xml:space="preserve">actora </w:t>
      </w:r>
      <w:r>
        <w:rPr>
          <w:rFonts w:ascii="Arial" w:eastAsia="Arial" w:hAnsi="Arial" w:cs="Arial"/>
          <w:sz w:val="24"/>
          <w:szCs w:val="24"/>
        </w:rPr>
        <w:t xml:space="preserve">quedó acreditada en términos del artículo 148, de la Ley de Procedimiento y Justicia Administrativa para el Estado, ya que promueve por su propio derecho; y de la </w:t>
      </w:r>
      <w:r>
        <w:rPr>
          <w:rFonts w:ascii="Arial" w:eastAsia="Arial" w:hAnsi="Arial" w:cs="Arial"/>
          <w:b/>
          <w:sz w:val="24"/>
          <w:szCs w:val="24"/>
        </w:rPr>
        <w:t xml:space="preserve">autoridad demandada, </w:t>
      </w:r>
      <w:r>
        <w:rPr>
          <w:rFonts w:ascii="Arial" w:eastAsia="Arial" w:hAnsi="Arial" w:cs="Arial"/>
          <w:sz w:val="24"/>
          <w:szCs w:val="24"/>
        </w:rPr>
        <w:t>se acreditó en términos del artículo 151 de la Ley citada.</w:t>
      </w:r>
    </w:p>
    <w:p w:rsidR="00E64B0D" w:rsidRDefault="0036426E">
      <w:pPr>
        <w:spacing w:line="360" w:lineRule="auto"/>
        <w:ind w:firstLine="567"/>
        <w:jc w:val="both"/>
        <w:rPr>
          <w:rFonts w:ascii="Arial" w:eastAsia="Arial" w:hAnsi="Arial" w:cs="Arial"/>
          <w:sz w:val="24"/>
          <w:szCs w:val="24"/>
        </w:rPr>
      </w:pPr>
      <w:r>
        <w:rPr>
          <w:rFonts w:ascii="Arial" w:eastAsia="Arial" w:hAnsi="Arial" w:cs="Arial"/>
          <w:b/>
          <w:sz w:val="24"/>
          <w:szCs w:val="24"/>
        </w:rPr>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Por ser</w:t>
      </w:r>
      <w:r>
        <w:rPr>
          <w:rFonts w:ascii="Arial" w:eastAsia="Arial" w:hAnsi="Arial" w:cs="Arial"/>
          <w:b/>
          <w:sz w:val="24"/>
          <w:szCs w:val="24"/>
        </w:rPr>
        <w:t xml:space="preserve"> </w:t>
      </w:r>
      <w:r>
        <w:rPr>
          <w:rFonts w:ascii="Arial" w:eastAsia="Arial" w:hAnsi="Arial" w:cs="Arial"/>
          <w:sz w:val="24"/>
          <w:szCs w:val="24"/>
        </w:rPr>
        <w:t>de orden público y de estudio preferente a cualquier otra cuestión, mismas que pueden ser estudiadas de oficio o a petición de parte, ya que, de actualizarse las hipótesis normativas, ello impide la resolución de fondo del asunto y deberá decretarse su sobreseimiento, en los términos de los artículos 161 y 162, de la ley de la materia.</w:t>
      </w:r>
    </w:p>
    <w:p w:rsidR="00E64B0D" w:rsidRDefault="0036426E">
      <w:pPr>
        <w:spacing w:line="360" w:lineRule="auto"/>
        <w:ind w:firstLine="567"/>
        <w:jc w:val="both"/>
        <w:rPr>
          <w:rFonts w:ascii="Arial" w:eastAsia="Arial" w:hAnsi="Arial" w:cs="Arial"/>
          <w:sz w:val="24"/>
          <w:szCs w:val="24"/>
        </w:rPr>
      </w:pPr>
      <w:r>
        <w:rPr>
          <w:rFonts w:ascii="Arial" w:eastAsia="Arial" w:hAnsi="Arial" w:cs="Arial"/>
          <w:sz w:val="24"/>
          <w:szCs w:val="24"/>
        </w:rPr>
        <w:t xml:space="preserve">La Policía Tercero Vial con número estadístico PV-104, </w:t>
      </w:r>
      <w:proofErr w:type="gramStart"/>
      <w:r>
        <w:rPr>
          <w:rFonts w:ascii="Arial" w:eastAsia="Arial" w:hAnsi="Arial" w:cs="Arial"/>
          <w:sz w:val="24"/>
          <w:szCs w:val="24"/>
        </w:rPr>
        <w:t>adscrita</w:t>
      </w:r>
      <w:proofErr w:type="gramEnd"/>
      <w:r>
        <w:rPr>
          <w:rFonts w:ascii="Arial" w:eastAsia="Arial" w:hAnsi="Arial" w:cs="Arial"/>
          <w:sz w:val="24"/>
          <w:szCs w:val="24"/>
        </w:rPr>
        <w:t xml:space="preserve"> a la Subdirección de Tránsito y Movilidad del Municipio de Oaxaca de Juárez, Oaxaca, hizo valer como causales de improcedencia las contenidas en las fracciones VI y X del artículo 161 de la Ley de Procedimiento y Justicia Administrativa del Estado de Oaxaca, que indican:</w:t>
      </w:r>
    </w:p>
    <w:p w:rsidR="00E64B0D" w:rsidRDefault="0036426E">
      <w:pPr>
        <w:spacing w:line="240" w:lineRule="auto"/>
        <w:ind w:left="851" w:right="425"/>
        <w:jc w:val="both"/>
        <w:rPr>
          <w:rFonts w:ascii="Arial" w:eastAsia="Arial" w:hAnsi="Arial" w:cs="Arial"/>
          <w:i/>
        </w:rPr>
      </w:pPr>
      <w:r>
        <w:rPr>
          <w:rFonts w:ascii="Arial" w:eastAsia="Arial" w:hAnsi="Arial" w:cs="Arial"/>
          <w:i/>
        </w:rPr>
        <w:t>“</w:t>
      </w:r>
      <w:r>
        <w:rPr>
          <w:rFonts w:ascii="Arial" w:eastAsia="Arial" w:hAnsi="Arial" w:cs="Arial"/>
          <w:b/>
          <w:i/>
        </w:rPr>
        <w:t>Artículo 161</w:t>
      </w:r>
      <w:r>
        <w:rPr>
          <w:rFonts w:ascii="Arial" w:eastAsia="Arial" w:hAnsi="Arial" w:cs="Arial"/>
          <w:i/>
        </w:rPr>
        <w:t xml:space="preserve">. Es improcedente el juicio ante el Tribunal de lo Contencioso Administrativo contra actos: </w:t>
      </w:r>
    </w:p>
    <w:p w:rsidR="00E64B0D" w:rsidRDefault="0036426E">
      <w:pPr>
        <w:spacing w:line="240" w:lineRule="auto"/>
        <w:ind w:left="851" w:right="425"/>
        <w:jc w:val="both"/>
        <w:rPr>
          <w:rFonts w:ascii="Arial" w:eastAsia="Arial" w:hAnsi="Arial" w:cs="Arial"/>
          <w:i/>
        </w:rPr>
      </w:pPr>
      <w:r>
        <w:rPr>
          <w:rFonts w:ascii="Arial" w:eastAsia="Arial" w:hAnsi="Arial" w:cs="Arial"/>
          <w:i/>
        </w:rPr>
        <w:t>(…)</w:t>
      </w:r>
    </w:p>
    <w:p w:rsidR="00E64B0D" w:rsidRDefault="0036426E">
      <w:pPr>
        <w:spacing w:line="240" w:lineRule="auto"/>
        <w:ind w:left="851" w:right="425"/>
        <w:jc w:val="both"/>
        <w:rPr>
          <w:rFonts w:ascii="Arial" w:eastAsia="Arial" w:hAnsi="Arial" w:cs="Arial"/>
          <w:i/>
        </w:rPr>
      </w:pPr>
      <w:r>
        <w:rPr>
          <w:rFonts w:ascii="Arial" w:eastAsia="Arial" w:hAnsi="Arial" w:cs="Arial"/>
          <w:b/>
          <w:i/>
        </w:rPr>
        <w:t>VI.</w:t>
      </w:r>
      <w:r>
        <w:rPr>
          <w:rFonts w:ascii="Arial" w:eastAsia="Arial" w:hAnsi="Arial" w:cs="Arial"/>
          <w:i/>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E64B0D" w:rsidRDefault="0036426E">
      <w:pPr>
        <w:spacing w:line="240" w:lineRule="auto"/>
        <w:ind w:left="851" w:right="425"/>
        <w:jc w:val="both"/>
        <w:rPr>
          <w:rFonts w:ascii="Arial" w:eastAsia="Arial" w:hAnsi="Arial" w:cs="Arial"/>
          <w:i/>
        </w:rPr>
      </w:pPr>
      <w:r>
        <w:rPr>
          <w:rFonts w:ascii="Arial" w:eastAsia="Arial" w:hAnsi="Arial" w:cs="Arial"/>
          <w:i/>
        </w:rPr>
        <w:t>(…)</w:t>
      </w:r>
    </w:p>
    <w:p w:rsidR="00E64B0D" w:rsidRDefault="0036426E">
      <w:pPr>
        <w:spacing w:before="240" w:line="240" w:lineRule="auto"/>
        <w:ind w:left="851" w:right="425"/>
        <w:jc w:val="both"/>
        <w:rPr>
          <w:rFonts w:ascii="Arial" w:eastAsia="Arial" w:hAnsi="Arial" w:cs="Arial"/>
          <w:i/>
        </w:rPr>
      </w:pPr>
      <w:r>
        <w:rPr>
          <w:rFonts w:ascii="Arial" w:eastAsia="Arial" w:hAnsi="Arial" w:cs="Arial"/>
          <w:b/>
          <w:i/>
        </w:rPr>
        <w:t>X.</w:t>
      </w:r>
      <w:r>
        <w:rPr>
          <w:rFonts w:ascii="Arial" w:eastAsia="Arial" w:hAnsi="Arial" w:cs="Arial"/>
          <w:i/>
        </w:rPr>
        <w:t xml:space="preserve"> En los demás casos en que la improcedencia resulte de alguna disposición de esta Ley o de cualquiera otra de naturaleza administrativa.</w:t>
      </w:r>
    </w:p>
    <w:p w:rsidR="00E64B0D" w:rsidRDefault="00E64B0D">
      <w:pPr>
        <w:spacing w:before="240" w:after="0" w:line="240" w:lineRule="auto"/>
        <w:ind w:left="567" w:right="283"/>
        <w:jc w:val="both"/>
        <w:rPr>
          <w:rFonts w:ascii="Arial" w:eastAsia="Arial" w:hAnsi="Arial" w:cs="Arial"/>
          <w:sz w:val="21"/>
          <w:szCs w:val="21"/>
        </w:rPr>
      </w:pP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La </w:t>
      </w:r>
      <w:r>
        <w:rPr>
          <w:rFonts w:ascii="Arial" w:eastAsia="Arial" w:hAnsi="Arial" w:cs="Arial"/>
          <w:b/>
          <w:sz w:val="24"/>
          <w:szCs w:val="24"/>
        </w:rPr>
        <w:t>causal señalada en la fracción V</w:t>
      </w:r>
      <w:r>
        <w:rPr>
          <w:rFonts w:ascii="Arial" w:eastAsia="Arial" w:hAnsi="Arial" w:cs="Arial"/>
          <w:sz w:val="24"/>
          <w:szCs w:val="24"/>
        </w:rPr>
        <w:t xml:space="preserve"> del artículo transcrito no se configura, ya que el actor impugna la nulidad del acta de infracción con número de folio </w:t>
      </w:r>
      <w:r w:rsidR="00EE3527">
        <w:rPr>
          <w:rFonts w:ascii="Arial" w:eastAsia="Arial" w:hAnsi="Arial" w:cs="Arial"/>
          <w:smallCaps/>
          <w:sz w:val="24"/>
          <w:szCs w:val="24"/>
        </w:rPr>
        <w:t>**********</w:t>
      </w:r>
      <w:r>
        <w:rPr>
          <w:rFonts w:ascii="Arial" w:eastAsia="Arial" w:hAnsi="Arial" w:cs="Arial"/>
          <w:sz w:val="24"/>
          <w:szCs w:val="24"/>
        </w:rPr>
        <w:t xml:space="preserve">de </w:t>
      </w:r>
      <w:r>
        <w:rPr>
          <w:rFonts w:ascii="Arial" w:eastAsia="Arial" w:hAnsi="Arial" w:cs="Arial"/>
          <w:sz w:val="24"/>
          <w:szCs w:val="24"/>
        </w:rPr>
        <w:lastRenderedPageBreak/>
        <w:t>cuatro de marzo de dos mil veintiuno,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eastAsia="Arial" w:hAnsi="Arial" w:cs="Arial"/>
          <w:b/>
          <w:sz w:val="24"/>
          <w:szCs w:val="24"/>
        </w:rPr>
        <w:t>no es un acto consentido</w:t>
      </w:r>
      <w:r>
        <w:rPr>
          <w:rFonts w:ascii="Arial" w:eastAsia="Arial" w:hAnsi="Arial" w:cs="Arial"/>
          <w:sz w:val="24"/>
          <w:szCs w:val="24"/>
        </w:rPr>
        <w:t xml:space="preserve">, ya que el acta de infracción fue levantada el día cuatro de marzo dos mil veintiuno; y la demanda de nulidad fue presentada el día </w:t>
      </w:r>
      <w:r>
        <w:rPr>
          <w:rFonts w:ascii="Arial" w:eastAsia="Arial" w:hAnsi="Arial" w:cs="Arial"/>
          <w:b/>
          <w:sz w:val="24"/>
          <w:szCs w:val="24"/>
        </w:rPr>
        <w:t>seis de abril de dos mil veintiuno</w:t>
      </w:r>
      <w:r>
        <w:rPr>
          <w:rFonts w:ascii="Arial" w:eastAsia="Arial" w:hAnsi="Arial" w:cs="Arial"/>
          <w:sz w:val="24"/>
          <w:szCs w:val="24"/>
        </w:rPr>
        <w:t>, en la Oficialía de Partes Común de Primera Instancia de este Tribunal.</w:t>
      </w:r>
    </w:p>
    <w:p w:rsidR="00E64B0D" w:rsidRDefault="0036426E">
      <w:pPr>
        <w:spacing w:line="360" w:lineRule="auto"/>
        <w:ind w:firstLine="567"/>
        <w:jc w:val="both"/>
        <w:rPr>
          <w:rFonts w:ascii="Arial" w:eastAsia="Arial" w:hAnsi="Arial" w:cs="Arial"/>
          <w:sz w:val="24"/>
          <w:szCs w:val="24"/>
        </w:rPr>
      </w:pPr>
      <w:r>
        <w:rPr>
          <w:rFonts w:ascii="Arial" w:eastAsia="Arial" w:hAnsi="Arial" w:cs="Arial"/>
          <w:sz w:val="24"/>
          <w:szCs w:val="24"/>
        </w:rPr>
        <w:t xml:space="preserve">Por tal razón, si el escrito de demanda fue presentado dentro del término de </w:t>
      </w:r>
      <w:r>
        <w:rPr>
          <w:rFonts w:ascii="Arial" w:eastAsia="Arial" w:hAnsi="Arial" w:cs="Arial"/>
          <w:b/>
          <w:sz w:val="24"/>
          <w:szCs w:val="24"/>
        </w:rPr>
        <w:t>treinta días</w:t>
      </w:r>
      <w:r>
        <w:rPr>
          <w:rFonts w:ascii="Arial" w:eastAsia="Arial" w:hAnsi="Arial" w:cs="Arial"/>
          <w:sz w:val="24"/>
          <w:szCs w:val="24"/>
        </w:rPr>
        <w:t xml:space="preserve"> </w:t>
      </w:r>
      <w:r>
        <w:rPr>
          <w:rFonts w:ascii="Arial" w:eastAsia="Arial" w:hAnsi="Arial" w:cs="Arial"/>
          <w:b/>
          <w:sz w:val="24"/>
          <w:szCs w:val="24"/>
        </w:rPr>
        <w:t>hábiles</w:t>
      </w:r>
      <w:r>
        <w:rPr>
          <w:rFonts w:ascii="Arial" w:eastAsia="Arial" w:hAnsi="Arial" w:cs="Arial"/>
          <w:sz w:val="24"/>
          <w:szCs w:val="24"/>
        </w:rPr>
        <w:t xml:space="preserve"> que prevé el artículo 166 de la Ley de la Materia, el juicio se promovió dentro del término citado y, por ende, no se configura la causal de sobreseimiento solicitada por la autoridad demandada.</w:t>
      </w:r>
    </w:p>
    <w:p w:rsidR="00E64B0D" w:rsidRDefault="0036426E">
      <w:pPr>
        <w:tabs>
          <w:tab w:val="left" w:pos="567"/>
        </w:tabs>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lo que respecta la </w:t>
      </w:r>
      <w:r>
        <w:rPr>
          <w:rFonts w:ascii="Arial" w:eastAsia="Arial" w:hAnsi="Arial" w:cs="Arial"/>
          <w:b/>
          <w:sz w:val="24"/>
          <w:szCs w:val="24"/>
        </w:rPr>
        <w:t>causal de improcedencia</w:t>
      </w:r>
      <w:r>
        <w:rPr>
          <w:rFonts w:ascii="Arial" w:eastAsia="Arial" w:hAnsi="Arial" w:cs="Arial"/>
          <w:sz w:val="24"/>
          <w:szCs w:val="24"/>
        </w:rPr>
        <w:t xml:space="preserve"> </w:t>
      </w:r>
      <w:r>
        <w:rPr>
          <w:rFonts w:ascii="Arial" w:eastAsia="Arial" w:hAnsi="Arial" w:cs="Arial"/>
          <w:b/>
          <w:sz w:val="24"/>
          <w:szCs w:val="24"/>
        </w:rPr>
        <w:t>contenida en la fracción</w:t>
      </w:r>
      <w:r>
        <w:rPr>
          <w:rFonts w:ascii="Arial" w:eastAsia="Arial" w:hAnsi="Arial" w:cs="Arial"/>
          <w:sz w:val="24"/>
          <w:szCs w:val="24"/>
        </w:rPr>
        <w:t xml:space="preserve"> </w:t>
      </w:r>
      <w:r>
        <w:rPr>
          <w:rFonts w:ascii="Arial" w:eastAsia="Arial" w:hAnsi="Arial" w:cs="Arial"/>
          <w:b/>
          <w:sz w:val="24"/>
          <w:szCs w:val="24"/>
        </w:rPr>
        <w:t xml:space="preserve">X </w:t>
      </w:r>
      <w:r>
        <w:rPr>
          <w:rFonts w:ascii="Arial" w:eastAsia="Arial" w:hAnsi="Arial" w:cs="Arial"/>
          <w:sz w:val="24"/>
          <w:szCs w:val="24"/>
        </w:rPr>
        <w:t xml:space="preserve">del artículo 161 de la Ley de Procedimiento y Justicia Administrativa para el Estado de Oaxaca, de autos se advierte que </w:t>
      </w:r>
      <w:r>
        <w:rPr>
          <w:rFonts w:ascii="Arial" w:eastAsia="Arial" w:hAnsi="Arial" w:cs="Arial"/>
          <w:b/>
          <w:sz w:val="24"/>
          <w:szCs w:val="24"/>
        </w:rPr>
        <w:t>no existe</w:t>
      </w:r>
      <w:r>
        <w:rPr>
          <w:rFonts w:ascii="Arial" w:eastAsia="Arial" w:hAnsi="Arial" w:cs="Arial"/>
          <w:sz w:val="24"/>
          <w:szCs w:val="24"/>
        </w:rPr>
        <w:t xml:space="preserve"> ninguna otra causal de improcedencia o sobreseimiento de naturaleza fiscal o administrativa que proceda en este juicio de nulidad y que la autoridad demandada pruebe su existencia.</w:t>
      </w:r>
    </w:p>
    <w:p w:rsidR="00E64B0D" w:rsidRDefault="0036426E">
      <w:pPr>
        <w:spacing w:line="360" w:lineRule="auto"/>
        <w:ind w:right="51" w:firstLine="567"/>
        <w:jc w:val="both"/>
        <w:rPr>
          <w:rFonts w:ascii="Arial" w:eastAsia="Arial" w:hAnsi="Arial" w:cs="Arial"/>
          <w:b/>
          <w:sz w:val="24"/>
          <w:szCs w:val="24"/>
        </w:rPr>
      </w:pPr>
      <w:r>
        <w:rPr>
          <w:rFonts w:ascii="Arial" w:eastAsia="Arial" w:hAnsi="Arial" w:cs="Arial"/>
          <w:sz w:val="24"/>
          <w:szCs w:val="24"/>
        </w:rPr>
        <w:t xml:space="preserve">En consecuencia, al no actualizarse las causales de improcedencia invocadas por la autoridad demandada, </w:t>
      </w:r>
      <w:r>
        <w:rPr>
          <w:rFonts w:ascii="Arial" w:eastAsia="Arial" w:hAnsi="Arial" w:cs="Arial"/>
          <w:b/>
          <w:sz w:val="24"/>
          <w:szCs w:val="24"/>
        </w:rPr>
        <w:t>NO SE SOBRESEE EL JUICIO</w:t>
      </w:r>
      <w:r>
        <w:rPr>
          <w:rFonts w:ascii="Arial" w:eastAsia="Arial" w:hAnsi="Arial" w:cs="Arial"/>
          <w:sz w:val="24"/>
          <w:szCs w:val="24"/>
        </w:rPr>
        <w:t>.</w:t>
      </w: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 xml:space="preserve">La actora </w:t>
      </w:r>
      <w:r w:rsidR="00EE3527">
        <w:rPr>
          <w:rFonts w:ascii="Arial" w:eastAsia="Arial" w:hAnsi="Arial" w:cs="Arial"/>
          <w:smallCaps/>
          <w:sz w:val="24"/>
          <w:szCs w:val="24"/>
        </w:rPr>
        <w:t>**********</w:t>
      </w:r>
      <w:r>
        <w:rPr>
          <w:rFonts w:ascii="Arial" w:eastAsia="Arial" w:hAnsi="Arial" w:cs="Arial"/>
          <w:sz w:val="24"/>
          <w:szCs w:val="24"/>
        </w:rPr>
        <w:t xml:space="preserve">, </w:t>
      </w:r>
      <w:r>
        <w:rPr>
          <w:rFonts w:ascii="Arial" w:eastAsia="Arial" w:hAnsi="Arial" w:cs="Arial"/>
          <w:b/>
          <w:sz w:val="24"/>
          <w:szCs w:val="24"/>
        </w:rPr>
        <w:t xml:space="preserve">demandó la nulidad </w:t>
      </w:r>
      <w:r>
        <w:rPr>
          <w:rFonts w:ascii="Arial" w:eastAsia="Arial" w:hAnsi="Arial" w:cs="Arial"/>
          <w:sz w:val="24"/>
          <w:szCs w:val="24"/>
        </w:rPr>
        <w:t xml:space="preserve">del acta de infracción con número de folio </w:t>
      </w:r>
      <w:r w:rsidR="00EE3527">
        <w:rPr>
          <w:rFonts w:ascii="Arial" w:eastAsia="Arial" w:hAnsi="Arial" w:cs="Arial"/>
          <w:smallCaps/>
          <w:sz w:val="24"/>
          <w:szCs w:val="24"/>
        </w:rPr>
        <w:t>**********</w:t>
      </w:r>
      <w:r>
        <w:rPr>
          <w:rFonts w:ascii="Arial" w:eastAsia="Arial" w:hAnsi="Arial" w:cs="Arial"/>
          <w:sz w:val="24"/>
          <w:szCs w:val="24"/>
        </w:rPr>
        <w:t xml:space="preserve">, de cuatro de marzo de dos mil veintiuno, emitida por la </w:t>
      </w:r>
      <w:r>
        <w:rPr>
          <w:rFonts w:ascii="Arial" w:eastAsia="Arial" w:hAnsi="Arial" w:cs="Arial"/>
          <w:b/>
          <w:sz w:val="24"/>
          <w:szCs w:val="24"/>
        </w:rPr>
        <w:t xml:space="preserve">Policía Tercero Vial con número estadístico PV-104, adscrita a la Subdirección de Tránsito y Movilidad del Municipio de Oaxaca de Juárez, Oaxaca, </w:t>
      </w:r>
      <w:r>
        <w:rPr>
          <w:rFonts w:ascii="Arial" w:eastAsia="Arial" w:hAnsi="Arial" w:cs="Arial"/>
          <w:sz w:val="24"/>
          <w:szCs w:val="24"/>
        </w:rPr>
        <w:t xml:space="preserve">expresando en sus conceptos de impugnación, que esta no se encuentra debidamente </w:t>
      </w:r>
      <w:r>
        <w:rPr>
          <w:rFonts w:ascii="Arial" w:eastAsia="Arial" w:hAnsi="Arial" w:cs="Arial"/>
          <w:b/>
          <w:sz w:val="24"/>
          <w:szCs w:val="24"/>
        </w:rPr>
        <w:t>fundada y motivada</w:t>
      </w:r>
      <w:r>
        <w:rPr>
          <w:rFonts w:ascii="Arial" w:eastAsia="Arial" w:hAnsi="Arial" w:cs="Arial"/>
          <w:sz w:val="24"/>
          <w:szCs w:val="24"/>
        </w:rPr>
        <w:t>.</w:t>
      </w:r>
    </w:p>
    <w:p w:rsidR="00E64B0D" w:rsidRDefault="0036426E">
      <w:pPr>
        <w:spacing w:line="360" w:lineRule="auto"/>
        <w:ind w:right="18" w:firstLine="567"/>
        <w:jc w:val="both"/>
        <w:rPr>
          <w:rFonts w:ascii="Arial" w:eastAsia="Arial" w:hAnsi="Arial" w:cs="Arial"/>
          <w:sz w:val="24"/>
          <w:szCs w:val="24"/>
        </w:rPr>
      </w:pPr>
      <w:r>
        <w:rPr>
          <w:rFonts w:ascii="Arial" w:eastAsia="Arial" w:hAnsi="Arial" w:cs="Arial"/>
          <w:sz w:val="24"/>
          <w:szCs w:val="24"/>
        </w:rPr>
        <w:t xml:space="preserve">Por lo que, este juzgador procede al análisis del acta de infracción impugnada con número de folio </w:t>
      </w:r>
      <w:r w:rsidR="00EE3527">
        <w:rPr>
          <w:rFonts w:ascii="Arial" w:eastAsia="Arial" w:hAnsi="Arial" w:cs="Arial"/>
          <w:smallCaps/>
          <w:sz w:val="24"/>
          <w:szCs w:val="24"/>
        </w:rPr>
        <w:t>**********</w:t>
      </w:r>
      <w:r>
        <w:rPr>
          <w:rFonts w:ascii="Arial" w:eastAsia="Arial" w:hAnsi="Arial" w:cs="Arial"/>
          <w:sz w:val="24"/>
          <w:szCs w:val="24"/>
        </w:rPr>
        <w:t xml:space="preserve">, de cuatro de marzo de dos mil veintiuno, emitida por la Policía Tercero Vial con número estadístico PV-104, adscrita a la Subdirección de Tránsito y Movilidad del Municipio de Oaxaca de Juárez, Oaxaca, </w:t>
      </w:r>
      <w:r>
        <w:rPr>
          <w:rFonts w:ascii="Arial" w:eastAsia="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E64B0D" w:rsidRDefault="0036426E">
      <w:pPr>
        <w:spacing w:line="360" w:lineRule="auto"/>
        <w:ind w:right="18" w:firstLine="567"/>
        <w:jc w:val="both"/>
        <w:rPr>
          <w:rFonts w:ascii="Arial" w:eastAsia="Arial" w:hAnsi="Arial" w:cs="Arial"/>
          <w:i/>
          <w:sz w:val="24"/>
          <w:szCs w:val="24"/>
        </w:rPr>
      </w:pPr>
      <w:r>
        <w:rPr>
          <w:rFonts w:ascii="Arial" w:eastAsia="Arial" w:hAnsi="Arial" w:cs="Arial"/>
          <w:color w:val="000000"/>
          <w:sz w:val="24"/>
          <w:szCs w:val="24"/>
        </w:rPr>
        <w:lastRenderedPageBreak/>
        <w:t xml:space="preserve">De ella </w:t>
      </w:r>
      <w:r>
        <w:rPr>
          <w:rFonts w:ascii="Arial" w:eastAsia="Arial" w:hAnsi="Arial" w:cs="Arial"/>
          <w:sz w:val="24"/>
          <w:szCs w:val="24"/>
        </w:rPr>
        <w:t xml:space="preserve">se advierte, que el Policía Vial que lo emitió, en el apartado de </w:t>
      </w:r>
      <w:r>
        <w:rPr>
          <w:rFonts w:ascii="Arial" w:eastAsia="Arial" w:hAnsi="Arial" w:cs="Arial"/>
          <w:b/>
          <w:sz w:val="24"/>
          <w:szCs w:val="24"/>
        </w:rPr>
        <w:t xml:space="preserve">faltas administrativas contempladas en el Reglamento de Vialidad para el Municipio de Oaxaca de Juárez, </w:t>
      </w:r>
      <w:r>
        <w:rPr>
          <w:rFonts w:ascii="Arial" w:eastAsia="Arial" w:hAnsi="Arial" w:cs="Arial"/>
          <w:sz w:val="24"/>
          <w:szCs w:val="24"/>
        </w:rPr>
        <w:t xml:space="preserve">señaló </w:t>
      </w:r>
      <w:r>
        <w:rPr>
          <w:rFonts w:ascii="Arial" w:eastAsia="Arial" w:hAnsi="Arial" w:cs="Arial"/>
          <w:i/>
          <w:sz w:val="24"/>
          <w:szCs w:val="24"/>
        </w:rPr>
        <w:t xml:space="preserve">“ESTACIONARSE EN DOBLE FILA, ARTÍCULO 60 FRACCIÓN III Y 86 FRACCIÓN IX”, </w:t>
      </w:r>
      <w:r>
        <w:rPr>
          <w:rFonts w:ascii="Arial" w:eastAsia="Arial" w:hAnsi="Arial" w:cs="Arial"/>
          <w:sz w:val="24"/>
          <w:szCs w:val="24"/>
        </w:rPr>
        <w:t xml:space="preserve">en el rubro de </w:t>
      </w:r>
      <w:r>
        <w:rPr>
          <w:rFonts w:ascii="Arial" w:eastAsia="Arial" w:hAnsi="Arial" w:cs="Arial"/>
          <w:b/>
          <w:sz w:val="24"/>
          <w:szCs w:val="24"/>
        </w:rPr>
        <w:t>motivación</w:t>
      </w:r>
      <w:r>
        <w:rPr>
          <w:rFonts w:ascii="Arial" w:eastAsia="Arial" w:hAnsi="Arial" w:cs="Arial"/>
          <w:sz w:val="24"/>
          <w:szCs w:val="24"/>
        </w:rPr>
        <w:t xml:space="preserve"> señaló “</w:t>
      </w:r>
      <w:r>
        <w:rPr>
          <w:rFonts w:ascii="Arial" w:eastAsia="Arial" w:hAnsi="Arial" w:cs="Arial"/>
          <w:i/>
          <w:sz w:val="24"/>
          <w:szCs w:val="24"/>
        </w:rPr>
        <w:t>ARTICULO 86 FRACCIÓN IX ARTÍCULO 59 FRACCIÓN IV</w:t>
      </w:r>
      <w:r>
        <w:rPr>
          <w:rFonts w:ascii="Arial" w:eastAsia="Arial" w:hAnsi="Arial" w:cs="Arial"/>
          <w:sz w:val="24"/>
          <w:szCs w:val="24"/>
        </w:rPr>
        <w:t xml:space="preserve">”, y en cuanto al rubro de </w:t>
      </w:r>
      <w:r>
        <w:rPr>
          <w:rFonts w:ascii="Arial" w:eastAsia="Arial" w:hAnsi="Arial" w:cs="Arial"/>
          <w:b/>
          <w:sz w:val="24"/>
          <w:szCs w:val="24"/>
        </w:rPr>
        <w:t>fundamentación</w:t>
      </w:r>
      <w:r>
        <w:rPr>
          <w:rFonts w:ascii="Arial" w:eastAsia="Arial" w:hAnsi="Arial" w:cs="Arial"/>
          <w:sz w:val="24"/>
          <w:szCs w:val="24"/>
        </w:rPr>
        <w:t xml:space="preserve"> indicó </w:t>
      </w:r>
      <w:r>
        <w:rPr>
          <w:rFonts w:ascii="Arial" w:eastAsia="Arial" w:hAnsi="Arial" w:cs="Arial"/>
          <w:i/>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r>
        <w:rPr>
          <w:rFonts w:ascii="Arial" w:eastAsia="Arial" w:hAnsi="Arial" w:cs="Arial"/>
          <w:sz w:val="24"/>
          <w:szCs w:val="24"/>
        </w:rPr>
        <w:t xml:space="preserve">; sin embargo, no precisó las </w:t>
      </w:r>
      <w:r>
        <w:rPr>
          <w:rFonts w:ascii="Arial" w:eastAsia="Arial" w:hAnsi="Arial" w:cs="Arial"/>
          <w:b/>
          <w:sz w:val="24"/>
          <w:szCs w:val="24"/>
        </w:rPr>
        <w:t>razones</w:t>
      </w:r>
      <w:r>
        <w:rPr>
          <w:rFonts w:ascii="Arial" w:eastAsia="Arial" w:hAnsi="Arial" w:cs="Arial"/>
          <w:sz w:val="24"/>
          <w:szCs w:val="24"/>
        </w:rPr>
        <w:t>,</w:t>
      </w:r>
      <w:r>
        <w:rPr>
          <w:rFonts w:ascii="Arial" w:eastAsia="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eastAsia="Arial" w:hAnsi="Arial" w:cs="Arial"/>
          <w:sz w:val="24"/>
          <w:szCs w:val="24"/>
        </w:rPr>
        <w:t xml:space="preserve"> como fundamento.</w:t>
      </w:r>
    </w:p>
    <w:p w:rsidR="00E64B0D" w:rsidRDefault="0036426E">
      <w:pPr>
        <w:spacing w:line="360" w:lineRule="auto"/>
        <w:ind w:firstLine="567"/>
        <w:jc w:val="both"/>
        <w:rPr>
          <w:rFonts w:ascii="Arial" w:eastAsia="Arial" w:hAnsi="Arial" w:cs="Arial"/>
          <w:sz w:val="24"/>
          <w:szCs w:val="24"/>
        </w:rPr>
      </w:pPr>
      <w:r>
        <w:rPr>
          <w:rFonts w:ascii="Arial" w:eastAsia="Arial" w:hAnsi="Arial" w:cs="Arial"/>
          <w:sz w:val="24"/>
          <w:szCs w:val="24"/>
        </w:rPr>
        <w:t>Por lo que, la autoridad demandada omitió señalar tiempo, modo y circunstancias de la conducta de la infractora que le llevaron a concluir que la actora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 la administrada en estado de indefensión al ignorar las causas por las cuales se emitió el acto impugnado; ya que únicamente se limitó a invocar como fundamento de su actuar los artículos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 sin que hiciera referencia de los hechos ocurridos ni especificara las razones particulares o causas inmediatas, que lo llevaron a concluir el sustento para la emisión del acto.</w:t>
      </w:r>
    </w:p>
    <w:p w:rsidR="00E64B0D" w:rsidRDefault="0036426E">
      <w:pPr>
        <w:spacing w:line="360" w:lineRule="auto"/>
        <w:ind w:firstLine="567"/>
        <w:jc w:val="both"/>
        <w:rPr>
          <w:rFonts w:ascii="Arial" w:eastAsia="Arial" w:hAnsi="Arial" w:cs="Arial"/>
          <w:sz w:val="24"/>
          <w:szCs w:val="24"/>
        </w:rPr>
      </w:pPr>
      <w:r>
        <w:rPr>
          <w:rFonts w:ascii="Arial" w:eastAsia="Arial" w:hAnsi="Arial" w:cs="Arial"/>
          <w:sz w:val="24"/>
          <w:szCs w:val="24"/>
        </w:rPr>
        <w:t xml:space="preserve">Así, la Policía Tercero Vial con número estadístico PV-140, adscrita a la Subdirección de Tránsito y Movilidad del Municipio de Oaxaca de Juárez, al no precisar y concluir con argumentos lógico jurídicos las circunstancias por las cuales estimó que la supuesta infractora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w:t>
      </w:r>
      <w:r>
        <w:rPr>
          <w:rFonts w:ascii="Arial" w:eastAsia="Arial" w:hAnsi="Arial" w:cs="Arial"/>
          <w:sz w:val="24"/>
          <w:szCs w:val="24"/>
        </w:rPr>
        <w:lastRenderedPageBreak/>
        <w:t>acto, tal y como lo prevé la fracción V del artículo 17, de la Ley de Procedimiento y Justicia Administrativa para el Estado de Oaxaca.</w:t>
      </w: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rsidR="00E64B0D" w:rsidRDefault="0036426E">
      <w:pPr>
        <w:tabs>
          <w:tab w:val="left" w:pos="7230"/>
        </w:tabs>
        <w:spacing w:after="0"/>
        <w:ind w:left="851" w:right="425"/>
        <w:jc w:val="both"/>
        <w:rPr>
          <w:rFonts w:ascii="Arial" w:eastAsia="Arial" w:hAnsi="Arial" w:cs="Arial"/>
          <w:i/>
          <w:sz w:val="21"/>
          <w:szCs w:val="21"/>
        </w:rPr>
      </w:pPr>
      <w:r>
        <w:rPr>
          <w:rFonts w:ascii="Arial" w:eastAsia="Arial" w:hAnsi="Arial" w:cs="Arial"/>
          <w:sz w:val="21"/>
          <w:szCs w:val="21"/>
        </w:rPr>
        <w:t>“</w:t>
      </w:r>
      <w:r>
        <w:rPr>
          <w:rFonts w:ascii="Arial" w:eastAsia="Arial" w:hAnsi="Arial" w:cs="Arial"/>
          <w:b/>
          <w:i/>
          <w:sz w:val="21"/>
          <w:szCs w:val="21"/>
        </w:rPr>
        <w:t xml:space="preserve">FUNDAMENTACIÓN Y MOTIVACIÓN DE LOS ACTOS ADMINISTRATIVOS. </w:t>
      </w:r>
      <w:r>
        <w:rPr>
          <w:rFonts w:ascii="Arial" w:eastAsia="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eastAsia="Arial" w:hAnsi="Arial" w:cs="Arial"/>
          <w:i/>
          <w:sz w:val="21"/>
          <w:szCs w:val="21"/>
        </w:rPr>
        <w:t>subincisos</w:t>
      </w:r>
      <w:proofErr w:type="spellEnd"/>
      <w:r>
        <w:rPr>
          <w:rFonts w:ascii="Arial" w:eastAsia="Arial" w:hAnsi="Arial" w:cs="Arial"/>
          <w:i/>
          <w:sz w:val="21"/>
          <w:szCs w:val="21"/>
        </w:rPr>
        <w:t>, fracciones y preceptos aplicables, y b).- Los cuerpos legales, y preceptos que otorgan competencia o facultades a las autoridades para emitir el acto en agravio del gobernado”.</w:t>
      </w:r>
    </w:p>
    <w:p w:rsidR="00E64B0D" w:rsidRDefault="00E64B0D">
      <w:pPr>
        <w:spacing w:after="0"/>
        <w:ind w:right="566"/>
        <w:jc w:val="both"/>
        <w:rPr>
          <w:rFonts w:ascii="Arial" w:eastAsia="Arial" w:hAnsi="Arial" w:cs="Arial"/>
        </w:rPr>
      </w:pPr>
    </w:p>
    <w:p w:rsidR="00E64B0D" w:rsidRDefault="0036426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consecuencia, procede con fundamento en el artículo 208 fracción VI, de la Ley de Procedimiento y Justicia Administrativa para el Estado de Oaxaca, declarar la </w:t>
      </w:r>
      <w:r>
        <w:rPr>
          <w:rFonts w:ascii="Arial" w:eastAsia="Arial" w:hAnsi="Arial" w:cs="Arial"/>
          <w:b/>
          <w:sz w:val="24"/>
          <w:szCs w:val="24"/>
        </w:rPr>
        <w:t xml:space="preserve">NULIDAD LISA Y LLANA, </w:t>
      </w:r>
      <w:r>
        <w:rPr>
          <w:rFonts w:ascii="Arial" w:eastAsia="Arial" w:hAnsi="Arial" w:cs="Arial"/>
          <w:sz w:val="24"/>
          <w:szCs w:val="24"/>
        </w:rPr>
        <w:t xml:space="preserve">del acta de infracción </w:t>
      </w:r>
      <w:r w:rsidR="00EE3527">
        <w:rPr>
          <w:rFonts w:ascii="Arial" w:eastAsia="Arial" w:hAnsi="Arial" w:cs="Arial"/>
          <w:smallCaps/>
          <w:sz w:val="24"/>
          <w:szCs w:val="24"/>
        </w:rPr>
        <w:t>**********</w:t>
      </w:r>
      <w:r>
        <w:rPr>
          <w:rFonts w:ascii="Arial" w:eastAsia="Arial" w:hAnsi="Arial" w:cs="Arial"/>
          <w:sz w:val="24"/>
          <w:szCs w:val="24"/>
        </w:rPr>
        <w:t xml:space="preserve">, de cuatro de marzo de dos mil veintiuno, emitida por la Policía Tercero Vial con número estadístico PV-104, adscrita a la Subdirección de Tránsito y Vialidad del Municipio de Oaxaca de Juárez, </w:t>
      </w:r>
      <w:r w:rsidR="00A42F4C">
        <w:rPr>
          <w:rFonts w:ascii="Arial" w:eastAsia="Arial" w:hAnsi="Arial" w:cs="Arial"/>
          <w:sz w:val="24"/>
          <w:szCs w:val="24"/>
        </w:rPr>
        <w:t xml:space="preserve">Oaxaca, </w:t>
      </w:r>
      <w:r>
        <w:rPr>
          <w:rFonts w:ascii="Arial" w:eastAsia="Arial" w:hAnsi="Arial" w:cs="Arial"/>
          <w:sz w:val="24"/>
          <w:szCs w:val="24"/>
        </w:rPr>
        <w:t>y una vez que cause ejecutoria la sentencia se dé baja del Sistema SAP, el acta de infracción impugnada.</w:t>
      </w:r>
    </w:p>
    <w:p w:rsidR="00E64B0D" w:rsidRDefault="0036426E">
      <w:pPr>
        <w:spacing w:after="0" w:line="360" w:lineRule="auto"/>
        <w:ind w:right="51" w:firstLine="567"/>
        <w:jc w:val="both"/>
        <w:rPr>
          <w:rFonts w:ascii="Arial" w:eastAsia="Arial" w:hAnsi="Arial" w:cs="Arial"/>
          <w:sz w:val="24"/>
          <w:szCs w:val="24"/>
        </w:rPr>
      </w:pPr>
      <w:r>
        <w:rPr>
          <w:rFonts w:ascii="Arial" w:eastAsia="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 - - - - -</w:t>
      </w:r>
    </w:p>
    <w:p w:rsidR="00E64B0D" w:rsidRDefault="00E64B0D" w:rsidP="0036426E">
      <w:pPr>
        <w:spacing w:after="0" w:line="360" w:lineRule="auto"/>
        <w:ind w:right="51"/>
        <w:jc w:val="center"/>
        <w:rPr>
          <w:rFonts w:ascii="Arial" w:eastAsia="Arial" w:hAnsi="Arial" w:cs="Arial"/>
          <w:sz w:val="24"/>
          <w:szCs w:val="24"/>
        </w:rPr>
      </w:pPr>
    </w:p>
    <w:p w:rsidR="00E64B0D" w:rsidRDefault="0036426E" w:rsidP="00940D0F">
      <w:pPr>
        <w:spacing w:after="0" w:line="360" w:lineRule="auto"/>
        <w:ind w:right="-1134"/>
        <w:jc w:val="center"/>
        <w:rPr>
          <w:rFonts w:ascii="Arial" w:eastAsia="Arial" w:hAnsi="Arial" w:cs="Arial"/>
          <w:b/>
          <w:sz w:val="24"/>
          <w:szCs w:val="24"/>
        </w:rPr>
      </w:pPr>
      <w:r>
        <w:rPr>
          <w:rFonts w:ascii="Arial" w:eastAsia="Arial" w:hAnsi="Arial" w:cs="Arial"/>
          <w:b/>
          <w:sz w:val="24"/>
          <w:szCs w:val="24"/>
        </w:rPr>
        <w:t>R E S U E L V E:</w:t>
      </w:r>
    </w:p>
    <w:p w:rsidR="00940D0F" w:rsidRPr="0036426E" w:rsidRDefault="00940D0F" w:rsidP="0036426E">
      <w:pPr>
        <w:spacing w:after="0" w:line="360" w:lineRule="auto"/>
        <w:jc w:val="center"/>
        <w:rPr>
          <w:rFonts w:ascii="Arial" w:eastAsia="Arial" w:hAnsi="Arial" w:cs="Arial"/>
          <w:sz w:val="24"/>
          <w:szCs w:val="24"/>
        </w:rPr>
      </w:pPr>
    </w:p>
    <w:p w:rsidR="00E64B0D" w:rsidRDefault="0036426E">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Cuarta Sala Unitaria fue competente para conocer y resolver el presente asunto. - - - - - - - - - - - - - - - - - - - - - - - - - - - - - - - - - - - - - - - - - - - - - - - </w:t>
      </w:r>
      <w:r w:rsidR="00A42F4C">
        <w:rPr>
          <w:rFonts w:ascii="Arial" w:eastAsia="Arial" w:hAnsi="Arial" w:cs="Arial"/>
          <w:sz w:val="24"/>
          <w:szCs w:val="24"/>
        </w:rPr>
        <w:t>- -</w:t>
      </w:r>
    </w:p>
    <w:p w:rsidR="00E64B0D" w:rsidRDefault="0036426E">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La personalidad de las partes quedó acreditada en autos. - - - - - - </w:t>
      </w:r>
    </w:p>
    <w:p w:rsidR="00E64B0D" w:rsidRDefault="0036426E">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color w:val="000000"/>
          <w:sz w:val="24"/>
          <w:szCs w:val="24"/>
        </w:rPr>
        <w:t xml:space="preserve">No se actualizaron las causales de improcedencia hechas valer por la autoridad demandada, por lo que </w:t>
      </w:r>
      <w:r>
        <w:rPr>
          <w:rFonts w:ascii="Arial" w:eastAsia="Arial" w:hAnsi="Arial" w:cs="Arial"/>
          <w:b/>
          <w:color w:val="000000"/>
          <w:sz w:val="24"/>
          <w:szCs w:val="24"/>
        </w:rPr>
        <w:t>NO SE SOBRESEE EL JUICIO</w:t>
      </w:r>
      <w:r>
        <w:rPr>
          <w:rFonts w:ascii="Arial" w:eastAsia="Arial" w:hAnsi="Arial" w:cs="Arial"/>
          <w:color w:val="000000"/>
          <w:sz w:val="24"/>
          <w:szCs w:val="24"/>
        </w:rPr>
        <w:t xml:space="preserve">. - - - - - - - </w:t>
      </w:r>
      <w:r w:rsidR="00A42F4C">
        <w:rPr>
          <w:rFonts w:ascii="Arial" w:eastAsia="Arial" w:hAnsi="Arial" w:cs="Arial"/>
          <w:color w:val="000000"/>
          <w:sz w:val="24"/>
          <w:szCs w:val="24"/>
        </w:rPr>
        <w:t xml:space="preserve">- - - - </w:t>
      </w:r>
    </w:p>
    <w:p w:rsidR="00A42F4C" w:rsidRPr="00A42F4C" w:rsidRDefault="0036426E">
      <w:pPr>
        <w:spacing w:line="360" w:lineRule="auto"/>
        <w:ind w:right="51" w:firstLine="567"/>
        <w:jc w:val="both"/>
        <w:rPr>
          <w:rFonts w:ascii="Arial" w:eastAsia="Arial" w:hAnsi="Arial" w:cs="Arial"/>
          <w:sz w:val="24"/>
          <w:szCs w:val="24"/>
        </w:rPr>
      </w:pPr>
      <w:r>
        <w:rPr>
          <w:rFonts w:ascii="Arial" w:eastAsia="Arial" w:hAnsi="Arial" w:cs="Arial"/>
          <w:b/>
          <w:color w:val="000000"/>
          <w:sz w:val="24"/>
          <w:szCs w:val="24"/>
        </w:rPr>
        <w:t>CUARTO.</w:t>
      </w:r>
      <w:r>
        <w:rPr>
          <w:sz w:val="24"/>
          <w:szCs w:val="24"/>
        </w:rPr>
        <w:t xml:space="preserve"> </w:t>
      </w:r>
      <w:r>
        <w:rPr>
          <w:rFonts w:ascii="Arial" w:eastAsia="Arial" w:hAnsi="Arial" w:cs="Arial"/>
          <w:sz w:val="24"/>
          <w:szCs w:val="24"/>
        </w:rPr>
        <w:t>Se declara la</w:t>
      </w:r>
      <w:r>
        <w:rPr>
          <w:rFonts w:ascii="Arial" w:eastAsia="Arial" w:hAnsi="Arial" w:cs="Arial"/>
          <w:b/>
          <w:sz w:val="24"/>
          <w:szCs w:val="24"/>
        </w:rPr>
        <w:t xml:space="preserve"> NULIDAD LISA Y LLANA</w:t>
      </w:r>
      <w:r>
        <w:rPr>
          <w:rFonts w:ascii="Arial" w:eastAsia="Arial" w:hAnsi="Arial" w:cs="Arial"/>
          <w:sz w:val="24"/>
          <w:szCs w:val="24"/>
        </w:rPr>
        <w:t xml:space="preserve"> del acta de infracción número </w:t>
      </w:r>
      <w:r w:rsidR="00EE3527">
        <w:rPr>
          <w:rFonts w:ascii="Arial" w:eastAsia="Arial" w:hAnsi="Arial" w:cs="Arial"/>
          <w:smallCaps/>
          <w:sz w:val="24"/>
          <w:szCs w:val="24"/>
        </w:rPr>
        <w:t>**********</w:t>
      </w:r>
      <w:r>
        <w:rPr>
          <w:rFonts w:ascii="Arial" w:eastAsia="Arial" w:hAnsi="Arial" w:cs="Arial"/>
          <w:sz w:val="24"/>
          <w:szCs w:val="24"/>
        </w:rPr>
        <w:t xml:space="preserve">, de cuatro de marzo de dos mil veintiuno, emitida por la Policía Tercero Vial </w:t>
      </w:r>
      <w:r>
        <w:rPr>
          <w:rFonts w:ascii="Arial" w:eastAsia="Arial" w:hAnsi="Arial" w:cs="Arial"/>
          <w:sz w:val="24"/>
          <w:szCs w:val="24"/>
        </w:rPr>
        <w:lastRenderedPageBreak/>
        <w:t>con número estadístico PV-104, adscrito a la Subdirección de Tránsito y Movilidad del Municipio de Oaxaca de Juárez</w:t>
      </w:r>
      <w:r>
        <w:rPr>
          <w:rFonts w:ascii="Arial" w:eastAsia="Arial" w:hAnsi="Arial" w:cs="Arial"/>
          <w:color w:val="000000"/>
          <w:sz w:val="24"/>
          <w:szCs w:val="24"/>
        </w:rPr>
        <w:t xml:space="preserve">, como </w:t>
      </w:r>
      <w:r>
        <w:rPr>
          <w:rFonts w:ascii="Arial" w:eastAsia="Arial" w:hAnsi="Arial" w:cs="Arial"/>
          <w:sz w:val="24"/>
          <w:szCs w:val="24"/>
        </w:rPr>
        <w:t>quedó</w:t>
      </w:r>
      <w:r>
        <w:rPr>
          <w:rFonts w:ascii="Arial" w:eastAsia="Arial" w:hAnsi="Arial" w:cs="Arial"/>
          <w:color w:val="000000"/>
          <w:sz w:val="24"/>
          <w:szCs w:val="24"/>
        </w:rPr>
        <w:t xml:space="preserve"> precisado en el considerando cuarto de esta sentencia. </w:t>
      </w:r>
      <w:r>
        <w:rPr>
          <w:rFonts w:ascii="Arial" w:eastAsia="Arial" w:hAnsi="Arial" w:cs="Arial"/>
          <w:sz w:val="24"/>
          <w:szCs w:val="24"/>
        </w:rPr>
        <w:t xml:space="preserve">- - - - - - - - - - - - - - - - - - - - - - - - - - - - - - - - </w:t>
      </w:r>
      <w:r w:rsidR="00A42F4C">
        <w:rPr>
          <w:rFonts w:ascii="Arial" w:eastAsia="Arial" w:hAnsi="Arial" w:cs="Arial"/>
          <w:sz w:val="24"/>
          <w:szCs w:val="24"/>
        </w:rPr>
        <w:t xml:space="preserve">- - - - - - - - - - - - - - - - - - </w:t>
      </w:r>
    </w:p>
    <w:p w:rsidR="00E64B0D" w:rsidRDefault="0036426E">
      <w:pPr>
        <w:widowControl w:val="0"/>
        <w:spacing w:line="360" w:lineRule="auto"/>
        <w:ind w:right="51" w:firstLine="567"/>
        <w:jc w:val="both"/>
        <w:rPr>
          <w:rFonts w:ascii="Arial" w:eastAsia="Arial" w:hAnsi="Arial" w:cs="Arial"/>
          <w:b/>
          <w:sz w:val="24"/>
          <w:szCs w:val="24"/>
        </w:rPr>
      </w:pPr>
      <w:r>
        <w:rPr>
          <w:rFonts w:ascii="Arial" w:eastAsia="Arial" w:hAnsi="Arial" w:cs="Arial"/>
          <w:b/>
          <w:sz w:val="24"/>
          <w:szCs w:val="24"/>
        </w:rPr>
        <w:t>QUINTO. NOTIFÍQUESE POR PERSONALMENTE A LA PARTE ACTORA Y MEDIANTE OFICIO A LA AUTORIDAD DEMANDADA</w:t>
      </w:r>
      <w:r>
        <w:rPr>
          <w:rFonts w:ascii="Arial" w:eastAsia="Arial" w:hAnsi="Arial" w:cs="Arial"/>
          <w:sz w:val="24"/>
          <w:szCs w:val="24"/>
        </w:rPr>
        <w:t xml:space="preserve">, con fundamento en los artículos 172 fracción I, 173 fracciones I y II, de la Ley de Procedimiento y Justicia Administrativa para el Estado de Oaxaca. - - - - - - - - - - - - - - - - - - - - - - - - - - - - - - - </w:t>
      </w:r>
    </w:p>
    <w:p w:rsidR="00A42F4C" w:rsidRDefault="0036426E" w:rsidP="00A42F4C">
      <w:pPr>
        <w:spacing w:after="240" w:line="360" w:lineRule="auto"/>
        <w:ind w:firstLine="567"/>
        <w:jc w:val="both"/>
        <w:rPr>
          <w:rFonts w:ascii="Arial" w:hAnsi="Arial" w:cs="Arial"/>
          <w:sz w:val="24"/>
          <w:szCs w:val="24"/>
        </w:rPr>
      </w:pPr>
      <w:r>
        <w:rPr>
          <w:rFonts w:ascii="Arial" w:eastAsia="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eastAsia="Arial" w:hAnsi="Arial" w:cs="Arial"/>
          <w:b/>
          <w:sz w:val="24"/>
          <w:szCs w:val="24"/>
        </w:rPr>
        <w:t>TJAO/P/77/2021</w:t>
      </w:r>
      <w:r>
        <w:rPr>
          <w:rFonts w:ascii="Arial" w:eastAsia="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eastAsia="Arial" w:hAnsi="Arial" w:cs="Arial"/>
          <w:sz w:val="24"/>
          <w:szCs w:val="24"/>
        </w:rPr>
        <w:t>Pste</w:t>
      </w:r>
      <w:proofErr w:type="spellEnd"/>
      <w:r>
        <w:rPr>
          <w:rFonts w:ascii="Arial" w:eastAsia="Arial" w:hAnsi="Arial" w:cs="Arial"/>
          <w:sz w:val="24"/>
          <w:szCs w:val="24"/>
        </w:rPr>
        <w:t xml:space="preserve">. </w:t>
      </w:r>
      <w:proofErr w:type="gramStart"/>
      <w:r>
        <w:rPr>
          <w:rFonts w:ascii="Arial" w:eastAsia="Arial" w:hAnsi="Arial" w:cs="Arial"/>
          <w:sz w:val="24"/>
          <w:szCs w:val="24"/>
        </w:rPr>
        <w:t>en</w:t>
      </w:r>
      <w:proofErr w:type="gramEnd"/>
      <w:r>
        <w:rPr>
          <w:rFonts w:ascii="Arial" w:eastAsia="Arial" w:hAnsi="Arial" w:cs="Arial"/>
          <w:sz w:val="24"/>
          <w:szCs w:val="24"/>
        </w:rPr>
        <w:t xml:space="preserve"> D. Medardo Martínez Bautista, Actuario adscrito a la Sala, quien autoriza y da fe. </w:t>
      </w:r>
      <w:proofErr w:type="gramStart"/>
      <w:r w:rsidR="00A42F4C">
        <w:rPr>
          <w:rFonts w:ascii="Arial" w:eastAsia="Arial" w:hAnsi="Arial" w:cs="Arial"/>
          <w:sz w:val="24"/>
          <w:szCs w:val="24"/>
        </w:rPr>
        <w:t>lo</w:t>
      </w:r>
      <w:proofErr w:type="gramEnd"/>
      <w:r w:rsidR="00A42F4C">
        <w:rPr>
          <w:rFonts w:ascii="Arial" w:eastAsia="Arial" w:hAnsi="Arial" w:cs="Arial"/>
          <w:sz w:val="24"/>
          <w:szCs w:val="24"/>
        </w:rPr>
        <w:t xml:space="preserve">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para el Estado de Oaxaca, en relación con el diverso 72 del Reglamento Interno de este Tribunal. - - - - - - - - - - - - - - - - - - - - - - - - - - - - - - - - - - - - - - - - - - - - - - - - - - - </w:t>
      </w:r>
    </w:p>
    <w:sectPr w:rsidR="00A42F4C">
      <w:headerReference w:type="default" r:id="rId7"/>
      <w:headerReference w:type="first" r:id="rId8"/>
      <w:pgSz w:w="12242" w:h="20163"/>
      <w:pgMar w:top="1276" w:right="1043" w:bottom="1276" w:left="2127" w:header="993" w:footer="1134"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6503" w:rsidRDefault="004E6503">
      <w:pPr>
        <w:spacing w:after="0" w:line="240" w:lineRule="auto"/>
      </w:pPr>
      <w:r>
        <w:separator/>
      </w:r>
    </w:p>
  </w:endnote>
  <w:endnote w:type="continuationSeparator" w:id="0">
    <w:p w:rsidR="004E6503" w:rsidRDefault="004E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6503" w:rsidRDefault="004E6503">
      <w:pPr>
        <w:spacing w:after="0" w:line="240" w:lineRule="auto"/>
      </w:pPr>
      <w:r>
        <w:separator/>
      </w:r>
    </w:p>
  </w:footnote>
  <w:footnote w:type="continuationSeparator" w:id="0">
    <w:p w:rsidR="004E6503" w:rsidRDefault="004E6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0D" w:rsidRPr="009759E4" w:rsidRDefault="0036426E">
    <w:pPr>
      <w:pBdr>
        <w:top w:val="nil"/>
        <w:left w:val="nil"/>
        <w:bottom w:val="nil"/>
        <w:right w:val="nil"/>
        <w:between w:val="nil"/>
      </w:pBdr>
      <w:tabs>
        <w:tab w:val="center" w:pos="4419"/>
        <w:tab w:val="right" w:pos="8838"/>
      </w:tabs>
      <w:spacing w:after="0" w:line="240" w:lineRule="auto"/>
      <w:jc w:val="center"/>
      <w:rPr>
        <w:b/>
        <w:color w:val="000000"/>
      </w:rPr>
    </w:pPr>
    <w:r w:rsidRPr="009759E4">
      <w:rPr>
        <w:b/>
        <w:color w:val="000000"/>
      </w:rPr>
      <w:fldChar w:fldCharType="begin"/>
    </w:r>
    <w:r w:rsidRPr="009759E4">
      <w:rPr>
        <w:b/>
        <w:color w:val="000000"/>
      </w:rPr>
      <w:instrText>PAGE</w:instrText>
    </w:r>
    <w:r w:rsidRPr="009759E4">
      <w:rPr>
        <w:b/>
        <w:color w:val="000000"/>
      </w:rPr>
      <w:fldChar w:fldCharType="separate"/>
    </w:r>
    <w:r w:rsidR="00EE3527">
      <w:rPr>
        <w:b/>
        <w:noProof/>
        <w:color w:val="000000"/>
      </w:rPr>
      <w:t>2</w:t>
    </w:r>
    <w:r w:rsidRPr="009759E4">
      <w:rPr>
        <w:b/>
        <w:color w:val="000000"/>
      </w:rPr>
      <w:fldChar w:fldCharType="end"/>
    </w:r>
  </w:p>
  <w:p w:rsidR="00E64B0D" w:rsidRPr="009759E4" w:rsidRDefault="009759E4">
    <w:pPr>
      <w:pBdr>
        <w:top w:val="nil"/>
        <w:left w:val="nil"/>
        <w:bottom w:val="nil"/>
        <w:right w:val="nil"/>
        <w:between w:val="nil"/>
      </w:pBdr>
      <w:tabs>
        <w:tab w:val="center" w:pos="4419"/>
        <w:tab w:val="right" w:pos="8838"/>
      </w:tabs>
      <w:spacing w:after="0" w:line="240" w:lineRule="auto"/>
      <w:rPr>
        <w:b/>
        <w:color w:val="000000"/>
      </w:rPr>
    </w:pPr>
    <w:r w:rsidRPr="009759E4">
      <w:rPr>
        <w:rFonts w:ascii="Times New Roman" w:hAnsi="Times New Roman" w:cs="Times New Roman"/>
        <w:b/>
        <w:noProof/>
        <w:sz w:val="24"/>
        <w:szCs w:val="24"/>
      </w:rPr>
      <mc:AlternateContent>
        <mc:Choice Requires="wps">
          <w:drawing>
            <wp:anchor distT="45720" distB="45720" distL="114300" distR="114300" simplePos="0" relativeHeight="251659264" behindDoc="0" locked="0" layoutInCell="1" allowOverlap="1" wp14:anchorId="0AA1B0D2" wp14:editId="78092461">
              <wp:simplePos x="0" y="0"/>
              <wp:positionH relativeFrom="column">
                <wp:posOffset>-1040524</wp:posOffset>
              </wp:positionH>
              <wp:positionV relativeFrom="paragraph">
                <wp:posOffset>5360670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9759E4" w:rsidRDefault="009759E4" w:rsidP="009759E4">
                          <w:pPr>
                            <w:jc w:val="both"/>
                            <w:rPr>
                              <w:sz w:val="20"/>
                              <w:szCs w:val="20"/>
                            </w:rPr>
                          </w:pPr>
                          <w:r>
                            <w:rPr>
                              <w:rFonts w:ascii="Arial"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A1B0D2" id="_x0000_t202" coordsize="21600,21600" o:spt="202" path="m,l,21600r21600,l21600,xe">
              <v:stroke joinstyle="miter"/>
              <v:path gradientshapeok="t" o:connecttype="rect"/>
            </v:shapetype>
            <v:shape id="Cuadro de texto 1" o:spid="_x0000_s1027" type="#_x0000_t202" style="position:absolute;margin-left:-81.95pt;margin-top:422.1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">
              <v:textbox>
                <w:txbxContent>
                  <w:p w:rsidR="009759E4" w:rsidRDefault="009759E4" w:rsidP="009759E4">
                    <w:pPr>
                      <w:jc w:val="both"/>
                      <w:rPr>
                        <w:sz w:val="20"/>
                        <w:szCs w:val="20"/>
                      </w:rPr>
                    </w:pPr>
                    <w:bookmarkStart w:id="1" w:name="_GoBack"/>
                    <w:r>
                      <w:rPr>
                        <w:rFonts w:ascii="Arial" w:hAnsi="Arial" w:cs="Arial"/>
                        <w:sz w:val="20"/>
                        <w:szCs w:val="20"/>
                      </w:rPr>
                      <w:t>Datos protegidos por el artículo 116 de la LGTAIP y el Artículo 56 de la LTAIPEO</w:t>
                    </w:r>
                    <w:bookmarkEnd w:id="1"/>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B0D" w:rsidRDefault="00E64B0D">
    <w:pPr>
      <w:widowControl w:val="0"/>
      <w:pBdr>
        <w:top w:val="nil"/>
        <w:left w:val="nil"/>
        <w:bottom w:val="nil"/>
        <w:right w:val="nil"/>
        <w:between w:val="nil"/>
      </w:pBdr>
      <w:spacing w:after="0" w:line="276" w:lineRule="auto"/>
      <w:rPr>
        <w:rFonts w:ascii="Arial" w:eastAsia="Arial" w:hAnsi="Arial" w:cs="Arial"/>
        <w:sz w:val="24"/>
        <w:szCs w:val="24"/>
      </w:rPr>
    </w:pPr>
  </w:p>
  <w:tbl>
    <w:tblPr>
      <w:tblStyle w:val="a"/>
      <w:tblW w:w="8248" w:type="dxa"/>
      <w:tblInd w:w="1787" w:type="dxa"/>
      <w:tblLayout w:type="fixed"/>
      <w:tblLook w:val="0400" w:firstRow="0" w:lastRow="0" w:firstColumn="0" w:lastColumn="0" w:noHBand="0" w:noVBand="1"/>
    </w:tblPr>
    <w:tblGrid>
      <w:gridCol w:w="2432"/>
      <w:gridCol w:w="4253"/>
      <w:gridCol w:w="1137"/>
      <w:gridCol w:w="426"/>
    </w:tblGrid>
    <w:tr w:rsidR="00E64B0D">
      <w:trPr>
        <w:gridAfter w:val="2"/>
        <w:wAfter w:w="1563" w:type="dxa"/>
        <w:trHeight w:val="714"/>
      </w:trPr>
      <w:tc>
        <w:tcPr>
          <w:tcW w:w="6685" w:type="dxa"/>
          <w:gridSpan w:val="2"/>
        </w:tcPr>
        <w:p w:rsidR="00E64B0D" w:rsidRDefault="0036426E">
          <w:pPr>
            <w:pBdr>
              <w:top w:val="nil"/>
              <w:left w:val="nil"/>
              <w:bottom w:val="nil"/>
              <w:right w:val="nil"/>
              <w:between w:val="nil"/>
            </w:pBdr>
            <w:tabs>
              <w:tab w:val="center" w:pos="4419"/>
              <w:tab w:val="right" w:pos="8838"/>
            </w:tabs>
            <w:spacing w:after="0" w:line="276" w:lineRule="auto"/>
            <w:ind w:left="56" w:firstLine="34"/>
            <w:jc w:val="both"/>
            <w:rPr>
              <w:rFonts w:ascii="Arial" w:eastAsia="Arial" w:hAnsi="Arial" w:cs="Arial"/>
              <w:b/>
              <w:color w:val="000000"/>
              <w:sz w:val="24"/>
              <w:szCs w:val="24"/>
            </w:rPr>
          </w:pPr>
          <w:r>
            <w:rPr>
              <w:rFonts w:ascii="Arial" w:eastAsia="Arial" w:hAnsi="Arial" w:cs="Arial"/>
              <w:b/>
              <w:color w:val="000000"/>
              <w:sz w:val="24"/>
              <w:szCs w:val="24"/>
            </w:rPr>
            <w:t>CUARTA SALA UNITARIA DE PRIMERA INSTANCIA DEL TRIBUNAL DE JUSTICIA ADMINISTRATIVA DEL ESTADO DE OAXACA</w:t>
          </w:r>
        </w:p>
        <w:p w:rsidR="00E64B0D" w:rsidRDefault="00E64B0D">
          <w:pPr>
            <w:tabs>
              <w:tab w:val="center" w:pos="4419"/>
              <w:tab w:val="right" w:pos="8838"/>
            </w:tabs>
            <w:spacing w:after="0"/>
            <w:ind w:left="56" w:right="51" w:firstLine="34"/>
            <w:jc w:val="both"/>
            <w:rPr>
              <w:rFonts w:ascii="Arial" w:eastAsia="Arial" w:hAnsi="Arial" w:cs="Arial"/>
              <w:sz w:val="24"/>
              <w:szCs w:val="24"/>
            </w:rPr>
          </w:pPr>
        </w:p>
      </w:tc>
    </w:tr>
    <w:tr w:rsidR="00E64B0D">
      <w:trPr>
        <w:gridAfter w:val="1"/>
        <w:wAfter w:w="426" w:type="dxa"/>
        <w:trHeight w:val="426"/>
      </w:trPr>
      <w:tc>
        <w:tcPr>
          <w:tcW w:w="2432" w:type="dxa"/>
        </w:tcPr>
        <w:p w:rsidR="00E64B0D" w:rsidRDefault="0036426E">
          <w:pPr>
            <w:tabs>
              <w:tab w:val="center" w:pos="4419"/>
              <w:tab w:val="right" w:pos="8838"/>
            </w:tabs>
            <w:spacing w:after="0"/>
            <w:ind w:left="56" w:right="-383" w:firstLine="34"/>
            <w:jc w:val="both"/>
            <w:rPr>
              <w:rFonts w:ascii="Arial" w:eastAsia="Arial" w:hAnsi="Arial" w:cs="Arial"/>
              <w:b/>
              <w:sz w:val="24"/>
              <w:szCs w:val="24"/>
            </w:rPr>
          </w:pPr>
          <w:r>
            <w:rPr>
              <w:rFonts w:ascii="Arial" w:eastAsia="Arial" w:hAnsi="Arial" w:cs="Arial"/>
              <w:b/>
              <w:smallCaps/>
              <w:sz w:val="20"/>
              <w:szCs w:val="20"/>
            </w:rPr>
            <w:t>JUICIO DE NULIDAD:</w:t>
          </w:r>
        </w:p>
      </w:tc>
      <w:tc>
        <w:tcPr>
          <w:tcW w:w="5390" w:type="dxa"/>
          <w:gridSpan w:val="2"/>
        </w:tcPr>
        <w:p w:rsidR="00E64B0D" w:rsidRDefault="0036426E">
          <w:pPr>
            <w:tabs>
              <w:tab w:val="right" w:pos="8838"/>
            </w:tabs>
            <w:spacing w:after="0"/>
            <w:ind w:left="465" w:right="-391"/>
            <w:jc w:val="both"/>
            <w:rPr>
              <w:rFonts w:ascii="Arial" w:eastAsia="Arial" w:hAnsi="Arial" w:cs="Arial"/>
              <w:smallCaps/>
              <w:sz w:val="24"/>
              <w:szCs w:val="24"/>
            </w:rPr>
          </w:pPr>
          <w:r>
            <w:rPr>
              <w:rFonts w:ascii="Arial" w:eastAsia="Arial" w:hAnsi="Arial" w:cs="Arial"/>
              <w:smallCaps/>
              <w:sz w:val="24"/>
              <w:szCs w:val="24"/>
            </w:rPr>
            <w:t>0025/2021</w:t>
          </w:r>
        </w:p>
        <w:p w:rsidR="00E64B0D" w:rsidRDefault="00E64B0D">
          <w:pPr>
            <w:tabs>
              <w:tab w:val="center" w:pos="4419"/>
              <w:tab w:val="right" w:pos="8838"/>
            </w:tabs>
            <w:spacing w:after="0"/>
            <w:ind w:left="465" w:right="-391"/>
            <w:jc w:val="both"/>
            <w:rPr>
              <w:rFonts w:ascii="Arial" w:eastAsia="Arial" w:hAnsi="Arial" w:cs="Arial"/>
              <w:smallCaps/>
              <w:sz w:val="24"/>
              <w:szCs w:val="24"/>
            </w:rPr>
          </w:pPr>
        </w:p>
      </w:tc>
    </w:tr>
    <w:tr w:rsidR="00E64B0D">
      <w:trPr>
        <w:trHeight w:val="74"/>
      </w:trPr>
      <w:tc>
        <w:tcPr>
          <w:tcW w:w="2432" w:type="dxa"/>
        </w:tcPr>
        <w:p w:rsidR="00E64B0D" w:rsidRDefault="0036426E">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ACTORA:</w:t>
          </w:r>
        </w:p>
      </w:tc>
      <w:tc>
        <w:tcPr>
          <w:tcW w:w="5816" w:type="dxa"/>
          <w:gridSpan w:val="3"/>
        </w:tcPr>
        <w:p w:rsidR="00E64B0D" w:rsidRDefault="00EE3527">
          <w:pPr>
            <w:spacing w:after="0"/>
            <w:ind w:left="465" w:right="51"/>
            <w:jc w:val="both"/>
            <w:rPr>
              <w:rFonts w:ascii="Arial" w:eastAsia="Arial" w:hAnsi="Arial" w:cs="Arial"/>
              <w:smallCaps/>
              <w:sz w:val="24"/>
              <w:szCs w:val="24"/>
            </w:rPr>
          </w:pPr>
          <w:r>
            <w:rPr>
              <w:rFonts w:ascii="Arial" w:eastAsia="Arial" w:hAnsi="Arial" w:cs="Arial"/>
              <w:smallCaps/>
              <w:sz w:val="24"/>
              <w:szCs w:val="24"/>
            </w:rPr>
            <w:t>**********</w:t>
          </w:r>
        </w:p>
      </w:tc>
    </w:tr>
    <w:tr w:rsidR="00E64B0D">
      <w:trPr>
        <w:trHeight w:val="939"/>
      </w:trPr>
      <w:tc>
        <w:tcPr>
          <w:tcW w:w="2432" w:type="dxa"/>
        </w:tcPr>
        <w:p w:rsidR="00E64B0D" w:rsidRDefault="00E64B0D">
          <w:pPr>
            <w:tabs>
              <w:tab w:val="center" w:pos="4419"/>
              <w:tab w:val="right" w:pos="8838"/>
            </w:tabs>
            <w:spacing w:after="0"/>
            <w:ind w:left="56" w:right="-241" w:firstLine="34"/>
            <w:jc w:val="both"/>
            <w:rPr>
              <w:rFonts w:ascii="Arial" w:eastAsia="Arial" w:hAnsi="Arial" w:cs="Arial"/>
              <w:b/>
              <w:smallCaps/>
              <w:sz w:val="24"/>
              <w:szCs w:val="24"/>
            </w:rPr>
          </w:pPr>
        </w:p>
        <w:p w:rsidR="00E64B0D" w:rsidRDefault="0036426E">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DEMANDADO:</w:t>
          </w: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p w:rsidR="00E64B0D" w:rsidRDefault="0036426E">
          <w:pPr>
            <w:tabs>
              <w:tab w:val="center" w:pos="4419"/>
              <w:tab w:val="right" w:pos="8838"/>
            </w:tabs>
            <w:spacing w:after="0"/>
            <w:ind w:left="56" w:right="51" w:firstLine="34"/>
            <w:jc w:val="both"/>
            <w:rPr>
              <w:rFonts w:ascii="Arial" w:eastAsia="Arial" w:hAnsi="Arial" w:cs="Arial"/>
              <w:b/>
              <w:smallCaps/>
              <w:sz w:val="24"/>
              <w:szCs w:val="24"/>
            </w:rPr>
          </w:pPr>
          <w:r>
            <w:rPr>
              <w:rFonts w:ascii="Arial" w:eastAsia="Arial" w:hAnsi="Arial" w:cs="Arial"/>
              <w:b/>
              <w:smallCaps/>
              <w:sz w:val="24"/>
              <w:szCs w:val="24"/>
            </w:rPr>
            <w:t>SECRETARIA:</w:t>
          </w:r>
        </w:p>
        <w:p w:rsidR="00E64B0D" w:rsidRDefault="00E64B0D">
          <w:pPr>
            <w:tabs>
              <w:tab w:val="center" w:pos="4419"/>
              <w:tab w:val="right" w:pos="8838"/>
            </w:tabs>
            <w:spacing w:after="0"/>
            <w:ind w:left="56" w:right="51" w:firstLine="34"/>
            <w:jc w:val="both"/>
            <w:rPr>
              <w:rFonts w:ascii="Arial" w:eastAsia="Arial" w:hAnsi="Arial" w:cs="Arial"/>
              <w:b/>
              <w:smallCaps/>
              <w:sz w:val="24"/>
              <w:szCs w:val="24"/>
            </w:rPr>
          </w:pPr>
        </w:p>
      </w:tc>
      <w:tc>
        <w:tcPr>
          <w:tcW w:w="5816" w:type="dxa"/>
          <w:gridSpan w:val="3"/>
        </w:tcPr>
        <w:p w:rsidR="00E64B0D" w:rsidRDefault="00E64B0D">
          <w:pPr>
            <w:spacing w:after="0"/>
            <w:ind w:left="-108" w:right="51"/>
            <w:jc w:val="both"/>
            <w:rPr>
              <w:rFonts w:ascii="Arial" w:eastAsia="Arial" w:hAnsi="Arial" w:cs="Arial"/>
              <w:smallCaps/>
              <w:sz w:val="24"/>
              <w:szCs w:val="24"/>
            </w:rPr>
          </w:pPr>
        </w:p>
        <w:p w:rsidR="00E64B0D" w:rsidRDefault="0036426E">
          <w:pPr>
            <w:spacing w:after="0"/>
            <w:ind w:left="463" w:right="1461"/>
            <w:jc w:val="both"/>
            <w:rPr>
              <w:rFonts w:ascii="Arial" w:eastAsia="Arial" w:hAnsi="Arial" w:cs="Arial"/>
              <w:smallCaps/>
              <w:sz w:val="24"/>
              <w:szCs w:val="24"/>
            </w:rPr>
          </w:pPr>
          <w:r>
            <w:rPr>
              <w:rFonts w:ascii="Arial" w:eastAsia="Arial" w:hAnsi="Arial" w:cs="Arial"/>
              <w:smallCaps/>
              <w:sz w:val="24"/>
              <w:szCs w:val="24"/>
            </w:rPr>
            <w:t>POLICÍA TERCERO VIAL CON NÚMERO ESTADÍSTICO PV-104, ADSCRITA A LA SUBDIRECCIÓN DE TRÁNSITO Y MOVILIDAD DEL MUNICIPIO DE OAXACA DE JUÁREZ.</w:t>
          </w:r>
        </w:p>
        <w:p w:rsidR="00E64B0D" w:rsidRDefault="00E64B0D">
          <w:pPr>
            <w:spacing w:after="0"/>
            <w:ind w:left="463" w:right="1461"/>
            <w:jc w:val="both"/>
            <w:rPr>
              <w:rFonts w:ascii="Arial" w:eastAsia="Arial" w:hAnsi="Arial" w:cs="Arial"/>
              <w:smallCaps/>
              <w:sz w:val="24"/>
              <w:szCs w:val="24"/>
            </w:rPr>
          </w:pPr>
        </w:p>
        <w:p w:rsidR="00E64B0D" w:rsidRDefault="0036426E">
          <w:pPr>
            <w:spacing w:after="0"/>
            <w:ind w:left="463" w:right="1461"/>
            <w:jc w:val="both"/>
            <w:rPr>
              <w:rFonts w:ascii="Arial" w:eastAsia="Arial" w:hAnsi="Arial" w:cs="Arial"/>
              <w:smallCaps/>
              <w:sz w:val="24"/>
              <w:szCs w:val="24"/>
            </w:rPr>
          </w:pPr>
          <w:r>
            <w:rPr>
              <w:rFonts w:ascii="Arial" w:eastAsia="Arial" w:hAnsi="Arial" w:cs="Arial"/>
              <w:smallCaps/>
              <w:sz w:val="24"/>
              <w:szCs w:val="24"/>
            </w:rPr>
            <w:t>LICENCIADA MONSERRAT GARCÍA ALTAMIRANO.</w:t>
          </w:r>
        </w:p>
      </w:tc>
    </w:tr>
  </w:tbl>
  <w:p w:rsidR="00E64B0D" w:rsidRDefault="00E64B0D">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0D"/>
    <w:rsid w:val="00057D92"/>
    <w:rsid w:val="0036426E"/>
    <w:rsid w:val="004E6503"/>
    <w:rsid w:val="005759E2"/>
    <w:rsid w:val="006062C7"/>
    <w:rsid w:val="00706F47"/>
    <w:rsid w:val="00940D0F"/>
    <w:rsid w:val="009759E4"/>
    <w:rsid w:val="00A42F4C"/>
    <w:rsid w:val="00A62A9A"/>
    <w:rsid w:val="00BE3BA8"/>
    <w:rsid w:val="00E64B0D"/>
    <w:rsid w:val="00EE35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EEE4E34-761A-4881-88BD-8E8A6C16E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2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yK47T+4vElDUWRurWwDNYoYhlg==">AMUW2mUgA/wv7dy8Mw51PTe0M4zkyya7TOROxOXo0bjDMQb5QqT6t/26X9LfNUPQCV5ZlE21OesqtxMxksbiPOel/0QSnugnpMDv/wOfaiENozyZzRWUoBs=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2446</Words>
  <Characters>13459</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15874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TCA-Personal</cp:lastModifiedBy>
  <cp:revision>16</cp:revision>
  <cp:lastPrinted>2022-02-23T19:44:00Z</cp:lastPrinted>
  <dcterms:created xsi:type="dcterms:W3CDTF">2018-05-14T18:33:00Z</dcterms:created>
  <dcterms:modified xsi:type="dcterms:W3CDTF">2022-02-23T19:44:00Z</dcterms:modified>
</cp:coreProperties>
</file>