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3DA" w:rsidRPr="007B0581" w:rsidRDefault="00DA03DA" w:rsidP="00DA03DA">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DA03DA" w:rsidRPr="007B0581" w:rsidRDefault="00DA03DA" w:rsidP="00DA03DA">
      <w:pPr>
        <w:pStyle w:val="corte4fondo"/>
        <w:spacing w:line="276" w:lineRule="auto"/>
        <w:ind w:left="3544" w:right="-521" w:firstLine="0"/>
        <w:rPr>
          <w:rFonts w:cs="Arial"/>
          <w:b/>
          <w:sz w:val="24"/>
          <w:szCs w:val="24"/>
        </w:rPr>
      </w:pPr>
    </w:p>
    <w:p w:rsidR="00DA03DA" w:rsidRPr="007B0581" w:rsidRDefault="00DA03DA" w:rsidP="00DA03DA">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0025</w:t>
      </w:r>
      <w:r w:rsidRPr="007B0581">
        <w:rPr>
          <w:rFonts w:cs="Arial"/>
          <w:b/>
          <w:bCs/>
          <w:sz w:val="24"/>
          <w:szCs w:val="24"/>
        </w:rPr>
        <w:t>/20</w:t>
      </w:r>
      <w:r>
        <w:rPr>
          <w:rFonts w:cs="Arial"/>
          <w:b/>
          <w:bCs/>
          <w:sz w:val="24"/>
          <w:szCs w:val="24"/>
        </w:rPr>
        <w:t>21</w:t>
      </w:r>
      <w:r w:rsidRPr="007B0581">
        <w:rPr>
          <w:rFonts w:cs="Arial"/>
          <w:sz w:val="24"/>
          <w:szCs w:val="24"/>
        </w:rPr>
        <w:t xml:space="preserve">. </w:t>
      </w:r>
    </w:p>
    <w:p w:rsidR="00DA03DA" w:rsidRPr="007B0581" w:rsidRDefault="00DA03DA" w:rsidP="00DA03DA">
      <w:pPr>
        <w:pStyle w:val="corte4fondo"/>
        <w:spacing w:line="276" w:lineRule="auto"/>
        <w:ind w:left="3544" w:right="-521" w:firstLine="0"/>
        <w:rPr>
          <w:rFonts w:cs="Arial"/>
          <w:sz w:val="24"/>
          <w:szCs w:val="24"/>
        </w:rPr>
      </w:pPr>
    </w:p>
    <w:p w:rsidR="00DA03DA" w:rsidRPr="007B0581" w:rsidRDefault="00DA03DA" w:rsidP="00DA03DA">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 xml:space="preserve">**********. </w:t>
      </w:r>
    </w:p>
    <w:p w:rsidR="00DA03DA" w:rsidRPr="007B0581" w:rsidRDefault="00DA03DA" w:rsidP="00DA03DA">
      <w:pPr>
        <w:pStyle w:val="corte4fondo"/>
        <w:spacing w:line="276" w:lineRule="auto"/>
        <w:ind w:left="3544" w:right="-521" w:firstLine="0"/>
        <w:rPr>
          <w:rFonts w:cs="Arial"/>
          <w:b/>
          <w:i/>
          <w:sz w:val="24"/>
          <w:szCs w:val="24"/>
        </w:rPr>
      </w:pPr>
      <w:r w:rsidRPr="007B0581">
        <w:rPr>
          <w:rFonts w:cs="Arial"/>
          <w:b/>
          <w:i/>
          <w:sz w:val="24"/>
          <w:szCs w:val="24"/>
        </w:rPr>
        <w:t xml:space="preserve"> </w:t>
      </w:r>
    </w:p>
    <w:p w:rsidR="00DA03DA" w:rsidRPr="007B0581" w:rsidRDefault="00DA03DA" w:rsidP="00DA03DA">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SECRETARÍA Y SECRETARIO DEL MEDIO AMBENTE, ENERGÍAS Y DESARROLLO SUSTENTABLE DEL ESTADO DE OAXACA, SUBSECRETARÍA DE NORMATIVIDAD ECOLÓGICA Y GESTIÓN AMBIENTAL, DIRECCIÓN DE PROTECCIÓN AMBIENTAL Y DEPARTAMENTO DE PROCEDIMIENTOS ADMINISTRATIVOS DE LA REFERIDA DEPENDENCIA.</w:t>
      </w:r>
    </w:p>
    <w:p w:rsidR="00DA03DA" w:rsidRPr="007B0581" w:rsidRDefault="00DA03DA" w:rsidP="00DA03DA">
      <w:pPr>
        <w:pStyle w:val="corte4fondo"/>
        <w:spacing w:line="276" w:lineRule="auto"/>
        <w:ind w:left="3544" w:right="51" w:firstLine="0"/>
        <w:rPr>
          <w:rFonts w:cs="Arial"/>
          <w:bCs/>
          <w:sz w:val="24"/>
          <w:szCs w:val="24"/>
        </w:rPr>
      </w:pPr>
    </w:p>
    <w:p w:rsidR="00DA03DA" w:rsidRPr="007B0581" w:rsidRDefault="00DA03DA" w:rsidP="00DA03DA">
      <w:pPr>
        <w:pStyle w:val="corte4fondo"/>
        <w:spacing w:line="276" w:lineRule="auto"/>
        <w:ind w:left="3544" w:right="51" w:firstLine="0"/>
        <w:rPr>
          <w:rFonts w:cs="Arial"/>
          <w:bCs/>
          <w:sz w:val="24"/>
          <w:szCs w:val="24"/>
        </w:rPr>
      </w:pPr>
    </w:p>
    <w:p w:rsidR="00DA03DA" w:rsidRDefault="00DA03DA" w:rsidP="00DA03DA">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TREINTA DE NOVIEMBRE</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DA03DA" w:rsidRDefault="00DA03DA" w:rsidP="00DA03DA">
      <w:pPr>
        <w:spacing w:line="360" w:lineRule="auto"/>
        <w:jc w:val="both"/>
        <w:rPr>
          <w:rFonts w:ascii="Arial" w:hAnsi="Arial" w:cs="Arial"/>
          <w:b/>
          <w:sz w:val="24"/>
          <w:szCs w:val="24"/>
        </w:rPr>
      </w:pPr>
      <w:r w:rsidRPr="007B0581">
        <w:rPr>
          <w:rFonts w:ascii="Arial" w:hAnsi="Arial" w:cs="Arial"/>
          <w:b/>
          <w:sz w:val="24"/>
          <w:szCs w:val="24"/>
        </w:rPr>
        <w:t xml:space="preserve"> </w:t>
      </w:r>
    </w:p>
    <w:p w:rsidR="00DA03DA" w:rsidRPr="007B0581" w:rsidRDefault="00DA03DA" w:rsidP="00DA03DA">
      <w:pPr>
        <w:contextualSpacing/>
        <w:jc w:val="both"/>
        <w:rPr>
          <w:rFonts w:ascii="Arial" w:hAnsi="Arial" w:cs="Arial"/>
          <w:b/>
          <w:sz w:val="24"/>
          <w:szCs w:val="24"/>
        </w:rPr>
      </w:pPr>
    </w:p>
    <w:p w:rsidR="00DA03DA" w:rsidRPr="007B0581" w:rsidRDefault="00DA03DA" w:rsidP="00DA03DA">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0025</w:t>
      </w:r>
      <w:r w:rsidRPr="001A7D4E">
        <w:rPr>
          <w:rFonts w:ascii="Arial" w:hAnsi="Arial" w:cs="Arial"/>
          <w:b/>
          <w:bCs/>
          <w:sz w:val="24"/>
          <w:szCs w:val="24"/>
        </w:rPr>
        <w:t>/20</w:t>
      </w:r>
      <w:r>
        <w:rPr>
          <w:rFonts w:ascii="Arial" w:hAnsi="Arial" w:cs="Arial"/>
          <w:b/>
          <w:bCs/>
          <w:sz w:val="24"/>
          <w:szCs w:val="24"/>
        </w:rPr>
        <w:t>21</w:t>
      </w:r>
      <w:r w:rsidRPr="007B0581">
        <w:rPr>
          <w:rFonts w:ascii="Arial" w:hAnsi="Arial" w:cs="Arial"/>
          <w:sz w:val="24"/>
          <w:szCs w:val="24"/>
        </w:rPr>
        <w:t xml:space="preserve">, promovido por </w:t>
      </w:r>
      <w:r>
        <w:rPr>
          <w:rFonts w:cs="Arial"/>
          <w:b/>
          <w:sz w:val="24"/>
          <w:szCs w:val="24"/>
        </w:rPr>
        <w:t>**********</w:t>
      </w:r>
      <w:r w:rsidRPr="007A6FCD">
        <w:rPr>
          <w:rFonts w:ascii="Arial" w:hAnsi="Arial" w:cs="Arial"/>
          <w:b/>
          <w:sz w:val="24"/>
          <w:szCs w:val="24"/>
        </w:rPr>
        <w:t>,</w:t>
      </w:r>
      <w:r>
        <w:rPr>
          <w:rFonts w:ascii="Arial" w:hAnsi="Arial" w:cs="Arial"/>
          <w:b/>
          <w:sz w:val="24"/>
          <w:szCs w:val="24"/>
        </w:rPr>
        <w:t xml:space="preserve"> </w:t>
      </w:r>
      <w:r w:rsidRPr="007A6FCD">
        <w:rPr>
          <w:rFonts w:ascii="Arial" w:hAnsi="Arial" w:cs="Arial"/>
          <w:bCs/>
          <w:sz w:val="24"/>
          <w:szCs w:val="24"/>
        </w:rPr>
        <w:t>por conducto de su apoderado legal</w:t>
      </w:r>
      <w:r w:rsidRPr="007A6FCD">
        <w:rPr>
          <w:rFonts w:ascii="Arial" w:hAnsi="Arial" w:cs="Arial"/>
          <w:b/>
          <w:sz w:val="24"/>
          <w:szCs w:val="24"/>
        </w:rPr>
        <w:t xml:space="preserve"> </w:t>
      </w:r>
      <w:r>
        <w:rPr>
          <w:rFonts w:cs="Arial"/>
          <w:b/>
          <w:sz w:val="24"/>
          <w:szCs w:val="24"/>
        </w:rPr>
        <w:t>**********</w:t>
      </w:r>
      <w:r w:rsidRPr="007B0581">
        <w:rPr>
          <w:rFonts w:ascii="Arial" w:hAnsi="Arial" w:cs="Arial"/>
          <w:sz w:val="24"/>
          <w:szCs w:val="24"/>
        </w:rPr>
        <w:t>, en contra</w:t>
      </w:r>
      <w:r>
        <w:rPr>
          <w:rFonts w:ascii="Arial" w:hAnsi="Arial" w:cs="Arial"/>
          <w:sz w:val="24"/>
          <w:szCs w:val="24"/>
        </w:rPr>
        <w:t xml:space="preserve"> de la resolución emitida el veinticinco de enero de dos mil veintiuno, dictada dentro del expediente número </w:t>
      </w:r>
      <w:r>
        <w:rPr>
          <w:rFonts w:cs="Arial"/>
          <w:b/>
          <w:sz w:val="24"/>
          <w:szCs w:val="24"/>
        </w:rPr>
        <w:t>**********</w:t>
      </w:r>
      <w:r>
        <w:rPr>
          <w:rFonts w:ascii="Arial" w:hAnsi="Arial" w:cs="Arial"/>
          <w:sz w:val="24"/>
          <w:szCs w:val="24"/>
        </w:rPr>
        <w:t xml:space="preserve"> por el Secretario del Medio Ambiente, Energías y Desarrollo Sustentable del Estado de Oaxaca</w:t>
      </w:r>
      <w:bookmarkStart w:id="0" w:name="_Hlk84505151"/>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bookmarkEnd w:id="0"/>
    <w:p w:rsidR="00DA03DA" w:rsidRDefault="00DA03DA" w:rsidP="00DA03DA">
      <w:pPr>
        <w:contextualSpacing/>
        <w:jc w:val="both"/>
        <w:rPr>
          <w:rFonts w:ascii="Arial" w:hAnsi="Arial" w:cs="Arial"/>
          <w:sz w:val="24"/>
          <w:szCs w:val="24"/>
        </w:rPr>
      </w:pPr>
    </w:p>
    <w:p w:rsidR="00DA03DA" w:rsidRDefault="00DA03DA" w:rsidP="00DA03DA">
      <w:pPr>
        <w:contextualSpacing/>
        <w:jc w:val="both"/>
        <w:rPr>
          <w:rFonts w:ascii="Arial" w:hAnsi="Arial" w:cs="Arial"/>
          <w:sz w:val="24"/>
          <w:szCs w:val="24"/>
        </w:rPr>
      </w:pPr>
    </w:p>
    <w:p w:rsidR="00DA03DA" w:rsidRDefault="00DA03DA" w:rsidP="00DA03DA">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DA03DA" w:rsidRDefault="00DA03DA" w:rsidP="00DA03DA">
      <w:pPr>
        <w:spacing w:line="360" w:lineRule="auto"/>
        <w:ind w:firstLine="708"/>
        <w:jc w:val="center"/>
        <w:rPr>
          <w:rFonts w:ascii="Arial" w:hAnsi="Arial" w:cs="Arial"/>
          <w:b/>
          <w:spacing w:val="-3"/>
          <w:sz w:val="24"/>
          <w:szCs w:val="24"/>
          <w:lang w:val="es-ES_tradnl"/>
        </w:rPr>
      </w:pPr>
    </w:p>
    <w:p w:rsidR="00DA03DA" w:rsidRDefault="00DA03DA" w:rsidP="00DA03DA">
      <w:pPr>
        <w:contextualSpacing/>
        <w:jc w:val="both"/>
        <w:rPr>
          <w:rFonts w:ascii="Arial" w:hAnsi="Arial" w:cs="Arial"/>
          <w:b/>
          <w:spacing w:val="-3"/>
          <w:sz w:val="24"/>
          <w:szCs w:val="24"/>
          <w:lang w:val="es-ES_tradnl"/>
        </w:rPr>
      </w:pPr>
    </w:p>
    <w:p w:rsidR="00DA03DA" w:rsidRDefault="00DA03DA" w:rsidP="00DA03DA">
      <w:pPr>
        <w:spacing w:line="360" w:lineRule="auto"/>
        <w:ind w:firstLine="567"/>
        <w:jc w:val="both"/>
        <w:rPr>
          <w:rFonts w:ascii="Arial" w:hAnsi="Arial" w:cs="Arial"/>
          <w:sz w:val="24"/>
          <w:szCs w:val="24"/>
        </w:rPr>
      </w:pPr>
      <w:r w:rsidRPr="007B0581">
        <w:rPr>
          <w:rFonts w:ascii="Arial" w:hAnsi="Arial" w:cs="Arial"/>
          <w:b/>
          <w:spacing w:val="-3"/>
          <w:sz w:val="24"/>
          <w:szCs w:val="24"/>
          <w:lang w:val="es-ES_tradnl"/>
        </w:rPr>
        <w:t>PRIMERO. -</w:t>
      </w:r>
      <w:r w:rsidRPr="007B0581">
        <w:rPr>
          <w:rFonts w:ascii="Arial" w:hAnsi="Arial" w:cs="Arial"/>
          <w:sz w:val="24"/>
          <w:szCs w:val="24"/>
        </w:rPr>
        <w:t xml:space="preserve"> Mediante escrito recibido el </w:t>
      </w:r>
      <w:r>
        <w:rPr>
          <w:rFonts w:ascii="Arial" w:hAnsi="Arial" w:cs="Arial"/>
          <w:sz w:val="24"/>
          <w:szCs w:val="24"/>
        </w:rPr>
        <w:t>seis de abril de dos mil veintiuno</w:t>
      </w:r>
      <w:r w:rsidRPr="007B0581">
        <w:rPr>
          <w:rFonts w:ascii="Arial" w:hAnsi="Arial" w:cs="Arial"/>
          <w:sz w:val="24"/>
          <w:szCs w:val="24"/>
        </w:rPr>
        <w:t xml:space="preserve">, </w:t>
      </w:r>
      <w:r>
        <w:rPr>
          <w:rFonts w:cs="Arial"/>
          <w:b/>
          <w:sz w:val="24"/>
          <w:szCs w:val="24"/>
        </w:rPr>
        <w:t>**********</w:t>
      </w:r>
      <w:r w:rsidRPr="003017D1">
        <w:rPr>
          <w:rFonts w:ascii="Arial" w:hAnsi="Arial" w:cs="Arial"/>
          <w:bCs/>
          <w:sz w:val="24"/>
          <w:szCs w:val="24"/>
        </w:rPr>
        <w:t>,</w:t>
      </w:r>
      <w:r>
        <w:rPr>
          <w:rFonts w:ascii="Arial" w:hAnsi="Arial" w:cs="Arial"/>
          <w:b/>
          <w:sz w:val="24"/>
          <w:szCs w:val="24"/>
        </w:rPr>
        <w:t xml:space="preserve"> </w:t>
      </w:r>
      <w:r w:rsidRPr="007A6FCD">
        <w:rPr>
          <w:rFonts w:ascii="Arial" w:hAnsi="Arial" w:cs="Arial"/>
          <w:bCs/>
          <w:sz w:val="24"/>
          <w:szCs w:val="24"/>
        </w:rPr>
        <w:t>por conducto de su apoderado legal</w:t>
      </w:r>
      <w:r w:rsidRPr="007A6FCD">
        <w:rPr>
          <w:rFonts w:ascii="Arial" w:hAnsi="Arial" w:cs="Arial"/>
          <w:b/>
          <w:sz w:val="24"/>
          <w:szCs w:val="24"/>
        </w:rPr>
        <w:t xml:space="preserve"> </w:t>
      </w:r>
      <w:r>
        <w:rPr>
          <w:rFonts w:cs="Arial"/>
          <w:b/>
          <w:sz w:val="24"/>
          <w:szCs w:val="24"/>
        </w:rPr>
        <w:t>**********</w:t>
      </w:r>
      <w:r w:rsidRPr="007B0581">
        <w:rPr>
          <w:rFonts w:ascii="Arial" w:hAnsi="Arial" w:cs="Arial"/>
          <w:bCs/>
          <w:sz w:val="24"/>
          <w:szCs w:val="24"/>
          <w:lang w:val="es-MX"/>
        </w:rPr>
        <w:t xml:space="preserve">, </w:t>
      </w:r>
      <w:r w:rsidRPr="007B0581">
        <w:rPr>
          <w:rFonts w:ascii="Arial" w:hAnsi="Arial" w:cs="Arial"/>
          <w:sz w:val="24"/>
          <w:szCs w:val="24"/>
        </w:rPr>
        <w:t xml:space="preserve">demandó la nulidad </w:t>
      </w:r>
      <w:bookmarkStart w:id="1" w:name="_Hlk83725409"/>
      <w:r>
        <w:rPr>
          <w:rFonts w:ascii="Arial" w:hAnsi="Arial" w:cs="Arial"/>
          <w:sz w:val="24"/>
          <w:szCs w:val="24"/>
        </w:rPr>
        <w:t xml:space="preserve">de la resolución emitida el veinticinco de enero de dos mil veintiuno, dictada dentro del expediente número </w:t>
      </w:r>
      <w:r>
        <w:rPr>
          <w:rFonts w:cs="Arial"/>
          <w:b/>
          <w:sz w:val="24"/>
          <w:szCs w:val="24"/>
        </w:rPr>
        <w:t>**********</w:t>
      </w:r>
      <w:r>
        <w:rPr>
          <w:rFonts w:ascii="Arial" w:hAnsi="Arial" w:cs="Arial"/>
          <w:sz w:val="24"/>
          <w:szCs w:val="24"/>
        </w:rPr>
        <w:t>, por el Secretario del Medio Ambiente, Energías y Desarrollo Sustentable del Estado de Oaxaca</w:t>
      </w:r>
      <w:r w:rsidRPr="007B0581">
        <w:rPr>
          <w:rFonts w:ascii="Arial" w:hAnsi="Arial" w:cs="Arial"/>
          <w:sz w:val="24"/>
          <w:szCs w:val="24"/>
        </w:rPr>
        <w:t xml:space="preserve">. </w:t>
      </w:r>
    </w:p>
    <w:p w:rsidR="00DA03DA" w:rsidRPr="007B0581" w:rsidRDefault="00DA03DA" w:rsidP="00DA03DA">
      <w:pPr>
        <w:spacing w:line="360" w:lineRule="auto"/>
        <w:jc w:val="both"/>
        <w:rPr>
          <w:rFonts w:ascii="Arial" w:hAnsi="Arial" w:cs="Arial"/>
          <w:sz w:val="24"/>
          <w:szCs w:val="24"/>
        </w:rPr>
      </w:pPr>
    </w:p>
    <w:bookmarkEnd w:id="1"/>
    <w:p w:rsidR="00DA03DA" w:rsidRDefault="00DA03DA" w:rsidP="00DA03DA">
      <w:pPr>
        <w:spacing w:line="360" w:lineRule="auto"/>
        <w:ind w:firstLine="567"/>
        <w:jc w:val="both"/>
        <w:rPr>
          <w:rFonts w:cs="Arial"/>
          <w:bCs/>
          <w:sz w:val="24"/>
          <w:szCs w:val="24"/>
        </w:rPr>
      </w:pPr>
      <w:r w:rsidRPr="007B0581">
        <w:rPr>
          <w:rFonts w:ascii="Arial" w:hAnsi="Arial" w:cs="Arial"/>
          <w:b/>
          <w:sz w:val="24"/>
          <w:szCs w:val="24"/>
        </w:rPr>
        <w:t>SEGUNDO. -</w:t>
      </w:r>
      <w:r w:rsidRPr="007B0581">
        <w:rPr>
          <w:rFonts w:ascii="Arial" w:hAnsi="Arial" w:cs="Arial"/>
          <w:sz w:val="24"/>
          <w:szCs w:val="24"/>
        </w:rPr>
        <w:t xml:space="preserve"> </w:t>
      </w:r>
      <w:r>
        <w:rPr>
          <w:rFonts w:ascii="Arial" w:hAnsi="Arial" w:cs="Arial"/>
          <w:sz w:val="24"/>
          <w:szCs w:val="24"/>
        </w:rPr>
        <w:t>Por acuerdo de ocho de abril de dos mil veintiuno,</w:t>
      </w:r>
      <w:r w:rsidRPr="007B0581">
        <w:rPr>
          <w:rFonts w:ascii="Arial" w:hAnsi="Arial" w:cs="Arial"/>
          <w:sz w:val="24"/>
          <w:szCs w:val="24"/>
        </w:rPr>
        <w:t xml:space="preserve"> se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w:t>
      </w:r>
      <w:r w:rsidRPr="007B0581">
        <w:rPr>
          <w:rFonts w:ascii="Arial" w:hAnsi="Arial" w:cs="Arial"/>
          <w:sz w:val="24"/>
          <w:szCs w:val="24"/>
        </w:rPr>
        <w:lastRenderedPageBreak/>
        <w:t>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w:t>
      </w:r>
      <w:r>
        <w:rPr>
          <w:rFonts w:ascii="Arial" w:hAnsi="Arial" w:cs="Arial"/>
          <w:sz w:val="24"/>
          <w:szCs w:val="24"/>
        </w:rPr>
        <w:t xml:space="preserve"> </w:t>
      </w:r>
      <w:r w:rsidRPr="007B0581">
        <w:rPr>
          <w:rFonts w:cs="Arial"/>
          <w:bCs/>
          <w:sz w:val="24"/>
          <w:szCs w:val="24"/>
        </w:rPr>
        <w:tab/>
      </w:r>
    </w:p>
    <w:p w:rsidR="00DA03DA" w:rsidRPr="007B0581" w:rsidRDefault="00DA03DA" w:rsidP="00DA03DA">
      <w:pPr>
        <w:spacing w:line="360" w:lineRule="auto"/>
        <w:ind w:firstLine="567"/>
        <w:jc w:val="both"/>
        <w:rPr>
          <w:rFonts w:cs="Arial"/>
          <w:bCs/>
          <w:sz w:val="24"/>
          <w:szCs w:val="24"/>
        </w:rPr>
      </w:pPr>
    </w:p>
    <w:p w:rsidR="00DA03DA" w:rsidRDefault="00DA03DA" w:rsidP="00DA03DA">
      <w:pPr>
        <w:pStyle w:val="corte4fondo"/>
        <w:ind w:right="51" w:firstLine="567"/>
        <w:rPr>
          <w:rFonts w:cs="Arial"/>
          <w:sz w:val="24"/>
          <w:szCs w:val="24"/>
        </w:rPr>
      </w:pPr>
      <w:r>
        <w:rPr>
          <w:rFonts w:cs="Arial"/>
          <w:b/>
          <w:bCs/>
          <w:sz w:val="24"/>
          <w:szCs w:val="24"/>
        </w:rPr>
        <w:t>TERCERO</w:t>
      </w:r>
      <w:r w:rsidRPr="007B0581">
        <w:rPr>
          <w:rFonts w:cs="Arial"/>
          <w:bCs/>
          <w:sz w:val="24"/>
          <w:szCs w:val="24"/>
        </w:rPr>
        <w:t xml:space="preserve">. - Por acuerdo de </w:t>
      </w:r>
      <w:r>
        <w:rPr>
          <w:rFonts w:cs="Arial"/>
          <w:bCs/>
          <w:sz w:val="24"/>
          <w:szCs w:val="24"/>
        </w:rPr>
        <w:t>once de mayo de dos mil veintiuno</w:t>
      </w:r>
      <w:r w:rsidRPr="007B0581">
        <w:rPr>
          <w:rFonts w:cs="Arial"/>
          <w:bCs/>
          <w:sz w:val="24"/>
          <w:szCs w:val="24"/>
        </w:rPr>
        <w:t xml:space="preserve">, </w:t>
      </w:r>
      <w:r>
        <w:rPr>
          <w:rFonts w:cs="Arial"/>
          <w:sz w:val="24"/>
          <w:szCs w:val="24"/>
        </w:rPr>
        <w:t>se tuvo por sí, a la Encargada del Despacho de la Secretaría del Medio Ambiente, energías y Desarrollo Sustentable,</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w:t>
      </w:r>
      <w:r>
        <w:rPr>
          <w:rFonts w:cs="Arial"/>
          <w:sz w:val="24"/>
          <w:szCs w:val="24"/>
        </w:rPr>
        <w:t xml:space="preserve">. Asimismo, se les hizo efectivo a las restantes autoridades demandadas el apercibimiento contenido en proveído de ocho de abril de dos mil veintiuno, teniéndoseles por precluído su derecho y contestando la demanda en sentido afirmativo, salvo prueba en contrario, </w:t>
      </w:r>
      <w:r w:rsidRPr="007B0581">
        <w:rPr>
          <w:rFonts w:cs="Arial"/>
          <w:sz w:val="24"/>
          <w:szCs w:val="24"/>
        </w:rPr>
        <w:t xml:space="preserve">ordenándose correr traslado a la parte </w:t>
      </w:r>
      <w:bookmarkStart w:id="2" w:name="_GoBack"/>
      <w:r w:rsidRPr="007B0581">
        <w:rPr>
          <w:rFonts w:cs="Arial"/>
          <w:sz w:val="24"/>
          <w:szCs w:val="24"/>
        </w:rPr>
        <w:t>actor</w:t>
      </w:r>
      <w:bookmarkEnd w:id="2"/>
      <w:r w:rsidRPr="007B0581">
        <w:rPr>
          <w:rFonts w:cs="Arial"/>
          <w:sz w:val="24"/>
          <w:szCs w:val="24"/>
        </w:rPr>
        <w:t>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xml:space="preserve">. </w:t>
      </w:r>
    </w:p>
    <w:p w:rsidR="00DA03DA" w:rsidRDefault="00DA03DA" w:rsidP="00DA03DA">
      <w:pPr>
        <w:pStyle w:val="corte4fondo"/>
        <w:ind w:right="51" w:firstLine="567"/>
        <w:rPr>
          <w:rFonts w:cs="Arial"/>
          <w:sz w:val="24"/>
          <w:szCs w:val="24"/>
        </w:rPr>
      </w:pPr>
    </w:p>
    <w:p w:rsidR="00DA03DA" w:rsidRDefault="00DA03DA" w:rsidP="00DA03DA">
      <w:pPr>
        <w:pStyle w:val="corte4fondo"/>
        <w:ind w:right="51" w:firstLine="567"/>
        <w:rPr>
          <w:rFonts w:cs="Arial"/>
          <w:sz w:val="24"/>
          <w:szCs w:val="24"/>
        </w:rPr>
      </w:pPr>
      <w:r>
        <w:rPr>
          <w:rFonts w:cs="Arial"/>
          <w:b/>
          <w:sz w:val="24"/>
          <w:szCs w:val="24"/>
        </w:rPr>
        <w:t>CUARTO</w:t>
      </w:r>
      <w:r w:rsidRPr="003812EF">
        <w:rPr>
          <w:rFonts w:cs="Arial"/>
          <w:b/>
          <w:sz w:val="24"/>
          <w:szCs w:val="24"/>
        </w:rPr>
        <w:t>. -</w:t>
      </w:r>
      <w:r>
        <w:rPr>
          <w:rFonts w:cs="Arial"/>
          <w:sz w:val="24"/>
          <w:szCs w:val="24"/>
        </w:rPr>
        <w:t xml:space="preserve"> Por acuerdo de ocho de junio de dos mil veintiuno, se tuvo al Jefe de la Unidad Jurídica de la Secretaría del Medio Ambiente, Energía y Desarrollo Sustentable en representación de la Encargada del Despacho de la Misma dependencia, interponiendo Recurso de Revisión en contra del proveído de once de mayo de dos mil veintiuno. </w:t>
      </w:r>
    </w:p>
    <w:p w:rsidR="00DA03DA" w:rsidRDefault="00DA03DA" w:rsidP="00DA03DA">
      <w:pPr>
        <w:pStyle w:val="corte4fondo"/>
        <w:ind w:right="51" w:firstLine="567"/>
        <w:rPr>
          <w:rFonts w:cs="Arial"/>
          <w:sz w:val="24"/>
          <w:szCs w:val="24"/>
        </w:rPr>
      </w:pPr>
    </w:p>
    <w:p w:rsidR="00DA03DA" w:rsidRDefault="00DA03DA" w:rsidP="00DA03DA">
      <w:pPr>
        <w:pStyle w:val="corte4fondo"/>
        <w:ind w:right="51" w:firstLine="567"/>
        <w:rPr>
          <w:rFonts w:cs="Arial"/>
          <w:sz w:val="24"/>
          <w:szCs w:val="24"/>
        </w:rPr>
      </w:pPr>
      <w:r>
        <w:rPr>
          <w:rFonts w:cs="Arial"/>
          <w:b/>
          <w:bCs/>
          <w:sz w:val="24"/>
          <w:szCs w:val="24"/>
        </w:rPr>
        <w:t>QUINTO</w:t>
      </w:r>
      <w:r w:rsidRPr="00D313E2">
        <w:rPr>
          <w:rFonts w:cs="Arial"/>
          <w:b/>
          <w:bCs/>
          <w:sz w:val="24"/>
          <w:szCs w:val="24"/>
        </w:rPr>
        <w:t xml:space="preserve">. </w:t>
      </w:r>
      <w:r>
        <w:rPr>
          <w:rFonts w:cs="Arial"/>
          <w:b/>
          <w:bCs/>
          <w:sz w:val="24"/>
          <w:szCs w:val="24"/>
        </w:rPr>
        <w:t>–</w:t>
      </w:r>
      <w:r>
        <w:rPr>
          <w:rFonts w:cs="Arial"/>
          <w:sz w:val="24"/>
          <w:szCs w:val="24"/>
        </w:rPr>
        <w:t xml:space="preserve"> Por acuerdo de dos de junio de dos mil veintidós, se recibió en esta Quinta Sala de Primera Instancia, copia certificada de la resolución de veinticuatro de marzo de dos mil veintidós, dictada por los Magistrados Integrantes de la Sala Superior de este órgano jurisdiccional en el recurso de revisión 0167/2021 por la que se confirmó el acuerdo recurrido, y toda vez que no promovió juicio alguno, causó ejecutoria la misma, asimismo se señalaron las ONCE HORAS del día QUINCE DE JULIO DE DOS MIL VEINTIDÓS, para la celebración de la audiencia final. </w:t>
      </w:r>
    </w:p>
    <w:p w:rsidR="00DA03DA" w:rsidRDefault="00DA03DA" w:rsidP="00DA03DA">
      <w:pPr>
        <w:pStyle w:val="corte4fondo"/>
        <w:ind w:right="51" w:firstLine="567"/>
        <w:rPr>
          <w:rFonts w:cs="Arial"/>
          <w:sz w:val="24"/>
          <w:szCs w:val="24"/>
        </w:rPr>
      </w:pPr>
    </w:p>
    <w:p w:rsidR="00DA03DA" w:rsidRDefault="00DA03DA" w:rsidP="00DA03DA">
      <w:pPr>
        <w:pStyle w:val="corte4fondo"/>
        <w:ind w:right="51" w:firstLine="567"/>
        <w:rPr>
          <w:rFonts w:cs="Arial"/>
          <w:sz w:val="24"/>
          <w:szCs w:val="24"/>
          <w:lang w:val="es-ES"/>
        </w:rPr>
      </w:pPr>
      <w:r w:rsidRPr="00FB1E59">
        <w:rPr>
          <w:rFonts w:cs="Arial"/>
          <w:b/>
          <w:bCs/>
          <w:sz w:val="24"/>
          <w:szCs w:val="24"/>
          <w:lang w:val="es-ES"/>
        </w:rPr>
        <w:t>S</w:t>
      </w:r>
      <w:r>
        <w:rPr>
          <w:rFonts w:cs="Arial"/>
          <w:b/>
          <w:bCs/>
          <w:sz w:val="24"/>
          <w:szCs w:val="24"/>
          <w:lang w:val="es-ES"/>
        </w:rPr>
        <w:t>EXTO</w:t>
      </w:r>
      <w:r w:rsidRPr="00FB1E59">
        <w:rPr>
          <w:rFonts w:cs="Arial"/>
          <w:b/>
          <w:bCs/>
          <w:sz w:val="24"/>
          <w:szCs w:val="24"/>
          <w:lang w:val="es-ES"/>
        </w:rPr>
        <w:t xml:space="preserve">. </w:t>
      </w:r>
      <w:r>
        <w:rPr>
          <w:rFonts w:cs="Arial"/>
          <w:b/>
          <w:bCs/>
          <w:sz w:val="24"/>
          <w:szCs w:val="24"/>
          <w:lang w:val="es-ES"/>
        </w:rPr>
        <w:t>–</w:t>
      </w:r>
      <w:r>
        <w:rPr>
          <w:rFonts w:cs="Arial"/>
          <w:sz w:val="24"/>
          <w:szCs w:val="24"/>
          <w:lang w:val="es-ES"/>
        </w:rPr>
        <w:t xml:space="preserve"> Por acuerdo de nueve de agosto de dos mil veintidós, se hizo del conocimiento de las partes que no fue posible celebrar la audiencia final señalada para el día quince de julio de dos mil veintidós, en razón que en la fecha señalada fueron suspendidas las actividades de este órgano jurisdiccional. Asimismo, se señalaron las ONCE HORAS del día SEIS DE SEPTIEMBRE DE DOS MIL VEINTIDÓS, para la celebración de la audiencia final.</w:t>
      </w:r>
    </w:p>
    <w:p w:rsidR="00DA03DA" w:rsidRDefault="00DA03DA" w:rsidP="00DA03DA">
      <w:pPr>
        <w:pStyle w:val="corte4fondo"/>
        <w:ind w:right="51" w:firstLine="567"/>
        <w:rPr>
          <w:rFonts w:cs="Arial"/>
          <w:sz w:val="24"/>
          <w:szCs w:val="24"/>
          <w:lang w:val="es-ES"/>
        </w:rPr>
      </w:pPr>
    </w:p>
    <w:p w:rsidR="00DA03DA" w:rsidRPr="00664FA8" w:rsidRDefault="00DA03DA" w:rsidP="00DA03DA">
      <w:pPr>
        <w:pStyle w:val="corte4fondo"/>
        <w:ind w:right="51" w:firstLine="567"/>
        <w:rPr>
          <w:rFonts w:cs="Arial"/>
          <w:sz w:val="24"/>
          <w:szCs w:val="24"/>
          <w:lang w:val="es-ES"/>
        </w:rPr>
      </w:pPr>
      <w:r w:rsidRPr="00833E51">
        <w:rPr>
          <w:rFonts w:cs="Arial"/>
          <w:b/>
          <w:bCs/>
          <w:sz w:val="24"/>
          <w:szCs w:val="24"/>
          <w:lang w:val="es-ES"/>
        </w:rPr>
        <w:t>SÉPTIMO. -</w:t>
      </w:r>
      <w:r>
        <w:rPr>
          <w:rFonts w:cs="Arial"/>
          <w:sz w:val="24"/>
          <w:szCs w:val="24"/>
          <w:lang w:val="es-ES"/>
        </w:rPr>
        <w:t xml:space="preserve"> </w:t>
      </w:r>
      <w:r w:rsidRPr="007B0581">
        <w:rPr>
          <w:rFonts w:cs="Arial"/>
          <w:sz w:val="24"/>
          <w:szCs w:val="24"/>
          <w:lang w:val="es-ES"/>
        </w:rPr>
        <w:t xml:space="preserve">El </w:t>
      </w:r>
      <w:r>
        <w:rPr>
          <w:rFonts w:cs="Arial"/>
          <w:sz w:val="24"/>
          <w:szCs w:val="24"/>
          <w:lang w:val="es-ES"/>
        </w:rPr>
        <w:t>seis de septiembre de dos mil veintidós</w:t>
      </w:r>
      <w:r w:rsidRPr="007B0581">
        <w:rPr>
          <w:rFonts w:cs="Arial"/>
          <w:bCs/>
          <w:sz w:val="24"/>
          <w:szCs w:val="24"/>
          <w:lang w:val="es-ES"/>
        </w:rPr>
        <w:t xml:space="preserve">, se llevó a cabo la audiencia final, </w:t>
      </w:r>
      <w:r>
        <w:rPr>
          <w:rFonts w:cs="Arial"/>
          <w:sz w:val="24"/>
          <w:szCs w:val="24"/>
          <w:lang w:val="es-ES"/>
        </w:rPr>
        <w:t>con</w:t>
      </w:r>
      <w:r w:rsidRPr="00F11AF4">
        <w:rPr>
          <w:rFonts w:cs="Arial"/>
          <w:sz w:val="24"/>
          <w:szCs w:val="24"/>
          <w:lang w:val="es-ES"/>
        </w:rPr>
        <w:t xml:space="preserve"> la asistencia de</w:t>
      </w:r>
      <w:r>
        <w:rPr>
          <w:rFonts w:cs="Arial"/>
          <w:sz w:val="24"/>
          <w:szCs w:val="24"/>
          <w:lang w:val="es-ES"/>
        </w:rPr>
        <w:t>l Apoderado Legal de la</w:t>
      </w:r>
      <w:r w:rsidRPr="00F11AF4">
        <w:rPr>
          <w:rFonts w:cs="Arial"/>
          <w:sz w:val="24"/>
          <w:szCs w:val="24"/>
          <w:lang w:val="es-ES"/>
        </w:rPr>
        <w:t xml:space="preserve"> parte</w:t>
      </w:r>
      <w:r>
        <w:rPr>
          <w:rFonts w:cs="Arial"/>
          <w:sz w:val="24"/>
          <w:szCs w:val="24"/>
          <w:lang w:val="es-ES"/>
        </w:rPr>
        <w:t xml:space="preserve"> actora, quien en uso de la voz manifestó que se le tomaran en consideración los alegatos que presentó por escrito</w:t>
      </w:r>
      <w:r w:rsidRPr="00F11AF4">
        <w:rPr>
          <w:rFonts w:cs="Arial"/>
          <w:sz w:val="24"/>
          <w:szCs w:val="24"/>
          <w:lang w:val="es-ES"/>
        </w:rPr>
        <w:t xml:space="preserve">, </w:t>
      </w:r>
      <w:r w:rsidRPr="00F11AF4">
        <w:rPr>
          <w:rFonts w:cs="Arial"/>
          <w:sz w:val="24"/>
          <w:szCs w:val="24"/>
        </w:rPr>
        <w:t xml:space="preserve">asentando la Secretaria de Acuerdos de esta Sala, que </w:t>
      </w:r>
      <w:r>
        <w:rPr>
          <w:rFonts w:cs="Arial"/>
          <w:sz w:val="24"/>
          <w:szCs w:val="24"/>
        </w:rPr>
        <w:t xml:space="preserve">la </w:t>
      </w:r>
      <w:r>
        <w:rPr>
          <w:rFonts w:cs="Arial"/>
          <w:sz w:val="24"/>
          <w:szCs w:val="24"/>
        </w:rPr>
        <w:lastRenderedPageBreak/>
        <w:t>demandada formuló</w:t>
      </w:r>
      <w:r w:rsidRPr="00F11AF4">
        <w:rPr>
          <w:rFonts w:cs="Arial"/>
          <w:sz w:val="24"/>
          <w:szCs w:val="24"/>
        </w:rPr>
        <w:t xml:space="preserve"> alegatos por escrito,</w:t>
      </w:r>
      <w:r w:rsidRPr="00402863">
        <w:rPr>
          <w:rFonts w:cs="Arial"/>
          <w:sz w:val="24"/>
          <w:szCs w:val="24"/>
        </w:rPr>
        <w:t xml:space="preserve">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DA03DA" w:rsidRPr="007B0581" w:rsidRDefault="00DA03DA" w:rsidP="00DA03DA">
      <w:pPr>
        <w:pStyle w:val="corte4fondo"/>
        <w:ind w:right="51" w:firstLine="567"/>
        <w:rPr>
          <w:rFonts w:cs="Arial"/>
          <w:b/>
          <w:spacing w:val="-3"/>
          <w:sz w:val="24"/>
          <w:szCs w:val="24"/>
        </w:rPr>
      </w:pPr>
    </w:p>
    <w:p w:rsidR="00DA03DA" w:rsidRPr="007B0581" w:rsidRDefault="00DA03DA" w:rsidP="00DA03DA">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DA03DA" w:rsidRDefault="00DA03DA" w:rsidP="00DA03DA">
      <w:pPr>
        <w:pStyle w:val="corte4fondo"/>
        <w:spacing w:line="240" w:lineRule="auto"/>
        <w:ind w:right="51" w:firstLine="567"/>
        <w:contextualSpacing/>
        <w:rPr>
          <w:rFonts w:cs="Arial"/>
          <w:bCs/>
          <w:sz w:val="24"/>
          <w:szCs w:val="24"/>
        </w:rPr>
      </w:pPr>
    </w:p>
    <w:p w:rsidR="00DA03DA" w:rsidRDefault="00DA03DA" w:rsidP="00DA03DA">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con fundamento en el artículo 114 QUATER, párrafo primero, inciso B</w:t>
      </w:r>
      <w:r w:rsidRPr="004911BE">
        <w:rPr>
          <w:rFonts w:ascii="Arial" w:hAnsi="Arial" w:cs="Arial"/>
          <w:sz w:val="24"/>
          <w:szCs w:val="24"/>
        </w:rPr>
        <w:t>, fracción VI</w:t>
      </w:r>
      <w:r w:rsidRPr="00E85A31">
        <w:rPr>
          <w:rFonts w:ascii="Arial" w:hAnsi="Arial" w:cs="Arial"/>
          <w:sz w:val="24"/>
          <w:szCs w:val="24"/>
        </w:rPr>
        <w:t xml:space="preserve"> de</w:t>
      </w:r>
      <w:r w:rsidRPr="007B0581">
        <w:rPr>
          <w:rFonts w:ascii="Arial" w:hAnsi="Arial" w:cs="Arial"/>
          <w:sz w:val="24"/>
          <w:szCs w:val="24"/>
        </w:rPr>
        <w:t xml:space="preserve"> la Constitución Política del Estado Libre y Soberano de Oaxaca; 120, fracción I, 132 fracciones I y II, 133 </w:t>
      </w:r>
      <w:r w:rsidRPr="00F31EFC">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DA03DA" w:rsidRPr="007B0581" w:rsidRDefault="00DA03DA" w:rsidP="00DA03DA">
      <w:pPr>
        <w:spacing w:line="360" w:lineRule="auto"/>
        <w:ind w:hanging="426"/>
        <w:jc w:val="both"/>
        <w:rPr>
          <w:rFonts w:ascii="Arial" w:hAnsi="Arial" w:cs="Arial"/>
          <w:sz w:val="24"/>
          <w:szCs w:val="24"/>
        </w:rPr>
      </w:pPr>
    </w:p>
    <w:p w:rsidR="00DA03DA" w:rsidRPr="007B0581" w:rsidRDefault="00DA03DA" w:rsidP="00DA03DA">
      <w:pPr>
        <w:spacing w:line="360" w:lineRule="auto"/>
        <w:jc w:val="both"/>
        <w:rPr>
          <w:rFonts w:ascii="Arial" w:hAnsi="Arial" w:cs="Arial"/>
          <w:sz w:val="24"/>
          <w:szCs w:val="24"/>
        </w:rPr>
      </w:pPr>
      <w:r w:rsidRPr="007B0581">
        <w:rPr>
          <w:rFonts w:ascii="Arial" w:hAnsi="Arial" w:cs="Arial"/>
          <w:sz w:val="24"/>
          <w:szCs w:val="24"/>
        </w:rPr>
        <w:t xml:space="preserve"> </w:t>
      </w: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w:t>
      </w:r>
      <w:r w:rsidRPr="007B0581">
        <w:rPr>
          <w:rFonts w:ascii="Arial" w:hAnsi="Arial" w:cs="Arial"/>
          <w:sz w:val="24"/>
          <w:szCs w:val="24"/>
        </w:rPr>
        <w:t xml:space="preserve"> actor promueve </w:t>
      </w:r>
      <w:r>
        <w:rPr>
          <w:rFonts w:ascii="Arial" w:hAnsi="Arial" w:cs="Arial"/>
          <w:sz w:val="24"/>
          <w:szCs w:val="24"/>
        </w:rPr>
        <w:t xml:space="preserve">en términos del instrumento notarial número veintisiete mil ochocientos catorce, pasado ante la fe del Notario Público </w:t>
      </w:r>
      <w:r w:rsidR="00B4550D">
        <w:rPr>
          <w:rFonts w:cs="Arial"/>
          <w:b/>
          <w:sz w:val="24"/>
          <w:szCs w:val="24"/>
        </w:rPr>
        <w:t>**********</w:t>
      </w:r>
      <w:r w:rsidR="00B4550D">
        <w:rPr>
          <w:rFonts w:cs="Arial"/>
          <w:b/>
          <w:sz w:val="24"/>
          <w:szCs w:val="24"/>
        </w:rPr>
        <w:t xml:space="preserve"> </w:t>
      </w:r>
      <w:r>
        <w:rPr>
          <w:rFonts w:ascii="Arial" w:hAnsi="Arial" w:cs="Arial"/>
          <w:sz w:val="24"/>
          <w:szCs w:val="24"/>
        </w:rPr>
        <w:t xml:space="preserve">del Distrito Federal </w:t>
      </w:r>
      <w:r w:rsidRPr="007B0581">
        <w:rPr>
          <w:rFonts w:ascii="Arial" w:hAnsi="Arial" w:cs="Arial"/>
          <w:sz w:val="24"/>
          <w:szCs w:val="24"/>
        </w:rPr>
        <w:t xml:space="preserve">y </w:t>
      </w:r>
      <w:r>
        <w:rPr>
          <w:rFonts w:ascii="Arial" w:hAnsi="Arial" w:cs="Arial"/>
          <w:sz w:val="24"/>
          <w:szCs w:val="24"/>
        </w:rPr>
        <w:t>la de la autoridad demandada en términos</w:t>
      </w:r>
      <w:r w:rsidRPr="007B0581">
        <w:rPr>
          <w:rFonts w:ascii="Arial" w:hAnsi="Arial" w:cs="Arial"/>
          <w:sz w:val="24"/>
          <w:szCs w:val="24"/>
        </w:rPr>
        <w:t xml:space="preserve"> </w:t>
      </w:r>
      <w:r>
        <w:rPr>
          <w:rFonts w:ascii="Arial" w:hAnsi="Arial" w:cs="Arial"/>
          <w:sz w:val="24"/>
          <w:szCs w:val="24"/>
        </w:rPr>
        <w:t>de</w:t>
      </w:r>
      <w:r w:rsidRPr="007B0581">
        <w:rPr>
          <w:rFonts w:ascii="Arial" w:hAnsi="Arial" w:cs="Arial"/>
          <w:sz w:val="24"/>
          <w:szCs w:val="24"/>
        </w:rPr>
        <w:t xml:space="preserve"> lo establecido en</w:t>
      </w:r>
      <w:r>
        <w:rPr>
          <w:rFonts w:ascii="Arial" w:hAnsi="Arial" w:cs="Arial"/>
          <w:sz w:val="24"/>
          <w:szCs w:val="24"/>
        </w:rPr>
        <w:t xml:space="preserve"> los artículos 148 y</w:t>
      </w:r>
      <w:r w:rsidRPr="007B0581">
        <w:rPr>
          <w:rFonts w:ascii="Arial" w:hAnsi="Arial" w:cs="Arial"/>
          <w:sz w:val="24"/>
          <w:szCs w:val="24"/>
        </w:rPr>
        <w:t xml:space="preserve"> </w:t>
      </w:r>
      <w:r>
        <w:rPr>
          <w:rFonts w:ascii="Arial" w:hAnsi="Arial" w:cs="Arial"/>
          <w:sz w:val="24"/>
          <w:szCs w:val="24"/>
        </w:rPr>
        <w:t>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DA03DA" w:rsidRPr="007B0581" w:rsidRDefault="00DA03DA" w:rsidP="00DA03DA">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DA03DA" w:rsidRDefault="00DA03DA" w:rsidP="00DA03DA">
      <w:pPr>
        <w:pStyle w:val="corte4fondo"/>
        <w:ind w:right="51" w:firstLine="567"/>
        <w:rPr>
          <w:rFonts w:cs="Arial"/>
          <w:sz w:val="24"/>
          <w:szCs w:val="24"/>
        </w:rPr>
      </w:pPr>
      <w:r w:rsidRPr="007B0581">
        <w:rPr>
          <w:rFonts w:cs="Arial"/>
          <w:sz w:val="24"/>
          <w:szCs w:val="24"/>
        </w:rPr>
        <w:tab/>
      </w:r>
      <w:r w:rsidRPr="00106777">
        <w:rPr>
          <w:rFonts w:cs="Arial"/>
          <w:b/>
          <w:sz w:val="24"/>
          <w:szCs w:val="24"/>
        </w:rPr>
        <w:t>TERCERO.-</w:t>
      </w:r>
      <w:r w:rsidRPr="007B0581">
        <w:rPr>
          <w:rFonts w:cs="Arial"/>
          <w:sz w:val="24"/>
          <w:szCs w:val="24"/>
        </w:rPr>
        <w:t xml:space="preserve"> </w:t>
      </w:r>
      <w:r w:rsidRPr="00D4142D">
        <w:rPr>
          <w:rFonts w:cs="Arial"/>
          <w:sz w:val="24"/>
          <w:szCs w:val="24"/>
        </w:rPr>
        <w:t xml:space="preserve">Esta Sala </w:t>
      </w:r>
      <w:r w:rsidRPr="00D4142D">
        <w:rPr>
          <w:rFonts w:cs="Arial"/>
          <w:bCs/>
          <w:sz w:val="24"/>
          <w:szCs w:val="24"/>
        </w:rPr>
        <w:t>previo al estudio de fondo del asunto procede analizar, sí en la especie se actualiza alguna causal de improcedencia del juicio de nulidad, ya sea invocada por las partes o bien, alguna que se advierta oficiosamente,</w:t>
      </w:r>
      <w:r>
        <w:rPr>
          <w:rFonts w:cs="Arial"/>
          <w:bCs/>
          <w:sz w:val="24"/>
          <w:szCs w:val="24"/>
        </w:rPr>
        <w:t xml:space="preserve"> en ese sentido </w:t>
      </w:r>
      <w:r w:rsidRPr="00D62161">
        <w:rPr>
          <w:rFonts w:cs="Arial"/>
          <w:b/>
          <w:sz w:val="24"/>
          <w:szCs w:val="24"/>
        </w:rPr>
        <w:t>SE SOBRESEE</w:t>
      </w:r>
      <w:r>
        <w:rPr>
          <w:rFonts w:cs="Arial"/>
          <w:b/>
          <w:sz w:val="24"/>
          <w:szCs w:val="24"/>
        </w:rPr>
        <w:t xml:space="preserve"> EN</w:t>
      </w:r>
      <w:r w:rsidRPr="00D62161">
        <w:rPr>
          <w:rFonts w:cs="Arial"/>
          <w:b/>
          <w:sz w:val="24"/>
          <w:szCs w:val="24"/>
        </w:rPr>
        <w:t xml:space="preserve"> EL JUICIO</w:t>
      </w:r>
      <w:r>
        <w:rPr>
          <w:rFonts w:cs="Arial"/>
          <w:bCs/>
          <w:sz w:val="24"/>
          <w:szCs w:val="24"/>
        </w:rPr>
        <w:t xml:space="preserve"> por lo que hace únicamente a las autoridades demandadas, Subsecretaría de Normatividad Ecológica y Gestión Ambiental, Dirección de Protección Ambiental y Departamento de Procedimientos Administrativos, autoridades de la Secretaría del Medio Ambiente, Energías y Desarrollo Sustentable del Estado de Oaxaca</w:t>
      </w:r>
      <w:r>
        <w:rPr>
          <w:rFonts w:cs="Arial"/>
          <w:sz w:val="24"/>
          <w:szCs w:val="24"/>
        </w:rPr>
        <w:t xml:space="preserve">, en virtud que no son parte en el presente asunto, dado que no </w:t>
      </w:r>
      <w:r w:rsidRPr="000508C0">
        <w:rPr>
          <w:rFonts w:eastAsiaTheme="minorHAnsi" w:cs="Arial"/>
          <w:sz w:val="24"/>
          <w:szCs w:val="24"/>
          <w:lang w:val="es-MX" w:eastAsia="en-US"/>
        </w:rPr>
        <w:t>dict</w:t>
      </w:r>
      <w:r>
        <w:rPr>
          <w:rFonts w:eastAsiaTheme="minorHAnsi" w:cs="Arial"/>
          <w:sz w:val="24"/>
          <w:szCs w:val="24"/>
          <w:lang w:val="es-MX" w:eastAsia="en-US"/>
        </w:rPr>
        <w:t>aron</w:t>
      </w:r>
      <w:r w:rsidRPr="000508C0">
        <w:rPr>
          <w:rFonts w:eastAsiaTheme="minorHAnsi" w:cs="Arial"/>
          <w:sz w:val="24"/>
          <w:szCs w:val="24"/>
          <w:lang w:val="es-MX" w:eastAsia="en-US"/>
        </w:rPr>
        <w:t>, orden</w:t>
      </w:r>
      <w:r>
        <w:rPr>
          <w:rFonts w:eastAsiaTheme="minorHAnsi" w:cs="Arial"/>
          <w:sz w:val="24"/>
          <w:szCs w:val="24"/>
          <w:lang w:val="es-MX" w:eastAsia="en-US"/>
        </w:rPr>
        <w:t>aron</w:t>
      </w:r>
      <w:r w:rsidRPr="000508C0">
        <w:rPr>
          <w:rFonts w:eastAsiaTheme="minorHAnsi" w:cs="Arial"/>
          <w:sz w:val="24"/>
          <w:szCs w:val="24"/>
          <w:lang w:val="es-MX" w:eastAsia="en-US"/>
        </w:rPr>
        <w:t>, ejecut</w:t>
      </w:r>
      <w:r>
        <w:rPr>
          <w:rFonts w:eastAsiaTheme="minorHAnsi" w:cs="Arial"/>
          <w:sz w:val="24"/>
          <w:szCs w:val="24"/>
          <w:lang w:val="es-MX" w:eastAsia="en-US"/>
        </w:rPr>
        <w:t>aron</w:t>
      </w:r>
      <w:r w:rsidRPr="000508C0">
        <w:rPr>
          <w:rFonts w:eastAsiaTheme="minorHAnsi" w:cs="Arial"/>
          <w:sz w:val="24"/>
          <w:szCs w:val="24"/>
          <w:lang w:val="es-MX" w:eastAsia="en-US"/>
        </w:rPr>
        <w:t xml:space="preserve"> o trat</w:t>
      </w:r>
      <w:r>
        <w:rPr>
          <w:rFonts w:eastAsiaTheme="minorHAnsi" w:cs="Arial"/>
          <w:sz w:val="24"/>
          <w:szCs w:val="24"/>
          <w:lang w:val="es-MX" w:eastAsia="en-US"/>
        </w:rPr>
        <w:t>aron</w:t>
      </w:r>
      <w:r w:rsidRPr="000508C0">
        <w:rPr>
          <w:rFonts w:eastAsiaTheme="minorHAnsi" w:cs="Arial"/>
          <w:sz w:val="24"/>
          <w:szCs w:val="24"/>
          <w:lang w:val="es-MX" w:eastAsia="en-US"/>
        </w:rPr>
        <w:t xml:space="preserve"> de ejecutar el acto impugnado</w:t>
      </w:r>
      <w:r>
        <w:rPr>
          <w:rFonts w:eastAsiaTheme="minorHAnsi" w:cs="Arial"/>
          <w:sz w:val="24"/>
          <w:szCs w:val="24"/>
          <w:lang w:val="es-MX" w:eastAsia="en-US"/>
        </w:rPr>
        <w:t>, de conformidad con los artículos 163, fracción II, inciso a), 161, fracciones II y IX y, 162, fracción II,</w:t>
      </w:r>
      <w:r>
        <w:rPr>
          <w:rFonts w:cs="Arial"/>
          <w:bCs/>
          <w:sz w:val="24"/>
          <w:szCs w:val="24"/>
        </w:rPr>
        <w:t xml:space="preserve"> de la </w:t>
      </w:r>
      <w:r w:rsidRPr="00D4142D">
        <w:rPr>
          <w:rFonts w:cs="Arial"/>
          <w:bCs/>
          <w:sz w:val="24"/>
          <w:szCs w:val="24"/>
        </w:rPr>
        <w:t>Ley de Procedimiento y Justicia Administrativa para el Estado de Oaxaca</w:t>
      </w:r>
      <w:r>
        <w:rPr>
          <w:rFonts w:cs="Arial"/>
          <w:bCs/>
          <w:sz w:val="24"/>
          <w:szCs w:val="24"/>
        </w:rPr>
        <w:t>.</w:t>
      </w:r>
    </w:p>
    <w:p w:rsidR="00DA03DA" w:rsidRDefault="00DA03DA" w:rsidP="00DA03DA">
      <w:pPr>
        <w:pStyle w:val="corte4fondo"/>
        <w:ind w:right="51" w:firstLine="567"/>
        <w:rPr>
          <w:rFonts w:cs="Arial"/>
          <w:sz w:val="24"/>
          <w:szCs w:val="24"/>
        </w:rPr>
      </w:pPr>
    </w:p>
    <w:p w:rsidR="00DA03DA" w:rsidRDefault="00DA03DA" w:rsidP="00DA03DA">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DA03DA" w:rsidRDefault="00DA03DA" w:rsidP="00DA03DA">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w:t>
      </w:r>
      <w:r w:rsidRPr="007B0581">
        <w:rPr>
          <w:rFonts w:ascii="Arial" w:hAnsi="Arial" w:cs="Arial"/>
          <w:sz w:val="24"/>
          <w:szCs w:val="24"/>
          <w:lang w:eastAsia="es-MX"/>
        </w:rPr>
        <w:lastRenderedPageBreak/>
        <w:t xml:space="preserve">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DA03DA" w:rsidRPr="007B0581" w:rsidRDefault="00DA03DA" w:rsidP="00DA03DA">
      <w:pPr>
        <w:pStyle w:val="Textonotapie"/>
        <w:widowControl w:val="0"/>
        <w:spacing w:line="360" w:lineRule="auto"/>
        <w:ind w:firstLine="708"/>
        <w:jc w:val="both"/>
        <w:rPr>
          <w:rFonts w:ascii="Arial" w:hAnsi="Arial" w:cs="Arial"/>
          <w:sz w:val="24"/>
          <w:szCs w:val="24"/>
          <w:lang w:eastAsia="es-MX"/>
        </w:rPr>
      </w:pPr>
    </w:p>
    <w:p w:rsidR="00DA03DA" w:rsidRDefault="00DA03DA" w:rsidP="00DA03DA">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DA03DA" w:rsidRDefault="00DA03DA" w:rsidP="00DA03DA">
      <w:pPr>
        <w:pStyle w:val="Textonotapie"/>
        <w:widowControl w:val="0"/>
        <w:spacing w:line="360" w:lineRule="auto"/>
        <w:ind w:left="1701" w:right="1469"/>
        <w:jc w:val="both"/>
        <w:rPr>
          <w:rFonts w:ascii="Arial" w:hAnsi="Arial" w:cs="Arial"/>
          <w:b/>
          <w:sz w:val="24"/>
          <w:szCs w:val="24"/>
          <w:lang w:eastAsia="es-MX"/>
        </w:rPr>
      </w:pPr>
    </w:p>
    <w:p w:rsidR="00DA03DA" w:rsidRDefault="00DA03DA" w:rsidP="00DA03DA">
      <w:pPr>
        <w:pStyle w:val="Textonotapie"/>
        <w:widowControl w:val="0"/>
        <w:spacing w:line="360" w:lineRule="auto"/>
        <w:ind w:right="49" w:firstLine="708"/>
        <w:jc w:val="both"/>
        <w:rPr>
          <w:rFonts w:ascii="Arial" w:hAnsi="Arial" w:cs="Arial"/>
          <w:sz w:val="24"/>
          <w:szCs w:val="24"/>
        </w:rPr>
      </w:pPr>
      <w:r w:rsidRPr="001942C7">
        <w:rPr>
          <w:rFonts w:ascii="Arial" w:hAnsi="Arial" w:cs="Arial"/>
          <w:sz w:val="24"/>
          <w:szCs w:val="24"/>
        </w:rPr>
        <w:t>La actora</w:t>
      </w:r>
      <w:r w:rsidRPr="007B0581">
        <w:rPr>
          <w:rFonts w:ascii="Arial" w:hAnsi="Arial" w:cs="Arial"/>
          <w:sz w:val="24"/>
          <w:szCs w:val="24"/>
        </w:rPr>
        <w:t xml:space="preserve"> </w:t>
      </w:r>
      <w:r>
        <w:rPr>
          <w:rFonts w:cs="Arial"/>
          <w:b/>
          <w:sz w:val="24"/>
          <w:szCs w:val="24"/>
        </w:rPr>
        <w:t>**********</w:t>
      </w:r>
      <w:r w:rsidRPr="007A6FCD">
        <w:rPr>
          <w:rFonts w:ascii="Arial" w:hAnsi="Arial" w:cs="Arial"/>
          <w:b/>
          <w:sz w:val="24"/>
          <w:szCs w:val="24"/>
        </w:rPr>
        <w:t>,</w:t>
      </w:r>
      <w:r>
        <w:rPr>
          <w:rFonts w:ascii="Arial" w:hAnsi="Arial" w:cs="Arial"/>
          <w:b/>
          <w:sz w:val="24"/>
          <w:szCs w:val="24"/>
        </w:rPr>
        <w:t xml:space="preserve"> </w:t>
      </w:r>
      <w:r w:rsidRPr="007A6FCD">
        <w:rPr>
          <w:rFonts w:ascii="Arial" w:hAnsi="Arial" w:cs="Arial"/>
          <w:bCs/>
          <w:sz w:val="24"/>
          <w:szCs w:val="24"/>
        </w:rPr>
        <w:t>por conducto de su apoderado legal</w:t>
      </w:r>
      <w:r w:rsidRPr="007A6FCD">
        <w:rPr>
          <w:rFonts w:ascii="Arial" w:hAnsi="Arial" w:cs="Arial"/>
          <w:b/>
          <w:sz w:val="24"/>
          <w:szCs w:val="24"/>
        </w:rPr>
        <w:t xml:space="preserve"> </w:t>
      </w:r>
      <w:r w:rsidR="00B4550D">
        <w:rPr>
          <w:rFonts w:cs="Arial"/>
          <w:b/>
          <w:sz w:val="24"/>
          <w:szCs w:val="24"/>
        </w:rPr>
        <w:t>**********</w:t>
      </w:r>
      <w:r w:rsidRPr="007B0581">
        <w:rPr>
          <w:rFonts w:ascii="Arial" w:hAnsi="Arial" w:cs="Arial"/>
          <w:sz w:val="24"/>
          <w:szCs w:val="24"/>
        </w:rPr>
        <w:t xml:space="preserve">, demandó la nulidad </w:t>
      </w:r>
      <w:r>
        <w:rPr>
          <w:rFonts w:ascii="Arial" w:hAnsi="Arial" w:cs="Arial"/>
          <w:sz w:val="24"/>
          <w:szCs w:val="24"/>
        </w:rPr>
        <w:t xml:space="preserve">de la resolución emitida el veinticinco de enero de dos mil veintiuno, dictada dentro del expediente número </w:t>
      </w:r>
      <w:r w:rsidR="00B4550D">
        <w:rPr>
          <w:rFonts w:cs="Arial"/>
          <w:b/>
          <w:sz w:val="24"/>
          <w:szCs w:val="24"/>
        </w:rPr>
        <w:t>**********</w:t>
      </w:r>
      <w:r>
        <w:rPr>
          <w:rFonts w:ascii="Arial" w:hAnsi="Arial" w:cs="Arial"/>
          <w:sz w:val="24"/>
          <w:szCs w:val="24"/>
        </w:rPr>
        <w:t xml:space="preserve">, por el Secretario del Medio Ambiente, Energías y Desarrollo Sustentable del Estado de Oaxaca, por considerar que se aplicaron de manera indebida los artículos 32 y 33 fracción IV de la Ley del Equilibrio Ecológico y Protección al Ambiente para el Estado de Oaxaca que regulan la Evaluación del Impacto Ambiental y las obras o actividades que requerirán previo a su ejecución la autorización en materia de impacto ambiental. Asimismo, la indebida aplicación del artículo 241 de la citada ley en virtud que determinó una multa desproporcionada.   </w:t>
      </w:r>
    </w:p>
    <w:p w:rsidR="00DA03DA" w:rsidRDefault="00DA03DA" w:rsidP="00DA03DA">
      <w:pPr>
        <w:pStyle w:val="Textonotapie"/>
        <w:widowControl w:val="0"/>
        <w:spacing w:line="360" w:lineRule="auto"/>
        <w:ind w:right="49" w:firstLine="708"/>
        <w:jc w:val="both"/>
        <w:rPr>
          <w:rFonts w:ascii="Arial" w:hAnsi="Arial" w:cs="Arial"/>
          <w:sz w:val="24"/>
          <w:szCs w:val="24"/>
        </w:rPr>
      </w:pPr>
    </w:p>
    <w:p w:rsidR="00DA03DA" w:rsidRDefault="00DA03DA" w:rsidP="00DA03DA">
      <w:pPr>
        <w:pStyle w:val="Textonotapie"/>
        <w:widowControl w:val="0"/>
        <w:spacing w:line="360" w:lineRule="auto"/>
        <w:ind w:right="49" w:firstLine="708"/>
        <w:jc w:val="both"/>
        <w:rPr>
          <w:rFonts w:ascii="Arial" w:hAnsi="Arial" w:cs="Arial"/>
          <w:sz w:val="24"/>
          <w:szCs w:val="24"/>
        </w:rPr>
      </w:pPr>
      <w:r w:rsidRPr="001942C7">
        <w:rPr>
          <w:rFonts w:ascii="Arial" w:hAnsi="Arial" w:cs="Arial"/>
          <w:sz w:val="24"/>
          <w:szCs w:val="24"/>
        </w:rPr>
        <w:t>Por</w:t>
      </w:r>
      <w:r w:rsidRPr="007B0581">
        <w:rPr>
          <w:rFonts w:ascii="Arial" w:hAnsi="Arial" w:cs="Arial"/>
          <w:sz w:val="24"/>
          <w:szCs w:val="24"/>
        </w:rPr>
        <w:t xml:space="preserve"> su parte, la autoridad demandada </w:t>
      </w:r>
      <w:r>
        <w:rPr>
          <w:rFonts w:ascii="Arial" w:hAnsi="Arial" w:cs="Arial"/>
          <w:sz w:val="24"/>
          <w:szCs w:val="24"/>
        </w:rPr>
        <w:t>Secretario del Medio Ambiente, Energías y Desarrollo Sustentable del Estado de Oaxaca</w:t>
      </w:r>
      <w:r w:rsidRPr="007B0581">
        <w:rPr>
          <w:rFonts w:ascii="Arial" w:hAnsi="Arial" w:cs="Arial"/>
          <w:sz w:val="24"/>
          <w:szCs w:val="24"/>
        </w:rPr>
        <w:t>,</w:t>
      </w:r>
      <w:r>
        <w:rPr>
          <w:rFonts w:ascii="Arial" w:hAnsi="Arial" w:cs="Arial"/>
          <w:sz w:val="24"/>
          <w:szCs w:val="24"/>
        </w:rPr>
        <w:t xml:space="preserve"> refirió que la parte actora omitió formular argumentos que ataquen la supuesta ilegalidad de la resolución del recurso de revisión, pues no señala cuales son las presuntas violaciones que cometió al momento de resolver dicho recurso. </w:t>
      </w:r>
    </w:p>
    <w:p w:rsidR="00DA03DA" w:rsidRDefault="00DA03DA" w:rsidP="00DA03DA">
      <w:pPr>
        <w:pStyle w:val="Textonotapie"/>
        <w:widowControl w:val="0"/>
        <w:spacing w:line="360" w:lineRule="auto"/>
        <w:ind w:right="49" w:firstLine="708"/>
        <w:jc w:val="both"/>
        <w:rPr>
          <w:rFonts w:ascii="Arial" w:hAnsi="Arial" w:cs="Arial"/>
          <w:sz w:val="24"/>
          <w:szCs w:val="24"/>
        </w:rPr>
      </w:pPr>
    </w:p>
    <w:p w:rsidR="00DA03DA" w:rsidRDefault="00DA03DA" w:rsidP="00DA03DA">
      <w:pPr>
        <w:spacing w:line="360" w:lineRule="auto"/>
        <w:ind w:firstLine="709"/>
        <w:contextualSpacing/>
        <w:jc w:val="both"/>
        <w:rPr>
          <w:rFonts w:ascii="Arial" w:hAnsi="Arial" w:cs="Arial"/>
          <w:sz w:val="24"/>
          <w:szCs w:val="24"/>
        </w:rPr>
      </w:pPr>
      <w:r w:rsidRPr="00DD5C63">
        <w:rPr>
          <w:rFonts w:ascii="Arial" w:hAnsi="Arial" w:cs="Arial"/>
          <w:sz w:val="24"/>
          <w:szCs w:val="24"/>
        </w:rPr>
        <w:t>Ahora</w:t>
      </w:r>
      <w:r w:rsidRPr="007B0581">
        <w:rPr>
          <w:rFonts w:ascii="Arial" w:hAnsi="Arial" w:cs="Arial"/>
          <w:sz w:val="24"/>
          <w:szCs w:val="24"/>
        </w:rPr>
        <w:t xml:space="preserve"> bien, esta juzgadora </w:t>
      </w:r>
      <w:r>
        <w:rPr>
          <w:rFonts w:ascii="Arial" w:hAnsi="Arial" w:cs="Arial"/>
          <w:sz w:val="24"/>
          <w:szCs w:val="24"/>
        </w:rPr>
        <w:t xml:space="preserve">advierte que el concepto de impugnación PRIMERO vertido por el actor se encuentra encaminado a la falta de formalidades por parte de la autoridad demandada durante el Procedimiento de Inspección, específicamente a la orden de visita de Inspección con número de folio </w:t>
      </w:r>
      <w:r w:rsidR="00B4550D">
        <w:rPr>
          <w:rFonts w:cs="Arial"/>
          <w:b/>
          <w:sz w:val="24"/>
          <w:szCs w:val="24"/>
        </w:rPr>
        <w:t>**********</w:t>
      </w:r>
      <w:r w:rsidR="00B4550D">
        <w:rPr>
          <w:rFonts w:cs="Arial"/>
          <w:b/>
          <w:sz w:val="24"/>
          <w:szCs w:val="24"/>
        </w:rPr>
        <w:t xml:space="preserve"> </w:t>
      </w:r>
      <w:r>
        <w:rPr>
          <w:rFonts w:ascii="Arial" w:hAnsi="Arial" w:cs="Arial"/>
          <w:sz w:val="24"/>
          <w:szCs w:val="24"/>
        </w:rPr>
        <w:t xml:space="preserve">de veinticuatro de febrero de dos mil veinte, signado por el Secretario del Medio Ambiente, Energías y Desarrollo Sustentable, en la que se ordenó inspeccionar la planta de asfalto, instalada en el predio ubicado específicamente en las Coordenadas Geográficas Latitud norte: 16º 59´10´´ y Longitud Oeste 96º 43´54´´, Municipio de Santa Cruz Xoxocotlán, Oaxaca, y determinar si se contaba con la autorización en Materia de Impacto Ambiental para la operación de la misma.  </w:t>
      </w:r>
    </w:p>
    <w:p w:rsidR="00DA03DA" w:rsidRDefault="00DA03DA" w:rsidP="00DA03DA">
      <w:pPr>
        <w:spacing w:line="360" w:lineRule="auto"/>
        <w:ind w:firstLine="709"/>
        <w:contextualSpacing/>
        <w:jc w:val="both"/>
        <w:rPr>
          <w:rFonts w:ascii="Arial" w:hAnsi="Arial" w:cs="Arial"/>
          <w:sz w:val="24"/>
          <w:szCs w:val="24"/>
        </w:rPr>
      </w:pPr>
    </w:p>
    <w:p w:rsidR="00DA03DA" w:rsidRDefault="00DA03DA" w:rsidP="00DA03DA">
      <w:pPr>
        <w:spacing w:line="360" w:lineRule="auto"/>
        <w:ind w:firstLine="709"/>
        <w:contextualSpacing/>
        <w:jc w:val="both"/>
        <w:rPr>
          <w:rFonts w:ascii="Arial" w:hAnsi="Arial" w:cs="Arial"/>
          <w:sz w:val="24"/>
          <w:szCs w:val="24"/>
        </w:rPr>
      </w:pPr>
      <w:r>
        <w:rPr>
          <w:rFonts w:ascii="Arial" w:hAnsi="Arial" w:cs="Arial"/>
          <w:sz w:val="24"/>
          <w:szCs w:val="24"/>
        </w:rPr>
        <w:lastRenderedPageBreak/>
        <w:t xml:space="preserve">En ese sentido, es  de señalar que si bien es cierto que para la procedencia del juicio de nulidad basta que la demandante acredite cualquier afectación a su esfera personal para estimar acreditado el interés legítimo, también lo es que ello no acontece tratándose de actividades reglamentarias, puesto que para ello debe demostrar el impetrante que tiene interés jurídico para hacerlo, de conformidad con lo establecido en el artículo 163, fracción I, inciso a) de la Ley de Procedimiento y Justicia Administrativa para el Estado de Oaxaca. Esto es, que es menester la exhibición de la autorización, permiso o manifestación que se exija para la operación de la planta de asfalto, por ser una actividad reglamentada en la Ley del Equilibrio Ecológico y Protección al Ambiente para el Estado de Oaxaca, acreditando con ello el derecho que tiene para reclamar las violaciones que se aduzcan con motivo del ejercicio de las facultades de la autoridad demandada. Sirva de apoyo a lo antes vertido, por identidad jurídica, la jurisprudencia en materia Administrativa, Novena Época, emitida por los Tribunales Colegiados de Circuito, Registro Digital 172000, de rubro: </w:t>
      </w:r>
      <w:r w:rsidRPr="00F1566D">
        <w:rPr>
          <w:rFonts w:ascii="Arial" w:hAnsi="Arial" w:cs="Arial"/>
          <w:i/>
          <w:iCs/>
          <w:sz w:val="24"/>
          <w:szCs w:val="24"/>
        </w:rPr>
        <w:t>“</w:t>
      </w:r>
      <w:r w:rsidRPr="00F1566D">
        <w:rPr>
          <w:rFonts w:ascii="Arial" w:hAnsi="Arial" w:cs="Arial"/>
          <w:i/>
          <w:iCs/>
          <w:color w:val="212529"/>
          <w:sz w:val="24"/>
          <w:szCs w:val="24"/>
          <w:shd w:val="clear" w:color="auto" w:fill="FFFFFF"/>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Pr="00FD792F">
        <w:rPr>
          <w:rFonts w:ascii="Arial" w:hAnsi="Arial" w:cs="Arial"/>
          <w:color w:val="212529"/>
          <w:sz w:val="24"/>
          <w:szCs w:val="24"/>
          <w:shd w:val="clear" w:color="auto" w:fill="FFFFFF"/>
        </w:rPr>
        <w:t>.</w:t>
      </w:r>
    </w:p>
    <w:p w:rsidR="00DA03DA" w:rsidRDefault="00DA03DA" w:rsidP="00DA03DA">
      <w:pPr>
        <w:spacing w:line="360" w:lineRule="auto"/>
        <w:ind w:firstLine="709"/>
        <w:contextualSpacing/>
        <w:jc w:val="both"/>
        <w:rPr>
          <w:rFonts w:ascii="Arial" w:hAnsi="Arial" w:cs="Arial"/>
          <w:sz w:val="24"/>
          <w:szCs w:val="24"/>
        </w:rPr>
      </w:pPr>
    </w:p>
    <w:p w:rsidR="00DA03DA" w:rsidRDefault="00DA03DA" w:rsidP="00DA03DA">
      <w:pPr>
        <w:spacing w:line="360" w:lineRule="auto"/>
        <w:ind w:firstLine="709"/>
        <w:contextualSpacing/>
        <w:jc w:val="both"/>
        <w:rPr>
          <w:rFonts w:ascii="Arial" w:hAnsi="Arial" w:cs="Arial"/>
          <w:sz w:val="24"/>
          <w:szCs w:val="24"/>
        </w:rPr>
      </w:pPr>
      <w:r>
        <w:rPr>
          <w:rFonts w:ascii="Arial" w:hAnsi="Arial" w:cs="Arial"/>
          <w:sz w:val="24"/>
          <w:szCs w:val="24"/>
        </w:rPr>
        <w:t xml:space="preserve">De lo antes expuesto se concluye, para que esta juzgadora pueda pronunciarse respecto a las violaciones cometidas durante el procedimiento administrativo sancionador es menester que el actor </w:t>
      </w:r>
      <w:r w:rsidR="00563E25">
        <w:rPr>
          <w:rFonts w:cs="Arial"/>
          <w:b/>
          <w:sz w:val="24"/>
          <w:szCs w:val="24"/>
        </w:rPr>
        <w:t>**********</w:t>
      </w:r>
      <w:r w:rsidR="00563E25">
        <w:rPr>
          <w:rFonts w:cs="Arial"/>
          <w:b/>
          <w:sz w:val="24"/>
          <w:szCs w:val="24"/>
        </w:rPr>
        <w:t xml:space="preserve"> </w:t>
      </w:r>
      <w:r>
        <w:rPr>
          <w:rFonts w:ascii="Arial" w:hAnsi="Arial" w:cs="Arial"/>
          <w:sz w:val="24"/>
          <w:szCs w:val="24"/>
        </w:rPr>
        <w:t>acredite su interés jurídico, esto es, debió acreditar la existencia del permiso o autorización que le autoriza el funcionamiento de la planta de asfalto      ubicada en las Coordenadas Geográficas Latitud norte: 16º 59´10´´ y Longitud Oeste 96º 43´54´´, Municipio de Santa Cruz Xoxocotlán, Oaxaca, situación que en la especie no acontece en el presente asunto, pues del cúmulo de pruebas que obran en el presente asunto, no obra el permiso o autorización correspondiente, que se haya solicitado anterior a la visita de inspección, de lo que resulta, según el criterio vertido en el párrafo precedente por el máximo Tribunal de este País, el sobreseimiento del presente juicio, en término de los artículos 161, fracción II, 162, fracción II y 163, fracción I, inciso a) de la Ley de Procedimiento y Justicia Administrativa para el Estado de Oaxaca.</w:t>
      </w:r>
    </w:p>
    <w:p w:rsidR="00DA03DA" w:rsidRDefault="00DA03DA" w:rsidP="00DA03DA">
      <w:pPr>
        <w:spacing w:line="360" w:lineRule="auto"/>
        <w:ind w:firstLine="709"/>
        <w:contextualSpacing/>
        <w:jc w:val="both"/>
        <w:rPr>
          <w:rFonts w:ascii="Arial" w:hAnsi="Arial" w:cs="Arial"/>
          <w:sz w:val="24"/>
          <w:szCs w:val="24"/>
        </w:rPr>
      </w:pPr>
    </w:p>
    <w:p w:rsidR="00DA03DA" w:rsidRDefault="00DA03DA" w:rsidP="00DA03DA">
      <w:pPr>
        <w:spacing w:line="360" w:lineRule="auto"/>
        <w:ind w:firstLine="709"/>
        <w:contextualSpacing/>
        <w:jc w:val="both"/>
        <w:rPr>
          <w:rFonts w:ascii="Arial" w:hAnsi="Arial" w:cs="Arial"/>
          <w:sz w:val="24"/>
          <w:szCs w:val="24"/>
        </w:rPr>
      </w:pPr>
      <w:r>
        <w:rPr>
          <w:rFonts w:ascii="Arial" w:hAnsi="Arial" w:cs="Arial"/>
          <w:sz w:val="24"/>
          <w:szCs w:val="24"/>
        </w:rPr>
        <w:t xml:space="preserve">Sin embargo, ha sido definido por la Suprema Corte de Justicia de la Nación, que cuando el actor también reclame la sanción impuesta, sin contar con la </w:t>
      </w:r>
      <w:r w:rsidRPr="0082488A">
        <w:rPr>
          <w:rFonts w:ascii="Arial" w:hAnsi="Arial" w:cs="Arial"/>
          <w:sz w:val="24"/>
          <w:szCs w:val="24"/>
        </w:rPr>
        <w:t xml:space="preserve">correspondiente </w:t>
      </w:r>
      <w:r>
        <w:rPr>
          <w:rFonts w:ascii="Arial" w:hAnsi="Arial" w:cs="Arial"/>
          <w:sz w:val="24"/>
          <w:szCs w:val="24"/>
        </w:rPr>
        <w:t xml:space="preserve">autorización, permiso o aviso, es permisible analizar </w:t>
      </w:r>
      <w:r>
        <w:rPr>
          <w:rFonts w:ascii="Arial" w:hAnsi="Arial" w:cs="Arial"/>
          <w:sz w:val="24"/>
          <w:szCs w:val="24"/>
        </w:rPr>
        <w:lastRenderedPageBreak/>
        <w:t xml:space="preserve">exclusivamente la sanción impuesta, sin poder analizar los actos preliminares de verificación que le antecedieron, tales como el acta </w:t>
      </w:r>
      <w:r w:rsidRPr="0082488A">
        <w:rPr>
          <w:rFonts w:ascii="Arial" w:hAnsi="Arial" w:cs="Arial"/>
          <w:sz w:val="24"/>
          <w:szCs w:val="24"/>
        </w:rPr>
        <w:t>de inicio</w:t>
      </w:r>
      <w:r>
        <w:rPr>
          <w:rFonts w:ascii="Arial" w:hAnsi="Arial" w:cs="Arial"/>
          <w:sz w:val="24"/>
          <w:szCs w:val="24"/>
        </w:rPr>
        <w:t xml:space="preserve">, y por ende, el consecuente procedimiento administrativo sancionador, ya que estos actos sólo pueden ser controvertidos por quien cuente con interés jurídico, supuesto que no ocurre en el presente asunto, resultado inoperantes los argumentos vertidos por el actor en ese sentido, pues para que  esta juzgadora pueda pronunciarse sobre las supuestas violaciones al inicio y durante el procedimiento administrativo, se condiciona a que el actor acredite la existencia del documento que le faculte realizar la actividad regulada correspondiente. Sirva de apoyo al criterio antes sustentado lo establecido en la jurisprudencia en Materia Administrativa, Novena Época, registro electrónico 165594 de rubro: </w:t>
      </w:r>
      <w:r w:rsidRPr="00F1566D">
        <w:rPr>
          <w:rFonts w:ascii="Arial" w:hAnsi="Arial" w:cs="Arial"/>
          <w:i/>
          <w:iCs/>
          <w:sz w:val="24"/>
          <w:szCs w:val="24"/>
        </w:rPr>
        <w:t>“</w:t>
      </w:r>
      <w:r w:rsidRPr="00F1566D">
        <w:rPr>
          <w:rFonts w:ascii="Arial" w:hAnsi="Arial" w:cs="Arial"/>
          <w:i/>
          <w:iCs/>
          <w:color w:val="212529"/>
          <w:sz w:val="24"/>
          <w:szCs w:val="24"/>
          <w:shd w:val="clear" w:color="auto" w:fill="FFFFFF"/>
        </w:rPr>
        <w:t>CONTENCIOSO ADMINISTRATIVO DEL DISTRITO FEDERAL. CUANDO SE IMPUGNA LA RESOLUCIÓN POR LA QUE SE IMPONE UNA SANCIÓN, ANTE LA FALTA DE CONCESIÓN, LICENCIA, PERMISO, AUTORIZACIÓN O AVISO DE ACTIVIDADES REGULADAS, EL TRIBUNAL DEBE CEÑIRSE, EN SU CASO, AL ESTUDIO DE LA LEGALIDAD DE LA SANCIÓN IMPUESTA”</w:t>
      </w:r>
      <w:r w:rsidRPr="007539F7">
        <w:rPr>
          <w:rFonts w:ascii="Arial" w:hAnsi="Arial" w:cs="Arial"/>
          <w:color w:val="212529"/>
          <w:sz w:val="24"/>
          <w:szCs w:val="24"/>
          <w:shd w:val="clear" w:color="auto" w:fill="FFFFFF"/>
        </w:rPr>
        <w:t>.</w:t>
      </w:r>
    </w:p>
    <w:p w:rsidR="00DA03DA" w:rsidRDefault="00DA03DA" w:rsidP="00DA03DA">
      <w:pPr>
        <w:spacing w:line="360" w:lineRule="auto"/>
        <w:ind w:firstLine="709"/>
        <w:contextualSpacing/>
        <w:jc w:val="both"/>
        <w:rPr>
          <w:rFonts w:ascii="Arial" w:hAnsi="Arial" w:cs="Arial"/>
          <w:sz w:val="24"/>
          <w:szCs w:val="24"/>
        </w:rPr>
      </w:pPr>
    </w:p>
    <w:p w:rsidR="00DA03DA" w:rsidRDefault="00DA03DA" w:rsidP="00DA03DA">
      <w:pPr>
        <w:spacing w:line="360" w:lineRule="auto"/>
        <w:ind w:firstLine="709"/>
        <w:contextualSpacing/>
        <w:jc w:val="both"/>
        <w:rPr>
          <w:rFonts w:ascii="Arial" w:hAnsi="Arial" w:cs="Arial"/>
          <w:sz w:val="24"/>
          <w:szCs w:val="24"/>
        </w:rPr>
      </w:pPr>
      <w:r w:rsidRPr="00F1566D">
        <w:rPr>
          <w:rFonts w:ascii="Arial" w:hAnsi="Arial" w:cs="Arial"/>
          <w:sz w:val="24"/>
          <w:szCs w:val="24"/>
        </w:rPr>
        <w:t>En ese sentido</w:t>
      </w:r>
      <w:r>
        <w:rPr>
          <w:rFonts w:ascii="Arial" w:hAnsi="Arial" w:cs="Arial"/>
          <w:sz w:val="24"/>
          <w:szCs w:val="24"/>
        </w:rPr>
        <w:t xml:space="preserve">, se analizará únicamente lo relativo a la sanción impuesta, quedando intacto el procedimiento administrativo efectuado por la autoridad demandada. </w:t>
      </w:r>
    </w:p>
    <w:p w:rsidR="00DA03DA" w:rsidRDefault="00DA03DA" w:rsidP="00DA03DA">
      <w:pPr>
        <w:spacing w:line="360" w:lineRule="auto"/>
        <w:ind w:firstLine="709"/>
        <w:contextualSpacing/>
        <w:jc w:val="both"/>
        <w:rPr>
          <w:rFonts w:ascii="Arial" w:hAnsi="Arial" w:cs="Arial"/>
          <w:sz w:val="24"/>
          <w:szCs w:val="24"/>
        </w:rPr>
      </w:pPr>
    </w:p>
    <w:p w:rsidR="00DA03DA" w:rsidRDefault="00DA03DA" w:rsidP="00DA03DA">
      <w:pPr>
        <w:spacing w:line="360" w:lineRule="auto"/>
        <w:ind w:firstLine="709"/>
        <w:contextualSpacing/>
        <w:jc w:val="both"/>
        <w:rPr>
          <w:rFonts w:ascii="Arial" w:hAnsi="Arial" w:cs="Arial"/>
          <w:sz w:val="24"/>
          <w:szCs w:val="24"/>
        </w:rPr>
      </w:pPr>
      <w:r>
        <w:rPr>
          <w:rFonts w:ascii="Arial" w:hAnsi="Arial" w:cs="Arial"/>
          <w:sz w:val="24"/>
          <w:szCs w:val="24"/>
        </w:rPr>
        <w:t>Por último, por cuanto hace al segundo concepto de impugnación hecho valer por el actor, en el sentido que el acto impugnado, carece de la debida fundamentación y motivación en razón que la multa impuesta es desproporcionada, esta juzgadora determina que resulta fundado el concepto de impugnación hecho valer por el actor, en virtud que la autoridad demandada en su determinación confirmó la multa impuesta a la parte actora por considerarla debidamente fundada y motivada, sin embargo fue omisa en observar cuales fueron las razones particulares o causas inmediatas que motivaron a considerar que al actor le era aplicable una multa de 17, 266 Unidades de Medida y Actualización, la cual equivale a la cantidad de $1,500,070.08 (Un millón quinientos mil setenta pesos 08/100 M.N.), esto es, no indicó el fundamento legal aplicable para determinar, que por la falta de autorización o permiso para la operación de la planta de asfalto, le era sancionable con el citado monto, causando con ello inseguridad jurídica en el gobernado.</w:t>
      </w:r>
    </w:p>
    <w:p w:rsidR="00DA03DA" w:rsidRDefault="00DA03DA" w:rsidP="00DA03DA">
      <w:pPr>
        <w:spacing w:line="360" w:lineRule="auto"/>
        <w:ind w:firstLine="709"/>
        <w:contextualSpacing/>
        <w:jc w:val="both"/>
        <w:rPr>
          <w:rFonts w:ascii="Arial" w:hAnsi="Arial" w:cs="Arial"/>
          <w:sz w:val="24"/>
          <w:szCs w:val="24"/>
        </w:rPr>
      </w:pPr>
    </w:p>
    <w:p w:rsidR="00DA03DA" w:rsidRDefault="00DA03DA" w:rsidP="00DA03DA">
      <w:pPr>
        <w:spacing w:line="360" w:lineRule="auto"/>
        <w:ind w:firstLine="709"/>
        <w:contextualSpacing/>
        <w:jc w:val="both"/>
        <w:rPr>
          <w:rFonts w:ascii="Arial" w:hAnsi="Arial" w:cs="Arial"/>
          <w:sz w:val="24"/>
          <w:szCs w:val="24"/>
        </w:rPr>
      </w:pPr>
      <w:r>
        <w:rPr>
          <w:rFonts w:ascii="Arial" w:hAnsi="Arial" w:cs="Arial"/>
          <w:sz w:val="24"/>
          <w:szCs w:val="24"/>
        </w:rPr>
        <w:t xml:space="preserve">Asimismo, el acto combatido carece de motivación pues la autoridad demandada tampoco motiva el por qué el actor se hizo acreedor a la imposición de la multa consistente en 17,266 Unidades de Medida y Actualización, la cual equivale </w:t>
      </w:r>
      <w:r>
        <w:rPr>
          <w:rFonts w:ascii="Arial" w:hAnsi="Arial" w:cs="Arial"/>
          <w:sz w:val="24"/>
          <w:szCs w:val="24"/>
        </w:rPr>
        <w:lastRenderedPageBreak/>
        <w:t>a la cantidad de $1,500,070.08 (Un millón quinientos mil setenta pesos 08/100 M.N.), pues no explica el parámetro que tomó para imponer el monto antes citado, y con ello imponer al actor la sanción económica, pues hacer lo contrario supone un actuar arbitrario por parte de la autoridad demandada.</w:t>
      </w:r>
    </w:p>
    <w:p w:rsidR="00DA03DA" w:rsidRDefault="00DA03DA" w:rsidP="00DA03DA">
      <w:pPr>
        <w:spacing w:line="360" w:lineRule="auto"/>
        <w:ind w:firstLine="709"/>
        <w:contextualSpacing/>
        <w:jc w:val="both"/>
        <w:rPr>
          <w:rFonts w:ascii="Arial" w:hAnsi="Arial" w:cs="Arial"/>
          <w:sz w:val="24"/>
          <w:szCs w:val="24"/>
        </w:rPr>
      </w:pPr>
    </w:p>
    <w:p w:rsidR="00DA03DA" w:rsidRDefault="00DA03DA" w:rsidP="00DA03DA">
      <w:pPr>
        <w:spacing w:line="360" w:lineRule="auto"/>
        <w:ind w:firstLine="709"/>
        <w:contextualSpacing/>
        <w:jc w:val="both"/>
        <w:rPr>
          <w:rFonts w:ascii="Arial" w:hAnsi="Arial" w:cs="Arial"/>
          <w:sz w:val="24"/>
          <w:szCs w:val="24"/>
        </w:rPr>
      </w:pPr>
      <w:r>
        <w:rPr>
          <w:rFonts w:ascii="Arial" w:hAnsi="Arial" w:cs="Arial"/>
          <w:sz w:val="24"/>
          <w:szCs w:val="24"/>
        </w:rPr>
        <w:t xml:space="preserve">En esa tesitura, se advierte que la autoridad demandada no valoró correctamente lo argumentado por el actor, en el sentido que la multa impuesta no se encontraba debidamente fundada ni motivada, provocando con ello la ilegalidad del acto combatido; con fundamento en lo dispuesto por el artículo 208 fracción VI, de la Ley de Procedimiento y Justicia Administrativa para el Estado de Oaxaca, se declara la </w:t>
      </w:r>
      <w:r w:rsidRPr="00B92612">
        <w:rPr>
          <w:rFonts w:ascii="Arial" w:hAnsi="Arial" w:cs="Arial"/>
          <w:b/>
          <w:bCs/>
          <w:sz w:val="24"/>
          <w:szCs w:val="24"/>
        </w:rPr>
        <w:t>NULIDAD</w:t>
      </w:r>
      <w:r>
        <w:rPr>
          <w:rFonts w:ascii="Arial" w:hAnsi="Arial" w:cs="Arial"/>
          <w:sz w:val="24"/>
          <w:szCs w:val="24"/>
        </w:rPr>
        <w:t xml:space="preserve"> de la resolución emitida el veinticinco de enero de dos mil veintiuno, dictada dentro del expediente número </w:t>
      </w:r>
      <w:r w:rsidR="00563E25">
        <w:rPr>
          <w:rFonts w:cs="Arial"/>
          <w:b/>
          <w:sz w:val="24"/>
          <w:szCs w:val="24"/>
        </w:rPr>
        <w:t>**********</w:t>
      </w:r>
      <w:r w:rsidR="00563E25">
        <w:rPr>
          <w:rFonts w:cs="Arial"/>
          <w:b/>
          <w:sz w:val="24"/>
          <w:szCs w:val="24"/>
        </w:rPr>
        <w:t xml:space="preserve"> </w:t>
      </w:r>
      <w:r>
        <w:rPr>
          <w:rFonts w:ascii="Arial" w:hAnsi="Arial" w:cs="Arial"/>
          <w:sz w:val="24"/>
          <w:szCs w:val="24"/>
        </w:rPr>
        <w:t xml:space="preserve">por el Secretario del Medio Ambiente, Energías y Desarrollo Sustentable del Estado de Oaxaca, para el </w:t>
      </w:r>
      <w:r w:rsidRPr="00B92612">
        <w:rPr>
          <w:rFonts w:ascii="Arial" w:hAnsi="Arial" w:cs="Arial"/>
          <w:b/>
          <w:bCs/>
          <w:sz w:val="24"/>
          <w:szCs w:val="24"/>
        </w:rPr>
        <w:t>EFECTO</w:t>
      </w:r>
      <w:r>
        <w:rPr>
          <w:rFonts w:ascii="Arial" w:hAnsi="Arial" w:cs="Arial"/>
          <w:sz w:val="24"/>
          <w:szCs w:val="24"/>
        </w:rPr>
        <w:t xml:space="preserve"> de que dicte otra donde declare la nulidad de la resolución por la cual se le impone la multa a la parte actora, d</w:t>
      </w:r>
      <w:r w:rsidRPr="00774AC2">
        <w:rPr>
          <w:rFonts w:ascii="Arial" w:hAnsi="Arial" w:cs="Arial"/>
          <w:sz w:val="24"/>
          <w:szCs w:val="24"/>
        </w:rPr>
        <w:t>ejando</w:t>
      </w:r>
      <w:r>
        <w:rPr>
          <w:rFonts w:ascii="Arial" w:hAnsi="Arial" w:cs="Arial"/>
          <w:sz w:val="24"/>
          <w:szCs w:val="24"/>
        </w:rPr>
        <w:t xml:space="preserve"> a salvo los derechos de la autoridad que la dictó, </w:t>
      </w:r>
      <w:r w:rsidRPr="00155C7E">
        <w:rPr>
          <w:rFonts w:ascii="Arial" w:hAnsi="Arial" w:cs="Arial"/>
          <w:sz w:val="24"/>
          <w:szCs w:val="24"/>
        </w:rPr>
        <w:t>para que emita</w:t>
      </w:r>
      <w:r>
        <w:rPr>
          <w:rFonts w:ascii="Arial" w:hAnsi="Arial" w:cs="Arial"/>
          <w:sz w:val="24"/>
          <w:szCs w:val="24"/>
        </w:rPr>
        <w:t xml:space="preserve"> uno nuevo debidamente fundado y motivado, en virtud que el procedimiento administrativo iniciado en contra del actor debe concluirse mediante resolución definitiva por ser una formalidad de éste, de conformidad con lo establecido en la fracción X del artículo 55 de la Ley de Procedimiento y Justicia Administrativa para el Estado de Oaxaca y que éste ha sido intocado por no haber acreditado el actor contar con el permiso o autorización en materia de impacto ambiental que le autoriza el funcionamiento de la planta de asfalto.      </w:t>
      </w:r>
    </w:p>
    <w:p w:rsidR="00DA03DA" w:rsidRDefault="00DA03DA" w:rsidP="00DA03DA">
      <w:pPr>
        <w:spacing w:line="360" w:lineRule="auto"/>
        <w:ind w:firstLine="709"/>
        <w:contextualSpacing/>
        <w:jc w:val="both"/>
        <w:rPr>
          <w:rFonts w:ascii="Arial" w:hAnsi="Arial" w:cs="Arial"/>
          <w:sz w:val="24"/>
          <w:szCs w:val="24"/>
        </w:rPr>
      </w:pPr>
    </w:p>
    <w:p w:rsidR="00DA03DA" w:rsidRDefault="00DA03DA" w:rsidP="00DA03DA">
      <w:pPr>
        <w:spacing w:line="360" w:lineRule="auto"/>
        <w:ind w:firstLine="709"/>
        <w:contextualSpacing/>
        <w:jc w:val="both"/>
        <w:rPr>
          <w:rFonts w:ascii="Arial" w:hAnsi="Arial" w:cs="Arial"/>
          <w:sz w:val="24"/>
          <w:szCs w:val="24"/>
        </w:rPr>
      </w:pPr>
      <w:r>
        <w:rPr>
          <w:rFonts w:ascii="Arial" w:hAnsi="Arial" w:cs="Arial"/>
          <w:sz w:val="24"/>
          <w:szCs w:val="24"/>
        </w:rPr>
        <w:t>En el entendido que para tener por cumplido el presente fallo, bastará con que remita constancia de lo antes vertido.</w:t>
      </w:r>
    </w:p>
    <w:p w:rsidR="00DA03DA" w:rsidRDefault="00DA03DA" w:rsidP="00DA03DA">
      <w:pPr>
        <w:pStyle w:val="Prrafodelista"/>
        <w:spacing w:line="360" w:lineRule="auto"/>
        <w:ind w:left="1428"/>
        <w:jc w:val="both"/>
        <w:rPr>
          <w:rFonts w:ascii="Arial" w:hAnsi="Arial" w:cs="Arial"/>
          <w:sz w:val="24"/>
          <w:szCs w:val="24"/>
        </w:rPr>
      </w:pPr>
    </w:p>
    <w:p w:rsidR="00DA03DA" w:rsidRPr="007B0581" w:rsidRDefault="00DA03DA" w:rsidP="00DA03DA">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sz w:val="24"/>
          <w:szCs w:val="24"/>
        </w:rPr>
        <w:t xml:space="preserve"> </w:t>
      </w:r>
      <w:r w:rsidRPr="001339D3">
        <w:rPr>
          <w:rFonts w:ascii="Arial" w:hAnsi="Arial" w:cs="Arial"/>
          <w:b/>
          <w:sz w:val="24"/>
          <w:szCs w:val="24"/>
        </w:rPr>
        <w:t>no</w:t>
      </w:r>
      <w:r w:rsidRPr="007B0581">
        <w:rPr>
          <w:rFonts w:ascii="Arial" w:hAnsi="Arial" w:cs="Arial"/>
          <w:b/>
          <w:sz w:val="24"/>
          <w:szCs w:val="24"/>
        </w:rPr>
        <w:t xml:space="preserve">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DA03DA" w:rsidRPr="007B0581" w:rsidRDefault="00DA03DA" w:rsidP="00DA03DA">
      <w:pPr>
        <w:spacing w:line="360" w:lineRule="auto"/>
        <w:ind w:right="-93" w:firstLine="708"/>
        <w:jc w:val="both"/>
        <w:rPr>
          <w:rFonts w:ascii="Arial" w:eastAsia="Calibri" w:hAnsi="Arial" w:cs="Arial"/>
          <w:color w:val="000000"/>
          <w:sz w:val="24"/>
          <w:szCs w:val="24"/>
          <w:lang w:val="es-MX" w:eastAsia="en-US"/>
        </w:rPr>
      </w:pPr>
    </w:p>
    <w:p w:rsidR="00DA03DA" w:rsidRDefault="00DA03DA" w:rsidP="00DA03DA">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w:t>
      </w:r>
      <w:r w:rsidRPr="005655B3">
        <w:rPr>
          <w:rFonts w:ascii="Arial" w:eastAsia="Calibri" w:hAnsi="Arial" w:cs="Arial"/>
          <w:color w:val="000000"/>
          <w:sz w:val="24"/>
          <w:szCs w:val="24"/>
          <w:lang w:val="es-MX" w:eastAsia="en-US"/>
        </w:rPr>
        <w:t xml:space="preserve">207 </w:t>
      </w:r>
      <w:r w:rsidRPr="007B0581">
        <w:rPr>
          <w:rFonts w:ascii="Arial" w:eastAsia="Calibri" w:hAnsi="Arial" w:cs="Arial"/>
          <w:color w:val="000000"/>
          <w:sz w:val="24"/>
          <w:szCs w:val="24"/>
          <w:lang w:val="es-MX" w:eastAsia="en-US"/>
        </w:rPr>
        <w:t xml:space="preserve">y 209, de la Ley de Procedimiento y Justicia Administrativa para el Estado de Oaxaca, se; </w:t>
      </w:r>
    </w:p>
    <w:p w:rsidR="00DA03DA" w:rsidRDefault="00DA03DA" w:rsidP="00DA03DA">
      <w:pPr>
        <w:spacing w:line="360" w:lineRule="auto"/>
        <w:ind w:firstLine="708"/>
        <w:jc w:val="both"/>
        <w:rPr>
          <w:rFonts w:ascii="Arial" w:eastAsia="Calibri" w:hAnsi="Arial" w:cs="Arial"/>
          <w:color w:val="000000"/>
          <w:sz w:val="24"/>
          <w:szCs w:val="24"/>
          <w:lang w:val="es-MX" w:eastAsia="en-US"/>
        </w:rPr>
      </w:pPr>
    </w:p>
    <w:p w:rsidR="00DA03DA" w:rsidRDefault="00DA03DA" w:rsidP="00DA03DA">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DA03DA" w:rsidRDefault="00DA03DA" w:rsidP="00DA03DA">
      <w:pPr>
        <w:tabs>
          <w:tab w:val="left" w:pos="3786"/>
        </w:tabs>
        <w:spacing w:line="360" w:lineRule="auto"/>
        <w:ind w:firstLine="708"/>
        <w:jc w:val="both"/>
        <w:rPr>
          <w:rFonts w:ascii="Arial" w:hAnsi="Arial" w:cs="Arial"/>
          <w:b/>
          <w:sz w:val="24"/>
          <w:szCs w:val="24"/>
        </w:rPr>
      </w:pPr>
    </w:p>
    <w:p w:rsidR="00DA03DA" w:rsidRPr="007B0581" w:rsidRDefault="00DA03DA" w:rsidP="00DA03DA">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DA03DA" w:rsidRPr="007B0581" w:rsidRDefault="00DA03DA" w:rsidP="00DA03DA">
      <w:pPr>
        <w:pStyle w:val="Textoindependiente"/>
        <w:ind w:firstLine="709"/>
        <w:contextualSpacing/>
        <w:jc w:val="both"/>
        <w:rPr>
          <w:rFonts w:ascii="Arial" w:hAnsi="Arial" w:cs="Arial"/>
          <w:b/>
          <w:sz w:val="24"/>
          <w:szCs w:val="24"/>
        </w:rPr>
      </w:pPr>
    </w:p>
    <w:p w:rsidR="00DA03DA" w:rsidRPr="007B0581" w:rsidRDefault="00DA03DA" w:rsidP="00DA03DA">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DA03DA" w:rsidRDefault="00DA03DA" w:rsidP="00DA03DA">
      <w:pPr>
        <w:spacing w:line="360" w:lineRule="auto"/>
        <w:ind w:right="51" w:firstLine="567"/>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Pr="005655B3">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DA03DA" w:rsidRPr="007B0581" w:rsidRDefault="00DA03DA" w:rsidP="00DA03DA">
      <w:pPr>
        <w:ind w:right="51"/>
        <w:contextualSpacing/>
        <w:jc w:val="both"/>
        <w:rPr>
          <w:rFonts w:ascii="Arial" w:hAnsi="Arial" w:cs="Arial"/>
          <w:sz w:val="24"/>
          <w:szCs w:val="24"/>
          <w:lang w:val="es-MX"/>
        </w:rPr>
      </w:pPr>
    </w:p>
    <w:p w:rsidR="00DA03DA" w:rsidRDefault="00DA03DA" w:rsidP="00DA03DA">
      <w:pPr>
        <w:spacing w:line="360" w:lineRule="auto"/>
        <w:ind w:right="51" w:firstLine="567"/>
        <w:jc w:val="both"/>
        <w:rPr>
          <w:rFonts w:ascii="Arial" w:hAnsi="Arial" w:cs="Arial"/>
          <w:sz w:val="24"/>
          <w:szCs w:val="24"/>
        </w:rPr>
      </w:pPr>
      <w:r w:rsidRPr="00774AC2">
        <w:rPr>
          <w:rFonts w:ascii="Arial" w:hAnsi="Arial" w:cs="Arial"/>
          <w:b/>
          <w:sz w:val="24"/>
          <w:szCs w:val="24"/>
          <w:lang w:val="es-MX"/>
        </w:rPr>
        <w:t>CUARTO</w:t>
      </w:r>
      <w:r w:rsidRPr="007B0581">
        <w:rPr>
          <w:rFonts w:ascii="Arial" w:hAnsi="Arial" w:cs="Arial"/>
          <w:b/>
          <w:sz w:val="24"/>
          <w:szCs w:val="24"/>
          <w:lang w:val="es-MX"/>
        </w:rPr>
        <w:t xml:space="preserve">. </w:t>
      </w:r>
      <w:r>
        <w:rPr>
          <w:rFonts w:ascii="Arial" w:hAnsi="Arial" w:cs="Arial"/>
          <w:b/>
          <w:sz w:val="24"/>
          <w:szCs w:val="24"/>
          <w:lang w:val="es-MX"/>
        </w:rPr>
        <w:t>–</w:t>
      </w:r>
      <w:r w:rsidRPr="007B0581">
        <w:rPr>
          <w:rFonts w:ascii="Arial" w:hAnsi="Arial" w:cs="Arial"/>
          <w:sz w:val="24"/>
          <w:szCs w:val="24"/>
          <w:lang w:val="es-MX"/>
        </w:rPr>
        <w:t xml:space="preserve"> </w:t>
      </w:r>
      <w:r w:rsidRPr="009A5EA2">
        <w:rPr>
          <w:rFonts w:ascii="Arial" w:hAnsi="Arial" w:cs="Arial"/>
          <w:sz w:val="24"/>
          <w:szCs w:val="24"/>
        </w:rPr>
        <w:t>Se declara la</w:t>
      </w:r>
      <w:r w:rsidRPr="00BB5812">
        <w:rPr>
          <w:rFonts w:ascii="Arial" w:hAnsi="Arial" w:cs="Arial"/>
          <w:b/>
          <w:sz w:val="24"/>
          <w:szCs w:val="24"/>
        </w:rPr>
        <w:t xml:space="preserve"> NULIDAD </w:t>
      </w:r>
      <w:r>
        <w:rPr>
          <w:rFonts w:ascii="Arial" w:hAnsi="Arial" w:cs="Arial"/>
          <w:sz w:val="24"/>
          <w:szCs w:val="24"/>
        </w:rPr>
        <w:t xml:space="preserve">de la resolución emitida el veinticinco de enero de dos mil veintiuno, dictada dentro del expediente número </w:t>
      </w:r>
      <w:r w:rsidR="00563E25">
        <w:rPr>
          <w:rFonts w:cs="Arial"/>
          <w:b/>
          <w:sz w:val="24"/>
          <w:szCs w:val="24"/>
        </w:rPr>
        <w:t>**********</w:t>
      </w:r>
      <w:r w:rsidR="00563E25">
        <w:rPr>
          <w:rFonts w:cs="Arial"/>
          <w:b/>
          <w:sz w:val="24"/>
          <w:szCs w:val="24"/>
        </w:rPr>
        <w:t xml:space="preserve"> </w:t>
      </w:r>
      <w:r>
        <w:rPr>
          <w:rFonts w:ascii="Arial" w:hAnsi="Arial" w:cs="Arial"/>
          <w:sz w:val="24"/>
          <w:szCs w:val="24"/>
        </w:rPr>
        <w:t>por el Secretario del Medio Ambiente, Energías y Desarrollo Sustentable del Estado de Oaxaca</w:t>
      </w:r>
      <w:r>
        <w:rPr>
          <w:rFonts w:ascii="Arial" w:hAnsi="Arial" w:cs="Arial"/>
          <w:bCs/>
          <w:sz w:val="24"/>
          <w:szCs w:val="24"/>
        </w:rPr>
        <w:t xml:space="preserve">, para el </w:t>
      </w:r>
      <w:r w:rsidRPr="00137838">
        <w:rPr>
          <w:rFonts w:ascii="Arial" w:hAnsi="Arial" w:cs="Arial"/>
          <w:b/>
          <w:sz w:val="24"/>
          <w:szCs w:val="24"/>
        </w:rPr>
        <w:t>EFECTO</w:t>
      </w:r>
      <w:r>
        <w:rPr>
          <w:rFonts w:ascii="Arial" w:hAnsi="Arial" w:cs="Arial"/>
          <w:bCs/>
          <w:sz w:val="24"/>
          <w:szCs w:val="24"/>
        </w:rPr>
        <w:t xml:space="preserve"> de que dicte otra</w:t>
      </w:r>
      <w:r w:rsidRPr="00BB5812">
        <w:rPr>
          <w:rFonts w:ascii="Arial" w:hAnsi="Arial" w:cs="Arial"/>
          <w:bCs/>
          <w:sz w:val="24"/>
          <w:szCs w:val="24"/>
        </w:rPr>
        <w:t xml:space="preserve"> </w:t>
      </w:r>
      <w:r>
        <w:rPr>
          <w:rFonts w:ascii="Arial" w:hAnsi="Arial" w:cs="Arial"/>
          <w:sz w:val="24"/>
          <w:szCs w:val="24"/>
        </w:rPr>
        <w:t xml:space="preserve">en los términos establecidos y por las consideraciones vertidas </w:t>
      </w:r>
      <w:r w:rsidRPr="00BB5812">
        <w:rPr>
          <w:rFonts w:ascii="Arial" w:hAnsi="Arial" w:cs="Arial"/>
          <w:bCs/>
          <w:sz w:val="24"/>
          <w:szCs w:val="24"/>
        </w:rPr>
        <w:t>en</w:t>
      </w:r>
      <w:r>
        <w:rPr>
          <w:rFonts w:ascii="Arial" w:hAnsi="Arial" w:cs="Arial"/>
          <w:bCs/>
          <w:sz w:val="24"/>
          <w:szCs w:val="24"/>
        </w:rPr>
        <w:t xml:space="preserve"> 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resolución.</w:t>
      </w:r>
      <w:r w:rsidRPr="007B0581">
        <w:rPr>
          <w:rFonts w:ascii="Arial" w:hAnsi="Arial" w:cs="Arial"/>
          <w:sz w:val="24"/>
          <w:szCs w:val="24"/>
        </w:rPr>
        <w:t xml:space="preserve"> </w:t>
      </w:r>
    </w:p>
    <w:p w:rsidR="00DA03DA" w:rsidRDefault="00DA03DA" w:rsidP="00DA03DA">
      <w:pPr>
        <w:spacing w:line="360" w:lineRule="auto"/>
        <w:ind w:right="51" w:firstLine="567"/>
        <w:jc w:val="both"/>
        <w:rPr>
          <w:rFonts w:ascii="Arial" w:hAnsi="Arial" w:cs="Arial"/>
          <w:b/>
          <w:sz w:val="24"/>
          <w:szCs w:val="24"/>
        </w:rPr>
      </w:pPr>
    </w:p>
    <w:p w:rsidR="00DA03DA" w:rsidRDefault="00DA03DA" w:rsidP="00DA03DA">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DA03DA" w:rsidRDefault="00DA03DA" w:rsidP="00DA03DA">
      <w:pPr>
        <w:spacing w:line="360" w:lineRule="auto"/>
        <w:ind w:right="51" w:firstLine="567"/>
        <w:jc w:val="both"/>
        <w:rPr>
          <w:rFonts w:ascii="Arial" w:eastAsia="Calibri" w:hAnsi="Arial" w:cs="Arial"/>
          <w:b/>
          <w:color w:val="000000"/>
          <w:sz w:val="24"/>
          <w:szCs w:val="24"/>
          <w:lang w:val="es-MX" w:eastAsia="en-US"/>
        </w:rPr>
      </w:pPr>
    </w:p>
    <w:p w:rsidR="00DA03DA" w:rsidRPr="007B0581" w:rsidRDefault="00DA03DA" w:rsidP="00DA03DA">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3DA" w:rsidRDefault="00DA03DA" w:rsidP="00DA03DA">
      <w:r>
        <w:separator/>
      </w:r>
    </w:p>
  </w:endnote>
  <w:endnote w:type="continuationSeparator" w:id="0">
    <w:p w:rsidR="00DA03DA" w:rsidRDefault="00DA03DA" w:rsidP="00DA0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563E25">
        <w:pPr>
          <w:pStyle w:val="Piedepgina"/>
          <w:jc w:val="center"/>
        </w:pPr>
        <w:r>
          <w:fldChar w:fldCharType="begin"/>
        </w:r>
        <w:r>
          <w:instrText>PAGE   \* MER</w:instrText>
        </w:r>
        <w:r>
          <w:instrText>GEFORMAT</w:instrText>
        </w:r>
        <w:r>
          <w:fldChar w:fldCharType="separate"/>
        </w:r>
        <w:r>
          <w:rPr>
            <w:noProof/>
          </w:rPr>
          <w:t>8</w:t>
        </w:r>
        <w:r>
          <w:fldChar w:fldCharType="end"/>
        </w:r>
      </w:p>
    </w:sdtContent>
  </w:sdt>
  <w:p w:rsidR="009525A3" w:rsidRDefault="00563E2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3DA" w:rsidRDefault="00DA03DA" w:rsidP="00DA03DA">
      <w:r>
        <w:separator/>
      </w:r>
    </w:p>
  </w:footnote>
  <w:footnote w:type="continuationSeparator" w:id="0">
    <w:p w:rsidR="00DA03DA" w:rsidRDefault="00DA03DA" w:rsidP="00DA03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DA03DA"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03D474CF" wp14:editId="0891D0B1">
              <wp:simplePos x="0" y="0"/>
              <wp:positionH relativeFrom="leftMargin">
                <wp:posOffset>294193</wp:posOffset>
              </wp:positionH>
              <wp:positionV relativeFrom="paragraph">
                <wp:posOffset>3611664</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A03DA" w:rsidRDefault="00DA03DA" w:rsidP="00DA03D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D474CF" id="_x0000_t202" coordsize="21600,21600" o:spt="202" path="m,l,21600r21600,l21600,xe">
              <v:stroke joinstyle="miter"/>
              <v:path gradientshapeok="t" o:connecttype="rect"/>
            </v:shapetype>
            <v:shape id="Cuadro de texto 4" o:spid="_x0000_s1026" type="#_x0000_t202" style="position:absolute;left:0;text-align:left;margin-left:23.15pt;margin-top:284.4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">
              <v:textbox>
                <w:txbxContent>
                  <w:p w:rsidR="00DA03DA" w:rsidRDefault="00DA03DA" w:rsidP="00DA03DA">
                    <w:pPr>
                      <w:jc w:val="center"/>
                    </w:pPr>
                    <w:r>
                      <w:t>DATOS PERSONALES PROTEGIDOS POR EL ART.- 116 DE LA LGTAIP Y EL ART.- 61 DE LA LTAIPEO</w:t>
                    </w:r>
                  </w:p>
                </w:txbxContent>
              </v:textbox>
              <w10:wrap anchorx="margin"/>
            </v:shape>
          </w:pict>
        </mc:Fallback>
      </mc:AlternateContent>
    </w:r>
    <w:r w:rsidR="00563E25" w:rsidRPr="00A73AD7">
      <w:rPr>
        <w:rFonts w:ascii="Arial" w:hAnsi="Arial" w:cs="Arial"/>
        <w:noProof/>
        <w:sz w:val="18"/>
        <w:szCs w:val="18"/>
        <w:lang w:val="es-MX"/>
      </w:rPr>
      <w:drawing>
        <wp:anchor distT="0" distB="0" distL="114300" distR="114300" simplePos="0" relativeHeight="251660288" behindDoc="1" locked="0" layoutInCell="1" allowOverlap="1" wp14:anchorId="2F9F1AE1" wp14:editId="05D7060E">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3E25">
      <w:rPr>
        <w:rFonts w:ascii="Arial" w:hAnsi="Arial" w:cs="Arial"/>
      </w:rPr>
      <w:t>0025</w:t>
    </w:r>
    <w:r w:rsidR="00563E25" w:rsidRPr="00A73AD7">
      <w:rPr>
        <w:rFonts w:ascii="Arial" w:hAnsi="Arial" w:cs="Arial"/>
      </w:rPr>
      <w:t>/20</w:t>
    </w:r>
    <w:r w:rsidR="00563E25">
      <w:rPr>
        <w:rFonts w:ascii="Arial" w:hAnsi="Arial" w:cs="Arial"/>
      </w:rPr>
      <w:t>2</w:t>
    </w:r>
    <w:r w:rsidR="00563E25">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DA03DA">
    <w:pPr>
      <w:pStyle w:val="Encabezado"/>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6B04BB73" wp14:editId="2F9808E3">
              <wp:simplePos x="0" y="0"/>
              <wp:positionH relativeFrom="leftMargin">
                <wp:posOffset>254147</wp:posOffset>
              </wp:positionH>
              <wp:positionV relativeFrom="paragraph">
                <wp:posOffset>5480818</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A03DA" w:rsidRDefault="00DA03DA" w:rsidP="00DA03D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04BB73" id="_x0000_t202" coordsize="21600,21600" o:spt="202" path="m,l,21600r21600,l21600,xe">
              <v:stroke joinstyle="miter"/>
              <v:path gradientshapeok="t" o:connecttype="rect"/>
            </v:shapetype>
            <v:shape id="Cuadro de texto 5" o:spid="_x0000_s1027" type="#_x0000_t202" style="position:absolute;margin-left:20pt;margin-top:431.5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">
              <v:textbox>
                <w:txbxContent>
                  <w:p w:rsidR="00DA03DA" w:rsidRDefault="00DA03DA" w:rsidP="00DA03DA">
                    <w:pPr>
                      <w:jc w:val="center"/>
                    </w:pPr>
                    <w:r>
                      <w:t>DATOS PERSONALES PROTEGIDOS POR EL ART.- 116 DE LA LGTAIP Y EL ART.- 61 DE LA LTAIPEO</w:t>
                    </w:r>
                  </w:p>
                </w:txbxContent>
              </v:textbox>
              <w10:wrap anchorx="margin"/>
            </v:shape>
          </w:pict>
        </mc:Fallback>
      </mc:AlternateContent>
    </w:r>
    <w:r w:rsidR="00563E25">
      <w:rPr>
        <w:noProof/>
        <w:lang w:val="es-MX"/>
      </w:rPr>
      <w:drawing>
        <wp:anchor distT="0" distB="0" distL="114300" distR="114300" simplePos="0" relativeHeight="251661312" behindDoc="1" locked="0" layoutInCell="1" allowOverlap="1" wp14:anchorId="5956372F" wp14:editId="5B8FEFCC">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563E25">
      <w:rPr>
        <w:noProof/>
        <w:lang w:val="es-MX"/>
      </w:rPr>
      <w:drawing>
        <wp:anchor distT="0" distB="0" distL="114300" distR="114300" simplePos="0" relativeHeight="251659264" behindDoc="1" locked="0" layoutInCell="1" allowOverlap="1" wp14:anchorId="3BEF4A43" wp14:editId="6600CE6B">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3DA"/>
    <w:rsid w:val="00294EC6"/>
    <w:rsid w:val="004B1DB0"/>
    <w:rsid w:val="005223BF"/>
    <w:rsid w:val="00563E25"/>
    <w:rsid w:val="00685BC3"/>
    <w:rsid w:val="00AC77AC"/>
    <w:rsid w:val="00B4550D"/>
    <w:rsid w:val="00DA03D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B1B2336A-2C2F-488D-BCA5-28C8EAD56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3D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DA03DA"/>
    <w:pPr>
      <w:spacing w:after="120"/>
    </w:pPr>
    <w:rPr>
      <w:lang w:val="x-none"/>
    </w:rPr>
  </w:style>
  <w:style w:type="character" w:customStyle="1" w:styleId="TextoindependienteCar">
    <w:name w:val="Texto independiente Car"/>
    <w:basedOn w:val="Fuentedeprrafopredeter"/>
    <w:link w:val="Textoindependiente"/>
    <w:uiPriority w:val="99"/>
    <w:rsid w:val="00DA03DA"/>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DA03DA"/>
    <w:pPr>
      <w:autoSpaceDE w:val="0"/>
      <w:autoSpaceDN w:val="0"/>
    </w:pPr>
    <w:rPr>
      <w:lang w:eastAsia="es-ES"/>
    </w:rPr>
  </w:style>
  <w:style w:type="character" w:customStyle="1" w:styleId="TextonotapieCar">
    <w:name w:val="Texto nota pie Car"/>
    <w:basedOn w:val="Fuentedeprrafopredeter"/>
    <w:link w:val="Textonotapie"/>
    <w:uiPriority w:val="99"/>
    <w:rsid w:val="00DA03DA"/>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DA03D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DA03DA"/>
    <w:rPr>
      <w:rFonts w:ascii="Arial" w:eastAsia="Times New Roman" w:hAnsi="Arial" w:cs="Times New Roman"/>
      <w:sz w:val="30"/>
      <w:szCs w:val="20"/>
      <w:lang w:val="es-ES_tradnl" w:eastAsia="es-ES"/>
    </w:rPr>
  </w:style>
  <w:style w:type="paragraph" w:styleId="Prrafodelista">
    <w:name w:val="List Paragraph"/>
    <w:basedOn w:val="Normal"/>
    <w:uiPriority w:val="34"/>
    <w:qFormat/>
    <w:rsid w:val="00DA03DA"/>
    <w:pPr>
      <w:ind w:left="720"/>
      <w:contextualSpacing/>
    </w:pPr>
  </w:style>
  <w:style w:type="paragraph" w:styleId="Encabezado">
    <w:name w:val="header"/>
    <w:basedOn w:val="Normal"/>
    <w:link w:val="EncabezadoCar"/>
    <w:uiPriority w:val="99"/>
    <w:unhideWhenUsed/>
    <w:rsid w:val="00DA03DA"/>
    <w:pPr>
      <w:tabs>
        <w:tab w:val="center" w:pos="4419"/>
        <w:tab w:val="right" w:pos="8838"/>
      </w:tabs>
    </w:pPr>
  </w:style>
  <w:style w:type="character" w:customStyle="1" w:styleId="EncabezadoCar">
    <w:name w:val="Encabezado Car"/>
    <w:basedOn w:val="Fuentedeprrafopredeter"/>
    <w:link w:val="Encabezado"/>
    <w:uiPriority w:val="99"/>
    <w:rsid w:val="00DA03DA"/>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DA03DA"/>
    <w:pPr>
      <w:tabs>
        <w:tab w:val="center" w:pos="4419"/>
        <w:tab w:val="right" w:pos="8838"/>
      </w:tabs>
    </w:pPr>
  </w:style>
  <w:style w:type="character" w:customStyle="1" w:styleId="PiedepginaCar">
    <w:name w:val="Pie de página Car"/>
    <w:basedOn w:val="Fuentedeprrafopredeter"/>
    <w:link w:val="Piedepgina"/>
    <w:uiPriority w:val="99"/>
    <w:rsid w:val="00DA03DA"/>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6B0"/>
    <w:rsid w:val="00B276B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168DF4D86204A72AEC9289FBA02A63A">
    <w:name w:val="D168DF4D86204A72AEC9289FBA02A63A"/>
    <w:rsid w:val="00B276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8</Pages>
  <Words>2763</Words>
  <Characters>15202</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2023-04-13T15:24:00Z</dcterms:created>
  <dcterms:modified xsi:type="dcterms:W3CDTF">2023-04-13T15:54:00Z</dcterms:modified>
</cp:coreProperties>
</file>