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219" w:rsidRPr="007B0581" w:rsidRDefault="00340219" w:rsidP="00340219">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340219" w:rsidRPr="007B0581" w:rsidRDefault="00340219" w:rsidP="00340219">
      <w:pPr>
        <w:pStyle w:val="corte4fondo"/>
        <w:spacing w:line="276" w:lineRule="auto"/>
        <w:ind w:left="3544" w:right="-521" w:firstLine="0"/>
        <w:rPr>
          <w:rFonts w:cs="Arial"/>
          <w:b/>
          <w:sz w:val="24"/>
          <w:szCs w:val="24"/>
        </w:rPr>
      </w:pPr>
    </w:p>
    <w:p w:rsidR="00340219" w:rsidRPr="007B0581" w:rsidRDefault="00340219" w:rsidP="00340219">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025</w:t>
      </w:r>
      <w:r w:rsidRPr="007B0581">
        <w:rPr>
          <w:rFonts w:cs="Arial"/>
          <w:b/>
          <w:bCs/>
          <w:sz w:val="24"/>
          <w:szCs w:val="24"/>
        </w:rPr>
        <w:t>/20</w:t>
      </w:r>
      <w:r>
        <w:rPr>
          <w:rFonts w:cs="Arial"/>
          <w:b/>
          <w:bCs/>
          <w:sz w:val="24"/>
          <w:szCs w:val="24"/>
        </w:rPr>
        <w:t>23</w:t>
      </w:r>
      <w:r w:rsidRPr="007B0581">
        <w:rPr>
          <w:rFonts w:cs="Arial"/>
          <w:sz w:val="24"/>
          <w:szCs w:val="24"/>
        </w:rPr>
        <w:t xml:space="preserve">. </w:t>
      </w:r>
    </w:p>
    <w:p w:rsidR="00340219" w:rsidRPr="007B0581" w:rsidRDefault="00340219" w:rsidP="00340219">
      <w:pPr>
        <w:pStyle w:val="corte4fondo"/>
        <w:spacing w:line="276" w:lineRule="auto"/>
        <w:ind w:left="3544" w:right="-521" w:firstLine="0"/>
        <w:rPr>
          <w:rFonts w:cs="Arial"/>
          <w:sz w:val="24"/>
          <w:szCs w:val="24"/>
        </w:rPr>
      </w:pPr>
    </w:p>
    <w:p w:rsidR="00340219" w:rsidRPr="007B0581" w:rsidRDefault="00340219" w:rsidP="00340219">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340219" w:rsidRPr="007B0581" w:rsidRDefault="00340219" w:rsidP="00340219">
      <w:pPr>
        <w:pStyle w:val="corte4fondo"/>
        <w:spacing w:line="276" w:lineRule="auto"/>
        <w:ind w:left="3544" w:right="-521" w:firstLine="0"/>
        <w:rPr>
          <w:rFonts w:cs="Arial"/>
          <w:b/>
          <w:i/>
          <w:sz w:val="24"/>
          <w:szCs w:val="24"/>
        </w:rPr>
      </w:pPr>
      <w:r w:rsidRPr="007B0581">
        <w:rPr>
          <w:rFonts w:cs="Arial"/>
          <w:b/>
          <w:i/>
          <w:sz w:val="24"/>
          <w:szCs w:val="24"/>
        </w:rPr>
        <w:t xml:space="preserve"> </w:t>
      </w:r>
    </w:p>
    <w:p w:rsidR="00340219" w:rsidRPr="007B0581" w:rsidRDefault="00340219" w:rsidP="00340219">
      <w:pPr>
        <w:pStyle w:val="corte4fond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POLICIA VIAL ESTATAL, **********, NÚMERO ESTADÍSTICO 235 Y DIRECTOR GENERAL DE LA POLICÍA VIAL ESTATAL.</w:t>
      </w:r>
    </w:p>
    <w:p w:rsidR="00340219" w:rsidRDefault="00340219" w:rsidP="00340219">
      <w:pPr>
        <w:pStyle w:val="corte4fondo"/>
        <w:spacing w:line="276" w:lineRule="auto"/>
        <w:ind w:left="3544" w:right="51" w:firstLine="0"/>
        <w:rPr>
          <w:rFonts w:cs="Arial"/>
          <w:bCs/>
          <w:sz w:val="24"/>
          <w:szCs w:val="24"/>
        </w:rPr>
      </w:pPr>
    </w:p>
    <w:p w:rsidR="00340219" w:rsidRDefault="00340219" w:rsidP="00340219">
      <w:pPr>
        <w:pStyle w:val="corte4fondo"/>
        <w:spacing w:line="276" w:lineRule="auto"/>
        <w:ind w:left="3544" w:right="51" w:firstLine="0"/>
        <w:rPr>
          <w:rFonts w:cs="Arial"/>
          <w:bCs/>
          <w:sz w:val="24"/>
          <w:szCs w:val="24"/>
        </w:rPr>
      </w:pPr>
    </w:p>
    <w:p w:rsidR="00340219" w:rsidRPr="007B0581" w:rsidRDefault="00340219" w:rsidP="00340219">
      <w:pPr>
        <w:pStyle w:val="corte4fondo"/>
        <w:spacing w:line="276" w:lineRule="auto"/>
        <w:ind w:left="3544" w:right="51" w:firstLine="0"/>
        <w:rPr>
          <w:rFonts w:cs="Arial"/>
          <w:bCs/>
          <w:sz w:val="24"/>
          <w:szCs w:val="24"/>
        </w:rPr>
      </w:pPr>
    </w:p>
    <w:p w:rsidR="00340219" w:rsidRDefault="00340219" w:rsidP="00340219">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VEINTINUEVE DE MAYO DE DOS MIL VEINTITRÉS</w:t>
      </w:r>
      <w:r w:rsidRPr="007B0581">
        <w:rPr>
          <w:rFonts w:ascii="Arial" w:hAnsi="Arial" w:cs="Arial"/>
          <w:b/>
          <w:sz w:val="24"/>
          <w:szCs w:val="24"/>
        </w:rPr>
        <w:t xml:space="preserve">. </w:t>
      </w:r>
    </w:p>
    <w:p w:rsidR="00340219" w:rsidRDefault="00340219" w:rsidP="00340219">
      <w:pPr>
        <w:spacing w:line="360" w:lineRule="auto"/>
        <w:jc w:val="both"/>
        <w:rPr>
          <w:rFonts w:ascii="Arial" w:hAnsi="Arial" w:cs="Arial"/>
          <w:b/>
          <w:sz w:val="24"/>
          <w:szCs w:val="24"/>
        </w:rPr>
      </w:pPr>
    </w:p>
    <w:p w:rsidR="00340219" w:rsidRDefault="00340219" w:rsidP="00340219">
      <w:pPr>
        <w:spacing w:line="360" w:lineRule="auto"/>
        <w:jc w:val="both"/>
        <w:rPr>
          <w:rFonts w:ascii="Arial" w:hAnsi="Arial" w:cs="Arial"/>
          <w:b/>
          <w:sz w:val="24"/>
          <w:szCs w:val="24"/>
        </w:rPr>
      </w:pPr>
      <w:r w:rsidRPr="007B0581">
        <w:rPr>
          <w:rFonts w:ascii="Arial" w:hAnsi="Arial" w:cs="Arial"/>
          <w:b/>
          <w:sz w:val="24"/>
          <w:szCs w:val="24"/>
        </w:rPr>
        <w:t xml:space="preserve"> </w:t>
      </w:r>
    </w:p>
    <w:p w:rsidR="00340219" w:rsidRDefault="00340219" w:rsidP="00340219">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0025</w:t>
      </w:r>
      <w:r w:rsidRPr="001A7D4E">
        <w:rPr>
          <w:rFonts w:ascii="Arial" w:hAnsi="Arial" w:cs="Arial"/>
          <w:b/>
          <w:bCs/>
          <w:sz w:val="24"/>
          <w:szCs w:val="24"/>
        </w:rPr>
        <w:t>/20</w:t>
      </w:r>
      <w:r>
        <w:rPr>
          <w:rFonts w:ascii="Arial" w:hAnsi="Arial" w:cs="Arial"/>
          <w:b/>
          <w:bCs/>
          <w:sz w:val="24"/>
          <w:szCs w:val="24"/>
        </w:rPr>
        <w:t>23</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diez de marzo de dos mil veintitrés</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a</w:t>
      </w:r>
      <w:r w:rsidRPr="007B0581">
        <w:rPr>
          <w:rFonts w:ascii="Arial" w:hAnsi="Arial" w:cs="Arial"/>
          <w:sz w:val="24"/>
          <w:szCs w:val="24"/>
        </w:rPr>
        <w:t xml:space="preserve">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Pr>
          <w:rFonts w:cs="Arial"/>
          <w:b/>
          <w:sz w:val="24"/>
          <w:szCs w:val="24"/>
        </w:rPr>
        <w:t>**********</w:t>
      </w:r>
      <w:r>
        <w:rPr>
          <w:rFonts w:ascii="Arial" w:hAnsi="Arial" w:cs="Arial"/>
          <w:sz w:val="24"/>
          <w:szCs w:val="24"/>
        </w:rPr>
        <w:t>, con número estadístico 235, así como en contra del Director General de la Policía Vial Estatal</w:t>
      </w:r>
      <w:r w:rsidRPr="007B0581">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p w:rsidR="00340219" w:rsidRDefault="00340219" w:rsidP="00340219">
      <w:pPr>
        <w:spacing w:line="360" w:lineRule="auto"/>
        <w:jc w:val="both"/>
        <w:rPr>
          <w:rFonts w:ascii="Arial" w:hAnsi="Arial" w:cs="Arial"/>
          <w:b/>
          <w:bCs/>
          <w:sz w:val="24"/>
          <w:szCs w:val="24"/>
        </w:rPr>
      </w:pPr>
    </w:p>
    <w:bookmarkEnd w:id="1"/>
    <w:p w:rsidR="00340219" w:rsidRDefault="00340219" w:rsidP="00340219">
      <w:pPr>
        <w:contextualSpacing/>
        <w:jc w:val="both"/>
        <w:rPr>
          <w:rFonts w:ascii="Arial" w:hAnsi="Arial" w:cs="Arial"/>
          <w:sz w:val="24"/>
          <w:szCs w:val="24"/>
        </w:rPr>
      </w:pPr>
    </w:p>
    <w:p w:rsidR="00340219" w:rsidRDefault="00340219" w:rsidP="00340219">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340219" w:rsidRDefault="00340219" w:rsidP="00340219">
      <w:pPr>
        <w:spacing w:line="360" w:lineRule="auto"/>
        <w:ind w:firstLine="708"/>
        <w:jc w:val="center"/>
        <w:rPr>
          <w:rFonts w:ascii="Arial" w:hAnsi="Arial" w:cs="Arial"/>
          <w:b/>
          <w:spacing w:val="-3"/>
          <w:sz w:val="24"/>
          <w:szCs w:val="24"/>
          <w:lang w:val="es-ES_tradnl"/>
        </w:rPr>
      </w:pPr>
    </w:p>
    <w:p w:rsidR="00340219" w:rsidRPr="007B0581" w:rsidRDefault="00340219" w:rsidP="00340219">
      <w:pPr>
        <w:spacing w:line="360" w:lineRule="auto"/>
        <w:ind w:firstLine="708"/>
        <w:jc w:val="center"/>
        <w:rPr>
          <w:rFonts w:ascii="Arial" w:hAnsi="Arial" w:cs="Arial"/>
          <w:b/>
          <w:spacing w:val="-3"/>
          <w:sz w:val="24"/>
          <w:szCs w:val="24"/>
          <w:lang w:val="es-ES_tradnl"/>
        </w:rPr>
      </w:pPr>
    </w:p>
    <w:p w:rsidR="00340219" w:rsidRPr="007B0581" w:rsidRDefault="00340219" w:rsidP="00340219">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quince de marzo de dos mil veintitrés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w:t>
      </w:r>
      <w:bookmarkStart w:id="3" w:name="_GoBack"/>
      <w:r>
        <w:rPr>
          <w:rFonts w:ascii="Arial" w:hAnsi="Arial" w:cs="Arial"/>
          <w:sz w:val="24"/>
          <w:szCs w:val="24"/>
        </w:rPr>
        <w:t>folio</w:t>
      </w:r>
      <w:bookmarkEnd w:id="3"/>
      <w:r>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 </w:t>
      </w:r>
      <w:r>
        <w:rPr>
          <w:rFonts w:ascii="Arial" w:hAnsi="Arial" w:cs="Arial"/>
          <w:sz w:val="24"/>
          <w:szCs w:val="24"/>
        </w:rPr>
        <w:t>diez de marzo de dos mil veintitrés</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 xml:space="preserve">el </w:t>
      </w:r>
      <w:r w:rsidRPr="00CF24D3">
        <w:rPr>
          <w:rFonts w:ascii="Arial" w:hAnsi="Arial" w:cs="Arial"/>
          <w:sz w:val="24"/>
          <w:szCs w:val="24"/>
        </w:rPr>
        <w:t>Policía Vial Estatal</w:t>
      </w:r>
      <w:r>
        <w:rPr>
          <w:rFonts w:ascii="Arial" w:hAnsi="Arial" w:cs="Arial"/>
          <w:sz w:val="24"/>
          <w:szCs w:val="24"/>
        </w:rPr>
        <w:t xml:space="preserve">, </w:t>
      </w:r>
      <w:r>
        <w:rPr>
          <w:rFonts w:cs="Arial"/>
          <w:b/>
          <w:sz w:val="24"/>
          <w:szCs w:val="24"/>
        </w:rPr>
        <w:t>**********</w:t>
      </w:r>
      <w:r>
        <w:rPr>
          <w:rFonts w:ascii="Arial" w:hAnsi="Arial" w:cs="Arial"/>
          <w:sz w:val="24"/>
          <w:szCs w:val="24"/>
        </w:rPr>
        <w:t>, con número estadístico 235, así como en contra del Director General de la Policía Vial Estatal</w:t>
      </w:r>
      <w:r w:rsidRPr="007B0581">
        <w:rPr>
          <w:rFonts w:ascii="Arial" w:hAnsi="Arial" w:cs="Arial"/>
          <w:sz w:val="24"/>
          <w:szCs w:val="24"/>
        </w:rPr>
        <w:t xml:space="preserve">. </w:t>
      </w:r>
    </w:p>
    <w:bookmarkEnd w:id="2"/>
    <w:p w:rsidR="00340219" w:rsidRPr="007B0581" w:rsidRDefault="00340219" w:rsidP="00340219">
      <w:pPr>
        <w:contextualSpacing/>
        <w:jc w:val="both"/>
        <w:rPr>
          <w:rFonts w:ascii="Arial" w:hAnsi="Arial" w:cs="Arial"/>
          <w:sz w:val="24"/>
          <w:szCs w:val="24"/>
        </w:rPr>
      </w:pPr>
    </w:p>
    <w:p w:rsidR="00340219" w:rsidRDefault="00340219" w:rsidP="00340219">
      <w:pPr>
        <w:spacing w:line="360" w:lineRule="auto"/>
        <w:ind w:firstLine="567"/>
        <w:jc w:val="both"/>
        <w:rPr>
          <w:rFonts w:ascii="Arial" w:hAnsi="Arial" w:cs="Arial"/>
          <w:sz w:val="24"/>
          <w:szCs w:val="24"/>
        </w:rPr>
      </w:pPr>
      <w:r w:rsidRPr="00726CFB">
        <w:rPr>
          <w:rFonts w:ascii="Arial" w:hAnsi="Arial" w:cs="Arial"/>
          <w:b/>
          <w:sz w:val="24"/>
          <w:szCs w:val="24"/>
        </w:rPr>
        <w:t>SEGUN</w:t>
      </w:r>
      <w:r w:rsidRPr="007B0581">
        <w:rPr>
          <w:rFonts w:ascii="Arial" w:hAnsi="Arial" w:cs="Arial"/>
          <w:b/>
          <w:sz w:val="24"/>
          <w:szCs w:val="24"/>
        </w:rPr>
        <w:t xml:space="preserve">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proveído de dieciséis de marzo de dos mil veintitrés, </w:t>
      </w:r>
      <w:r w:rsidRPr="007B0581">
        <w:rPr>
          <w:rFonts w:ascii="Arial" w:hAnsi="Arial" w:cs="Arial"/>
          <w:sz w:val="24"/>
          <w:szCs w:val="24"/>
        </w:rPr>
        <w:t>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w:t>
      </w:r>
    </w:p>
    <w:p w:rsidR="00340219" w:rsidRDefault="00340219" w:rsidP="00340219">
      <w:pPr>
        <w:spacing w:line="360" w:lineRule="auto"/>
        <w:ind w:firstLine="567"/>
        <w:jc w:val="both"/>
        <w:rPr>
          <w:rFonts w:ascii="Arial" w:hAnsi="Arial" w:cs="Arial"/>
          <w:sz w:val="24"/>
          <w:szCs w:val="24"/>
        </w:rPr>
      </w:pPr>
      <w:r>
        <w:rPr>
          <w:rFonts w:ascii="Arial" w:hAnsi="Arial" w:cs="Arial"/>
          <w:sz w:val="24"/>
          <w:szCs w:val="24"/>
        </w:rPr>
        <w:t xml:space="preserve"> </w:t>
      </w:r>
    </w:p>
    <w:p w:rsidR="00340219" w:rsidRDefault="00340219" w:rsidP="00340219">
      <w:pPr>
        <w:spacing w:line="360" w:lineRule="auto"/>
        <w:ind w:firstLine="567"/>
        <w:jc w:val="both"/>
        <w:rPr>
          <w:rFonts w:ascii="Arial" w:hAnsi="Arial" w:cs="Arial"/>
          <w:sz w:val="24"/>
          <w:szCs w:val="24"/>
        </w:rPr>
      </w:pPr>
      <w:r w:rsidRPr="00D60FE8">
        <w:rPr>
          <w:rFonts w:ascii="Arial" w:hAnsi="Arial" w:cs="Arial"/>
          <w:b/>
          <w:bCs/>
          <w:sz w:val="24"/>
          <w:szCs w:val="24"/>
        </w:rPr>
        <w:lastRenderedPageBreak/>
        <w:t>TERCERO. -</w:t>
      </w:r>
      <w:r w:rsidRPr="007B0581">
        <w:rPr>
          <w:rFonts w:ascii="Arial" w:hAnsi="Arial" w:cs="Arial"/>
          <w:sz w:val="24"/>
          <w:szCs w:val="24"/>
        </w:rPr>
        <w:t xml:space="preserve"> </w:t>
      </w:r>
      <w:r>
        <w:rPr>
          <w:rFonts w:ascii="Arial" w:hAnsi="Arial" w:cs="Arial"/>
          <w:sz w:val="24"/>
          <w:szCs w:val="24"/>
        </w:rPr>
        <w:t xml:space="preserve">por acuerdo de veintiséis de abril de dos mil veintitrés, </w:t>
      </w:r>
      <w:r w:rsidRPr="00B4689C">
        <w:rPr>
          <w:rFonts w:ascii="Arial" w:hAnsi="Arial" w:cs="Arial"/>
          <w:bCs/>
          <w:sz w:val="24"/>
          <w:szCs w:val="24"/>
        </w:rPr>
        <w:t>se tuvo</w:t>
      </w:r>
      <w:r>
        <w:rPr>
          <w:rFonts w:ascii="Arial" w:hAnsi="Arial" w:cs="Arial"/>
          <w:bCs/>
          <w:sz w:val="24"/>
          <w:szCs w:val="24"/>
        </w:rPr>
        <w:t xml:space="preserve"> a las autoridades demandadas, </w:t>
      </w:r>
      <w:r w:rsidRPr="0075481C">
        <w:rPr>
          <w:rFonts w:ascii="Arial" w:hAnsi="Arial" w:cs="Arial"/>
          <w:sz w:val="24"/>
          <w:szCs w:val="24"/>
        </w:rPr>
        <w:t>dando contestación a la demanda en tiempo y forma, por acreditada la personalidad con la que compareci</w:t>
      </w:r>
      <w:r>
        <w:rPr>
          <w:rFonts w:ascii="Arial" w:hAnsi="Arial" w:cs="Arial"/>
          <w:sz w:val="24"/>
          <w:szCs w:val="24"/>
        </w:rPr>
        <w:t>eron</w:t>
      </w:r>
      <w:r w:rsidRPr="0075481C">
        <w:rPr>
          <w:rFonts w:ascii="Arial" w:hAnsi="Arial" w:cs="Arial"/>
          <w:sz w:val="24"/>
          <w:szCs w:val="24"/>
        </w:rPr>
        <w:t>, haciendo valer sus excepciones y defensas, ordenándose correr traslado a la parte actora para los efectos legales correspondientes</w:t>
      </w:r>
      <w:r>
        <w:rPr>
          <w:rFonts w:ascii="Arial" w:hAnsi="Arial" w:cs="Arial"/>
          <w:sz w:val="24"/>
          <w:szCs w:val="24"/>
        </w:rPr>
        <w:t>. Asimismo, se señalaron las ONCE HORAS del día DIECIOCHO DE MAYO DE DOS MIL VEINTITRÉS, para la celebración de la audiencia final.</w:t>
      </w:r>
    </w:p>
    <w:p w:rsidR="00340219" w:rsidRDefault="00340219" w:rsidP="00340219">
      <w:pPr>
        <w:spacing w:line="360" w:lineRule="auto"/>
        <w:ind w:firstLine="567"/>
        <w:jc w:val="both"/>
        <w:rPr>
          <w:rFonts w:ascii="Arial" w:hAnsi="Arial" w:cs="Arial"/>
          <w:sz w:val="24"/>
          <w:szCs w:val="24"/>
        </w:rPr>
      </w:pPr>
    </w:p>
    <w:p w:rsidR="00340219" w:rsidRDefault="00340219" w:rsidP="00340219">
      <w:pPr>
        <w:spacing w:line="360" w:lineRule="auto"/>
        <w:ind w:firstLine="567"/>
        <w:jc w:val="both"/>
        <w:rPr>
          <w:rFonts w:ascii="Arial" w:hAnsi="Arial" w:cs="Arial"/>
          <w:sz w:val="24"/>
          <w:szCs w:val="24"/>
        </w:rPr>
      </w:pPr>
      <w:r w:rsidRPr="00E45F0B">
        <w:rPr>
          <w:rFonts w:ascii="Arial" w:hAnsi="Arial" w:cs="Arial"/>
          <w:b/>
          <w:bCs/>
          <w:sz w:val="24"/>
          <w:szCs w:val="24"/>
        </w:rPr>
        <w:t>CUARTO. -</w:t>
      </w:r>
      <w:r>
        <w:rPr>
          <w:rFonts w:ascii="Arial" w:hAnsi="Arial" w:cs="Arial"/>
          <w:sz w:val="24"/>
          <w:szCs w:val="24"/>
        </w:rPr>
        <w:t xml:space="preserve"> </w:t>
      </w:r>
      <w:r w:rsidRPr="00DE67C6">
        <w:rPr>
          <w:rFonts w:ascii="Arial" w:hAnsi="Arial" w:cs="Arial"/>
          <w:sz w:val="24"/>
          <w:szCs w:val="24"/>
        </w:rPr>
        <w:t xml:space="preserve">El </w:t>
      </w:r>
      <w:r>
        <w:rPr>
          <w:rFonts w:ascii="Arial" w:hAnsi="Arial" w:cs="Arial"/>
          <w:sz w:val="24"/>
          <w:szCs w:val="24"/>
        </w:rPr>
        <w:t>dieciocho de mayo de dos mil veintitrés</w:t>
      </w:r>
      <w:r w:rsidRPr="00DE67C6">
        <w:rPr>
          <w:rFonts w:ascii="Arial" w:hAnsi="Arial" w:cs="Arial"/>
          <w:bCs/>
          <w:sz w:val="24"/>
          <w:szCs w:val="24"/>
        </w:rPr>
        <w:t xml:space="preserve">, se llevó a cabo la audiencia final, </w:t>
      </w:r>
      <w:r w:rsidRPr="00DE67C6">
        <w:rPr>
          <w:rFonts w:ascii="Arial" w:hAnsi="Arial" w:cs="Arial"/>
          <w:sz w:val="24"/>
          <w:szCs w:val="24"/>
        </w:rPr>
        <w:t>sin la asistencia de las partes, ni persona alguna que legalmente las representara</w:t>
      </w:r>
      <w:r w:rsidRPr="00DE67C6">
        <w:rPr>
          <w:rFonts w:ascii="Arial" w:hAnsi="Arial" w:cs="Arial"/>
          <w:bCs/>
          <w:sz w:val="24"/>
          <w:szCs w:val="24"/>
        </w:rPr>
        <w:t xml:space="preserve">, </w:t>
      </w:r>
      <w:r w:rsidRPr="00DE67C6">
        <w:rPr>
          <w:rFonts w:ascii="Arial" w:hAnsi="Arial" w:cs="Arial"/>
          <w:sz w:val="24"/>
          <w:szCs w:val="24"/>
        </w:rPr>
        <w:t xml:space="preserve">asentando la Secretaria de Acuerdos de esta Sala, que </w:t>
      </w:r>
      <w:r>
        <w:rPr>
          <w:rFonts w:ascii="Arial" w:hAnsi="Arial" w:cs="Arial"/>
          <w:sz w:val="24"/>
          <w:szCs w:val="24"/>
        </w:rPr>
        <w:t>no se formularon</w:t>
      </w:r>
      <w:r w:rsidRPr="00DE67C6">
        <w:rPr>
          <w:rFonts w:ascii="Arial" w:hAnsi="Arial" w:cs="Arial"/>
          <w:sz w:val="24"/>
          <w:szCs w:val="24"/>
        </w:rPr>
        <w:t xml:space="preserve"> alegatos, por lo que se ordenó citar a las partes a oír sentencia dentro del término de ley, misma que ahora se pronuncia, y;</w:t>
      </w:r>
    </w:p>
    <w:p w:rsidR="00340219" w:rsidRDefault="00340219" w:rsidP="00340219">
      <w:pPr>
        <w:spacing w:line="360" w:lineRule="auto"/>
        <w:ind w:firstLine="567"/>
        <w:jc w:val="both"/>
        <w:rPr>
          <w:rFonts w:ascii="Arial" w:hAnsi="Arial" w:cs="Arial"/>
          <w:sz w:val="24"/>
          <w:szCs w:val="24"/>
        </w:rPr>
      </w:pPr>
    </w:p>
    <w:p w:rsidR="00340219" w:rsidRPr="007B0581" w:rsidRDefault="00340219" w:rsidP="00340219">
      <w:pPr>
        <w:pStyle w:val="corte4fondo"/>
        <w:ind w:right="51" w:firstLine="567"/>
        <w:rPr>
          <w:rFonts w:cs="Arial"/>
          <w:b/>
          <w:spacing w:val="-3"/>
          <w:sz w:val="24"/>
          <w:szCs w:val="24"/>
        </w:rPr>
      </w:pPr>
      <w:r w:rsidRPr="007B0581">
        <w:rPr>
          <w:rFonts w:cs="Arial"/>
          <w:b/>
          <w:bCs/>
          <w:sz w:val="24"/>
          <w:szCs w:val="24"/>
        </w:rPr>
        <w:t xml:space="preserve"> </w:t>
      </w:r>
    </w:p>
    <w:p w:rsidR="00340219" w:rsidRDefault="00340219" w:rsidP="00340219">
      <w:pPr>
        <w:pStyle w:val="corte4fondo"/>
        <w:ind w:right="51" w:firstLine="567"/>
        <w:jc w:val="center"/>
        <w:rPr>
          <w:rFonts w:cs="Arial"/>
          <w:b/>
          <w:spacing w:val="-3"/>
          <w:sz w:val="24"/>
          <w:szCs w:val="24"/>
        </w:rPr>
      </w:pPr>
      <w:r w:rsidRPr="005F019B">
        <w:rPr>
          <w:rFonts w:cs="Arial"/>
          <w:b/>
          <w:spacing w:val="-3"/>
          <w:sz w:val="24"/>
          <w:szCs w:val="24"/>
        </w:rPr>
        <w:t>C O N S I D E R A N D O</w:t>
      </w:r>
    </w:p>
    <w:p w:rsidR="00340219" w:rsidRDefault="00340219" w:rsidP="00340219">
      <w:pPr>
        <w:pStyle w:val="corte4fondo"/>
        <w:ind w:right="51" w:firstLine="567"/>
        <w:jc w:val="center"/>
        <w:rPr>
          <w:rFonts w:cs="Arial"/>
          <w:b/>
          <w:spacing w:val="-3"/>
          <w:sz w:val="24"/>
          <w:szCs w:val="24"/>
        </w:rPr>
      </w:pPr>
    </w:p>
    <w:p w:rsidR="00340219" w:rsidRPr="007B0581" w:rsidRDefault="00340219" w:rsidP="00340219">
      <w:pPr>
        <w:pStyle w:val="corte4fondo"/>
        <w:ind w:right="51" w:firstLine="567"/>
        <w:jc w:val="center"/>
        <w:rPr>
          <w:rFonts w:cs="Arial"/>
          <w:b/>
          <w:spacing w:val="-3"/>
          <w:sz w:val="24"/>
          <w:szCs w:val="24"/>
        </w:rPr>
      </w:pPr>
    </w:p>
    <w:p w:rsidR="00340219" w:rsidRPr="007B0581" w:rsidRDefault="00340219" w:rsidP="00340219">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w:t>
      </w:r>
      <w:r>
        <w:rPr>
          <w:rFonts w:ascii="Arial" w:hAnsi="Arial" w:cs="Arial"/>
          <w:sz w:val="24"/>
          <w:szCs w:val="24"/>
        </w:rPr>
        <w:t>tente para conocer y resolver el</w:t>
      </w:r>
      <w:r w:rsidRPr="007B0581">
        <w:rPr>
          <w:rFonts w:ascii="Arial" w:hAnsi="Arial" w:cs="Arial"/>
          <w:sz w:val="24"/>
          <w:szCs w:val="24"/>
        </w:rPr>
        <w:t xml:space="preserve"> presente juicio de nulidad promovido en contra de una resolución atribuida </w:t>
      </w:r>
      <w:r>
        <w:rPr>
          <w:rFonts w:ascii="Arial" w:hAnsi="Arial" w:cs="Arial"/>
          <w:sz w:val="24"/>
          <w:szCs w:val="24"/>
        </w:rPr>
        <w:t>a la Autoridad Estatal</w:t>
      </w:r>
      <w:r w:rsidRPr="007B0581">
        <w:rPr>
          <w:rFonts w:ascii="Arial" w:hAnsi="Arial" w:cs="Arial"/>
          <w:sz w:val="24"/>
          <w:szCs w:val="24"/>
        </w:rPr>
        <w:t xml:space="preserve">, con fundamento en el artículo 114 QUATER, párrafo primero, inciso B, </w:t>
      </w:r>
      <w:r w:rsidRPr="00F57BEE">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w:t>
      </w:r>
      <w:r w:rsidRPr="002F256B">
        <w:rPr>
          <w:rFonts w:ascii="Arial" w:hAnsi="Arial" w:cs="Arial"/>
          <w:sz w:val="24"/>
          <w:szCs w:val="24"/>
        </w:rPr>
        <w:t>fracción I,</w:t>
      </w:r>
      <w:r w:rsidRPr="007B0581">
        <w:rPr>
          <w:rFonts w:ascii="Arial" w:hAnsi="Arial" w:cs="Arial"/>
          <w:sz w:val="24"/>
          <w:szCs w:val="24"/>
        </w:rPr>
        <w:t xml:space="preserve"> 132 fracciones I y II, 133 </w:t>
      </w:r>
      <w:r w:rsidRPr="004A163F">
        <w:rPr>
          <w:rFonts w:ascii="Arial" w:hAnsi="Arial" w:cs="Arial"/>
          <w:sz w:val="24"/>
          <w:szCs w:val="24"/>
        </w:rPr>
        <w:t xml:space="preserve">fracción </w:t>
      </w:r>
      <w:r w:rsidRPr="00726CFB">
        <w:rPr>
          <w:rFonts w:ascii="Arial" w:hAnsi="Arial" w:cs="Arial"/>
          <w:sz w:val="24"/>
          <w:szCs w:val="24"/>
        </w:rPr>
        <w:t>I</w:t>
      </w:r>
      <w:r w:rsidRPr="004A163F">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340219" w:rsidRPr="007B0581" w:rsidRDefault="00340219" w:rsidP="00340219">
      <w:pPr>
        <w:spacing w:line="360" w:lineRule="auto"/>
        <w:jc w:val="both"/>
        <w:rPr>
          <w:rFonts w:ascii="Arial" w:hAnsi="Arial" w:cs="Arial"/>
          <w:sz w:val="24"/>
          <w:szCs w:val="24"/>
        </w:rPr>
      </w:pPr>
      <w:r w:rsidRPr="007B0581">
        <w:rPr>
          <w:rFonts w:ascii="Arial" w:hAnsi="Arial" w:cs="Arial"/>
          <w:sz w:val="24"/>
          <w:szCs w:val="24"/>
        </w:rPr>
        <w:t xml:space="preserve"> </w:t>
      </w:r>
    </w:p>
    <w:p w:rsidR="00340219" w:rsidRDefault="00340219" w:rsidP="00340219">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18610D">
        <w:rPr>
          <w:rFonts w:ascii="Arial" w:hAnsi="Arial" w:cs="Arial"/>
          <w:sz w:val="24"/>
          <w:szCs w:val="24"/>
        </w:rPr>
        <w:t>La personalidad</w:t>
      </w:r>
      <w:r w:rsidRPr="007B0581">
        <w:rPr>
          <w:rFonts w:ascii="Arial" w:hAnsi="Arial" w:cs="Arial"/>
          <w:sz w:val="24"/>
          <w:szCs w:val="24"/>
        </w:rPr>
        <w:t xml:space="preserve"> jurídica de</w:t>
      </w:r>
      <w:r>
        <w:rPr>
          <w:rFonts w:ascii="Arial" w:hAnsi="Arial" w:cs="Arial"/>
          <w:sz w:val="24"/>
          <w:szCs w:val="24"/>
        </w:rPr>
        <w:t>l actor</w:t>
      </w:r>
      <w:r w:rsidRPr="007B0581">
        <w:rPr>
          <w:rFonts w:ascii="Arial" w:hAnsi="Arial" w:cs="Arial"/>
          <w:sz w:val="24"/>
          <w:szCs w:val="24"/>
        </w:rPr>
        <w:t xml:space="preserve"> quedó acreditada en autos, en virtud que</w:t>
      </w:r>
      <w:r>
        <w:rPr>
          <w:rFonts w:ascii="Arial" w:hAnsi="Arial" w:cs="Arial"/>
          <w:sz w:val="24"/>
          <w:szCs w:val="24"/>
        </w:rPr>
        <w:t xml:space="preserve"> promueve</w:t>
      </w:r>
      <w:r w:rsidRPr="007B0581">
        <w:rPr>
          <w:rFonts w:ascii="Arial" w:hAnsi="Arial" w:cs="Arial"/>
          <w:sz w:val="24"/>
          <w:szCs w:val="24"/>
        </w:rPr>
        <w:t xml:space="preserve"> por su propio derecho</w:t>
      </w:r>
      <w:r>
        <w:rPr>
          <w:rFonts w:ascii="Arial" w:hAnsi="Arial" w:cs="Arial"/>
          <w:sz w:val="24"/>
          <w:szCs w:val="24"/>
        </w:rPr>
        <w:t xml:space="preserve">, la de la autoridad demandada Director General de la Policía Vial Estatal con copia simple de su nombramiento y la de la restante demandada </w:t>
      </w:r>
      <w:r w:rsidRPr="007B1EB2">
        <w:rPr>
          <w:rFonts w:ascii="Arial" w:hAnsi="Arial" w:cs="Arial"/>
          <w:sz w:val="24"/>
          <w:szCs w:val="24"/>
        </w:rPr>
        <w:t>Policía Vial Estatal</w:t>
      </w:r>
      <w:r>
        <w:rPr>
          <w:rFonts w:ascii="Arial" w:hAnsi="Arial" w:cs="Arial"/>
          <w:sz w:val="24"/>
          <w:szCs w:val="24"/>
        </w:rPr>
        <w:t xml:space="preserve">, </w:t>
      </w:r>
      <w:r>
        <w:rPr>
          <w:rFonts w:cs="Arial"/>
          <w:b/>
          <w:sz w:val="24"/>
          <w:szCs w:val="24"/>
        </w:rPr>
        <w:t>**********</w:t>
      </w:r>
      <w:r>
        <w:rPr>
          <w:rFonts w:ascii="Arial" w:hAnsi="Arial" w:cs="Arial"/>
          <w:sz w:val="24"/>
          <w:szCs w:val="24"/>
        </w:rPr>
        <w:t>, con número estadístico 235, con copia simple de su contrato de enganche y en términos de los artículos 148 y 151 de la Ley de Procedimiento y Justicia Administrativa para el Estado de Oaxaca.</w:t>
      </w:r>
    </w:p>
    <w:p w:rsidR="00340219" w:rsidRPr="007B0581" w:rsidRDefault="00340219" w:rsidP="00340219">
      <w:pPr>
        <w:spacing w:line="360" w:lineRule="auto"/>
        <w:ind w:right="51" w:firstLine="709"/>
        <w:jc w:val="both"/>
        <w:rPr>
          <w:rFonts w:ascii="Arial" w:hAnsi="Arial" w:cs="Arial"/>
          <w:sz w:val="24"/>
          <w:szCs w:val="24"/>
        </w:rPr>
      </w:pPr>
      <w:r w:rsidRPr="007B0581">
        <w:rPr>
          <w:rFonts w:ascii="Arial" w:hAnsi="Arial" w:cs="Arial"/>
          <w:snapToGrid w:val="0"/>
          <w:sz w:val="24"/>
          <w:szCs w:val="24"/>
        </w:rPr>
        <w:t xml:space="preserve"> </w:t>
      </w:r>
      <w:r w:rsidRPr="007B0581">
        <w:rPr>
          <w:rFonts w:ascii="Arial" w:hAnsi="Arial" w:cs="Arial"/>
          <w:sz w:val="24"/>
          <w:szCs w:val="24"/>
        </w:rPr>
        <w:t xml:space="preserve"> </w:t>
      </w:r>
    </w:p>
    <w:p w:rsidR="00340219" w:rsidRDefault="00340219" w:rsidP="00340219">
      <w:pPr>
        <w:pStyle w:val="corte4fondo"/>
        <w:ind w:right="51" w:firstLine="567"/>
        <w:rPr>
          <w:rFonts w:cs="Arial"/>
          <w:sz w:val="24"/>
          <w:szCs w:val="24"/>
        </w:rPr>
      </w:pPr>
      <w:r w:rsidRPr="007B0581">
        <w:rPr>
          <w:rFonts w:cs="Arial"/>
          <w:sz w:val="24"/>
          <w:szCs w:val="24"/>
        </w:rPr>
        <w:tab/>
      </w:r>
      <w:r w:rsidRPr="00610B74">
        <w:rPr>
          <w:rFonts w:cs="Arial"/>
          <w:b/>
          <w:sz w:val="24"/>
          <w:szCs w:val="24"/>
        </w:rPr>
        <w:t>TERCERO</w:t>
      </w:r>
      <w:r w:rsidRPr="007B4861">
        <w:rPr>
          <w:rFonts w:cs="Arial"/>
          <w:b/>
          <w:sz w:val="24"/>
          <w:szCs w:val="24"/>
        </w:rPr>
        <w:t>.-</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procede analizar,</w:t>
      </w:r>
      <w:r>
        <w:rPr>
          <w:rFonts w:cs="Arial"/>
          <w:bCs/>
          <w:sz w:val="24"/>
          <w:szCs w:val="24"/>
        </w:rPr>
        <w:t xml:space="preserve"> la causal de improcedencia invocada por la autoridad demandada </w:t>
      </w:r>
      <w:r>
        <w:rPr>
          <w:rFonts w:cs="Arial"/>
          <w:sz w:val="24"/>
          <w:szCs w:val="24"/>
        </w:rPr>
        <w:t>Director General de la Policía Vial Estatal,</w:t>
      </w:r>
      <w:r>
        <w:rPr>
          <w:rFonts w:cs="Arial"/>
          <w:bCs/>
          <w:sz w:val="24"/>
          <w:szCs w:val="24"/>
        </w:rPr>
        <w:t xml:space="preserve"> señalada en los artículos 161, fracción V y 162, fracción V, de la Ley de Procedimiento y Justicia Administrativa para el Estado de Oaxaca, que establecen:</w:t>
      </w:r>
    </w:p>
    <w:p w:rsidR="00340219" w:rsidRDefault="00340219" w:rsidP="00340219">
      <w:pPr>
        <w:pStyle w:val="corte4fondo"/>
        <w:ind w:right="51" w:firstLine="567"/>
        <w:rPr>
          <w:rFonts w:cs="Arial"/>
          <w:sz w:val="24"/>
          <w:szCs w:val="24"/>
        </w:rPr>
      </w:pPr>
    </w:p>
    <w:p w:rsidR="00340219" w:rsidRPr="00056490" w:rsidRDefault="00340219" w:rsidP="00340219">
      <w:pPr>
        <w:pStyle w:val="corte4fondo"/>
        <w:ind w:right="51" w:firstLine="567"/>
        <w:rPr>
          <w:rFonts w:cs="Arial"/>
          <w:bCs/>
          <w:i/>
          <w:iCs/>
          <w:sz w:val="24"/>
          <w:szCs w:val="24"/>
        </w:rPr>
      </w:pPr>
      <w:r w:rsidRPr="00056490">
        <w:rPr>
          <w:rFonts w:cs="Arial"/>
          <w:bCs/>
          <w:i/>
          <w:iCs/>
          <w:sz w:val="24"/>
          <w:szCs w:val="24"/>
        </w:rPr>
        <w:lastRenderedPageBreak/>
        <w:t>“</w:t>
      </w:r>
      <w:r w:rsidRPr="00056490">
        <w:rPr>
          <w:rFonts w:cs="Arial"/>
          <w:b/>
          <w:i/>
          <w:iCs/>
          <w:sz w:val="24"/>
          <w:szCs w:val="24"/>
        </w:rPr>
        <w:t>ARTÍCULO 161.-</w:t>
      </w:r>
      <w:r w:rsidRPr="00056490">
        <w:rPr>
          <w:rFonts w:cs="Arial"/>
          <w:bCs/>
          <w:i/>
          <w:iCs/>
          <w:sz w:val="24"/>
          <w:szCs w:val="24"/>
        </w:rPr>
        <w:t xml:space="preserve"> Es improcedente el juicio ante el Tribunal contra actos:</w:t>
      </w:r>
    </w:p>
    <w:p w:rsidR="00340219" w:rsidRDefault="00340219" w:rsidP="00340219">
      <w:pPr>
        <w:pStyle w:val="corte4fondo"/>
        <w:ind w:right="51" w:firstLine="567"/>
        <w:rPr>
          <w:rFonts w:cs="Arial"/>
          <w:bCs/>
          <w:i/>
          <w:iCs/>
          <w:sz w:val="24"/>
          <w:szCs w:val="24"/>
        </w:rPr>
      </w:pPr>
      <w:r w:rsidRPr="00056490">
        <w:rPr>
          <w:rFonts w:cs="Arial"/>
          <w:bCs/>
          <w:i/>
          <w:iCs/>
          <w:sz w:val="24"/>
          <w:szCs w:val="24"/>
        </w:rPr>
        <w:t>V. Contra actos consumados de un modo irreparable;</w:t>
      </w:r>
    </w:p>
    <w:p w:rsidR="00340219" w:rsidRDefault="00340219" w:rsidP="00340219">
      <w:pPr>
        <w:pStyle w:val="corte4fondo"/>
        <w:ind w:right="51" w:firstLine="567"/>
        <w:rPr>
          <w:rFonts w:cs="Arial"/>
          <w:bCs/>
          <w:i/>
          <w:iCs/>
          <w:sz w:val="24"/>
          <w:szCs w:val="24"/>
        </w:rPr>
      </w:pPr>
    </w:p>
    <w:p w:rsidR="00340219" w:rsidRPr="00056490" w:rsidRDefault="00340219" w:rsidP="00340219">
      <w:pPr>
        <w:pStyle w:val="corte4fondo"/>
        <w:ind w:right="51" w:firstLine="567"/>
        <w:rPr>
          <w:rFonts w:cs="Arial"/>
          <w:i/>
          <w:iCs/>
          <w:sz w:val="24"/>
          <w:szCs w:val="24"/>
        </w:rPr>
      </w:pPr>
      <w:r w:rsidRPr="004737CA">
        <w:rPr>
          <w:rFonts w:cs="Arial"/>
          <w:b/>
          <w:bCs/>
          <w:i/>
          <w:iCs/>
          <w:sz w:val="24"/>
          <w:szCs w:val="24"/>
        </w:rPr>
        <w:t>ARTÍCULO 162.-</w:t>
      </w:r>
      <w:r w:rsidRPr="004737CA">
        <w:rPr>
          <w:rFonts w:cs="Arial"/>
          <w:i/>
          <w:iCs/>
          <w:sz w:val="24"/>
          <w:szCs w:val="24"/>
        </w:rPr>
        <w:t xml:space="preserve"> Procede el sobreseimiento del juicio:</w:t>
      </w:r>
    </w:p>
    <w:p w:rsidR="00340219" w:rsidRDefault="00340219" w:rsidP="00340219">
      <w:pPr>
        <w:pStyle w:val="corte4fondo"/>
        <w:ind w:right="51" w:firstLine="567"/>
        <w:rPr>
          <w:rFonts w:cs="Arial"/>
          <w:bCs/>
          <w:sz w:val="24"/>
          <w:szCs w:val="24"/>
        </w:rPr>
      </w:pPr>
      <w:r w:rsidRPr="004737CA">
        <w:rPr>
          <w:rFonts w:cs="Arial"/>
          <w:bCs/>
          <w:sz w:val="24"/>
          <w:szCs w:val="24"/>
        </w:rPr>
        <w:t>V. Cuando de las constancias de autos apareciere claramente que no existe el acto o</w:t>
      </w:r>
      <w:r>
        <w:rPr>
          <w:rFonts w:cs="Arial"/>
          <w:bCs/>
          <w:sz w:val="24"/>
          <w:szCs w:val="24"/>
        </w:rPr>
        <w:t xml:space="preserve"> </w:t>
      </w:r>
      <w:r w:rsidRPr="004737CA">
        <w:rPr>
          <w:rFonts w:cs="Arial"/>
          <w:bCs/>
          <w:sz w:val="24"/>
          <w:szCs w:val="24"/>
        </w:rPr>
        <w:t>resolución impugnada;</w:t>
      </w:r>
      <w:r>
        <w:rPr>
          <w:rFonts w:cs="Arial"/>
          <w:bCs/>
          <w:sz w:val="24"/>
          <w:szCs w:val="24"/>
        </w:rPr>
        <w:t>”</w:t>
      </w:r>
    </w:p>
    <w:p w:rsidR="00340219" w:rsidRDefault="00340219" w:rsidP="00340219">
      <w:pPr>
        <w:pStyle w:val="corte4fondo"/>
        <w:ind w:right="51" w:firstLine="567"/>
        <w:rPr>
          <w:rFonts w:cs="Arial"/>
          <w:bCs/>
          <w:sz w:val="24"/>
          <w:szCs w:val="24"/>
        </w:rPr>
      </w:pPr>
    </w:p>
    <w:p w:rsidR="00340219" w:rsidRDefault="00340219" w:rsidP="00340219">
      <w:pPr>
        <w:pStyle w:val="corte4fondo"/>
        <w:ind w:right="51" w:firstLine="567"/>
        <w:rPr>
          <w:rFonts w:cs="Arial"/>
          <w:sz w:val="24"/>
          <w:szCs w:val="24"/>
        </w:rPr>
      </w:pPr>
      <w:r>
        <w:rPr>
          <w:rFonts w:cs="Arial"/>
          <w:sz w:val="24"/>
          <w:szCs w:val="24"/>
        </w:rPr>
        <w:t xml:space="preserve">De los numerales antes transcritos se observa que la fracción V del artículo 161 de la Ley de Procedimiento y Justicia Administrativa para el Estado de Oaxaca, hace alusión a actos consumados de un modo irreparable, entendiéndose éste como el acto que fue ejecutado y no existe ninguna manera de restituir al administrado en el goce del derecho vulnerado, y en el presente asunto de llegarse a declarar la nulidad del acto impugnado, se restituiría al actor en el goce de su derecho vulnerando, dejando de hacer el cobro que origino la infracción aquí impugnada. Asimismo, por cuanto hace al supuesto de la fracción V del numeral 162 del ordenamiento legal en cita, a foja 8 de los presentes autos se advierte agregada el acta de infracción con número de folio </w:t>
      </w:r>
      <w:r>
        <w:rPr>
          <w:rFonts w:cs="Arial"/>
          <w:b/>
          <w:sz w:val="24"/>
          <w:szCs w:val="24"/>
        </w:rPr>
        <w:t>**********</w:t>
      </w:r>
      <w:r w:rsidRPr="007B0581">
        <w:rPr>
          <w:rFonts w:cs="Arial"/>
          <w:sz w:val="24"/>
          <w:szCs w:val="24"/>
        </w:rPr>
        <w:t xml:space="preserve"> de </w:t>
      </w:r>
      <w:r>
        <w:rPr>
          <w:rFonts w:cs="Arial"/>
          <w:sz w:val="24"/>
          <w:szCs w:val="24"/>
        </w:rPr>
        <w:t>diez de marzo de dos mil veintitrés</w:t>
      </w:r>
      <w:r w:rsidRPr="007B0581">
        <w:rPr>
          <w:rFonts w:cs="Arial"/>
          <w:sz w:val="24"/>
          <w:szCs w:val="24"/>
        </w:rPr>
        <w:t>, signad</w:t>
      </w:r>
      <w:r>
        <w:rPr>
          <w:rFonts w:cs="Arial"/>
          <w:sz w:val="24"/>
          <w:szCs w:val="24"/>
        </w:rPr>
        <w:t>a</w:t>
      </w:r>
      <w:r w:rsidRPr="007B0581">
        <w:rPr>
          <w:rFonts w:cs="Arial"/>
          <w:sz w:val="24"/>
          <w:szCs w:val="24"/>
        </w:rPr>
        <w:t xml:space="preserve"> por </w:t>
      </w:r>
      <w:r>
        <w:rPr>
          <w:rFonts w:cs="Arial"/>
          <w:sz w:val="24"/>
          <w:szCs w:val="24"/>
        </w:rPr>
        <w:t xml:space="preserve">el </w:t>
      </w:r>
      <w:r w:rsidRPr="00311C57">
        <w:rPr>
          <w:rFonts w:cs="Arial"/>
          <w:sz w:val="24"/>
          <w:szCs w:val="24"/>
        </w:rPr>
        <w:t>Policía Vial Estatal</w:t>
      </w:r>
      <w:r>
        <w:rPr>
          <w:rFonts w:cs="Arial"/>
          <w:sz w:val="24"/>
          <w:szCs w:val="24"/>
        </w:rPr>
        <w:t xml:space="preserve">, </w:t>
      </w:r>
      <w:r>
        <w:rPr>
          <w:rFonts w:cs="Arial"/>
          <w:b/>
          <w:sz w:val="24"/>
          <w:szCs w:val="24"/>
        </w:rPr>
        <w:t>**********</w:t>
      </w:r>
      <w:r>
        <w:rPr>
          <w:rFonts w:cs="Arial"/>
          <w:sz w:val="24"/>
          <w:szCs w:val="24"/>
        </w:rPr>
        <w:t>, con número estadístico 235, acto aquí impugnado, por lo que resultan infundadas e inoperantes las manifestaciones vertidas por la autoridad demandada.</w:t>
      </w:r>
    </w:p>
    <w:p w:rsidR="00340219" w:rsidRDefault="00340219" w:rsidP="00340219">
      <w:pPr>
        <w:pStyle w:val="corte4fondo"/>
        <w:ind w:right="51" w:firstLine="567"/>
        <w:rPr>
          <w:rFonts w:cs="Arial"/>
          <w:sz w:val="24"/>
          <w:szCs w:val="24"/>
        </w:rPr>
      </w:pPr>
    </w:p>
    <w:p w:rsidR="00340219" w:rsidRDefault="00340219" w:rsidP="00340219">
      <w:pPr>
        <w:pStyle w:val="corte4fondo"/>
        <w:ind w:right="51" w:firstLine="567"/>
        <w:rPr>
          <w:rFonts w:cs="Arial"/>
          <w:sz w:val="24"/>
          <w:szCs w:val="24"/>
        </w:rPr>
      </w:pPr>
      <w:r>
        <w:rPr>
          <w:rFonts w:cs="Arial"/>
          <w:sz w:val="24"/>
          <w:szCs w:val="24"/>
        </w:rPr>
        <w:t xml:space="preserve">Por otra parte, si bien es cierto que la autoridad demandada Director General de la Policía Vial Estatal manifestó que no dictó, ordenó o trató de ejecutar el acto reclamado, también lo es que de llegarse a declarar la nulidad del acto reclamado, correspondería a la citada autoridad demandada, como </w:t>
      </w:r>
      <w:r>
        <w:rPr>
          <w:rFonts w:cs="Arial"/>
          <w:bCs/>
          <w:sz w:val="24"/>
          <w:szCs w:val="24"/>
        </w:rPr>
        <w:t>superior jerárquico,</w:t>
      </w:r>
      <w:r>
        <w:rPr>
          <w:rFonts w:cs="Arial"/>
          <w:sz w:val="24"/>
          <w:szCs w:val="24"/>
        </w:rPr>
        <w:t xml:space="preserve"> </w:t>
      </w:r>
      <w:r w:rsidRPr="00A84B6D">
        <w:rPr>
          <w:rFonts w:cs="Arial"/>
          <w:bCs/>
          <w:sz w:val="24"/>
          <w:szCs w:val="24"/>
        </w:rPr>
        <w:t>dar</w:t>
      </w:r>
      <w:r>
        <w:rPr>
          <w:rFonts w:cs="Arial"/>
          <w:bCs/>
          <w:sz w:val="24"/>
          <w:szCs w:val="24"/>
        </w:rPr>
        <w:t xml:space="preserve"> de baja el acta de infracción aquí impugnada</w:t>
      </w:r>
      <w:r w:rsidRPr="00A84B6D">
        <w:rPr>
          <w:rFonts w:cs="Arial"/>
          <w:bCs/>
          <w:sz w:val="24"/>
          <w:szCs w:val="24"/>
        </w:rPr>
        <w:t xml:space="preserve"> </w:t>
      </w:r>
      <w:r>
        <w:rPr>
          <w:rFonts w:cs="Arial"/>
          <w:bCs/>
          <w:sz w:val="24"/>
          <w:szCs w:val="24"/>
        </w:rPr>
        <w:t>de</w:t>
      </w:r>
      <w:r w:rsidRPr="00A84B6D">
        <w:rPr>
          <w:rFonts w:cs="Arial"/>
          <w:bCs/>
          <w:sz w:val="24"/>
          <w:szCs w:val="24"/>
        </w:rPr>
        <w:t xml:space="preserve"> los registros correspondientes</w:t>
      </w:r>
      <w:r>
        <w:rPr>
          <w:rFonts w:cs="Arial"/>
          <w:bCs/>
          <w:sz w:val="24"/>
          <w:szCs w:val="24"/>
        </w:rPr>
        <w:t xml:space="preserve">. </w:t>
      </w:r>
      <w:r w:rsidRPr="007B0581">
        <w:rPr>
          <w:rFonts w:cs="Arial"/>
          <w:sz w:val="24"/>
          <w:szCs w:val="24"/>
        </w:rPr>
        <w:t>En consecuencia</w:t>
      </w:r>
      <w:r>
        <w:rPr>
          <w:rFonts w:cs="Arial"/>
          <w:sz w:val="24"/>
          <w:szCs w:val="24"/>
        </w:rPr>
        <w:t>, por lo anteriormente expuesto</w:t>
      </w:r>
      <w:r w:rsidRPr="007B0581">
        <w:rPr>
          <w:rFonts w:cs="Arial"/>
          <w:sz w:val="24"/>
          <w:szCs w:val="24"/>
        </w:rPr>
        <w:t xml:space="preserve">, </w:t>
      </w:r>
      <w:r w:rsidRPr="007B0581">
        <w:rPr>
          <w:rFonts w:cs="Arial"/>
          <w:b/>
          <w:bCs/>
          <w:sz w:val="24"/>
          <w:szCs w:val="24"/>
        </w:rPr>
        <w:t xml:space="preserve">NO SE SOBRESEE </w:t>
      </w:r>
      <w:r w:rsidRPr="007B0581">
        <w:rPr>
          <w:rFonts w:cs="Arial"/>
          <w:sz w:val="24"/>
          <w:szCs w:val="24"/>
        </w:rPr>
        <w:t>el presente juicio.</w:t>
      </w:r>
    </w:p>
    <w:p w:rsidR="00340219" w:rsidRDefault="00340219" w:rsidP="00340219">
      <w:pPr>
        <w:pStyle w:val="corte4fondo"/>
        <w:ind w:right="51" w:firstLine="567"/>
        <w:rPr>
          <w:rFonts w:cs="Arial"/>
          <w:sz w:val="24"/>
          <w:szCs w:val="24"/>
        </w:rPr>
      </w:pPr>
    </w:p>
    <w:p w:rsidR="00340219" w:rsidRPr="002B3F54" w:rsidRDefault="00340219" w:rsidP="00340219">
      <w:pPr>
        <w:spacing w:line="360" w:lineRule="auto"/>
        <w:ind w:firstLine="567"/>
        <w:jc w:val="both"/>
        <w:rPr>
          <w:rFonts w:ascii="Arial" w:hAnsi="Arial" w:cs="Arial"/>
          <w:sz w:val="24"/>
          <w:szCs w:val="24"/>
        </w:rPr>
      </w:pPr>
      <w:r w:rsidRPr="007B0581">
        <w:rPr>
          <w:rFonts w:ascii="Arial" w:hAnsi="Arial" w:cs="Arial"/>
          <w:b/>
          <w:sz w:val="24"/>
          <w:szCs w:val="24"/>
        </w:rPr>
        <w:t xml:space="preserve">CUARTO. </w:t>
      </w:r>
      <w:r>
        <w:rPr>
          <w:rFonts w:ascii="Arial" w:hAnsi="Arial" w:cs="Arial"/>
          <w:b/>
          <w:sz w:val="24"/>
          <w:szCs w:val="24"/>
        </w:rPr>
        <w:t xml:space="preserve">- </w:t>
      </w:r>
      <w:r>
        <w:rPr>
          <w:rFonts w:ascii="Arial" w:hAnsi="Arial" w:cs="Arial"/>
          <w:sz w:val="24"/>
          <w:szCs w:val="24"/>
        </w:rPr>
        <w:t xml:space="preserve">La autoridad demandada Director General de la Policía Vial Estatal en su escrito de contestación de demanda manifestó en el apartado de excepciones, marcada con los incisos A) y B), que el actor no acreditó su interés jurídico y legítimo. </w:t>
      </w:r>
      <w:r w:rsidRPr="0014476E">
        <w:rPr>
          <w:rFonts w:ascii="Arial" w:hAnsi="Arial" w:cs="Arial"/>
          <w:sz w:val="24"/>
          <w:szCs w:val="24"/>
        </w:rPr>
        <w:t xml:space="preserve">Al respecto, es menester señalar en que </w:t>
      </w:r>
      <w:r>
        <w:rPr>
          <w:rFonts w:ascii="Arial" w:hAnsi="Arial" w:cs="Arial"/>
          <w:sz w:val="24"/>
          <w:szCs w:val="24"/>
        </w:rPr>
        <w:t xml:space="preserve">el interés jurídico y legítimo quedó acreditado en el presente asunto con el acta de infracción aquí impugnada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 xml:space="preserve">diez de marzo de dos mil </w:t>
      </w:r>
      <w:r w:rsidRPr="00F01034">
        <w:rPr>
          <w:rFonts w:ascii="Arial" w:hAnsi="Arial" w:cs="Arial"/>
          <w:sz w:val="24"/>
          <w:szCs w:val="24"/>
        </w:rPr>
        <w:t>veintitrés</w:t>
      </w:r>
      <w:r>
        <w:rPr>
          <w:rFonts w:ascii="Arial" w:hAnsi="Arial" w:cs="Arial"/>
          <w:sz w:val="24"/>
          <w:szCs w:val="24"/>
        </w:rPr>
        <w:t xml:space="preserve"> a nombre del actor, documental a la cual se le otorga valor probatorio pleno, de conformidad con el artículo 203, </w:t>
      </w:r>
      <w:r w:rsidRPr="00FE0F73">
        <w:rPr>
          <w:rFonts w:ascii="Arial" w:hAnsi="Arial" w:cs="Arial"/>
          <w:sz w:val="24"/>
          <w:szCs w:val="24"/>
        </w:rPr>
        <w:t>fracción I</w:t>
      </w:r>
      <w:r>
        <w:rPr>
          <w:rFonts w:ascii="Arial" w:hAnsi="Arial" w:cs="Arial"/>
          <w:sz w:val="24"/>
          <w:szCs w:val="24"/>
        </w:rPr>
        <w:t xml:space="preserve">, de la Ley de Procedimiento y Justicia Administrativa para el Estado de Oaxaca, lo anterior en razón </w:t>
      </w:r>
      <w:r w:rsidRPr="007927A2">
        <w:rPr>
          <w:rFonts w:ascii="Arial" w:hAnsi="Arial" w:cs="Arial"/>
          <w:sz w:val="24"/>
          <w:szCs w:val="24"/>
        </w:rPr>
        <w:t>que</w:t>
      </w:r>
      <w:r>
        <w:rPr>
          <w:rFonts w:ascii="Arial" w:hAnsi="Arial" w:cs="Arial"/>
          <w:sz w:val="24"/>
          <w:szCs w:val="24"/>
        </w:rPr>
        <w:t xml:space="preserve"> </w:t>
      </w:r>
      <w:r w:rsidRPr="007927A2">
        <w:rPr>
          <w:rFonts w:ascii="Arial" w:hAnsi="Arial" w:cs="Arial"/>
          <w:color w:val="212529"/>
          <w:sz w:val="24"/>
          <w:szCs w:val="24"/>
          <w:shd w:val="clear" w:color="auto" w:fill="FFFFFF"/>
        </w:rPr>
        <w:t xml:space="preserve">para la procedencia del juicio administrativo basta con que el acto de autoridad impugnado afecte la esfera jurídica </w:t>
      </w:r>
      <w:r w:rsidRPr="007927A2">
        <w:rPr>
          <w:rFonts w:ascii="Arial" w:hAnsi="Arial" w:cs="Arial"/>
          <w:color w:val="212529"/>
          <w:sz w:val="24"/>
          <w:szCs w:val="24"/>
          <w:shd w:val="clear" w:color="auto" w:fill="FFFFFF"/>
        </w:rPr>
        <w:lastRenderedPageBreak/>
        <w:t>del actor, para que le asista un interés legítimo para demandar la nulidad de ese acto, pues</w:t>
      </w:r>
      <w:r w:rsidRPr="007927A2">
        <w:rPr>
          <w:rFonts w:ascii="Arial" w:hAnsi="Arial" w:cs="Arial"/>
          <w:sz w:val="24"/>
          <w:szCs w:val="24"/>
        </w:rPr>
        <w:t xml:space="preserve"> </w:t>
      </w:r>
      <w:r>
        <w:rPr>
          <w:rFonts w:ascii="Arial" w:hAnsi="Arial" w:cs="Arial"/>
          <w:sz w:val="24"/>
          <w:szCs w:val="24"/>
        </w:rPr>
        <w:t>el</w:t>
      </w:r>
      <w:r w:rsidRPr="007927A2">
        <w:rPr>
          <w:rFonts w:ascii="Arial" w:hAnsi="Arial" w:cs="Arial"/>
          <w:sz w:val="24"/>
          <w:szCs w:val="24"/>
        </w:rPr>
        <w:t xml:space="preserve"> </w:t>
      </w:r>
      <w:r w:rsidRPr="007927A2">
        <w:rPr>
          <w:rFonts w:ascii="Arial" w:hAnsi="Arial" w:cs="Arial"/>
          <w:color w:val="212529"/>
          <w:sz w:val="24"/>
          <w:szCs w:val="24"/>
          <w:shd w:val="clear" w:color="auto" w:fill="FFFFFF"/>
        </w:rPr>
        <w:t> interés que debe justificar el a</w:t>
      </w:r>
      <w:r>
        <w:rPr>
          <w:rFonts w:ascii="Arial" w:hAnsi="Arial" w:cs="Arial"/>
          <w:color w:val="212529"/>
          <w:sz w:val="24"/>
          <w:szCs w:val="24"/>
          <w:shd w:val="clear" w:color="auto" w:fill="FFFFFF"/>
        </w:rPr>
        <w:t>dministrado</w:t>
      </w:r>
      <w:r w:rsidRPr="007927A2">
        <w:rPr>
          <w:rFonts w:ascii="Arial" w:hAnsi="Arial" w:cs="Arial"/>
          <w:color w:val="212529"/>
          <w:sz w:val="24"/>
          <w:szCs w:val="24"/>
          <w:shd w:val="clear" w:color="auto" w:fill="FFFFFF"/>
        </w:rPr>
        <w:t xml:space="preserve"> no es el relativo a acreditar su pretensión, sino el que le asiste para iniciar la acción. En efecto, tales preceptos aluden a la procedencia o improcedencia del juicio administrativo, a los presupuestos de admisibilidad de la acción ante</w:t>
      </w:r>
      <w:r>
        <w:rPr>
          <w:rFonts w:ascii="Arial" w:hAnsi="Arial" w:cs="Arial"/>
          <w:color w:val="212529"/>
          <w:sz w:val="24"/>
          <w:szCs w:val="24"/>
          <w:shd w:val="clear" w:color="auto" w:fill="FFFFFF"/>
        </w:rPr>
        <w:t xml:space="preserve"> este</w:t>
      </w:r>
      <w:r w:rsidRPr="007927A2">
        <w:rPr>
          <w:rFonts w:ascii="Arial" w:hAnsi="Arial" w:cs="Arial"/>
          <w:color w:val="212529"/>
          <w:sz w:val="24"/>
          <w:szCs w:val="24"/>
          <w:shd w:val="clear" w:color="auto" w:fill="FFFFFF"/>
        </w:rPr>
        <w:t xml:space="preserve"> Tribunal de lo Contencioso Administrativo; así, lo que se plantea en dichos preceptos es una cuestión de legitimación para ejercer la acción, mas no el deber del actor de acreditar el derecho que alegue que le asiste, pues esto último es una cuestión que atañe al fondo del asunto</w:t>
      </w:r>
      <w:r>
        <w:rPr>
          <w:rFonts w:ascii="Arial" w:hAnsi="Arial" w:cs="Arial"/>
          <w:color w:val="212529"/>
          <w:sz w:val="24"/>
          <w:szCs w:val="24"/>
          <w:shd w:val="clear" w:color="auto" w:fill="FFFFFF"/>
        </w:rPr>
        <w:t xml:space="preserve">. Sirva de criterio orientador la jurisprudencia de la Novena Época, publicada en el Semanario Judicial de la Federación y su Gaceta, tomo XVI, diciembre 2002, página 242, con número de registro 185376, de rubro siguiente: </w:t>
      </w:r>
      <w:r w:rsidRPr="002B3F54">
        <w:rPr>
          <w:rFonts w:ascii="Arial" w:hAnsi="Arial" w:cs="Arial"/>
          <w:i/>
          <w:iCs/>
          <w:color w:val="212529"/>
          <w:sz w:val="24"/>
          <w:szCs w:val="24"/>
          <w:shd w:val="clear" w:color="auto" w:fill="FFFFFF"/>
        </w:rPr>
        <w:t>“</w:t>
      </w:r>
      <w:r w:rsidRPr="002B3F54">
        <w:rPr>
          <w:rFonts w:ascii="Arial" w:hAnsi="Arial" w:cs="Arial"/>
          <w:b/>
          <w:bCs/>
          <w:i/>
          <w:iCs/>
          <w:color w:val="212529"/>
          <w:sz w:val="24"/>
          <w:szCs w:val="24"/>
          <w:shd w:val="clear" w:color="auto" w:fill="FFFFFF"/>
        </w:rPr>
        <w:t>INTERÉS LEGÍTIMO, NOCIÓN DE, PARA LA PROCEDENCIA DEL JUICIO ANTE EL TRIBUNAL DE LO CONTENCIOSO ADMINISTRATIVO DEL DISTRITO FEDERAL</w:t>
      </w:r>
      <w:r w:rsidRPr="002B3F54">
        <w:rPr>
          <w:rFonts w:ascii="Arial" w:hAnsi="Arial" w:cs="Arial"/>
          <w:i/>
          <w:iCs/>
          <w:color w:val="212529"/>
          <w:sz w:val="24"/>
          <w:szCs w:val="24"/>
          <w:shd w:val="clear" w:color="auto" w:fill="FFFFFF"/>
        </w:rPr>
        <w:t>”.</w:t>
      </w:r>
    </w:p>
    <w:p w:rsidR="00340219" w:rsidRDefault="00340219" w:rsidP="00340219">
      <w:pPr>
        <w:spacing w:line="360" w:lineRule="auto"/>
        <w:ind w:firstLine="567"/>
        <w:jc w:val="both"/>
        <w:rPr>
          <w:rFonts w:ascii="Arial" w:hAnsi="Arial" w:cs="Arial"/>
          <w:sz w:val="24"/>
          <w:szCs w:val="24"/>
        </w:rPr>
      </w:pPr>
    </w:p>
    <w:p w:rsidR="00340219" w:rsidRDefault="00340219" w:rsidP="00340219">
      <w:pPr>
        <w:pStyle w:val="corte4fondo"/>
        <w:ind w:right="51" w:firstLine="567"/>
        <w:rPr>
          <w:rFonts w:cs="Arial"/>
          <w:sz w:val="24"/>
          <w:szCs w:val="24"/>
        </w:rPr>
      </w:pPr>
      <w:r>
        <w:rPr>
          <w:rFonts w:cs="Arial"/>
          <w:b/>
          <w:sz w:val="24"/>
          <w:szCs w:val="24"/>
        </w:rPr>
        <w:t>QUINTO</w:t>
      </w:r>
      <w:r w:rsidRPr="007B0581">
        <w:rPr>
          <w:rFonts w:cs="Arial"/>
          <w:b/>
          <w:sz w:val="24"/>
          <w:szCs w:val="24"/>
        </w:rPr>
        <w:t>. -</w:t>
      </w:r>
      <w:r w:rsidRPr="007B0581">
        <w:rPr>
          <w:rFonts w:cs="Arial"/>
          <w:sz w:val="24"/>
          <w:szCs w:val="24"/>
        </w:rPr>
        <w:t xml:space="preserve"> </w:t>
      </w:r>
      <w:r w:rsidRPr="00720CC7">
        <w:rPr>
          <w:rFonts w:cs="Arial"/>
          <w:sz w:val="24"/>
          <w:szCs w:val="24"/>
        </w:rPr>
        <w:t>Estudio de los Conceptos de Impugnación y pruebas ofrecidas por la parte actora</w:t>
      </w:r>
      <w:r w:rsidRPr="007B0581">
        <w:rPr>
          <w:rFonts w:cs="Arial"/>
          <w:b/>
          <w:bCs/>
          <w:sz w:val="24"/>
          <w:szCs w:val="24"/>
        </w:rPr>
        <w:t xml:space="preserve">. </w:t>
      </w:r>
      <w:r w:rsidRPr="007B0581">
        <w:rPr>
          <w:rFonts w:cs="Arial"/>
          <w:bCs/>
          <w:sz w:val="24"/>
          <w:szCs w:val="24"/>
        </w:rPr>
        <w:t>Los conceptos d</w:t>
      </w:r>
      <w:r>
        <w:rPr>
          <w:rFonts w:cs="Arial"/>
          <w:bCs/>
          <w:sz w:val="24"/>
          <w:szCs w:val="24"/>
        </w:rPr>
        <w:t>e impugnación hechos valer por el</w:t>
      </w:r>
      <w:r w:rsidRPr="007B0581">
        <w:rPr>
          <w:rFonts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cs="Arial"/>
          <w:sz w:val="24"/>
          <w:szCs w:val="24"/>
        </w:rPr>
        <w:t>; no obstante ello, serán valorados en el cuerpo de esta sentencia.</w:t>
      </w:r>
    </w:p>
    <w:p w:rsidR="00340219" w:rsidRDefault="00340219" w:rsidP="00340219">
      <w:pPr>
        <w:spacing w:line="360" w:lineRule="auto"/>
        <w:jc w:val="both"/>
        <w:rPr>
          <w:rFonts w:ascii="Arial" w:hAnsi="Arial" w:cs="Arial"/>
          <w:sz w:val="24"/>
          <w:szCs w:val="24"/>
        </w:rPr>
      </w:pPr>
    </w:p>
    <w:p w:rsidR="00340219" w:rsidRDefault="00340219" w:rsidP="00340219">
      <w:pPr>
        <w:spacing w:line="360" w:lineRule="auto"/>
        <w:jc w:val="both"/>
        <w:rPr>
          <w:rFonts w:ascii="Arial" w:hAnsi="Arial" w:cs="Arial"/>
          <w:sz w:val="24"/>
          <w:szCs w:val="24"/>
        </w:rPr>
      </w:pPr>
      <w:r w:rsidRPr="007B0581">
        <w:rPr>
          <w:rFonts w:ascii="Arial" w:hAnsi="Arial" w:cs="Arial"/>
          <w:sz w:val="24"/>
          <w:szCs w:val="24"/>
        </w:rPr>
        <w:t xml:space="preserve"> </w:t>
      </w:r>
      <w:r w:rsidRPr="007B0581">
        <w:rPr>
          <w:rFonts w:ascii="Arial" w:hAnsi="Arial" w:cs="Arial"/>
          <w:sz w:val="24"/>
          <w:szCs w:val="24"/>
          <w:lang w:val="es-MX"/>
        </w:rPr>
        <w:t>Al respecto resulta aplicable</w:t>
      </w:r>
      <w:r w:rsidRPr="007B0581">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rPr>
        <w:t>Semanario Judicial de la Federación y su Gaceta</w:t>
      </w:r>
      <w:r w:rsidRPr="007B0581">
        <w:rPr>
          <w:rFonts w:ascii="Arial" w:hAnsi="Arial" w:cs="Arial"/>
          <w:sz w:val="24"/>
          <w:szCs w:val="24"/>
        </w:rPr>
        <w:t>, Tomo XXXI, mayo de 2010, página 830, de rubro:</w:t>
      </w:r>
    </w:p>
    <w:p w:rsidR="00340219" w:rsidRDefault="00340219" w:rsidP="00340219">
      <w:pPr>
        <w:spacing w:line="360" w:lineRule="auto"/>
        <w:jc w:val="both"/>
        <w:rPr>
          <w:rFonts w:ascii="Arial" w:hAnsi="Arial" w:cs="Arial"/>
          <w:sz w:val="24"/>
          <w:szCs w:val="24"/>
        </w:rPr>
      </w:pPr>
    </w:p>
    <w:p w:rsidR="00340219" w:rsidRPr="007B0581" w:rsidRDefault="00340219" w:rsidP="00340219">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340219" w:rsidRDefault="00340219" w:rsidP="00340219">
      <w:pPr>
        <w:pStyle w:val="Textonotapie"/>
        <w:widowControl w:val="0"/>
        <w:spacing w:line="360" w:lineRule="auto"/>
        <w:ind w:left="1701" w:right="1469"/>
        <w:jc w:val="both"/>
        <w:rPr>
          <w:rFonts w:ascii="Arial" w:hAnsi="Arial" w:cs="Arial"/>
          <w:b/>
          <w:sz w:val="24"/>
          <w:szCs w:val="24"/>
          <w:lang w:eastAsia="es-MX"/>
        </w:rPr>
      </w:pPr>
    </w:p>
    <w:p w:rsidR="00340219" w:rsidRDefault="00340219" w:rsidP="00340219">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demand</w:t>
      </w:r>
      <w:r>
        <w:rPr>
          <w:rFonts w:ascii="Arial" w:hAnsi="Arial" w:cs="Arial"/>
          <w:sz w:val="24"/>
          <w:szCs w:val="24"/>
        </w:rPr>
        <w:t>ó</w:t>
      </w:r>
      <w:r w:rsidRPr="007B0581">
        <w:rPr>
          <w:rFonts w:ascii="Arial" w:hAnsi="Arial" w:cs="Arial"/>
          <w:sz w:val="24"/>
          <w:szCs w:val="24"/>
        </w:rPr>
        <w:t xml:space="preserve">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diez de marzo de dos mil veintitrés</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 xml:space="preserve">el </w:t>
      </w:r>
      <w:r w:rsidRPr="0039371E">
        <w:rPr>
          <w:rFonts w:ascii="Arial" w:hAnsi="Arial" w:cs="Arial"/>
          <w:sz w:val="24"/>
          <w:szCs w:val="24"/>
        </w:rPr>
        <w:t>Policía Vial Estatal</w:t>
      </w:r>
      <w:r>
        <w:rPr>
          <w:rFonts w:ascii="Arial" w:hAnsi="Arial" w:cs="Arial"/>
          <w:sz w:val="24"/>
          <w:szCs w:val="24"/>
        </w:rPr>
        <w:t xml:space="preserve">, </w:t>
      </w:r>
      <w:r>
        <w:rPr>
          <w:rFonts w:cs="Arial"/>
          <w:b/>
          <w:sz w:val="24"/>
          <w:szCs w:val="24"/>
        </w:rPr>
        <w:t>**********</w:t>
      </w:r>
      <w:r>
        <w:rPr>
          <w:rFonts w:ascii="Arial" w:hAnsi="Arial" w:cs="Arial"/>
          <w:sz w:val="24"/>
          <w:szCs w:val="24"/>
        </w:rPr>
        <w:t xml:space="preserve">, con número estadístico 235, así como en contra del Director General de la Policía Vial Estatal, </w:t>
      </w:r>
      <w:r w:rsidRPr="007B0581">
        <w:rPr>
          <w:rFonts w:ascii="Arial" w:hAnsi="Arial" w:cs="Arial"/>
          <w:sz w:val="24"/>
          <w:szCs w:val="24"/>
        </w:rPr>
        <w:t>por</w:t>
      </w:r>
      <w:r>
        <w:rPr>
          <w:rFonts w:ascii="Arial" w:hAnsi="Arial" w:cs="Arial"/>
          <w:sz w:val="24"/>
          <w:szCs w:val="24"/>
        </w:rPr>
        <w:t xml:space="preserve"> considerar que no satisface los requisitos de debida fundamentación y motivación conforme a lo dispuesto por los artículos 16 de la Constitución Política </w:t>
      </w:r>
      <w:r>
        <w:rPr>
          <w:rFonts w:ascii="Arial" w:hAnsi="Arial" w:cs="Arial"/>
          <w:sz w:val="24"/>
          <w:szCs w:val="24"/>
        </w:rPr>
        <w:lastRenderedPageBreak/>
        <w:t xml:space="preserve">de los Estados Unidos Mexicanos y 17 de la Ley de Procedimiento y Justicia Administrativa para el Estado de Oaxaca, pues para que una multa por infracción de tránsito se encuentre debidamente fundada y motivada, se requiere que se haga la descripción clara y completa de la conducta que satisface la hipótesis legal invocada con la debida precisión tanto del artículo como de la fracción e inciso en cada caso particular. </w:t>
      </w:r>
    </w:p>
    <w:p w:rsidR="00340219" w:rsidRDefault="00340219" w:rsidP="00340219">
      <w:pPr>
        <w:pStyle w:val="Textonotapie"/>
        <w:widowControl w:val="0"/>
        <w:spacing w:line="360" w:lineRule="auto"/>
        <w:ind w:right="49" w:firstLine="708"/>
        <w:jc w:val="both"/>
        <w:rPr>
          <w:rFonts w:ascii="Arial" w:hAnsi="Arial" w:cs="Arial"/>
          <w:sz w:val="24"/>
          <w:szCs w:val="24"/>
        </w:rPr>
      </w:pPr>
    </w:p>
    <w:p w:rsidR="00340219" w:rsidRDefault="00340219" w:rsidP="00340219">
      <w:pPr>
        <w:spacing w:line="360" w:lineRule="auto"/>
        <w:ind w:firstLine="708"/>
        <w:jc w:val="both"/>
        <w:rPr>
          <w:rFonts w:cs="Arial"/>
          <w:b/>
          <w:bCs/>
          <w:sz w:val="24"/>
          <w:szCs w:val="24"/>
        </w:rPr>
      </w:pPr>
      <w:r w:rsidRPr="00772A00">
        <w:rPr>
          <w:rFonts w:ascii="Arial" w:hAnsi="Arial" w:cs="Arial"/>
          <w:sz w:val="24"/>
          <w:szCs w:val="24"/>
        </w:rPr>
        <w:t>P</w:t>
      </w:r>
      <w:r w:rsidRPr="007B0581">
        <w:rPr>
          <w:rFonts w:ascii="Arial" w:hAnsi="Arial" w:cs="Arial"/>
          <w:sz w:val="24"/>
          <w:szCs w:val="24"/>
        </w:rPr>
        <w:t>or su parte,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9D3CBA">
        <w:rPr>
          <w:rFonts w:ascii="Arial" w:hAnsi="Arial" w:cs="Arial"/>
          <w:b/>
          <w:bCs/>
          <w:sz w:val="24"/>
          <w:szCs w:val="24"/>
        </w:rPr>
        <w:t>,</w:t>
      </w:r>
      <w:r>
        <w:rPr>
          <w:rFonts w:ascii="Arial" w:hAnsi="Arial" w:cs="Arial"/>
          <w:b/>
          <w:bCs/>
          <w:sz w:val="24"/>
          <w:szCs w:val="24"/>
        </w:rPr>
        <w:t xml:space="preserve"> </w:t>
      </w:r>
      <w:r w:rsidRPr="009D4458">
        <w:rPr>
          <w:rFonts w:ascii="Arial" w:hAnsi="Arial" w:cs="Arial"/>
          <w:sz w:val="24"/>
          <w:szCs w:val="24"/>
        </w:rPr>
        <w:t>esencialmente</w:t>
      </w:r>
      <w:r>
        <w:rPr>
          <w:rFonts w:cs="Arial"/>
          <w:b/>
          <w:bCs/>
          <w:sz w:val="24"/>
          <w:szCs w:val="24"/>
        </w:rPr>
        <w:t xml:space="preserve"> </w:t>
      </w:r>
      <w:r w:rsidRPr="009D3CBA">
        <w:rPr>
          <w:rFonts w:ascii="Arial" w:hAnsi="Arial" w:cs="Arial"/>
          <w:sz w:val="24"/>
          <w:szCs w:val="24"/>
        </w:rPr>
        <w:t>refiri</w:t>
      </w:r>
      <w:r>
        <w:rPr>
          <w:rFonts w:ascii="Arial" w:hAnsi="Arial" w:cs="Arial"/>
          <w:sz w:val="24"/>
          <w:szCs w:val="24"/>
        </w:rPr>
        <w:t xml:space="preserve">eron que el acta de infracción impuesta fue de acuerdo a los lineamientos establecidos en los artículos 18, fracciones I y V, numeral plasmado en el acto impugnado, y 47, de la Ley de Tránsito y Vialidad del Estado de Oaxaca, y 92, fracción VI y 105, fracción IV, del Reglamento de la Ley de Tránsito y Vialidad del Estado de Oaxaca, estos último plasmados en los escritos de contestación de demanda. </w:t>
      </w:r>
    </w:p>
    <w:p w:rsidR="00340219" w:rsidRDefault="00340219" w:rsidP="00340219">
      <w:pPr>
        <w:spacing w:line="360" w:lineRule="auto"/>
        <w:ind w:firstLine="708"/>
        <w:jc w:val="both"/>
        <w:rPr>
          <w:rFonts w:ascii="Arial" w:hAnsi="Arial" w:cs="Arial"/>
          <w:sz w:val="24"/>
          <w:szCs w:val="24"/>
        </w:rPr>
      </w:pPr>
    </w:p>
    <w:p w:rsidR="00340219" w:rsidRPr="000B6BF7" w:rsidRDefault="00340219" w:rsidP="00340219">
      <w:pPr>
        <w:spacing w:line="360" w:lineRule="auto"/>
        <w:ind w:firstLine="709"/>
        <w:contextualSpacing/>
        <w:jc w:val="both"/>
        <w:rPr>
          <w:rFonts w:ascii="Arial" w:hAnsi="Arial" w:cs="Arial"/>
          <w:i/>
          <w:sz w:val="24"/>
          <w:szCs w:val="24"/>
        </w:rPr>
      </w:pPr>
      <w:r w:rsidRPr="00F57BEE">
        <w:rPr>
          <w:rFonts w:ascii="Arial" w:hAnsi="Arial" w:cs="Arial"/>
          <w:sz w:val="24"/>
          <w:szCs w:val="24"/>
        </w:rPr>
        <w:t>Ahora bien,</w:t>
      </w:r>
      <w:r w:rsidRPr="007B0581">
        <w:rPr>
          <w:rFonts w:ascii="Arial" w:hAnsi="Arial" w:cs="Arial"/>
          <w:sz w:val="24"/>
          <w:szCs w:val="24"/>
        </w:rPr>
        <w:t xml:space="preserve"> esta juzgadora después de haber realizado</w:t>
      </w:r>
      <w:r>
        <w:rPr>
          <w:rFonts w:ascii="Arial" w:hAnsi="Arial" w:cs="Arial"/>
          <w:sz w:val="24"/>
          <w:szCs w:val="24"/>
        </w:rPr>
        <w:t xml:space="preserve">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950F8D">
        <w:rPr>
          <w:rFonts w:ascii="Arial" w:hAnsi="Arial" w:cs="Arial"/>
          <w:sz w:val="24"/>
          <w:szCs w:val="24"/>
        </w:rPr>
        <w:t xml:space="preserve"> </w:t>
      </w:r>
      <w:r w:rsidRPr="007B0581">
        <w:rPr>
          <w:rFonts w:ascii="Arial" w:hAnsi="Arial" w:cs="Arial"/>
          <w:sz w:val="24"/>
          <w:szCs w:val="24"/>
        </w:rPr>
        <w:t xml:space="preserve">de </w:t>
      </w:r>
      <w:r>
        <w:rPr>
          <w:rFonts w:ascii="Arial" w:hAnsi="Arial" w:cs="Arial"/>
          <w:sz w:val="24"/>
          <w:szCs w:val="24"/>
        </w:rPr>
        <w:t>diez de marzo de dos mil veintitrés</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 xml:space="preserve">el </w:t>
      </w:r>
      <w:r w:rsidRPr="00B45B29">
        <w:rPr>
          <w:rFonts w:ascii="Arial" w:hAnsi="Arial" w:cs="Arial"/>
          <w:sz w:val="24"/>
          <w:szCs w:val="24"/>
        </w:rPr>
        <w:t>Policía Vial Estatal</w:t>
      </w:r>
      <w:r>
        <w:rPr>
          <w:rFonts w:ascii="Arial" w:hAnsi="Arial" w:cs="Arial"/>
          <w:sz w:val="24"/>
          <w:szCs w:val="24"/>
        </w:rPr>
        <w:t xml:space="preserve">, </w:t>
      </w:r>
      <w:r>
        <w:rPr>
          <w:rFonts w:cs="Arial"/>
          <w:b/>
          <w:sz w:val="24"/>
          <w:szCs w:val="24"/>
        </w:rPr>
        <w:t>**********</w:t>
      </w:r>
      <w:r>
        <w:rPr>
          <w:rFonts w:ascii="Arial" w:hAnsi="Arial" w:cs="Arial"/>
          <w:sz w:val="24"/>
          <w:szCs w:val="24"/>
        </w:rPr>
        <w:t>, con número estadístico 235,</w:t>
      </w:r>
      <w:r>
        <w:rPr>
          <w:rFonts w:ascii="Arial" w:hAnsi="Arial" w:cs="Arial"/>
          <w:b/>
          <w:bCs/>
          <w:sz w:val="24"/>
          <w:szCs w:val="24"/>
        </w:rPr>
        <w:t xml:space="preserve"> </w:t>
      </w:r>
      <w:r w:rsidRPr="007B0581">
        <w:rPr>
          <w:rFonts w:ascii="Arial" w:hAnsi="Arial" w:cs="Arial"/>
          <w:sz w:val="24"/>
          <w:szCs w:val="24"/>
        </w:rPr>
        <w:t xml:space="preserve">advierte que </w:t>
      </w:r>
      <w:r>
        <w:rPr>
          <w:rFonts w:ascii="Arial" w:hAnsi="Arial" w:cs="Arial"/>
          <w:sz w:val="24"/>
          <w:szCs w:val="24"/>
        </w:rPr>
        <w:t>es</w:t>
      </w:r>
      <w:r w:rsidRPr="007B0581">
        <w:rPr>
          <w:rFonts w:ascii="Arial" w:hAnsi="Arial" w:cs="Arial"/>
          <w:sz w:val="24"/>
          <w:szCs w:val="24"/>
        </w:rPr>
        <w:t xml:space="preserve"> </w:t>
      </w:r>
      <w:r w:rsidRPr="003F738C">
        <w:rPr>
          <w:rFonts w:ascii="Arial" w:hAnsi="Arial" w:cs="Arial"/>
          <w:b/>
          <w:bCs/>
          <w:sz w:val="24"/>
          <w:szCs w:val="24"/>
        </w:rPr>
        <w:t>fundado</w:t>
      </w:r>
      <w:r w:rsidRPr="007B0581">
        <w:rPr>
          <w:rFonts w:ascii="Arial" w:hAnsi="Arial" w:cs="Arial"/>
          <w:sz w:val="24"/>
          <w:szCs w:val="24"/>
        </w:rPr>
        <w:t xml:space="preserve"> </w:t>
      </w:r>
      <w:r>
        <w:rPr>
          <w:rFonts w:ascii="Arial" w:hAnsi="Arial" w:cs="Arial"/>
          <w:sz w:val="24"/>
          <w:szCs w:val="24"/>
        </w:rPr>
        <w:t>el</w:t>
      </w:r>
      <w:r w:rsidRPr="007B0581">
        <w:rPr>
          <w:rFonts w:ascii="Arial" w:hAnsi="Arial" w:cs="Arial"/>
          <w:sz w:val="24"/>
          <w:szCs w:val="24"/>
        </w:rPr>
        <w:t xml:space="preserve"> concepto de impugnación</w:t>
      </w:r>
      <w:r>
        <w:rPr>
          <w:rFonts w:ascii="Arial" w:hAnsi="Arial" w:cs="Arial"/>
          <w:sz w:val="24"/>
          <w:szCs w:val="24"/>
        </w:rPr>
        <w:t xml:space="preserve"> primero, hecho valer por el actor en el sentido que no se encuentra debidamente fundado ni motivado</w:t>
      </w:r>
      <w:r>
        <w:rPr>
          <w:rFonts w:ascii="Arial" w:hAnsi="Arial" w:cs="Arial"/>
          <w:bCs/>
          <w:sz w:val="24"/>
          <w:szCs w:val="24"/>
        </w:rPr>
        <w:t xml:space="preserve">. Se dice lo anterior en razón que, </w:t>
      </w:r>
      <w:r w:rsidRPr="00402863">
        <w:rPr>
          <w:rFonts w:ascii="Arial" w:hAnsi="Arial" w:cs="Arial"/>
          <w:bCs/>
          <w:sz w:val="24"/>
          <w:szCs w:val="24"/>
        </w:rPr>
        <w:t>la autoridad demandada</w:t>
      </w:r>
      <w:r>
        <w:rPr>
          <w:rFonts w:ascii="Arial" w:hAnsi="Arial" w:cs="Arial"/>
          <w:bCs/>
          <w:sz w:val="24"/>
          <w:szCs w:val="24"/>
        </w:rPr>
        <w:t xml:space="preserve"> para fundar su actuar plasmó de puño y letra el artículo 92 del Reglamento de Tránsito del Estado de Oaxaca, sin embargo, la nomenclatura del ordenamiento legal que cita no es el correcto, es decir, es diversa a la de la ley vigente al momento de la emisión del acto reclamado, siendo imperioso para la autoridad el plasmar con precisión el ordenamiento legal que se esté aplicando al caso concreto. </w:t>
      </w:r>
    </w:p>
    <w:p w:rsidR="00340219" w:rsidRDefault="00340219" w:rsidP="00340219">
      <w:pPr>
        <w:pStyle w:val="Sangradetextonormal2"/>
        <w:tabs>
          <w:tab w:val="left" w:pos="709"/>
        </w:tabs>
        <w:spacing w:line="360" w:lineRule="auto"/>
        <w:ind w:right="51" w:firstLine="0"/>
        <w:jc w:val="both"/>
        <w:rPr>
          <w:rFonts w:ascii="Arial" w:hAnsi="Arial" w:cs="Arial"/>
          <w:bCs/>
          <w:sz w:val="24"/>
          <w:szCs w:val="24"/>
        </w:rPr>
      </w:pPr>
    </w:p>
    <w:p w:rsidR="00340219" w:rsidRPr="000B6BF7" w:rsidRDefault="00340219" w:rsidP="00340219">
      <w:pPr>
        <w:spacing w:line="360" w:lineRule="auto"/>
        <w:ind w:firstLine="709"/>
        <w:contextualSpacing/>
        <w:jc w:val="both"/>
        <w:rPr>
          <w:rFonts w:ascii="Arial" w:hAnsi="Arial" w:cs="Arial"/>
          <w:i/>
          <w:sz w:val="24"/>
          <w:szCs w:val="24"/>
        </w:rPr>
      </w:pPr>
      <w:r>
        <w:rPr>
          <w:rFonts w:ascii="Arial" w:hAnsi="Arial" w:cs="Arial"/>
          <w:bCs/>
          <w:sz w:val="24"/>
          <w:szCs w:val="24"/>
        </w:rPr>
        <w:t xml:space="preserve">Aunado a lo anterior, la autoridad demandada tampoco motivó adecuadamente su actuar en razón que únicamente manifestó: </w:t>
      </w:r>
      <w:r w:rsidRPr="009B6CCE">
        <w:rPr>
          <w:rFonts w:ascii="Arial" w:hAnsi="Arial" w:cs="Arial"/>
          <w:bCs/>
          <w:i/>
          <w:iCs/>
          <w:sz w:val="24"/>
          <w:szCs w:val="24"/>
        </w:rPr>
        <w:t>“</w:t>
      </w:r>
      <w:r>
        <w:rPr>
          <w:rFonts w:ascii="Arial" w:hAnsi="Arial" w:cs="Arial"/>
          <w:bCs/>
          <w:i/>
          <w:iCs/>
          <w:sz w:val="24"/>
          <w:szCs w:val="24"/>
        </w:rPr>
        <w:t xml:space="preserve">Conductor del Vehiculo (sic) no respeta la luz ambar (sic) del semaforo (sic) motivo por el cual se le marca el alto </w:t>
      </w:r>
      <w:r>
        <w:rPr>
          <w:rFonts w:ascii="Arial" w:hAnsi="Arial" w:cs="Arial"/>
          <w:bCs/>
          <w:sz w:val="24"/>
          <w:szCs w:val="24"/>
        </w:rPr>
        <w:t xml:space="preserve">”, sin embargo, no hace una descripción clara, precisa y completa de la conducta del administrado para clasificarlo en la hipótesis legal infringida, esto es, no señala las razones particulares, causas inmediatas y circunstancias especiales, es decir, de qué forma arribó a la determinación de que el actor no respetó la luz ámbar del semáforo, máxime que el administrado en su escrito inicial de demanda en el apartado de hachos refirió que el policía vial se encontraba de espaldas al semáforo y varios metro adelante, manifestación que la demandada no controvirtió en su contestación de demanda. En consecuencia, </w:t>
      </w:r>
      <w:r w:rsidRPr="00570F22">
        <w:rPr>
          <w:rFonts w:ascii="Arial" w:hAnsi="Arial" w:cs="Arial"/>
          <w:bCs/>
          <w:sz w:val="24"/>
          <w:szCs w:val="24"/>
        </w:rPr>
        <w:t>se</w:t>
      </w:r>
      <w:r>
        <w:rPr>
          <w:rFonts w:ascii="Arial" w:hAnsi="Arial" w:cs="Arial"/>
          <w:bCs/>
          <w:sz w:val="24"/>
          <w:szCs w:val="24"/>
        </w:rPr>
        <w:t xml:space="preserve"> deja en estado de indefensión al actor al no conocer la ley que supuestamente infringió ni las </w:t>
      </w:r>
      <w:r>
        <w:rPr>
          <w:rFonts w:ascii="Arial" w:hAnsi="Arial" w:cs="Arial"/>
          <w:bCs/>
          <w:sz w:val="24"/>
          <w:szCs w:val="24"/>
        </w:rPr>
        <w:lastRenderedPageBreak/>
        <w:t xml:space="preserve">razones por las cuales se le infraccionó y en su oportunidad efectuar su defensa. </w:t>
      </w:r>
      <w:r w:rsidRPr="006B3008">
        <w:rPr>
          <w:rFonts w:ascii="Arial" w:hAnsi="Arial" w:cs="Arial"/>
          <w:sz w:val="24"/>
          <w:szCs w:val="24"/>
        </w:rPr>
        <w:t>Sirv</w:t>
      </w:r>
      <w:r>
        <w:rPr>
          <w:rFonts w:ascii="Arial" w:hAnsi="Arial" w:cs="Arial"/>
          <w:sz w:val="24"/>
          <w:szCs w:val="24"/>
        </w:rPr>
        <w:t>a</w:t>
      </w:r>
      <w:r w:rsidRPr="000B6BF7">
        <w:rPr>
          <w:rFonts w:ascii="Arial" w:hAnsi="Arial" w:cs="Arial"/>
          <w:sz w:val="24"/>
          <w:szCs w:val="24"/>
        </w:rPr>
        <w:t xml:space="preserve"> de sustento</w:t>
      </w:r>
      <w:r>
        <w:rPr>
          <w:rFonts w:ascii="Arial" w:hAnsi="Arial" w:cs="Arial"/>
          <w:sz w:val="24"/>
          <w:szCs w:val="24"/>
        </w:rPr>
        <w:t xml:space="preserve"> a lo antes vertido</w:t>
      </w:r>
      <w:r w:rsidRPr="000B6BF7">
        <w:rPr>
          <w:rFonts w:ascii="Arial" w:hAnsi="Arial" w:cs="Arial"/>
          <w:sz w:val="24"/>
          <w:szCs w:val="24"/>
        </w:rPr>
        <w:t xml:space="preserve"> la Jurisprudencia VI. 2o. J/248v, de la Octava Época, emitida por los Tribunales Colegiados de Circuito, publicada en la Gaceta del Semanario Judicial de la Federación, número 64, abril de 1993, página 43,</w:t>
      </w:r>
      <w:r>
        <w:rPr>
          <w:rFonts w:ascii="Arial" w:hAnsi="Arial" w:cs="Arial"/>
          <w:sz w:val="24"/>
          <w:szCs w:val="24"/>
        </w:rPr>
        <w:t xml:space="preserve"> con número de registro 216534, de rubro siguiente</w:t>
      </w:r>
      <w:r w:rsidRPr="000B6BF7">
        <w:rPr>
          <w:rFonts w:ascii="Arial" w:hAnsi="Arial" w:cs="Arial"/>
          <w:sz w:val="24"/>
          <w:szCs w:val="24"/>
        </w:rPr>
        <w:t xml:space="preserve">: </w:t>
      </w:r>
      <w:r w:rsidRPr="00D0058D">
        <w:rPr>
          <w:rFonts w:ascii="Arial" w:hAnsi="Arial" w:cs="Arial"/>
          <w:b/>
          <w:bCs/>
          <w:sz w:val="24"/>
          <w:szCs w:val="24"/>
        </w:rPr>
        <w:t>“</w:t>
      </w:r>
      <w:r w:rsidRPr="00D0058D">
        <w:rPr>
          <w:rFonts w:ascii="Arial" w:hAnsi="Arial" w:cs="Arial"/>
          <w:b/>
          <w:bCs/>
          <w:i/>
          <w:sz w:val="24"/>
          <w:szCs w:val="24"/>
        </w:rPr>
        <w:t>FUNDAMENTACION Y MOTIVACION DE LOS ACTOS ADMINISTRATIVOS”</w:t>
      </w:r>
      <w:r>
        <w:rPr>
          <w:rFonts w:ascii="Arial" w:hAnsi="Arial" w:cs="Arial"/>
          <w:b/>
          <w:bCs/>
          <w:i/>
          <w:sz w:val="24"/>
          <w:szCs w:val="24"/>
        </w:rPr>
        <w:t>.</w:t>
      </w:r>
    </w:p>
    <w:p w:rsidR="00340219" w:rsidRDefault="00340219" w:rsidP="00340219">
      <w:pPr>
        <w:spacing w:line="360" w:lineRule="auto"/>
        <w:ind w:firstLine="709"/>
        <w:contextualSpacing/>
        <w:jc w:val="both"/>
        <w:rPr>
          <w:rFonts w:ascii="Arial" w:hAnsi="Arial" w:cs="Arial"/>
          <w:bCs/>
          <w:sz w:val="24"/>
          <w:szCs w:val="24"/>
        </w:rPr>
      </w:pPr>
    </w:p>
    <w:p w:rsidR="00340219" w:rsidRDefault="00340219" w:rsidP="00340219">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en términos del artículo 17, fracción V, de la Ley de Procedimiento y Justicia Administrativa para el Estado de Oaxaca, </w:t>
      </w:r>
      <w:r w:rsidRPr="00A84B6D">
        <w:rPr>
          <w:rFonts w:ascii="Arial" w:hAnsi="Arial" w:cs="Arial"/>
          <w:sz w:val="24"/>
          <w:szCs w:val="24"/>
        </w:rPr>
        <w:t>con fundamento en lo dispuesto por el artículo 208 fracci</w:t>
      </w:r>
      <w:r>
        <w:rPr>
          <w:rFonts w:ascii="Arial" w:hAnsi="Arial" w:cs="Arial"/>
          <w:sz w:val="24"/>
          <w:szCs w:val="24"/>
        </w:rPr>
        <w:t>ones II y</w:t>
      </w:r>
      <w:r w:rsidRPr="00A84B6D">
        <w:rPr>
          <w:rFonts w:ascii="Arial" w:hAnsi="Arial" w:cs="Arial"/>
          <w:sz w:val="24"/>
          <w:szCs w:val="24"/>
        </w:rPr>
        <w:t xml:space="preserve"> VI, de la Ley de </w:t>
      </w:r>
      <w:r>
        <w:rPr>
          <w:rFonts w:ascii="Arial" w:hAnsi="Arial" w:cs="Arial"/>
          <w:sz w:val="24"/>
          <w:szCs w:val="24"/>
        </w:rPr>
        <w:t xml:space="preserve">la Materia,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 xml:space="preserve">declarar la nulidad lisa y llana </w:t>
      </w:r>
      <w:r w:rsidRPr="00E037E5">
        <w:rPr>
          <w:rFonts w:ascii="Arial" w:hAnsi="Arial" w:cs="Arial"/>
          <w:bCs/>
          <w:sz w:val="24"/>
          <w:szCs w:val="24"/>
        </w:rPr>
        <w:t>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diez de marzo de dos mil veintitrés</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 xml:space="preserve">el </w:t>
      </w:r>
      <w:r w:rsidRPr="00CF24D3">
        <w:rPr>
          <w:rFonts w:ascii="Arial" w:hAnsi="Arial" w:cs="Arial"/>
          <w:sz w:val="24"/>
          <w:szCs w:val="24"/>
        </w:rPr>
        <w:t>Policía Vial Estatal</w:t>
      </w:r>
      <w:r>
        <w:rPr>
          <w:rFonts w:ascii="Arial" w:hAnsi="Arial" w:cs="Arial"/>
          <w:sz w:val="24"/>
          <w:szCs w:val="24"/>
        </w:rPr>
        <w:t xml:space="preserve">, </w:t>
      </w:r>
      <w:r>
        <w:rPr>
          <w:rFonts w:cs="Arial"/>
          <w:b/>
          <w:sz w:val="24"/>
          <w:szCs w:val="24"/>
        </w:rPr>
        <w:t>**********</w:t>
      </w:r>
      <w:r>
        <w:rPr>
          <w:rFonts w:ascii="Arial" w:hAnsi="Arial" w:cs="Arial"/>
          <w:sz w:val="24"/>
          <w:szCs w:val="24"/>
        </w:rPr>
        <w:t xml:space="preserve">, con número estadístico 235, </w:t>
      </w:r>
      <w:r w:rsidRPr="00A84B6D">
        <w:rPr>
          <w:rFonts w:ascii="Arial" w:hAnsi="Arial" w:cs="Arial"/>
          <w:bCs/>
          <w:sz w:val="24"/>
          <w:szCs w:val="24"/>
        </w:rPr>
        <w:t>ordenándose</w:t>
      </w:r>
      <w:r>
        <w:rPr>
          <w:rFonts w:ascii="Arial" w:hAnsi="Arial" w:cs="Arial"/>
          <w:bCs/>
          <w:sz w:val="24"/>
          <w:szCs w:val="24"/>
        </w:rPr>
        <w:t xml:space="preserve"> al </w:t>
      </w:r>
      <w:r>
        <w:rPr>
          <w:rFonts w:ascii="Arial" w:hAnsi="Arial" w:cs="Arial"/>
          <w:sz w:val="24"/>
          <w:szCs w:val="24"/>
        </w:rPr>
        <w:t>Director General de la Policía Vial Estatal,</w:t>
      </w:r>
      <w:r w:rsidRPr="00A84B6D">
        <w:rPr>
          <w:rFonts w:ascii="Arial" w:hAnsi="Arial" w:cs="Arial"/>
          <w:bCs/>
          <w:sz w:val="24"/>
          <w:szCs w:val="24"/>
        </w:rPr>
        <w:t xml:space="preserv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w:t>
      </w:r>
      <w:r>
        <w:rPr>
          <w:rFonts w:ascii="Arial" w:hAnsi="Arial" w:cs="Arial"/>
          <w:bCs/>
          <w:sz w:val="24"/>
          <w:szCs w:val="24"/>
        </w:rPr>
        <w:t>.</w:t>
      </w:r>
      <w:r w:rsidRPr="00A84B6D">
        <w:rPr>
          <w:rFonts w:ascii="Arial" w:hAnsi="Arial" w:cs="Arial"/>
          <w:bCs/>
          <w:sz w:val="24"/>
          <w:szCs w:val="24"/>
        </w:rPr>
        <w:t xml:space="preserve"> </w:t>
      </w:r>
    </w:p>
    <w:p w:rsidR="00340219" w:rsidRDefault="00340219" w:rsidP="00340219">
      <w:pPr>
        <w:spacing w:line="360" w:lineRule="auto"/>
        <w:ind w:right="51" w:firstLine="567"/>
        <w:jc w:val="both"/>
        <w:rPr>
          <w:rFonts w:ascii="Arial" w:hAnsi="Arial" w:cs="Arial"/>
          <w:bCs/>
          <w:sz w:val="24"/>
          <w:szCs w:val="24"/>
        </w:rPr>
      </w:pPr>
    </w:p>
    <w:p w:rsidR="00340219" w:rsidRPr="00FB3B46" w:rsidRDefault="00340219" w:rsidP="00340219">
      <w:pPr>
        <w:spacing w:line="360" w:lineRule="auto"/>
        <w:ind w:firstLine="709"/>
        <w:contextualSpacing/>
        <w:jc w:val="both"/>
        <w:rPr>
          <w:rFonts w:ascii="Arial" w:hAnsi="Arial" w:cs="Arial"/>
          <w:color w:val="212529"/>
          <w:sz w:val="24"/>
          <w:szCs w:val="24"/>
        </w:rPr>
      </w:pPr>
      <w:r w:rsidRPr="00B75F89">
        <w:rPr>
          <w:rFonts w:ascii="Arial" w:hAnsi="Arial" w:cs="Arial"/>
          <w:sz w:val="24"/>
          <w:szCs w:val="24"/>
        </w:rPr>
        <w:t>Sin que</w:t>
      </w:r>
      <w:r w:rsidRPr="00FB3B46">
        <w:rPr>
          <w:rFonts w:ascii="Arial" w:hAnsi="Arial" w:cs="Arial"/>
          <w:sz w:val="24"/>
          <w:szCs w:val="24"/>
        </w:rPr>
        <w:t xml:space="preserve"> le sea legalmente posible a la</w:t>
      </w:r>
      <w:r>
        <w:rPr>
          <w:rFonts w:ascii="Arial" w:hAnsi="Arial" w:cs="Arial"/>
          <w:sz w:val="24"/>
          <w:szCs w:val="24"/>
        </w:rPr>
        <w:t xml:space="preserve"> </w:t>
      </w:r>
      <w:r w:rsidRPr="00FB3B46">
        <w:rPr>
          <w:rFonts w:ascii="Arial" w:hAnsi="Arial" w:cs="Arial"/>
          <w:sz w:val="24"/>
          <w:szCs w:val="24"/>
        </w:rPr>
        <w:t xml:space="preserve">demandada mejorar la fundamentación y motivación del acto impugnado en su escrito de contestación de demanda pues es obligación de la autoridad </w:t>
      </w:r>
      <w:r w:rsidRPr="00FB3B46">
        <w:rPr>
          <w:rFonts w:ascii="Arial" w:hAnsi="Arial" w:cs="Arial"/>
          <w:color w:val="212529"/>
          <w:sz w:val="24"/>
          <w:szCs w:val="24"/>
        </w:rPr>
        <w:t>plasmar en el documento que contiene el acto impugnado la fundamentación y motivación y no en documento distinto,</w:t>
      </w:r>
      <w:r w:rsidRPr="00FB3B46">
        <w:rPr>
          <w:rFonts w:ascii="Arial" w:hAnsi="Arial" w:cs="Arial"/>
          <w:sz w:val="24"/>
          <w:szCs w:val="24"/>
        </w:rPr>
        <w:t xml:space="preserve"> sirva de apoyo la jurisprudencia con número de registro 917740, Séptima Época, de la Segunda Sala de la Suprema Corte de Justicia de la Nación, Tomo VI, página 168, de rubro y texto siguiente: </w:t>
      </w:r>
      <w:r w:rsidRPr="00FB3B46">
        <w:rPr>
          <w:rFonts w:ascii="Arial" w:hAnsi="Arial" w:cs="Arial"/>
          <w:i/>
          <w:iCs/>
          <w:sz w:val="24"/>
          <w:szCs w:val="24"/>
        </w:rPr>
        <w:t>“FUNDAMENTACIÓN</w:t>
      </w:r>
      <w:r w:rsidRPr="00FB3B46">
        <w:rPr>
          <w:rFonts w:ascii="Arial" w:hAnsi="Arial" w:cs="Arial"/>
          <w:i/>
          <w:iCs/>
          <w:color w:val="212529"/>
          <w:sz w:val="24"/>
          <w:szCs w:val="24"/>
        </w:rPr>
        <w:t xml:space="preserve"> Y MOTIVACIÓN. DEBEN CONSTAR EN EL CUERPO DE LA RESOLUCIÓN Y NO EN DOCUMENTO DISTINTO. -</w:t>
      </w:r>
      <w:r w:rsidRPr="00FB3B46">
        <w:rPr>
          <w:rFonts w:ascii="Arial" w:hAnsi="Arial" w:cs="Arial"/>
          <w:b/>
          <w:bCs/>
          <w:i/>
          <w:iCs/>
          <w:color w:val="212529"/>
          <w:sz w:val="24"/>
          <w:szCs w:val="24"/>
        </w:rPr>
        <w:t xml:space="preserve"> </w:t>
      </w:r>
      <w:r w:rsidRPr="00FB3B46">
        <w:rPr>
          <w:rFonts w:ascii="Arial" w:hAnsi="Arial" w:cs="Arial"/>
          <w:i/>
          <w:iCs/>
          <w:color w:val="212529"/>
          <w:sz w:val="24"/>
          <w:szCs w:val="24"/>
        </w:rPr>
        <w:t>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340219" w:rsidRDefault="00340219" w:rsidP="00340219">
      <w:pPr>
        <w:spacing w:line="360" w:lineRule="auto"/>
        <w:ind w:right="51" w:firstLine="567"/>
        <w:jc w:val="both"/>
        <w:rPr>
          <w:rFonts w:ascii="Arial" w:hAnsi="Arial" w:cs="Arial"/>
          <w:bCs/>
          <w:sz w:val="24"/>
          <w:szCs w:val="24"/>
        </w:rPr>
      </w:pPr>
    </w:p>
    <w:p w:rsidR="00340219" w:rsidRDefault="00340219" w:rsidP="00340219">
      <w:pPr>
        <w:spacing w:line="360" w:lineRule="auto"/>
        <w:ind w:firstLine="709"/>
        <w:contextualSpacing/>
        <w:jc w:val="both"/>
        <w:rPr>
          <w:rFonts w:ascii="Arial" w:hAnsi="Arial" w:cs="Arial"/>
          <w:i/>
          <w:iCs/>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el</w:t>
      </w:r>
      <w:r w:rsidRPr="009761C8">
        <w:rPr>
          <w:rFonts w:ascii="Arial" w:hAnsi="Arial" w:cs="Arial"/>
          <w:bCs/>
          <w:color w:val="000000"/>
          <w:sz w:val="24"/>
          <w:szCs w:val="24"/>
        </w:rPr>
        <w:t xml:space="preserve">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 xml:space="preserve">l </w:t>
      </w:r>
      <w:r w:rsidRPr="009761C8">
        <w:rPr>
          <w:rFonts w:ascii="Arial" w:hAnsi="Arial" w:cs="Arial"/>
          <w:bCs/>
          <w:color w:val="000000"/>
          <w:sz w:val="24"/>
          <w:szCs w:val="24"/>
        </w:rPr>
        <w:t>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xml:space="preserve">, sustentada por el Cuarto Tribunal Colegiado en materia Administrativa del Primer Circuito, publicada en el Semanario Judicial de la </w:t>
      </w:r>
      <w:r w:rsidRPr="009761C8">
        <w:rPr>
          <w:rFonts w:ascii="Arial" w:hAnsi="Arial" w:cs="Arial"/>
          <w:bCs/>
          <w:sz w:val="24"/>
          <w:szCs w:val="24"/>
        </w:rPr>
        <w:lastRenderedPageBreak/>
        <w:t>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sidRPr="007A4AEC">
        <w:rPr>
          <w:rFonts w:ascii="Arial" w:hAnsi="Arial" w:cs="Arial"/>
          <w:b/>
          <w:bCs/>
          <w:i/>
          <w:iCs/>
          <w:sz w:val="24"/>
          <w:szCs w:val="24"/>
        </w:rPr>
        <w:t>“</w:t>
      </w:r>
      <w:r w:rsidRPr="007A4AEC">
        <w:rPr>
          <w:rFonts w:ascii="Arial" w:hAnsi="Arial" w:cs="Arial"/>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340219" w:rsidRPr="0019022B" w:rsidRDefault="00340219" w:rsidP="00340219">
      <w:pPr>
        <w:spacing w:line="360" w:lineRule="auto"/>
        <w:ind w:right="335" w:firstLine="567"/>
        <w:jc w:val="both"/>
        <w:rPr>
          <w:rFonts w:ascii="Arial" w:hAnsi="Arial" w:cs="Arial"/>
          <w:iCs/>
          <w:sz w:val="24"/>
          <w:szCs w:val="24"/>
        </w:rPr>
      </w:pPr>
    </w:p>
    <w:p w:rsidR="00340219" w:rsidRPr="007B0581" w:rsidRDefault="00340219" w:rsidP="00340219">
      <w:pPr>
        <w:spacing w:line="360" w:lineRule="auto"/>
        <w:ind w:firstLine="708"/>
        <w:jc w:val="both"/>
        <w:rPr>
          <w:rFonts w:ascii="Arial" w:hAnsi="Arial" w:cs="Arial"/>
          <w:sz w:val="24"/>
          <w:szCs w:val="24"/>
        </w:rPr>
      </w:pPr>
      <w:r>
        <w:rPr>
          <w:rFonts w:ascii="Arial" w:hAnsi="Arial" w:cs="Arial"/>
          <w:b/>
          <w:sz w:val="24"/>
          <w:szCs w:val="24"/>
        </w:rPr>
        <w:t>SEXTO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134262">
        <w:rPr>
          <w:rFonts w:ascii="Arial" w:hAnsi="Arial" w:cs="Arial"/>
          <w:b/>
          <w:bCs/>
          <w:sz w:val="24"/>
          <w:szCs w:val="24"/>
        </w:rPr>
        <w:t>no</w:t>
      </w:r>
      <w:r>
        <w:rPr>
          <w:rFonts w:ascii="Arial" w:hAnsi="Arial" w:cs="Arial"/>
          <w:b/>
          <w:sz w:val="24"/>
          <w:szCs w:val="24"/>
        </w:rPr>
        <w:t xml:space="preserve"> se</w:t>
      </w:r>
      <w:r w:rsidRPr="007B0581">
        <w:rPr>
          <w:rFonts w:ascii="Arial" w:hAnsi="Arial" w:cs="Arial"/>
          <w:b/>
          <w:sz w:val="24"/>
          <w:szCs w:val="24"/>
        </w:rPr>
        <w:t xml:space="preserv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340219" w:rsidRDefault="00340219" w:rsidP="00340219">
      <w:pPr>
        <w:spacing w:line="360" w:lineRule="auto"/>
        <w:ind w:firstLine="708"/>
        <w:jc w:val="both"/>
        <w:rPr>
          <w:rFonts w:ascii="Arial" w:eastAsia="Calibri" w:hAnsi="Arial" w:cs="Arial"/>
          <w:color w:val="000000"/>
          <w:sz w:val="24"/>
          <w:szCs w:val="24"/>
          <w:lang w:val="es-MX" w:eastAsia="en-US"/>
        </w:rPr>
      </w:pPr>
    </w:p>
    <w:p w:rsidR="00340219" w:rsidRDefault="00340219" w:rsidP="00340219">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340219" w:rsidRDefault="00340219" w:rsidP="00340219">
      <w:pPr>
        <w:spacing w:line="360" w:lineRule="auto"/>
        <w:ind w:firstLine="708"/>
        <w:jc w:val="both"/>
        <w:rPr>
          <w:rFonts w:ascii="Arial" w:eastAsia="Calibri" w:hAnsi="Arial" w:cs="Arial"/>
          <w:color w:val="000000"/>
          <w:sz w:val="24"/>
          <w:szCs w:val="24"/>
          <w:lang w:val="es-MX" w:eastAsia="en-US"/>
        </w:rPr>
      </w:pPr>
    </w:p>
    <w:p w:rsidR="00340219" w:rsidRDefault="00340219" w:rsidP="00340219">
      <w:pPr>
        <w:spacing w:line="360" w:lineRule="auto"/>
        <w:ind w:firstLine="708"/>
        <w:jc w:val="both"/>
        <w:rPr>
          <w:rFonts w:ascii="Arial" w:eastAsia="Calibri" w:hAnsi="Arial" w:cs="Arial"/>
          <w:color w:val="000000"/>
          <w:sz w:val="24"/>
          <w:szCs w:val="24"/>
          <w:lang w:val="es-MX" w:eastAsia="en-US"/>
        </w:rPr>
      </w:pPr>
    </w:p>
    <w:p w:rsidR="00340219" w:rsidRDefault="00340219" w:rsidP="00340219">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340219" w:rsidRDefault="00340219" w:rsidP="00340219">
      <w:pPr>
        <w:tabs>
          <w:tab w:val="left" w:pos="3786"/>
        </w:tabs>
        <w:spacing w:line="360" w:lineRule="auto"/>
        <w:ind w:firstLine="708"/>
        <w:jc w:val="both"/>
        <w:rPr>
          <w:rFonts w:ascii="Arial" w:hAnsi="Arial" w:cs="Arial"/>
          <w:b/>
          <w:sz w:val="24"/>
          <w:szCs w:val="24"/>
        </w:rPr>
      </w:pPr>
    </w:p>
    <w:p w:rsidR="00340219" w:rsidRDefault="00340219" w:rsidP="00340219">
      <w:pPr>
        <w:tabs>
          <w:tab w:val="left" w:pos="3786"/>
        </w:tabs>
        <w:spacing w:line="360" w:lineRule="auto"/>
        <w:ind w:firstLine="708"/>
        <w:jc w:val="both"/>
        <w:rPr>
          <w:rFonts w:ascii="Arial" w:hAnsi="Arial" w:cs="Arial"/>
          <w:b/>
          <w:sz w:val="24"/>
          <w:szCs w:val="24"/>
        </w:rPr>
      </w:pPr>
    </w:p>
    <w:p w:rsidR="00340219" w:rsidRDefault="00340219" w:rsidP="00340219">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340219" w:rsidRPr="007B0581" w:rsidRDefault="00340219" w:rsidP="00340219">
      <w:pPr>
        <w:spacing w:line="360" w:lineRule="auto"/>
        <w:ind w:firstLine="708"/>
        <w:jc w:val="both"/>
        <w:rPr>
          <w:rFonts w:ascii="Arial" w:eastAsia="Calibri" w:hAnsi="Arial" w:cs="Arial"/>
          <w:color w:val="000000"/>
          <w:sz w:val="24"/>
          <w:szCs w:val="24"/>
          <w:lang w:val="es-MX" w:eastAsia="en-US"/>
        </w:rPr>
      </w:pPr>
    </w:p>
    <w:p w:rsidR="00340219" w:rsidRPr="007B0581" w:rsidRDefault="00340219" w:rsidP="00340219">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 de las partes </w:t>
      </w:r>
      <w:r w:rsidRPr="007B0581">
        <w:rPr>
          <w:rFonts w:ascii="Arial" w:eastAsia="Arial Unicode MS" w:hAnsi="Arial" w:cs="Arial"/>
          <w:kern w:val="1"/>
          <w:sz w:val="24"/>
          <w:szCs w:val="24"/>
          <w:lang w:eastAsia="ar-SA"/>
        </w:rPr>
        <w:t>quedó acreditada en autos.</w:t>
      </w:r>
      <w:r w:rsidRPr="007B0581">
        <w:rPr>
          <w:rFonts w:ascii="Arial" w:eastAsia="Arial Unicode MS" w:hAnsi="Arial" w:cs="Arial"/>
          <w:kern w:val="1"/>
          <w:sz w:val="24"/>
          <w:szCs w:val="24"/>
          <w:lang w:val="es-MX" w:eastAsia="ar-SA"/>
        </w:rPr>
        <w:t xml:space="preserve"> </w:t>
      </w:r>
    </w:p>
    <w:p w:rsidR="00340219" w:rsidRPr="007B0581" w:rsidRDefault="00340219" w:rsidP="00340219">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340219" w:rsidRPr="007B0581" w:rsidRDefault="00340219" w:rsidP="00340219">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No se actualizó causal</w:t>
      </w:r>
      <w:r>
        <w:rPr>
          <w:rFonts w:ascii="Arial" w:eastAsia="Calibri" w:hAnsi="Arial" w:cs="Arial"/>
          <w:color w:val="000000"/>
          <w:sz w:val="24"/>
          <w:szCs w:val="24"/>
          <w:lang w:val="es-MX" w:eastAsia="en-US"/>
        </w:rPr>
        <w:t xml:space="preserve"> alguna</w:t>
      </w:r>
      <w:r w:rsidRPr="007B0581">
        <w:rPr>
          <w:rFonts w:ascii="Arial" w:eastAsia="Calibri" w:hAnsi="Arial" w:cs="Arial"/>
          <w:color w:val="000000"/>
          <w:sz w:val="24"/>
          <w:szCs w:val="24"/>
          <w:lang w:val="es-MX" w:eastAsia="en-US"/>
        </w:rPr>
        <w:t xml:space="preserve">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340219" w:rsidRDefault="00340219" w:rsidP="00340219">
      <w:pPr>
        <w:spacing w:line="360" w:lineRule="auto"/>
        <w:ind w:right="51" w:firstLine="567"/>
        <w:jc w:val="both"/>
        <w:rPr>
          <w:rFonts w:ascii="Arial" w:eastAsia="Calibri" w:hAnsi="Arial" w:cs="Arial"/>
          <w:color w:val="000000"/>
          <w:sz w:val="24"/>
          <w:szCs w:val="24"/>
          <w:lang w:val="es-MX" w:eastAsia="en-US"/>
        </w:rPr>
      </w:pPr>
    </w:p>
    <w:p w:rsidR="00340219" w:rsidRDefault="00340219" w:rsidP="00340219">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4363F">
        <w:rPr>
          <w:rFonts w:ascii="Arial" w:hAnsi="Arial" w:cs="Arial"/>
          <w:b/>
          <w:bCs/>
          <w:sz w:val="24"/>
          <w:szCs w:val="24"/>
        </w:rPr>
        <w:t>SE</w:t>
      </w:r>
      <w:r w:rsidRPr="0074363F">
        <w:rPr>
          <w:rFonts w:ascii="Arial" w:hAnsi="Arial" w:cs="Arial"/>
          <w:sz w:val="24"/>
          <w:szCs w:val="24"/>
        </w:rPr>
        <w:t xml:space="preserve"> </w:t>
      </w:r>
      <w:r w:rsidRPr="0074363F">
        <w:rPr>
          <w:rFonts w:ascii="Arial" w:hAnsi="Arial" w:cs="Arial"/>
          <w:b/>
          <w:sz w:val="24"/>
          <w:szCs w:val="24"/>
        </w:rPr>
        <w:t>DECLARA</w:t>
      </w:r>
      <w:r w:rsidRPr="00BB5812">
        <w:rPr>
          <w:rFonts w:ascii="Arial" w:hAnsi="Arial" w:cs="Arial"/>
          <w:b/>
          <w:sz w:val="24"/>
          <w:szCs w:val="24"/>
        </w:rPr>
        <w:t xml:space="preserve">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diez de marzo de dos mil veintitrés</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 xml:space="preserve">el </w:t>
      </w:r>
      <w:r w:rsidRPr="00CF24D3">
        <w:rPr>
          <w:rFonts w:ascii="Arial" w:hAnsi="Arial" w:cs="Arial"/>
          <w:sz w:val="24"/>
          <w:szCs w:val="24"/>
        </w:rPr>
        <w:t>Policía Vial Estatal</w:t>
      </w:r>
      <w:r>
        <w:rPr>
          <w:rFonts w:ascii="Arial" w:hAnsi="Arial" w:cs="Arial"/>
          <w:sz w:val="24"/>
          <w:szCs w:val="24"/>
        </w:rPr>
        <w:t xml:space="preserve">, </w:t>
      </w:r>
      <w:r>
        <w:rPr>
          <w:rFonts w:cs="Arial"/>
          <w:b/>
          <w:sz w:val="24"/>
          <w:szCs w:val="24"/>
        </w:rPr>
        <w:t>**********</w:t>
      </w:r>
      <w:r>
        <w:rPr>
          <w:rFonts w:ascii="Arial" w:hAnsi="Arial" w:cs="Arial"/>
          <w:sz w:val="24"/>
          <w:szCs w:val="24"/>
        </w:rPr>
        <w:t xml:space="preserve">, con número </w:t>
      </w:r>
      <w:r>
        <w:rPr>
          <w:rFonts w:ascii="Arial" w:hAnsi="Arial" w:cs="Arial"/>
          <w:sz w:val="24"/>
          <w:szCs w:val="24"/>
        </w:rPr>
        <w:lastRenderedPageBreak/>
        <w:t>estadístico 235,</w:t>
      </w:r>
      <w:r w:rsidRPr="00BB5812">
        <w:rPr>
          <w:rFonts w:ascii="Arial" w:hAnsi="Arial" w:cs="Arial"/>
          <w:bCs/>
          <w:sz w:val="24"/>
          <w:szCs w:val="24"/>
        </w:rPr>
        <w:t xml:space="preserve"> </w:t>
      </w:r>
      <w:r>
        <w:rPr>
          <w:rFonts w:ascii="Arial" w:hAnsi="Arial" w:cs="Arial"/>
          <w:sz w:val="24"/>
          <w:szCs w:val="24"/>
        </w:rPr>
        <w:t xml:space="preserve">en los </w:t>
      </w:r>
      <w:r w:rsidRPr="00236312">
        <w:rPr>
          <w:rFonts w:ascii="Arial" w:hAnsi="Arial" w:cs="Arial"/>
          <w:sz w:val="24"/>
          <w:szCs w:val="24"/>
        </w:rPr>
        <w:t>términos</w:t>
      </w:r>
      <w:r>
        <w:rPr>
          <w:rFonts w:ascii="Arial" w:hAnsi="Arial" w:cs="Arial"/>
          <w:sz w:val="24"/>
          <w:szCs w:val="24"/>
        </w:rPr>
        <w:t xml:space="preserve"> establecidos </w:t>
      </w:r>
      <w:r>
        <w:rPr>
          <w:rFonts w:ascii="Arial" w:hAnsi="Arial" w:cs="Arial"/>
          <w:bCs/>
          <w:sz w:val="24"/>
          <w:szCs w:val="24"/>
        </w:rPr>
        <w:t xml:space="preserve">en el </w:t>
      </w:r>
      <w:r w:rsidRPr="00BB5812">
        <w:rPr>
          <w:rFonts w:ascii="Arial" w:hAnsi="Arial" w:cs="Arial"/>
          <w:bCs/>
          <w:sz w:val="24"/>
          <w:szCs w:val="24"/>
        </w:rPr>
        <w:t xml:space="preserve">considerando </w:t>
      </w:r>
      <w:r>
        <w:rPr>
          <w:rFonts w:ascii="Arial" w:hAnsi="Arial" w:cs="Arial"/>
          <w:b/>
          <w:sz w:val="24"/>
          <w:szCs w:val="24"/>
        </w:rPr>
        <w:t>QUINTO</w:t>
      </w:r>
      <w:r>
        <w:rPr>
          <w:rFonts w:ascii="Arial" w:hAnsi="Arial" w:cs="Arial"/>
          <w:bCs/>
          <w:sz w:val="24"/>
          <w:szCs w:val="24"/>
        </w:rPr>
        <w:t xml:space="preserve"> de esta sentencia.</w:t>
      </w:r>
      <w:r w:rsidRPr="007B0581">
        <w:rPr>
          <w:rFonts w:ascii="Arial" w:hAnsi="Arial" w:cs="Arial"/>
          <w:sz w:val="24"/>
          <w:szCs w:val="24"/>
        </w:rPr>
        <w:t xml:space="preserve"> </w:t>
      </w:r>
    </w:p>
    <w:p w:rsidR="00340219" w:rsidRDefault="00340219" w:rsidP="00340219">
      <w:pPr>
        <w:spacing w:line="360" w:lineRule="auto"/>
        <w:ind w:right="51" w:firstLine="567"/>
        <w:jc w:val="both"/>
        <w:rPr>
          <w:rFonts w:ascii="Arial" w:hAnsi="Arial" w:cs="Arial"/>
          <w:sz w:val="24"/>
          <w:szCs w:val="24"/>
        </w:rPr>
      </w:pPr>
    </w:p>
    <w:p w:rsidR="00340219" w:rsidRDefault="00340219" w:rsidP="00340219">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A8056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A80561">
        <w:rPr>
          <w:rFonts w:ascii="Arial" w:eastAsia="Calibri" w:hAnsi="Arial" w:cs="Arial"/>
          <w:b/>
          <w:color w:val="000000"/>
          <w:sz w:val="24"/>
          <w:szCs w:val="24"/>
          <w:lang w:val="es-MX" w:eastAsia="en-US"/>
        </w:rPr>
        <w:t>NOTIFÍQUESE</w:t>
      </w:r>
      <w:r w:rsidRPr="00A80561">
        <w:rPr>
          <w:rFonts w:ascii="Arial" w:eastAsia="Calibri" w:hAnsi="Arial" w:cs="Arial"/>
          <w:color w:val="000000"/>
          <w:sz w:val="24"/>
          <w:szCs w:val="24"/>
          <w:lang w:val="es-MX" w:eastAsia="en-US"/>
        </w:rPr>
        <w:t xml:space="preserve"> personalmente a la parte actora y por oficio a la autoridad demandada. -  </w:t>
      </w:r>
      <w:r w:rsidRPr="00A80561">
        <w:rPr>
          <w:rFonts w:ascii="Arial" w:eastAsia="Calibri" w:hAnsi="Arial" w:cs="Arial"/>
          <w:b/>
          <w:color w:val="000000"/>
          <w:sz w:val="24"/>
          <w:szCs w:val="24"/>
          <w:lang w:val="es-MX" w:eastAsia="en-US"/>
        </w:rPr>
        <w:t>CÚMPLASE.</w:t>
      </w:r>
    </w:p>
    <w:p w:rsidR="00340219" w:rsidRPr="00A80561" w:rsidRDefault="00340219" w:rsidP="00340219">
      <w:pPr>
        <w:spacing w:line="360" w:lineRule="auto"/>
        <w:ind w:right="51" w:firstLine="567"/>
        <w:jc w:val="both"/>
        <w:rPr>
          <w:rFonts w:ascii="Arial" w:eastAsia="Calibri" w:hAnsi="Arial" w:cs="Arial"/>
          <w:b/>
          <w:color w:val="000000"/>
          <w:sz w:val="24"/>
          <w:szCs w:val="24"/>
          <w:lang w:val="es-MX" w:eastAsia="en-US"/>
        </w:rPr>
      </w:pPr>
    </w:p>
    <w:p w:rsidR="00340219" w:rsidRDefault="00340219" w:rsidP="00340219">
      <w:pPr>
        <w:widowControl w:val="0"/>
        <w:spacing w:line="360" w:lineRule="auto"/>
        <w:jc w:val="both"/>
        <w:rPr>
          <w:rFonts w:ascii="Arial" w:hAnsi="Arial" w:cs="Arial"/>
          <w:sz w:val="24"/>
          <w:szCs w:val="24"/>
          <w:lang w:eastAsia="es-ES"/>
        </w:rPr>
      </w:pPr>
      <w:r w:rsidRPr="00A80561">
        <w:rPr>
          <w:rFonts w:ascii="Arial" w:hAnsi="Arial" w:cs="Arial"/>
          <w:sz w:val="24"/>
          <w:szCs w:val="24"/>
        </w:rPr>
        <w:t xml:space="preserve">            </w:t>
      </w:r>
      <w:r w:rsidRPr="00A80561">
        <w:rPr>
          <w:rFonts w:ascii="Arial" w:hAnsi="Arial" w:cs="Arial"/>
          <w:sz w:val="24"/>
          <w:szCs w:val="24"/>
          <w:lang w:val="es-MX"/>
        </w:rPr>
        <w:t xml:space="preserve"> </w:t>
      </w:r>
      <w:r w:rsidRPr="00A80561">
        <w:rPr>
          <w:rFonts w:ascii="Arial" w:hAnsi="Arial" w:cs="Arial"/>
          <w:sz w:val="24"/>
          <w:szCs w:val="24"/>
          <w:lang w:eastAsia="es-ES"/>
        </w:rPr>
        <w:t xml:space="preserve">Así lo resolvió y firma la Magistrada Virginia Hernández Hernández, Titular de la Quinta Sala Unitaria de Primera Instancia del Tribunal de Justicia Administrativa del Estado de Oaxaca, quien actúa con la Licenciada Marissa Ignacio Valencia, secretaria de Acuerdos, que autoriza y da fe. </w:t>
      </w:r>
    </w:p>
    <w:p w:rsidR="00340219" w:rsidRDefault="00340219" w:rsidP="00340219">
      <w:pPr>
        <w:widowControl w:val="0"/>
        <w:spacing w:line="360" w:lineRule="auto"/>
        <w:jc w:val="both"/>
        <w:rPr>
          <w:rFonts w:ascii="Arial" w:hAnsi="Arial" w:cs="Arial"/>
          <w:sz w:val="24"/>
          <w:szCs w:val="24"/>
          <w:lang w:eastAsia="es-ES"/>
        </w:rPr>
      </w:pPr>
    </w:p>
    <w:p w:rsidR="00340219" w:rsidRDefault="00340219" w:rsidP="00340219">
      <w:pPr>
        <w:widowControl w:val="0"/>
        <w:spacing w:line="360" w:lineRule="auto"/>
        <w:jc w:val="both"/>
        <w:rPr>
          <w:rFonts w:ascii="Arial" w:hAnsi="Arial" w:cs="Arial"/>
          <w:sz w:val="24"/>
          <w:szCs w:val="24"/>
          <w:lang w:eastAsia="es-ES"/>
        </w:rPr>
      </w:pPr>
    </w:p>
    <w:p w:rsidR="00340219" w:rsidRPr="00A80561" w:rsidRDefault="00340219" w:rsidP="00340219">
      <w:pPr>
        <w:widowControl w:val="0"/>
        <w:spacing w:line="360" w:lineRule="auto"/>
        <w:jc w:val="both"/>
        <w:rPr>
          <w:rFonts w:ascii="Arial" w:hAnsi="Arial" w:cs="Arial"/>
          <w:sz w:val="24"/>
          <w:szCs w:val="24"/>
          <w:lang w:val="es-MX"/>
        </w:rPr>
      </w:pP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219" w:rsidRDefault="00340219" w:rsidP="00340219">
      <w:r>
        <w:separator/>
      </w:r>
    </w:p>
  </w:endnote>
  <w:endnote w:type="continuationSeparator" w:id="0">
    <w:p w:rsidR="00340219" w:rsidRDefault="00340219" w:rsidP="00340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340219">
        <w:pPr>
          <w:pStyle w:val="Piedepgina"/>
          <w:jc w:val="center"/>
        </w:pPr>
        <w:r>
          <w:fldChar w:fldCharType="begin"/>
        </w:r>
        <w:r>
          <w:instrText xml:space="preserve">PAGE   \* </w:instrText>
        </w:r>
        <w:r>
          <w:instrText>MERGEFORMAT</w:instrText>
        </w:r>
        <w:r>
          <w:fldChar w:fldCharType="separate"/>
        </w:r>
        <w:r>
          <w:rPr>
            <w:noProof/>
          </w:rPr>
          <w:t>8</w:t>
        </w:r>
        <w:r>
          <w:fldChar w:fldCharType="end"/>
        </w:r>
      </w:p>
    </w:sdtContent>
  </w:sdt>
  <w:p w:rsidR="009525A3" w:rsidRDefault="0034021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219" w:rsidRDefault="00340219" w:rsidP="00340219">
      <w:r>
        <w:separator/>
      </w:r>
    </w:p>
  </w:footnote>
  <w:footnote w:type="continuationSeparator" w:id="0">
    <w:p w:rsidR="00340219" w:rsidRDefault="00340219" w:rsidP="00340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340219" w:rsidP="00A73AD7">
    <w:pPr>
      <w:pStyle w:val="Encabezado"/>
      <w:jc w:val="right"/>
      <w:rPr>
        <w:rFonts w:ascii="Arial" w:hAnsi="Arial" w:cs="Arial"/>
      </w:rPr>
    </w:pPr>
    <w:r w:rsidRPr="00DF347F">
      <w:rPr>
        <w:rFonts w:eastAsia="Calibri"/>
        <w:noProof/>
        <w:lang w:val="es-MX"/>
      </w:rPr>
      <mc:AlternateContent>
        <mc:Choice Requires="wps">
          <w:drawing>
            <wp:anchor distT="45720" distB="45720" distL="114300" distR="114300" simplePos="0" relativeHeight="251665408" behindDoc="1" locked="0" layoutInCell="1" allowOverlap="1" wp14:anchorId="414831AA" wp14:editId="09A62E50">
              <wp:simplePos x="0" y="0"/>
              <wp:positionH relativeFrom="page">
                <wp:posOffset>262011</wp:posOffset>
              </wp:positionH>
              <wp:positionV relativeFrom="paragraph">
                <wp:posOffset>3816985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340219" w:rsidRDefault="00340219" w:rsidP="0034021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4831AA" id="_x0000_t202" coordsize="21600,21600" o:spt="202" path="m,l,21600r21600,l21600,xe">
              <v:stroke joinstyle="miter"/>
              <v:path gradientshapeok="t" o:connecttype="rect"/>
            </v:shapetype>
            <v:shape id="Cuadro de texto 5" o:spid="_x0000_s1026" type="#_x0000_t202" style="position:absolute;left:0;text-align:left;margin-left:20.65pt;margin-top:300.55pt;width:82.4pt;height:118.5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">
              <v:textbox>
                <w:txbxContent>
                  <w:p w:rsidR="00340219" w:rsidRDefault="00340219" w:rsidP="00340219">
                    <w:pPr>
                      <w:jc w:val="center"/>
                    </w:pPr>
                    <w:r>
                      <w:t>DATOS PERSONALES PROTEGIDOS POR EL ART.- 116 DE LA LGTAIP Y EL ART.- 61 DE LA LTAIPEO</w:t>
                    </w:r>
                  </w:p>
                </w:txbxContent>
              </v:textbox>
              <w10:wrap anchorx="page"/>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331AE6C9" wp14:editId="2A147C5F">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2</w:t>
    </w:r>
    <w:r>
      <w:rPr>
        <w:rFonts w:ascii="Arial" w:hAnsi="Arial" w:cs="Arial"/>
      </w:rPr>
      <w:t>5</w:t>
    </w:r>
    <w:r w:rsidRPr="00A73AD7">
      <w:rPr>
        <w:rFonts w:ascii="Arial" w:hAnsi="Arial" w:cs="Arial"/>
      </w:rPr>
      <w:t>/20</w:t>
    </w:r>
    <w:r>
      <w:rPr>
        <w:rFonts w:ascii="Arial" w:hAnsi="Arial" w:cs="Arial"/>
      </w:rPr>
      <w:t>2</w:t>
    </w:r>
    <w:r>
      <w:rPr>
        <w:rFonts w:ascii="Arial" w:hAnsi="Arial" w:cs="Arial"/>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340219">
    <w:pPr>
      <w:pStyle w:val="Encabezado"/>
    </w:pPr>
    <w:r w:rsidRPr="00DF347F">
      <w:rPr>
        <w:rFonts w:eastAsia="Calibri"/>
        <w:noProof/>
        <w:lang w:val="es-MX"/>
      </w:rPr>
      <mc:AlternateContent>
        <mc:Choice Requires="wps">
          <w:drawing>
            <wp:anchor distT="45720" distB="45720" distL="114300" distR="114300" simplePos="0" relativeHeight="251663360" behindDoc="1" locked="0" layoutInCell="1" allowOverlap="1" wp14:anchorId="562E5DBC" wp14:editId="4BCEE4F1">
              <wp:simplePos x="0" y="0"/>
              <wp:positionH relativeFrom="page">
                <wp:posOffset>261425</wp:posOffset>
              </wp:positionH>
              <wp:positionV relativeFrom="paragraph">
                <wp:posOffset>5003702</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340219" w:rsidRDefault="00340219" w:rsidP="0034021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2E5DBC" id="_x0000_t202" coordsize="21600,21600" o:spt="202" path="m,l,21600r21600,l21600,xe">
              <v:stroke joinstyle="miter"/>
              <v:path gradientshapeok="t" o:connecttype="rect"/>
            </v:shapetype>
            <v:shape id="Cuadro de texto 4" o:spid="_x0000_s1027" type="#_x0000_t202" style="position:absolute;margin-left:20.6pt;margin-top:394pt;width:82.4pt;height:118.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">
              <v:textbox>
                <w:txbxContent>
                  <w:p w:rsidR="00340219" w:rsidRDefault="00340219" w:rsidP="00340219">
                    <w:pPr>
                      <w:jc w:val="center"/>
                    </w:pPr>
                    <w:r>
                      <w:t>DATOS PERSONALES PROTEGIDOS POR EL ART.- 116 DE LA LGTAIP Y EL ART.- 61 DE LA LTAIPEO</w:t>
                    </w:r>
                  </w:p>
                </w:txbxContent>
              </v:textbox>
              <w10:wrap anchorx="page"/>
            </v:shape>
          </w:pict>
        </mc:Fallback>
      </mc:AlternateContent>
    </w:r>
    <w:r>
      <w:rPr>
        <w:noProof/>
        <w:lang w:val="es-MX"/>
      </w:rPr>
      <w:drawing>
        <wp:anchor distT="0" distB="0" distL="114300" distR="114300" simplePos="0" relativeHeight="251661312" behindDoc="1" locked="0" layoutInCell="1" allowOverlap="1" wp14:anchorId="5BDC3B9C" wp14:editId="2AE7C8AF">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190AA277" wp14:editId="48076E3F">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219"/>
    <w:rsid w:val="00294EC6"/>
    <w:rsid w:val="00340219"/>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D8EFCBB-8E8F-4278-A912-75166F2EF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0219"/>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340219"/>
    <w:pPr>
      <w:spacing w:after="120"/>
    </w:pPr>
    <w:rPr>
      <w:lang w:val="x-none"/>
    </w:rPr>
  </w:style>
  <w:style w:type="character" w:customStyle="1" w:styleId="TextoindependienteCar">
    <w:name w:val="Texto independiente Car"/>
    <w:basedOn w:val="Fuentedeprrafopredeter"/>
    <w:link w:val="Textoindependiente"/>
    <w:uiPriority w:val="99"/>
    <w:rsid w:val="00340219"/>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340219"/>
    <w:pPr>
      <w:autoSpaceDE w:val="0"/>
      <w:autoSpaceDN w:val="0"/>
    </w:pPr>
    <w:rPr>
      <w:lang w:eastAsia="es-ES"/>
    </w:rPr>
  </w:style>
  <w:style w:type="character" w:customStyle="1" w:styleId="TextonotapieCar">
    <w:name w:val="Texto nota pie Car"/>
    <w:basedOn w:val="Fuentedeprrafopredeter"/>
    <w:link w:val="Textonotapie"/>
    <w:uiPriority w:val="99"/>
    <w:rsid w:val="00340219"/>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340219"/>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340219"/>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340219"/>
    <w:pPr>
      <w:tabs>
        <w:tab w:val="center" w:pos="4419"/>
        <w:tab w:val="right" w:pos="8838"/>
      </w:tabs>
    </w:pPr>
  </w:style>
  <w:style w:type="character" w:customStyle="1" w:styleId="EncabezadoCar">
    <w:name w:val="Encabezado Car"/>
    <w:basedOn w:val="Fuentedeprrafopredeter"/>
    <w:link w:val="Encabezado"/>
    <w:uiPriority w:val="99"/>
    <w:rsid w:val="00340219"/>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340219"/>
    <w:pPr>
      <w:tabs>
        <w:tab w:val="center" w:pos="4419"/>
        <w:tab w:val="right" w:pos="8838"/>
      </w:tabs>
    </w:pPr>
  </w:style>
  <w:style w:type="character" w:customStyle="1" w:styleId="PiedepginaCar">
    <w:name w:val="Pie de página Car"/>
    <w:basedOn w:val="Fuentedeprrafopredeter"/>
    <w:link w:val="Piedepgina"/>
    <w:uiPriority w:val="99"/>
    <w:rsid w:val="00340219"/>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340219"/>
    <w:pPr>
      <w:widowControl w:val="0"/>
      <w:suppressAutoHyphens/>
      <w:spacing w:after="0" w:line="276" w:lineRule="auto"/>
      <w:ind w:firstLine="360"/>
    </w:pPr>
    <w:rPr>
      <w:rFonts w:ascii="Calibri" w:eastAsia="Arial Unicode MS" w:hAnsi="Calibri" w:cs="font28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B40"/>
    <w:rsid w:val="00995B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914F7FEE6FF4061B6B0BC2E34793D49">
    <w:name w:val="7914F7FEE6FF4061B6B0BC2E34793D49"/>
    <w:rsid w:val="00995B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2524</Words>
  <Characters>13886</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2023-07-14T18:34:00Z</dcterms:created>
  <dcterms:modified xsi:type="dcterms:W3CDTF">2023-07-14T18:43:00Z</dcterms:modified>
</cp:coreProperties>
</file>