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87A2C" w:rsidRPr="00820495" w:rsidRDefault="00F873AA" w:rsidP="00B649B7">
      <w:r>
        <w:tab/>
      </w:r>
      <w:r w:rsidR="002C2E78">
        <w:t xml:space="preserve">  </w:t>
      </w:r>
    </w:p>
    <w:p w:rsidR="00E77566" w:rsidRDefault="00E77566" w:rsidP="00E77566">
      <w:pPr>
        <w:jc w:val="center"/>
        <w:rPr>
          <w:rFonts w:ascii="Arial" w:eastAsia="Calibri" w:hAnsi="Arial" w:cs="Arial"/>
          <w:sz w:val="26"/>
          <w:szCs w:val="26"/>
        </w:rPr>
      </w:pPr>
    </w:p>
    <w:tbl>
      <w:tblPr>
        <w:tblW w:w="9782" w:type="dxa"/>
        <w:tblInd w:w="-781" w:type="dxa"/>
        <w:tblLayout w:type="fixed"/>
        <w:tblCellMar>
          <w:left w:w="70" w:type="dxa"/>
          <w:right w:w="70" w:type="dxa"/>
        </w:tblCellMar>
        <w:tblLook w:val="0000" w:firstRow="0" w:lastRow="0" w:firstColumn="0" w:lastColumn="0" w:noHBand="0" w:noVBand="0"/>
      </w:tblPr>
      <w:tblGrid>
        <w:gridCol w:w="2356"/>
        <w:gridCol w:w="7426"/>
      </w:tblGrid>
      <w:tr w:rsidR="00C73584" w:rsidRPr="00B668BB" w:rsidTr="00BC4196">
        <w:tc>
          <w:tcPr>
            <w:tcW w:w="2356" w:type="dxa"/>
          </w:tcPr>
          <w:p w:rsidR="00C73584" w:rsidRPr="00B668BB" w:rsidRDefault="00C73584" w:rsidP="00BC4196">
            <w:pPr>
              <w:rPr>
                <w:rFonts w:ascii="Arial" w:hAnsi="Arial" w:cs="Arial"/>
                <w:b/>
                <w:sz w:val="26"/>
                <w:szCs w:val="26"/>
              </w:rPr>
            </w:pPr>
          </w:p>
        </w:tc>
        <w:tc>
          <w:tcPr>
            <w:tcW w:w="7426" w:type="dxa"/>
          </w:tcPr>
          <w:p w:rsidR="00C73584" w:rsidRPr="00B668BB" w:rsidRDefault="00C73584" w:rsidP="00BC4196">
            <w:pPr>
              <w:tabs>
                <w:tab w:val="left" w:pos="3103"/>
              </w:tabs>
              <w:ind w:left="1119" w:right="497" w:hanging="1119"/>
              <w:jc w:val="both"/>
              <w:rPr>
                <w:rFonts w:ascii="Arial" w:hAnsi="Arial" w:cs="Arial"/>
                <w:b/>
                <w:iCs/>
                <w:caps/>
                <w:sz w:val="26"/>
                <w:szCs w:val="26"/>
              </w:rPr>
            </w:pPr>
            <w:r w:rsidRPr="00B668BB">
              <w:rPr>
                <w:rFonts w:ascii="Arial" w:hAnsi="Arial" w:cs="Arial"/>
                <w:b/>
                <w:i/>
                <w:iCs/>
                <w:caps/>
                <w:sz w:val="26"/>
                <w:szCs w:val="26"/>
              </w:rPr>
              <w:t xml:space="preserve">               </w:t>
            </w:r>
            <w:r w:rsidR="006C3052">
              <w:rPr>
                <w:rFonts w:ascii="Arial" w:hAnsi="Arial" w:cs="Arial"/>
                <w:b/>
                <w:i/>
                <w:iCs/>
                <w:caps/>
                <w:sz w:val="26"/>
                <w:szCs w:val="26"/>
              </w:rPr>
              <w:t xml:space="preserve"> </w:t>
            </w:r>
            <w:r w:rsidRPr="00B668BB">
              <w:rPr>
                <w:rFonts w:ascii="Arial" w:hAnsi="Arial" w:cs="Arial"/>
                <w:b/>
                <w:iCs/>
                <w:caps/>
                <w:sz w:val="26"/>
                <w:szCs w:val="26"/>
              </w:rPr>
              <w:t xml:space="preserve">SALA SUPERIOR DEL TRIBUNAL DE </w:t>
            </w:r>
            <w:r>
              <w:rPr>
                <w:rFonts w:ascii="Arial" w:hAnsi="Arial" w:cs="Arial"/>
                <w:b/>
                <w:iCs/>
                <w:caps/>
                <w:sz w:val="26"/>
                <w:szCs w:val="26"/>
              </w:rPr>
              <w:t>JUSTiCIA ADMINISTRATIVA DEL</w:t>
            </w:r>
            <w:r w:rsidRPr="00B668BB">
              <w:rPr>
                <w:rFonts w:ascii="Arial" w:hAnsi="Arial" w:cs="Arial"/>
                <w:b/>
                <w:iCs/>
                <w:caps/>
                <w:sz w:val="26"/>
                <w:szCs w:val="26"/>
              </w:rPr>
              <w:t xml:space="preserve"> ESTADO</w:t>
            </w:r>
            <w:r>
              <w:rPr>
                <w:rFonts w:ascii="Arial" w:hAnsi="Arial" w:cs="Arial"/>
                <w:b/>
                <w:iCs/>
                <w:caps/>
                <w:sz w:val="26"/>
                <w:szCs w:val="26"/>
              </w:rPr>
              <w:t xml:space="preserve"> de oaxaca.</w:t>
            </w:r>
          </w:p>
          <w:p w:rsidR="00C73584" w:rsidRPr="000A1F0F" w:rsidRDefault="00C73584" w:rsidP="00BC4196">
            <w:pPr>
              <w:pStyle w:val="Encabezado"/>
              <w:ind w:right="51"/>
              <w:jc w:val="both"/>
              <w:rPr>
                <w:rFonts w:ascii="Arial" w:hAnsi="Arial" w:cs="Arial"/>
                <w:b/>
                <w:iCs/>
                <w:caps/>
                <w:sz w:val="26"/>
                <w:szCs w:val="26"/>
                <w:lang w:val="es-PE"/>
              </w:rPr>
            </w:pPr>
            <w:r w:rsidRPr="000A1F0F">
              <w:rPr>
                <w:rFonts w:ascii="Arial" w:hAnsi="Arial" w:cs="Arial"/>
                <w:b/>
                <w:iCs/>
                <w:caps/>
                <w:sz w:val="26"/>
                <w:szCs w:val="26"/>
                <w:lang w:val="es-PE"/>
              </w:rPr>
              <w:t xml:space="preserve">               </w:t>
            </w:r>
          </w:p>
          <w:p w:rsidR="00C73584" w:rsidRDefault="00C73584" w:rsidP="00BC4196">
            <w:pPr>
              <w:pStyle w:val="Encabezado"/>
              <w:ind w:right="51"/>
              <w:jc w:val="both"/>
              <w:rPr>
                <w:rFonts w:ascii="Arial" w:hAnsi="Arial" w:cs="Arial"/>
                <w:b/>
                <w:iCs/>
                <w:caps/>
                <w:sz w:val="26"/>
                <w:szCs w:val="26"/>
                <w:lang w:val="es-PE"/>
              </w:rPr>
            </w:pPr>
            <w:r w:rsidRPr="000A1F0F">
              <w:rPr>
                <w:rFonts w:ascii="Arial" w:hAnsi="Arial" w:cs="Arial"/>
                <w:b/>
                <w:iCs/>
                <w:caps/>
                <w:sz w:val="26"/>
                <w:szCs w:val="26"/>
                <w:lang w:val="es-PE"/>
              </w:rPr>
              <w:t xml:space="preserve">               RECURSO DE REVISIÓN:   </w:t>
            </w:r>
            <w:r w:rsidR="008A2C8B">
              <w:rPr>
                <w:rFonts w:ascii="Arial" w:hAnsi="Arial" w:cs="Arial"/>
                <w:b/>
                <w:iCs/>
                <w:caps/>
                <w:sz w:val="26"/>
                <w:szCs w:val="26"/>
                <w:lang w:val="es-PE"/>
              </w:rPr>
              <w:t>0254</w:t>
            </w:r>
            <w:r w:rsidR="00206F64">
              <w:rPr>
                <w:rFonts w:ascii="Arial" w:hAnsi="Arial" w:cs="Arial"/>
                <w:b/>
                <w:iCs/>
                <w:caps/>
                <w:sz w:val="26"/>
                <w:szCs w:val="26"/>
                <w:lang w:val="es-PE"/>
              </w:rPr>
              <w:t>/2018</w:t>
            </w:r>
            <w:r>
              <w:rPr>
                <w:rFonts w:ascii="Arial" w:hAnsi="Arial" w:cs="Arial"/>
                <w:b/>
                <w:iCs/>
                <w:caps/>
                <w:sz w:val="26"/>
                <w:szCs w:val="26"/>
                <w:lang w:val="es-PE"/>
              </w:rPr>
              <w:t>.</w:t>
            </w:r>
          </w:p>
          <w:p w:rsidR="00C73584" w:rsidRPr="000A1F0F" w:rsidRDefault="00C73584" w:rsidP="00BC4196">
            <w:pPr>
              <w:pStyle w:val="Encabezado"/>
              <w:ind w:right="51"/>
              <w:jc w:val="both"/>
              <w:rPr>
                <w:rFonts w:ascii="Arial" w:hAnsi="Arial" w:cs="Arial"/>
                <w:b/>
                <w:iCs/>
                <w:caps/>
                <w:sz w:val="26"/>
                <w:szCs w:val="26"/>
                <w:lang w:val="es-PE"/>
              </w:rPr>
            </w:pPr>
          </w:p>
          <w:p w:rsidR="00C73584" w:rsidRDefault="00C73584" w:rsidP="00BC4196">
            <w:pPr>
              <w:pStyle w:val="Encabezado"/>
              <w:ind w:left="1119" w:right="497" w:hanging="1119"/>
              <w:jc w:val="both"/>
              <w:rPr>
                <w:rFonts w:ascii="Arial" w:hAnsi="Arial" w:cs="Arial"/>
                <w:b/>
                <w:iCs/>
                <w:caps/>
                <w:sz w:val="26"/>
                <w:szCs w:val="26"/>
                <w:lang w:val="es-PE"/>
              </w:rPr>
            </w:pPr>
            <w:r>
              <w:rPr>
                <w:rFonts w:ascii="Arial" w:hAnsi="Arial" w:cs="Arial"/>
                <w:b/>
                <w:iCs/>
                <w:caps/>
                <w:sz w:val="26"/>
                <w:szCs w:val="26"/>
                <w:lang w:val="es-PE"/>
              </w:rPr>
              <w:t xml:space="preserve">               </w:t>
            </w:r>
            <w:r w:rsidR="006C3052">
              <w:rPr>
                <w:rFonts w:ascii="Arial" w:hAnsi="Arial" w:cs="Arial"/>
                <w:b/>
                <w:iCs/>
                <w:caps/>
                <w:sz w:val="26"/>
                <w:szCs w:val="26"/>
                <w:lang w:val="es-PE"/>
              </w:rPr>
              <w:t xml:space="preserve"> </w:t>
            </w:r>
            <w:r>
              <w:rPr>
                <w:rFonts w:ascii="Arial" w:hAnsi="Arial" w:cs="Arial"/>
                <w:b/>
                <w:iCs/>
                <w:caps/>
                <w:sz w:val="26"/>
                <w:szCs w:val="26"/>
              </w:rPr>
              <w:t>EXPEDIENTE:</w:t>
            </w:r>
            <w:r>
              <w:rPr>
                <w:rFonts w:ascii="Arial" w:hAnsi="Arial" w:cs="Arial"/>
                <w:b/>
                <w:iCs/>
                <w:caps/>
                <w:sz w:val="26"/>
                <w:szCs w:val="26"/>
                <w:lang w:val="es-PE"/>
              </w:rPr>
              <w:t xml:space="preserve"> </w:t>
            </w:r>
            <w:r w:rsidR="008A2C8B">
              <w:rPr>
                <w:rFonts w:ascii="Arial" w:hAnsi="Arial" w:cs="Arial"/>
                <w:b/>
                <w:iCs/>
                <w:caps/>
                <w:sz w:val="26"/>
                <w:szCs w:val="26"/>
                <w:lang w:val="es-PE"/>
              </w:rPr>
              <w:t>0367/2016</w:t>
            </w:r>
            <w:r>
              <w:rPr>
                <w:rFonts w:ascii="Arial" w:hAnsi="Arial" w:cs="Arial"/>
                <w:b/>
                <w:iCs/>
                <w:caps/>
                <w:sz w:val="26"/>
                <w:szCs w:val="26"/>
                <w:lang w:val="es-PE"/>
              </w:rPr>
              <w:t xml:space="preserve"> de la </w:t>
            </w:r>
            <w:r w:rsidR="008A2C8B">
              <w:rPr>
                <w:rFonts w:ascii="Arial" w:hAnsi="Arial" w:cs="Arial"/>
                <w:b/>
                <w:iCs/>
                <w:caps/>
                <w:sz w:val="26"/>
                <w:szCs w:val="26"/>
                <w:lang w:val="es-PE"/>
              </w:rPr>
              <w:t>séptima</w:t>
            </w:r>
            <w:r>
              <w:rPr>
                <w:rFonts w:ascii="Arial" w:hAnsi="Arial" w:cs="Arial"/>
                <w:b/>
                <w:iCs/>
                <w:caps/>
                <w:sz w:val="26"/>
                <w:szCs w:val="26"/>
                <w:lang w:val="es-PE"/>
              </w:rPr>
              <w:t xml:space="preserve"> sala unitaria DE PRIMERA INSTANCIA.</w:t>
            </w:r>
          </w:p>
          <w:p w:rsidR="00C73584" w:rsidRPr="000A1F0F" w:rsidRDefault="00C73584" w:rsidP="00BC4196">
            <w:pPr>
              <w:pStyle w:val="Encabezado"/>
              <w:ind w:left="1119" w:right="51" w:hanging="1119"/>
              <w:jc w:val="both"/>
              <w:rPr>
                <w:rFonts w:ascii="Arial" w:hAnsi="Arial" w:cs="Arial"/>
                <w:b/>
                <w:iCs/>
                <w:caps/>
                <w:sz w:val="26"/>
                <w:szCs w:val="26"/>
                <w:lang w:val="es-PE"/>
              </w:rPr>
            </w:pPr>
          </w:p>
          <w:p w:rsidR="00C73584" w:rsidRPr="000A1F0F" w:rsidRDefault="00C73584" w:rsidP="00BC4196">
            <w:pPr>
              <w:pStyle w:val="Encabezado"/>
              <w:ind w:left="1119" w:right="497" w:hanging="1134"/>
              <w:jc w:val="both"/>
              <w:rPr>
                <w:rFonts w:ascii="Arial" w:hAnsi="Arial" w:cs="Arial"/>
                <w:b/>
                <w:iCs/>
                <w:caps/>
                <w:sz w:val="26"/>
                <w:szCs w:val="26"/>
                <w:lang w:val="es-PE"/>
              </w:rPr>
            </w:pPr>
            <w:r w:rsidRPr="000A1F0F">
              <w:rPr>
                <w:rFonts w:ascii="Arial" w:hAnsi="Arial" w:cs="Arial"/>
                <w:b/>
                <w:iCs/>
                <w:caps/>
                <w:sz w:val="26"/>
                <w:szCs w:val="26"/>
                <w:lang w:val="es-PE"/>
              </w:rPr>
              <w:t xml:space="preserve">               </w:t>
            </w:r>
            <w:r w:rsidR="006C3052">
              <w:rPr>
                <w:rFonts w:ascii="Arial" w:hAnsi="Arial" w:cs="Arial"/>
                <w:b/>
                <w:iCs/>
                <w:caps/>
                <w:sz w:val="26"/>
                <w:szCs w:val="26"/>
                <w:lang w:val="es-PE"/>
              </w:rPr>
              <w:t xml:space="preserve"> </w:t>
            </w:r>
            <w:r w:rsidRPr="000A1F0F">
              <w:rPr>
                <w:rFonts w:ascii="Arial" w:hAnsi="Arial" w:cs="Arial"/>
                <w:b/>
                <w:iCs/>
                <w:caps/>
                <w:sz w:val="26"/>
                <w:szCs w:val="26"/>
                <w:lang w:val="es-PE"/>
              </w:rPr>
              <w:t>ponente: magISTRAD</w:t>
            </w:r>
            <w:r>
              <w:rPr>
                <w:rFonts w:ascii="Arial" w:hAnsi="Arial" w:cs="Arial"/>
                <w:b/>
                <w:iCs/>
                <w:caps/>
                <w:sz w:val="26"/>
                <w:szCs w:val="26"/>
                <w:lang w:val="es-PE"/>
              </w:rPr>
              <w:t xml:space="preserve">o </w:t>
            </w:r>
            <w:r>
              <w:rPr>
                <w:rFonts w:ascii="Arial" w:hAnsi="Arial" w:cs="Arial"/>
                <w:b/>
                <w:iCs/>
                <w:sz w:val="26"/>
                <w:szCs w:val="26"/>
                <w:lang w:val="es-PE"/>
              </w:rPr>
              <w:t xml:space="preserve">ADRIÁN </w:t>
            </w:r>
            <w:r>
              <w:rPr>
                <w:rFonts w:ascii="Arial" w:hAnsi="Arial" w:cs="Arial"/>
                <w:b/>
                <w:iCs/>
                <w:caps/>
                <w:sz w:val="26"/>
                <w:szCs w:val="26"/>
                <w:lang w:val="es-PE"/>
              </w:rPr>
              <w:t>quiroga avendaño.</w:t>
            </w:r>
          </w:p>
        </w:tc>
      </w:tr>
      <w:tr w:rsidR="00C73584" w:rsidRPr="00B668BB" w:rsidTr="00BC4196">
        <w:tc>
          <w:tcPr>
            <w:tcW w:w="2356" w:type="dxa"/>
          </w:tcPr>
          <w:p w:rsidR="00C73584" w:rsidRPr="00B668BB" w:rsidRDefault="00C73584" w:rsidP="00BC4196">
            <w:pPr>
              <w:rPr>
                <w:rFonts w:ascii="Arial" w:hAnsi="Arial" w:cs="Arial"/>
                <w:b/>
                <w:sz w:val="26"/>
                <w:szCs w:val="26"/>
              </w:rPr>
            </w:pPr>
          </w:p>
        </w:tc>
        <w:tc>
          <w:tcPr>
            <w:tcW w:w="7426" w:type="dxa"/>
          </w:tcPr>
          <w:p w:rsidR="00C73584" w:rsidRPr="00B668BB" w:rsidRDefault="00C73584" w:rsidP="00BC4196">
            <w:pPr>
              <w:tabs>
                <w:tab w:val="left" w:pos="3103"/>
              </w:tabs>
              <w:ind w:left="2961" w:hanging="2961"/>
              <w:jc w:val="both"/>
              <w:rPr>
                <w:rFonts w:ascii="Arial" w:hAnsi="Arial" w:cs="Arial"/>
                <w:b/>
                <w:iCs/>
                <w:caps/>
                <w:sz w:val="26"/>
                <w:szCs w:val="26"/>
              </w:rPr>
            </w:pPr>
            <w:r w:rsidRPr="00B668BB">
              <w:rPr>
                <w:rFonts w:ascii="Arial" w:hAnsi="Arial" w:cs="Arial"/>
                <w:b/>
                <w:i/>
                <w:iCs/>
                <w:caps/>
                <w:sz w:val="26"/>
                <w:szCs w:val="26"/>
              </w:rPr>
              <w:t xml:space="preserve">                                   </w:t>
            </w:r>
          </w:p>
        </w:tc>
      </w:tr>
      <w:tr w:rsidR="00C73584" w:rsidRPr="00B668BB" w:rsidTr="00BC4196">
        <w:tc>
          <w:tcPr>
            <w:tcW w:w="2356" w:type="dxa"/>
          </w:tcPr>
          <w:p w:rsidR="00C73584" w:rsidRPr="00B668BB" w:rsidRDefault="00C73584" w:rsidP="00BC4196">
            <w:pPr>
              <w:rPr>
                <w:rFonts w:ascii="Arial" w:hAnsi="Arial" w:cs="Arial"/>
                <w:b/>
                <w:sz w:val="26"/>
                <w:szCs w:val="26"/>
              </w:rPr>
            </w:pPr>
          </w:p>
        </w:tc>
        <w:tc>
          <w:tcPr>
            <w:tcW w:w="7426" w:type="dxa"/>
          </w:tcPr>
          <w:p w:rsidR="00C73584" w:rsidRPr="00B668BB" w:rsidRDefault="00C73584" w:rsidP="00BC4196">
            <w:pPr>
              <w:tabs>
                <w:tab w:val="left" w:pos="3103"/>
              </w:tabs>
              <w:ind w:left="2961" w:hanging="2961"/>
              <w:jc w:val="both"/>
              <w:rPr>
                <w:rFonts w:ascii="Arial" w:hAnsi="Arial" w:cs="Arial"/>
                <w:b/>
                <w:i/>
                <w:iCs/>
                <w:caps/>
                <w:sz w:val="26"/>
                <w:szCs w:val="26"/>
              </w:rPr>
            </w:pPr>
          </w:p>
        </w:tc>
      </w:tr>
    </w:tbl>
    <w:p w:rsidR="00C73584" w:rsidRPr="006E349D" w:rsidRDefault="00CF67FD" w:rsidP="00C73584">
      <w:pPr>
        <w:spacing w:line="360" w:lineRule="auto"/>
        <w:jc w:val="both"/>
        <w:rPr>
          <w:rFonts w:ascii="Arial" w:hAnsi="Arial" w:cs="Arial"/>
          <w:b/>
          <w:sz w:val="26"/>
          <w:szCs w:val="26"/>
        </w:rPr>
      </w:pPr>
      <w:r>
        <w:rPr>
          <w:rFonts w:ascii="Arial" w:hAnsi="Arial" w:cs="Arial"/>
          <w:b/>
          <w:sz w:val="26"/>
          <w:szCs w:val="26"/>
        </w:rPr>
        <w:t xml:space="preserve">OAXACA DE JUÁREZ, OAXACA, VEINTIUNO DE MARZO </w:t>
      </w:r>
      <w:r w:rsidR="00C73584">
        <w:rPr>
          <w:rFonts w:ascii="Arial" w:hAnsi="Arial" w:cs="Arial"/>
          <w:b/>
          <w:sz w:val="26"/>
          <w:szCs w:val="26"/>
        </w:rPr>
        <w:t xml:space="preserve">DE </w:t>
      </w:r>
      <w:r w:rsidR="00C73584" w:rsidRPr="006E349D">
        <w:rPr>
          <w:rFonts w:ascii="Arial" w:hAnsi="Arial" w:cs="Arial"/>
          <w:b/>
          <w:sz w:val="26"/>
          <w:szCs w:val="26"/>
        </w:rPr>
        <w:t xml:space="preserve">DOS MIL </w:t>
      </w:r>
      <w:r w:rsidR="00C73584">
        <w:rPr>
          <w:rFonts w:ascii="Arial" w:hAnsi="Arial" w:cs="Arial"/>
          <w:b/>
          <w:sz w:val="26"/>
          <w:szCs w:val="26"/>
        </w:rPr>
        <w:t>DIECI</w:t>
      </w:r>
      <w:r w:rsidR="008A2C8B">
        <w:rPr>
          <w:rFonts w:ascii="Arial" w:hAnsi="Arial" w:cs="Arial"/>
          <w:b/>
          <w:sz w:val="26"/>
          <w:szCs w:val="26"/>
        </w:rPr>
        <w:t>NUEVE</w:t>
      </w:r>
      <w:r w:rsidR="00C73584" w:rsidRPr="006E349D">
        <w:rPr>
          <w:rFonts w:ascii="Arial" w:hAnsi="Arial" w:cs="Arial"/>
          <w:b/>
          <w:sz w:val="26"/>
          <w:szCs w:val="26"/>
        </w:rPr>
        <w:t>.</w:t>
      </w:r>
    </w:p>
    <w:p w:rsidR="00CF67FD" w:rsidRDefault="00C73584" w:rsidP="00CF67FD">
      <w:pPr>
        <w:spacing w:line="360" w:lineRule="auto"/>
        <w:ind w:firstLine="708"/>
        <w:jc w:val="both"/>
        <w:rPr>
          <w:rFonts w:ascii="Arial" w:hAnsi="Arial" w:cs="Arial"/>
          <w:sz w:val="26"/>
          <w:szCs w:val="26"/>
        </w:rPr>
      </w:pPr>
      <w:r>
        <w:rPr>
          <w:rFonts w:ascii="Arial" w:hAnsi="Arial" w:cs="Arial"/>
          <w:sz w:val="26"/>
          <w:szCs w:val="26"/>
        </w:rPr>
        <w:t>P</w:t>
      </w:r>
      <w:r w:rsidRPr="006E349D">
        <w:rPr>
          <w:rFonts w:ascii="Arial" w:hAnsi="Arial" w:cs="Arial"/>
          <w:sz w:val="26"/>
          <w:szCs w:val="26"/>
        </w:rPr>
        <w:t>or recibido</w:t>
      </w:r>
      <w:r>
        <w:rPr>
          <w:rFonts w:ascii="Arial" w:hAnsi="Arial" w:cs="Arial"/>
          <w:sz w:val="26"/>
          <w:szCs w:val="26"/>
        </w:rPr>
        <w:t xml:space="preserve"> el</w:t>
      </w:r>
      <w:r w:rsidRPr="006E349D">
        <w:rPr>
          <w:rFonts w:ascii="Arial" w:hAnsi="Arial" w:cs="Arial"/>
          <w:sz w:val="26"/>
          <w:szCs w:val="26"/>
        </w:rPr>
        <w:t xml:space="preserve"> Cuaderno de Revisión </w:t>
      </w:r>
      <w:r w:rsidR="008A2C8B">
        <w:rPr>
          <w:rFonts w:ascii="Arial" w:hAnsi="Arial" w:cs="Arial"/>
          <w:b/>
          <w:sz w:val="26"/>
          <w:szCs w:val="26"/>
        </w:rPr>
        <w:t>0254/2018</w:t>
      </w:r>
      <w:r>
        <w:rPr>
          <w:rFonts w:ascii="Arial" w:hAnsi="Arial" w:cs="Arial"/>
          <w:b/>
          <w:sz w:val="26"/>
          <w:szCs w:val="26"/>
        </w:rPr>
        <w:t xml:space="preserve"> </w:t>
      </w:r>
      <w:r w:rsidRPr="006E349D">
        <w:rPr>
          <w:rFonts w:ascii="Arial" w:hAnsi="Arial" w:cs="Arial"/>
          <w:sz w:val="26"/>
          <w:szCs w:val="26"/>
        </w:rPr>
        <w:t>que remite la Secretaría General de Acuerdos, con motivo de</w:t>
      </w:r>
      <w:r>
        <w:rPr>
          <w:rFonts w:ascii="Arial" w:hAnsi="Arial" w:cs="Arial"/>
          <w:sz w:val="26"/>
          <w:szCs w:val="26"/>
        </w:rPr>
        <w:t>l</w:t>
      </w:r>
      <w:r w:rsidRPr="006E349D">
        <w:rPr>
          <w:rFonts w:ascii="Arial" w:hAnsi="Arial" w:cs="Arial"/>
          <w:sz w:val="26"/>
          <w:szCs w:val="26"/>
        </w:rPr>
        <w:t xml:space="preserve"> rec</w:t>
      </w:r>
      <w:r>
        <w:rPr>
          <w:rFonts w:ascii="Arial" w:hAnsi="Arial" w:cs="Arial"/>
          <w:sz w:val="26"/>
          <w:szCs w:val="26"/>
        </w:rPr>
        <w:t>urso</w:t>
      </w:r>
      <w:r w:rsidR="00CE4B01">
        <w:rPr>
          <w:rFonts w:ascii="Arial" w:hAnsi="Arial" w:cs="Arial"/>
          <w:sz w:val="26"/>
          <w:szCs w:val="26"/>
        </w:rPr>
        <w:t xml:space="preserve"> de revisión interpuesto por </w:t>
      </w:r>
      <w:r>
        <w:rPr>
          <w:rFonts w:ascii="Arial" w:hAnsi="Arial" w:cs="Arial"/>
          <w:b/>
          <w:sz w:val="26"/>
          <w:szCs w:val="26"/>
        </w:rPr>
        <w:t xml:space="preserve"> </w:t>
      </w:r>
      <w:r w:rsidR="008A2C8B">
        <w:rPr>
          <w:rFonts w:ascii="Arial" w:hAnsi="Arial" w:cs="Arial"/>
          <w:b/>
          <w:sz w:val="26"/>
          <w:szCs w:val="26"/>
        </w:rPr>
        <w:t>José Luis Valeriano García Casas,</w:t>
      </w:r>
      <w:r w:rsidR="001C679E">
        <w:rPr>
          <w:rFonts w:ascii="Arial" w:hAnsi="Arial" w:cs="Arial"/>
          <w:b/>
          <w:sz w:val="26"/>
          <w:szCs w:val="26"/>
        </w:rPr>
        <w:t xml:space="preserve"> </w:t>
      </w:r>
      <w:r w:rsidR="001C679E">
        <w:rPr>
          <w:rFonts w:ascii="Arial" w:hAnsi="Arial" w:cs="Arial"/>
          <w:sz w:val="26"/>
          <w:szCs w:val="26"/>
        </w:rPr>
        <w:t>en su carácter de</w:t>
      </w:r>
      <w:r w:rsidR="001C679E">
        <w:rPr>
          <w:rFonts w:ascii="Arial" w:hAnsi="Arial" w:cs="Arial"/>
          <w:b/>
          <w:sz w:val="26"/>
          <w:szCs w:val="26"/>
        </w:rPr>
        <w:t xml:space="preserve"> </w:t>
      </w:r>
      <w:r w:rsidR="008A2C8B">
        <w:rPr>
          <w:rFonts w:ascii="Arial" w:hAnsi="Arial" w:cs="Arial"/>
          <w:sz w:val="26"/>
          <w:szCs w:val="26"/>
        </w:rPr>
        <w:t>Gerente de Servicios Ju</w:t>
      </w:r>
      <w:r w:rsidR="00D73FFB">
        <w:rPr>
          <w:rFonts w:ascii="Arial" w:hAnsi="Arial" w:cs="Arial"/>
          <w:sz w:val="26"/>
          <w:szCs w:val="26"/>
        </w:rPr>
        <w:t xml:space="preserve">rídicos Delegación XVII-OAXACA, </w:t>
      </w:r>
      <w:r w:rsidR="008A2C8B">
        <w:rPr>
          <w:rFonts w:ascii="Arial" w:hAnsi="Arial" w:cs="Arial"/>
          <w:sz w:val="26"/>
          <w:szCs w:val="26"/>
        </w:rPr>
        <w:t xml:space="preserve">del </w:t>
      </w:r>
      <w:r w:rsidR="008A2C8B">
        <w:rPr>
          <w:rFonts w:ascii="Arial" w:hAnsi="Arial" w:cs="Arial"/>
          <w:b/>
          <w:sz w:val="26"/>
          <w:szCs w:val="26"/>
        </w:rPr>
        <w:t xml:space="preserve">INSTITUTO DEL FONDO NACIONAL DE LA VIVIENDA </w:t>
      </w:r>
      <w:r w:rsidR="005B2F70">
        <w:rPr>
          <w:rFonts w:ascii="Arial" w:hAnsi="Arial" w:cs="Arial"/>
          <w:b/>
          <w:sz w:val="26"/>
          <w:szCs w:val="26"/>
        </w:rPr>
        <w:t>P</w:t>
      </w:r>
      <w:r w:rsidR="008A2C8B">
        <w:rPr>
          <w:rFonts w:ascii="Arial" w:hAnsi="Arial" w:cs="Arial"/>
          <w:b/>
          <w:sz w:val="26"/>
          <w:szCs w:val="26"/>
        </w:rPr>
        <w:t xml:space="preserve">ARA LOS TRABAJADORES </w:t>
      </w:r>
      <w:r w:rsidR="005B2F70">
        <w:rPr>
          <w:rFonts w:ascii="Arial" w:hAnsi="Arial" w:cs="Arial"/>
          <w:b/>
          <w:sz w:val="26"/>
          <w:szCs w:val="26"/>
        </w:rPr>
        <w:t>(</w:t>
      </w:r>
      <w:r w:rsidR="008A2C8B">
        <w:rPr>
          <w:rFonts w:ascii="Arial" w:hAnsi="Arial" w:cs="Arial"/>
          <w:b/>
          <w:sz w:val="26"/>
          <w:szCs w:val="26"/>
        </w:rPr>
        <w:t>INFONAVIT)</w:t>
      </w:r>
      <w:r>
        <w:rPr>
          <w:rFonts w:ascii="Arial" w:hAnsi="Arial" w:cs="Arial"/>
          <w:b/>
          <w:sz w:val="26"/>
          <w:szCs w:val="26"/>
        </w:rPr>
        <w:t xml:space="preserve">, </w:t>
      </w:r>
      <w:r>
        <w:rPr>
          <w:rFonts w:ascii="Arial" w:hAnsi="Arial" w:cs="Arial"/>
          <w:sz w:val="26"/>
          <w:szCs w:val="26"/>
        </w:rPr>
        <w:t xml:space="preserve">en contra de la sentencia de fecha </w:t>
      </w:r>
      <w:r w:rsidR="005B2F70">
        <w:rPr>
          <w:rFonts w:ascii="Arial" w:hAnsi="Arial" w:cs="Arial"/>
          <w:sz w:val="26"/>
          <w:szCs w:val="26"/>
        </w:rPr>
        <w:t xml:space="preserve">08 ocho de junio </w:t>
      </w:r>
      <w:r w:rsidR="001C679E">
        <w:rPr>
          <w:rFonts w:ascii="Arial" w:hAnsi="Arial" w:cs="Arial"/>
          <w:sz w:val="26"/>
          <w:szCs w:val="26"/>
        </w:rPr>
        <w:t>de 2018 dos mil dieciocho</w:t>
      </w:r>
      <w:r w:rsidRPr="00821CBD">
        <w:rPr>
          <w:rFonts w:ascii="Arial" w:hAnsi="Arial" w:cs="Arial"/>
          <w:sz w:val="26"/>
          <w:szCs w:val="26"/>
        </w:rPr>
        <w:t xml:space="preserve">, dictada en el </w:t>
      </w:r>
      <w:r>
        <w:rPr>
          <w:rFonts w:ascii="Arial" w:hAnsi="Arial" w:cs="Arial"/>
          <w:sz w:val="26"/>
          <w:szCs w:val="26"/>
        </w:rPr>
        <w:t>expediente</w:t>
      </w:r>
      <w:r w:rsidRPr="00821CBD">
        <w:rPr>
          <w:rFonts w:ascii="Arial" w:hAnsi="Arial" w:cs="Arial"/>
          <w:sz w:val="26"/>
          <w:szCs w:val="26"/>
        </w:rPr>
        <w:t xml:space="preserve"> </w:t>
      </w:r>
      <w:r w:rsidR="001C679E">
        <w:rPr>
          <w:rFonts w:ascii="Arial" w:hAnsi="Arial" w:cs="Arial"/>
          <w:b/>
          <w:sz w:val="26"/>
          <w:szCs w:val="26"/>
        </w:rPr>
        <w:t>0</w:t>
      </w:r>
      <w:r w:rsidR="005B2F70">
        <w:rPr>
          <w:rFonts w:ascii="Arial" w:hAnsi="Arial" w:cs="Arial"/>
          <w:b/>
          <w:sz w:val="26"/>
          <w:szCs w:val="26"/>
        </w:rPr>
        <w:t>367</w:t>
      </w:r>
      <w:r w:rsidR="001C679E">
        <w:rPr>
          <w:rFonts w:ascii="Arial" w:hAnsi="Arial" w:cs="Arial"/>
          <w:b/>
          <w:sz w:val="26"/>
          <w:szCs w:val="26"/>
        </w:rPr>
        <w:t>/2016</w:t>
      </w:r>
      <w:r>
        <w:rPr>
          <w:rFonts w:ascii="Arial" w:hAnsi="Arial" w:cs="Arial"/>
          <w:b/>
          <w:sz w:val="26"/>
          <w:szCs w:val="26"/>
        </w:rPr>
        <w:t xml:space="preserve"> </w:t>
      </w:r>
      <w:r w:rsidRPr="00821CBD">
        <w:rPr>
          <w:rFonts w:ascii="Arial" w:hAnsi="Arial" w:cs="Arial"/>
          <w:sz w:val="26"/>
          <w:szCs w:val="26"/>
        </w:rPr>
        <w:t xml:space="preserve">del índice </w:t>
      </w:r>
      <w:r w:rsidRPr="00241F94">
        <w:rPr>
          <w:rFonts w:ascii="Arial" w:hAnsi="Arial" w:cs="Arial"/>
          <w:sz w:val="26"/>
          <w:szCs w:val="26"/>
        </w:rPr>
        <w:t>de</w:t>
      </w:r>
      <w:r>
        <w:rPr>
          <w:rFonts w:ascii="Arial" w:hAnsi="Arial" w:cs="Arial"/>
          <w:sz w:val="26"/>
          <w:szCs w:val="26"/>
        </w:rPr>
        <w:t xml:space="preserve"> la S</w:t>
      </w:r>
      <w:r w:rsidR="005B2F70">
        <w:rPr>
          <w:rFonts w:ascii="Arial" w:hAnsi="Arial" w:cs="Arial"/>
          <w:sz w:val="26"/>
          <w:szCs w:val="26"/>
        </w:rPr>
        <w:t>éptima</w:t>
      </w:r>
      <w:r>
        <w:rPr>
          <w:rFonts w:ascii="Arial" w:hAnsi="Arial" w:cs="Arial"/>
          <w:sz w:val="26"/>
          <w:szCs w:val="26"/>
        </w:rPr>
        <w:t xml:space="preserve"> Sala Unitaria de Primera Instancia, relativo a</w:t>
      </w:r>
      <w:r w:rsidRPr="006E349D">
        <w:rPr>
          <w:rFonts w:ascii="Arial" w:hAnsi="Arial" w:cs="Arial"/>
          <w:sz w:val="26"/>
          <w:szCs w:val="26"/>
        </w:rPr>
        <w:t>l</w:t>
      </w:r>
      <w:r>
        <w:rPr>
          <w:rFonts w:ascii="Arial" w:hAnsi="Arial" w:cs="Arial"/>
          <w:sz w:val="26"/>
          <w:szCs w:val="26"/>
        </w:rPr>
        <w:t xml:space="preserve"> juicio de </w:t>
      </w:r>
      <w:r w:rsidRPr="006E349D">
        <w:rPr>
          <w:rFonts w:ascii="Arial" w:hAnsi="Arial" w:cs="Arial"/>
          <w:sz w:val="26"/>
          <w:szCs w:val="26"/>
        </w:rPr>
        <w:t xml:space="preserve">nulidad promovido por </w:t>
      </w:r>
      <w:r w:rsidR="006A2970">
        <w:rPr>
          <w:rFonts w:ascii="Arial" w:hAnsi="Arial" w:cs="Arial"/>
          <w:sz w:val="26"/>
          <w:szCs w:val="26"/>
        </w:rPr>
        <w:t xml:space="preserve"> </w:t>
      </w:r>
      <w:r w:rsidR="006A2970" w:rsidRPr="006173F0">
        <w:rPr>
          <w:rFonts w:ascii="Arial" w:hAnsi="Arial" w:cs="Arial"/>
          <w:b/>
          <w:sz w:val="26"/>
          <w:szCs w:val="26"/>
        </w:rPr>
        <w:t>Liliana Juárez Córdova en su carácter de apoderada legal d</w:t>
      </w:r>
      <w:r w:rsidR="005B2F70" w:rsidRPr="006173F0">
        <w:rPr>
          <w:rFonts w:ascii="Arial" w:hAnsi="Arial" w:cs="Arial"/>
          <w:b/>
          <w:sz w:val="26"/>
          <w:szCs w:val="26"/>
        </w:rPr>
        <w:t>el INSTIT</w:t>
      </w:r>
      <w:r w:rsidR="005B2F70">
        <w:rPr>
          <w:rFonts w:ascii="Arial" w:hAnsi="Arial" w:cs="Arial"/>
          <w:b/>
          <w:sz w:val="26"/>
          <w:szCs w:val="26"/>
        </w:rPr>
        <w:t>UTO DEL FONDO NACIONAL DE LA VIVIENDA PARA LOS TRABAJ</w:t>
      </w:r>
      <w:r w:rsidR="001A225A">
        <w:rPr>
          <w:rFonts w:ascii="Arial" w:hAnsi="Arial" w:cs="Arial"/>
          <w:b/>
          <w:sz w:val="26"/>
          <w:szCs w:val="26"/>
        </w:rPr>
        <w:t>A</w:t>
      </w:r>
      <w:r w:rsidR="005B2F70">
        <w:rPr>
          <w:rFonts w:ascii="Arial" w:hAnsi="Arial" w:cs="Arial"/>
          <w:b/>
          <w:sz w:val="26"/>
          <w:szCs w:val="26"/>
        </w:rPr>
        <w:t xml:space="preserve">DORES, </w:t>
      </w:r>
      <w:r w:rsidR="006A2970">
        <w:rPr>
          <w:rFonts w:ascii="Arial" w:hAnsi="Arial" w:cs="Arial"/>
          <w:sz w:val="26"/>
          <w:szCs w:val="26"/>
        </w:rPr>
        <w:t xml:space="preserve">en contra del </w:t>
      </w:r>
      <w:r w:rsidR="006A2970">
        <w:rPr>
          <w:rFonts w:ascii="Arial" w:hAnsi="Arial" w:cs="Arial"/>
          <w:b/>
          <w:sz w:val="26"/>
          <w:szCs w:val="26"/>
        </w:rPr>
        <w:t xml:space="preserve">DIRECTOR GENERAL DE NOTARÍAS DEL ESTADO DE OAXACA, </w:t>
      </w:r>
      <w:r w:rsidR="005B2F70">
        <w:rPr>
          <w:rFonts w:ascii="Arial" w:hAnsi="Arial" w:cs="Arial"/>
          <w:sz w:val="26"/>
          <w:szCs w:val="26"/>
        </w:rPr>
        <w:t xml:space="preserve"> p</w:t>
      </w:r>
      <w:r w:rsidR="005B2F70" w:rsidRPr="00866FC7">
        <w:rPr>
          <w:rFonts w:ascii="Arial" w:hAnsi="Arial" w:cs="Arial"/>
          <w:sz w:val="26"/>
          <w:szCs w:val="26"/>
        </w:rPr>
        <w:t xml:space="preserve">or lo que con fundamento en los artículos 207 y 208 de la reformada Ley de Justicia Administrativa para el Estado de Oaxaca, </w:t>
      </w:r>
      <w:r w:rsidR="004978F5">
        <w:rPr>
          <w:rFonts w:ascii="Arial" w:hAnsi="Arial" w:cs="Arial"/>
          <w:sz w:val="26"/>
          <w:szCs w:val="26"/>
        </w:rPr>
        <w:t xml:space="preserve">vigente hasta el veinte de octubre de dos mil diecisiete, </w:t>
      </w:r>
      <w:r w:rsidR="005B2F70" w:rsidRPr="00866FC7">
        <w:rPr>
          <w:rFonts w:ascii="Arial" w:hAnsi="Arial" w:cs="Arial"/>
          <w:sz w:val="26"/>
          <w:szCs w:val="26"/>
        </w:rPr>
        <w:t>se admite. En consecuencia, se procede a dictar resolución en los siguientes términos:</w:t>
      </w:r>
    </w:p>
    <w:p w:rsidR="00CF67FD" w:rsidRDefault="00C73584" w:rsidP="00CF67FD">
      <w:pPr>
        <w:spacing w:line="360" w:lineRule="auto"/>
        <w:jc w:val="center"/>
        <w:rPr>
          <w:rFonts w:ascii="Arial" w:hAnsi="Arial" w:cs="Arial"/>
          <w:b/>
          <w:bCs/>
          <w:sz w:val="26"/>
          <w:szCs w:val="26"/>
        </w:rPr>
      </w:pPr>
      <w:r w:rsidRPr="00A42570">
        <w:rPr>
          <w:rFonts w:ascii="Arial" w:hAnsi="Arial" w:cs="Arial"/>
          <w:b/>
          <w:bCs/>
          <w:sz w:val="26"/>
          <w:szCs w:val="26"/>
        </w:rPr>
        <w:t>R</w:t>
      </w:r>
      <w:r w:rsidRPr="00372D3D">
        <w:rPr>
          <w:rFonts w:ascii="Arial" w:hAnsi="Arial" w:cs="Arial"/>
          <w:b/>
          <w:bCs/>
          <w:sz w:val="26"/>
          <w:szCs w:val="26"/>
        </w:rPr>
        <w:t xml:space="preserve"> E S U L T A N D O</w:t>
      </w:r>
    </w:p>
    <w:p w:rsidR="00CF67FD" w:rsidRDefault="00CF67FD" w:rsidP="00CF67FD">
      <w:pPr>
        <w:spacing w:line="360" w:lineRule="auto"/>
        <w:jc w:val="center"/>
        <w:rPr>
          <w:rFonts w:ascii="Arial" w:hAnsi="Arial" w:cs="Arial"/>
          <w:b/>
          <w:bCs/>
          <w:sz w:val="26"/>
          <w:szCs w:val="26"/>
        </w:rPr>
      </w:pPr>
    </w:p>
    <w:p w:rsidR="00CF67FD" w:rsidRDefault="00C73584" w:rsidP="00CF67FD">
      <w:pPr>
        <w:spacing w:line="360" w:lineRule="auto"/>
        <w:ind w:firstLine="708"/>
        <w:jc w:val="both"/>
        <w:rPr>
          <w:rFonts w:ascii="Arial" w:hAnsi="Arial" w:cs="Arial"/>
          <w:sz w:val="26"/>
          <w:szCs w:val="26"/>
        </w:rPr>
      </w:pPr>
      <w:r w:rsidRPr="00372D3D">
        <w:rPr>
          <w:rFonts w:ascii="Arial" w:hAnsi="Arial" w:cs="Arial"/>
          <w:b/>
          <w:bCs/>
          <w:sz w:val="26"/>
          <w:szCs w:val="26"/>
        </w:rPr>
        <w:t xml:space="preserve">PRIMERO. </w:t>
      </w:r>
      <w:r>
        <w:rPr>
          <w:rFonts w:ascii="Arial" w:hAnsi="Arial" w:cs="Arial"/>
          <w:sz w:val="26"/>
          <w:szCs w:val="26"/>
        </w:rPr>
        <w:t xml:space="preserve">Inconforme con la </w:t>
      </w:r>
      <w:r w:rsidR="00903A4C">
        <w:rPr>
          <w:rFonts w:ascii="Arial" w:hAnsi="Arial" w:cs="Arial"/>
          <w:sz w:val="26"/>
          <w:szCs w:val="26"/>
        </w:rPr>
        <w:t>sentencia</w:t>
      </w:r>
      <w:r>
        <w:rPr>
          <w:rFonts w:ascii="Arial" w:hAnsi="Arial" w:cs="Arial"/>
          <w:sz w:val="26"/>
          <w:szCs w:val="26"/>
        </w:rPr>
        <w:t xml:space="preserve"> de </w:t>
      </w:r>
      <w:r w:rsidR="005B2F70">
        <w:rPr>
          <w:rFonts w:ascii="Arial" w:hAnsi="Arial" w:cs="Arial"/>
          <w:sz w:val="26"/>
          <w:szCs w:val="26"/>
        </w:rPr>
        <w:t>fecha 08 ocho de junio de 2018 dos mil dieciocho</w:t>
      </w:r>
      <w:r w:rsidR="007D63EF">
        <w:rPr>
          <w:rFonts w:ascii="Arial" w:hAnsi="Arial" w:cs="Arial"/>
          <w:sz w:val="26"/>
          <w:szCs w:val="26"/>
        </w:rPr>
        <w:t>,</w:t>
      </w:r>
      <w:r w:rsidRPr="00372D3D">
        <w:rPr>
          <w:rFonts w:ascii="Arial" w:hAnsi="Arial" w:cs="Arial"/>
          <w:sz w:val="26"/>
          <w:szCs w:val="26"/>
        </w:rPr>
        <w:t xml:space="preserve"> dictad</w:t>
      </w:r>
      <w:r w:rsidR="00D73FFB">
        <w:rPr>
          <w:rFonts w:ascii="Arial" w:hAnsi="Arial" w:cs="Arial"/>
          <w:sz w:val="26"/>
          <w:szCs w:val="26"/>
        </w:rPr>
        <w:t>a por la Magistrada</w:t>
      </w:r>
      <w:r>
        <w:rPr>
          <w:rFonts w:ascii="Arial" w:hAnsi="Arial" w:cs="Arial"/>
          <w:sz w:val="26"/>
          <w:szCs w:val="26"/>
        </w:rPr>
        <w:t xml:space="preserve"> de la S</w:t>
      </w:r>
      <w:r w:rsidR="005B2F70">
        <w:rPr>
          <w:rFonts w:ascii="Arial" w:hAnsi="Arial" w:cs="Arial"/>
          <w:sz w:val="26"/>
          <w:szCs w:val="26"/>
        </w:rPr>
        <w:t>éptima</w:t>
      </w:r>
      <w:r>
        <w:rPr>
          <w:rFonts w:ascii="Arial" w:hAnsi="Arial" w:cs="Arial"/>
          <w:sz w:val="26"/>
          <w:szCs w:val="26"/>
        </w:rPr>
        <w:t xml:space="preserve"> Sala Unitaria de Primera Instancia, </w:t>
      </w:r>
      <w:r w:rsidR="005B2F70">
        <w:rPr>
          <w:rFonts w:ascii="Arial" w:hAnsi="Arial" w:cs="Arial"/>
          <w:b/>
          <w:sz w:val="26"/>
          <w:szCs w:val="26"/>
        </w:rPr>
        <w:t xml:space="preserve">José Luis Valeriano García Casas </w:t>
      </w:r>
      <w:r w:rsidR="005B2F70">
        <w:rPr>
          <w:rFonts w:ascii="Arial" w:hAnsi="Arial" w:cs="Arial"/>
          <w:sz w:val="26"/>
          <w:szCs w:val="26"/>
        </w:rPr>
        <w:t>en su carácter de</w:t>
      </w:r>
      <w:r w:rsidR="005B2F70">
        <w:rPr>
          <w:rFonts w:ascii="Arial" w:hAnsi="Arial" w:cs="Arial"/>
          <w:b/>
          <w:sz w:val="26"/>
          <w:szCs w:val="26"/>
        </w:rPr>
        <w:t xml:space="preserve"> </w:t>
      </w:r>
      <w:r w:rsidR="005B2F70">
        <w:rPr>
          <w:rFonts w:ascii="Arial" w:hAnsi="Arial" w:cs="Arial"/>
          <w:sz w:val="26"/>
          <w:szCs w:val="26"/>
        </w:rPr>
        <w:t xml:space="preserve">Gerente de Servicios Jurídicos Delegación XVII-OAXACA, del </w:t>
      </w:r>
      <w:r w:rsidR="005B2F70">
        <w:rPr>
          <w:rFonts w:ascii="Arial" w:hAnsi="Arial" w:cs="Arial"/>
          <w:b/>
          <w:sz w:val="26"/>
          <w:szCs w:val="26"/>
        </w:rPr>
        <w:t xml:space="preserve">INSTITUTO DEL FONDO NACIONAL DE LA VIVIENDA PARA LOS TRABAJADORES (INFONAVIT), </w:t>
      </w:r>
      <w:r>
        <w:rPr>
          <w:rFonts w:ascii="Arial" w:hAnsi="Arial" w:cs="Arial"/>
          <w:sz w:val="26"/>
          <w:szCs w:val="26"/>
        </w:rPr>
        <w:t>interpuso</w:t>
      </w:r>
      <w:r w:rsidRPr="00372D3D">
        <w:rPr>
          <w:rFonts w:ascii="Arial" w:hAnsi="Arial" w:cs="Arial"/>
          <w:sz w:val="26"/>
          <w:szCs w:val="26"/>
        </w:rPr>
        <w:t xml:space="preserve"> en</w:t>
      </w:r>
      <w:r>
        <w:rPr>
          <w:rFonts w:ascii="Arial" w:hAnsi="Arial" w:cs="Arial"/>
          <w:sz w:val="26"/>
          <w:szCs w:val="26"/>
        </w:rPr>
        <w:t xml:space="preserve"> su contra recurso de revisión.</w:t>
      </w:r>
    </w:p>
    <w:p w:rsidR="00CF67FD" w:rsidRDefault="00C73584" w:rsidP="00CF67FD">
      <w:pPr>
        <w:spacing w:line="360" w:lineRule="auto"/>
        <w:ind w:firstLine="708"/>
        <w:jc w:val="both"/>
        <w:rPr>
          <w:rFonts w:ascii="Arial" w:hAnsi="Arial" w:cs="Arial"/>
          <w:sz w:val="26"/>
          <w:szCs w:val="26"/>
        </w:rPr>
      </w:pPr>
      <w:r w:rsidRPr="006E349D">
        <w:rPr>
          <w:rFonts w:ascii="Arial" w:hAnsi="Arial" w:cs="Arial"/>
          <w:b/>
          <w:bCs/>
          <w:sz w:val="26"/>
          <w:szCs w:val="26"/>
        </w:rPr>
        <w:lastRenderedPageBreak/>
        <w:t xml:space="preserve">SEGUNDO.- </w:t>
      </w:r>
      <w:r>
        <w:rPr>
          <w:rFonts w:ascii="Arial" w:hAnsi="Arial" w:cs="Arial"/>
          <w:sz w:val="26"/>
          <w:szCs w:val="26"/>
        </w:rPr>
        <w:t>Los puntos resolutivos de la sentencia recurrida son del tenor literal siguiente</w:t>
      </w:r>
      <w:r w:rsidRPr="00372D3D">
        <w:rPr>
          <w:rFonts w:ascii="Arial" w:hAnsi="Arial" w:cs="Arial"/>
          <w:sz w:val="26"/>
          <w:szCs w:val="26"/>
        </w:rPr>
        <w:t>:</w:t>
      </w:r>
    </w:p>
    <w:p w:rsidR="00191876" w:rsidRPr="00191876" w:rsidRDefault="00CF67FD" w:rsidP="00DD44FB">
      <w:pPr>
        <w:spacing w:line="360" w:lineRule="auto"/>
        <w:ind w:left="709" w:right="758"/>
        <w:jc w:val="both"/>
        <w:rPr>
          <w:rFonts w:ascii="Arial" w:hAnsi="Arial" w:cs="Arial"/>
          <w:bCs/>
          <w:i/>
          <w:iCs/>
        </w:rPr>
      </w:pPr>
      <w:r w:rsidRPr="00FC36D7">
        <w:rPr>
          <w:rFonts w:cstheme="minorHAnsi"/>
          <w:b/>
          <w:bCs/>
          <w:iCs/>
          <w:sz w:val="24"/>
          <w:szCs w:val="24"/>
        </w:rPr>
        <w:t xml:space="preserve"> </w:t>
      </w:r>
      <w:r w:rsidR="00C73584" w:rsidRPr="00FC36D7">
        <w:rPr>
          <w:rFonts w:cstheme="minorHAnsi"/>
          <w:b/>
          <w:bCs/>
          <w:iCs/>
          <w:sz w:val="24"/>
          <w:szCs w:val="24"/>
        </w:rPr>
        <w:t>“</w:t>
      </w:r>
      <w:r w:rsidR="00C73584" w:rsidRPr="00CE4B01">
        <w:rPr>
          <w:rFonts w:ascii="Arial" w:hAnsi="Arial" w:cs="Arial"/>
          <w:b/>
          <w:bCs/>
          <w:i/>
          <w:iCs/>
        </w:rPr>
        <w:t xml:space="preserve">PRIMERO.- </w:t>
      </w:r>
      <w:r w:rsidR="00C73584" w:rsidRPr="00CE4B01">
        <w:rPr>
          <w:rFonts w:ascii="Arial" w:hAnsi="Arial" w:cs="Arial"/>
          <w:bCs/>
          <w:i/>
          <w:iCs/>
        </w:rPr>
        <w:t>Esta S</w:t>
      </w:r>
      <w:r w:rsidR="00BD29B8">
        <w:rPr>
          <w:rFonts w:ascii="Arial" w:hAnsi="Arial" w:cs="Arial"/>
          <w:bCs/>
          <w:i/>
          <w:iCs/>
        </w:rPr>
        <w:t>éptima</w:t>
      </w:r>
      <w:r w:rsidR="00C73584" w:rsidRPr="00CE4B01">
        <w:rPr>
          <w:rFonts w:ascii="Arial" w:hAnsi="Arial" w:cs="Arial"/>
          <w:bCs/>
          <w:i/>
          <w:iCs/>
        </w:rPr>
        <w:t xml:space="preserve"> Sala Unitaria</w:t>
      </w:r>
      <w:r w:rsidR="00BD29B8">
        <w:rPr>
          <w:rFonts w:ascii="Arial" w:hAnsi="Arial" w:cs="Arial"/>
          <w:bCs/>
          <w:i/>
          <w:iCs/>
        </w:rPr>
        <w:t xml:space="preserve"> de Primera Instancia del Tribunal de lo Contenciosos Administrativo y de Cuentas del Poder Judicial del Estado, es legalmente</w:t>
      </w:r>
      <w:r w:rsidR="00C73584" w:rsidRPr="00CE4B01">
        <w:rPr>
          <w:rFonts w:ascii="Arial" w:hAnsi="Arial" w:cs="Arial"/>
          <w:bCs/>
          <w:i/>
          <w:iCs/>
        </w:rPr>
        <w:t xml:space="preserve"> competente para conocer y resolver del presente </w:t>
      </w:r>
      <w:r w:rsidR="00BD29B8">
        <w:rPr>
          <w:rFonts w:ascii="Arial" w:hAnsi="Arial" w:cs="Arial"/>
          <w:bCs/>
          <w:i/>
          <w:iCs/>
        </w:rPr>
        <w:t>juicio de Nulidad</w:t>
      </w:r>
      <w:r w:rsidR="00C73584" w:rsidRPr="00CE4B01">
        <w:rPr>
          <w:rFonts w:ascii="Arial" w:hAnsi="Arial" w:cs="Arial"/>
          <w:bCs/>
          <w:i/>
          <w:iCs/>
        </w:rPr>
        <w:t>.- - - - - - - - - - - - - - - - - - - -</w:t>
      </w:r>
      <w:r>
        <w:rPr>
          <w:rFonts w:ascii="Arial" w:hAnsi="Arial" w:cs="Arial"/>
          <w:bCs/>
          <w:i/>
          <w:iCs/>
        </w:rPr>
        <w:t xml:space="preserve">- - - </w:t>
      </w:r>
      <w:r w:rsidR="00C73584" w:rsidRPr="00CE4B01">
        <w:rPr>
          <w:rFonts w:ascii="Arial" w:hAnsi="Arial" w:cs="Arial"/>
          <w:b/>
          <w:bCs/>
          <w:i/>
          <w:iCs/>
        </w:rPr>
        <w:t>SEGUNDO.</w:t>
      </w:r>
      <w:r w:rsidR="00316456" w:rsidRPr="00CE4B01">
        <w:rPr>
          <w:rFonts w:ascii="Arial" w:hAnsi="Arial" w:cs="Arial"/>
          <w:b/>
          <w:bCs/>
          <w:i/>
          <w:iCs/>
        </w:rPr>
        <w:t>-</w:t>
      </w:r>
      <w:r w:rsidR="00316456" w:rsidRPr="00CE4B01">
        <w:rPr>
          <w:rFonts w:ascii="Arial" w:hAnsi="Arial" w:cs="Arial"/>
          <w:bCs/>
          <w:i/>
          <w:iCs/>
        </w:rPr>
        <w:t xml:space="preserve"> </w:t>
      </w:r>
      <w:r w:rsidR="00191876">
        <w:rPr>
          <w:rFonts w:ascii="Arial" w:hAnsi="Arial" w:cs="Arial"/>
          <w:bCs/>
          <w:i/>
          <w:iCs/>
        </w:rPr>
        <w:t>No se actualiz</w:t>
      </w:r>
      <w:r w:rsidR="00BD29B8">
        <w:rPr>
          <w:rFonts w:ascii="Arial" w:hAnsi="Arial" w:cs="Arial"/>
          <w:bCs/>
          <w:i/>
          <w:iCs/>
        </w:rPr>
        <w:t>ó</w:t>
      </w:r>
      <w:r w:rsidR="00191876">
        <w:rPr>
          <w:rFonts w:ascii="Arial" w:hAnsi="Arial" w:cs="Arial"/>
          <w:bCs/>
          <w:i/>
          <w:iCs/>
        </w:rPr>
        <w:t xml:space="preserve"> causal de improcedencia</w:t>
      </w:r>
      <w:r w:rsidR="00BD29B8">
        <w:rPr>
          <w:rFonts w:ascii="Arial" w:hAnsi="Arial" w:cs="Arial"/>
          <w:bCs/>
          <w:i/>
          <w:iCs/>
        </w:rPr>
        <w:t xml:space="preserve"> alguna, por lo que </w:t>
      </w:r>
      <w:r w:rsidR="00BD29B8">
        <w:rPr>
          <w:rFonts w:ascii="Arial" w:hAnsi="Arial" w:cs="Arial"/>
          <w:b/>
          <w:bCs/>
          <w:i/>
          <w:iCs/>
        </w:rPr>
        <w:t xml:space="preserve">NO SE SOBRESEE EL JUICIO, </w:t>
      </w:r>
      <w:r w:rsidR="00BD29B8">
        <w:rPr>
          <w:rFonts w:ascii="Arial" w:hAnsi="Arial" w:cs="Arial"/>
          <w:bCs/>
          <w:i/>
          <w:iCs/>
        </w:rPr>
        <w:t>de conformidad con lo expuesto en el considerando QUINTO de esta resolución</w:t>
      </w:r>
      <w:r w:rsidR="00191876">
        <w:rPr>
          <w:rFonts w:ascii="Arial" w:hAnsi="Arial" w:cs="Arial"/>
          <w:bCs/>
          <w:i/>
          <w:iCs/>
        </w:rPr>
        <w:t xml:space="preserve">.- - - - - - - </w:t>
      </w:r>
      <w:r w:rsidR="00DD44FB">
        <w:rPr>
          <w:rFonts w:ascii="Arial" w:hAnsi="Arial" w:cs="Arial"/>
          <w:bCs/>
          <w:i/>
          <w:iCs/>
        </w:rPr>
        <w:t>- - - - - - - - -</w:t>
      </w:r>
    </w:p>
    <w:p w:rsidR="00CE2B9B" w:rsidRPr="0028630A" w:rsidRDefault="00446715" w:rsidP="00DD44FB">
      <w:pPr>
        <w:spacing w:line="360" w:lineRule="auto"/>
        <w:ind w:left="709" w:right="902"/>
        <w:jc w:val="both"/>
        <w:rPr>
          <w:rFonts w:ascii="Arial" w:hAnsi="Arial" w:cs="Arial"/>
          <w:bCs/>
          <w:i/>
          <w:iCs/>
        </w:rPr>
      </w:pPr>
      <w:r>
        <w:rPr>
          <w:rFonts w:ascii="Arial" w:hAnsi="Arial" w:cs="Arial"/>
          <w:b/>
          <w:bCs/>
          <w:i/>
          <w:iCs/>
        </w:rPr>
        <w:t>TERCERO</w:t>
      </w:r>
      <w:r w:rsidR="00C73584" w:rsidRPr="00CE4B01">
        <w:rPr>
          <w:rFonts w:ascii="Arial" w:hAnsi="Arial" w:cs="Arial"/>
          <w:b/>
          <w:bCs/>
          <w:i/>
          <w:iCs/>
        </w:rPr>
        <w:t>.</w:t>
      </w:r>
      <w:r w:rsidR="00191876">
        <w:rPr>
          <w:rFonts w:ascii="Arial" w:hAnsi="Arial" w:cs="Arial"/>
          <w:b/>
          <w:bCs/>
          <w:i/>
          <w:iCs/>
        </w:rPr>
        <w:t>-</w:t>
      </w:r>
      <w:r w:rsidR="00C73584" w:rsidRPr="00CE4B01">
        <w:rPr>
          <w:rFonts w:ascii="Arial" w:hAnsi="Arial" w:cs="Arial"/>
          <w:b/>
          <w:bCs/>
          <w:i/>
          <w:iCs/>
        </w:rPr>
        <w:t xml:space="preserve"> </w:t>
      </w:r>
      <w:r w:rsidR="0028630A">
        <w:rPr>
          <w:rFonts w:ascii="Arial" w:hAnsi="Arial" w:cs="Arial"/>
          <w:bCs/>
          <w:i/>
          <w:iCs/>
        </w:rPr>
        <w:t xml:space="preserve">Se declarara la </w:t>
      </w:r>
      <w:r w:rsidR="0028630A">
        <w:rPr>
          <w:rFonts w:ascii="Arial" w:hAnsi="Arial" w:cs="Arial"/>
          <w:b/>
          <w:bCs/>
          <w:i/>
          <w:iCs/>
        </w:rPr>
        <w:t xml:space="preserve">VALIDEZ </w:t>
      </w:r>
      <w:r w:rsidR="0028630A">
        <w:rPr>
          <w:rFonts w:ascii="Arial" w:hAnsi="Arial" w:cs="Arial"/>
          <w:bCs/>
          <w:i/>
          <w:iCs/>
        </w:rPr>
        <w:t xml:space="preserve"> de la resolución dictada con fecha diecisiete de noviembre de dos mil quince (17/11/2015) por el Director General de Notarías en el Estado, dentro del expediente de Queja 13/DGN/DJ/2011, y por ende, valida la ejecución de la misma, efectuada por el Gobernador Constitucional del Estado de Oaxaca el día veinte de octubre de dos mil dieciséis (20/10/2016), de conformidad con el considerando SEXTO de esta resolución.- - </w:t>
      </w:r>
      <w:r w:rsidR="00DD44FB">
        <w:rPr>
          <w:rFonts w:ascii="Arial" w:hAnsi="Arial" w:cs="Arial"/>
          <w:bCs/>
          <w:i/>
          <w:iCs/>
        </w:rPr>
        <w:t xml:space="preserve">- </w:t>
      </w:r>
    </w:p>
    <w:p w:rsidR="00C73584" w:rsidRDefault="00CE2B9B" w:rsidP="00DD44FB">
      <w:pPr>
        <w:spacing w:line="360" w:lineRule="auto"/>
        <w:ind w:left="709" w:right="902"/>
        <w:jc w:val="both"/>
        <w:rPr>
          <w:rFonts w:ascii="Arial" w:hAnsi="Arial" w:cs="Arial"/>
          <w:b/>
          <w:bCs/>
          <w:i/>
          <w:iCs/>
        </w:rPr>
      </w:pPr>
      <w:r>
        <w:rPr>
          <w:rFonts w:ascii="Arial" w:hAnsi="Arial" w:cs="Arial"/>
          <w:b/>
          <w:bCs/>
          <w:i/>
          <w:iCs/>
        </w:rPr>
        <w:t>CUARTO</w:t>
      </w:r>
      <w:r w:rsidR="00191876">
        <w:rPr>
          <w:rFonts w:ascii="Arial" w:hAnsi="Arial" w:cs="Arial"/>
          <w:b/>
          <w:bCs/>
          <w:i/>
          <w:iCs/>
        </w:rPr>
        <w:t>.-</w:t>
      </w:r>
      <w:r w:rsidR="008814C0">
        <w:rPr>
          <w:rFonts w:ascii="Arial" w:hAnsi="Arial" w:cs="Arial"/>
          <w:b/>
          <w:bCs/>
          <w:i/>
          <w:iCs/>
        </w:rPr>
        <w:t xml:space="preserve"> </w:t>
      </w:r>
      <w:r>
        <w:rPr>
          <w:rFonts w:ascii="Arial" w:hAnsi="Arial" w:cs="Arial"/>
          <w:bCs/>
          <w:i/>
          <w:iCs/>
        </w:rPr>
        <w:t xml:space="preserve">Conforme a lo dispuesto en el </w:t>
      </w:r>
      <w:proofErr w:type="gramStart"/>
      <w:r>
        <w:rPr>
          <w:rFonts w:ascii="Arial" w:hAnsi="Arial" w:cs="Arial"/>
          <w:bCs/>
          <w:i/>
          <w:iCs/>
        </w:rPr>
        <w:t>artículo</w:t>
      </w:r>
      <w:r w:rsidR="00521E20">
        <w:rPr>
          <w:rFonts w:ascii="Arial" w:hAnsi="Arial" w:cs="Arial"/>
          <w:bCs/>
          <w:i/>
          <w:iCs/>
        </w:rPr>
        <w:t>(</w:t>
      </w:r>
      <w:proofErr w:type="gramEnd"/>
      <w:r w:rsidR="00521E20">
        <w:rPr>
          <w:rFonts w:ascii="Arial" w:hAnsi="Arial" w:cs="Arial"/>
          <w:bCs/>
          <w:i/>
          <w:iCs/>
        </w:rPr>
        <w:t>sic)</w:t>
      </w:r>
      <w:r>
        <w:rPr>
          <w:rFonts w:ascii="Arial" w:hAnsi="Arial" w:cs="Arial"/>
          <w:bCs/>
          <w:i/>
          <w:iCs/>
        </w:rPr>
        <w:t xml:space="preserve"> 142 fracción I y 143 fracción(sic)</w:t>
      </w:r>
      <w:r w:rsidRPr="00CE4B01">
        <w:rPr>
          <w:rFonts w:ascii="Arial" w:hAnsi="Arial" w:cs="Arial"/>
          <w:bCs/>
          <w:i/>
          <w:iCs/>
        </w:rPr>
        <w:t xml:space="preserve"> I y II, de la Ley de Justicia Administrativa y de Cuentas para el Estado de Oaxaca</w:t>
      </w:r>
      <w:r w:rsidRPr="00CE4B01">
        <w:rPr>
          <w:rFonts w:ascii="Arial" w:hAnsi="Arial" w:cs="Arial"/>
          <w:b/>
          <w:bCs/>
          <w:i/>
          <w:iCs/>
        </w:rPr>
        <w:t xml:space="preserve"> </w:t>
      </w:r>
      <w:r w:rsidR="00C73584" w:rsidRPr="00CE4B01">
        <w:rPr>
          <w:rFonts w:ascii="Arial" w:hAnsi="Arial" w:cs="Arial"/>
          <w:b/>
          <w:bCs/>
          <w:i/>
          <w:iCs/>
        </w:rPr>
        <w:t>NOTIFÍQUESE PERSONALMENTE A</w:t>
      </w:r>
      <w:r w:rsidR="00521E20">
        <w:rPr>
          <w:rFonts w:ascii="Arial" w:hAnsi="Arial" w:cs="Arial"/>
          <w:b/>
          <w:bCs/>
          <w:i/>
          <w:iCs/>
        </w:rPr>
        <w:t xml:space="preserve"> </w:t>
      </w:r>
      <w:r w:rsidR="00C73584" w:rsidRPr="00CE4B01">
        <w:rPr>
          <w:rFonts w:ascii="Arial" w:hAnsi="Arial" w:cs="Arial"/>
          <w:b/>
          <w:bCs/>
          <w:i/>
          <w:iCs/>
        </w:rPr>
        <w:t>L</w:t>
      </w:r>
      <w:r w:rsidR="00D73FFB">
        <w:rPr>
          <w:rFonts w:ascii="Arial" w:hAnsi="Arial" w:cs="Arial"/>
          <w:b/>
          <w:bCs/>
          <w:i/>
          <w:iCs/>
        </w:rPr>
        <w:t>A PARTE ACTORA</w:t>
      </w:r>
      <w:r w:rsidR="00521E20">
        <w:rPr>
          <w:rFonts w:ascii="Arial" w:hAnsi="Arial" w:cs="Arial"/>
          <w:b/>
          <w:bCs/>
          <w:i/>
          <w:iCs/>
        </w:rPr>
        <w:t xml:space="preserve"> Y TERCERO INTERESADO, Y POR</w:t>
      </w:r>
      <w:r w:rsidR="00C73584" w:rsidRPr="00CE4B01">
        <w:rPr>
          <w:rFonts w:ascii="Arial" w:hAnsi="Arial" w:cs="Arial"/>
          <w:b/>
          <w:bCs/>
          <w:i/>
          <w:iCs/>
        </w:rPr>
        <w:t xml:space="preserve"> OFICIO A LA AUTORIDAD DEMANDADA</w:t>
      </w:r>
      <w:r w:rsidR="00C73584" w:rsidRPr="00CE4B01">
        <w:rPr>
          <w:rFonts w:ascii="Arial" w:hAnsi="Arial" w:cs="Arial"/>
          <w:bCs/>
          <w:i/>
          <w:iCs/>
        </w:rPr>
        <w:t xml:space="preserve">.- </w:t>
      </w:r>
      <w:r w:rsidR="00C73584" w:rsidRPr="00CE4B01">
        <w:rPr>
          <w:rFonts w:ascii="Arial" w:hAnsi="Arial" w:cs="Arial"/>
          <w:b/>
          <w:bCs/>
          <w:i/>
          <w:iCs/>
        </w:rPr>
        <w:t>CÚMPLASE.”- - - - - - - - - - - - - - - - - - - - - -</w:t>
      </w:r>
      <w:r w:rsidR="00E065F0">
        <w:rPr>
          <w:rFonts w:ascii="Arial" w:hAnsi="Arial" w:cs="Arial"/>
          <w:b/>
          <w:bCs/>
          <w:i/>
          <w:iCs/>
        </w:rPr>
        <w:t xml:space="preserve"> </w:t>
      </w:r>
      <w:r w:rsidR="00C73584" w:rsidRPr="00CE4B01">
        <w:rPr>
          <w:rFonts w:ascii="Arial" w:hAnsi="Arial" w:cs="Arial"/>
          <w:b/>
          <w:bCs/>
          <w:i/>
          <w:iCs/>
        </w:rPr>
        <w:t>- - - -</w:t>
      </w:r>
      <w:r w:rsidR="00DD44FB">
        <w:rPr>
          <w:rFonts w:ascii="Arial" w:hAnsi="Arial" w:cs="Arial"/>
          <w:b/>
          <w:bCs/>
          <w:i/>
          <w:iCs/>
        </w:rPr>
        <w:t xml:space="preserve"> - </w:t>
      </w:r>
    </w:p>
    <w:p w:rsidR="00CF67FD" w:rsidRPr="00CE4B01" w:rsidRDefault="00CF67FD" w:rsidP="00DD44FB">
      <w:pPr>
        <w:spacing w:line="360" w:lineRule="auto"/>
        <w:ind w:left="709" w:right="902"/>
        <w:jc w:val="both"/>
        <w:rPr>
          <w:rFonts w:ascii="Arial" w:hAnsi="Arial" w:cs="Arial"/>
          <w:b/>
          <w:bCs/>
          <w:i/>
          <w:iCs/>
        </w:rPr>
      </w:pPr>
    </w:p>
    <w:p w:rsidR="00CF67FD" w:rsidRDefault="00C73584" w:rsidP="00CF67FD">
      <w:pPr>
        <w:spacing w:line="360" w:lineRule="auto"/>
        <w:ind w:right="49"/>
        <w:jc w:val="center"/>
        <w:rPr>
          <w:rFonts w:ascii="Arial" w:eastAsia="Times New Roman" w:hAnsi="Arial" w:cs="Arial"/>
          <w:b/>
          <w:bCs/>
          <w:sz w:val="26"/>
          <w:szCs w:val="26"/>
          <w:lang w:eastAsia="es-ES"/>
        </w:rPr>
      </w:pPr>
      <w:r w:rsidRPr="007D1B29">
        <w:rPr>
          <w:rFonts w:ascii="Arial" w:eastAsia="Times New Roman" w:hAnsi="Arial" w:cs="Arial"/>
          <w:b/>
          <w:bCs/>
          <w:sz w:val="26"/>
          <w:szCs w:val="26"/>
          <w:lang w:eastAsia="es-ES"/>
        </w:rPr>
        <w:t>C O N S I D E R A N D O</w:t>
      </w:r>
    </w:p>
    <w:p w:rsidR="00CF67FD" w:rsidRDefault="00CF67FD" w:rsidP="00CF67FD">
      <w:pPr>
        <w:spacing w:line="360" w:lineRule="auto"/>
        <w:ind w:right="49"/>
        <w:jc w:val="center"/>
        <w:rPr>
          <w:rFonts w:ascii="Arial" w:eastAsia="Times New Roman" w:hAnsi="Arial" w:cs="Arial"/>
          <w:b/>
          <w:bCs/>
          <w:sz w:val="26"/>
          <w:szCs w:val="26"/>
          <w:lang w:eastAsia="es-ES"/>
        </w:rPr>
      </w:pPr>
    </w:p>
    <w:p w:rsidR="00CF67FD" w:rsidRDefault="00C73584" w:rsidP="00CF67FD">
      <w:pPr>
        <w:spacing w:line="360" w:lineRule="auto"/>
        <w:ind w:right="49" w:firstLine="708"/>
        <w:jc w:val="both"/>
        <w:rPr>
          <w:rFonts w:ascii="Arial" w:hAnsi="Arial" w:cs="Arial"/>
          <w:bCs/>
          <w:sz w:val="26"/>
          <w:szCs w:val="26"/>
        </w:rPr>
      </w:pPr>
      <w:r w:rsidRPr="006E349D">
        <w:rPr>
          <w:rFonts w:ascii="Arial" w:hAnsi="Arial" w:cs="Arial"/>
          <w:b/>
          <w:bCs/>
          <w:iCs/>
          <w:sz w:val="26"/>
          <w:szCs w:val="26"/>
        </w:rPr>
        <w:t xml:space="preserve">PRIMERO. </w:t>
      </w:r>
      <w:r w:rsidR="004978F5" w:rsidRPr="00435724">
        <w:rPr>
          <w:rFonts w:ascii="Arial" w:hAnsi="Arial" w:cs="Arial"/>
          <w:bCs/>
          <w:iCs/>
          <w:sz w:val="26"/>
          <w:szCs w:val="26"/>
          <w:lang w:eastAsia="es-ES"/>
        </w:rPr>
        <w:t>Esta Sala Superior es competente para conocer del presente asunto, de conformidad con lo dispuesto por los artículos 114 QUÁTER, Párrafo Tercero de la Constitución Política del Estado Libre y Soberano de Oaxaca, Cuarto y Décimo Transitorios del Decreto número 786 de la Sexagésima Tercera Legislatura Constitucional del Estado Libre y Soberano de Oaxaca, publicado en el Extra del Periódico Oficial del Gobierno del Estado el dieciséis de enero de dos mil dieciocho y 86, 88, 92, 93 fracción I, 94, 201, 206 y 208 de la Ley de Justicia Administrativa para el Estado de Oaxaca</w:t>
      </w:r>
      <w:r w:rsidR="004978F5">
        <w:rPr>
          <w:rFonts w:ascii="Arial" w:hAnsi="Arial" w:cs="Arial"/>
          <w:bCs/>
          <w:iCs/>
          <w:sz w:val="26"/>
          <w:szCs w:val="26"/>
          <w:lang w:eastAsia="es-ES"/>
        </w:rPr>
        <w:t>, vigente hasta el veinte de octubre de dos mil diecisiete</w:t>
      </w:r>
      <w:r>
        <w:rPr>
          <w:rFonts w:ascii="Arial" w:hAnsi="Arial" w:cs="Arial"/>
          <w:bCs/>
          <w:iCs/>
          <w:sz w:val="26"/>
          <w:szCs w:val="26"/>
        </w:rPr>
        <w:t>,</w:t>
      </w:r>
      <w:r w:rsidRPr="006E349D">
        <w:rPr>
          <w:rFonts w:ascii="Arial" w:hAnsi="Arial" w:cs="Arial"/>
          <w:bCs/>
          <w:iCs/>
          <w:sz w:val="26"/>
          <w:szCs w:val="26"/>
        </w:rPr>
        <w:t xml:space="preserve"> dado que se trata</w:t>
      </w:r>
      <w:r>
        <w:rPr>
          <w:rFonts w:ascii="Arial" w:hAnsi="Arial" w:cs="Arial"/>
          <w:bCs/>
          <w:iCs/>
          <w:sz w:val="26"/>
          <w:szCs w:val="26"/>
        </w:rPr>
        <w:t xml:space="preserve"> de un </w:t>
      </w:r>
      <w:r w:rsidRPr="006E349D">
        <w:rPr>
          <w:rFonts w:ascii="Arial" w:hAnsi="Arial" w:cs="Arial"/>
          <w:bCs/>
          <w:iCs/>
          <w:sz w:val="26"/>
          <w:szCs w:val="26"/>
        </w:rPr>
        <w:t xml:space="preserve"> Recurso de Revisión interpuesto </w:t>
      </w:r>
      <w:r w:rsidRPr="002A72DF">
        <w:rPr>
          <w:rFonts w:ascii="Arial" w:hAnsi="Arial" w:cs="Arial"/>
          <w:bCs/>
          <w:iCs/>
          <w:sz w:val="26"/>
          <w:szCs w:val="26"/>
        </w:rPr>
        <w:t xml:space="preserve">en contra </w:t>
      </w:r>
      <w:r>
        <w:rPr>
          <w:rFonts w:ascii="Arial" w:hAnsi="Arial" w:cs="Arial"/>
          <w:bCs/>
          <w:iCs/>
          <w:sz w:val="26"/>
          <w:szCs w:val="26"/>
        </w:rPr>
        <w:t xml:space="preserve">de la </w:t>
      </w:r>
      <w:r w:rsidR="007E3CEA">
        <w:rPr>
          <w:rFonts w:ascii="Arial" w:hAnsi="Arial" w:cs="Arial"/>
          <w:bCs/>
          <w:iCs/>
          <w:sz w:val="26"/>
          <w:szCs w:val="26"/>
        </w:rPr>
        <w:t>sentencia</w:t>
      </w:r>
      <w:r>
        <w:rPr>
          <w:rFonts w:ascii="Arial" w:hAnsi="Arial" w:cs="Arial"/>
          <w:bCs/>
          <w:iCs/>
          <w:sz w:val="26"/>
          <w:szCs w:val="26"/>
        </w:rPr>
        <w:t xml:space="preserve"> de </w:t>
      </w:r>
      <w:r w:rsidR="00EC43E9">
        <w:rPr>
          <w:rFonts w:ascii="Arial" w:hAnsi="Arial" w:cs="Arial"/>
          <w:sz w:val="26"/>
          <w:szCs w:val="26"/>
        </w:rPr>
        <w:t xml:space="preserve">08 ocho de junio </w:t>
      </w:r>
      <w:r w:rsidR="007F76B0">
        <w:rPr>
          <w:rFonts w:ascii="Arial" w:hAnsi="Arial" w:cs="Arial"/>
          <w:sz w:val="26"/>
          <w:szCs w:val="26"/>
        </w:rPr>
        <w:t xml:space="preserve">de </w:t>
      </w:r>
      <w:r w:rsidR="00EC43E9">
        <w:rPr>
          <w:rFonts w:ascii="Arial" w:hAnsi="Arial" w:cs="Arial"/>
          <w:sz w:val="26"/>
          <w:szCs w:val="26"/>
        </w:rPr>
        <w:t xml:space="preserve">2018 </w:t>
      </w:r>
      <w:r w:rsidR="007F76B0">
        <w:rPr>
          <w:rFonts w:ascii="Arial" w:hAnsi="Arial" w:cs="Arial"/>
          <w:sz w:val="26"/>
          <w:szCs w:val="26"/>
        </w:rPr>
        <w:t>dos mil dieciocho</w:t>
      </w:r>
      <w:r w:rsidRPr="00821CBD">
        <w:rPr>
          <w:rFonts w:ascii="Arial" w:hAnsi="Arial" w:cs="Arial"/>
          <w:sz w:val="26"/>
          <w:szCs w:val="26"/>
        </w:rPr>
        <w:t xml:space="preserve">, dictada en el </w:t>
      </w:r>
      <w:r w:rsidR="007E3CEA">
        <w:rPr>
          <w:rFonts w:ascii="Arial" w:hAnsi="Arial" w:cs="Arial"/>
          <w:sz w:val="26"/>
          <w:szCs w:val="26"/>
        </w:rPr>
        <w:t>expediente</w:t>
      </w:r>
      <w:r>
        <w:rPr>
          <w:rFonts w:ascii="Arial" w:hAnsi="Arial" w:cs="Arial"/>
          <w:sz w:val="26"/>
          <w:szCs w:val="26"/>
        </w:rPr>
        <w:t xml:space="preserve"> </w:t>
      </w:r>
      <w:r w:rsidR="007F76B0">
        <w:rPr>
          <w:rFonts w:ascii="Arial" w:hAnsi="Arial" w:cs="Arial"/>
          <w:b/>
          <w:sz w:val="26"/>
          <w:szCs w:val="26"/>
        </w:rPr>
        <w:t>0</w:t>
      </w:r>
      <w:r w:rsidR="00EC43E9">
        <w:rPr>
          <w:rFonts w:ascii="Arial" w:hAnsi="Arial" w:cs="Arial"/>
          <w:b/>
          <w:sz w:val="26"/>
          <w:szCs w:val="26"/>
        </w:rPr>
        <w:t>367</w:t>
      </w:r>
      <w:r w:rsidR="007F76B0">
        <w:rPr>
          <w:rFonts w:ascii="Arial" w:hAnsi="Arial" w:cs="Arial"/>
          <w:b/>
          <w:sz w:val="26"/>
          <w:szCs w:val="26"/>
        </w:rPr>
        <w:t>/2016</w:t>
      </w:r>
      <w:r>
        <w:rPr>
          <w:rFonts w:ascii="Arial" w:hAnsi="Arial" w:cs="Arial"/>
          <w:b/>
          <w:sz w:val="26"/>
          <w:szCs w:val="26"/>
        </w:rPr>
        <w:t xml:space="preserve"> </w:t>
      </w:r>
      <w:r w:rsidRPr="00821CBD">
        <w:rPr>
          <w:rFonts w:ascii="Arial" w:hAnsi="Arial" w:cs="Arial"/>
          <w:sz w:val="26"/>
          <w:szCs w:val="26"/>
        </w:rPr>
        <w:t xml:space="preserve">del índice </w:t>
      </w:r>
      <w:r w:rsidRPr="00241F94">
        <w:rPr>
          <w:rFonts w:ascii="Arial" w:hAnsi="Arial" w:cs="Arial"/>
          <w:sz w:val="26"/>
          <w:szCs w:val="26"/>
        </w:rPr>
        <w:t>de</w:t>
      </w:r>
      <w:r>
        <w:rPr>
          <w:rFonts w:ascii="Arial" w:hAnsi="Arial" w:cs="Arial"/>
          <w:sz w:val="26"/>
          <w:szCs w:val="26"/>
        </w:rPr>
        <w:t xml:space="preserve"> la S</w:t>
      </w:r>
      <w:r w:rsidR="00EC43E9">
        <w:rPr>
          <w:rFonts w:ascii="Arial" w:hAnsi="Arial" w:cs="Arial"/>
          <w:sz w:val="26"/>
          <w:szCs w:val="26"/>
        </w:rPr>
        <w:t>éptima</w:t>
      </w:r>
      <w:r>
        <w:rPr>
          <w:rFonts w:ascii="Arial" w:hAnsi="Arial" w:cs="Arial"/>
          <w:sz w:val="26"/>
          <w:szCs w:val="26"/>
        </w:rPr>
        <w:t xml:space="preserve"> Sala Unitaria de Primera Instancia</w:t>
      </w:r>
      <w:r>
        <w:rPr>
          <w:rFonts w:ascii="Arial" w:hAnsi="Arial" w:cs="Arial"/>
          <w:b/>
          <w:bCs/>
          <w:sz w:val="26"/>
          <w:szCs w:val="26"/>
        </w:rPr>
        <w:t xml:space="preserve">. </w:t>
      </w:r>
    </w:p>
    <w:p w:rsidR="00CF67FD" w:rsidRDefault="00CF67FD" w:rsidP="00CF67FD">
      <w:pPr>
        <w:spacing w:line="360" w:lineRule="auto"/>
        <w:ind w:right="49" w:firstLine="708"/>
        <w:jc w:val="both"/>
        <w:rPr>
          <w:rFonts w:ascii="Arial" w:hAnsi="Arial" w:cs="Arial"/>
          <w:bCs/>
          <w:sz w:val="26"/>
          <w:szCs w:val="26"/>
        </w:rPr>
      </w:pPr>
    </w:p>
    <w:p w:rsidR="00CF67FD" w:rsidRDefault="00C73584" w:rsidP="00CF67FD">
      <w:pPr>
        <w:spacing w:line="360" w:lineRule="auto"/>
        <w:ind w:right="49" w:firstLine="708"/>
        <w:jc w:val="both"/>
        <w:rPr>
          <w:rFonts w:ascii="Arial" w:hAnsi="Arial" w:cs="Arial"/>
        </w:rPr>
      </w:pPr>
      <w:r w:rsidRPr="006E349D">
        <w:rPr>
          <w:rFonts w:ascii="Arial" w:hAnsi="Arial" w:cs="Arial"/>
          <w:b/>
          <w:bCs/>
          <w:sz w:val="26"/>
          <w:szCs w:val="26"/>
        </w:rPr>
        <w:t>SEGUNDO.</w:t>
      </w:r>
      <w:r w:rsidRPr="006E349D">
        <w:rPr>
          <w:rFonts w:ascii="Arial" w:hAnsi="Arial" w:cs="Arial"/>
          <w:bCs/>
          <w:sz w:val="26"/>
          <w:szCs w:val="26"/>
        </w:rPr>
        <w:t xml:space="preserve"> Los agravios hechos valer</w:t>
      </w:r>
      <w:r w:rsidR="000F4C2C">
        <w:rPr>
          <w:rFonts w:ascii="Arial" w:hAnsi="Arial" w:cs="Arial"/>
          <w:bCs/>
          <w:sz w:val="26"/>
          <w:szCs w:val="26"/>
        </w:rPr>
        <w:t xml:space="preserve"> </w:t>
      </w:r>
      <w:r w:rsidRPr="006E349D">
        <w:rPr>
          <w:rFonts w:ascii="Arial" w:hAnsi="Arial" w:cs="Arial"/>
          <w:bCs/>
          <w:sz w:val="26"/>
          <w:szCs w:val="26"/>
        </w:rPr>
        <w:t>se encue</w:t>
      </w:r>
      <w:r>
        <w:rPr>
          <w:rFonts w:ascii="Arial" w:hAnsi="Arial" w:cs="Arial"/>
          <w:bCs/>
          <w:sz w:val="26"/>
          <w:szCs w:val="26"/>
        </w:rPr>
        <w:t>ntran expuestos en el escrito del recurrente</w:t>
      </w:r>
      <w:r w:rsidRPr="006E349D">
        <w:rPr>
          <w:rFonts w:ascii="Arial" w:hAnsi="Arial" w:cs="Arial"/>
          <w:bCs/>
          <w:sz w:val="26"/>
          <w:szCs w:val="26"/>
        </w:rPr>
        <w:t xml:space="preserve">, por lo que no existe necesidad de transcribirlos, </w:t>
      </w:r>
      <w:r>
        <w:rPr>
          <w:rFonts w:ascii="Arial" w:hAnsi="Arial" w:cs="Arial"/>
          <w:bCs/>
          <w:sz w:val="26"/>
          <w:szCs w:val="26"/>
        </w:rPr>
        <w:t xml:space="preserve">al no </w:t>
      </w:r>
      <w:r w:rsidRPr="006E349D">
        <w:rPr>
          <w:rFonts w:ascii="Arial" w:hAnsi="Arial" w:cs="Arial"/>
          <w:bCs/>
          <w:sz w:val="26"/>
          <w:szCs w:val="26"/>
        </w:rPr>
        <w:t>transgre</w:t>
      </w:r>
      <w:r>
        <w:rPr>
          <w:rFonts w:ascii="Arial" w:hAnsi="Arial" w:cs="Arial"/>
          <w:bCs/>
          <w:sz w:val="26"/>
          <w:szCs w:val="26"/>
        </w:rPr>
        <w:t>dirle</w:t>
      </w:r>
      <w:r w:rsidRPr="006E349D">
        <w:rPr>
          <w:rFonts w:ascii="Arial" w:hAnsi="Arial" w:cs="Arial"/>
          <w:bCs/>
          <w:sz w:val="26"/>
          <w:szCs w:val="26"/>
        </w:rPr>
        <w:t xml:space="preserve"> derecho alguno, como tampoco se </w:t>
      </w:r>
      <w:r w:rsidRPr="006E349D">
        <w:rPr>
          <w:rFonts w:ascii="Arial" w:hAnsi="Arial" w:cs="Arial"/>
          <w:bCs/>
          <w:sz w:val="26"/>
          <w:szCs w:val="26"/>
        </w:rPr>
        <w:lastRenderedPageBreak/>
        <w:t>vulnera disposición expresa que imponga tal obligación</w:t>
      </w:r>
      <w:r w:rsidR="00045E82">
        <w:rPr>
          <w:rFonts w:ascii="Arial" w:hAnsi="Arial" w:cs="Arial"/>
          <w:sz w:val="26"/>
          <w:szCs w:val="26"/>
        </w:rPr>
        <w:t>.</w:t>
      </w:r>
      <w:r w:rsidR="005B55F2">
        <w:rPr>
          <w:rFonts w:ascii="Arial" w:hAnsi="Arial" w:cs="Arial"/>
          <w:bCs/>
          <w:sz w:val="26"/>
          <w:szCs w:val="26"/>
        </w:rPr>
        <w:t xml:space="preserve"> </w:t>
      </w:r>
      <w:r>
        <w:rPr>
          <w:rFonts w:ascii="Arial" w:hAnsi="Arial" w:cs="Arial"/>
          <w:bCs/>
          <w:sz w:val="26"/>
          <w:szCs w:val="26"/>
        </w:rPr>
        <w:t xml:space="preserve"> S</w:t>
      </w:r>
      <w:r w:rsidRPr="00743575">
        <w:rPr>
          <w:rFonts w:ascii="Arial" w:hAnsi="Arial" w:cs="Arial"/>
          <w:bCs/>
          <w:sz w:val="26"/>
          <w:szCs w:val="26"/>
        </w:rPr>
        <w:t>e invoca en apoyo, la Tesis, publicada en la Gaceta del Semanario Jud</w:t>
      </w:r>
      <w:r>
        <w:rPr>
          <w:rFonts w:ascii="Arial" w:hAnsi="Arial" w:cs="Arial"/>
          <w:bCs/>
          <w:sz w:val="26"/>
          <w:szCs w:val="26"/>
        </w:rPr>
        <w:t>icial de la Federación, Volumen 81, Sexta Parte, Séptima  Época, pagina 23</w:t>
      </w:r>
      <w:r w:rsidRPr="00743575">
        <w:rPr>
          <w:rFonts w:ascii="Arial" w:hAnsi="Arial" w:cs="Arial"/>
          <w:bCs/>
          <w:sz w:val="26"/>
          <w:szCs w:val="26"/>
        </w:rPr>
        <w:t>, bajo el rubro y texto siguiente</w:t>
      </w:r>
      <w:r w:rsidRPr="00AB1EA5">
        <w:rPr>
          <w:rFonts w:ascii="Arial" w:hAnsi="Arial" w:cs="Arial"/>
        </w:rPr>
        <w:t>:</w:t>
      </w:r>
      <w:r w:rsidR="00CF67FD">
        <w:rPr>
          <w:rFonts w:ascii="Arial" w:hAnsi="Arial" w:cs="Arial"/>
        </w:rPr>
        <w:t xml:space="preserve"> </w:t>
      </w:r>
    </w:p>
    <w:p w:rsidR="00C73584" w:rsidRDefault="00CF67FD" w:rsidP="00076BEE">
      <w:pPr>
        <w:spacing w:after="120" w:line="360" w:lineRule="auto"/>
        <w:ind w:left="709" w:right="900"/>
        <w:jc w:val="both"/>
        <w:rPr>
          <w:rFonts w:ascii="Arial" w:eastAsia="Times New Roman" w:hAnsi="Arial" w:cs="Arial"/>
          <w:i/>
          <w:lang w:eastAsia="es-MX"/>
        </w:rPr>
      </w:pPr>
      <w:r w:rsidRPr="00045E82">
        <w:rPr>
          <w:rFonts w:ascii="Arial" w:eastAsia="Times New Roman" w:hAnsi="Arial" w:cs="Arial"/>
          <w:bCs/>
          <w:i/>
          <w:lang w:eastAsia="es-MX"/>
        </w:rPr>
        <w:t xml:space="preserve"> </w:t>
      </w:r>
      <w:r w:rsidR="00C73584" w:rsidRPr="00045E82">
        <w:rPr>
          <w:rFonts w:ascii="Arial" w:eastAsia="Times New Roman" w:hAnsi="Arial" w:cs="Arial"/>
          <w:bCs/>
          <w:i/>
          <w:lang w:eastAsia="es-MX"/>
        </w:rPr>
        <w:t>“</w:t>
      </w:r>
      <w:r w:rsidR="00C73584" w:rsidRPr="00045E82">
        <w:rPr>
          <w:rFonts w:ascii="Arial" w:eastAsia="Times New Roman" w:hAnsi="Arial" w:cs="Arial"/>
          <w:b/>
          <w:bCs/>
          <w:i/>
          <w:lang w:eastAsia="es-MX"/>
        </w:rPr>
        <w:t>CONCEPTOS DE VIOLACION. NO </w:t>
      </w:r>
      <w:r w:rsidR="00C73584" w:rsidRPr="00045E82">
        <w:rPr>
          <w:rFonts w:ascii="Arial" w:eastAsia="Times New Roman" w:hAnsi="Arial" w:cs="Arial"/>
          <w:b/>
          <w:bCs/>
          <w:i/>
          <w:bdr w:val="none" w:sz="0" w:space="0" w:color="auto" w:frame="1"/>
          <w:lang w:eastAsia="es-MX"/>
        </w:rPr>
        <w:t>ES</w:t>
      </w:r>
      <w:r w:rsidR="00C73584" w:rsidRPr="00045E82">
        <w:rPr>
          <w:rFonts w:ascii="Arial" w:eastAsia="Times New Roman" w:hAnsi="Arial" w:cs="Arial"/>
          <w:b/>
          <w:bCs/>
          <w:i/>
          <w:lang w:eastAsia="es-MX"/>
        </w:rPr>
        <w:t> </w:t>
      </w:r>
      <w:r w:rsidR="00C73584" w:rsidRPr="00045E82">
        <w:rPr>
          <w:rFonts w:ascii="Arial" w:eastAsia="Times New Roman" w:hAnsi="Arial" w:cs="Arial"/>
          <w:b/>
          <w:bCs/>
          <w:i/>
          <w:bdr w:val="none" w:sz="0" w:space="0" w:color="auto" w:frame="1"/>
          <w:lang w:eastAsia="es-MX"/>
        </w:rPr>
        <w:t>OBLIGATORIO</w:t>
      </w:r>
      <w:r w:rsidR="00C73584" w:rsidRPr="00045E82">
        <w:rPr>
          <w:rFonts w:ascii="Arial" w:eastAsia="Times New Roman" w:hAnsi="Arial" w:cs="Arial"/>
          <w:b/>
          <w:bCs/>
          <w:i/>
          <w:lang w:eastAsia="es-MX"/>
        </w:rPr>
        <w:t> TRANSCRIBIRLOS EN LA SENTENCIA</w:t>
      </w:r>
      <w:r w:rsidR="00C73584" w:rsidRPr="00045E82">
        <w:rPr>
          <w:rFonts w:ascii="Arial" w:eastAsia="Times New Roman" w:hAnsi="Arial" w:cs="Arial"/>
          <w:bCs/>
          <w:i/>
          <w:lang w:eastAsia="es-MX"/>
        </w:rPr>
        <w:t xml:space="preserve">. </w:t>
      </w:r>
      <w:r w:rsidR="00C73584" w:rsidRPr="00045E82">
        <w:rPr>
          <w:rFonts w:ascii="Arial" w:eastAsia="Times New Roman" w:hAnsi="Arial" w:cs="Arial"/>
          <w:i/>
          <w:lang w:eastAsia="es-MX"/>
        </w:rPr>
        <w:t>Aun cuando sea verdad que el juzgador no transcriba en su integridad los conceptos de violación externados por la quejosa en su demanda de garantías, a pesar de indicarlo así en su sentencia, también lo </w:t>
      </w:r>
      <w:r w:rsidR="00C73584" w:rsidRPr="00045E82">
        <w:rPr>
          <w:rFonts w:ascii="Arial" w:eastAsia="Times New Roman" w:hAnsi="Arial" w:cs="Arial"/>
          <w:bCs/>
          <w:i/>
          <w:bdr w:val="none" w:sz="0" w:space="0" w:color="auto" w:frame="1"/>
          <w:lang w:eastAsia="es-MX"/>
        </w:rPr>
        <w:t>es</w:t>
      </w:r>
      <w:r w:rsidR="00C73584" w:rsidRPr="00045E82">
        <w:rPr>
          <w:rFonts w:ascii="Arial" w:eastAsia="Times New Roman" w:hAnsi="Arial" w:cs="Arial"/>
          <w:i/>
          <w:lang w:eastAsia="es-MX"/>
        </w:rPr>
        <w:t> que tal omisión no infringe disposición legal alguna, pues ninguna le impone la obligación de hacerlo, máxime si de la lectura de la sentencia recurrida se advierte que el Juez de Distrito expresa las razones conducentes para desestimar los conceptos de violación hechos v</w:t>
      </w:r>
      <w:r w:rsidR="00C73584" w:rsidRPr="00045E82">
        <w:rPr>
          <w:rFonts w:ascii="Arial" w:hAnsi="Arial" w:cs="Arial"/>
          <w:i/>
          <w:lang w:eastAsia="es-MX"/>
        </w:rPr>
        <w:t>aler, aun cuando no transcritos</w:t>
      </w:r>
      <w:r w:rsidR="00C73584" w:rsidRPr="00045E82">
        <w:rPr>
          <w:rFonts w:ascii="Arial" w:eastAsia="Times New Roman" w:hAnsi="Arial" w:cs="Arial"/>
          <w:i/>
          <w:lang w:eastAsia="es-MX"/>
        </w:rPr>
        <w:t>(sic)</w:t>
      </w:r>
      <w:r w:rsidR="00C73584" w:rsidRPr="00045E82">
        <w:rPr>
          <w:rFonts w:ascii="Arial" w:hAnsi="Arial" w:cs="Arial"/>
          <w:i/>
          <w:lang w:eastAsia="es-MX"/>
        </w:rPr>
        <w:t>.”</w:t>
      </w:r>
      <w:r w:rsidR="00C73584" w:rsidRPr="00045E82">
        <w:rPr>
          <w:rFonts w:ascii="Arial" w:eastAsia="Times New Roman" w:hAnsi="Arial" w:cs="Arial"/>
          <w:i/>
          <w:lang w:eastAsia="es-MX"/>
        </w:rPr>
        <w:t xml:space="preserve"> - - - - - - - - -</w:t>
      </w:r>
    </w:p>
    <w:p w:rsidR="00076BEE" w:rsidRPr="00045E82" w:rsidRDefault="00076BEE" w:rsidP="00076BEE">
      <w:pPr>
        <w:spacing w:after="120" w:line="360" w:lineRule="auto"/>
        <w:ind w:left="709" w:right="900"/>
        <w:jc w:val="both"/>
        <w:rPr>
          <w:rFonts w:ascii="Arial" w:eastAsia="Times New Roman" w:hAnsi="Arial" w:cs="Arial"/>
          <w:i/>
          <w:lang w:eastAsia="es-MX"/>
        </w:rPr>
      </w:pPr>
    </w:p>
    <w:p w:rsidR="00CF67FD" w:rsidRDefault="00921551" w:rsidP="00CF67FD">
      <w:pPr>
        <w:pStyle w:val="Sinespaciado"/>
        <w:spacing w:line="360" w:lineRule="auto"/>
        <w:ind w:firstLine="708"/>
        <w:jc w:val="both"/>
        <w:rPr>
          <w:rFonts w:ascii="Arial" w:eastAsia="Calibri" w:hAnsi="Arial" w:cs="Arial"/>
          <w:bCs/>
          <w:sz w:val="26"/>
          <w:szCs w:val="26"/>
        </w:rPr>
      </w:pPr>
      <w:r w:rsidRPr="00126E20">
        <w:rPr>
          <w:rFonts w:ascii="Arial" w:eastAsia="Calibri" w:hAnsi="Arial" w:cs="Arial"/>
          <w:b/>
          <w:sz w:val="26"/>
          <w:szCs w:val="26"/>
        </w:rPr>
        <w:t>TERCERO.</w:t>
      </w:r>
      <w:r>
        <w:rPr>
          <w:rFonts w:ascii="Arial" w:eastAsia="Calibri" w:hAnsi="Arial" w:cs="Arial"/>
          <w:b/>
          <w:sz w:val="26"/>
          <w:szCs w:val="26"/>
        </w:rPr>
        <w:t xml:space="preserve"> </w:t>
      </w:r>
      <w:r>
        <w:rPr>
          <w:rFonts w:ascii="Arial" w:eastAsia="Calibri" w:hAnsi="Arial" w:cs="Arial"/>
          <w:bCs/>
          <w:sz w:val="26"/>
          <w:szCs w:val="26"/>
        </w:rPr>
        <w:t xml:space="preserve">Señala el recurrente </w:t>
      </w:r>
      <w:r w:rsidR="004605EC">
        <w:rPr>
          <w:rFonts w:ascii="Arial" w:eastAsia="Calibri" w:hAnsi="Arial" w:cs="Arial"/>
          <w:bCs/>
          <w:sz w:val="26"/>
          <w:szCs w:val="26"/>
        </w:rPr>
        <w:t xml:space="preserve">en su </w:t>
      </w:r>
      <w:r w:rsidR="004605EC" w:rsidRPr="00C96B7A">
        <w:rPr>
          <w:rFonts w:ascii="Arial" w:eastAsia="Calibri" w:hAnsi="Arial" w:cs="Arial"/>
          <w:b/>
          <w:bCs/>
          <w:sz w:val="26"/>
          <w:szCs w:val="26"/>
        </w:rPr>
        <w:t>primer</w:t>
      </w:r>
      <w:r w:rsidR="004605EC">
        <w:rPr>
          <w:rFonts w:ascii="Arial" w:eastAsia="Calibri" w:hAnsi="Arial" w:cs="Arial"/>
          <w:bCs/>
          <w:sz w:val="26"/>
          <w:szCs w:val="26"/>
        </w:rPr>
        <w:t xml:space="preserve"> agravio, que</w:t>
      </w:r>
      <w:r w:rsidR="00EE79CA">
        <w:rPr>
          <w:rFonts w:ascii="Arial" w:eastAsia="Calibri" w:hAnsi="Arial" w:cs="Arial"/>
          <w:bCs/>
          <w:sz w:val="26"/>
          <w:szCs w:val="26"/>
        </w:rPr>
        <w:t xml:space="preserve"> </w:t>
      </w:r>
      <w:r w:rsidR="00A8521C">
        <w:rPr>
          <w:rFonts w:ascii="Arial" w:eastAsia="Calibri" w:hAnsi="Arial" w:cs="Arial"/>
          <w:bCs/>
          <w:sz w:val="26"/>
          <w:szCs w:val="26"/>
        </w:rPr>
        <w:t xml:space="preserve"> </w:t>
      </w:r>
      <w:r w:rsidR="00081539">
        <w:rPr>
          <w:rFonts w:ascii="Arial" w:eastAsia="Calibri" w:hAnsi="Arial" w:cs="Arial"/>
          <w:bCs/>
          <w:sz w:val="26"/>
          <w:szCs w:val="26"/>
        </w:rPr>
        <w:t xml:space="preserve">el párrafo cuarto del considerando SEXTO de la sentencia dictada el 08 ocho de junio de 2018 dos mil dieciocho, </w:t>
      </w:r>
      <w:r w:rsidR="004605EC">
        <w:rPr>
          <w:rFonts w:ascii="Arial" w:eastAsia="Calibri" w:hAnsi="Arial" w:cs="Arial"/>
          <w:bCs/>
          <w:sz w:val="26"/>
          <w:szCs w:val="26"/>
        </w:rPr>
        <w:t xml:space="preserve">le causa perjuicio </w:t>
      </w:r>
      <w:r w:rsidR="00B307CB">
        <w:rPr>
          <w:rFonts w:ascii="Arial" w:eastAsia="Calibri" w:hAnsi="Arial" w:cs="Arial"/>
          <w:bCs/>
          <w:sz w:val="26"/>
          <w:szCs w:val="26"/>
        </w:rPr>
        <w:t>toda vez que la</w:t>
      </w:r>
      <w:r w:rsidR="00081539">
        <w:rPr>
          <w:rFonts w:ascii="Arial" w:eastAsia="Calibri" w:hAnsi="Arial" w:cs="Arial"/>
          <w:bCs/>
          <w:sz w:val="26"/>
          <w:szCs w:val="26"/>
        </w:rPr>
        <w:t xml:space="preserve"> Sal</w:t>
      </w:r>
      <w:r w:rsidR="00635AE0">
        <w:rPr>
          <w:rFonts w:ascii="Arial" w:eastAsia="Calibri" w:hAnsi="Arial" w:cs="Arial"/>
          <w:bCs/>
          <w:sz w:val="26"/>
          <w:szCs w:val="26"/>
        </w:rPr>
        <w:t>a Unitaria de Primera Instancia</w:t>
      </w:r>
      <w:r w:rsidR="00081539">
        <w:rPr>
          <w:rFonts w:ascii="Arial" w:eastAsia="Calibri" w:hAnsi="Arial" w:cs="Arial"/>
          <w:bCs/>
          <w:sz w:val="26"/>
          <w:szCs w:val="26"/>
        </w:rPr>
        <w:t xml:space="preserve"> perdió de vista e ignoró el sentido y fondo de los argumentos planteados en sus alegatos, al seguir refiriéndose a que el incumplimiento que devenga a las obligaciones que pactó el Notario Público 89 en el contrato de prestación de servicios profesionales, solamente pueden ser conocidas y resueltas por una autoridad civil y no por la Dirección General de Notar</w:t>
      </w:r>
      <w:r w:rsidR="00CF67FD">
        <w:rPr>
          <w:rFonts w:ascii="Arial" w:eastAsia="Calibri" w:hAnsi="Arial" w:cs="Arial"/>
          <w:bCs/>
          <w:sz w:val="26"/>
          <w:szCs w:val="26"/>
        </w:rPr>
        <w:t>ías del Estado.</w:t>
      </w:r>
    </w:p>
    <w:p w:rsidR="00CF67FD" w:rsidRDefault="00CF67FD" w:rsidP="00CF67FD">
      <w:pPr>
        <w:pStyle w:val="Sinespaciado"/>
        <w:spacing w:line="360" w:lineRule="auto"/>
        <w:ind w:firstLine="708"/>
        <w:jc w:val="both"/>
        <w:rPr>
          <w:rFonts w:ascii="Arial" w:eastAsia="Calibri" w:hAnsi="Arial" w:cs="Arial"/>
          <w:bCs/>
          <w:sz w:val="26"/>
          <w:szCs w:val="26"/>
        </w:rPr>
      </w:pPr>
    </w:p>
    <w:p w:rsidR="00CF67FD" w:rsidRDefault="003966C3" w:rsidP="00CF67FD">
      <w:pPr>
        <w:pStyle w:val="Sinespaciado"/>
        <w:spacing w:line="360" w:lineRule="auto"/>
        <w:ind w:firstLine="708"/>
        <w:jc w:val="both"/>
        <w:rPr>
          <w:rFonts w:ascii="Arial" w:eastAsia="Calibri" w:hAnsi="Arial" w:cs="Arial"/>
          <w:bCs/>
          <w:sz w:val="26"/>
          <w:szCs w:val="26"/>
        </w:rPr>
      </w:pPr>
      <w:r>
        <w:rPr>
          <w:rFonts w:ascii="Arial" w:eastAsia="Calibri" w:hAnsi="Arial" w:cs="Arial"/>
          <w:bCs/>
          <w:sz w:val="26"/>
          <w:szCs w:val="26"/>
        </w:rPr>
        <w:t xml:space="preserve"> Indica, que no se expusieron los antecedentes del incumplimiento al contrato de servicios profesionales y sus consecuencias, para resolver en materia civil, sino para exponer la gravedad de la falta de probidad de las acciones u omisiones que afectan inminentemente la esfera jurídica del INFONAVIT y de 69 sesenta y nueve afectados y a sus familias, </w:t>
      </w:r>
      <w:r w:rsidR="00D82B85">
        <w:rPr>
          <w:rFonts w:ascii="Arial" w:eastAsia="Calibri" w:hAnsi="Arial" w:cs="Arial"/>
          <w:bCs/>
          <w:sz w:val="26"/>
          <w:szCs w:val="26"/>
        </w:rPr>
        <w:t xml:space="preserve">en cuanto hace al Notario y a la propia Ley de Notario en el Estado de Oaxaca, </w:t>
      </w:r>
      <w:r w:rsidR="009C6406">
        <w:rPr>
          <w:rFonts w:ascii="Arial" w:eastAsia="Calibri" w:hAnsi="Arial" w:cs="Arial"/>
          <w:bCs/>
          <w:sz w:val="26"/>
          <w:szCs w:val="26"/>
        </w:rPr>
        <w:t xml:space="preserve">señala que si resulta competente la Dirección General de Notarías, por lo que sus </w:t>
      </w:r>
      <w:r w:rsidR="00CF67FD">
        <w:rPr>
          <w:rFonts w:ascii="Arial" w:eastAsia="Calibri" w:hAnsi="Arial" w:cs="Arial"/>
          <w:bCs/>
          <w:sz w:val="26"/>
          <w:szCs w:val="26"/>
        </w:rPr>
        <w:t>agravios resultan fundados.</w:t>
      </w:r>
    </w:p>
    <w:p w:rsidR="00CF67FD" w:rsidRDefault="00CF67FD" w:rsidP="00CF67FD">
      <w:pPr>
        <w:pStyle w:val="Sinespaciado"/>
        <w:spacing w:line="360" w:lineRule="auto"/>
        <w:jc w:val="both"/>
        <w:rPr>
          <w:rFonts w:ascii="Arial" w:eastAsia="Calibri" w:hAnsi="Arial" w:cs="Arial"/>
          <w:bCs/>
          <w:sz w:val="26"/>
          <w:szCs w:val="26"/>
        </w:rPr>
      </w:pPr>
    </w:p>
    <w:p w:rsidR="00CF67FD" w:rsidRDefault="009C6406" w:rsidP="00CF67FD">
      <w:pPr>
        <w:pStyle w:val="Sinespaciado"/>
        <w:spacing w:line="360" w:lineRule="auto"/>
        <w:ind w:firstLine="708"/>
        <w:jc w:val="both"/>
        <w:rPr>
          <w:rFonts w:ascii="Arial" w:eastAsia="Calibri" w:hAnsi="Arial" w:cs="Arial"/>
          <w:bCs/>
          <w:sz w:val="26"/>
          <w:szCs w:val="26"/>
        </w:rPr>
      </w:pPr>
      <w:r>
        <w:rPr>
          <w:rFonts w:ascii="Arial" w:eastAsia="Calibri" w:hAnsi="Arial" w:cs="Arial"/>
          <w:bCs/>
          <w:sz w:val="26"/>
          <w:szCs w:val="26"/>
        </w:rPr>
        <w:t>Sigue manifestando que si bien son aplicables al caso concreto otras materias, también le es competente lo que argumenta, ya que no se solicitó a l</w:t>
      </w:r>
      <w:r w:rsidR="00635AE0">
        <w:rPr>
          <w:rFonts w:ascii="Arial" w:eastAsia="Calibri" w:hAnsi="Arial" w:cs="Arial"/>
          <w:bCs/>
          <w:sz w:val="26"/>
          <w:szCs w:val="26"/>
        </w:rPr>
        <w:t>a Dirección General de Notarías</w:t>
      </w:r>
      <w:r>
        <w:rPr>
          <w:rFonts w:ascii="Arial" w:eastAsia="Calibri" w:hAnsi="Arial" w:cs="Arial"/>
          <w:bCs/>
          <w:sz w:val="26"/>
          <w:szCs w:val="26"/>
        </w:rPr>
        <w:t xml:space="preserve"> resolviera en otras materias, sino respecto a que comprobara la gravedad de los actos y </w:t>
      </w:r>
      <w:r>
        <w:rPr>
          <w:rFonts w:ascii="Arial" w:eastAsia="Calibri" w:hAnsi="Arial" w:cs="Arial"/>
          <w:bCs/>
          <w:sz w:val="26"/>
          <w:szCs w:val="26"/>
        </w:rPr>
        <w:lastRenderedPageBreak/>
        <w:t>omisiones del Notario Público 89</w:t>
      </w:r>
      <w:r w:rsidR="00B307CB">
        <w:rPr>
          <w:rFonts w:ascii="Arial" w:eastAsia="Calibri" w:hAnsi="Arial" w:cs="Arial"/>
          <w:bCs/>
          <w:sz w:val="26"/>
          <w:szCs w:val="26"/>
        </w:rPr>
        <w:t xml:space="preserve"> </w:t>
      </w:r>
      <w:r>
        <w:rPr>
          <w:rFonts w:ascii="Arial" w:eastAsia="Calibri" w:hAnsi="Arial" w:cs="Arial"/>
          <w:bCs/>
          <w:sz w:val="26"/>
          <w:szCs w:val="26"/>
        </w:rPr>
        <w:t>Gerardo Armando Pérez Hernández, y se aplicara la sanción que realmente amerite, conforme a la gravedad y lo alegado y probado.</w:t>
      </w:r>
    </w:p>
    <w:p w:rsidR="00CF67FD" w:rsidRDefault="00340122" w:rsidP="00CF67FD">
      <w:pPr>
        <w:pStyle w:val="Sinespaciado"/>
        <w:spacing w:line="360" w:lineRule="auto"/>
        <w:ind w:firstLine="708"/>
        <w:jc w:val="both"/>
        <w:rPr>
          <w:rFonts w:ascii="Arial" w:eastAsia="Calibri" w:hAnsi="Arial" w:cs="Arial"/>
          <w:bCs/>
          <w:sz w:val="26"/>
          <w:szCs w:val="26"/>
        </w:rPr>
      </w:pPr>
      <w:r>
        <w:rPr>
          <w:rFonts w:ascii="Arial" w:eastAsia="Calibri" w:hAnsi="Arial" w:cs="Arial"/>
          <w:bCs/>
          <w:sz w:val="26"/>
          <w:szCs w:val="26"/>
        </w:rPr>
        <w:t xml:space="preserve">En su </w:t>
      </w:r>
      <w:r w:rsidRPr="00340122">
        <w:rPr>
          <w:rFonts w:ascii="Arial" w:eastAsia="Calibri" w:hAnsi="Arial" w:cs="Arial"/>
          <w:b/>
          <w:bCs/>
          <w:sz w:val="26"/>
          <w:szCs w:val="26"/>
        </w:rPr>
        <w:t>segundo</w:t>
      </w:r>
      <w:r>
        <w:rPr>
          <w:rFonts w:ascii="Arial" w:eastAsia="Calibri" w:hAnsi="Arial" w:cs="Arial"/>
          <w:bCs/>
          <w:sz w:val="26"/>
          <w:szCs w:val="26"/>
        </w:rPr>
        <w:t xml:space="preserve"> agravio, manifiesta que </w:t>
      </w:r>
      <w:r w:rsidR="00F21392">
        <w:rPr>
          <w:rFonts w:ascii="Arial" w:eastAsia="Calibri" w:hAnsi="Arial" w:cs="Arial"/>
          <w:bCs/>
          <w:sz w:val="26"/>
          <w:szCs w:val="26"/>
        </w:rPr>
        <w:t xml:space="preserve">los párrafo nueve y diez del considerando SEXTO de la sentencia recurrida le causan perjuicio, toda vez que </w:t>
      </w:r>
      <w:r w:rsidR="00923408">
        <w:rPr>
          <w:rFonts w:ascii="Arial" w:eastAsia="Calibri" w:hAnsi="Arial" w:cs="Arial"/>
          <w:bCs/>
          <w:sz w:val="26"/>
          <w:szCs w:val="26"/>
        </w:rPr>
        <w:t xml:space="preserve">la </w:t>
      </w:r>
      <w:r w:rsidR="00E15961">
        <w:rPr>
          <w:rFonts w:ascii="Arial" w:eastAsia="Calibri" w:hAnsi="Arial" w:cs="Arial"/>
          <w:bCs/>
          <w:sz w:val="26"/>
          <w:szCs w:val="26"/>
        </w:rPr>
        <w:t>sanción consistente en amonestaci</w:t>
      </w:r>
      <w:r w:rsidR="00923408">
        <w:rPr>
          <w:rFonts w:ascii="Arial" w:eastAsia="Calibri" w:hAnsi="Arial" w:cs="Arial"/>
          <w:bCs/>
          <w:sz w:val="26"/>
          <w:szCs w:val="26"/>
        </w:rPr>
        <w:t xml:space="preserve">ón por oficio, </w:t>
      </w:r>
      <w:r w:rsidR="00DB77AE">
        <w:rPr>
          <w:rFonts w:ascii="Arial" w:eastAsia="Calibri" w:hAnsi="Arial" w:cs="Arial"/>
          <w:bCs/>
          <w:sz w:val="26"/>
          <w:szCs w:val="26"/>
        </w:rPr>
        <w:t>afecta a sus pretensiones</w:t>
      </w:r>
      <w:r w:rsidR="00DF76D3">
        <w:rPr>
          <w:rFonts w:ascii="Arial" w:eastAsia="Calibri" w:hAnsi="Arial" w:cs="Arial"/>
          <w:bCs/>
          <w:sz w:val="26"/>
          <w:szCs w:val="26"/>
        </w:rPr>
        <w:t>,</w:t>
      </w:r>
      <w:r w:rsidR="00DB77AE">
        <w:rPr>
          <w:rFonts w:ascii="Arial" w:eastAsia="Calibri" w:hAnsi="Arial" w:cs="Arial"/>
          <w:bCs/>
          <w:sz w:val="26"/>
          <w:szCs w:val="26"/>
        </w:rPr>
        <w:t xml:space="preserve"> </w:t>
      </w:r>
      <w:r w:rsidR="00DF76D3">
        <w:rPr>
          <w:rFonts w:ascii="Arial" w:eastAsia="Calibri" w:hAnsi="Arial" w:cs="Arial"/>
          <w:bCs/>
          <w:sz w:val="26"/>
          <w:szCs w:val="26"/>
        </w:rPr>
        <w:t xml:space="preserve">al ser </w:t>
      </w:r>
      <w:r w:rsidR="00DB77AE">
        <w:rPr>
          <w:rFonts w:ascii="Arial" w:eastAsia="Calibri" w:hAnsi="Arial" w:cs="Arial"/>
          <w:bCs/>
          <w:sz w:val="26"/>
          <w:szCs w:val="26"/>
        </w:rPr>
        <w:t>precisamente el objeto medular del juicio de nulidad y el presente recurso, pues indica que no es una pena proporcional a las falta</w:t>
      </w:r>
      <w:r w:rsidR="00DF76D3">
        <w:rPr>
          <w:rFonts w:ascii="Arial" w:eastAsia="Calibri" w:hAnsi="Arial" w:cs="Arial"/>
          <w:bCs/>
          <w:sz w:val="26"/>
          <w:szCs w:val="26"/>
        </w:rPr>
        <w:t>s</w:t>
      </w:r>
      <w:r w:rsidR="00DB77AE">
        <w:rPr>
          <w:rFonts w:ascii="Arial" w:eastAsia="Calibri" w:hAnsi="Arial" w:cs="Arial"/>
          <w:bCs/>
          <w:sz w:val="26"/>
          <w:szCs w:val="26"/>
        </w:rPr>
        <w:t xml:space="preserve"> y omisiones del Notario, </w:t>
      </w:r>
      <w:r w:rsidR="003C7DD9">
        <w:rPr>
          <w:rFonts w:ascii="Arial" w:eastAsia="Calibri" w:hAnsi="Arial" w:cs="Arial"/>
          <w:bCs/>
          <w:sz w:val="26"/>
          <w:szCs w:val="26"/>
        </w:rPr>
        <w:t xml:space="preserve">tomando en cuenta la gravedad de las consecuencias que </w:t>
      </w:r>
      <w:r w:rsidR="00923408">
        <w:rPr>
          <w:rFonts w:ascii="Arial" w:eastAsia="Calibri" w:hAnsi="Arial" w:cs="Arial"/>
          <w:bCs/>
          <w:sz w:val="26"/>
          <w:szCs w:val="26"/>
        </w:rPr>
        <w:t xml:space="preserve">con </w:t>
      </w:r>
      <w:r w:rsidR="003C7DD9">
        <w:rPr>
          <w:rFonts w:ascii="Arial" w:eastAsia="Calibri" w:hAnsi="Arial" w:cs="Arial"/>
          <w:bCs/>
          <w:sz w:val="26"/>
          <w:szCs w:val="26"/>
        </w:rPr>
        <w:t>su mal actuar</w:t>
      </w:r>
      <w:r w:rsidR="00923408">
        <w:rPr>
          <w:rFonts w:ascii="Arial" w:eastAsia="Calibri" w:hAnsi="Arial" w:cs="Arial"/>
          <w:bCs/>
          <w:sz w:val="26"/>
          <w:szCs w:val="26"/>
        </w:rPr>
        <w:t>,</w:t>
      </w:r>
      <w:r w:rsidR="003C7DD9">
        <w:rPr>
          <w:rFonts w:ascii="Arial" w:eastAsia="Calibri" w:hAnsi="Arial" w:cs="Arial"/>
          <w:bCs/>
          <w:sz w:val="26"/>
          <w:szCs w:val="26"/>
        </w:rPr>
        <w:t xml:space="preserve"> han generad</w:t>
      </w:r>
      <w:r w:rsidR="00A44593">
        <w:rPr>
          <w:rFonts w:ascii="Arial" w:eastAsia="Calibri" w:hAnsi="Arial" w:cs="Arial"/>
          <w:bCs/>
          <w:sz w:val="26"/>
          <w:szCs w:val="26"/>
        </w:rPr>
        <w:t>o a las sesenta y nueve familias</w:t>
      </w:r>
      <w:r w:rsidR="003C7DD9">
        <w:rPr>
          <w:rFonts w:ascii="Arial" w:eastAsia="Calibri" w:hAnsi="Arial" w:cs="Arial"/>
          <w:bCs/>
          <w:sz w:val="26"/>
          <w:szCs w:val="26"/>
        </w:rPr>
        <w:t xml:space="preserve">; por tanto, </w:t>
      </w:r>
      <w:r w:rsidR="00974C0E">
        <w:rPr>
          <w:rFonts w:ascii="Arial" w:eastAsia="Calibri" w:hAnsi="Arial" w:cs="Arial"/>
          <w:bCs/>
          <w:sz w:val="26"/>
          <w:szCs w:val="26"/>
        </w:rPr>
        <w:t xml:space="preserve">dice que </w:t>
      </w:r>
      <w:r w:rsidR="00635AE0">
        <w:rPr>
          <w:rFonts w:ascii="Arial" w:eastAsia="Calibri" w:hAnsi="Arial" w:cs="Arial"/>
          <w:bCs/>
          <w:sz w:val="26"/>
          <w:szCs w:val="26"/>
        </w:rPr>
        <w:t>si</w:t>
      </w:r>
      <w:r w:rsidR="00923408">
        <w:rPr>
          <w:rFonts w:ascii="Arial" w:eastAsia="Calibri" w:hAnsi="Arial" w:cs="Arial"/>
          <w:bCs/>
          <w:sz w:val="26"/>
          <w:szCs w:val="26"/>
        </w:rPr>
        <w:t xml:space="preserve"> </w:t>
      </w:r>
      <w:r w:rsidR="00974C0E">
        <w:rPr>
          <w:rFonts w:ascii="Arial" w:eastAsia="Calibri" w:hAnsi="Arial" w:cs="Arial"/>
          <w:bCs/>
          <w:sz w:val="26"/>
          <w:szCs w:val="26"/>
        </w:rPr>
        <w:t>se hizo mención res</w:t>
      </w:r>
      <w:r w:rsidR="00D73FFB">
        <w:rPr>
          <w:rFonts w:ascii="Arial" w:eastAsia="Calibri" w:hAnsi="Arial" w:cs="Arial"/>
          <w:bCs/>
          <w:sz w:val="26"/>
          <w:szCs w:val="26"/>
        </w:rPr>
        <w:t>pecto de la</w:t>
      </w:r>
      <w:r w:rsidR="00974C0E">
        <w:rPr>
          <w:rFonts w:ascii="Arial" w:eastAsia="Calibri" w:hAnsi="Arial" w:cs="Arial"/>
          <w:bCs/>
          <w:sz w:val="26"/>
          <w:szCs w:val="26"/>
        </w:rPr>
        <w:t xml:space="preserve"> falta al contrato de servicios profesionales, fue solamente para probar la graved</w:t>
      </w:r>
      <w:r w:rsidR="00A25C18">
        <w:rPr>
          <w:rFonts w:ascii="Arial" w:eastAsia="Calibri" w:hAnsi="Arial" w:cs="Arial"/>
          <w:bCs/>
          <w:sz w:val="26"/>
          <w:szCs w:val="26"/>
        </w:rPr>
        <w:t>ad de las omisiones del Notario,</w:t>
      </w:r>
      <w:r w:rsidR="00974C0E">
        <w:rPr>
          <w:rFonts w:ascii="Arial" w:eastAsia="Calibri" w:hAnsi="Arial" w:cs="Arial"/>
          <w:bCs/>
          <w:sz w:val="26"/>
          <w:szCs w:val="26"/>
        </w:rPr>
        <w:t xml:space="preserve"> a fin de que al resolver </w:t>
      </w:r>
      <w:r w:rsidR="00923408">
        <w:rPr>
          <w:rFonts w:ascii="Arial" w:eastAsia="Calibri" w:hAnsi="Arial" w:cs="Arial"/>
          <w:bCs/>
          <w:sz w:val="26"/>
          <w:szCs w:val="26"/>
        </w:rPr>
        <w:t xml:space="preserve">se tomara </w:t>
      </w:r>
      <w:r w:rsidR="00974C0E">
        <w:rPr>
          <w:rFonts w:ascii="Arial" w:eastAsia="Calibri" w:hAnsi="Arial" w:cs="Arial"/>
          <w:bCs/>
          <w:sz w:val="26"/>
          <w:szCs w:val="26"/>
        </w:rPr>
        <w:t xml:space="preserve"> en cuenta la gravedad del asunto, pues la Dirección General de Notarías no ponder</w:t>
      </w:r>
      <w:r w:rsidR="00FC4AF4">
        <w:rPr>
          <w:rFonts w:ascii="Arial" w:eastAsia="Calibri" w:hAnsi="Arial" w:cs="Arial"/>
          <w:bCs/>
          <w:sz w:val="26"/>
          <w:szCs w:val="26"/>
        </w:rPr>
        <w:t>ó la falta del N</w:t>
      </w:r>
      <w:r w:rsidR="00974C0E">
        <w:rPr>
          <w:rFonts w:ascii="Arial" w:eastAsia="Calibri" w:hAnsi="Arial" w:cs="Arial"/>
          <w:bCs/>
          <w:sz w:val="26"/>
          <w:szCs w:val="26"/>
        </w:rPr>
        <w:t>otario y el daño grave realizado</w:t>
      </w:r>
      <w:r w:rsidR="0005687E">
        <w:rPr>
          <w:rFonts w:ascii="Arial" w:eastAsia="Calibri" w:hAnsi="Arial" w:cs="Arial"/>
          <w:bCs/>
          <w:sz w:val="26"/>
          <w:szCs w:val="26"/>
        </w:rPr>
        <w:t xml:space="preserve"> para imponerle esa sanción, </w:t>
      </w:r>
      <w:r w:rsidR="006A6EA1">
        <w:rPr>
          <w:rFonts w:ascii="Arial" w:eastAsia="Calibri" w:hAnsi="Arial" w:cs="Arial"/>
          <w:bCs/>
          <w:sz w:val="26"/>
          <w:szCs w:val="26"/>
        </w:rPr>
        <w:t>ya que dice</w:t>
      </w:r>
      <w:r w:rsidR="00635AE0">
        <w:rPr>
          <w:rFonts w:ascii="Arial" w:eastAsia="Calibri" w:hAnsi="Arial" w:cs="Arial"/>
          <w:bCs/>
          <w:sz w:val="26"/>
          <w:szCs w:val="26"/>
        </w:rPr>
        <w:t>,</w:t>
      </w:r>
      <w:r w:rsidR="006A6EA1">
        <w:rPr>
          <w:rFonts w:ascii="Arial" w:eastAsia="Calibri" w:hAnsi="Arial" w:cs="Arial"/>
          <w:bCs/>
          <w:sz w:val="26"/>
          <w:szCs w:val="26"/>
        </w:rPr>
        <w:t xml:space="preserve"> la misma debió de haber sido más severa en proporción a la gravedad de las afectaciones y consecuencias del actuar del Notario de acuerdo a los principios del derecho y el cumpl</w:t>
      </w:r>
      <w:r w:rsidR="00F6786C">
        <w:rPr>
          <w:rFonts w:ascii="Arial" w:eastAsia="Calibri" w:hAnsi="Arial" w:cs="Arial"/>
          <w:bCs/>
          <w:sz w:val="26"/>
          <w:szCs w:val="26"/>
        </w:rPr>
        <w:t>imiento al debido proceso, haciendo una interpretación anal</w:t>
      </w:r>
      <w:r w:rsidR="00550352">
        <w:rPr>
          <w:rFonts w:ascii="Arial" w:eastAsia="Calibri" w:hAnsi="Arial" w:cs="Arial"/>
          <w:bCs/>
          <w:sz w:val="26"/>
          <w:szCs w:val="26"/>
        </w:rPr>
        <w:t>ógica de la</w:t>
      </w:r>
      <w:r w:rsidR="00F6786C">
        <w:rPr>
          <w:rFonts w:ascii="Arial" w:eastAsia="Calibri" w:hAnsi="Arial" w:cs="Arial"/>
          <w:bCs/>
          <w:sz w:val="26"/>
          <w:szCs w:val="26"/>
        </w:rPr>
        <w:t xml:space="preserve"> siguiente tesis: </w:t>
      </w:r>
      <w:r w:rsidR="00F6786C">
        <w:rPr>
          <w:rFonts w:ascii="Arial" w:eastAsia="Calibri" w:hAnsi="Arial" w:cs="Arial"/>
          <w:b/>
          <w:bCs/>
          <w:sz w:val="24"/>
          <w:szCs w:val="24"/>
        </w:rPr>
        <w:t>“</w:t>
      </w:r>
      <w:r w:rsidR="00F6786C" w:rsidRPr="00F6786C">
        <w:rPr>
          <w:rFonts w:ascii="Arial" w:eastAsia="Calibri" w:hAnsi="Arial" w:cs="Arial"/>
          <w:b/>
          <w:bCs/>
          <w:i/>
          <w:sz w:val="24"/>
          <w:szCs w:val="24"/>
        </w:rPr>
        <w:t>PENAS. PRINCIPIO DE PROPORCIONALIDAD CONTENIDO EN EL ARTICULO 22 DE LA CONSTITUCIÓN POLÍTICA DE LOS ESTADOS UNIDOS MEXICANOS,”</w:t>
      </w:r>
      <w:r w:rsidR="00550352">
        <w:rPr>
          <w:rFonts w:ascii="Arial" w:eastAsia="Calibri" w:hAnsi="Arial" w:cs="Arial"/>
          <w:bCs/>
          <w:sz w:val="26"/>
          <w:szCs w:val="26"/>
        </w:rPr>
        <w:t xml:space="preserve">. </w:t>
      </w:r>
      <w:r w:rsidR="00FC4AF4">
        <w:rPr>
          <w:rFonts w:ascii="Arial" w:eastAsia="Calibri" w:hAnsi="Arial" w:cs="Arial"/>
          <w:bCs/>
          <w:sz w:val="26"/>
          <w:szCs w:val="26"/>
        </w:rPr>
        <w:t>La cual</w:t>
      </w:r>
      <w:r w:rsidR="00550352">
        <w:rPr>
          <w:rFonts w:ascii="Arial" w:eastAsia="Calibri" w:hAnsi="Arial" w:cs="Arial"/>
          <w:bCs/>
          <w:sz w:val="26"/>
          <w:szCs w:val="26"/>
        </w:rPr>
        <w:t xml:space="preserve"> refiere es aplicable </w:t>
      </w:r>
      <w:r w:rsidR="00FC4AF4">
        <w:rPr>
          <w:rFonts w:ascii="Arial" w:eastAsia="Calibri" w:hAnsi="Arial" w:cs="Arial"/>
          <w:bCs/>
          <w:sz w:val="26"/>
          <w:szCs w:val="26"/>
        </w:rPr>
        <w:t xml:space="preserve">a lo que alega </w:t>
      </w:r>
      <w:r w:rsidR="00550352">
        <w:rPr>
          <w:rFonts w:ascii="Arial" w:eastAsia="Calibri" w:hAnsi="Arial" w:cs="Arial"/>
          <w:bCs/>
          <w:sz w:val="26"/>
          <w:szCs w:val="26"/>
        </w:rPr>
        <w:t>y más aún cuando la Ley del Notario del Estado de Oaxaca, especifica cuáles son las sanciones y los supuestos en que se aplican, observándose que resultan aplicable el artículo 110 fra</w:t>
      </w:r>
      <w:r w:rsidR="00CF67FD">
        <w:rPr>
          <w:rFonts w:ascii="Arial" w:eastAsia="Calibri" w:hAnsi="Arial" w:cs="Arial"/>
          <w:bCs/>
          <w:sz w:val="26"/>
          <w:szCs w:val="26"/>
        </w:rPr>
        <w:t>cción II de la referida ley.</w:t>
      </w:r>
    </w:p>
    <w:p w:rsidR="00CF67FD" w:rsidRDefault="00CF67FD" w:rsidP="00CF67FD">
      <w:pPr>
        <w:pStyle w:val="Sinespaciado"/>
        <w:spacing w:line="360" w:lineRule="auto"/>
        <w:ind w:firstLine="708"/>
        <w:jc w:val="both"/>
        <w:rPr>
          <w:rFonts w:ascii="Arial" w:eastAsia="Calibri" w:hAnsi="Arial" w:cs="Arial"/>
          <w:bCs/>
          <w:sz w:val="26"/>
          <w:szCs w:val="26"/>
        </w:rPr>
      </w:pPr>
    </w:p>
    <w:p w:rsidR="00CF67FD" w:rsidRDefault="00A74E46" w:rsidP="00CF67FD">
      <w:pPr>
        <w:pStyle w:val="Sinespaciado"/>
        <w:spacing w:line="360" w:lineRule="auto"/>
        <w:ind w:firstLine="708"/>
        <w:jc w:val="both"/>
        <w:rPr>
          <w:rFonts w:ascii="Arial" w:eastAsia="Calibri" w:hAnsi="Arial" w:cs="Arial"/>
          <w:b/>
          <w:bCs/>
          <w:i/>
          <w:sz w:val="24"/>
          <w:szCs w:val="24"/>
        </w:rPr>
      </w:pPr>
      <w:r>
        <w:rPr>
          <w:rFonts w:ascii="Arial" w:eastAsia="Calibri" w:hAnsi="Arial" w:cs="Arial"/>
          <w:bCs/>
          <w:sz w:val="26"/>
          <w:szCs w:val="26"/>
        </w:rPr>
        <w:t xml:space="preserve">Manifiesta que la falta  de probidad </w:t>
      </w:r>
      <w:r w:rsidR="00931BB7">
        <w:rPr>
          <w:rFonts w:ascii="Arial" w:eastAsia="Calibri" w:hAnsi="Arial" w:cs="Arial"/>
          <w:bCs/>
          <w:sz w:val="26"/>
          <w:szCs w:val="26"/>
        </w:rPr>
        <w:t>quedó comprobada con los sesenta y nueve casos, pues sus diversas actuaciones del Notario se apartaron de las obligaciones que tenía a cargo en base a la Ley del Notario del Estado de Oaxaca</w:t>
      </w:r>
      <w:r w:rsidR="00330055">
        <w:rPr>
          <w:rFonts w:ascii="Arial" w:eastAsia="Calibri" w:hAnsi="Arial" w:cs="Arial"/>
          <w:bCs/>
          <w:sz w:val="26"/>
          <w:szCs w:val="26"/>
        </w:rPr>
        <w:t>,</w:t>
      </w:r>
      <w:r w:rsidR="00931BB7">
        <w:rPr>
          <w:rFonts w:ascii="Arial" w:eastAsia="Calibri" w:hAnsi="Arial" w:cs="Arial"/>
          <w:bCs/>
          <w:sz w:val="26"/>
          <w:szCs w:val="26"/>
        </w:rPr>
        <w:t xml:space="preserve"> y de sus obligaciones adquiridas en el contrato de prestación de servicios, pues con lo anterior dejó de hacer lo que ten</w:t>
      </w:r>
      <w:r w:rsidR="00330055">
        <w:rPr>
          <w:rFonts w:ascii="Arial" w:eastAsia="Calibri" w:hAnsi="Arial" w:cs="Arial"/>
          <w:bCs/>
          <w:sz w:val="26"/>
          <w:szCs w:val="26"/>
        </w:rPr>
        <w:t xml:space="preserve">ía encomendado, por lo que </w:t>
      </w:r>
      <w:r w:rsidR="00931BB7">
        <w:rPr>
          <w:rFonts w:ascii="Arial" w:eastAsia="Calibri" w:hAnsi="Arial" w:cs="Arial"/>
          <w:bCs/>
          <w:sz w:val="26"/>
          <w:szCs w:val="26"/>
        </w:rPr>
        <w:t xml:space="preserve">su falta de probidad tuvo como consecuencia un enorme daño patrimonial para el INFONAVIT y sesenta y nueve acreditados y sus familias, </w:t>
      </w:r>
      <w:r w:rsidR="00330055">
        <w:rPr>
          <w:rFonts w:ascii="Arial" w:eastAsia="Calibri" w:hAnsi="Arial" w:cs="Arial"/>
          <w:bCs/>
          <w:sz w:val="26"/>
          <w:szCs w:val="26"/>
        </w:rPr>
        <w:t>al</w:t>
      </w:r>
      <w:r w:rsidR="00931BB7">
        <w:rPr>
          <w:rFonts w:ascii="Arial" w:eastAsia="Calibri" w:hAnsi="Arial" w:cs="Arial"/>
          <w:bCs/>
          <w:sz w:val="26"/>
          <w:szCs w:val="26"/>
        </w:rPr>
        <w:t xml:space="preserve"> no contar estos últimos con su seguridad patrimonial</w:t>
      </w:r>
      <w:r w:rsidR="00330055">
        <w:rPr>
          <w:rFonts w:ascii="Arial" w:eastAsia="Calibri" w:hAnsi="Arial" w:cs="Arial"/>
          <w:bCs/>
          <w:sz w:val="26"/>
          <w:szCs w:val="26"/>
        </w:rPr>
        <w:t>. A</w:t>
      </w:r>
      <w:r w:rsidR="00931BB7">
        <w:rPr>
          <w:rFonts w:ascii="Arial" w:eastAsia="Calibri" w:hAnsi="Arial" w:cs="Arial"/>
          <w:bCs/>
          <w:sz w:val="26"/>
          <w:szCs w:val="26"/>
        </w:rPr>
        <w:t xml:space="preserve">simismo señala que no obstante su actuar, </w:t>
      </w:r>
      <w:r w:rsidR="00FE7CA3">
        <w:rPr>
          <w:rFonts w:ascii="Arial" w:eastAsia="Calibri" w:hAnsi="Arial" w:cs="Arial"/>
          <w:bCs/>
          <w:sz w:val="26"/>
          <w:szCs w:val="26"/>
        </w:rPr>
        <w:t xml:space="preserve">el Notario Público </w:t>
      </w:r>
      <w:r w:rsidR="00931BB7">
        <w:rPr>
          <w:rFonts w:ascii="Arial" w:eastAsia="Calibri" w:hAnsi="Arial" w:cs="Arial"/>
          <w:bCs/>
          <w:sz w:val="26"/>
          <w:szCs w:val="26"/>
        </w:rPr>
        <w:t>obtuvo un lucro indebido</w:t>
      </w:r>
      <w:r w:rsidR="00FE7CA3">
        <w:rPr>
          <w:rFonts w:ascii="Arial" w:eastAsia="Calibri" w:hAnsi="Arial" w:cs="Arial"/>
          <w:bCs/>
          <w:sz w:val="26"/>
          <w:szCs w:val="26"/>
        </w:rPr>
        <w:t xml:space="preserve">, </w:t>
      </w:r>
      <w:r w:rsidR="00931BB7">
        <w:rPr>
          <w:rFonts w:ascii="Arial" w:eastAsia="Calibri" w:hAnsi="Arial" w:cs="Arial"/>
          <w:bCs/>
          <w:sz w:val="26"/>
          <w:szCs w:val="26"/>
        </w:rPr>
        <w:t xml:space="preserve">al haber retenido las cantidades que le fueron entregadas por concepto de pago de derechos e impuestos, lo cual va en contra de los principios rectores de </w:t>
      </w:r>
      <w:r w:rsidR="00931BB7">
        <w:rPr>
          <w:rFonts w:ascii="Arial" w:eastAsia="Calibri" w:hAnsi="Arial" w:cs="Arial"/>
          <w:bCs/>
          <w:sz w:val="26"/>
          <w:szCs w:val="26"/>
        </w:rPr>
        <w:lastRenderedPageBreak/>
        <w:t>la ética profesional</w:t>
      </w:r>
      <w:r w:rsidR="00FE7CA3">
        <w:rPr>
          <w:rFonts w:ascii="Arial" w:eastAsia="Calibri" w:hAnsi="Arial" w:cs="Arial"/>
          <w:bCs/>
          <w:sz w:val="26"/>
          <w:szCs w:val="26"/>
        </w:rPr>
        <w:t xml:space="preserve"> y pudiere encuadrarse en delitos penales y responsabilidades civil por lo que resulte aplicable, cita la tesis jurisprudencial: </w:t>
      </w:r>
      <w:r w:rsidR="00FE7CA3">
        <w:rPr>
          <w:rFonts w:ascii="Arial" w:eastAsia="Calibri" w:hAnsi="Arial" w:cs="Arial"/>
          <w:b/>
          <w:bCs/>
          <w:i/>
          <w:sz w:val="24"/>
          <w:szCs w:val="24"/>
        </w:rPr>
        <w:t>“</w:t>
      </w:r>
      <w:r w:rsidR="00F23BC8">
        <w:rPr>
          <w:rFonts w:ascii="Arial" w:eastAsia="Calibri" w:hAnsi="Arial" w:cs="Arial"/>
          <w:b/>
          <w:bCs/>
          <w:i/>
          <w:sz w:val="24"/>
          <w:szCs w:val="24"/>
        </w:rPr>
        <w:t>PROBIDAD Y HONRADEZ FALT</w:t>
      </w:r>
      <w:r w:rsidR="00CF67FD">
        <w:rPr>
          <w:rFonts w:ascii="Arial" w:eastAsia="Calibri" w:hAnsi="Arial" w:cs="Arial"/>
          <w:b/>
          <w:bCs/>
          <w:i/>
          <w:sz w:val="24"/>
          <w:szCs w:val="24"/>
        </w:rPr>
        <w:t>A DE CONCEPTO”.</w:t>
      </w:r>
    </w:p>
    <w:p w:rsidR="00CF67FD" w:rsidRDefault="00CB4A55" w:rsidP="00CF67FD">
      <w:pPr>
        <w:pStyle w:val="Sinespaciado"/>
        <w:spacing w:line="360" w:lineRule="auto"/>
        <w:ind w:firstLine="708"/>
        <w:jc w:val="both"/>
        <w:rPr>
          <w:rFonts w:ascii="Arial" w:eastAsia="Calibri" w:hAnsi="Arial" w:cs="Arial"/>
          <w:bCs/>
          <w:sz w:val="26"/>
          <w:szCs w:val="26"/>
        </w:rPr>
      </w:pPr>
      <w:r>
        <w:rPr>
          <w:rFonts w:ascii="Arial" w:eastAsia="Calibri" w:hAnsi="Arial" w:cs="Arial"/>
          <w:bCs/>
          <w:sz w:val="26"/>
          <w:szCs w:val="26"/>
        </w:rPr>
        <w:t>Declara</w:t>
      </w:r>
      <w:r w:rsidR="008444F0" w:rsidRPr="008444F0">
        <w:rPr>
          <w:rFonts w:ascii="Arial" w:eastAsia="Calibri" w:hAnsi="Arial" w:cs="Arial"/>
          <w:bCs/>
          <w:sz w:val="26"/>
          <w:szCs w:val="26"/>
        </w:rPr>
        <w:t xml:space="preserve"> qu</w:t>
      </w:r>
      <w:r w:rsidR="005F2186" w:rsidRPr="008444F0">
        <w:rPr>
          <w:rFonts w:ascii="Arial" w:eastAsia="Calibri" w:hAnsi="Arial" w:cs="Arial"/>
          <w:bCs/>
          <w:sz w:val="26"/>
          <w:szCs w:val="26"/>
        </w:rPr>
        <w:t>e</w:t>
      </w:r>
      <w:r w:rsidR="005F2186">
        <w:rPr>
          <w:rFonts w:ascii="Arial" w:eastAsia="Calibri" w:hAnsi="Arial" w:cs="Arial"/>
          <w:bCs/>
          <w:sz w:val="26"/>
          <w:szCs w:val="26"/>
        </w:rPr>
        <w:t xml:space="preserve"> se probó la negligencia del Notario</w:t>
      </w:r>
      <w:r w:rsidR="008444F0">
        <w:rPr>
          <w:rFonts w:ascii="Arial" w:eastAsia="Calibri" w:hAnsi="Arial" w:cs="Arial"/>
          <w:bCs/>
          <w:sz w:val="26"/>
          <w:szCs w:val="26"/>
        </w:rPr>
        <w:t>,</w:t>
      </w:r>
      <w:r w:rsidR="005F2186">
        <w:rPr>
          <w:rFonts w:ascii="Arial" w:eastAsia="Calibri" w:hAnsi="Arial" w:cs="Arial"/>
          <w:bCs/>
          <w:sz w:val="26"/>
          <w:szCs w:val="26"/>
        </w:rPr>
        <w:t xml:space="preserve"> al no dar aviso a las partes de dichos instrumentos</w:t>
      </w:r>
      <w:r w:rsidR="008444F0">
        <w:rPr>
          <w:rFonts w:ascii="Arial" w:eastAsia="Calibri" w:hAnsi="Arial" w:cs="Arial"/>
          <w:bCs/>
          <w:sz w:val="26"/>
          <w:szCs w:val="26"/>
        </w:rPr>
        <w:t xml:space="preserve"> por lo que</w:t>
      </w:r>
      <w:r w:rsidR="005F2186">
        <w:rPr>
          <w:rFonts w:ascii="Arial" w:eastAsia="Calibri" w:hAnsi="Arial" w:cs="Arial"/>
          <w:bCs/>
          <w:sz w:val="26"/>
          <w:szCs w:val="26"/>
        </w:rPr>
        <w:t xml:space="preserve"> incumpli</w:t>
      </w:r>
      <w:r w:rsidR="008444F0">
        <w:rPr>
          <w:rFonts w:ascii="Arial" w:eastAsia="Calibri" w:hAnsi="Arial" w:cs="Arial"/>
          <w:bCs/>
          <w:sz w:val="26"/>
          <w:szCs w:val="26"/>
        </w:rPr>
        <w:t>ó</w:t>
      </w:r>
      <w:r w:rsidR="005F2186">
        <w:rPr>
          <w:rFonts w:ascii="Arial" w:eastAsia="Calibri" w:hAnsi="Arial" w:cs="Arial"/>
          <w:bCs/>
          <w:sz w:val="26"/>
          <w:szCs w:val="26"/>
        </w:rPr>
        <w:t xml:space="preserve"> con lo dispuesto por el artículo 71 de la Ley del Notario del Estado de Oaxaca; de igual forma, refiere que el Notario Público actúo imprudentemente, pues a sabiendas de que no fue posible la inscripci</w:t>
      </w:r>
      <w:r w:rsidR="0006100C">
        <w:rPr>
          <w:rFonts w:ascii="Arial" w:eastAsia="Calibri" w:hAnsi="Arial" w:cs="Arial"/>
          <w:bCs/>
          <w:sz w:val="26"/>
          <w:szCs w:val="26"/>
        </w:rPr>
        <w:t xml:space="preserve">ón, </w:t>
      </w:r>
      <w:r w:rsidR="008444F0">
        <w:rPr>
          <w:rFonts w:ascii="Arial" w:eastAsia="Calibri" w:hAnsi="Arial" w:cs="Arial"/>
          <w:bCs/>
          <w:sz w:val="26"/>
          <w:szCs w:val="26"/>
        </w:rPr>
        <w:t xml:space="preserve">no informó que </w:t>
      </w:r>
      <w:r w:rsidR="0006100C">
        <w:rPr>
          <w:rFonts w:ascii="Arial" w:eastAsia="Calibri" w:hAnsi="Arial" w:cs="Arial"/>
          <w:bCs/>
          <w:sz w:val="26"/>
          <w:szCs w:val="26"/>
        </w:rPr>
        <w:t>ese procedimiento se encuentra pendiente por las razones que fueren, ocasion</w:t>
      </w:r>
      <w:r w:rsidR="008444F0">
        <w:rPr>
          <w:rFonts w:ascii="Arial" w:eastAsia="Calibri" w:hAnsi="Arial" w:cs="Arial"/>
          <w:bCs/>
          <w:sz w:val="26"/>
          <w:szCs w:val="26"/>
        </w:rPr>
        <w:t>ando</w:t>
      </w:r>
      <w:r w:rsidR="0006100C">
        <w:rPr>
          <w:rFonts w:ascii="Arial" w:eastAsia="Calibri" w:hAnsi="Arial" w:cs="Arial"/>
          <w:bCs/>
          <w:sz w:val="26"/>
          <w:szCs w:val="26"/>
        </w:rPr>
        <w:t xml:space="preserve"> un grave daño a los contratantes de sus servicios, pues la falta de inscripción en el Registro Público, no surte efectos contra </w:t>
      </w:r>
      <w:r w:rsidR="00F23BC8">
        <w:rPr>
          <w:rFonts w:ascii="Arial" w:eastAsia="Calibri" w:hAnsi="Arial" w:cs="Arial"/>
          <w:bCs/>
          <w:sz w:val="26"/>
          <w:szCs w:val="26"/>
        </w:rPr>
        <w:t>terceros</w:t>
      </w:r>
      <w:r w:rsidR="0006100C">
        <w:rPr>
          <w:rFonts w:ascii="Arial" w:eastAsia="Calibri" w:hAnsi="Arial" w:cs="Arial"/>
          <w:bCs/>
          <w:sz w:val="26"/>
          <w:szCs w:val="26"/>
        </w:rPr>
        <w:t xml:space="preserve"> y deja gravemente vulnerables los derechos patrimoniales del INFONAVIT y sesenta y nueve </w:t>
      </w:r>
      <w:r w:rsidR="00F23BC8">
        <w:rPr>
          <w:rFonts w:ascii="Arial" w:eastAsia="Calibri" w:hAnsi="Arial" w:cs="Arial"/>
          <w:bCs/>
          <w:sz w:val="26"/>
          <w:szCs w:val="26"/>
        </w:rPr>
        <w:t>acreditados</w:t>
      </w:r>
      <w:r w:rsidR="0006100C">
        <w:rPr>
          <w:rFonts w:ascii="Arial" w:eastAsia="Calibri" w:hAnsi="Arial" w:cs="Arial"/>
          <w:bCs/>
          <w:sz w:val="26"/>
          <w:szCs w:val="26"/>
        </w:rPr>
        <w:t xml:space="preserve"> y sus familias</w:t>
      </w:r>
      <w:r w:rsidR="00F63301">
        <w:rPr>
          <w:rFonts w:ascii="Arial" w:eastAsia="Calibri" w:hAnsi="Arial" w:cs="Arial"/>
          <w:bCs/>
          <w:sz w:val="26"/>
          <w:szCs w:val="26"/>
        </w:rPr>
        <w:t xml:space="preserve">; </w:t>
      </w:r>
      <w:r w:rsidR="002E5D9C">
        <w:rPr>
          <w:rFonts w:ascii="Arial" w:eastAsia="Calibri" w:hAnsi="Arial" w:cs="Arial"/>
          <w:bCs/>
          <w:sz w:val="26"/>
          <w:szCs w:val="26"/>
        </w:rPr>
        <w:t>sin embargo</w:t>
      </w:r>
      <w:r w:rsidR="00F63301">
        <w:rPr>
          <w:rFonts w:ascii="Arial" w:eastAsia="Calibri" w:hAnsi="Arial" w:cs="Arial"/>
          <w:bCs/>
          <w:sz w:val="26"/>
          <w:szCs w:val="26"/>
        </w:rPr>
        <w:t xml:space="preserve">, dice </w:t>
      </w:r>
      <w:r w:rsidR="002E5D9C">
        <w:rPr>
          <w:rFonts w:ascii="Arial" w:eastAsia="Calibri" w:hAnsi="Arial" w:cs="Arial"/>
          <w:bCs/>
          <w:sz w:val="26"/>
          <w:szCs w:val="26"/>
        </w:rPr>
        <w:t>que al momento de revolver, la juzgadora no valor</w:t>
      </w:r>
      <w:r w:rsidR="00FF664C">
        <w:rPr>
          <w:rFonts w:ascii="Arial" w:eastAsia="Calibri" w:hAnsi="Arial" w:cs="Arial"/>
          <w:bCs/>
          <w:sz w:val="26"/>
          <w:szCs w:val="26"/>
        </w:rPr>
        <w:t>ó todo lo anterior conforme lo establece el artículo 134 de la Ley de Notario del Estado de Oaxaca</w:t>
      </w:r>
      <w:r w:rsidR="001A4D3C">
        <w:rPr>
          <w:rFonts w:ascii="Arial" w:eastAsia="Calibri" w:hAnsi="Arial" w:cs="Arial"/>
          <w:bCs/>
          <w:sz w:val="26"/>
          <w:szCs w:val="26"/>
        </w:rPr>
        <w:t xml:space="preserve">, </w:t>
      </w:r>
      <w:r w:rsidR="00A31782">
        <w:rPr>
          <w:rFonts w:ascii="Arial" w:eastAsia="Calibri" w:hAnsi="Arial" w:cs="Arial"/>
          <w:bCs/>
          <w:sz w:val="26"/>
          <w:szCs w:val="26"/>
        </w:rPr>
        <w:t xml:space="preserve">Por otra parte, </w:t>
      </w:r>
      <w:r w:rsidR="005604B9">
        <w:rPr>
          <w:rFonts w:ascii="Arial" w:eastAsia="Calibri" w:hAnsi="Arial" w:cs="Arial"/>
          <w:bCs/>
          <w:sz w:val="26"/>
          <w:szCs w:val="26"/>
        </w:rPr>
        <w:t xml:space="preserve">señala que </w:t>
      </w:r>
      <w:r w:rsidR="00D0607B">
        <w:rPr>
          <w:rFonts w:ascii="Arial" w:eastAsia="Calibri" w:hAnsi="Arial" w:cs="Arial"/>
          <w:bCs/>
          <w:sz w:val="26"/>
          <w:szCs w:val="26"/>
        </w:rPr>
        <w:t>se</w:t>
      </w:r>
      <w:r w:rsidR="005604B9">
        <w:rPr>
          <w:rFonts w:ascii="Arial" w:eastAsia="Calibri" w:hAnsi="Arial" w:cs="Arial"/>
          <w:bCs/>
          <w:sz w:val="26"/>
          <w:szCs w:val="26"/>
        </w:rPr>
        <w:t xml:space="preserve"> hizo del conocimiento de la gravedad de la</w:t>
      </w:r>
      <w:r w:rsidR="00D0607B">
        <w:rPr>
          <w:rFonts w:ascii="Arial" w:eastAsia="Calibri" w:hAnsi="Arial" w:cs="Arial"/>
          <w:bCs/>
          <w:sz w:val="26"/>
          <w:szCs w:val="26"/>
        </w:rPr>
        <w:t xml:space="preserve">s acciones del </w:t>
      </w:r>
      <w:r w:rsidR="005604B9">
        <w:rPr>
          <w:rFonts w:ascii="Arial" w:eastAsia="Calibri" w:hAnsi="Arial" w:cs="Arial"/>
          <w:bCs/>
          <w:sz w:val="26"/>
          <w:szCs w:val="26"/>
        </w:rPr>
        <w:t xml:space="preserve"> Notario P</w:t>
      </w:r>
      <w:r w:rsidR="00D0607B">
        <w:rPr>
          <w:rFonts w:ascii="Arial" w:eastAsia="Calibri" w:hAnsi="Arial" w:cs="Arial"/>
          <w:bCs/>
          <w:sz w:val="26"/>
          <w:szCs w:val="26"/>
        </w:rPr>
        <w:t>úblico y la falta de probidad, y se expuso que el Acta de Visita Especial de fecha seis de febrero de dos mil quince, no fue valorada correctamente</w:t>
      </w:r>
      <w:r w:rsidR="00D265E0">
        <w:rPr>
          <w:rFonts w:ascii="Arial" w:eastAsia="Calibri" w:hAnsi="Arial" w:cs="Arial"/>
          <w:bCs/>
          <w:sz w:val="26"/>
          <w:szCs w:val="26"/>
        </w:rPr>
        <w:t>,</w:t>
      </w:r>
      <w:r w:rsidR="00BF6989">
        <w:rPr>
          <w:rFonts w:ascii="Arial" w:eastAsia="Calibri" w:hAnsi="Arial" w:cs="Arial"/>
          <w:bCs/>
          <w:sz w:val="26"/>
          <w:szCs w:val="26"/>
        </w:rPr>
        <w:t xml:space="preserve"> ya que no se concatenó con la Litis, </w:t>
      </w:r>
      <w:r w:rsidR="00924B74">
        <w:rPr>
          <w:rFonts w:ascii="Arial" w:eastAsia="Calibri" w:hAnsi="Arial" w:cs="Arial"/>
          <w:bCs/>
          <w:sz w:val="26"/>
          <w:szCs w:val="26"/>
        </w:rPr>
        <w:t>pues</w:t>
      </w:r>
      <w:r w:rsidR="00BF6989">
        <w:rPr>
          <w:rFonts w:ascii="Arial" w:eastAsia="Calibri" w:hAnsi="Arial" w:cs="Arial"/>
          <w:bCs/>
          <w:sz w:val="26"/>
          <w:szCs w:val="26"/>
        </w:rPr>
        <w:t xml:space="preserve"> en dicha acta se determinó que en sesenta y nueve instrumentos, no existía la firma del Notario Público 89 en el Estado, el sello de autorizar de la Notaría, y la firma del representante legal de la Institución Fiduciaria</w:t>
      </w:r>
      <w:r w:rsidR="00924B74">
        <w:rPr>
          <w:rFonts w:ascii="Arial" w:eastAsia="Calibri" w:hAnsi="Arial" w:cs="Arial"/>
          <w:bCs/>
          <w:sz w:val="26"/>
          <w:szCs w:val="26"/>
        </w:rPr>
        <w:t xml:space="preserve">, tampoco el Notario </w:t>
      </w:r>
      <w:r w:rsidR="00135476">
        <w:rPr>
          <w:rFonts w:ascii="Arial" w:eastAsia="Calibri" w:hAnsi="Arial" w:cs="Arial"/>
          <w:bCs/>
          <w:sz w:val="26"/>
          <w:szCs w:val="26"/>
        </w:rPr>
        <w:t xml:space="preserve">uso la leyenda “NO PASO”, como lo obliga el artículo 71 de la Ley del </w:t>
      </w:r>
      <w:r w:rsidR="00924B74">
        <w:rPr>
          <w:rFonts w:ascii="Arial" w:eastAsia="Calibri" w:hAnsi="Arial" w:cs="Arial"/>
          <w:bCs/>
          <w:sz w:val="26"/>
          <w:szCs w:val="26"/>
        </w:rPr>
        <w:t>Notario para el Estado de Oaxaca, o dar aviso a las partes, más aún al haber recibió la cantidad de $957,288.00 (novecientos cincuenta y siete mil doscientos ochenta y ocho pesos 00/100 m</w:t>
      </w:r>
      <w:r w:rsidR="00B716E9">
        <w:rPr>
          <w:rFonts w:ascii="Arial" w:eastAsia="Calibri" w:hAnsi="Arial" w:cs="Arial"/>
          <w:bCs/>
          <w:sz w:val="26"/>
          <w:szCs w:val="26"/>
        </w:rPr>
        <w:t>.</w:t>
      </w:r>
      <w:r w:rsidR="00924B74">
        <w:rPr>
          <w:rFonts w:ascii="Arial" w:eastAsia="Calibri" w:hAnsi="Arial" w:cs="Arial"/>
          <w:bCs/>
          <w:sz w:val="26"/>
          <w:szCs w:val="26"/>
        </w:rPr>
        <w:t xml:space="preserve">n.), por concepto de pago de impuestos y derechos. </w:t>
      </w:r>
    </w:p>
    <w:p w:rsidR="00D92B1A" w:rsidRDefault="00D9196B" w:rsidP="00CF67FD">
      <w:pPr>
        <w:pStyle w:val="Sinespaciado"/>
        <w:spacing w:line="360" w:lineRule="auto"/>
        <w:ind w:firstLine="708"/>
        <w:jc w:val="both"/>
        <w:rPr>
          <w:rFonts w:ascii="Arial" w:eastAsia="Calibri" w:hAnsi="Arial" w:cs="Arial"/>
          <w:bCs/>
          <w:sz w:val="26"/>
          <w:szCs w:val="26"/>
        </w:rPr>
      </w:pPr>
      <w:r>
        <w:rPr>
          <w:rFonts w:ascii="Arial" w:eastAsia="Calibri" w:hAnsi="Arial" w:cs="Arial"/>
          <w:bCs/>
          <w:sz w:val="26"/>
          <w:szCs w:val="26"/>
        </w:rPr>
        <w:t>E</w:t>
      </w:r>
      <w:r w:rsidR="00AE43D7">
        <w:rPr>
          <w:rFonts w:ascii="Arial" w:eastAsia="Calibri" w:hAnsi="Arial" w:cs="Arial"/>
          <w:bCs/>
          <w:sz w:val="26"/>
          <w:szCs w:val="26"/>
        </w:rPr>
        <w:t xml:space="preserve">xpresa </w:t>
      </w:r>
      <w:r w:rsidR="002763AB">
        <w:rPr>
          <w:rFonts w:ascii="Arial" w:eastAsia="Calibri" w:hAnsi="Arial" w:cs="Arial"/>
          <w:bCs/>
          <w:sz w:val="26"/>
          <w:szCs w:val="26"/>
        </w:rPr>
        <w:t xml:space="preserve">que en la resolución impugnada no se hizo la valoración ni se tomó  en cuenta al resolver, las copias certificadas por el fedatario público del Estado, </w:t>
      </w:r>
      <w:r>
        <w:rPr>
          <w:rFonts w:ascii="Arial" w:eastAsia="Calibri" w:hAnsi="Arial" w:cs="Arial"/>
          <w:bCs/>
          <w:sz w:val="26"/>
          <w:szCs w:val="26"/>
        </w:rPr>
        <w:t xml:space="preserve">respecto </w:t>
      </w:r>
      <w:r w:rsidR="002763AB">
        <w:rPr>
          <w:rFonts w:ascii="Arial" w:eastAsia="Calibri" w:hAnsi="Arial" w:cs="Arial"/>
          <w:bCs/>
          <w:sz w:val="26"/>
          <w:szCs w:val="26"/>
        </w:rPr>
        <w:t>de las pantallas electrónicas de los sistemas institucionales en los que obran y se detallan los depósitos realizados por cada uno de los sesenta y nueve créditos, no formalizados ni inscritos en el Registro Público de la Propiedad por parte del Notario Público 89, por los conceptos de derechos e impuestos calculados y solicitados a dicho Notario</w:t>
      </w:r>
      <w:r w:rsidR="002F4AD6">
        <w:rPr>
          <w:rFonts w:ascii="Arial" w:eastAsia="Calibri" w:hAnsi="Arial" w:cs="Arial"/>
          <w:bCs/>
          <w:sz w:val="26"/>
          <w:szCs w:val="26"/>
        </w:rPr>
        <w:t>, por lo que sus</w:t>
      </w:r>
      <w:r w:rsidR="00064356">
        <w:rPr>
          <w:rFonts w:ascii="Arial" w:eastAsia="Calibri" w:hAnsi="Arial" w:cs="Arial"/>
          <w:bCs/>
          <w:sz w:val="26"/>
          <w:szCs w:val="26"/>
        </w:rPr>
        <w:t xml:space="preserve"> prácticas </w:t>
      </w:r>
      <w:r w:rsidR="003606BB">
        <w:rPr>
          <w:rFonts w:ascii="Arial" w:eastAsia="Calibri" w:hAnsi="Arial" w:cs="Arial"/>
          <w:bCs/>
          <w:sz w:val="26"/>
          <w:szCs w:val="26"/>
        </w:rPr>
        <w:t xml:space="preserve">fueron efectuadas con desapego a la ley y le permitieron obtener ganancia ilícitas, </w:t>
      </w:r>
      <w:r w:rsidR="002B16F5">
        <w:rPr>
          <w:rFonts w:ascii="Arial" w:eastAsia="Calibri" w:hAnsi="Arial" w:cs="Arial"/>
          <w:bCs/>
          <w:sz w:val="26"/>
          <w:szCs w:val="26"/>
        </w:rPr>
        <w:t>pues</w:t>
      </w:r>
      <w:r w:rsidR="003731F7">
        <w:rPr>
          <w:rFonts w:ascii="Arial" w:eastAsia="Calibri" w:hAnsi="Arial" w:cs="Arial"/>
          <w:bCs/>
          <w:sz w:val="26"/>
          <w:szCs w:val="26"/>
        </w:rPr>
        <w:t xml:space="preserve"> no</w:t>
      </w:r>
      <w:r w:rsidR="002B16F5">
        <w:rPr>
          <w:rFonts w:ascii="Arial" w:eastAsia="Calibri" w:hAnsi="Arial" w:cs="Arial"/>
          <w:bCs/>
          <w:sz w:val="26"/>
          <w:szCs w:val="26"/>
        </w:rPr>
        <w:t xml:space="preserve"> debió de conservar en depósito </w:t>
      </w:r>
      <w:r w:rsidR="002B16F5">
        <w:rPr>
          <w:rFonts w:ascii="Arial" w:eastAsia="Calibri" w:hAnsi="Arial" w:cs="Arial"/>
          <w:bCs/>
          <w:sz w:val="26"/>
          <w:szCs w:val="26"/>
        </w:rPr>
        <w:lastRenderedPageBreak/>
        <w:t xml:space="preserve">sumas de dinero con motivo de los actos en que intervenga, de manera que al notarse impedido para autorizar las escrituras, debió devolver al INFONAVIT, las cantidades erogadas </w:t>
      </w:r>
      <w:r>
        <w:rPr>
          <w:rFonts w:ascii="Arial" w:eastAsia="Calibri" w:hAnsi="Arial" w:cs="Arial"/>
          <w:bCs/>
          <w:sz w:val="26"/>
          <w:szCs w:val="26"/>
        </w:rPr>
        <w:t>para</w:t>
      </w:r>
      <w:r w:rsidR="002B16F5">
        <w:rPr>
          <w:rFonts w:ascii="Arial" w:eastAsia="Calibri" w:hAnsi="Arial" w:cs="Arial"/>
          <w:bCs/>
          <w:sz w:val="26"/>
          <w:szCs w:val="26"/>
        </w:rPr>
        <w:t xml:space="preserve"> el pago de impuestos y derechos que no se realizaron,</w:t>
      </w:r>
      <w:r>
        <w:rPr>
          <w:rFonts w:ascii="Arial" w:eastAsia="Calibri" w:hAnsi="Arial" w:cs="Arial"/>
          <w:bCs/>
          <w:sz w:val="26"/>
          <w:szCs w:val="26"/>
        </w:rPr>
        <w:t xml:space="preserve"> con lo cual dice, quedó probada la negligencia, falta de probidad e incluso el delito de fraude.</w:t>
      </w:r>
    </w:p>
    <w:p w:rsidR="00D92B1A" w:rsidRDefault="00D92B1A" w:rsidP="00CF67FD">
      <w:pPr>
        <w:pStyle w:val="Sinespaciado"/>
        <w:spacing w:line="360" w:lineRule="auto"/>
        <w:ind w:firstLine="708"/>
        <w:jc w:val="both"/>
        <w:rPr>
          <w:rFonts w:ascii="Arial" w:eastAsia="Calibri" w:hAnsi="Arial" w:cs="Arial"/>
          <w:bCs/>
          <w:sz w:val="26"/>
          <w:szCs w:val="26"/>
        </w:rPr>
      </w:pPr>
    </w:p>
    <w:p w:rsidR="00D320A8" w:rsidRDefault="005E7E5D" w:rsidP="00CF67FD">
      <w:pPr>
        <w:pStyle w:val="Sinespaciado"/>
        <w:spacing w:line="360" w:lineRule="auto"/>
        <w:ind w:firstLine="708"/>
        <w:jc w:val="both"/>
        <w:rPr>
          <w:rFonts w:ascii="Arial" w:eastAsia="Calibri" w:hAnsi="Arial" w:cs="Arial"/>
          <w:bCs/>
          <w:sz w:val="26"/>
          <w:szCs w:val="26"/>
        </w:rPr>
      </w:pPr>
      <w:r>
        <w:rPr>
          <w:rFonts w:ascii="Arial" w:eastAsia="Calibri" w:hAnsi="Arial" w:cs="Arial"/>
          <w:bCs/>
          <w:sz w:val="26"/>
          <w:szCs w:val="26"/>
        </w:rPr>
        <w:t>Por último manifiesta en sus agra</w:t>
      </w:r>
      <w:r w:rsidR="00C412B4">
        <w:rPr>
          <w:rFonts w:ascii="Arial" w:eastAsia="Calibri" w:hAnsi="Arial" w:cs="Arial"/>
          <w:bCs/>
          <w:sz w:val="26"/>
          <w:szCs w:val="26"/>
        </w:rPr>
        <w:t>vio</w:t>
      </w:r>
      <w:r>
        <w:rPr>
          <w:rFonts w:ascii="Arial" w:eastAsia="Calibri" w:hAnsi="Arial" w:cs="Arial"/>
          <w:bCs/>
          <w:sz w:val="26"/>
          <w:szCs w:val="26"/>
        </w:rPr>
        <w:t>s</w:t>
      </w:r>
      <w:r w:rsidR="00C412B4">
        <w:rPr>
          <w:rFonts w:ascii="Arial" w:eastAsia="Calibri" w:hAnsi="Arial" w:cs="Arial"/>
          <w:bCs/>
          <w:sz w:val="26"/>
          <w:szCs w:val="26"/>
        </w:rPr>
        <w:t xml:space="preserve"> </w:t>
      </w:r>
      <w:r w:rsidR="00C412B4" w:rsidRPr="00C412B4">
        <w:rPr>
          <w:rFonts w:ascii="Arial" w:eastAsia="Calibri" w:hAnsi="Arial" w:cs="Arial"/>
          <w:b/>
          <w:bCs/>
          <w:sz w:val="26"/>
          <w:szCs w:val="26"/>
        </w:rPr>
        <w:t>tercero</w:t>
      </w:r>
      <w:r>
        <w:rPr>
          <w:rFonts w:ascii="Arial" w:eastAsia="Calibri" w:hAnsi="Arial" w:cs="Arial"/>
          <w:b/>
          <w:bCs/>
          <w:sz w:val="26"/>
          <w:szCs w:val="26"/>
        </w:rPr>
        <w:t xml:space="preserve"> y cuarto </w:t>
      </w:r>
      <w:r>
        <w:rPr>
          <w:rFonts w:ascii="Arial" w:eastAsia="Calibri" w:hAnsi="Arial" w:cs="Arial"/>
          <w:bCs/>
          <w:sz w:val="26"/>
          <w:szCs w:val="26"/>
        </w:rPr>
        <w:t xml:space="preserve">que </w:t>
      </w:r>
      <w:r w:rsidR="004C22A6">
        <w:rPr>
          <w:rFonts w:ascii="Arial" w:eastAsia="Calibri" w:hAnsi="Arial" w:cs="Arial"/>
          <w:bCs/>
          <w:sz w:val="26"/>
          <w:szCs w:val="26"/>
        </w:rPr>
        <w:t>le causa perjuicio el párrafo d</w:t>
      </w:r>
      <w:r w:rsidR="00460913">
        <w:rPr>
          <w:rFonts w:ascii="Arial" w:eastAsia="Calibri" w:hAnsi="Arial" w:cs="Arial"/>
          <w:bCs/>
          <w:sz w:val="26"/>
          <w:szCs w:val="26"/>
        </w:rPr>
        <w:t xml:space="preserve">oce del considerando SEXTO, así como los resolutivos de la resolución recurrida, </w:t>
      </w:r>
      <w:r w:rsidR="004C22A6">
        <w:rPr>
          <w:rFonts w:ascii="Arial" w:eastAsia="Calibri" w:hAnsi="Arial" w:cs="Arial"/>
          <w:bCs/>
          <w:sz w:val="26"/>
          <w:szCs w:val="26"/>
        </w:rPr>
        <w:t>ya que al declarar la validez de la resolución que se impugnó mediante juicio de nulidad, se está convalidando que la Ley del Notario a cumplir</w:t>
      </w:r>
      <w:r w:rsidR="00460913">
        <w:rPr>
          <w:rFonts w:ascii="Arial" w:eastAsia="Calibri" w:hAnsi="Arial" w:cs="Arial"/>
          <w:bCs/>
          <w:sz w:val="26"/>
          <w:szCs w:val="26"/>
        </w:rPr>
        <w:t>,</w:t>
      </w:r>
      <w:r w:rsidR="004C22A6">
        <w:rPr>
          <w:rFonts w:ascii="Arial" w:eastAsia="Calibri" w:hAnsi="Arial" w:cs="Arial"/>
          <w:bCs/>
          <w:sz w:val="26"/>
          <w:szCs w:val="26"/>
        </w:rPr>
        <w:t xml:space="preserve"> no es una obligación para el Notario sino una opción, por lo que indica que el análisis que hace el Magistrado de Primera Instancia es vaga, máxime que avala a una autoridad como la Dirección de Notarías, al confirmar las irregularidades que se expusieron en el juicio de nulidad, principalmente que la sanción impuesta no es proporcional a la falta y que </w:t>
      </w:r>
      <w:r w:rsidR="00D73FFB">
        <w:rPr>
          <w:rFonts w:ascii="Arial" w:eastAsia="Calibri" w:hAnsi="Arial" w:cs="Arial"/>
          <w:bCs/>
          <w:sz w:val="26"/>
          <w:szCs w:val="26"/>
        </w:rPr>
        <w:t>está</w:t>
      </w:r>
      <w:r w:rsidR="004C22A6">
        <w:rPr>
          <w:rFonts w:ascii="Arial" w:eastAsia="Calibri" w:hAnsi="Arial" w:cs="Arial"/>
          <w:bCs/>
          <w:sz w:val="26"/>
          <w:szCs w:val="26"/>
        </w:rPr>
        <w:t xml:space="preserve"> totalmente fuera de la realidad jurídica, derivado de la falta de ponderación de los hechos expuestos.</w:t>
      </w:r>
      <w:r>
        <w:rPr>
          <w:rFonts w:ascii="Arial" w:eastAsia="Calibri" w:hAnsi="Arial" w:cs="Arial"/>
          <w:bCs/>
          <w:sz w:val="26"/>
          <w:szCs w:val="26"/>
        </w:rPr>
        <w:t xml:space="preserve"> Asimismo, le causa perjuicio </w:t>
      </w:r>
      <w:r w:rsidR="004C22A6">
        <w:rPr>
          <w:rFonts w:ascii="Arial" w:eastAsia="Calibri" w:hAnsi="Arial" w:cs="Arial"/>
          <w:bCs/>
          <w:sz w:val="26"/>
          <w:szCs w:val="26"/>
        </w:rPr>
        <w:t xml:space="preserve">los resolutivos de la resolución recurrida, </w:t>
      </w:r>
      <w:r>
        <w:rPr>
          <w:rFonts w:ascii="Arial" w:eastAsia="Calibri" w:hAnsi="Arial" w:cs="Arial"/>
          <w:bCs/>
          <w:sz w:val="26"/>
          <w:szCs w:val="26"/>
        </w:rPr>
        <w:t>porque convalidad las irregularidades tanto del Notario Público como de la Dirección de Notarías, porque</w:t>
      </w:r>
      <w:r w:rsidR="00D92B1A">
        <w:rPr>
          <w:rFonts w:ascii="Arial" w:eastAsia="Calibri" w:hAnsi="Arial" w:cs="Arial"/>
          <w:bCs/>
          <w:sz w:val="26"/>
          <w:szCs w:val="26"/>
        </w:rPr>
        <w:t xml:space="preserve"> ninguna de las partes les toco.</w:t>
      </w:r>
    </w:p>
    <w:p w:rsidR="00D92B1A" w:rsidRDefault="00D92B1A" w:rsidP="00CF67FD">
      <w:pPr>
        <w:pStyle w:val="Sinespaciado"/>
        <w:spacing w:line="360" w:lineRule="auto"/>
        <w:ind w:firstLine="708"/>
        <w:jc w:val="both"/>
        <w:rPr>
          <w:rFonts w:ascii="Arial" w:hAnsi="Arial" w:cs="Arial"/>
          <w:bCs/>
          <w:sz w:val="26"/>
          <w:szCs w:val="26"/>
        </w:rPr>
      </w:pPr>
    </w:p>
    <w:p w:rsidR="00D92B1A" w:rsidRDefault="00D320A8" w:rsidP="00D92B1A">
      <w:pPr>
        <w:pStyle w:val="Sinespaciado"/>
        <w:spacing w:line="360" w:lineRule="auto"/>
        <w:ind w:firstLine="708"/>
        <w:jc w:val="both"/>
        <w:rPr>
          <w:rFonts w:ascii="Arial" w:eastAsia="Calibri" w:hAnsi="Arial" w:cs="Arial"/>
          <w:bCs/>
          <w:sz w:val="26"/>
          <w:szCs w:val="26"/>
        </w:rPr>
      </w:pPr>
      <w:r w:rsidRPr="002F4D78">
        <w:rPr>
          <w:rFonts w:ascii="Arial" w:hAnsi="Arial" w:cs="Arial"/>
          <w:b/>
          <w:bCs/>
          <w:sz w:val="26"/>
          <w:szCs w:val="26"/>
        </w:rPr>
        <w:t>De</w:t>
      </w:r>
      <w:r w:rsidR="00AB0766" w:rsidRPr="002F4D78">
        <w:rPr>
          <w:rFonts w:ascii="Arial" w:hAnsi="Arial" w:cs="Arial"/>
          <w:b/>
          <w:sz w:val="26"/>
          <w:szCs w:val="26"/>
        </w:rPr>
        <w:t xml:space="preserve"> </w:t>
      </w:r>
      <w:r w:rsidR="00AB0766">
        <w:rPr>
          <w:rFonts w:ascii="Arial" w:hAnsi="Arial" w:cs="Arial"/>
          <w:sz w:val="26"/>
          <w:szCs w:val="26"/>
        </w:rPr>
        <w:t>los</w:t>
      </w:r>
      <w:r w:rsidR="00AB0766" w:rsidRPr="004C2B88">
        <w:rPr>
          <w:rFonts w:ascii="Arial" w:hAnsi="Arial" w:cs="Arial"/>
          <w:sz w:val="26"/>
          <w:szCs w:val="26"/>
        </w:rPr>
        <w:t xml:space="preserve"> autos del expediente natural remitido para la solución del presente </w:t>
      </w:r>
      <w:r w:rsidR="00AB0766">
        <w:rPr>
          <w:rFonts w:ascii="Arial" w:hAnsi="Arial" w:cs="Arial"/>
          <w:sz w:val="26"/>
          <w:szCs w:val="26"/>
        </w:rPr>
        <w:t>recurso</w:t>
      </w:r>
      <w:r w:rsidR="00AB0766" w:rsidRPr="004C2B88">
        <w:rPr>
          <w:rFonts w:ascii="Arial" w:hAnsi="Arial" w:cs="Arial"/>
          <w:sz w:val="26"/>
          <w:szCs w:val="26"/>
        </w:rPr>
        <w:t>, que tienen pleno valor probatorio en términos del artículo 173 fracción I de la Ley de Justicia Administrativa para el Estado de Oaxaca, por tratarse de actuaciones judiciales, se tiene</w:t>
      </w:r>
      <w:r w:rsidR="002F4D78">
        <w:rPr>
          <w:rFonts w:ascii="Arial" w:hAnsi="Arial" w:cs="Arial"/>
          <w:sz w:val="26"/>
          <w:szCs w:val="26"/>
        </w:rPr>
        <w:t xml:space="preserve"> la sentencia sujeta a revisión emitida por </w:t>
      </w:r>
      <w:r w:rsidR="00AB0766">
        <w:rPr>
          <w:rFonts w:ascii="Arial" w:eastAsia="Calibri" w:hAnsi="Arial" w:cs="Arial"/>
          <w:bCs/>
          <w:sz w:val="26"/>
          <w:szCs w:val="26"/>
        </w:rPr>
        <w:t>la Magistrada de la Séptima Sal</w:t>
      </w:r>
      <w:r>
        <w:rPr>
          <w:rFonts w:ascii="Arial" w:eastAsia="Calibri" w:hAnsi="Arial" w:cs="Arial"/>
          <w:bCs/>
          <w:sz w:val="26"/>
          <w:szCs w:val="26"/>
        </w:rPr>
        <w:t>a Unitaria de Primera Instancia</w:t>
      </w:r>
      <w:r w:rsidR="002F4D78">
        <w:rPr>
          <w:rFonts w:ascii="Arial" w:eastAsia="Calibri" w:hAnsi="Arial" w:cs="Arial"/>
          <w:bCs/>
          <w:sz w:val="26"/>
          <w:szCs w:val="26"/>
        </w:rPr>
        <w:t>, en la cual</w:t>
      </w:r>
      <w:r w:rsidR="00AB0766">
        <w:rPr>
          <w:rFonts w:ascii="Arial" w:eastAsia="Calibri" w:hAnsi="Arial" w:cs="Arial"/>
          <w:bCs/>
          <w:sz w:val="26"/>
          <w:szCs w:val="26"/>
        </w:rPr>
        <w:t xml:space="preserve"> </w:t>
      </w:r>
      <w:r w:rsidR="00376180">
        <w:rPr>
          <w:rFonts w:ascii="Arial" w:eastAsia="Calibri" w:hAnsi="Arial" w:cs="Arial"/>
          <w:bCs/>
          <w:sz w:val="26"/>
          <w:szCs w:val="26"/>
        </w:rPr>
        <w:t xml:space="preserve">consideró que se debía reconocer </w:t>
      </w:r>
      <w:r w:rsidR="00376180" w:rsidRPr="00C149EB">
        <w:rPr>
          <w:rFonts w:ascii="Arial" w:eastAsia="Calibri" w:hAnsi="Arial" w:cs="Arial"/>
          <w:b/>
          <w:bCs/>
          <w:i/>
          <w:sz w:val="26"/>
          <w:szCs w:val="26"/>
        </w:rPr>
        <w:t>la  legalidad y validez</w:t>
      </w:r>
      <w:r w:rsidR="00376180">
        <w:rPr>
          <w:rFonts w:ascii="Arial" w:eastAsia="Calibri" w:hAnsi="Arial" w:cs="Arial"/>
          <w:bCs/>
          <w:sz w:val="26"/>
          <w:szCs w:val="26"/>
        </w:rPr>
        <w:t xml:space="preserve"> de la resolución de 17 diecisiete de noviembre de 2015 dos mil quince, emitida por el Director General de Notarías del Estado,</w:t>
      </w:r>
      <w:r w:rsidR="00EC670E">
        <w:rPr>
          <w:rFonts w:ascii="Arial" w:eastAsia="Calibri" w:hAnsi="Arial" w:cs="Arial"/>
          <w:bCs/>
          <w:sz w:val="26"/>
          <w:szCs w:val="26"/>
        </w:rPr>
        <w:t xml:space="preserve"> </w:t>
      </w:r>
      <w:r w:rsidR="00AB0766">
        <w:rPr>
          <w:rFonts w:ascii="Arial" w:eastAsia="Calibri" w:hAnsi="Arial" w:cs="Arial"/>
          <w:bCs/>
          <w:sz w:val="26"/>
          <w:szCs w:val="26"/>
        </w:rPr>
        <w:t>por las siguientes consideraciones</w:t>
      </w:r>
      <w:r w:rsidR="00D92B1A">
        <w:rPr>
          <w:rFonts w:ascii="Arial" w:eastAsia="Calibri" w:hAnsi="Arial" w:cs="Arial"/>
          <w:bCs/>
          <w:sz w:val="26"/>
          <w:szCs w:val="26"/>
        </w:rPr>
        <w:t>:</w:t>
      </w:r>
    </w:p>
    <w:p w:rsidR="00D92B1A" w:rsidRDefault="00D92B1A" w:rsidP="00C160E8">
      <w:pPr>
        <w:pStyle w:val="Sinespaciado"/>
        <w:spacing w:line="360" w:lineRule="auto"/>
        <w:ind w:left="1134"/>
        <w:jc w:val="both"/>
        <w:rPr>
          <w:rFonts w:ascii="Arial" w:eastAsia="Calibri" w:hAnsi="Arial" w:cs="Arial"/>
          <w:bCs/>
          <w:sz w:val="26"/>
          <w:szCs w:val="26"/>
        </w:rPr>
      </w:pPr>
    </w:p>
    <w:p w:rsidR="00D92B1A" w:rsidRDefault="00715971" w:rsidP="00C160E8">
      <w:pPr>
        <w:pStyle w:val="Sinespaciado"/>
        <w:spacing w:line="360" w:lineRule="auto"/>
        <w:ind w:left="1134"/>
        <w:jc w:val="both"/>
        <w:rPr>
          <w:rFonts w:ascii="Arial" w:eastAsia="Calibri" w:hAnsi="Arial" w:cs="Arial"/>
          <w:bCs/>
          <w:sz w:val="26"/>
          <w:szCs w:val="26"/>
        </w:rPr>
      </w:pPr>
      <w:r>
        <w:rPr>
          <w:rFonts w:ascii="Arial" w:eastAsia="Calibri" w:hAnsi="Arial" w:cs="Arial"/>
          <w:bCs/>
          <w:sz w:val="26"/>
          <w:szCs w:val="26"/>
        </w:rPr>
        <w:t>1</w:t>
      </w:r>
      <w:r w:rsidR="00D71AA6" w:rsidRPr="00C149EB">
        <w:rPr>
          <w:rFonts w:ascii="Arial" w:eastAsia="Calibri" w:hAnsi="Arial" w:cs="Arial"/>
          <w:bCs/>
          <w:sz w:val="26"/>
          <w:szCs w:val="26"/>
        </w:rPr>
        <w:t xml:space="preserve">) </w:t>
      </w:r>
      <w:r w:rsidR="00075CF8">
        <w:rPr>
          <w:rFonts w:ascii="Arial" w:eastAsia="Calibri" w:hAnsi="Arial" w:cs="Arial"/>
          <w:bCs/>
          <w:sz w:val="26"/>
          <w:szCs w:val="26"/>
        </w:rPr>
        <w:t>Porque e</w:t>
      </w:r>
      <w:r w:rsidR="00D71AA6" w:rsidRPr="00C149EB">
        <w:rPr>
          <w:rFonts w:ascii="Arial" w:eastAsia="Calibri" w:hAnsi="Arial" w:cs="Arial"/>
          <w:bCs/>
          <w:sz w:val="26"/>
          <w:szCs w:val="26"/>
        </w:rPr>
        <w:t>l incumplimiento d</w:t>
      </w:r>
      <w:r w:rsidR="00C149EB" w:rsidRPr="00C149EB">
        <w:rPr>
          <w:rFonts w:ascii="Arial" w:eastAsia="Calibri" w:hAnsi="Arial" w:cs="Arial"/>
          <w:bCs/>
          <w:sz w:val="26"/>
          <w:szCs w:val="26"/>
        </w:rPr>
        <w:t xml:space="preserve">e las obligaciones pactadas en el </w:t>
      </w:r>
      <w:r w:rsidR="00D71AA6" w:rsidRPr="00C149EB">
        <w:rPr>
          <w:rFonts w:ascii="Arial" w:eastAsia="Calibri" w:hAnsi="Arial" w:cs="Arial"/>
          <w:bCs/>
          <w:sz w:val="26"/>
          <w:szCs w:val="26"/>
        </w:rPr>
        <w:t>contrato</w:t>
      </w:r>
      <w:r w:rsidR="00C149EB" w:rsidRPr="00C149EB">
        <w:rPr>
          <w:rFonts w:ascii="Arial" w:eastAsia="Calibri" w:hAnsi="Arial" w:cs="Arial"/>
          <w:bCs/>
          <w:sz w:val="26"/>
          <w:szCs w:val="26"/>
        </w:rPr>
        <w:t xml:space="preserve"> </w:t>
      </w:r>
      <w:r w:rsidR="00C149EB" w:rsidRPr="00C149EB">
        <w:rPr>
          <w:rFonts w:ascii="Arial" w:hAnsi="Arial" w:cs="Arial"/>
          <w:bCs/>
          <w:color w:val="000000"/>
          <w:sz w:val="26"/>
          <w:szCs w:val="26"/>
          <w:lang w:val="es-MX"/>
        </w:rPr>
        <w:t>de prestación de servicios profesionales número OC100220417, de fecha veintidós de febrero de dos mil siete (22/02/2007)</w:t>
      </w:r>
      <w:r w:rsidR="00D71AA6" w:rsidRPr="00C149EB">
        <w:rPr>
          <w:rFonts w:ascii="Arial" w:eastAsia="Calibri" w:hAnsi="Arial" w:cs="Arial"/>
          <w:bCs/>
          <w:sz w:val="26"/>
          <w:szCs w:val="26"/>
        </w:rPr>
        <w:t>, no puede considerarse un acto administrativo de carácter negativo, sino un mero incumplimiento contractual que corresponde al ámbito del derecho civil</w:t>
      </w:r>
      <w:r w:rsidR="00075CF8">
        <w:rPr>
          <w:rFonts w:ascii="Arial" w:eastAsia="Calibri" w:hAnsi="Arial" w:cs="Arial"/>
          <w:bCs/>
          <w:sz w:val="26"/>
          <w:szCs w:val="26"/>
        </w:rPr>
        <w:t xml:space="preserve">, y </w:t>
      </w:r>
      <w:r w:rsidR="00075CF8">
        <w:rPr>
          <w:rFonts w:ascii="Arial" w:eastAsia="Calibri" w:hAnsi="Arial" w:cs="Arial"/>
          <w:bCs/>
          <w:sz w:val="26"/>
          <w:szCs w:val="26"/>
        </w:rPr>
        <w:lastRenderedPageBreak/>
        <w:t>sol</w:t>
      </w:r>
      <w:r w:rsidR="00D71AA6">
        <w:rPr>
          <w:rFonts w:ascii="Arial" w:eastAsia="Calibri" w:hAnsi="Arial" w:cs="Arial"/>
          <w:bCs/>
          <w:sz w:val="26"/>
          <w:szCs w:val="26"/>
        </w:rPr>
        <w:t>amente pueden ser conocidas y resueltas por una autoridad civil y no por el Director General de Notarías.</w:t>
      </w:r>
    </w:p>
    <w:p w:rsidR="00D92B1A" w:rsidRDefault="00075CF8" w:rsidP="00C160E8">
      <w:pPr>
        <w:pStyle w:val="Sinespaciado"/>
        <w:spacing w:line="360" w:lineRule="auto"/>
        <w:ind w:left="1134"/>
        <w:jc w:val="both"/>
        <w:rPr>
          <w:rFonts w:ascii="Arial" w:eastAsia="Calibri" w:hAnsi="Arial" w:cs="Arial"/>
          <w:bCs/>
          <w:sz w:val="26"/>
          <w:szCs w:val="26"/>
        </w:rPr>
      </w:pPr>
      <w:r>
        <w:rPr>
          <w:rFonts w:ascii="Arial" w:eastAsia="Calibri" w:hAnsi="Arial" w:cs="Arial"/>
          <w:bCs/>
          <w:sz w:val="26"/>
          <w:szCs w:val="26"/>
          <w:lang w:val="es-MX"/>
        </w:rPr>
        <w:t>2</w:t>
      </w:r>
      <w:r w:rsidR="00CD46CF">
        <w:rPr>
          <w:rFonts w:ascii="Arial" w:eastAsia="Calibri" w:hAnsi="Arial" w:cs="Arial"/>
          <w:bCs/>
          <w:sz w:val="26"/>
          <w:szCs w:val="26"/>
        </w:rPr>
        <w:t xml:space="preserve">) </w:t>
      </w:r>
      <w:r>
        <w:rPr>
          <w:rFonts w:ascii="Arial" w:eastAsia="Calibri" w:hAnsi="Arial" w:cs="Arial"/>
          <w:bCs/>
          <w:sz w:val="26"/>
          <w:szCs w:val="26"/>
        </w:rPr>
        <w:t>Porque</w:t>
      </w:r>
      <w:r w:rsidR="00CC5531" w:rsidRPr="00CC5531">
        <w:rPr>
          <w:rFonts w:ascii="Arial" w:eastAsia="Calibri" w:hAnsi="Arial" w:cs="Arial"/>
          <w:bCs/>
          <w:sz w:val="26"/>
          <w:szCs w:val="26"/>
        </w:rPr>
        <w:t xml:space="preserve"> resulta legalmente válido </w:t>
      </w:r>
      <w:r w:rsidR="00EA1ADC">
        <w:rPr>
          <w:rFonts w:ascii="Arial" w:eastAsia="Calibri" w:hAnsi="Arial" w:cs="Arial"/>
          <w:bCs/>
          <w:sz w:val="26"/>
          <w:szCs w:val="26"/>
        </w:rPr>
        <w:t>lo resuelto por el Director General de Notarías, al haberse declarado incompetente para conocer de los hechos narrados por la parte quejosa</w:t>
      </w:r>
      <w:r w:rsidR="00E17058">
        <w:rPr>
          <w:rFonts w:ascii="Arial" w:eastAsia="Calibri" w:hAnsi="Arial" w:cs="Arial"/>
          <w:bCs/>
          <w:sz w:val="26"/>
          <w:szCs w:val="26"/>
        </w:rPr>
        <w:t xml:space="preserve"> y</w:t>
      </w:r>
      <w:r w:rsidR="00EA1ADC">
        <w:rPr>
          <w:rFonts w:ascii="Arial" w:eastAsia="Calibri" w:hAnsi="Arial" w:cs="Arial"/>
          <w:bCs/>
          <w:sz w:val="26"/>
          <w:szCs w:val="26"/>
        </w:rPr>
        <w:t xml:space="preserve"> considerar que la naturaleza d</w:t>
      </w:r>
      <w:r w:rsidR="0066742C">
        <w:rPr>
          <w:rFonts w:ascii="Arial" w:eastAsia="Calibri" w:hAnsi="Arial" w:cs="Arial"/>
          <w:bCs/>
          <w:sz w:val="26"/>
          <w:szCs w:val="26"/>
        </w:rPr>
        <w:t xml:space="preserve">e los mismos es civil, </w:t>
      </w:r>
      <w:r w:rsidR="00EA1ADC">
        <w:rPr>
          <w:rFonts w:ascii="Arial" w:eastAsia="Calibri" w:hAnsi="Arial" w:cs="Arial"/>
          <w:bCs/>
          <w:sz w:val="26"/>
          <w:szCs w:val="26"/>
        </w:rPr>
        <w:t>al derivar de un contrato de prestaci</w:t>
      </w:r>
      <w:r w:rsidR="00FE70F9">
        <w:rPr>
          <w:rFonts w:ascii="Arial" w:eastAsia="Calibri" w:hAnsi="Arial" w:cs="Arial"/>
          <w:bCs/>
          <w:sz w:val="26"/>
          <w:szCs w:val="26"/>
        </w:rPr>
        <w:t xml:space="preserve">ón de </w:t>
      </w:r>
      <w:r w:rsidR="00EA1ADC">
        <w:rPr>
          <w:rFonts w:ascii="Arial" w:eastAsia="Calibri" w:hAnsi="Arial" w:cs="Arial"/>
          <w:bCs/>
          <w:sz w:val="26"/>
          <w:szCs w:val="26"/>
        </w:rPr>
        <w:t>servicios profesionales, en donde se celebró un acuerdo de voluntades entre partes.</w:t>
      </w:r>
    </w:p>
    <w:p w:rsidR="00D92B1A" w:rsidRDefault="00D92B1A" w:rsidP="00C160E8">
      <w:pPr>
        <w:pStyle w:val="Sinespaciado"/>
        <w:spacing w:line="360" w:lineRule="auto"/>
        <w:ind w:left="1134"/>
        <w:jc w:val="both"/>
        <w:rPr>
          <w:rFonts w:ascii="Arial" w:eastAsia="Calibri" w:hAnsi="Arial" w:cs="Arial"/>
          <w:bCs/>
          <w:sz w:val="26"/>
          <w:szCs w:val="26"/>
        </w:rPr>
      </w:pPr>
      <w:r>
        <w:rPr>
          <w:rFonts w:ascii="Arial" w:eastAsia="Calibri" w:hAnsi="Arial" w:cs="Arial"/>
          <w:bCs/>
          <w:sz w:val="26"/>
          <w:szCs w:val="26"/>
        </w:rPr>
        <w:t xml:space="preserve"> </w:t>
      </w:r>
      <w:r w:rsidR="00CA611F">
        <w:rPr>
          <w:rFonts w:ascii="Arial" w:eastAsia="Calibri" w:hAnsi="Arial" w:cs="Arial"/>
          <w:bCs/>
          <w:sz w:val="26"/>
          <w:szCs w:val="26"/>
        </w:rPr>
        <w:t>3</w:t>
      </w:r>
      <w:r w:rsidR="00715971">
        <w:rPr>
          <w:rFonts w:ascii="Arial" w:eastAsia="Calibri" w:hAnsi="Arial" w:cs="Arial"/>
          <w:bCs/>
          <w:sz w:val="26"/>
          <w:szCs w:val="26"/>
        </w:rPr>
        <w:t xml:space="preserve">) </w:t>
      </w:r>
      <w:r w:rsidR="00CC027E">
        <w:rPr>
          <w:rFonts w:ascii="Arial" w:eastAsia="Calibri" w:hAnsi="Arial" w:cs="Arial"/>
          <w:bCs/>
          <w:sz w:val="26"/>
          <w:szCs w:val="26"/>
        </w:rPr>
        <w:t>Porq</w:t>
      </w:r>
      <w:r w:rsidR="00075CF8">
        <w:rPr>
          <w:rFonts w:ascii="Arial" w:eastAsia="Calibri" w:hAnsi="Arial" w:cs="Arial"/>
          <w:bCs/>
          <w:sz w:val="26"/>
          <w:szCs w:val="26"/>
        </w:rPr>
        <w:t xml:space="preserve">ue resulta válido lo resuelto por el Director General de Notarías, </w:t>
      </w:r>
      <w:r w:rsidR="003A513F">
        <w:rPr>
          <w:rFonts w:ascii="Arial" w:eastAsia="Calibri" w:hAnsi="Arial" w:cs="Arial"/>
          <w:bCs/>
          <w:sz w:val="26"/>
          <w:szCs w:val="26"/>
        </w:rPr>
        <w:t>respecto a la responsabilidad administrativa que la parte quejosa le atribuye al</w:t>
      </w:r>
      <w:r w:rsidR="00D73FFB">
        <w:rPr>
          <w:rFonts w:ascii="Arial" w:eastAsia="Calibri" w:hAnsi="Arial" w:cs="Arial"/>
          <w:bCs/>
          <w:sz w:val="26"/>
          <w:szCs w:val="26"/>
        </w:rPr>
        <w:t xml:space="preserve"> Notario Público número ochenta y n</w:t>
      </w:r>
      <w:r w:rsidR="00075CF8">
        <w:rPr>
          <w:rFonts w:ascii="Arial" w:eastAsia="Calibri" w:hAnsi="Arial" w:cs="Arial"/>
          <w:bCs/>
          <w:sz w:val="26"/>
          <w:szCs w:val="26"/>
        </w:rPr>
        <w:t>ueve en el Estado</w:t>
      </w:r>
      <w:r w:rsidR="003A513F">
        <w:rPr>
          <w:rFonts w:ascii="Arial" w:eastAsia="Calibri" w:hAnsi="Arial" w:cs="Arial"/>
          <w:bCs/>
          <w:sz w:val="26"/>
          <w:szCs w:val="26"/>
        </w:rPr>
        <w:t xml:space="preserve">, consistente en la falta de firma de la fiduciaria en sesenta y nueve escrituras, derivadas de los créditos otorgados por el </w:t>
      </w:r>
      <w:r w:rsidR="00481A72" w:rsidRPr="00481A72">
        <w:rPr>
          <w:rFonts w:ascii="Arial" w:hAnsi="Arial" w:cs="Arial"/>
          <w:sz w:val="26"/>
          <w:szCs w:val="26"/>
        </w:rPr>
        <w:t>INSTITUTO DEL FONDO NACIONAL DE LA VIVIENDA PARA LOS TRABAJADORES</w:t>
      </w:r>
      <w:r w:rsidR="003A513F">
        <w:rPr>
          <w:rFonts w:ascii="Arial" w:eastAsia="Calibri" w:hAnsi="Arial" w:cs="Arial"/>
          <w:bCs/>
          <w:sz w:val="26"/>
          <w:szCs w:val="26"/>
        </w:rPr>
        <w:t>, hechos que fueron investigados por la</w:t>
      </w:r>
      <w:r w:rsidR="00E17058">
        <w:rPr>
          <w:rFonts w:ascii="Arial" w:eastAsia="Calibri" w:hAnsi="Arial" w:cs="Arial"/>
          <w:bCs/>
          <w:sz w:val="26"/>
          <w:szCs w:val="26"/>
        </w:rPr>
        <w:t xml:space="preserve"> Dirección General de Notarías; por lo que </w:t>
      </w:r>
      <w:r w:rsidR="00195333">
        <w:rPr>
          <w:rFonts w:ascii="Arial" w:eastAsia="Calibri" w:hAnsi="Arial" w:cs="Arial"/>
          <w:bCs/>
          <w:sz w:val="26"/>
          <w:szCs w:val="26"/>
        </w:rPr>
        <w:t>resolvió</w:t>
      </w:r>
      <w:r w:rsidR="00E17058">
        <w:rPr>
          <w:rFonts w:ascii="Arial" w:eastAsia="Calibri" w:hAnsi="Arial" w:cs="Arial"/>
          <w:bCs/>
          <w:sz w:val="26"/>
          <w:szCs w:val="26"/>
        </w:rPr>
        <w:t>,</w:t>
      </w:r>
      <w:r w:rsidR="00195333">
        <w:rPr>
          <w:rFonts w:ascii="Arial" w:eastAsia="Calibri" w:hAnsi="Arial" w:cs="Arial"/>
          <w:bCs/>
          <w:sz w:val="26"/>
          <w:szCs w:val="26"/>
        </w:rPr>
        <w:t xml:space="preserve"> que </w:t>
      </w:r>
      <w:r w:rsidR="009B4DA2">
        <w:rPr>
          <w:rFonts w:ascii="Arial" w:eastAsia="Calibri" w:hAnsi="Arial" w:cs="Arial"/>
          <w:bCs/>
          <w:sz w:val="26"/>
          <w:szCs w:val="26"/>
        </w:rPr>
        <w:t xml:space="preserve">dicho Notario </w:t>
      </w:r>
      <w:r w:rsidR="00195333">
        <w:rPr>
          <w:rFonts w:ascii="Arial" w:eastAsia="Calibri" w:hAnsi="Arial" w:cs="Arial"/>
          <w:bCs/>
          <w:sz w:val="26"/>
          <w:szCs w:val="26"/>
        </w:rPr>
        <w:t>si había incurrido en responsabilidad administrativa, al dejar de observar lo dispuesto por el artículo 71 de la Ley del Not</w:t>
      </w:r>
      <w:r>
        <w:rPr>
          <w:rFonts w:ascii="Arial" w:eastAsia="Calibri" w:hAnsi="Arial" w:cs="Arial"/>
          <w:bCs/>
          <w:sz w:val="26"/>
          <w:szCs w:val="26"/>
        </w:rPr>
        <w:t>ario para el Estado de Oaxaca.</w:t>
      </w:r>
    </w:p>
    <w:p w:rsidR="00D92B1A" w:rsidRDefault="00CA611F" w:rsidP="00C160E8">
      <w:pPr>
        <w:pStyle w:val="Sinespaciado"/>
        <w:spacing w:line="360" w:lineRule="auto"/>
        <w:ind w:left="1134"/>
        <w:jc w:val="both"/>
        <w:rPr>
          <w:rFonts w:ascii="Arial" w:eastAsia="Calibri" w:hAnsi="Arial" w:cs="Arial"/>
          <w:bCs/>
          <w:sz w:val="26"/>
          <w:szCs w:val="26"/>
        </w:rPr>
      </w:pPr>
      <w:r>
        <w:rPr>
          <w:rFonts w:ascii="Arial" w:eastAsia="Calibri" w:hAnsi="Arial" w:cs="Arial"/>
          <w:bCs/>
          <w:sz w:val="26"/>
          <w:szCs w:val="26"/>
        </w:rPr>
        <w:t>4</w:t>
      </w:r>
      <w:r w:rsidR="00195333">
        <w:rPr>
          <w:rFonts w:ascii="Arial" w:eastAsia="Calibri" w:hAnsi="Arial" w:cs="Arial"/>
          <w:bCs/>
          <w:sz w:val="26"/>
          <w:szCs w:val="26"/>
        </w:rPr>
        <w:t xml:space="preserve">) </w:t>
      </w:r>
      <w:r w:rsidR="00E17058">
        <w:rPr>
          <w:rFonts w:ascii="Arial" w:eastAsia="Calibri" w:hAnsi="Arial" w:cs="Arial"/>
          <w:bCs/>
          <w:sz w:val="26"/>
          <w:szCs w:val="26"/>
        </w:rPr>
        <w:t>Porq</w:t>
      </w:r>
      <w:r w:rsidR="00D009CE">
        <w:rPr>
          <w:rFonts w:ascii="Arial" w:eastAsia="Calibri" w:hAnsi="Arial" w:cs="Arial"/>
          <w:bCs/>
          <w:sz w:val="26"/>
          <w:szCs w:val="26"/>
        </w:rPr>
        <w:t>ue</w:t>
      </w:r>
      <w:r w:rsidR="00E404B8">
        <w:rPr>
          <w:rFonts w:ascii="Arial" w:eastAsia="Calibri" w:hAnsi="Arial" w:cs="Arial"/>
          <w:bCs/>
          <w:sz w:val="26"/>
          <w:szCs w:val="26"/>
        </w:rPr>
        <w:t xml:space="preserve"> sí </w:t>
      </w:r>
      <w:r w:rsidR="00D009CE">
        <w:rPr>
          <w:rFonts w:ascii="Arial" w:eastAsia="Calibri" w:hAnsi="Arial" w:cs="Arial"/>
          <w:bCs/>
          <w:sz w:val="26"/>
          <w:szCs w:val="26"/>
        </w:rPr>
        <w:t xml:space="preserve">trascendió el hecho de que el Notario Público </w:t>
      </w:r>
      <w:r w:rsidR="00D73FFB">
        <w:rPr>
          <w:rFonts w:ascii="Arial" w:eastAsia="Calibri" w:hAnsi="Arial" w:cs="Arial"/>
          <w:bCs/>
          <w:sz w:val="26"/>
          <w:szCs w:val="26"/>
        </w:rPr>
        <w:t>Número ochenta y n</w:t>
      </w:r>
      <w:r w:rsidR="00E17058">
        <w:rPr>
          <w:rFonts w:ascii="Arial" w:eastAsia="Calibri" w:hAnsi="Arial" w:cs="Arial"/>
          <w:bCs/>
          <w:sz w:val="26"/>
          <w:szCs w:val="26"/>
        </w:rPr>
        <w:t xml:space="preserve">ueve en el Estado, </w:t>
      </w:r>
      <w:r w:rsidR="00D009CE">
        <w:rPr>
          <w:rFonts w:ascii="Arial" w:eastAsia="Calibri" w:hAnsi="Arial" w:cs="Arial"/>
          <w:bCs/>
          <w:sz w:val="26"/>
          <w:szCs w:val="26"/>
        </w:rPr>
        <w:t xml:space="preserve">no haya  informado al </w:t>
      </w:r>
      <w:r w:rsidR="00481A72" w:rsidRPr="00481A72">
        <w:rPr>
          <w:rFonts w:ascii="Arial" w:hAnsi="Arial" w:cs="Arial"/>
          <w:sz w:val="26"/>
          <w:szCs w:val="26"/>
        </w:rPr>
        <w:t>INSTITUTO DEL FONDO NACIONAL DE LA VIVIENDA PARA LOS TRABAJADORES</w:t>
      </w:r>
      <w:r w:rsidR="00D009CE">
        <w:rPr>
          <w:rFonts w:ascii="Arial" w:eastAsia="Calibri" w:hAnsi="Arial" w:cs="Arial"/>
          <w:bCs/>
          <w:sz w:val="26"/>
          <w:szCs w:val="26"/>
        </w:rPr>
        <w:t xml:space="preserve"> sobre la omisión al examinar los documentos que le fueron presentados, </w:t>
      </w:r>
      <w:r w:rsidR="00E404B8">
        <w:rPr>
          <w:rFonts w:ascii="Arial" w:eastAsia="Calibri" w:hAnsi="Arial" w:cs="Arial"/>
          <w:bCs/>
          <w:sz w:val="26"/>
          <w:szCs w:val="26"/>
        </w:rPr>
        <w:t xml:space="preserve">por lo que  el Director General de Notarías le impuso a dicho Notario </w:t>
      </w:r>
      <w:r w:rsidR="00910D3A">
        <w:rPr>
          <w:rFonts w:ascii="Arial" w:eastAsia="Calibri" w:hAnsi="Arial" w:cs="Arial"/>
          <w:bCs/>
          <w:sz w:val="26"/>
          <w:szCs w:val="26"/>
        </w:rPr>
        <w:t>la sanción consistente en amonestación por oficio.</w:t>
      </w:r>
    </w:p>
    <w:p w:rsidR="00D92B1A" w:rsidRDefault="00CA611F" w:rsidP="00C160E8">
      <w:pPr>
        <w:pStyle w:val="Sinespaciado"/>
        <w:spacing w:line="360" w:lineRule="auto"/>
        <w:ind w:left="1134"/>
        <w:jc w:val="both"/>
        <w:rPr>
          <w:rFonts w:ascii="Arial" w:eastAsia="Calibri" w:hAnsi="Arial" w:cs="Arial"/>
          <w:bCs/>
          <w:sz w:val="26"/>
          <w:szCs w:val="26"/>
        </w:rPr>
      </w:pPr>
      <w:r>
        <w:rPr>
          <w:rFonts w:ascii="Arial" w:eastAsia="Calibri" w:hAnsi="Arial" w:cs="Arial"/>
          <w:bCs/>
          <w:sz w:val="26"/>
          <w:szCs w:val="26"/>
        </w:rPr>
        <w:t>5</w:t>
      </w:r>
      <w:r w:rsidR="00930154">
        <w:rPr>
          <w:rFonts w:ascii="Arial" w:eastAsia="Calibri" w:hAnsi="Arial" w:cs="Arial"/>
          <w:bCs/>
          <w:sz w:val="26"/>
          <w:szCs w:val="26"/>
        </w:rPr>
        <w:t xml:space="preserve">) </w:t>
      </w:r>
      <w:r w:rsidR="00B323D2">
        <w:rPr>
          <w:rFonts w:ascii="Arial" w:eastAsia="Calibri" w:hAnsi="Arial" w:cs="Arial"/>
          <w:bCs/>
          <w:sz w:val="26"/>
          <w:szCs w:val="26"/>
        </w:rPr>
        <w:t>Porq</w:t>
      </w:r>
      <w:r w:rsidR="00930154">
        <w:rPr>
          <w:rFonts w:ascii="Arial" w:eastAsia="Calibri" w:hAnsi="Arial" w:cs="Arial"/>
          <w:bCs/>
          <w:sz w:val="26"/>
          <w:szCs w:val="26"/>
        </w:rPr>
        <w:t xml:space="preserve">ue </w:t>
      </w:r>
      <w:r w:rsidR="00B94C50">
        <w:rPr>
          <w:rFonts w:ascii="Arial" w:eastAsia="Calibri" w:hAnsi="Arial" w:cs="Arial"/>
          <w:bCs/>
          <w:sz w:val="26"/>
          <w:szCs w:val="26"/>
        </w:rPr>
        <w:t>resulta correcto lo resuelto por la Dirección General de Notarías</w:t>
      </w:r>
      <w:r w:rsidR="00B323D2">
        <w:rPr>
          <w:rFonts w:ascii="Arial" w:eastAsia="Calibri" w:hAnsi="Arial" w:cs="Arial"/>
          <w:bCs/>
          <w:sz w:val="26"/>
          <w:szCs w:val="26"/>
        </w:rPr>
        <w:t xml:space="preserve"> en el Estado</w:t>
      </w:r>
      <w:r w:rsidR="00B94C50">
        <w:rPr>
          <w:rFonts w:ascii="Arial" w:eastAsia="Calibri" w:hAnsi="Arial" w:cs="Arial"/>
          <w:bCs/>
          <w:sz w:val="26"/>
          <w:szCs w:val="26"/>
        </w:rPr>
        <w:t xml:space="preserve">, al </w:t>
      </w:r>
      <w:r w:rsidR="00B323D2">
        <w:rPr>
          <w:rFonts w:ascii="Arial" w:eastAsia="Calibri" w:hAnsi="Arial" w:cs="Arial"/>
          <w:bCs/>
          <w:sz w:val="26"/>
          <w:szCs w:val="26"/>
        </w:rPr>
        <w:t>declararse in</w:t>
      </w:r>
      <w:r w:rsidR="00B94C50">
        <w:rPr>
          <w:rFonts w:ascii="Arial" w:eastAsia="Calibri" w:hAnsi="Arial" w:cs="Arial"/>
          <w:bCs/>
          <w:sz w:val="26"/>
          <w:szCs w:val="26"/>
        </w:rPr>
        <w:t>competente para conocer en relación a</w:t>
      </w:r>
      <w:r w:rsidR="00930154">
        <w:rPr>
          <w:rFonts w:ascii="Arial" w:eastAsia="Calibri" w:hAnsi="Arial" w:cs="Arial"/>
          <w:bCs/>
          <w:sz w:val="26"/>
          <w:szCs w:val="26"/>
        </w:rPr>
        <w:t>l pago de impuestos</w:t>
      </w:r>
      <w:r w:rsidR="00B323D2">
        <w:rPr>
          <w:rFonts w:ascii="Arial" w:eastAsia="Calibri" w:hAnsi="Arial" w:cs="Arial"/>
          <w:bCs/>
          <w:sz w:val="26"/>
          <w:szCs w:val="26"/>
        </w:rPr>
        <w:t>,</w:t>
      </w:r>
      <w:r w:rsidR="00930154">
        <w:rPr>
          <w:rFonts w:ascii="Arial" w:eastAsia="Calibri" w:hAnsi="Arial" w:cs="Arial"/>
          <w:bCs/>
          <w:sz w:val="26"/>
          <w:szCs w:val="26"/>
        </w:rPr>
        <w:t xml:space="preserve"> derechos e inscripción registral y catastral, incluyendo las sesenta y nueve viviendas, al estar vinculado al cumplimiento del contrato de prestación de servicios</w:t>
      </w:r>
      <w:r w:rsidR="00D92B1A">
        <w:rPr>
          <w:rFonts w:ascii="Arial" w:eastAsia="Calibri" w:hAnsi="Arial" w:cs="Arial"/>
          <w:bCs/>
          <w:sz w:val="26"/>
          <w:szCs w:val="26"/>
        </w:rPr>
        <w:t>.</w:t>
      </w:r>
    </w:p>
    <w:p w:rsidR="00D92B1A" w:rsidRDefault="00C82E82" w:rsidP="00C160E8">
      <w:pPr>
        <w:pStyle w:val="Sinespaciado"/>
        <w:spacing w:line="360" w:lineRule="auto"/>
        <w:ind w:left="1134"/>
        <w:jc w:val="both"/>
        <w:rPr>
          <w:rFonts w:ascii="Arial" w:eastAsia="Calibri" w:hAnsi="Arial" w:cs="Arial"/>
          <w:bCs/>
          <w:sz w:val="26"/>
          <w:szCs w:val="26"/>
        </w:rPr>
      </w:pPr>
      <w:r>
        <w:rPr>
          <w:rFonts w:ascii="Arial" w:eastAsia="Calibri" w:hAnsi="Arial" w:cs="Arial"/>
          <w:bCs/>
          <w:sz w:val="26"/>
          <w:szCs w:val="26"/>
        </w:rPr>
        <w:t xml:space="preserve">6) Porque </w:t>
      </w:r>
      <w:r w:rsidR="00B930C2">
        <w:rPr>
          <w:rFonts w:ascii="Arial" w:eastAsia="Calibri" w:hAnsi="Arial" w:cs="Arial"/>
          <w:bCs/>
          <w:sz w:val="26"/>
          <w:szCs w:val="26"/>
        </w:rPr>
        <w:t xml:space="preserve">respecto a la obligación del Notario </w:t>
      </w:r>
      <w:r>
        <w:rPr>
          <w:rFonts w:ascii="Arial" w:eastAsia="Calibri" w:hAnsi="Arial" w:cs="Arial"/>
          <w:bCs/>
          <w:sz w:val="26"/>
          <w:szCs w:val="26"/>
        </w:rPr>
        <w:t>de</w:t>
      </w:r>
      <w:r w:rsidR="00B930C2">
        <w:rPr>
          <w:rFonts w:ascii="Arial" w:eastAsia="Calibri" w:hAnsi="Arial" w:cs="Arial"/>
          <w:bCs/>
          <w:sz w:val="26"/>
          <w:szCs w:val="26"/>
        </w:rPr>
        <w:t xml:space="preserve"> inf</w:t>
      </w:r>
      <w:r w:rsidR="00B323D2">
        <w:rPr>
          <w:rFonts w:ascii="Arial" w:eastAsia="Calibri" w:hAnsi="Arial" w:cs="Arial"/>
          <w:bCs/>
          <w:sz w:val="26"/>
          <w:szCs w:val="26"/>
        </w:rPr>
        <w:t>o</w:t>
      </w:r>
      <w:r w:rsidR="00B930C2">
        <w:rPr>
          <w:rFonts w:ascii="Arial" w:eastAsia="Calibri" w:hAnsi="Arial" w:cs="Arial"/>
          <w:bCs/>
          <w:sz w:val="26"/>
          <w:szCs w:val="26"/>
        </w:rPr>
        <w:t xml:space="preserve">rmar al </w:t>
      </w:r>
      <w:r w:rsidR="00481A72" w:rsidRPr="00481A72">
        <w:rPr>
          <w:rFonts w:ascii="Arial" w:hAnsi="Arial" w:cs="Arial"/>
          <w:sz w:val="26"/>
          <w:szCs w:val="26"/>
        </w:rPr>
        <w:t>INSTITUTO DEL FONDO NACIONAL DE LA VIVIENDA PARA LOS TRABAJADORES</w:t>
      </w:r>
      <w:r w:rsidR="00B323D2">
        <w:rPr>
          <w:rFonts w:ascii="Arial" w:eastAsia="Calibri" w:hAnsi="Arial" w:cs="Arial"/>
          <w:bCs/>
          <w:sz w:val="26"/>
          <w:szCs w:val="26"/>
        </w:rPr>
        <w:t>,</w:t>
      </w:r>
      <w:r w:rsidR="00B930C2">
        <w:rPr>
          <w:rFonts w:ascii="Arial" w:eastAsia="Calibri" w:hAnsi="Arial" w:cs="Arial"/>
          <w:bCs/>
          <w:sz w:val="26"/>
          <w:szCs w:val="26"/>
        </w:rPr>
        <w:t xml:space="preserve"> </w:t>
      </w:r>
      <w:r w:rsidR="00BA4096">
        <w:rPr>
          <w:rFonts w:ascii="Arial" w:eastAsia="Calibri" w:hAnsi="Arial" w:cs="Arial"/>
          <w:bCs/>
          <w:sz w:val="26"/>
          <w:szCs w:val="26"/>
        </w:rPr>
        <w:t>sobre</w:t>
      </w:r>
      <w:r w:rsidR="00B930C2">
        <w:rPr>
          <w:rFonts w:ascii="Arial" w:eastAsia="Calibri" w:hAnsi="Arial" w:cs="Arial"/>
          <w:bCs/>
          <w:sz w:val="26"/>
          <w:szCs w:val="26"/>
        </w:rPr>
        <w:t xml:space="preserve"> la </w:t>
      </w:r>
      <w:r w:rsidR="00BA4096">
        <w:rPr>
          <w:rFonts w:ascii="Arial" w:eastAsia="Calibri" w:hAnsi="Arial" w:cs="Arial"/>
          <w:bCs/>
          <w:sz w:val="26"/>
          <w:szCs w:val="26"/>
        </w:rPr>
        <w:t>formalización</w:t>
      </w:r>
      <w:r w:rsidR="00B930C2">
        <w:rPr>
          <w:rFonts w:ascii="Arial" w:eastAsia="Calibri" w:hAnsi="Arial" w:cs="Arial"/>
          <w:bCs/>
          <w:sz w:val="26"/>
          <w:szCs w:val="26"/>
        </w:rPr>
        <w:t xml:space="preserve"> e </w:t>
      </w:r>
      <w:r w:rsidR="00BA4096">
        <w:rPr>
          <w:rFonts w:ascii="Arial" w:eastAsia="Calibri" w:hAnsi="Arial" w:cs="Arial"/>
          <w:bCs/>
          <w:sz w:val="26"/>
          <w:szCs w:val="26"/>
        </w:rPr>
        <w:t>inscripción</w:t>
      </w:r>
      <w:r w:rsidR="00B930C2">
        <w:rPr>
          <w:rFonts w:ascii="Arial" w:eastAsia="Calibri" w:hAnsi="Arial" w:cs="Arial"/>
          <w:bCs/>
          <w:sz w:val="26"/>
          <w:szCs w:val="26"/>
        </w:rPr>
        <w:t xml:space="preserve"> de los instrumentos en los que conste el otorgamiento de créditos y la constitución de garantías </w:t>
      </w:r>
      <w:r w:rsidR="00B930C2">
        <w:rPr>
          <w:rFonts w:ascii="Arial" w:eastAsia="Calibri" w:hAnsi="Arial" w:cs="Arial"/>
          <w:bCs/>
          <w:sz w:val="26"/>
          <w:szCs w:val="26"/>
        </w:rPr>
        <w:lastRenderedPageBreak/>
        <w:t>hipotecarias, deben atenderse al estudiar lo relacionado al contrato de prestaci</w:t>
      </w:r>
      <w:r w:rsidR="00D92B1A">
        <w:rPr>
          <w:rFonts w:ascii="Arial" w:eastAsia="Calibri" w:hAnsi="Arial" w:cs="Arial"/>
          <w:bCs/>
          <w:sz w:val="26"/>
          <w:szCs w:val="26"/>
        </w:rPr>
        <w:t>ón de servicios profesionales.</w:t>
      </w:r>
    </w:p>
    <w:p w:rsidR="00D92B1A" w:rsidRDefault="00C82E82" w:rsidP="00C160E8">
      <w:pPr>
        <w:spacing w:line="360" w:lineRule="auto"/>
        <w:ind w:left="1134"/>
        <w:jc w:val="both"/>
        <w:rPr>
          <w:rFonts w:ascii="Arial" w:eastAsia="Calibri" w:hAnsi="Arial" w:cs="Arial"/>
          <w:bCs/>
          <w:sz w:val="26"/>
          <w:szCs w:val="26"/>
        </w:rPr>
      </w:pPr>
      <w:r>
        <w:rPr>
          <w:rFonts w:ascii="Arial" w:eastAsia="Calibri" w:hAnsi="Arial" w:cs="Arial"/>
          <w:bCs/>
          <w:sz w:val="26"/>
          <w:szCs w:val="26"/>
          <w:lang w:val="es-ES"/>
        </w:rPr>
        <w:t>7</w:t>
      </w:r>
      <w:r w:rsidR="00A56A74">
        <w:rPr>
          <w:rFonts w:ascii="Arial" w:eastAsia="Calibri" w:hAnsi="Arial" w:cs="Arial"/>
          <w:bCs/>
          <w:sz w:val="26"/>
          <w:szCs w:val="26"/>
        </w:rPr>
        <w:t xml:space="preserve">) </w:t>
      </w:r>
      <w:r>
        <w:rPr>
          <w:rFonts w:ascii="Arial" w:eastAsia="Calibri" w:hAnsi="Arial" w:cs="Arial"/>
          <w:bCs/>
          <w:sz w:val="26"/>
          <w:szCs w:val="26"/>
        </w:rPr>
        <w:t>Porq</w:t>
      </w:r>
      <w:r w:rsidR="00A56A74">
        <w:rPr>
          <w:rFonts w:ascii="Arial" w:eastAsia="Calibri" w:hAnsi="Arial" w:cs="Arial"/>
          <w:bCs/>
          <w:sz w:val="26"/>
          <w:szCs w:val="26"/>
        </w:rPr>
        <w:t xml:space="preserve">ue la parte actora no argumentó las condiciones precisas  o premisas por las que </w:t>
      </w:r>
      <w:r w:rsidR="000C09AA">
        <w:rPr>
          <w:rFonts w:ascii="Arial" w:eastAsia="Calibri" w:hAnsi="Arial" w:cs="Arial"/>
          <w:bCs/>
          <w:sz w:val="26"/>
          <w:szCs w:val="26"/>
        </w:rPr>
        <w:t>considera</w:t>
      </w:r>
      <w:r w:rsidR="00A56A74">
        <w:rPr>
          <w:rFonts w:ascii="Arial" w:eastAsia="Calibri" w:hAnsi="Arial" w:cs="Arial"/>
          <w:bCs/>
          <w:sz w:val="26"/>
          <w:szCs w:val="26"/>
        </w:rPr>
        <w:t xml:space="preserve"> que</w:t>
      </w:r>
      <w:r w:rsidR="000C09AA">
        <w:rPr>
          <w:rFonts w:ascii="Arial" w:eastAsia="Calibri" w:hAnsi="Arial" w:cs="Arial"/>
          <w:bCs/>
          <w:sz w:val="26"/>
          <w:szCs w:val="26"/>
        </w:rPr>
        <w:t xml:space="preserve"> se debió aplicar una </w:t>
      </w:r>
      <w:r w:rsidR="00A56A74">
        <w:rPr>
          <w:rFonts w:ascii="Arial" w:eastAsia="Calibri" w:hAnsi="Arial" w:cs="Arial"/>
          <w:bCs/>
          <w:sz w:val="26"/>
          <w:szCs w:val="26"/>
        </w:rPr>
        <w:t xml:space="preserve">sanción </w:t>
      </w:r>
      <w:r w:rsidR="000C09AA">
        <w:rPr>
          <w:rFonts w:ascii="Arial" w:eastAsia="Calibri" w:hAnsi="Arial" w:cs="Arial"/>
          <w:bCs/>
          <w:sz w:val="26"/>
          <w:szCs w:val="26"/>
        </w:rPr>
        <w:t>más grave al No</w:t>
      </w:r>
      <w:r w:rsidR="00A56A74">
        <w:rPr>
          <w:rFonts w:ascii="Arial" w:eastAsia="Calibri" w:hAnsi="Arial" w:cs="Arial"/>
          <w:bCs/>
          <w:sz w:val="26"/>
          <w:szCs w:val="26"/>
        </w:rPr>
        <w:t xml:space="preserve">tario Público Número </w:t>
      </w:r>
      <w:r w:rsidR="00D73FFB">
        <w:rPr>
          <w:rFonts w:ascii="Arial" w:eastAsia="Calibri" w:hAnsi="Arial" w:cs="Arial"/>
          <w:bCs/>
          <w:sz w:val="26"/>
          <w:szCs w:val="26"/>
        </w:rPr>
        <w:t>ochenta y n</w:t>
      </w:r>
      <w:r w:rsidR="000C09AA">
        <w:rPr>
          <w:rFonts w:ascii="Arial" w:eastAsia="Calibri" w:hAnsi="Arial" w:cs="Arial"/>
          <w:bCs/>
          <w:sz w:val="26"/>
          <w:szCs w:val="26"/>
        </w:rPr>
        <w:t xml:space="preserve">ueve, </w:t>
      </w:r>
      <w:r w:rsidR="00C7443D">
        <w:rPr>
          <w:rFonts w:ascii="Arial" w:eastAsia="Calibri" w:hAnsi="Arial" w:cs="Arial"/>
          <w:bCs/>
          <w:sz w:val="26"/>
          <w:szCs w:val="26"/>
        </w:rPr>
        <w:t>toda vez que el artículo 134 de la Ley del Notario para el Estado, señala los supuestos y las sanciones correspondientes por las faltas administrativas en que incurran los notarios</w:t>
      </w:r>
      <w:r w:rsidR="00C5573D">
        <w:rPr>
          <w:rFonts w:ascii="Arial" w:eastAsia="Calibri" w:hAnsi="Arial" w:cs="Arial"/>
          <w:bCs/>
          <w:sz w:val="26"/>
          <w:szCs w:val="26"/>
        </w:rPr>
        <w:t xml:space="preserve">, sin que el promovente especificara </w:t>
      </w:r>
      <w:r w:rsidR="002410F3">
        <w:rPr>
          <w:rFonts w:ascii="Arial" w:eastAsia="Calibri" w:hAnsi="Arial" w:cs="Arial"/>
          <w:bCs/>
          <w:sz w:val="26"/>
          <w:szCs w:val="26"/>
        </w:rPr>
        <w:t xml:space="preserve">en </w:t>
      </w:r>
      <w:r w:rsidR="00C5573D">
        <w:rPr>
          <w:rFonts w:ascii="Arial" w:eastAsia="Calibri" w:hAnsi="Arial" w:cs="Arial"/>
          <w:bCs/>
          <w:sz w:val="26"/>
          <w:szCs w:val="26"/>
        </w:rPr>
        <w:t>cuál encuadró la conducta realizada por el Notario Público</w:t>
      </w:r>
      <w:r w:rsidR="002410F3">
        <w:rPr>
          <w:rFonts w:ascii="Arial" w:eastAsia="Calibri" w:hAnsi="Arial" w:cs="Arial"/>
          <w:bCs/>
          <w:sz w:val="26"/>
          <w:szCs w:val="26"/>
        </w:rPr>
        <w:t xml:space="preserve"> Número Ochenta y Nueve</w:t>
      </w:r>
      <w:r w:rsidR="00D92B1A">
        <w:rPr>
          <w:rFonts w:ascii="Arial" w:eastAsia="Calibri" w:hAnsi="Arial" w:cs="Arial"/>
          <w:bCs/>
          <w:sz w:val="26"/>
          <w:szCs w:val="26"/>
        </w:rPr>
        <w:t>.</w:t>
      </w:r>
    </w:p>
    <w:p w:rsidR="00D92B1A" w:rsidRDefault="00D92B1A" w:rsidP="00C160E8">
      <w:pPr>
        <w:spacing w:line="360" w:lineRule="auto"/>
        <w:ind w:left="1134"/>
        <w:jc w:val="both"/>
        <w:rPr>
          <w:rFonts w:ascii="Arial" w:eastAsia="Calibri" w:hAnsi="Arial" w:cs="Arial"/>
          <w:bCs/>
          <w:sz w:val="26"/>
          <w:szCs w:val="26"/>
        </w:rPr>
      </w:pPr>
    </w:p>
    <w:p w:rsidR="00D92B1A" w:rsidRDefault="00D320A8" w:rsidP="00D92B1A">
      <w:pPr>
        <w:spacing w:line="360" w:lineRule="auto"/>
        <w:ind w:firstLine="708"/>
        <w:jc w:val="both"/>
        <w:rPr>
          <w:rFonts w:ascii="Arial" w:hAnsi="Arial" w:cs="Arial"/>
          <w:sz w:val="26"/>
          <w:szCs w:val="26"/>
        </w:rPr>
      </w:pPr>
      <w:r w:rsidRPr="00D320A8">
        <w:rPr>
          <w:rFonts w:ascii="Arial" w:hAnsi="Arial" w:cs="Arial"/>
          <w:b/>
          <w:sz w:val="26"/>
          <w:szCs w:val="26"/>
        </w:rPr>
        <w:t>Ahora,</w:t>
      </w:r>
      <w:r>
        <w:rPr>
          <w:rFonts w:ascii="Arial" w:hAnsi="Arial" w:cs="Arial"/>
          <w:sz w:val="26"/>
          <w:szCs w:val="26"/>
        </w:rPr>
        <w:t xml:space="preserve"> por ser de orden público y de </w:t>
      </w:r>
      <w:r w:rsidRPr="00BC57AF">
        <w:rPr>
          <w:rFonts w:ascii="Arial" w:hAnsi="Arial" w:cs="Arial"/>
          <w:sz w:val="26"/>
          <w:szCs w:val="26"/>
        </w:rPr>
        <w:t>estudio preferente</w:t>
      </w:r>
      <w:r>
        <w:rPr>
          <w:rFonts w:ascii="Arial" w:hAnsi="Arial" w:cs="Arial"/>
          <w:sz w:val="26"/>
          <w:szCs w:val="26"/>
        </w:rPr>
        <w:t xml:space="preserve"> al estudio de las violaciones procesales cometidas durante el procedimiento del juicio, por prelación deben estudiarse las causales de improcedencia de manera oficiosa por esta Segunda Instancia al no encontrarse impedida para analizarlas, ya que de actualizarse las hipótesis normativas que señalan los artículos 131 y 132, de la Ley de la Materia, ello impediría entrar al fondo del asunto. </w:t>
      </w:r>
    </w:p>
    <w:p w:rsidR="00D92B1A" w:rsidRDefault="00D92B1A" w:rsidP="00D92B1A">
      <w:pPr>
        <w:spacing w:line="360" w:lineRule="auto"/>
        <w:ind w:firstLine="708"/>
        <w:jc w:val="both"/>
        <w:rPr>
          <w:rFonts w:ascii="Arial" w:hAnsi="Arial" w:cs="Arial"/>
          <w:sz w:val="26"/>
          <w:szCs w:val="26"/>
        </w:rPr>
      </w:pPr>
    </w:p>
    <w:p w:rsidR="00D92B1A" w:rsidRDefault="00D320A8" w:rsidP="00D92B1A">
      <w:pPr>
        <w:spacing w:line="360" w:lineRule="auto"/>
        <w:ind w:firstLine="708"/>
        <w:jc w:val="both"/>
        <w:rPr>
          <w:rFonts w:ascii="Arial" w:hAnsi="Arial" w:cs="Arial"/>
          <w:sz w:val="26"/>
          <w:szCs w:val="26"/>
        </w:rPr>
      </w:pPr>
      <w:r w:rsidRPr="00C144F4">
        <w:rPr>
          <w:rFonts w:ascii="Arial" w:hAnsi="Arial" w:cs="Arial"/>
          <w:sz w:val="26"/>
          <w:szCs w:val="26"/>
        </w:rPr>
        <w:t>Esto es así, porque las causas de improcedencia del juicio contencioso administrativo tienen el carácter de presupuestos procesales que deben ser atendidos previamente a la decisión de fondo, porque el análisis de las acciones sólo puede llevarse a efecto si aquél se ha tramitado conforme a los lineamientos establecidos en la ley, pues de no ser así, esta Sala estaría impedida para resolver sobre la controversia propuesta, ya que al impartir justicia en términos del artículo 17 de la Constitución Política de los Estados Unidos Mexicanos, tiene el deber de ajustarse a los mecanismos jurídicos establecidos por el legislador para el ejercicio de la función jurisdiccional.</w:t>
      </w:r>
    </w:p>
    <w:p w:rsidR="00D92B1A" w:rsidRDefault="00D92B1A" w:rsidP="00D92B1A">
      <w:pPr>
        <w:spacing w:line="360" w:lineRule="auto"/>
        <w:ind w:firstLine="708"/>
        <w:jc w:val="both"/>
        <w:rPr>
          <w:rFonts w:ascii="Arial" w:hAnsi="Arial" w:cs="Arial"/>
          <w:sz w:val="26"/>
          <w:szCs w:val="26"/>
        </w:rPr>
      </w:pPr>
    </w:p>
    <w:p w:rsidR="00D92B1A" w:rsidRDefault="00D320A8" w:rsidP="00D92B1A">
      <w:pPr>
        <w:spacing w:line="360" w:lineRule="auto"/>
        <w:ind w:firstLine="708"/>
        <w:jc w:val="both"/>
        <w:rPr>
          <w:rFonts w:ascii="Arial" w:hAnsi="Arial" w:cs="Arial"/>
          <w:sz w:val="26"/>
          <w:szCs w:val="26"/>
        </w:rPr>
      </w:pPr>
      <w:r w:rsidRPr="00C144F4">
        <w:rPr>
          <w:rFonts w:ascii="Arial" w:hAnsi="Arial" w:cs="Arial"/>
          <w:sz w:val="26"/>
          <w:szCs w:val="26"/>
        </w:rPr>
        <w:t xml:space="preserve">Por ello, la improcedencia del juicio contencioso es una cuestión de orden público que debe estudiarse aun de oficio, sin que se permita a los particulares o al Juez su variación, pues no está sujeto a la voluntad de éstos, </w:t>
      </w:r>
      <w:r>
        <w:rPr>
          <w:rFonts w:ascii="Arial" w:hAnsi="Arial" w:cs="Arial"/>
          <w:sz w:val="26"/>
          <w:szCs w:val="26"/>
        </w:rPr>
        <w:t>ya que</w:t>
      </w:r>
      <w:r w:rsidRPr="00C144F4">
        <w:rPr>
          <w:rFonts w:ascii="Arial" w:hAnsi="Arial" w:cs="Arial"/>
          <w:sz w:val="26"/>
          <w:szCs w:val="26"/>
        </w:rPr>
        <w:t xml:space="preserve"> las normas de derecho procesal son obligatorias para todos los sujetos del proceso. Además, la preservación de los juicios no tiene una jerarquía superior a la </w:t>
      </w:r>
      <w:r w:rsidRPr="00C144F4">
        <w:rPr>
          <w:rFonts w:ascii="Arial" w:hAnsi="Arial" w:cs="Arial"/>
          <w:sz w:val="26"/>
          <w:szCs w:val="26"/>
        </w:rPr>
        <w:lastRenderedPageBreak/>
        <w:t xml:space="preserve">seguridad jurídica, porque no es dable legalmente mantener uno que es improcedente en detrimento de una justicia pronta, completa e imparcial. </w:t>
      </w:r>
    </w:p>
    <w:p w:rsidR="00D92B1A" w:rsidRDefault="006A311F" w:rsidP="00D92B1A">
      <w:pPr>
        <w:spacing w:line="360" w:lineRule="auto"/>
        <w:ind w:firstLine="708"/>
        <w:jc w:val="both"/>
        <w:rPr>
          <w:rFonts w:ascii="Arial" w:hAnsi="Arial" w:cs="Arial"/>
          <w:sz w:val="26"/>
          <w:szCs w:val="26"/>
        </w:rPr>
      </w:pPr>
      <w:r>
        <w:rPr>
          <w:rFonts w:ascii="Arial" w:hAnsi="Arial" w:cs="Arial"/>
          <w:sz w:val="26"/>
          <w:szCs w:val="26"/>
        </w:rPr>
        <w:t>Es</w:t>
      </w:r>
      <w:r w:rsidR="00D320A8">
        <w:rPr>
          <w:rFonts w:ascii="Arial" w:hAnsi="Arial" w:cs="Arial"/>
          <w:sz w:val="26"/>
          <w:szCs w:val="26"/>
        </w:rPr>
        <w:t>ta Sala Superior</w:t>
      </w:r>
      <w:r w:rsidR="00D320A8" w:rsidRPr="00C144F4">
        <w:rPr>
          <w:rFonts w:ascii="Arial" w:hAnsi="Arial" w:cs="Arial"/>
          <w:sz w:val="26"/>
          <w:szCs w:val="26"/>
        </w:rPr>
        <w:t xml:space="preserve"> en aras de garantizar la seguridad jurídica de las partes en el proceso, siempre debe asegurarse de que el juicio sea procedente, en cualquier momento de la </w:t>
      </w:r>
      <w:r w:rsidR="00D320A8">
        <w:rPr>
          <w:rFonts w:ascii="Arial" w:hAnsi="Arial" w:cs="Arial"/>
          <w:sz w:val="26"/>
          <w:szCs w:val="26"/>
        </w:rPr>
        <w:t xml:space="preserve">contienda. </w:t>
      </w:r>
    </w:p>
    <w:p w:rsidR="00D92B1A" w:rsidRDefault="00D320A8" w:rsidP="00D92B1A">
      <w:pPr>
        <w:spacing w:line="360" w:lineRule="auto"/>
        <w:ind w:firstLine="708"/>
        <w:jc w:val="both"/>
        <w:rPr>
          <w:rFonts w:ascii="Arial" w:hAnsi="Arial" w:cs="Arial"/>
          <w:sz w:val="26"/>
          <w:szCs w:val="26"/>
        </w:rPr>
      </w:pPr>
      <w:r w:rsidRPr="00C144F4">
        <w:rPr>
          <w:rFonts w:ascii="Arial" w:hAnsi="Arial" w:cs="Arial"/>
          <w:sz w:val="26"/>
          <w:szCs w:val="26"/>
        </w:rPr>
        <w:t>Dicho estudio oficioso se encuent</w:t>
      </w:r>
      <w:r>
        <w:rPr>
          <w:rFonts w:ascii="Arial" w:hAnsi="Arial" w:cs="Arial"/>
          <w:sz w:val="26"/>
          <w:szCs w:val="26"/>
        </w:rPr>
        <w:t>ra contenido implícitamente en el último párrafo del artículo 131,</w:t>
      </w:r>
      <w:r w:rsidR="00BC57AF">
        <w:rPr>
          <w:rFonts w:ascii="Arial" w:hAnsi="Arial" w:cs="Arial"/>
          <w:sz w:val="26"/>
          <w:szCs w:val="26"/>
        </w:rPr>
        <w:t xml:space="preserve"> en relación con el diverso 152</w:t>
      </w:r>
      <w:r>
        <w:rPr>
          <w:rFonts w:ascii="Arial" w:hAnsi="Arial" w:cs="Arial"/>
          <w:sz w:val="26"/>
          <w:szCs w:val="26"/>
        </w:rPr>
        <w:t xml:space="preserve"> de la Ley de </w:t>
      </w:r>
      <w:r w:rsidRPr="00C144F4">
        <w:rPr>
          <w:rFonts w:ascii="Arial" w:hAnsi="Arial" w:cs="Arial"/>
          <w:sz w:val="26"/>
          <w:szCs w:val="26"/>
        </w:rPr>
        <w:t xml:space="preserve">Justicia Administrativa </w:t>
      </w:r>
      <w:r w:rsidR="00BC57AF">
        <w:rPr>
          <w:rFonts w:ascii="Arial" w:hAnsi="Arial" w:cs="Arial"/>
          <w:sz w:val="26"/>
          <w:szCs w:val="26"/>
        </w:rPr>
        <w:t xml:space="preserve">para </w:t>
      </w:r>
      <w:r w:rsidRPr="00C144F4">
        <w:rPr>
          <w:rFonts w:ascii="Arial" w:hAnsi="Arial" w:cs="Arial"/>
          <w:sz w:val="26"/>
          <w:szCs w:val="26"/>
        </w:rPr>
        <w:t xml:space="preserve">el Estado, </w:t>
      </w:r>
      <w:r>
        <w:rPr>
          <w:rFonts w:ascii="Arial" w:hAnsi="Arial" w:cs="Arial"/>
          <w:sz w:val="26"/>
          <w:szCs w:val="26"/>
        </w:rPr>
        <w:t>al prever que las causales de improcedencia deben ser examinadas de oficio y se podrá desechar la demanda si se encontrare motivo manifiesto e indudable de improcedencia.</w:t>
      </w:r>
    </w:p>
    <w:p w:rsidR="00D92B1A" w:rsidRDefault="00C81DC6" w:rsidP="00D92B1A">
      <w:pPr>
        <w:spacing w:line="360" w:lineRule="auto"/>
        <w:ind w:firstLine="708"/>
        <w:jc w:val="both"/>
        <w:rPr>
          <w:rFonts w:ascii="Arial" w:hAnsi="Arial" w:cs="Arial"/>
          <w:sz w:val="26"/>
          <w:szCs w:val="26"/>
        </w:rPr>
      </w:pPr>
      <w:r>
        <w:rPr>
          <w:rFonts w:ascii="Arial" w:hAnsi="Arial" w:cs="Arial"/>
          <w:sz w:val="26"/>
          <w:szCs w:val="26"/>
        </w:rPr>
        <w:t>Ciertamente</w:t>
      </w:r>
      <w:r w:rsidR="00D320A8">
        <w:rPr>
          <w:rFonts w:ascii="Arial" w:hAnsi="Arial" w:cs="Arial"/>
          <w:sz w:val="26"/>
          <w:szCs w:val="26"/>
        </w:rPr>
        <w:t xml:space="preserve">, si el Tribunal </w:t>
      </w:r>
      <w:r w:rsidR="00D320A8" w:rsidRPr="00C144F4">
        <w:rPr>
          <w:rFonts w:ascii="Arial" w:hAnsi="Arial" w:cs="Arial"/>
          <w:sz w:val="26"/>
          <w:szCs w:val="26"/>
        </w:rPr>
        <w:t>de alzada advierte motivo</w:t>
      </w:r>
      <w:r w:rsidR="00D320A8">
        <w:rPr>
          <w:rFonts w:ascii="Arial" w:hAnsi="Arial" w:cs="Arial"/>
          <w:sz w:val="26"/>
          <w:szCs w:val="26"/>
        </w:rPr>
        <w:t>s</w:t>
      </w:r>
      <w:r w:rsidR="00D320A8" w:rsidRPr="00C144F4">
        <w:rPr>
          <w:rFonts w:ascii="Arial" w:hAnsi="Arial" w:cs="Arial"/>
          <w:sz w:val="26"/>
          <w:szCs w:val="26"/>
        </w:rPr>
        <w:t xml:space="preserve"> de improcedencia que </w:t>
      </w:r>
      <w:r w:rsidR="00D320A8">
        <w:rPr>
          <w:rFonts w:ascii="Arial" w:hAnsi="Arial" w:cs="Arial"/>
          <w:sz w:val="26"/>
          <w:szCs w:val="26"/>
        </w:rPr>
        <w:t xml:space="preserve">son </w:t>
      </w:r>
      <w:r w:rsidR="00D320A8" w:rsidRPr="00C144F4">
        <w:rPr>
          <w:rFonts w:ascii="Arial" w:hAnsi="Arial" w:cs="Arial"/>
          <w:sz w:val="26"/>
          <w:szCs w:val="26"/>
        </w:rPr>
        <w:t>de análisis preferente</w:t>
      </w:r>
      <w:r w:rsidR="00D320A8">
        <w:rPr>
          <w:rFonts w:ascii="Arial" w:hAnsi="Arial" w:cs="Arial"/>
          <w:sz w:val="26"/>
          <w:szCs w:val="26"/>
        </w:rPr>
        <w:t>,</w:t>
      </w:r>
      <w:r w:rsidR="00D320A8" w:rsidRPr="00C144F4">
        <w:rPr>
          <w:rFonts w:ascii="Arial" w:hAnsi="Arial" w:cs="Arial"/>
          <w:sz w:val="26"/>
          <w:szCs w:val="26"/>
        </w:rPr>
        <w:t xml:space="preserve"> no debe abordar el estudio de</w:t>
      </w:r>
      <w:r w:rsidR="00D320A8">
        <w:rPr>
          <w:rFonts w:ascii="Arial" w:hAnsi="Arial" w:cs="Arial"/>
          <w:sz w:val="26"/>
          <w:szCs w:val="26"/>
        </w:rPr>
        <w:t xml:space="preserve"> </w:t>
      </w:r>
      <w:r w:rsidR="00D320A8" w:rsidRPr="00C144F4">
        <w:rPr>
          <w:rFonts w:ascii="Arial" w:hAnsi="Arial" w:cs="Arial"/>
          <w:sz w:val="26"/>
          <w:szCs w:val="26"/>
        </w:rPr>
        <w:t>l</w:t>
      </w:r>
      <w:r w:rsidR="00D320A8">
        <w:rPr>
          <w:rFonts w:ascii="Arial" w:hAnsi="Arial" w:cs="Arial"/>
          <w:sz w:val="26"/>
          <w:szCs w:val="26"/>
        </w:rPr>
        <w:t>os</w:t>
      </w:r>
      <w:r w:rsidR="00D320A8" w:rsidRPr="00C144F4">
        <w:rPr>
          <w:rFonts w:ascii="Arial" w:hAnsi="Arial" w:cs="Arial"/>
          <w:sz w:val="26"/>
          <w:szCs w:val="26"/>
        </w:rPr>
        <w:t xml:space="preserve"> agravio</w:t>
      </w:r>
      <w:r w:rsidR="00D320A8">
        <w:rPr>
          <w:rFonts w:ascii="Arial" w:hAnsi="Arial" w:cs="Arial"/>
          <w:sz w:val="26"/>
          <w:szCs w:val="26"/>
        </w:rPr>
        <w:t>s</w:t>
      </w:r>
      <w:r w:rsidR="00D320A8" w:rsidRPr="00C144F4">
        <w:rPr>
          <w:rFonts w:ascii="Arial" w:hAnsi="Arial" w:cs="Arial"/>
          <w:sz w:val="26"/>
          <w:szCs w:val="26"/>
        </w:rPr>
        <w:t xml:space="preserve"> </w:t>
      </w:r>
      <w:r w:rsidR="00D320A8">
        <w:rPr>
          <w:rFonts w:ascii="Arial" w:hAnsi="Arial" w:cs="Arial"/>
          <w:sz w:val="26"/>
          <w:szCs w:val="26"/>
        </w:rPr>
        <w:t>de la recurrente</w:t>
      </w:r>
      <w:r w:rsidR="00D320A8" w:rsidRPr="00C144F4">
        <w:rPr>
          <w:rFonts w:ascii="Arial" w:hAnsi="Arial" w:cs="Arial"/>
          <w:sz w:val="26"/>
          <w:szCs w:val="26"/>
        </w:rPr>
        <w:t>, ya que de hacerlo implicaría una innecesaria dilación en la resolución del asunto, en detrimento de la garantía de prontitud en la administración de justicia</w:t>
      </w:r>
      <w:r w:rsidR="00D320A8">
        <w:rPr>
          <w:rFonts w:ascii="Arial" w:hAnsi="Arial" w:cs="Arial"/>
          <w:sz w:val="26"/>
          <w:szCs w:val="26"/>
        </w:rPr>
        <w:t>.</w:t>
      </w:r>
    </w:p>
    <w:p w:rsidR="007F791F" w:rsidRDefault="00C7368B" w:rsidP="00D92B1A">
      <w:pPr>
        <w:spacing w:line="360" w:lineRule="auto"/>
        <w:ind w:firstLine="708"/>
        <w:jc w:val="both"/>
        <w:rPr>
          <w:rFonts w:ascii="Arial" w:hAnsi="Arial" w:cs="Arial"/>
          <w:bCs/>
          <w:sz w:val="26"/>
          <w:szCs w:val="26"/>
        </w:rPr>
      </w:pPr>
      <w:r>
        <w:rPr>
          <w:rFonts w:ascii="Arial" w:hAnsi="Arial" w:cs="Arial"/>
          <w:bCs/>
          <w:sz w:val="26"/>
          <w:szCs w:val="26"/>
        </w:rPr>
        <w:t>En consecuencia,</w:t>
      </w:r>
      <w:r w:rsidR="007F791F" w:rsidRPr="00B53250">
        <w:rPr>
          <w:rFonts w:ascii="Arial" w:hAnsi="Arial" w:cs="Arial"/>
          <w:bCs/>
          <w:sz w:val="26"/>
          <w:szCs w:val="26"/>
        </w:rPr>
        <w:t xml:space="preserve"> atendiendo a los razonamientos esgrimidos y dado que la Sala de origen ha agotado su jurisdicción</w:t>
      </w:r>
      <w:r w:rsidR="005C5005">
        <w:rPr>
          <w:rFonts w:ascii="Arial" w:hAnsi="Arial" w:cs="Arial"/>
          <w:bCs/>
          <w:sz w:val="26"/>
          <w:szCs w:val="26"/>
        </w:rPr>
        <w:t>;</w:t>
      </w:r>
      <w:r w:rsidR="007F791F" w:rsidRPr="00B53250">
        <w:rPr>
          <w:rFonts w:ascii="Arial" w:hAnsi="Arial" w:cs="Arial"/>
          <w:bCs/>
          <w:sz w:val="26"/>
          <w:szCs w:val="26"/>
        </w:rPr>
        <w:t xml:space="preserve"> pues, aunque de manera incompleta, existe un pronunciamiento que</w:t>
      </w:r>
      <w:r w:rsidR="00737FA6">
        <w:rPr>
          <w:rFonts w:ascii="Arial" w:hAnsi="Arial" w:cs="Arial"/>
          <w:bCs/>
          <w:sz w:val="26"/>
          <w:szCs w:val="26"/>
        </w:rPr>
        <w:t xml:space="preserve"> en el cual se reconoció la validez de la resolución impugnada</w:t>
      </w:r>
      <w:r w:rsidR="007F791F" w:rsidRPr="00B53250">
        <w:rPr>
          <w:rFonts w:ascii="Arial" w:hAnsi="Arial" w:cs="Arial"/>
          <w:bCs/>
          <w:sz w:val="26"/>
          <w:szCs w:val="26"/>
        </w:rPr>
        <w:t>, procede que esta Sala Superior</w:t>
      </w:r>
      <w:r>
        <w:rPr>
          <w:rFonts w:ascii="Arial" w:hAnsi="Arial" w:cs="Arial"/>
          <w:bCs/>
          <w:sz w:val="26"/>
          <w:szCs w:val="26"/>
        </w:rPr>
        <w:t xml:space="preserve"> </w:t>
      </w:r>
      <w:r w:rsidRPr="00C7368B">
        <w:rPr>
          <w:rFonts w:ascii="Arial" w:hAnsi="Arial" w:cs="Arial"/>
          <w:b/>
          <w:bCs/>
          <w:i/>
          <w:sz w:val="26"/>
          <w:szCs w:val="26"/>
        </w:rPr>
        <w:t>reasuma jurisdicción</w:t>
      </w:r>
      <w:r>
        <w:rPr>
          <w:rFonts w:ascii="Arial" w:hAnsi="Arial" w:cs="Arial"/>
          <w:bCs/>
          <w:sz w:val="26"/>
          <w:szCs w:val="26"/>
        </w:rPr>
        <w:t xml:space="preserve"> y</w:t>
      </w:r>
      <w:r w:rsidR="007F791F" w:rsidRPr="00B53250">
        <w:rPr>
          <w:rFonts w:ascii="Arial" w:hAnsi="Arial" w:cs="Arial"/>
          <w:bCs/>
          <w:sz w:val="26"/>
          <w:szCs w:val="26"/>
        </w:rPr>
        <w:t xml:space="preserve"> anali</w:t>
      </w:r>
      <w:r w:rsidR="0038406C">
        <w:rPr>
          <w:rFonts w:ascii="Arial" w:hAnsi="Arial" w:cs="Arial"/>
          <w:bCs/>
          <w:sz w:val="26"/>
          <w:szCs w:val="26"/>
        </w:rPr>
        <w:t>zar</w:t>
      </w:r>
      <w:r w:rsidR="007F791F" w:rsidRPr="00B53250">
        <w:rPr>
          <w:rFonts w:ascii="Arial" w:hAnsi="Arial" w:cs="Arial"/>
          <w:bCs/>
          <w:sz w:val="26"/>
          <w:szCs w:val="26"/>
        </w:rPr>
        <w:t xml:space="preserve"> aquello que fue omitido por la primigenia, lo que de manera alguna implica la suplencia de agravios. Sirve de apoyo, por similitud en el tema, la jurisprudencia de la Novena Época, con número de registro 177094, emitida por el Segundo Tribunal Colegiado del Décimo Primer Circuito, publicada en el Semanario Judicial de la Federación y su Gaceta, Tomo XXII, Octubre de 2005, visible en la página 2075, de rubro y tenor siguientes: </w:t>
      </w:r>
    </w:p>
    <w:p w:rsidR="00D92B1A" w:rsidRPr="00B53250" w:rsidRDefault="00D92B1A" w:rsidP="00D92B1A">
      <w:pPr>
        <w:spacing w:line="360" w:lineRule="auto"/>
        <w:ind w:firstLine="708"/>
        <w:jc w:val="both"/>
        <w:rPr>
          <w:rFonts w:ascii="Arial" w:hAnsi="Arial" w:cs="Arial"/>
          <w:bCs/>
          <w:sz w:val="26"/>
          <w:szCs w:val="26"/>
        </w:rPr>
      </w:pPr>
    </w:p>
    <w:p w:rsidR="00C7368B" w:rsidRDefault="007F791F" w:rsidP="00076BEE">
      <w:pPr>
        <w:pStyle w:val="Sinespaciado"/>
        <w:spacing w:line="276" w:lineRule="auto"/>
        <w:ind w:left="851" w:right="900"/>
        <w:jc w:val="both"/>
        <w:rPr>
          <w:rFonts w:ascii="Arial" w:hAnsi="Arial" w:cs="Arial"/>
          <w:bCs/>
          <w:i/>
          <w:lang w:val="es-MX"/>
        </w:rPr>
      </w:pPr>
      <w:r w:rsidRPr="00B53250">
        <w:rPr>
          <w:rFonts w:ascii="Arial" w:hAnsi="Arial" w:cs="Arial"/>
          <w:bCs/>
          <w:lang w:val="es-MX"/>
        </w:rPr>
        <w:t>“</w:t>
      </w:r>
      <w:r w:rsidRPr="00B53250">
        <w:rPr>
          <w:rFonts w:ascii="Arial" w:hAnsi="Arial" w:cs="Arial"/>
          <w:b/>
          <w:bCs/>
          <w:i/>
          <w:lang w:val="es-MX"/>
        </w:rPr>
        <w:t>AGRAVIOS EN LA APELACIÓN. AL NO EXISTIR REENVÍO EL AD QUEM DEBE REASUMIR JURISDICCIÓN Y ABORDAR OFICIOSAMENTE SU ANÁLISIS, SIN QUE ELLO IMPLIQUE SUPLENCIA DE AQUÉLLOS</w:t>
      </w:r>
      <w:r w:rsidRPr="00B53250">
        <w:rPr>
          <w:rFonts w:ascii="Arial" w:hAnsi="Arial" w:cs="Arial"/>
          <w:bCs/>
          <w:i/>
          <w:lang w:val="es-MX"/>
        </w:rPr>
        <w:t xml:space="preserve">. Si bien es cierto que en la apelación contra el fallo definitivo de primer grado el tribunal de alzada debe concretarse a examinar, a través de los agravios, las acciones, excepciones y defensas que se hayan hecho valer oportunamente en primera instancia, porque de lo contrario el fallo sería incongruente, también lo es que esa regla es general dado que en la apelación no existe reenvío, por lo que el órgano jurisdiccional de segundo grado no puede devolver las actuaciones para que el a quo subsane las omisiones en las que hubiera incurrido, en aras de respetar ese principio de congruencia y no dejar inaudito a ninguno de los contendientes </w:t>
      </w:r>
      <w:r w:rsidRPr="00B53250">
        <w:rPr>
          <w:rFonts w:ascii="Arial" w:hAnsi="Arial" w:cs="Arial"/>
          <w:bCs/>
          <w:i/>
          <w:lang w:val="es-MX"/>
        </w:rPr>
        <w:lastRenderedPageBreak/>
        <w:t xml:space="preserve">por lo que, a fin de resolver la litis natural en todos sus aspectos, el ad </w:t>
      </w:r>
      <w:proofErr w:type="spellStart"/>
      <w:r w:rsidRPr="00B53250">
        <w:rPr>
          <w:rFonts w:ascii="Arial" w:hAnsi="Arial" w:cs="Arial"/>
          <w:bCs/>
          <w:i/>
          <w:lang w:val="es-MX"/>
        </w:rPr>
        <w:t>quem</w:t>
      </w:r>
      <w:proofErr w:type="spellEnd"/>
      <w:r w:rsidRPr="00B53250">
        <w:rPr>
          <w:rFonts w:ascii="Arial" w:hAnsi="Arial" w:cs="Arial"/>
          <w:bCs/>
          <w:i/>
          <w:lang w:val="es-MX"/>
        </w:rPr>
        <w:t xml:space="preserve"> debe reasumir jurisdicción y abordar oficiosamente el análisis correspondiente, sin que ello implique suplencia de los agravios.”</w:t>
      </w:r>
    </w:p>
    <w:p w:rsidR="00D92B1A" w:rsidRDefault="00D92B1A" w:rsidP="00481A72">
      <w:pPr>
        <w:pStyle w:val="Sinespaciado"/>
        <w:spacing w:line="360" w:lineRule="auto"/>
        <w:ind w:left="851" w:right="900"/>
        <w:jc w:val="both"/>
        <w:rPr>
          <w:rFonts w:ascii="Arial" w:hAnsi="Arial" w:cs="Arial"/>
          <w:sz w:val="26"/>
          <w:szCs w:val="26"/>
        </w:rPr>
      </w:pPr>
    </w:p>
    <w:p w:rsidR="00D92B1A" w:rsidRDefault="0009484F" w:rsidP="00076BEE">
      <w:pPr>
        <w:spacing w:line="360" w:lineRule="auto"/>
        <w:ind w:firstLine="708"/>
        <w:jc w:val="both"/>
        <w:rPr>
          <w:rFonts w:ascii="Arial" w:hAnsi="Arial" w:cs="Arial"/>
          <w:sz w:val="26"/>
          <w:szCs w:val="26"/>
        </w:rPr>
      </w:pPr>
      <w:r>
        <w:rPr>
          <w:rFonts w:ascii="Arial" w:hAnsi="Arial" w:cs="Arial"/>
          <w:sz w:val="26"/>
          <w:szCs w:val="26"/>
          <w:lang w:val="es-ES"/>
        </w:rPr>
        <w:t>Así</w:t>
      </w:r>
      <w:r w:rsidR="00D51C04">
        <w:rPr>
          <w:rFonts w:ascii="Arial" w:hAnsi="Arial" w:cs="Arial"/>
          <w:sz w:val="26"/>
          <w:szCs w:val="26"/>
        </w:rPr>
        <w:t xml:space="preserve"> </w:t>
      </w:r>
      <w:r w:rsidR="005C5005">
        <w:rPr>
          <w:rFonts w:ascii="Arial" w:hAnsi="Arial" w:cs="Arial"/>
          <w:sz w:val="26"/>
          <w:szCs w:val="26"/>
        </w:rPr>
        <w:t>se tiene</w:t>
      </w:r>
      <w:r>
        <w:rPr>
          <w:rFonts w:ascii="Arial" w:hAnsi="Arial" w:cs="Arial"/>
          <w:sz w:val="26"/>
          <w:szCs w:val="26"/>
        </w:rPr>
        <w:t>,</w:t>
      </w:r>
      <w:r w:rsidR="005C5005">
        <w:rPr>
          <w:rFonts w:ascii="Arial" w:hAnsi="Arial" w:cs="Arial"/>
          <w:sz w:val="26"/>
          <w:szCs w:val="26"/>
        </w:rPr>
        <w:t xml:space="preserve"> que </w:t>
      </w:r>
      <w:r w:rsidR="00D51C04">
        <w:rPr>
          <w:rFonts w:ascii="Arial" w:hAnsi="Arial" w:cs="Arial"/>
          <w:sz w:val="26"/>
          <w:szCs w:val="26"/>
        </w:rPr>
        <w:t>del análisis de las constancias que integran el expediente de primera instancia que merecen pleno valor probatorio de conformidad con</w:t>
      </w:r>
      <w:r w:rsidR="009E2073">
        <w:rPr>
          <w:rFonts w:ascii="Arial" w:hAnsi="Arial" w:cs="Arial"/>
          <w:sz w:val="26"/>
          <w:szCs w:val="26"/>
        </w:rPr>
        <w:t xml:space="preserve"> lo dispuesto por la fracción I,</w:t>
      </w:r>
      <w:r w:rsidR="00D51C04">
        <w:rPr>
          <w:rFonts w:ascii="Arial" w:hAnsi="Arial" w:cs="Arial"/>
          <w:sz w:val="26"/>
          <w:szCs w:val="26"/>
        </w:rPr>
        <w:t xml:space="preserve"> del artículo 173 de la </w:t>
      </w:r>
      <w:r w:rsidR="007D63EF">
        <w:rPr>
          <w:rFonts w:ascii="Arial" w:hAnsi="Arial" w:cs="Arial"/>
          <w:sz w:val="26"/>
          <w:szCs w:val="26"/>
        </w:rPr>
        <w:t xml:space="preserve">reformada </w:t>
      </w:r>
      <w:r w:rsidR="00D51C04">
        <w:rPr>
          <w:rFonts w:ascii="Arial" w:hAnsi="Arial" w:cs="Arial"/>
          <w:sz w:val="26"/>
          <w:szCs w:val="26"/>
        </w:rPr>
        <w:t>Ley de Justicia Administrativa para el Estado de Oaxaca, por obrar en actuaciones judiciales, se destaca por lo que aquí interesa lo siguiente:</w:t>
      </w:r>
    </w:p>
    <w:p w:rsidR="00C03C75" w:rsidRDefault="001A225A" w:rsidP="009E2073">
      <w:pPr>
        <w:pStyle w:val="Prrafodelista"/>
        <w:numPr>
          <w:ilvl w:val="0"/>
          <w:numId w:val="14"/>
        </w:numPr>
        <w:spacing w:after="160" w:line="360" w:lineRule="auto"/>
        <w:ind w:left="1134" w:firstLine="556"/>
        <w:jc w:val="both"/>
        <w:rPr>
          <w:rFonts w:ascii="Arial" w:hAnsi="Arial" w:cs="Arial"/>
          <w:sz w:val="26"/>
          <w:szCs w:val="26"/>
        </w:rPr>
      </w:pPr>
      <w:r>
        <w:rPr>
          <w:rFonts w:ascii="Arial" w:hAnsi="Arial" w:cs="Arial"/>
          <w:sz w:val="26"/>
          <w:szCs w:val="26"/>
        </w:rPr>
        <w:t xml:space="preserve">Escrito de demanda presentado por Liliana Juárez Córdova en su carácter de apoderada legal del </w:t>
      </w:r>
      <w:r>
        <w:rPr>
          <w:rFonts w:ascii="Arial" w:hAnsi="Arial" w:cs="Arial"/>
          <w:b/>
          <w:sz w:val="26"/>
          <w:szCs w:val="26"/>
        </w:rPr>
        <w:t>INSTITUTO DEL FONDO NACIONAL DE LA VIVIENDA PARA LOS TRABAJADORES,</w:t>
      </w:r>
      <w:r>
        <w:rPr>
          <w:rFonts w:ascii="Arial" w:hAnsi="Arial" w:cs="Arial"/>
          <w:sz w:val="26"/>
          <w:szCs w:val="26"/>
        </w:rPr>
        <w:t xml:space="preserve"> </w:t>
      </w:r>
      <w:r w:rsidR="00851B53">
        <w:rPr>
          <w:rFonts w:ascii="Arial" w:hAnsi="Arial" w:cs="Arial"/>
          <w:sz w:val="26"/>
          <w:szCs w:val="26"/>
        </w:rPr>
        <w:t>en contra de la resolución de fecha 17 diecisiete de noviembre de 2015, emitida por la Dirección General de Notarías</w:t>
      </w:r>
      <w:r w:rsidR="00D73FFB">
        <w:rPr>
          <w:rFonts w:ascii="Arial" w:hAnsi="Arial" w:cs="Arial"/>
          <w:sz w:val="26"/>
          <w:szCs w:val="26"/>
        </w:rPr>
        <w:t>, (fojas 1 a la</w:t>
      </w:r>
      <w:r w:rsidR="00736653">
        <w:rPr>
          <w:rFonts w:ascii="Arial" w:hAnsi="Arial" w:cs="Arial"/>
          <w:sz w:val="26"/>
          <w:szCs w:val="26"/>
        </w:rPr>
        <w:t>19)</w:t>
      </w:r>
      <w:r w:rsidR="00D92B1A">
        <w:rPr>
          <w:rFonts w:ascii="Arial" w:hAnsi="Arial" w:cs="Arial"/>
          <w:sz w:val="26"/>
          <w:szCs w:val="26"/>
        </w:rPr>
        <w:t>.</w:t>
      </w:r>
    </w:p>
    <w:p w:rsidR="001A225A" w:rsidRDefault="00851B53" w:rsidP="009E2073">
      <w:pPr>
        <w:pStyle w:val="Prrafodelista"/>
        <w:numPr>
          <w:ilvl w:val="0"/>
          <w:numId w:val="14"/>
        </w:numPr>
        <w:spacing w:after="160" w:line="360" w:lineRule="auto"/>
        <w:ind w:left="1134" w:firstLine="556"/>
        <w:jc w:val="both"/>
        <w:rPr>
          <w:rFonts w:ascii="Arial" w:hAnsi="Arial" w:cs="Arial"/>
          <w:sz w:val="26"/>
          <w:szCs w:val="26"/>
        </w:rPr>
      </w:pPr>
      <w:r>
        <w:rPr>
          <w:rFonts w:ascii="Arial" w:hAnsi="Arial" w:cs="Arial"/>
          <w:sz w:val="26"/>
          <w:szCs w:val="26"/>
        </w:rPr>
        <w:t xml:space="preserve">Copia certificada del instrumento notarial número 32490, volumen 770, de fecha cuatro de agosto de dos mil quince, </w:t>
      </w:r>
      <w:r w:rsidR="00DA6F20">
        <w:rPr>
          <w:rFonts w:ascii="Arial" w:hAnsi="Arial" w:cs="Arial"/>
          <w:sz w:val="26"/>
          <w:szCs w:val="26"/>
        </w:rPr>
        <w:t>con el cual la parte actora acredita su  personalidad</w:t>
      </w:r>
      <w:r w:rsidR="00736653">
        <w:rPr>
          <w:rFonts w:ascii="Arial" w:hAnsi="Arial" w:cs="Arial"/>
          <w:sz w:val="26"/>
          <w:szCs w:val="26"/>
        </w:rPr>
        <w:t>, (fojas 20 y 21)</w:t>
      </w:r>
      <w:r w:rsidR="00D92B1A">
        <w:rPr>
          <w:rFonts w:ascii="Arial" w:hAnsi="Arial" w:cs="Arial"/>
          <w:sz w:val="26"/>
          <w:szCs w:val="26"/>
        </w:rPr>
        <w:t>.</w:t>
      </w:r>
    </w:p>
    <w:p w:rsidR="00DA6F20" w:rsidRDefault="00DA6F20" w:rsidP="009E2073">
      <w:pPr>
        <w:pStyle w:val="Prrafodelista"/>
        <w:numPr>
          <w:ilvl w:val="0"/>
          <w:numId w:val="14"/>
        </w:numPr>
        <w:spacing w:after="160" w:line="360" w:lineRule="auto"/>
        <w:ind w:left="1134" w:firstLine="556"/>
        <w:jc w:val="both"/>
        <w:rPr>
          <w:rFonts w:ascii="Arial" w:hAnsi="Arial" w:cs="Arial"/>
          <w:sz w:val="26"/>
          <w:szCs w:val="26"/>
        </w:rPr>
      </w:pPr>
      <w:r>
        <w:rPr>
          <w:rFonts w:ascii="Arial" w:hAnsi="Arial" w:cs="Arial"/>
          <w:sz w:val="26"/>
          <w:szCs w:val="26"/>
        </w:rPr>
        <w:t xml:space="preserve">Acuse de recibo de 28 veintiocho de octubre de 2011 dos mil once, de la queja presentada ante el Director General de Notaría del Estado de Oaxaca, por el Gerente de Servicios Jurídicos del </w:t>
      </w:r>
      <w:r w:rsidRPr="00481A72">
        <w:rPr>
          <w:rFonts w:ascii="Arial" w:hAnsi="Arial" w:cs="Arial"/>
          <w:sz w:val="26"/>
          <w:szCs w:val="26"/>
        </w:rPr>
        <w:t>INSTITUTO DEL FONDO NACIONAL DE LA VIVIENDA PARA LOS TRABAJADORES</w:t>
      </w:r>
      <w:r>
        <w:rPr>
          <w:rFonts w:ascii="Arial" w:hAnsi="Arial" w:cs="Arial"/>
          <w:b/>
          <w:sz w:val="26"/>
          <w:szCs w:val="26"/>
        </w:rPr>
        <w:t xml:space="preserve">, </w:t>
      </w:r>
      <w:r w:rsidR="00D968BE">
        <w:rPr>
          <w:rFonts w:ascii="Arial" w:hAnsi="Arial" w:cs="Arial"/>
          <w:sz w:val="26"/>
          <w:szCs w:val="26"/>
        </w:rPr>
        <w:t xml:space="preserve">en contra del licenciado Gerardo Amado Pérez </w:t>
      </w:r>
      <w:proofErr w:type="spellStart"/>
      <w:r w:rsidR="00D968BE">
        <w:rPr>
          <w:rFonts w:ascii="Arial" w:hAnsi="Arial" w:cs="Arial"/>
          <w:sz w:val="26"/>
          <w:szCs w:val="26"/>
        </w:rPr>
        <w:t>Alvarez</w:t>
      </w:r>
      <w:proofErr w:type="spellEnd"/>
      <w:r w:rsidR="00D968BE">
        <w:rPr>
          <w:rFonts w:ascii="Arial" w:hAnsi="Arial" w:cs="Arial"/>
          <w:sz w:val="26"/>
          <w:szCs w:val="26"/>
        </w:rPr>
        <w:t xml:space="preserve">, Notario Público número </w:t>
      </w:r>
      <w:r w:rsidR="00D73FFB">
        <w:rPr>
          <w:rFonts w:ascii="Arial" w:hAnsi="Arial" w:cs="Arial"/>
          <w:sz w:val="26"/>
          <w:szCs w:val="26"/>
        </w:rPr>
        <w:t>ochenta y  n</w:t>
      </w:r>
      <w:r w:rsidR="006611FC">
        <w:rPr>
          <w:rFonts w:ascii="Arial" w:hAnsi="Arial" w:cs="Arial"/>
          <w:sz w:val="26"/>
          <w:szCs w:val="26"/>
        </w:rPr>
        <w:t xml:space="preserve">ueve del Estado </w:t>
      </w:r>
      <w:r w:rsidR="00D968BE">
        <w:rPr>
          <w:rFonts w:ascii="Arial" w:hAnsi="Arial" w:cs="Arial"/>
          <w:sz w:val="26"/>
          <w:szCs w:val="26"/>
        </w:rPr>
        <w:t>del Estado de Oaxaca</w:t>
      </w:r>
      <w:r w:rsidR="00736653">
        <w:rPr>
          <w:rFonts w:ascii="Arial" w:hAnsi="Arial" w:cs="Arial"/>
          <w:sz w:val="26"/>
          <w:szCs w:val="26"/>
        </w:rPr>
        <w:t>, (fojas 48)</w:t>
      </w:r>
      <w:r w:rsidR="00D92B1A">
        <w:rPr>
          <w:rFonts w:ascii="Arial" w:hAnsi="Arial" w:cs="Arial"/>
          <w:sz w:val="26"/>
          <w:szCs w:val="26"/>
        </w:rPr>
        <w:t>.</w:t>
      </w:r>
    </w:p>
    <w:p w:rsidR="00D968BE" w:rsidRDefault="00A93CED" w:rsidP="009E2073">
      <w:pPr>
        <w:pStyle w:val="Prrafodelista"/>
        <w:numPr>
          <w:ilvl w:val="0"/>
          <w:numId w:val="14"/>
        </w:numPr>
        <w:spacing w:after="160" w:line="360" w:lineRule="auto"/>
        <w:ind w:left="1134" w:firstLine="556"/>
        <w:jc w:val="both"/>
        <w:rPr>
          <w:rFonts w:ascii="Arial" w:hAnsi="Arial" w:cs="Arial"/>
          <w:sz w:val="26"/>
          <w:szCs w:val="26"/>
        </w:rPr>
      </w:pPr>
      <w:r>
        <w:rPr>
          <w:rFonts w:ascii="Arial" w:hAnsi="Arial" w:cs="Arial"/>
          <w:sz w:val="26"/>
          <w:szCs w:val="26"/>
        </w:rPr>
        <w:t>Resolución dictada el 17 diecisiete de noviembre de 2015 por el Director General de Notaría</w:t>
      </w:r>
      <w:r w:rsidR="00D73FFB">
        <w:rPr>
          <w:rFonts w:ascii="Arial" w:hAnsi="Arial" w:cs="Arial"/>
          <w:sz w:val="26"/>
          <w:szCs w:val="26"/>
        </w:rPr>
        <w:t>s</w:t>
      </w:r>
      <w:r>
        <w:rPr>
          <w:rFonts w:ascii="Arial" w:hAnsi="Arial" w:cs="Arial"/>
          <w:sz w:val="26"/>
          <w:szCs w:val="26"/>
        </w:rPr>
        <w:t xml:space="preserve"> en el Estado, en la cual se impone al Licenciado Gerardo Amado </w:t>
      </w:r>
      <w:r w:rsidR="00D73FFB">
        <w:rPr>
          <w:rFonts w:ascii="Arial" w:hAnsi="Arial" w:cs="Arial"/>
          <w:sz w:val="26"/>
          <w:szCs w:val="26"/>
        </w:rPr>
        <w:t xml:space="preserve">Pérez </w:t>
      </w:r>
      <w:proofErr w:type="spellStart"/>
      <w:r w:rsidR="00D73FFB">
        <w:rPr>
          <w:rFonts w:ascii="Arial" w:hAnsi="Arial" w:cs="Arial"/>
          <w:sz w:val="26"/>
          <w:szCs w:val="26"/>
        </w:rPr>
        <w:t>Alvarez</w:t>
      </w:r>
      <w:proofErr w:type="spellEnd"/>
      <w:r w:rsidR="00D73FFB">
        <w:rPr>
          <w:rFonts w:ascii="Arial" w:hAnsi="Arial" w:cs="Arial"/>
          <w:sz w:val="26"/>
          <w:szCs w:val="26"/>
        </w:rPr>
        <w:t>, Notario Público ochenta y  n</w:t>
      </w:r>
      <w:r>
        <w:rPr>
          <w:rFonts w:ascii="Arial" w:hAnsi="Arial" w:cs="Arial"/>
          <w:sz w:val="26"/>
          <w:szCs w:val="26"/>
        </w:rPr>
        <w:t>ueve del Estado, amonestación por oficio al no cumplir con lo establecido en el precepto 72 de la Ley del Notario para el Estado de Oaxaca</w:t>
      </w:r>
      <w:r w:rsidR="00F62AD7">
        <w:rPr>
          <w:rFonts w:ascii="Arial" w:hAnsi="Arial" w:cs="Arial"/>
          <w:sz w:val="26"/>
          <w:szCs w:val="26"/>
        </w:rPr>
        <w:t>, (fojas 123-130)</w:t>
      </w:r>
      <w:r>
        <w:rPr>
          <w:rFonts w:ascii="Arial" w:hAnsi="Arial" w:cs="Arial"/>
          <w:sz w:val="26"/>
          <w:szCs w:val="26"/>
        </w:rPr>
        <w:t>.</w:t>
      </w:r>
      <w:r w:rsidR="002D0567">
        <w:rPr>
          <w:rFonts w:ascii="Arial" w:hAnsi="Arial" w:cs="Arial"/>
          <w:sz w:val="26"/>
          <w:szCs w:val="26"/>
        </w:rPr>
        <w:t xml:space="preserve">- </w:t>
      </w:r>
    </w:p>
    <w:p w:rsidR="002B5479" w:rsidRDefault="00AA1D7E" w:rsidP="009E2073">
      <w:pPr>
        <w:pStyle w:val="Prrafodelista"/>
        <w:numPr>
          <w:ilvl w:val="0"/>
          <w:numId w:val="14"/>
        </w:numPr>
        <w:spacing w:after="160" w:line="360" w:lineRule="auto"/>
        <w:ind w:left="1134" w:firstLine="556"/>
        <w:jc w:val="both"/>
        <w:rPr>
          <w:rFonts w:ascii="Arial" w:hAnsi="Arial" w:cs="Arial"/>
          <w:sz w:val="26"/>
          <w:szCs w:val="26"/>
        </w:rPr>
      </w:pPr>
      <w:r>
        <w:rPr>
          <w:rFonts w:ascii="Arial" w:hAnsi="Arial" w:cs="Arial"/>
          <w:sz w:val="26"/>
          <w:szCs w:val="26"/>
        </w:rPr>
        <w:t xml:space="preserve">Acuerdo de 20 veinte de septiembre de 2016 dos mil dieciséis, dictado por la Magistrada de la Séptima Sala Unitaria del otrora Tribunal de lo Contencioso Administrativo y de Cuentas del Poder Judicial del Estado, en el cual se </w:t>
      </w:r>
      <w:r>
        <w:rPr>
          <w:rFonts w:ascii="Arial" w:hAnsi="Arial" w:cs="Arial"/>
          <w:sz w:val="26"/>
          <w:szCs w:val="26"/>
        </w:rPr>
        <w:lastRenderedPageBreak/>
        <w:t xml:space="preserve">admite la demanda de nulidad presentada por la apoderada legal del </w:t>
      </w:r>
      <w:r w:rsidRPr="00481A72">
        <w:rPr>
          <w:rFonts w:ascii="Arial" w:hAnsi="Arial" w:cs="Arial"/>
          <w:sz w:val="26"/>
          <w:szCs w:val="26"/>
        </w:rPr>
        <w:t>INSTITUTO DEL FONDO NACIONAL DE LA VIVIENDA PARA LOS TRABAJADORES</w:t>
      </w:r>
      <w:r>
        <w:rPr>
          <w:rFonts w:ascii="Arial" w:hAnsi="Arial" w:cs="Arial"/>
          <w:b/>
          <w:sz w:val="26"/>
          <w:szCs w:val="26"/>
        </w:rPr>
        <w:t xml:space="preserve">, </w:t>
      </w:r>
      <w:r w:rsidR="002B5479">
        <w:rPr>
          <w:rFonts w:ascii="Arial" w:hAnsi="Arial" w:cs="Arial"/>
          <w:sz w:val="26"/>
          <w:szCs w:val="26"/>
        </w:rPr>
        <w:t>(fojas154y 155).</w:t>
      </w:r>
    </w:p>
    <w:p w:rsidR="002B5479" w:rsidRDefault="009F4EDF" w:rsidP="009E2073">
      <w:pPr>
        <w:pStyle w:val="Prrafodelista"/>
        <w:numPr>
          <w:ilvl w:val="0"/>
          <w:numId w:val="14"/>
        </w:numPr>
        <w:spacing w:after="160" w:line="360" w:lineRule="auto"/>
        <w:ind w:left="1134" w:firstLine="556"/>
        <w:jc w:val="both"/>
        <w:rPr>
          <w:rFonts w:ascii="Arial" w:hAnsi="Arial" w:cs="Arial"/>
          <w:sz w:val="26"/>
          <w:szCs w:val="26"/>
        </w:rPr>
      </w:pPr>
      <w:r>
        <w:rPr>
          <w:rFonts w:ascii="Arial" w:hAnsi="Arial" w:cs="Arial"/>
          <w:sz w:val="26"/>
          <w:szCs w:val="26"/>
        </w:rPr>
        <w:t xml:space="preserve">Oficio CJGEO/DGN/DJ/350/2016 del 27 veintisiete de octubre de 2016 dos mil dieciséis, signado por </w:t>
      </w:r>
      <w:r w:rsidR="001D081F">
        <w:rPr>
          <w:rFonts w:ascii="Arial" w:hAnsi="Arial" w:cs="Arial"/>
          <w:sz w:val="26"/>
          <w:szCs w:val="26"/>
        </w:rPr>
        <w:t xml:space="preserve">Director General de Notaria en el Estado, por medio del cual contesta la demanda, </w:t>
      </w:r>
      <w:r w:rsidR="002B5479">
        <w:rPr>
          <w:rFonts w:ascii="Arial" w:hAnsi="Arial" w:cs="Arial"/>
          <w:sz w:val="26"/>
          <w:szCs w:val="26"/>
        </w:rPr>
        <w:t>(fojas 161-181).</w:t>
      </w:r>
    </w:p>
    <w:p w:rsidR="002B5479" w:rsidRDefault="00E93C2A" w:rsidP="00430B5A">
      <w:pPr>
        <w:pStyle w:val="Prrafodelista"/>
        <w:numPr>
          <w:ilvl w:val="0"/>
          <w:numId w:val="14"/>
        </w:numPr>
        <w:spacing w:after="120" w:line="360" w:lineRule="auto"/>
        <w:ind w:left="1134" w:firstLine="556"/>
        <w:jc w:val="both"/>
        <w:rPr>
          <w:rFonts w:ascii="Arial" w:hAnsi="Arial" w:cs="Arial"/>
          <w:sz w:val="26"/>
          <w:szCs w:val="26"/>
        </w:rPr>
      </w:pPr>
      <w:r>
        <w:rPr>
          <w:rFonts w:ascii="Arial" w:hAnsi="Arial" w:cs="Arial"/>
          <w:sz w:val="26"/>
          <w:szCs w:val="26"/>
        </w:rPr>
        <w:t xml:space="preserve">Resolución de fecha </w:t>
      </w:r>
      <w:r w:rsidR="00430B5A">
        <w:rPr>
          <w:rFonts w:ascii="Arial" w:hAnsi="Arial" w:cs="Arial"/>
          <w:sz w:val="26"/>
          <w:szCs w:val="26"/>
        </w:rPr>
        <w:t xml:space="preserve">17 </w:t>
      </w:r>
      <w:r>
        <w:rPr>
          <w:rFonts w:ascii="Arial" w:hAnsi="Arial" w:cs="Arial"/>
          <w:sz w:val="26"/>
          <w:szCs w:val="26"/>
        </w:rPr>
        <w:t xml:space="preserve">diecisiete de noviembre de </w:t>
      </w:r>
      <w:r w:rsidR="00430B5A">
        <w:rPr>
          <w:rFonts w:ascii="Arial" w:hAnsi="Arial" w:cs="Arial"/>
          <w:sz w:val="26"/>
          <w:szCs w:val="26"/>
        </w:rPr>
        <w:t xml:space="preserve">2015 </w:t>
      </w:r>
      <w:r>
        <w:rPr>
          <w:rFonts w:ascii="Arial" w:hAnsi="Arial" w:cs="Arial"/>
          <w:sz w:val="26"/>
          <w:szCs w:val="26"/>
        </w:rPr>
        <w:t xml:space="preserve">dos mil quince, emitida por el Director General de Notarías en el Estado, en la cual se le impone al Licenciado Gerardo Amado Pérez </w:t>
      </w:r>
      <w:proofErr w:type="spellStart"/>
      <w:r>
        <w:rPr>
          <w:rFonts w:ascii="Arial" w:hAnsi="Arial" w:cs="Arial"/>
          <w:sz w:val="26"/>
          <w:szCs w:val="26"/>
        </w:rPr>
        <w:t>Alvarez</w:t>
      </w:r>
      <w:proofErr w:type="spellEnd"/>
      <w:r>
        <w:rPr>
          <w:rFonts w:ascii="Arial" w:hAnsi="Arial" w:cs="Arial"/>
          <w:sz w:val="26"/>
          <w:szCs w:val="26"/>
        </w:rPr>
        <w:t xml:space="preserve">, Notario Público Número Ochenta y Nueve, </w:t>
      </w:r>
      <w:r w:rsidR="005F37F3">
        <w:rPr>
          <w:rFonts w:ascii="Arial" w:hAnsi="Arial" w:cs="Arial"/>
          <w:sz w:val="26"/>
          <w:szCs w:val="26"/>
        </w:rPr>
        <w:t xml:space="preserve">amonestación por oficio, al incurrir en omisión al no cumplir con lo establecido por el artículo 71 de la Ley </w:t>
      </w:r>
      <w:r w:rsidR="009E2073">
        <w:rPr>
          <w:rFonts w:ascii="Arial" w:hAnsi="Arial" w:cs="Arial"/>
          <w:sz w:val="26"/>
          <w:szCs w:val="26"/>
        </w:rPr>
        <w:t>del Notario Público</w:t>
      </w:r>
      <w:r w:rsidR="001600C0">
        <w:rPr>
          <w:rFonts w:ascii="Arial" w:hAnsi="Arial" w:cs="Arial"/>
          <w:sz w:val="26"/>
          <w:szCs w:val="26"/>
        </w:rPr>
        <w:t>, (fojas 182 a 198)</w:t>
      </w:r>
      <w:r w:rsidR="002B5479">
        <w:rPr>
          <w:rFonts w:ascii="Arial" w:hAnsi="Arial" w:cs="Arial"/>
          <w:sz w:val="26"/>
          <w:szCs w:val="26"/>
        </w:rPr>
        <w:t>.</w:t>
      </w:r>
    </w:p>
    <w:p w:rsidR="002B5479" w:rsidRDefault="002B5479" w:rsidP="002B5479">
      <w:pPr>
        <w:pStyle w:val="Prrafodelista"/>
        <w:spacing w:after="120" w:line="360" w:lineRule="auto"/>
        <w:ind w:left="1690"/>
        <w:jc w:val="both"/>
        <w:rPr>
          <w:rFonts w:ascii="Arial" w:hAnsi="Arial" w:cs="Arial"/>
          <w:sz w:val="26"/>
          <w:szCs w:val="26"/>
        </w:rPr>
      </w:pPr>
    </w:p>
    <w:p w:rsidR="002B5479" w:rsidRDefault="001D1ED8" w:rsidP="002B5479">
      <w:pPr>
        <w:pStyle w:val="Prrafodelista"/>
        <w:spacing w:line="360" w:lineRule="auto"/>
        <w:ind w:left="0" w:firstLine="708"/>
        <w:jc w:val="both"/>
        <w:rPr>
          <w:rFonts w:ascii="Arial" w:eastAsia="Calibri" w:hAnsi="Arial" w:cs="Arial"/>
          <w:bCs/>
          <w:sz w:val="26"/>
          <w:szCs w:val="26"/>
        </w:rPr>
      </w:pPr>
      <w:r w:rsidRPr="005E6450">
        <w:rPr>
          <w:rFonts w:ascii="Arial" w:hAnsi="Arial" w:cs="Arial"/>
          <w:sz w:val="26"/>
          <w:szCs w:val="26"/>
        </w:rPr>
        <w:t xml:space="preserve">Como </w:t>
      </w:r>
      <w:r w:rsidRPr="001D1ED8">
        <w:rPr>
          <w:rFonts w:ascii="Arial" w:hAnsi="Arial" w:cs="Arial"/>
          <w:sz w:val="26"/>
          <w:szCs w:val="26"/>
        </w:rPr>
        <w:t xml:space="preserve">se advierte de lo anterior, </w:t>
      </w:r>
      <w:r w:rsidR="001600C0">
        <w:rPr>
          <w:rFonts w:ascii="Arial" w:hAnsi="Arial" w:cs="Arial"/>
          <w:sz w:val="26"/>
          <w:szCs w:val="26"/>
        </w:rPr>
        <w:t xml:space="preserve">la </w:t>
      </w:r>
      <w:r w:rsidR="00857FF4">
        <w:rPr>
          <w:rFonts w:ascii="Arial" w:hAnsi="Arial" w:cs="Arial"/>
          <w:sz w:val="26"/>
          <w:szCs w:val="26"/>
        </w:rPr>
        <w:t xml:space="preserve">resolución </w:t>
      </w:r>
      <w:r w:rsidR="00430B5A">
        <w:rPr>
          <w:rFonts w:ascii="Arial" w:hAnsi="Arial" w:cs="Arial"/>
          <w:sz w:val="26"/>
          <w:szCs w:val="26"/>
        </w:rPr>
        <w:t>impugnada de 17 diecisiete de noviembre de 2015 dos mil quince</w:t>
      </w:r>
      <w:r w:rsidR="001600C0">
        <w:rPr>
          <w:rFonts w:ascii="Arial" w:hAnsi="Arial" w:cs="Arial"/>
          <w:sz w:val="26"/>
          <w:szCs w:val="26"/>
        </w:rPr>
        <w:t xml:space="preserve">, se emitió al resolverse la queja </w:t>
      </w:r>
      <w:r w:rsidR="00A062CB">
        <w:rPr>
          <w:rFonts w:ascii="Arial" w:hAnsi="Arial" w:cs="Arial"/>
          <w:sz w:val="26"/>
          <w:szCs w:val="26"/>
        </w:rPr>
        <w:t>presentada por el Licenciado Enrique Gutiérrez Vargas, en su carácter de Gerente de Servicios Jurídicos del Instituto del Fondo Nacional de la Vivienda para los Trabajadores, en contra del Licenciado Gerardo Amado</w:t>
      </w:r>
      <w:r w:rsidR="00B925A9">
        <w:rPr>
          <w:rFonts w:ascii="Arial" w:hAnsi="Arial" w:cs="Arial"/>
          <w:sz w:val="26"/>
          <w:szCs w:val="26"/>
        </w:rPr>
        <w:t xml:space="preserve"> Pérez</w:t>
      </w:r>
      <w:r w:rsidR="00A062CB">
        <w:rPr>
          <w:rFonts w:ascii="Arial" w:hAnsi="Arial" w:cs="Arial"/>
          <w:sz w:val="26"/>
          <w:szCs w:val="26"/>
        </w:rPr>
        <w:t xml:space="preserve"> Á</w:t>
      </w:r>
      <w:r w:rsidR="00DF3310">
        <w:rPr>
          <w:rFonts w:ascii="Arial" w:hAnsi="Arial" w:cs="Arial"/>
          <w:sz w:val="26"/>
          <w:szCs w:val="26"/>
        </w:rPr>
        <w:t>lvarez, Notario Público Número o</w:t>
      </w:r>
      <w:r w:rsidR="00A062CB">
        <w:rPr>
          <w:rFonts w:ascii="Arial" w:hAnsi="Arial" w:cs="Arial"/>
          <w:sz w:val="26"/>
          <w:szCs w:val="26"/>
        </w:rPr>
        <w:t>chenta</w:t>
      </w:r>
      <w:r w:rsidR="00B925A9">
        <w:rPr>
          <w:rFonts w:ascii="Arial" w:hAnsi="Arial" w:cs="Arial"/>
          <w:sz w:val="26"/>
          <w:szCs w:val="26"/>
        </w:rPr>
        <w:t xml:space="preserve"> </w:t>
      </w:r>
      <w:r w:rsidR="00A062CB">
        <w:rPr>
          <w:rFonts w:ascii="Arial" w:hAnsi="Arial" w:cs="Arial"/>
          <w:sz w:val="26"/>
          <w:szCs w:val="26"/>
        </w:rPr>
        <w:t>y</w:t>
      </w:r>
      <w:r w:rsidR="00DF3310">
        <w:rPr>
          <w:rFonts w:ascii="Arial" w:hAnsi="Arial" w:cs="Arial"/>
          <w:sz w:val="26"/>
          <w:szCs w:val="26"/>
        </w:rPr>
        <w:t xml:space="preserve"> n</w:t>
      </w:r>
      <w:r w:rsidR="00A062CB">
        <w:rPr>
          <w:rFonts w:ascii="Arial" w:hAnsi="Arial" w:cs="Arial"/>
          <w:sz w:val="26"/>
          <w:szCs w:val="26"/>
        </w:rPr>
        <w:t xml:space="preserve">ueve </w:t>
      </w:r>
      <w:r w:rsidR="003C09E5">
        <w:rPr>
          <w:rFonts w:ascii="Arial" w:hAnsi="Arial" w:cs="Arial"/>
          <w:sz w:val="26"/>
          <w:szCs w:val="26"/>
        </w:rPr>
        <w:t xml:space="preserve">en el Estado, en la que el Director General de Notarías en el Estado, por una parte se declara incompetente para conocer de los hechos </w:t>
      </w:r>
      <w:r w:rsidR="003C09E5">
        <w:rPr>
          <w:rFonts w:ascii="Arial" w:eastAsia="Calibri" w:hAnsi="Arial" w:cs="Arial"/>
          <w:bCs/>
          <w:sz w:val="26"/>
          <w:szCs w:val="26"/>
        </w:rPr>
        <w:t>relacionados con el pago de impuestos, derechos e inscripción registral y catastral, incluyendo las sesenta y nueve viviendas</w:t>
      </w:r>
      <w:r w:rsidR="00157C9E">
        <w:rPr>
          <w:rFonts w:ascii="Arial" w:eastAsia="Calibri" w:hAnsi="Arial" w:cs="Arial"/>
          <w:bCs/>
          <w:sz w:val="26"/>
          <w:szCs w:val="26"/>
        </w:rPr>
        <w:t xml:space="preserve">, y respecto a </w:t>
      </w:r>
      <w:r w:rsidR="003C09E5">
        <w:rPr>
          <w:rFonts w:ascii="Arial" w:eastAsia="Calibri" w:hAnsi="Arial" w:cs="Arial"/>
          <w:bCs/>
          <w:sz w:val="26"/>
          <w:szCs w:val="26"/>
        </w:rPr>
        <w:t>la obligación del Notario de informar al I</w:t>
      </w:r>
      <w:r w:rsidR="00157C9E">
        <w:rPr>
          <w:rFonts w:ascii="Arial" w:eastAsia="Calibri" w:hAnsi="Arial" w:cs="Arial"/>
          <w:bCs/>
          <w:sz w:val="26"/>
          <w:szCs w:val="26"/>
        </w:rPr>
        <w:t>nstituto de Fondo Nacional de Vivienda para los Trabajadores,</w:t>
      </w:r>
      <w:r w:rsidR="003C09E5">
        <w:rPr>
          <w:rFonts w:ascii="Arial" w:eastAsia="Calibri" w:hAnsi="Arial" w:cs="Arial"/>
          <w:bCs/>
          <w:sz w:val="26"/>
          <w:szCs w:val="26"/>
        </w:rPr>
        <w:t xml:space="preserve"> sobre la formalización e inscripción de los instrumentos en los que conste el otorgamiento de créditos y la constitución de garantías hipotecarias, </w:t>
      </w:r>
      <w:r w:rsidR="00157C9E">
        <w:rPr>
          <w:rFonts w:ascii="Arial" w:eastAsia="Calibri" w:hAnsi="Arial" w:cs="Arial"/>
          <w:bCs/>
          <w:sz w:val="26"/>
          <w:szCs w:val="26"/>
        </w:rPr>
        <w:t>al estar vinculado al cumplimiento del contrato de prestación de servicios</w:t>
      </w:r>
      <w:r w:rsidR="00147A24">
        <w:rPr>
          <w:rFonts w:ascii="Arial" w:eastAsia="Calibri" w:hAnsi="Arial" w:cs="Arial"/>
          <w:bCs/>
          <w:sz w:val="26"/>
          <w:szCs w:val="26"/>
        </w:rPr>
        <w:t xml:space="preserve">; y por otra, procede imponerle al Licenciado Gerardo Amado Pérez </w:t>
      </w:r>
      <w:r w:rsidR="004A231E">
        <w:rPr>
          <w:rFonts w:ascii="Arial" w:eastAsia="Calibri" w:hAnsi="Arial" w:cs="Arial"/>
          <w:bCs/>
          <w:sz w:val="26"/>
          <w:szCs w:val="26"/>
        </w:rPr>
        <w:t>Álvarez</w:t>
      </w:r>
      <w:r w:rsidR="00DF3310">
        <w:rPr>
          <w:rFonts w:ascii="Arial" w:eastAsia="Calibri" w:hAnsi="Arial" w:cs="Arial"/>
          <w:bCs/>
          <w:sz w:val="26"/>
          <w:szCs w:val="26"/>
        </w:rPr>
        <w:t>, Notario Público Número ochenta y n</w:t>
      </w:r>
      <w:r w:rsidR="00147A24">
        <w:rPr>
          <w:rFonts w:ascii="Arial" w:eastAsia="Calibri" w:hAnsi="Arial" w:cs="Arial"/>
          <w:bCs/>
          <w:sz w:val="26"/>
          <w:szCs w:val="26"/>
        </w:rPr>
        <w:t xml:space="preserve">ueve, amonestación por oficio al haber incurrido en la omisión al no </w:t>
      </w:r>
      <w:r w:rsidR="003F1C9D">
        <w:rPr>
          <w:rFonts w:ascii="Arial" w:eastAsia="Calibri" w:hAnsi="Arial" w:cs="Arial"/>
          <w:bCs/>
          <w:sz w:val="26"/>
          <w:szCs w:val="26"/>
        </w:rPr>
        <w:t>cumplir</w:t>
      </w:r>
      <w:r w:rsidR="00147A24">
        <w:rPr>
          <w:rFonts w:ascii="Arial" w:eastAsia="Calibri" w:hAnsi="Arial" w:cs="Arial"/>
          <w:bCs/>
          <w:sz w:val="26"/>
          <w:szCs w:val="26"/>
        </w:rPr>
        <w:t xml:space="preserve"> con lo establecido en el precepto 71 del a Ley del Notario para el Estado de Oaxaca</w:t>
      </w:r>
      <w:r w:rsidR="002B5479">
        <w:rPr>
          <w:rFonts w:ascii="Arial" w:eastAsia="Calibri" w:hAnsi="Arial" w:cs="Arial"/>
          <w:bCs/>
          <w:sz w:val="26"/>
          <w:szCs w:val="26"/>
        </w:rPr>
        <w:t>.</w:t>
      </w:r>
    </w:p>
    <w:p w:rsidR="002B5479" w:rsidRDefault="000C0B8F" w:rsidP="002B5479">
      <w:pPr>
        <w:pStyle w:val="Prrafodelista"/>
        <w:spacing w:line="360" w:lineRule="auto"/>
        <w:ind w:left="0" w:firstLine="708"/>
        <w:jc w:val="both"/>
        <w:rPr>
          <w:rFonts w:ascii="Arial" w:eastAsia="Calibri" w:hAnsi="Arial" w:cs="Arial"/>
          <w:bCs/>
          <w:sz w:val="26"/>
          <w:szCs w:val="26"/>
        </w:rPr>
      </w:pPr>
      <w:r>
        <w:rPr>
          <w:rFonts w:ascii="Arial" w:eastAsia="Calibri" w:hAnsi="Arial" w:cs="Arial"/>
          <w:bCs/>
          <w:sz w:val="26"/>
          <w:szCs w:val="26"/>
        </w:rPr>
        <w:t>S</w:t>
      </w:r>
      <w:r w:rsidR="003F1C9D">
        <w:rPr>
          <w:rFonts w:ascii="Arial" w:eastAsia="Calibri" w:hAnsi="Arial" w:cs="Arial"/>
          <w:bCs/>
          <w:sz w:val="26"/>
          <w:szCs w:val="26"/>
        </w:rPr>
        <w:t xml:space="preserve">i bien la resolución impugnada deriva de la </w:t>
      </w:r>
      <w:r w:rsidR="001D1ED8">
        <w:rPr>
          <w:rFonts w:ascii="Arial" w:eastAsia="Calibri" w:hAnsi="Arial" w:cs="Arial"/>
          <w:bCs/>
          <w:sz w:val="26"/>
          <w:szCs w:val="26"/>
        </w:rPr>
        <w:t xml:space="preserve">referida </w:t>
      </w:r>
      <w:r w:rsidR="004F02A5">
        <w:rPr>
          <w:rFonts w:ascii="Arial" w:eastAsia="Calibri" w:hAnsi="Arial" w:cs="Arial"/>
          <w:bCs/>
          <w:sz w:val="26"/>
          <w:szCs w:val="26"/>
        </w:rPr>
        <w:t xml:space="preserve">queja, </w:t>
      </w:r>
      <w:r w:rsidR="002E59BE" w:rsidRPr="00E404DE">
        <w:rPr>
          <w:rFonts w:ascii="Arial" w:hAnsi="Arial" w:cs="Arial"/>
          <w:b/>
          <w:i/>
          <w:sz w:val="26"/>
          <w:szCs w:val="26"/>
        </w:rPr>
        <w:t xml:space="preserve">la misma no </w:t>
      </w:r>
      <w:r w:rsidR="00D40FEA" w:rsidRPr="00E404DE">
        <w:rPr>
          <w:rFonts w:ascii="Arial" w:hAnsi="Arial" w:cs="Arial"/>
          <w:b/>
          <w:bCs/>
          <w:i/>
          <w:sz w:val="26"/>
          <w:szCs w:val="26"/>
        </w:rPr>
        <w:t>afecta el interés jurídico ni legítimo de la parte actora</w:t>
      </w:r>
      <w:r w:rsidR="002E59BE" w:rsidRPr="00E404DE">
        <w:rPr>
          <w:rFonts w:ascii="Arial" w:hAnsi="Arial" w:cs="Arial"/>
          <w:b/>
          <w:bCs/>
          <w:i/>
          <w:sz w:val="26"/>
          <w:szCs w:val="26"/>
        </w:rPr>
        <w:t xml:space="preserve"> para demandar el juicio de nulidad</w:t>
      </w:r>
      <w:r w:rsidR="00D40FEA" w:rsidRPr="00E404DE">
        <w:rPr>
          <w:rFonts w:ascii="Arial" w:hAnsi="Arial" w:cs="Arial"/>
          <w:b/>
          <w:bCs/>
          <w:i/>
          <w:sz w:val="26"/>
          <w:szCs w:val="26"/>
        </w:rPr>
        <w:t>,</w:t>
      </w:r>
      <w:r w:rsidR="002E59BE" w:rsidRPr="00E404DE">
        <w:rPr>
          <w:rFonts w:ascii="Arial" w:hAnsi="Arial" w:cs="Arial"/>
          <w:b/>
          <w:bCs/>
          <w:i/>
          <w:sz w:val="26"/>
          <w:szCs w:val="26"/>
        </w:rPr>
        <w:t xml:space="preserve"> como lo establece el artículo 134 fracción II de la Ley de Justicia Administrativa del Estado, </w:t>
      </w:r>
      <w:r w:rsidR="00A80FA1" w:rsidRPr="00E404DE">
        <w:rPr>
          <w:rFonts w:ascii="Arial" w:hAnsi="Arial" w:cs="Arial"/>
          <w:b/>
          <w:bCs/>
          <w:i/>
          <w:sz w:val="26"/>
          <w:szCs w:val="26"/>
        </w:rPr>
        <w:lastRenderedPageBreak/>
        <w:t>dando como consecuencia el sobreseimiento del juicio</w:t>
      </w:r>
      <w:r w:rsidR="00C95440">
        <w:rPr>
          <w:rFonts w:ascii="Arial" w:hAnsi="Arial" w:cs="Arial"/>
          <w:bCs/>
          <w:sz w:val="26"/>
          <w:szCs w:val="26"/>
        </w:rPr>
        <w:t>,</w:t>
      </w:r>
      <w:r w:rsidR="00E91046">
        <w:rPr>
          <w:rFonts w:ascii="Arial" w:hAnsi="Arial" w:cs="Arial"/>
          <w:sz w:val="26"/>
          <w:szCs w:val="26"/>
        </w:rPr>
        <w:t xml:space="preserve"> </w:t>
      </w:r>
      <w:r w:rsidR="002E59BE">
        <w:rPr>
          <w:rFonts w:ascii="Arial" w:hAnsi="Arial" w:cs="Arial"/>
          <w:bCs/>
          <w:sz w:val="26"/>
          <w:szCs w:val="26"/>
        </w:rPr>
        <w:t xml:space="preserve">porque en dicho fallo se sancionó la obligación que como Notario Público tiene el Licenciado Gerardo Amado Pérez Álvarez, al haber incurrido en omisión </w:t>
      </w:r>
      <w:r w:rsidR="00481A72">
        <w:rPr>
          <w:rFonts w:ascii="Arial" w:hAnsi="Arial" w:cs="Arial"/>
          <w:bCs/>
          <w:sz w:val="26"/>
          <w:szCs w:val="26"/>
        </w:rPr>
        <w:t>por no</w:t>
      </w:r>
      <w:r w:rsidR="002E59BE">
        <w:rPr>
          <w:rFonts w:ascii="Arial" w:hAnsi="Arial" w:cs="Arial"/>
          <w:bCs/>
          <w:sz w:val="26"/>
          <w:szCs w:val="26"/>
        </w:rPr>
        <w:t xml:space="preserve"> cumplir con lo establecido </w:t>
      </w:r>
      <w:r w:rsidR="00481A72">
        <w:rPr>
          <w:rFonts w:ascii="Arial" w:hAnsi="Arial" w:cs="Arial"/>
          <w:bCs/>
          <w:sz w:val="26"/>
          <w:szCs w:val="26"/>
        </w:rPr>
        <w:t>en</w:t>
      </w:r>
      <w:r w:rsidR="002E59BE">
        <w:rPr>
          <w:rFonts w:ascii="Arial" w:hAnsi="Arial" w:cs="Arial"/>
          <w:bCs/>
          <w:sz w:val="26"/>
          <w:szCs w:val="26"/>
        </w:rPr>
        <w:t xml:space="preserve"> el artículo 71 de la Ley del Notario para el Estado de Oaxaca, </w:t>
      </w:r>
      <w:r w:rsidR="00A80FA1">
        <w:rPr>
          <w:rFonts w:ascii="Arial" w:eastAsia="Calibri" w:hAnsi="Arial" w:cs="Arial"/>
          <w:bCs/>
          <w:sz w:val="26"/>
          <w:szCs w:val="26"/>
        </w:rPr>
        <w:t xml:space="preserve">consistente en la falta de firma de la fiduciaria en sesenta y nueve escrituras, derivadas de los créditos otorgados por el </w:t>
      </w:r>
      <w:r w:rsidR="00481A72" w:rsidRPr="00481A72">
        <w:rPr>
          <w:rFonts w:ascii="Arial" w:hAnsi="Arial" w:cs="Arial"/>
          <w:sz w:val="26"/>
          <w:szCs w:val="26"/>
        </w:rPr>
        <w:t>INSTITUTO DEL FONDO NACIONAL DE LA VIVIENDA PARA LOS TRABAJADORES</w:t>
      </w:r>
      <w:r w:rsidR="00A80FA1" w:rsidRPr="00481A72">
        <w:rPr>
          <w:rFonts w:ascii="Arial" w:eastAsia="Calibri" w:hAnsi="Arial" w:cs="Arial"/>
          <w:bCs/>
          <w:sz w:val="26"/>
          <w:szCs w:val="26"/>
        </w:rPr>
        <w:t>, hechos</w:t>
      </w:r>
      <w:r w:rsidR="00A80FA1">
        <w:rPr>
          <w:rFonts w:ascii="Arial" w:eastAsia="Calibri" w:hAnsi="Arial" w:cs="Arial"/>
          <w:bCs/>
          <w:sz w:val="26"/>
          <w:szCs w:val="26"/>
        </w:rPr>
        <w:t xml:space="preserve"> que fueron investigados por la Dirección General de Notarías  en el Estado</w:t>
      </w:r>
      <w:r w:rsidR="002B5479">
        <w:rPr>
          <w:rFonts w:ascii="Arial" w:eastAsia="Calibri" w:hAnsi="Arial" w:cs="Arial"/>
          <w:bCs/>
          <w:sz w:val="26"/>
          <w:szCs w:val="26"/>
        </w:rPr>
        <w:t>.</w:t>
      </w:r>
    </w:p>
    <w:p w:rsidR="002B5479" w:rsidRDefault="002B5479" w:rsidP="002B5479">
      <w:pPr>
        <w:pStyle w:val="Prrafodelista"/>
        <w:spacing w:line="360" w:lineRule="auto"/>
        <w:ind w:left="0" w:firstLine="708"/>
        <w:jc w:val="both"/>
        <w:rPr>
          <w:rFonts w:ascii="Arial" w:eastAsia="Calibri" w:hAnsi="Arial" w:cs="Arial"/>
          <w:bCs/>
          <w:sz w:val="26"/>
          <w:szCs w:val="26"/>
        </w:rPr>
      </w:pPr>
    </w:p>
    <w:p w:rsidR="002B5479" w:rsidRDefault="00E404DE" w:rsidP="002B5479">
      <w:pPr>
        <w:pStyle w:val="Prrafodelista"/>
        <w:spacing w:line="360" w:lineRule="auto"/>
        <w:ind w:left="0" w:firstLine="708"/>
        <w:jc w:val="both"/>
        <w:rPr>
          <w:rFonts w:ascii="Arial" w:hAnsi="Arial" w:cs="Arial"/>
          <w:bCs/>
          <w:sz w:val="26"/>
          <w:szCs w:val="26"/>
        </w:rPr>
      </w:pPr>
      <w:r>
        <w:rPr>
          <w:rFonts w:ascii="Arial" w:hAnsi="Arial" w:cs="Arial"/>
          <w:bCs/>
          <w:sz w:val="26"/>
          <w:szCs w:val="26"/>
        </w:rPr>
        <w:t>D</w:t>
      </w:r>
      <w:r w:rsidR="00D40FEA">
        <w:rPr>
          <w:rFonts w:ascii="Arial" w:hAnsi="Arial" w:cs="Arial"/>
          <w:bCs/>
          <w:sz w:val="26"/>
          <w:szCs w:val="26"/>
        </w:rPr>
        <w:t>ebe entender por</w:t>
      </w:r>
      <w:r w:rsidR="00D40FEA" w:rsidRPr="00F46634">
        <w:rPr>
          <w:rFonts w:ascii="Arial" w:hAnsi="Arial" w:cs="Arial"/>
          <w:bCs/>
          <w:sz w:val="26"/>
          <w:szCs w:val="26"/>
        </w:rPr>
        <w:t xml:space="preserve"> </w:t>
      </w:r>
      <w:r w:rsidR="00D40FEA" w:rsidRPr="00E404DE">
        <w:rPr>
          <w:rFonts w:ascii="Arial" w:hAnsi="Arial" w:cs="Arial"/>
          <w:b/>
          <w:bCs/>
          <w:sz w:val="26"/>
          <w:szCs w:val="26"/>
        </w:rPr>
        <w:t>interés jurídico</w:t>
      </w:r>
      <w:r>
        <w:rPr>
          <w:rFonts w:ascii="Arial" w:hAnsi="Arial" w:cs="Arial"/>
          <w:bCs/>
          <w:sz w:val="26"/>
          <w:szCs w:val="26"/>
        </w:rPr>
        <w:t>,</w:t>
      </w:r>
      <w:r w:rsidR="00D40FEA" w:rsidRPr="00F46634">
        <w:rPr>
          <w:rFonts w:ascii="Arial" w:hAnsi="Arial" w:cs="Arial"/>
          <w:bCs/>
          <w:sz w:val="26"/>
          <w:szCs w:val="26"/>
        </w:rPr>
        <w:t xml:space="preserve"> </w:t>
      </w:r>
      <w:r w:rsidR="00D40FEA">
        <w:rPr>
          <w:rFonts w:ascii="Arial" w:hAnsi="Arial" w:cs="Arial"/>
          <w:bCs/>
          <w:sz w:val="26"/>
          <w:szCs w:val="26"/>
        </w:rPr>
        <w:t xml:space="preserve">la </w:t>
      </w:r>
      <w:r w:rsidR="00D40FEA" w:rsidRPr="00F46634">
        <w:rPr>
          <w:rFonts w:ascii="Arial" w:hAnsi="Arial" w:cs="Arial"/>
          <w:bCs/>
          <w:sz w:val="26"/>
          <w:szCs w:val="26"/>
        </w:rPr>
        <w:t>noción fundamental para la constitución de la existencia o actualización de un derecho subjetivo jurídicamente tutelado que puede afectarse, ya sea por la violación de ese derecho, o bien, por el desconocimiento del mismo por virtud de un acto de autoridad</w:t>
      </w:r>
      <w:r>
        <w:rPr>
          <w:rFonts w:ascii="Arial" w:hAnsi="Arial" w:cs="Arial"/>
          <w:bCs/>
          <w:sz w:val="26"/>
          <w:szCs w:val="26"/>
        </w:rPr>
        <w:t xml:space="preserve">; </w:t>
      </w:r>
      <w:r w:rsidR="00D40FEA" w:rsidRPr="00F46634">
        <w:rPr>
          <w:rFonts w:ascii="Arial" w:hAnsi="Arial" w:cs="Arial"/>
          <w:bCs/>
          <w:sz w:val="26"/>
          <w:szCs w:val="26"/>
        </w:rPr>
        <w:t>de ahí que sólo el titular de algún derecho legítimamente protegible</w:t>
      </w:r>
      <w:r>
        <w:rPr>
          <w:rFonts w:ascii="Arial" w:hAnsi="Arial" w:cs="Arial"/>
          <w:bCs/>
          <w:sz w:val="26"/>
          <w:szCs w:val="26"/>
        </w:rPr>
        <w:t>,</w:t>
      </w:r>
      <w:r w:rsidR="00D40FEA" w:rsidRPr="00F46634">
        <w:rPr>
          <w:rFonts w:ascii="Arial" w:hAnsi="Arial" w:cs="Arial"/>
          <w:bCs/>
          <w:sz w:val="26"/>
          <w:szCs w:val="26"/>
        </w:rPr>
        <w:t xml:space="preserve"> pueda acudir ante el órgano jurisdiccional competente</w:t>
      </w:r>
      <w:r>
        <w:rPr>
          <w:rFonts w:ascii="Arial" w:hAnsi="Arial" w:cs="Arial"/>
          <w:bCs/>
          <w:sz w:val="26"/>
          <w:szCs w:val="26"/>
        </w:rPr>
        <w:t>,</w:t>
      </w:r>
      <w:r w:rsidR="00D40FEA" w:rsidRPr="00F46634">
        <w:rPr>
          <w:rFonts w:ascii="Arial" w:hAnsi="Arial" w:cs="Arial"/>
          <w:bCs/>
          <w:sz w:val="26"/>
          <w:szCs w:val="26"/>
        </w:rPr>
        <w:t xml:space="preserve"> para reclamar el cumplimiento de un derecho o de una obligaci</w:t>
      </w:r>
      <w:r w:rsidR="00D40FEA">
        <w:rPr>
          <w:rFonts w:ascii="Arial" w:hAnsi="Arial" w:cs="Arial"/>
          <w:bCs/>
          <w:sz w:val="26"/>
          <w:szCs w:val="26"/>
        </w:rPr>
        <w:t>ón a cargo del Estado</w:t>
      </w:r>
      <w:r>
        <w:rPr>
          <w:rFonts w:ascii="Arial" w:hAnsi="Arial" w:cs="Arial"/>
          <w:bCs/>
          <w:sz w:val="26"/>
          <w:szCs w:val="26"/>
        </w:rPr>
        <w:t>;</w:t>
      </w:r>
      <w:r w:rsidR="00D40FEA">
        <w:rPr>
          <w:rFonts w:ascii="Arial" w:hAnsi="Arial" w:cs="Arial"/>
          <w:bCs/>
          <w:sz w:val="26"/>
          <w:szCs w:val="26"/>
        </w:rPr>
        <w:t xml:space="preserve"> y el </w:t>
      </w:r>
      <w:r w:rsidR="00D40FEA" w:rsidRPr="00E404DE">
        <w:rPr>
          <w:rFonts w:ascii="Arial" w:hAnsi="Arial" w:cs="Arial"/>
          <w:b/>
          <w:bCs/>
          <w:sz w:val="26"/>
          <w:szCs w:val="26"/>
        </w:rPr>
        <w:t xml:space="preserve">interés </w:t>
      </w:r>
      <w:r w:rsidRPr="00E404DE">
        <w:rPr>
          <w:rFonts w:ascii="Arial" w:hAnsi="Arial" w:cs="Arial"/>
          <w:b/>
          <w:bCs/>
          <w:sz w:val="26"/>
          <w:szCs w:val="26"/>
        </w:rPr>
        <w:t>legítimo</w:t>
      </w:r>
      <w:r>
        <w:rPr>
          <w:rFonts w:ascii="Arial" w:hAnsi="Arial" w:cs="Arial"/>
          <w:bCs/>
          <w:sz w:val="26"/>
          <w:szCs w:val="26"/>
        </w:rPr>
        <w:t>,</w:t>
      </w:r>
      <w:r w:rsidR="00D40FEA">
        <w:rPr>
          <w:rFonts w:ascii="Arial" w:hAnsi="Arial" w:cs="Arial"/>
          <w:bCs/>
          <w:sz w:val="26"/>
          <w:szCs w:val="26"/>
        </w:rPr>
        <w:t xml:space="preserve"> como la afectación a la esfera jurídica de una persona, por la simple emisión de un acto de autoridad</w:t>
      </w:r>
      <w:r w:rsidR="00964E68">
        <w:rPr>
          <w:rFonts w:ascii="Arial" w:hAnsi="Arial" w:cs="Arial"/>
          <w:bCs/>
          <w:sz w:val="26"/>
          <w:szCs w:val="26"/>
        </w:rPr>
        <w:t>. P</w:t>
      </w:r>
      <w:r w:rsidR="00D40FEA">
        <w:rPr>
          <w:rFonts w:ascii="Arial" w:hAnsi="Arial" w:cs="Arial"/>
          <w:bCs/>
          <w:sz w:val="26"/>
          <w:szCs w:val="26"/>
        </w:rPr>
        <w:t>or tanto al no existir esos requisitos indispensables, la Primera Instancia se encontraba impedida para</w:t>
      </w:r>
      <w:r w:rsidR="002B5479">
        <w:rPr>
          <w:rFonts w:ascii="Arial" w:hAnsi="Arial" w:cs="Arial"/>
          <w:bCs/>
          <w:sz w:val="26"/>
          <w:szCs w:val="26"/>
        </w:rPr>
        <w:t xml:space="preserve"> estudiar el fondo del asunto.</w:t>
      </w:r>
    </w:p>
    <w:p w:rsidR="002B5479" w:rsidRPr="007D63EF" w:rsidRDefault="00964E68" w:rsidP="007D63EF">
      <w:pPr>
        <w:pStyle w:val="Prrafodelista"/>
        <w:spacing w:line="360" w:lineRule="auto"/>
        <w:ind w:left="0" w:firstLine="708"/>
        <w:jc w:val="both"/>
        <w:rPr>
          <w:rFonts w:ascii="Arial" w:hAnsi="Arial" w:cs="Arial"/>
          <w:sz w:val="26"/>
          <w:szCs w:val="26"/>
        </w:rPr>
      </w:pPr>
      <w:r>
        <w:rPr>
          <w:rFonts w:ascii="Arial" w:hAnsi="Arial" w:cs="Arial"/>
          <w:bCs/>
          <w:sz w:val="26"/>
          <w:szCs w:val="26"/>
        </w:rPr>
        <w:t xml:space="preserve">En esas condiciones, </w:t>
      </w:r>
      <w:r w:rsidR="0009484F">
        <w:rPr>
          <w:rFonts w:ascii="Arial" w:hAnsi="Arial" w:cs="Arial"/>
          <w:sz w:val="26"/>
          <w:szCs w:val="26"/>
        </w:rPr>
        <w:t xml:space="preserve">esta Sala Superior determina </w:t>
      </w:r>
      <w:r w:rsidR="0009484F">
        <w:rPr>
          <w:rFonts w:ascii="Arial" w:hAnsi="Arial" w:cs="Arial"/>
          <w:b/>
          <w:sz w:val="26"/>
          <w:szCs w:val="26"/>
        </w:rPr>
        <w:t xml:space="preserve">REVOCAR </w:t>
      </w:r>
      <w:r w:rsidR="0009484F">
        <w:rPr>
          <w:rFonts w:ascii="Arial" w:hAnsi="Arial" w:cs="Arial"/>
          <w:sz w:val="26"/>
          <w:szCs w:val="26"/>
        </w:rPr>
        <w:t xml:space="preserve">la sentencia motivo de la presente alzada, y </w:t>
      </w:r>
      <w:r w:rsidR="0009484F" w:rsidRPr="0009484F">
        <w:rPr>
          <w:rFonts w:ascii="Arial" w:hAnsi="Arial" w:cs="Arial"/>
          <w:b/>
          <w:sz w:val="26"/>
          <w:szCs w:val="26"/>
        </w:rPr>
        <w:t>declarar el sobreseimiento</w:t>
      </w:r>
      <w:r w:rsidR="0009484F">
        <w:rPr>
          <w:rFonts w:ascii="Arial" w:hAnsi="Arial" w:cs="Arial"/>
          <w:sz w:val="26"/>
          <w:szCs w:val="26"/>
        </w:rPr>
        <w:t xml:space="preserve"> del juicio, </w:t>
      </w:r>
      <w:r w:rsidR="0002628E">
        <w:rPr>
          <w:rFonts w:ascii="Arial" w:hAnsi="Arial" w:cs="Arial"/>
          <w:sz w:val="26"/>
          <w:szCs w:val="26"/>
        </w:rPr>
        <w:t>conforme a lo dispuesto por el artículo 131 fracciones II y X</w:t>
      </w:r>
      <w:r w:rsidR="00396619">
        <w:rPr>
          <w:rFonts w:ascii="Arial" w:hAnsi="Arial" w:cs="Arial"/>
          <w:sz w:val="26"/>
          <w:szCs w:val="26"/>
        </w:rPr>
        <w:t>, en relación con el precepto 1</w:t>
      </w:r>
      <w:r>
        <w:rPr>
          <w:rFonts w:ascii="Arial" w:hAnsi="Arial" w:cs="Arial"/>
          <w:sz w:val="26"/>
          <w:szCs w:val="26"/>
        </w:rPr>
        <w:t xml:space="preserve">32 </w:t>
      </w:r>
      <w:proofErr w:type="gramStart"/>
      <w:r>
        <w:rPr>
          <w:rFonts w:ascii="Arial" w:hAnsi="Arial" w:cs="Arial"/>
          <w:sz w:val="26"/>
          <w:szCs w:val="26"/>
        </w:rPr>
        <w:t>fracción</w:t>
      </w:r>
      <w:proofErr w:type="gramEnd"/>
      <w:r>
        <w:rPr>
          <w:rFonts w:ascii="Arial" w:hAnsi="Arial" w:cs="Arial"/>
          <w:sz w:val="26"/>
          <w:szCs w:val="26"/>
        </w:rPr>
        <w:t xml:space="preserve"> II</w:t>
      </w:r>
      <w:r w:rsidR="0002628E">
        <w:rPr>
          <w:rFonts w:ascii="Arial" w:hAnsi="Arial" w:cs="Arial"/>
          <w:sz w:val="26"/>
          <w:szCs w:val="26"/>
        </w:rPr>
        <w:t xml:space="preserve"> de la Ley de Justicia Administrativa para el Estado de Oaxaca,</w:t>
      </w:r>
      <w:r>
        <w:rPr>
          <w:rFonts w:ascii="Arial" w:hAnsi="Arial" w:cs="Arial"/>
          <w:sz w:val="26"/>
          <w:szCs w:val="26"/>
        </w:rPr>
        <w:t xml:space="preserve"> </w:t>
      </w:r>
      <w:r w:rsidR="0002628E">
        <w:rPr>
          <w:rFonts w:ascii="Arial" w:hAnsi="Arial" w:cs="Arial"/>
          <w:sz w:val="26"/>
          <w:szCs w:val="26"/>
        </w:rPr>
        <w:t>por las razones expuestas en párrafos precedentes.</w:t>
      </w:r>
      <w:r>
        <w:rPr>
          <w:rFonts w:ascii="Arial" w:hAnsi="Arial" w:cs="Arial"/>
          <w:sz w:val="26"/>
          <w:szCs w:val="26"/>
        </w:rPr>
        <w:t xml:space="preserve"> </w:t>
      </w:r>
      <w:r w:rsidR="0002628E">
        <w:rPr>
          <w:rFonts w:ascii="Arial" w:hAnsi="Arial" w:cs="Arial"/>
          <w:sz w:val="26"/>
          <w:szCs w:val="26"/>
        </w:rPr>
        <w:t>Sirve de apoyo a lo anterior la Jurisprudencia, emitida por el Segundo Tribunal Colegiado en materia Civil del Sexto Circuito, Semanario Judicial de la Federación y su Gaceta, Novena Época, Tomo XVIII, Julio de 2003, Materia Común, Página 951, de rubro y texto siguientes:</w:t>
      </w:r>
      <w:r w:rsidR="0002628E" w:rsidRPr="00B411CA">
        <w:rPr>
          <w:rFonts w:ascii="Arial" w:hAnsi="Arial" w:cs="Arial"/>
          <w:sz w:val="26"/>
          <w:szCs w:val="26"/>
        </w:rPr>
        <w:t xml:space="preserve"> </w:t>
      </w:r>
    </w:p>
    <w:p w:rsidR="002B5479" w:rsidRDefault="002B5479" w:rsidP="007D63EF">
      <w:pPr>
        <w:spacing w:line="276" w:lineRule="auto"/>
        <w:ind w:left="1134" w:right="902"/>
        <w:jc w:val="both"/>
        <w:rPr>
          <w:rFonts w:ascii="Arial" w:hAnsi="Arial" w:cs="Arial"/>
          <w:i/>
        </w:rPr>
      </w:pPr>
      <w:r w:rsidRPr="0002628E">
        <w:rPr>
          <w:rFonts w:ascii="Arial" w:hAnsi="Arial" w:cs="Arial"/>
          <w:i/>
        </w:rPr>
        <w:t xml:space="preserve"> </w:t>
      </w:r>
      <w:r w:rsidR="0002628E" w:rsidRPr="0002628E">
        <w:rPr>
          <w:rFonts w:ascii="Arial" w:hAnsi="Arial" w:cs="Arial"/>
          <w:i/>
        </w:rPr>
        <w:t>“</w:t>
      </w:r>
      <w:r w:rsidR="0002628E" w:rsidRPr="0002628E">
        <w:rPr>
          <w:rFonts w:ascii="Arial" w:hAnsi="Arial" w:cs="Arial"/>
          <w:b/>
          <w:i/>
        </w:rPr>
        <w:t xml:space="preserve">SOBRESEIMIENTO. PUEDE DECRETARSE DE OFICIO EN REVISIÓN, AUNQUE LA SENTENCIA DEL JUEZ DE DISTRITO HAYA CONCEDIDO O NEGADO EL AMPARO. </w:t>
      </w:r>
      <w:r w:rsidR="0002628E" w:rsidRPr="0002628E">
        <w:rPr>
          <w:rFonts w:ascii="Arial" w:hAnsi="Arial" w:cs="Arial"/>
          <w:i/>
        </w:rPr>
        <w:t xml:space="preserve">El artículo 91, fracción III, de la Ley de Amparo prevé únicamente la posibilidad de que el Tribunal Colegiado confirme el sobreseimiento decretado en la primera instancia, cuando siendo infundada la causa de improcedencia que se invoque, apareciere probado otro motivo legal; sin embargo, aun cuando expresamente no se incluye el supuesto de sobreseer en segunda instancia al actualizarse alguna causal de </w:t>
      </w:r>
      <w:r w:rsidR="0002628E" w:rsidRPr="0002628E">
        <w:rPr>
          <w:rFonts w:ascii="Arial" w:hAnsi="Arial" w:cs="Arial"/>
          <w:i/>
        </w:rPr>
        <w:lastRenderedPageBreak/>
        <w:t>improcedencia, sea que lo aleguen o no las partes, revocando la sentencia recurrida que concedió o negó el amparo, dicho precepto debe interpretarse armónicamente con el último párrafo del artículo 73 del mismo ordenamiento legal, que consagra el principio de oficiosidad que rige en el examen de las causas de improcedencia, de lo que se concluye que también es posible que el tribunal revisor revoque la sentencia recurrida en la que el Juez de amparo no advirtió la improcedencia de la acción constitucional.”</w:t>
      </w:r>
    </w:p>
    <w:p w:rsidR="002B5479" w:rsidRDefault="0002628E" w:rsidP="007D63EF">
      <w:pPr>
        <w:spacing w:after="120" w:line="360" w:lineRule="auto"/>
        <w:ind w:firstLine="708"/>
        <w:jc w:val="both"/>
        <w:rPr>
          <w:rFonts w:ascii="Arial" w:hAnsi="Arial" w:cs="Arial"/>
          <w:sz w:val="26"/>
          <w:szCs w:val="26"/>
        </w:rPr>
      </w:pPr>
      <w:r>
        <w:rPr>
          <w:rFonts w:ascii="Arial" w:hAnsi="Arial" w:cs="Arial"/>
          <w:sz w:val="26"/>
          <w:szCs w:val="26"/>
        </w:rPr>
        <w:t>En consecuencia,</w:t>
      </w:r>
      <w:r w:rsidR="00921551">
        <w:rPr>
          <w:rFonts w:ascii="Arial" w:hAnsi="Arial" w:cs="Arial"/>
          <w:sz w:val="26"/>
          <w:szCs w:val="26"/>
        </w:rPr>
        <w:t xml:space="preserve"> con fundamento en los artículos 207 y 208 de la Ley de Justicia Adm</w:t>
      </w:r>
      <w:r w:rsidR="002B5479">
        <w:rPr>
          <w:rFonts w:ascii="Arial" w:hAnsi="Arial" w:cs="Arial"/>
          <w:sz w:val="26"/>
          <w:szCs w:val="26"/>
        </w:rPr>
        <w:t xml:space="preserve">inistrativa para el Estado, </w:t>
      </w:r>
      <w:r w:rsidR="007D63EF">
        <w:rPr>
          <w:rFonts w:ascii="Arial" w:hAnsi="Arial" w:cs="Arial"/>
          <w:sz w:val="26"/>
          <w:szCs w:val="26"/>
        </w:rPr>
        <w:t xml:space="preserve">vigente al inicio del juicio principal, </w:t>
      </w:r>
      <w:r w:rsidR="002B5479">
        <w:rPr>
          <w:rFonts w:ascii="Arial" w:hAnsi="Arial" w:cs="Arial"/>
          <w:sz w:val="26"/>
          <w:szCs w:val="26"/>
        </w:rPr>
        <w:t>se:</w:t>
      </w:r>
    </w:p>
    <w:p w:rsidR="002B5479" w:rsidRDefault="00C73584" w:rsidP="002B5479">
      <w:pPr>
        <w:spacing w:after="120" w:line="360" w:lineRule="auto"/>
        <w:jc w:val="center"/>
        <w:rPr>
          <w:rFonts w:ascii="Arial" w:hAnsi="Arial" w:cs="Arial"/>
          <w:sz w:val="26"/>
          <w:szCs w:val="26"/>
        </w:rPr>
      </w:pPr>
      <w:r w:rsidRPr="00164D1B">
        <w:rPr>
          <w:rFonts w:ascii="Arial" w:hAnsi="Arial" w:cs="Arial"/>
          <w:b/>
          <w:sz w:val="26"/>
          <w:szCs w:val="26"/>
        </w:rPr>
        <w:t>R E S U E L V E</w:t>
      </w:r>
    </w:p>
    <w:p w:rsidR="002B5479" w:rsidRDefault="00C73584" w:rsidP="002B5479">
      <w:pPr>
        <w:spacing w:after="120" w:line="360" w:lineRule="auto"/>
        <w:ind w:firstLine="708"/>
        <w:jc w:val="both"/>
        <w:rPr>
          <w:rFonts w:ascii="Arial" w:hAnsi="Arial" w:cs="Arial"/>
          <w:sz w:val="26"/>
          <w:szCs w:val="26"/>
        </w:rPr>
      </w:pPr>
      <w:r w:rsidRPr="00164D1B">
        <w:rPr>
          <w:rFonts w:ascii="Arial" w:hAnsi="Arial" w:cs="Arial"/>
          <w:b/>
          <w:sz w:val="26"/>
          <w:szCs w:val="26"/>
        </w:rPr>
        <w:t>PRIMERO</w:t>
      </w:r>
      <w:r>
        <w:rPr>
          <w:rFonts w:ascii="Arial" w:hAnsi="Arial" w:cs="Arial"/>
          <w:sz w:val="26"/>
          <w:szCs w:val="26"/>
        </w:rPr>
        <w:t xml:space="preserve">. Se </w:t>
      </w:r>
      <w:r w:rsidR="001745A4">
        <w:rPr>
          <w:rFonts w:ascii="Arial" w:hAnsi="Arial" w:cs="Arial"/>
          <w:b/>
          <w:sz w:val="26"/>
          <w:szCs w:val="26"/>
        </w:rPr>
        <w:t>REVOCA</w:t>
      </w:r>
      <w:r>
        <w:rPr>
          <w:rFonts w:ascii="Arial" w:hAnsi="Arial" w:cs="Arial"/>
          <w:b/>
          <w:sz w:val="26"/>
          <w:szCs w:val="26"/>
        </w:rPr>
        <w:t xml:space="preserve"> </w:t>
      </w:r>
      <w:r>
        <w:rPr>
          <w:rFonts w:ascii="Arial" w:hAnsi="Arial" w:cs="Arial"/>
          <w:sz w:val="26"/>
          <w:szCs w:val="26"/>
        </w:rPr>
        <w:t xml:space="preserve">la sentencia de </w:t>
      </w:r>
      <w:r w:rsidR="00F87174">
        <w:rPr>
          <w:rFonts w:ascii="Arial" w:hAnsi="Arial" w:cs="Arial"/>
          <w:sz w:val="26"/>
          <w:szCs w:val="26"/>
        </w:rPr>
        <w:t xml:space="preserve">08 ocho </w:t>
      </w:r>
      <w:r w:rsidR="0075164A">
        <w:rPr>
          <w:rFonts w:ascii="Arial" w:hAnsi="Arial" w:cs="Arial"/>
          <w:sz w:val="26"/>
          <w:szCs w:val="26"/>
        </w:rPr>
        <w:t xml:space="preserve">de junio </w:t>
      </w:r>
      <w:r w:rsidR="006F610A">
        <w:rPr>
          <w:rFonts w:ascii="Arial" w:hAnsi="Arial" w:cs="Arial"/>
          <w:sz w:val="26"/>
          <w:szCs w:val="26"/>
        </w:rPr>
        <w:t>de 2018 dos mil dieciocho</w:t>
      </w:r>
      <w:r>
        <w:rPr>
          <w:rFonts w:ascii="Arial" w:hAnsi="Arial" w:cs="Arial"/>
          <w:sz w:val="26"/>
          <w:szCs w:val="26"/>
        </w:rPr>
        <w:t>, en los términos expuestos en el considerand</w:t>
      </w:r>
      <w:r w:rsidR="002B5479">
        <w:rPr>
          <w:rFonts w:ascii="Arial" w:hAnsi="Arial" w:cs="Arial"/>
          <w:sz w:val="26"/>
          <w:szCs w:val="26"/>
        </w:rPr>
        <w:t xml:space="preserve">o tercero de esta resolución. </w:t>
      </w:r>
    </w:p>
    <w:p w:rsidR="002B5479" w:rsidRDefault="00BB3E39" w:rsidP="002B5479">
      <w:pPr>
        <w:spacing w:after="120" w:line="360" w:lineRule="auto"/>
        <w:ind w:firstLine="708"/>
        <w:jc w:val="both"/>
        <w:rPr>
          <w:rFonts w:ascii="Arial" w:hAnsi="Arial" w:cs="Arial"/>
          <w:sz w:val="26"/>
          <w:szCs w:val="26"/>
        </w:rPr>
      </w:pPr>
      <w:r>
        <w:rPr>
          <w:rFonts w:ascii="Arial" w:eastAsia="Calibri" w:hAnsi="Arial" w:cs="Arial"/>
          <w:b/>
          <w:sz w:val="26"/>
          <w:szCs w:val="26"/>
        </w:rPr>
        <w:t>SEGUNDO.</w:t>
      </w:r>
      <w:r w:rsidRPr="00372D3D">
        <w:rPr>
          <w:rFonts w:ascii="Arial" w:eastAsia="Calibri" w:hAnsi="Arial" w:cs="Arial"/>
          <w:b/>
          <w:sz w:val="26"/>
          <w:szCs w:val="26"/>
        </w:rPr>
        <w:t xml:space="preserve"> </w:t>
      </w:r>
      <w:r w:rsidR="00A47877">
        <w:rPr>
          <w:rFonts w:ascii="Arial" w:eastAsia="Calibri" w:hAnsi="Arial" w:cs="Arial"/>
          <w:b/>
          <w:sz w:val="26"/>
          <w:szCs w:val="26"/>
        </w:rPr>
        <w:t xml:space="preserve">SE SOBRESEE </w:t>
      </w:r>
      <w:r w:rsidR="00A47877">
        <w:rPr>
          <w:rFonts w:ascii="Arial" w:eastAsia="Calibri" w:hAnsi="Arial" w:cs="Arial"/>
          <w:sz w:val="26"/>
          <w:szCs w:val="26"/>
        </w:rPr>
        <w:t xml:space="preserve">el juicio de nulidad promovido por </w:t>
      </w:r>
      <w:r w:rsidR="00202751">
        <w:rPr>
          <w:rFonts w:ascii="Arial" w:hAnsi="Arial" w:cs="Arial"/>
          <w:sz w:val="26"/>
          <w:szCs w:val="26"/>
        </w:rPr>
        <w:t xml:space="preserve">Liliana Juárez Córdova en su carácter de apoderada legal del </w:t>
      </w:r>
      <w:r w:rsidR="00202751">
        <w:rPr>
          <w:rFonts w:ascii="Arial" w:hAnsi="Arial" w:cs="Arial"/>
          <w:b/>
          <w:sz w:val="26"/>
          <w:szCs w:val="26"/>
        </w:rPr>
        <w:t>INSTITUTO DEL FONDO NACIONAL DE LA VIVIENDA PARA LOS TRABAJ</w:t>
      </w:r>
      <w:r w:rsidR="001C57AC">
        <w:rPr>
          <w:rFonts w:ascii="Arial" w:hAnsi="Arial" w:cs="Arial"/>
          <w:b/>
          <w:sz w:val="26"/>
          <w:szCs w:val="26"/>
        </w:rPr>
        <w:t>A</w:t>
      </w:r>
      <w:r w:rsidR="00202751">
        <w:rPr>
          <w:rFonts w:ascii="Arial" w:hAnsi="Arial" w:cs="Arial"/>
          <w:b/>
          <w:sz w:val="26"/>
          <w:szCs w:val="26"/>
        </w:rPr>
        <w:t>DORES,</w:t>
      </w:r>
      <w:r w:rsidR="00A47877">
        <w:rPr>
          <w:rFonts w:ascii="Arial" w:hAnsi="Arial" w:cs="Arial"/>
          <w:b/>
          <w:sz w:val="26"/>
          <w:szCs w:val="26"/>
        </w:rPr>
        <w:t xml:space="preserve">  </w:t>
      </w:r>
      <w:r w:rsidR="00A47877">
        <w:rPr>
          <w:rFonts w:ascii="Arial" w:hAnsi="Arial" w:cs="Arial"/>
          <w:sz w:val="26"/>
          <w:szCs w:val="26"/>
        </w:rPr>
        <w:t>en contra de la resolución de fecha 17 diecisiete de noviembre de 2015, emitida por la Dirección General de Notaría del Estado de Oaxaca, dentro de la queja número 13/DGN/DJ/2011, por las consideraciones asentadas en el considerando tercero de esta resolución.</w:t>
      </w:r>
    </w:p>
    <w:p w:rsidR="002B5479" w:rsidRDefault="00A47877" w:rsidP="002B5479">
      <w:pPr>
        <w:spacing w:after="120" w:line="360" w:lineRule="auto"/>
        <w:ind w:firstLine="708"/>
        <w:jc w:val="both"/>
        <w:rPr>
          <w:rFonts w:ascii="Arial" w:hAnsi="Arial" w:cs="Arial"/>
          <w:sz w:val="26"/>
          <w:szCs w:val="26"/>
        </w:rPr>
      </w:pPr>
      <w:r>
        <w:rPr>
          <w:rFonts w:ascii="Arial" w:eastAsia="Calibri" w:hAnsi="Arial" w:cs="Arial"/>
          <w:b/>
          <w:sz w:val="26"/>
          <w:szCs w:val="26"/>
        </w:rPr>
        <w:t xml:space="preserve">TERCERO. </w:t>
      </w:r>
      <w:r w:rsidR="00BB3E39">
        <w:rPr>
          <w:rFonts w:ascii="Arial" w:hAnsi="Arial" w:cs="Arial"/>
          <w:sz w:val="26"/>
          <w:szCs w:val="26"/>
        </w:rPr>
        <w:t xml:space="preserve">Se hace del conocimiento de las partes que por Acuerdo General AG/TJAO/015/2018, aprobado en sesión administrativa de fecha 27 veintisiete de noviembre de 2018 dos mil dieciocho, por el Pleno de la Sala Superior de este Órgano Jurisdiccional, se autorizó el cambio de domicilio del Tribunal de Justicia Administrativa del Estado de Oaxaca, y en atención a la fe de erratas del referido acuerdo, el inmueble que alberga las instalaciones de este Tribunal a partir del 1 uno de enero de 2019 dos mil diecinueve, es el ubicado en la </w:t>
      </w:r>
      <w:r w:rsidR="00BB3E39" w:rsidRPr="00054C48">
        <w:rPr>
          <w:rFonts w:ascii="Arial" w:hAnsi="Arial" w:cs="Arial"/>
          <w:b/>
          <w:sz w:val="26"/>
          <w:szCs w:val="26"/>
        </w:rPr>
        <w:t>Calle Miguel Hidalgo número 215, Colonia Centro, Municipio de Oaxaca de Juárez, Oaxaca, Código Postal 68000.</w:t>
      </w:r>
    </w:p>
    <w:p w:rsidR="002B5479" w:rsidRDefault="00BB3E39" w:rsidP="002B5479">
      <w:pPr>
        <w:spacing w:after="120" w:line="360" w:lineRule="auto"/>
        <w:ind w:firstLine="708"/>
        <w:jc w:val="both"/>
        <w:rPr>
          <w:rFonts w:ascii="Arial" w:hAnsi="Arial" w:cs="Arial"/>
          <w:sz w:val="26"/>
          <w:szCs w:val="26"/>
        </w:rPr>
      </w:pPr>
      <w:r>
        <w:rPr>
          <w:rFonts w:ascii="Arial" w:hAnsi="Arial" w:cs="Arial"/>
          <w:sz w:val="26"/>
          <w:szCs w:val="26"/>
        </w:rPr>
        <w:t xml:space="preserve"> </w:t>
      </w:r>
      <w:r w:rsidR="00853336">
        <w:rPr>
          <w:rFonts w:ascii="Arial" w:hAnsi="Arial" w:cs="Arial"/>
          <w:b/>
          <w:sz w:val="26"/>
          <w:szCs w:val="26"/>
        </w:rPr>
        <w:t>CUARTO</w:t>
      </w:r>
      <w:r w:rsidR="00C73584">
        <w:rPr>
          <w:rFonts w:ascii="Arial" w:hAnsi="Arial" w:cs="Arial"/>
          <w:b/>
          <w:sz w:val="26"/>
          <w:szCs w:val="26"/>
        </w:rPr>
        <w:t xml:space="preserve">. </w:t>
      </w:r>
      <w:r w:rsidR="00C73584" w:rsidRPr="000D4D13">
        <w:rPr>
          <w:rFonts w:ascii="Arial" w:hAnsi="Arial" w:cs="Arial"/>
          <w:b/>
          <w:sz w:val="26"/>
          <w:szCs w:val="26"/>
        </w:rPr>
        <w:t>N</w:t>
      </w:r>
      <w:r w:rsidR="00C73584" w:rsidRPr="006E349D">
        <w:rPr>
          <w:rFonts w:ascii="Arial" w:hAnsi="Arial" w:cs="Arial"/>
          <w:b/>
          <w:sz w:val="26"/>
          <w:szCs w:val="26"/>
        </w:rPr>
        <w:t>OTIFÍQUESE</w:t>
      </w:r>
      <w:r w:rsidR="00C73584">
        <w:rPr>
          <w:rFonts w:ascii="Arial" w:hAnsi="Arial" w:cs="Arial"/>
          <w:b/>
          <w:sz w:val="26"/>
          <w:szCs w:val="26"/>
        </w:rPr>
        <w:t xml:space="preserve"> Y CÚMPLASE;</w:t>
      </w:r>
      <w:r w:rsidR="00C73584" w:rsidRPr="006E349D">
        <w:rPr>
          <w:rFonts w:ascii="Arial" w:hAnsi="Arial" w:cs="Arial"/>
          <w:sz w:val="26"/>
          <w:szCs w:val="26"/>
        </w:rPr>
        <w:t xml:space="preserve"> </w:t>
      </w:r>
      <w:r w:rsidR="00C73584">
        <w:rPr>
          <w:rFonts w:ascii="Arial" w:hAnsi="Arial" w:cs="Arial"/>
          <w:sz w:val="26"/>
          <w:szCs w:val="26"/>
        </w:rPr>
        <w:t xml:space="preserve">con </w:t>
      </w:r>
      <w:r w:rsidR="00C73584" w:rsidRPr="006E349D">
        <w:rPr>
          <w:rFonts w:ascii="Arial" w:hAnsi="Arial" w:cs="Arial"/>
          <w:sz w:val="26"/>
          <w:szCs w:val="26"/>
        </w:rPr>
        <w:t>copia certificada de la presente resolución</w:t>
      </w:r>
      <w:r w:rsidR="00C73584">
        <w:rPr>
          <w:rFonts w:ascii="Arial" w:hAnsi="Arial" w:cs="Arial"/>
          <w:sz w:val="26"/>
          <w:szCs w:val="26"/>
        </w:rPr>
        <w:t>, vuelvan las constancias remitidas, a la S</w:t>
      </w:r>
      <w:r w:rsidR="00F912AC">
        <w:rPr>
          <w:rFonts w:ascii="Arial" w:hAnsi="Arial" w:cs="Arial"/>
          <w:sz w:val="26"/>
          <w:szCs w:val="26"/>
        </w:rPr>
        <w:t xml:space="preserve">éptima </w:t>
      </w:r>
      <w:r w:rsidR="00C73584">
        <w:rPr>
          <w:rFonts w:ascii="Arial" w:hAnsi="Arial" w:cs="Arial"/>
          <w:sz w:val="26"/>
          <w:szCs w:val="26"/>
        </w:rPr>
        <w:t xml:space="preserve"> Sala Unitaria de Primera Instancia y, en su oportunidad archívese el presente cuaderno de revisión como asunto concluido. </w:t>
      </w:r>
    </w:p>
    <w:p w:rsidR="00076BEE" w:rsidRDefault="00076BEE" w:rsidP="00076BEE">
      <w:pPr>
        <w:spacing w:line="360" w:lineRule="auto"/>
        <w:ind w:firstLine="708"/>
        <w:jc w:val="both"/>
        <w:rPr>
          <w:rFonts w:ascii="Arial" w:eastAsia="Times New Roman" w:hAnsi="Arial" w:cs="Arial"/>
          <w:sz w:val="26"/>
          <w:szCs w:val="26"/>
          <w:lang w:eastAsia="es-MX"/>
        </w:rPr>
      </w:pPr>
      <w:r>
        <w:rPr>
          <w:rFonts w:ascii="Arial" w:eastAsia="Times New Roman" w:hAnsi="Arial" w:cs="Arial"/>
          <w:sz w:val="26"/>
          <w:szCs w:val="26"/>
          <w:lang w:eastAsia="es-MX"/>
        </w:rPr>
        <w:lastRenderedPageBreak/>
        <w:t>Así por unanimidad de votos, lo resolvieron y firmaron los Magistrados integrantes de la Sala Superior del Tribunal de Justicia Administrativa del Estado de Oaxaca; quienes actúan con la Secretaria General de Acuerdos de este Tribunal, que autoriza y da fe.</w:t>
      </w:r>
    </w:p>
    <w:p w:rsidR="00076BEE" w:rsidRDefault="00076BEE" w:rsidP="00076BEE">
      <w:pPr>
        <w:tabs>
          <w:tab w:val="left" w:pos="1985"/>
        </w:tabs>
        <w:spacing w:line="360" w:lineRule="auto"/>
        <w:ind w:firstLine="708"/>
        <w:jc w:val="both"/>
        <w:rPr>
          <w:rFonts w:ascii="Arial" w:hAnsi="Arial" w:cs="Arial"/>
          <w:bCs/>
          <w:sz w:val="26"/>
          <w:szCs w:val="26"/>
        </w:rPr>
      </w:pPr>
    </w:p>
    <w:p w:rsidR="00076BEE" w:rsidRDefault="00076BEE" w:rsidP="00076BEE">
      <w:pPr>
        <w:tabs>
          <w:tab w:val="left" w:pos="1985"/>
        </w:tabs>
        <w:spacing w:line="360" w:lineRule="auto"/>
        <w:ind w:firstLine="708"/>
        <w:jc w:val="both"/>
        <w:rPr>
          <w:rFonts w:ascii="Arial" w:hAnsi="Arial" w:cs="Arial"/>
          <w:bCs/>
          <w:sz w:val="26"/>
          <w:szCs w:val="26"/>
        </w:rPr>
      </w:pPr>
    </w:p>
    <w:p w:rsidR="00076BEE" w:rsidRDefault="00076BEE" w:rsidP="00076BEE">
      <w:pPr>
        <w:tabs>
          <w:tab w:val="left" w:pos="1985"/>
        </w:tabs>
        <w:spacing w:line="360" w:lineRule="auto"/>
        <w:jc w:val="both"/>
        <w:rPr>
          <w:rFonts w:ascii="Arial" w:hAnsi="Arial" w:cs="Arial"/>
          <w:bCs/>
          <w:sz w:val="26"/>
          <w:szCs w:val="26"/>
        </w:rPr>
      </w:pPr>
    </w:p>
    <w:p w:rsidR="00076BEE" w:rsidRDefault="00076BEE" w:rsidP="00076BEE">
      <w:pPr>
        <w:tabs>
          <w:tab w:val="left" w:pos="1985"/>
        </w:tabs>
        <w:spacing w:line="360" w:lineRule="auto"/>
        <w:jc w:val="both"/>
        <w:rPr>
          <w:rFonts w:ascii="Arial" w:hAnsi="Arial" w:cs="Arial"/>
          <w:bCs/>
          <w:sz w:val="26"/>
          <w:szCs w:val="26"/>
        </w:rPr>
      </w:pPr>
    </w:p>
    <w:p w:rsidR="00076BEE" w:rsidRDefault="00076BEE" w:rsidP="00076BEE">
      <w:pPr>
        <w:jc w:val="center"/>
        <w:rPr>
          <w:rFonts w:ascii="Arial" w:hAnsi="Arial" w:cs="Arial"/>
          <w:sz w:val="26"/>
          <w:szCs w:val="26"/>
        </w:rPr>
      </w:pPr>
      <w:r>
        <w:rPr>
          <w:rFonts w:ascii="Arial" w:hAnsi="Arial" w:cs="Arial"/>
          <w:sz w:val="26"/>
          <w:szCs w:val="26"/>
        </w:rPr>
        <w:t>MAGISTRADO ADRIÁN QUIROGA AVENDAÑO.</w:t>
      </w:r>
    </w:p>
    <w:p w:rsidR="00076BEE" w:rsidRDefault="00076BEE" w:rsidP="00076BEE">
      <w:pPr>
        <w:jc w:val="center"/>
        <w:rPr>
          <w:rFonts w:ascii="Arial" w:hAnsi="Arial" w:cs="Arial"/>
          <w:sz w:val="26"/>
          <w:szCs w:val="26"/>
        </w:rPr>
      </w:pPr>
      <w:r>
        <w:rPr>
          <w:rFonts w:ascii="Arial" w:hAnsi="Arial" w:cs="Arial"/>
          <w:sz w:val="26"/>
          <w:szCs w:val="26"/>
        </w:rPr>
        <w:t>PRESIDENTE</w:t>
      </w:r>
    </w:p>
    <w:p w:rsidR="00076BEE" w:rsidRDefault="00076BEE" w:rsidP="00076BEE">
      <w:pPr>
        <w:jc w:val="center"/>
        <w:rPr>
          <w:rFonts w:ascii="Arial" w:hAnsi="Arial" w:cs="Arial"/>
          <w:sz w:val="26"/>
          <w:szCs w:val="26"/>
        </w:rPr>
      </w:pPr>
    </w:p>
    <w:p w:rsidR="00076BEE" w:rsidRDefault="00076BEE" w:rsidP="00076BEE">
      <w:pPr>
        <w:jc w:val="center"/>
        <w:rPr>
          <w:rFonts w:ascii="Arial" w:hAnsi="Arial" w:cs="Arial"/>
          <w:sz w:val="26"/>
          <w:szCs w:val="26"/>
        </w:rPr>
      </w:pPr>
    </w:p>
    <w:p w:rsidR="00076BEE" w:rsidRDefault="00076BEE" w:rsidP="00076BEE">
      <w:pPr>
        <w:rPr>
          <w:rFonts w:ascii="Arial" w:hAnsi="Arial" w:cs="Arial"/>
          <w:sz w:val="26"/>
          <w:szCs w:val="26"/>
        </w:rPr>
      </w:pPr>
    </w:p>
    <w:p w:rsidR="00076BEE" w:rsidRDefault="00076BEE" w:rsidP="00076BEE">
      <w:pPr>
        <w:jc w:val="center"/>
        <w:rPr>
          <w:rFonts w:ascii="Arial" w:hAnsi="Arial" w:cs="Arial"/>
          <w:sz w:val="26"/>
          <w:szCs w:val="26"/>
        </w:rPr>
      </w:pPr>
    </w:p>
    <w:p w:rsidR="00076BEE" w:rsidRDefault="00076BEE" w:rsidP="00076BEE">
      <w:pPr>
        <w:jc w:val="center"/>
        <w:rPr>
          <w:rFonts w:ascii="Arial" w:hAnsi="Arial" w:cs="Arial"/>
          <w:sz w:val="26"/>
          <w:szCs w:val="26"/>
        </w:rPr>
      </w:pPr>
    </w:p>
    <w:p w:rsidR="00076BEE" w:rsidRDefault="00076BEE" w:rsidP="00076BEE">
      <w:pPr>
        <w:jc w:val="center"/>
        <w:rPr>
          <w:rFonts w:ascii="Arial" w:hAnsi="Arial" w:cs="Arial"/>
          <w:sz w:val="26"/>
          <w:szCs w:val="26"/>
        </w:rPr>
      </w:pPr>
    </w:p>
    <w:p w:rsidR="00076BEE" w:rsidRDefault="00076BEE" w:rsidP="00076BEE">
      <w:pPr>
        <w:jc w:val="center"/>
        <w:rPr>
          <w:rFonts w:ascii="Arial" w:hAnsi="Arial" w:cs="Arial"/>
          <w:sz w:val="26"/>
          <w:szCs w:val="26"/>
        </w:rPr>
      </w:pPr>
    </w:p>
    <w:p w:rsidR="00076BEE" w:rsidRDefault="00076BEE" w:rsidP="00076BEE">
      <w:pPr>
        <w:spacing w:line="360" w:lineRule="auto"/>
        <w:jc w:val="center"/>
        <w:rPr>
          <w:rFonts w:ascii="Arial" w:hAnsi="Arial" w:cs="Arial"/>
          <w:sz w:val="26"/>
          <w:szCs w:val="26"/>
        </w:rPr>
      </w:pPr>
      <w:r>
        <w:rPr>
          <w:rFonts w:ascii="Arial" w:hAnsi="Arial" w:cs="Arial"/>
          <w:sz w:val="26"/>
          <w:szCs w:val="26"/>
        </w:rPr>
        <w:t>MAGISTRADO HUGO VILLEGAS AQUINO.</w:t>
      </w:r>
    </w:p>
    <w:p w:rsidR="00076BEE" w:rsidRDefault="00076BEE" w:rsidP="00076BEE">
      <w:pPr>
        <w:spacing w:line="360" w:lineRule="auto"/>
        <w:jc w:val="center"/>
        <w:rPr>
          <w:rFonts w:ascii="Arial" w:hAnsi="Arial" w:cs="Arial"/>
          <w:sz w:val="26"/>
          <w:szCs w:val="26"/>
        </w:rPr>
      </w:pPr>
    </w:p>
    <w:p w:rsidR="00076BEE" w:rsidRDefault="00076BEE" w:rsidP="00076BEE">
      <w:pPr>
        <w:spacing w:line="360" w:lineRule="auto"/>
        <w:rPr>
          <w:rFonts w:ascii="Arial" w:hAnsi="Arial" w:cs="Arial"/>
          <w:sz w:val="26"/>
          <w:szCs w:val="26"/>
        </w:rPr>
      </w:pPr>
    </w:p>
    <w:p w:rsidR="00076BEE" w:rsidRDefault="00076BEE" w:rsidP="00076BEE">
      <w:pPr>
        <w:spacing w:line="360" w:lineRule="auto"/>
        <w:jc w:val="center"/>
        <w:rPr>
          <w:rFonts w:ascii="Arial" w:hAnsi="Arial" w:cs="Arial"/>
          <w:sz w:val="26"/>
          <w:szCs w:val="26"/>
        </w:rPr>
      </w:pPr>
    </w:p>
    <w:p w:rsidR="00076BEE" w:rsidRDefault="00076BEE" w:rsidP="00076BEE">
      <w:pPr>
        <w:spacing w:line="360" w:lineRule="auto"/>
        <w:jc w:val="center"/>
        <w:rPr>
          <w:rFonts w:ascii="Arial" w:hAnsi="Arial" w:cs="Arial"/>
          <w:sz w:val="26"/>
          <w:szCs w:val="26"/>
        </w:rPr>
      </w:pPr>
    </w:p>
    <w:p w:rsidR="00076BEE" w:rsidRDefault="00076BEE" w:rsidP="00076BEE">
      <w:pPr>
        <w:spacing w:line="360" w:lineRule="auto"/>
        <w:jc w:val="center"/>
        <w:rPr>
          <w:rFonts w:ascii="Arial" w:hAnsi="Arial" w:cs="Arial"/>
          <w:sz w:val="26"/>
          <w:szCs w:val="26"/>
        </w:rPr>
      </w:pPr>
    </w:p>
    <w:p w:rsidR="00076BEE" w:rsidRDefault="00076BEE" w:rsidP="00076BEE">
      <w:pPr>
        <w:spacing w:line="360" w:lineRule="auto"/>
        <w:jc w:val="center"/>
        <w:rPr>
          <w:rFonts w:ascii="Arial" w:hAnsi="Arial" w:cs="Arial"/>
          <w:sz w:val="26"/>
          <w:szCs w:val="26"/>
        </w:rPr>
      </w:pPr>
      <w:r>
        <w:rPr>
          <w:rFonts w:ascii="Arial" w:hAnsi="Arial" w:cs="Arial"/>
          <w:sz w:val="26"/>
          <w:szCs w:val="26"/>
        </w:rPr>
        <w:t>MAGISTRADO ENRIQUE PACHECO MARTÍNEZ.</w:t>
      </w:r>
    </w:p>
    <w:p w:rsidR="00076BEE" w:rsidRDefault="00076BEE" w:rsidP="00076BEE">
      <w:pPr>
        <w:spacing w:line="360" w:lineRule="auto"/>
        <w:jc w:val="center"/>
        <w:rPr>
          <w:rFonts w:ascii="Arial" w:hAnsi="Arial" w:cs="Arial"/>
          <w:sz w:val="26"/>
          <w:szCs w:val="26"/>
        </w:rPr>
      </w:pPr>
    </w:p>
    <w:p w:rsidR="00076BEE" w:rsidRDefault="00076BEE" w:rsidP="00076BEE">
      <w:pPr>
        <w:spacing w:line="360" w:lineRule="auto"/>
        <w:jc w:val="center"/>
        <w:rPr>
          <w:rFonts w:ascii="Arial" w:hAnsi="Arial" w:cs="Arial"/>
          <w:sz w:val="26"/>
          <w:szCs w:val="26"/>
        </w:rPr>
      </w:pPr>
    </w:p>
    <w:p w:rsidR="00076BEE" w:rsidRDefault="00076BEE" w:rsidP="00076BEE">
      <w:pPr>
        <w:spacing w:line="360" w:lineRule="auto"/>
        <w:jc w:val="center"/>
        <w:rPr>
          <w:rFonts w:ascii="Arial" w:hAnsi="Arial" w:cs="Arial"/>
          <w:sz w:val="26"/>
          <w:szCs w:val="26"/>
        </w:rPr>
      </w:pPr>
    </w:p>
    <w:p w:rsidR="00076BEE" w:rsidRDefault="00076BEE" w:rsidP="00076BEE">
      <w:pPr>
        <w:spacing w:line="360" w:lineRule="auto"/>
        <w:rPr>
          <w:rFonts w:ascii="Arial" w:hAnsi="Arial" w:cs="Arial"/>
          <w:sz w:val="26"/>
          <w:szCs w:val="26"/>
        </w:rPr>
      </w:pPr>
    </w:p>
    <w:p w:rsidR="00076BEE" w:rsidRDefault="00076BEE" w:rsidP="00076BEE">
      <w:pPr>
        <w:spacing w:line="360" w:lineRule="auto"/>
        <w:jc w:val="center"/>
        <w:rPr>
          <w:rFonts w:ascii="Arial" w:hAnsi="Arial" w:cs="Arial"/>
          <w:sz w:val="26"/>
          <w:szCs w:val="26"/>
        </w:rPr>
      </w:pPr>
    </w:p>
    <w:p w:rsidR="00076BEE" w:rsidRDefault="00076BEE" w:rsidP="00076BEE">
      <w:pPr>
        <w:spacing w:line="360" w:lineRule="auto"/>
        <w:jc w:val="center"/>
        <w:rPr>
          <w:rFonts w:ascii="Arial" w:hAnsi="Arial" w:cs="Arial"/>
          <w:sz w:val="26"/>
          <w:szCs w:val="26"/>
        </w:rPr>
      </w:pPr>
      <w:r>
        <w:rPr>
          <w:rFonts w:ascii="Arial" w:hAnsi="Arial" w:cs="Arial"/>
          <w:sz w:val="26"/>
          <w:szCs w:val="26"/>
        </w:rPr>
        <w:t>MAGISTRADA MARÍA ELENA VILLA DE JARQUÍN</w:t>
      </w:r>
    </w:p>
    <w:p w:rsidR="00076BEE" w:rsidRDefault="00076BEE" w:rsidP="00076BEE">
      <w:pPr>
        <w:spacing w:line="360" w:lineRule="auto"/>
        <w:jc w:val="center"/>
        <w:rPr>
          <w:rFonts w:ascii="Arial" w:hAnsi="Arial" w:cs="Arial"/>
          <w:sz w:val="26"/>
          <w:szCs w:val="26"/>
        </w:rPr>
      </w:pPr>
    </w:p>
    <w:p w:rsidR="00076BEE" w:rsidRDefault="00076BEE" w:rsidP="00076BEE">
      <w:pPr>
        <w:spacing w:line="360" w:lineRule="auto"/>
        <w:jc w:val="center"/>
        <w:rPr>
          <w:rFonts w:ascii="Arial" w:hAnsi="Arial" w:cs="Arial"/>
          <w:sz w:val="26"/>
          <w:szCs w:val="26"/>
        </w:rPr>
      </w:pPr>
    </w:p>
    <w:p w:rsidR="00076BEE" w:rsidRDefault="00076BEE" w:rsidP="00076BEE">
      <w:pPr>
        <w:spacing w:line="360" w:lineRule="auto"/>
        <w:rPr>
          <w:rFonts w:ascii="Arial" w:hAnsi="Arial" w:cs="Arial"/>
          <w:sz w:val="26"/>
          <w:szCs w:val="26"/>
        </w:rPr>
      </w:pPr>
    </w:p>
    <w:p w:rsidR="00076BEE" w:rsidRDefault="00076BEE" w:rsidP="00076BEE">
      <w:pPr>
        <w:spacing w:line="360" w:lineRule="auto"/>
        <w:jc w:val="center"/>
        <w:rPr>
          <w:rFonts w:ascii="Arial" w:hAnsi="Arial" w:cs="Arial"/>
          <w:sz w:val="26"/>
          <w:szCs w:val="26"/>
        </w:rPr>
      </w:pPr>
    </w:p>
    <w:p w:rsidR="00076BEE" w:rsidRDefault="00076BEE" w:rsidP="00076BEE">
      <w:pPr>
        <w:spacing w:line="360" w:lineRule="auto"/>
        <w:jc w:val="center"/>
        <w:rPr>
          <w:rFonts w:ascii="Arial" w:hAnsi="Arial" w:cs="Arial"/>
          <w:sz w:val="26"/>
          <w:szCs w:val="26"/>
        </w:rPr>
      </w:pPr>
    </w:p>
    <w:p w:rsidR="00076BEE" w:rsidRDefault="00076BEE" w:rsidP="00076BEE">
      <w:pPr>
        <w:jc w:val="center"/>
        <w:rPr>
          <w:rFonts w:ascii="Arial" w:eastAsia="Times New Roman" w:hAnsi="Arial" w:cs="Arial"/>
          <w:sz w:val="26"/>
          <w:szCs w:val="26"/>
          <w:lang w:eastAsia="es-MX"/>
        </w:rPr>
      </w:pPr>
      <w:r>
        <w:rPr>
          <w:rFonts w:ascii="Arial" w:eastAsia="Times New Roman" w:hAnsi="Arial" w:cs="Arial"/>
          <w:sz w:val="26"/>
          <w:szCs w:val="26"/>
          <w:lang w:eastAsia="es-MX"/>
        </w:rPr>
        <w:t>MAGISTRADO MANUEL VELASCO ALCÁNTARA</w:t>
      </w:r>
    </w:p>
    <w:p w:rsidR="00076BEE" w:rsidRDefault="00076BEE" w:rsidP="00076BEE">
      <w:pPr>
        <w:jc w:val="center"/>
        <w:rPr>
          <w:rFonts w:ascii="Arial" w:eastAsia="Times New Roman" w:hAnsi="Arial" w:cs="Arial"/>
          <w:sz w:val="26"/>
          <w:szCs w:val="26"/>
          <w:lang w:eastAsia="es-MX"/>
        </w:rPr>
      </w:pPr>
    </w:p>
    <w:p w:rsidR="00076BEE" w:rsidRDefault="00076BEE" w:rsidP="00076BEE">
      <w:pPr>
        <w:jc w:val="center"/>
        <w:rPr>
          <w:rFonts w:ascii="Arial" w:eastAsia="Times New Roman" w:hAnsi="Arial" w:cs="Arial"/>
          <w:sz w:val="26"/>
          <w:szCs w:val="26"/>
          <w:lang w:eastAsia="es-MX"/>
        </w:rPr>
      </w:pPr>
    </w:p>
    <w:p w:rsidR="00076BEE" w:rsidRDefault="00076BEE" w:rsidP="00076BEE">
      <w:pPr>
        <w:jc w:val="center"/>
        <w:rPr>
          <w:rFonts w:ascii="Arial" w:eastAsia="Times New Roman" w:hAnsi="Arial" w:cs="Arial"/>
          <w:sz w:val="26"/>
          <w:szCs w:val="26"/>
          <w:lang w:eastAsia="es-MX"/>
        </w:rPr>
      </w:pPr>
    </w:p>
    <w:p w:rsidR="00076BEE" w:rsidRDefault="00076BEE" w:rsidP="00076BEE">
      <w:pPr>
        <w:rPr>
          <w:rFonts w:ascii="Arial" w:eastAsia="Times New Roman" w:hAnsi="Arial" w:cs="Arial"/>
          <w:sz w:val="26"/>
          <w:szCs w:val="26"/>
          <w:lang w:eastAsia="es-MX"/>
        </w:rPr>
      </w:pPr>
    </w:p>
    <w:p w:rsidR="00076BEE" w:rsidRDefault="00076BEE" w:rsidP="00076BEE">
      <w:pPr>
        <w:jc w:val="center"/>
        <w:rPr>
          <w:rFonts w:ascii="Arial" w:eastAsia="Times New Roman" w:hAnsi="Arial" w:cs="Arial"/>
          <w:sz w:val="26"/>
          <w:szCs w:val="26"/>
          <w:lang w:eastAsia="es-MX"/>
        </w:rPr>
      </w:pPr>
    </w:p>
    <w:p w:rsidR="00076BEE" w:rsidRDefault="00076BEE" w:rsidP="00076BEE">
      <w:pPr>
        <w:jc w:val="center"/>
        <w:rPr>
          <w:rFonts w:ascii="Arial" w:eastAsia="Times New Roman" w:hAnsi="Arial" w:cs="Arial"/>
          <w:sz w:val="26"/>
          <w:szCs w:val="26"/>
          <w:lang w:eastAsia="es-MX"/>
        </w:rPr>
      </w:pPr>
    </w:p>
    <w:p w:rsidR="00076BEE" w:rsidRDefault="00076BEE" w:rsidP="00076BEE">
      <w:pPr>
        <w:jc w:val="center"/>
        <w:rPr>
          <w:rFonts w:ascii="Arial" w:hAnsi="Arial" w:cs="Arial"/>
          <w:sz w:val="26"/>
          <w:szCs w:val="26"/>
        </w:rPr>
      </w:pPr>
      <w:r>
        <w:rPr>
          <w:rFonts w:ascii="Arial" w:hAnsi="Arial" w:cs="Arial"/>
          <w:sz w:val="26"/>
          <w:szCs w:val="26"/>
        </w:rPr>
        <w:t>LICENCIADA LETICIA GARCIA SOTO.</w:t>
      </w:r>
    </w:p>
    <w:p w:rsidR="003E7C49" w:rsidRPr="00514BDC" w:rsidRDefault="00076BEE" w:rsidP="00076BEE">
      <w:pPr>
        <w:jc w:val="center"/>
        <w:rPr>
          <w:rFonts w:ascii="Arial" w:hAnsi="Arial" w:cs="Arial"/>
          <w:sz w:val="26"/>
          <w:szCs w:val="26"/>
        </w:rPr>
      </w:pPr>
      <w:r>
        <w:rPr>
          <w:rFonts w:ascii="Arial" w:hAnsi="Arial" w:cs="Arial"/>
          <w:sz w:val="26"/>
          <w:szCs w:val="26"/>
        </w:rPr>
        <w:t xml:space="preserve">  SECRETARIA GENERAL DE ACUERDOS.</w:t>
      </w:r>
    </w:p>
    <w:sectPr w:rsidR="003E7C49" w:rsidRPr="00514BDC" w:rsidSect="009E7035">
      <w:headerReference w:type="even" r:id="rId8"/>
      <w:headerReference w:type="default" r:id="rId9"/>
      <w:footerReference w:type="even" r:id="rId10"/>
      <w:footerReference w:type="default" r:id="rId11"/>
      <w:headerReference w:type="first" r:id="rId12"/>
      <w:footerReference w:type="first" r:id="rId13"/>
      <w:pgSz w:w="12240" w:h="20160" w:code="5"/>
      <w:pgMar w:top="1418" w:right="1134" w:bottom="1418"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27BBF" w:rsidRDefault="00827BBF" w:rsidP="00432B13">
      <w:r>
        <w:separator/>
      </w:r>
    </w:p>
  </w:endnote>
  <w:endnote w:type="continuationSeparator" w:id="0">
    <w:p w:rsidR="00827BBF" w:rsidRDefault="00827BBF" w:rsidP="00432B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D13F1" w:rsidRDefault="009D13F1">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D13F1" w:rsidRDefault="009D13F1">
    <w:pPr>
      <w:pStyle w:val="Piedepgina"/>
    </w:pPr>
    <w:r>
      <w:rPr>
        <w:noProof/>
        <w:lang w:eastAsia="es-MX"/>
      </w:rPr>
      <w:drawing>
        <wp:anchor distT="0" distB="0" distL="114300" distR="114300" simplePos="0" relativeHeight="251656704" behindDoc="0" locked="0" layoutInCell="1" allowOverlap="1" wp14:anchorId="7CF6CF27" wp14:editId="23760335">
          <wp:simplePos x="0" y="0"/>
          <wp:positionH relativeFrom="column">
            <wp:posOffset>-1419225</wp:posOffset>
          </wp:positionH>
          <wp:positionV relativeFrom="paragraph">
            <wp:posOffset>-4895850</wp:posOffset>
          </wp:positionV>
          <wp:extent cx="1164590" cy="646430"/>
          <wp:effectExtent l="0" t="0" r="0" b="1270"/>
          <wp:wrapNone/>
          <wp:docPr id="1" name="Imagen 1"/>
          <wp:cNvGraphicFramePr/>
          <a:graphic xmlns:a="http://schemas.openxmlformats.org/drawingml/2006/main">
            <a:graphicData uri="http://schemas.openxmlformats.org/drawingml/2006/picture">
              <pic:pic xmlns:pic="http://schemas.openxmlformats.org/drawingml/2006/picture">
                <pic:nvPicPr>
                  <pic:cNvPr id="4" name="Imagen 4"/>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64590" cy="646430"/>
                  </a:xfrm>
                  <a:prstGeom prst="rect">
                    <a:avLst/>
                  </a:prstGeom>
                  <a:noFill/>
                </pic:spPr>
              </pic:pic>
            </a:graphicData>
          </a:graphic>
        </wp:anchor>
      </w:drawing>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D13F1" w:rsidRDefault="009D13F1">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27BBF" w:rsidRDefault="00827BBF" w:rsidP="00432B13">
      <w:r>
        <w:separator/>
      </w:r>
    </w:p>
  </w:footnote>
  <w:footnote w:type="continuationSeparator" w:id="0">
    <w:p w:rsidR="00827BBF" w:rsidRDefault="00827BBF" w:rsidP="00432B1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96026526"/>
      <w:docPartObj>
        <w:docPartGallery w:val="Page Numbers (Top of Page)"/>
        <w:docPartUnique/>
      </w:docPartObj>
    </w:sdtPr>
    <w:sdtEndPr/>
    <w:sdtContent>
      <w:p w:rsidR="00A54E63" w:rsidRDefault="00A54E63">
        <w:pPr>
          <w:pStyle w:val="Encabezado"/>
          <w:jc w:val="center"/>
        </w:pPr>
        <w:r>
          <w:fldChar w:fldCharType="begin"/>
        </w:r>
        <w:r>
          <w:instrText>PAGE   \* MERGEFORMAT</w:instrText>
        </w:r>
        <w:r>
          <w:fldChar w:fldCharType="separate"/>
        </w:r>
        <w:r w:rsidR="009D13F1">
          <w:rPr>
            <w:noProof/>
          </w:rPr>
          <w:t>14</w:t>
        </w:r>
        <w:r>
          <w:fldChar w:fldCharType="end"/>
        </w:r>
      </w:p>
    </w:sdtContent>
  </w:sdt>
  <w:p w:rsidR="00A54E63" w:rsidRDefault="009D13F1">
    <w:pPr>
      <w:pStyle w:val="Encabezado"/>
    </w:pPr>
    <w:bookmarkStart w:id="0" w:name="_GoBack"/>
    <w:r>
      <w:rPr>
        <w:noProof/>
        <w:lang w:eastAsia="es-MX"/>
      </w:rPr>
      <w:drawing>
        <wp:anchor distT="0" distB="0" distL="114300" distR="114300" simplePos="0" relativeHeight="251659776" behindDoc="0" locked="0" layoutInCell="1" allowOverlap="1" wp14:anchorId="5194AC0B" wp14:editId="4F990E44">
          <wp:simplePos x="0" y="0"/>
          <wp:positionH relativeFrom="column">
            <wp:posOffset>5360670</wp:posOffset>
          </wp:positionH>
          <wp:positionV relativeFrom="paragraph">
            <wp:posOffset>4754245</wp:posOffset>
          </wp:positionV>
          <wp:extent cx="1164590" cy="646430"/>
          <wp:effectExtent l="0" t="0" r="0" b="1270"/>
          <wp:wrapNone/>
          <wp:docPr id="4" name="Imagen 4"/>
          <wp:cNvGraphicFramePr/>
          <a:graphic xmlns:a="http://schemas.openxmlformats.org/drawingml/2006/main">
            <a:graphicData uri="http://schemas.openxmlformats.org/drawingml/2006/picture">
              <pic:pic xmlns:pic="http://schemas.openxmlformats.org/drawingml/2006/picture">
                <pic:nvPicPr>
                  <pic:cNvPr id="4" name="Imagen 4"/>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64590" cy="646430"/>
                  </a:xfrm>
                  <a:prstGeom prst="rect">
                    <a:avLst/>
                  </a:prstGeom>
                  <a:noFill/>
                </pic:spPr>
              </pic:pic>
            </a:graphicData>
          </a:graphic>
        </wp:anchor>
      </w:drawing>
    </w:r>
    <w:bookmarkEnd w:id="0"/>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54E63" w:rsidRDefault="00A54E63" w:rsidP="007D05DF">
    <w:pPr>
      <w:pStyle w:val="Encabezado"/>
      <w:jc w:val="center"/>
    </w:pPr>
    <w:r>
      <w:rPr>
        <w:noProof/>
        <w:lang w:val="es-MX" w:eastAsia="es-MX"/>
      </w:rPr>
      <w:drawing>
        <wp:anchor distT="0" distB="0" distL="114300" distR="114300" simplePos="0" relativeHeight="251659264" behindDoc="1" locked="0" layoutInCell="1" allowOverlap="1" wp14:anchorId="40A8553F" wp14:editId="14DB268F">
          <wp:simplePos x="0" y="0"/>
          <wp:positionH relativeFrom="column">
            <wp:posOffset>-153619</wp:posOffset>
          </wp:positionH>
          <wp:positionV relativeFrom="paragraph">
            <wp:posOffset>4243095</wp:posOffset>
          </wp:positionV>
          <wp:extent cx="5850890" cy="3641220"/>
          <wp:effectExtent l="0" t="0" r="0" b="0"/>
          <wp:wrapNone/>
          <wp:docPr id="25" name="Imagen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850890" cy="3641220"/>
                  </a:xfrm>
                  <a:prstGeom prst="rect">
                    <a:avLst/>
                  </a:prstGeom>
                  <a:noFill/>
                  <a:ln>
                    <a:noFill/>
                  </a:ln>
                </pic:spPr>
              </pic:pic>
            </a:graphicData>
          </a:graphic>
        </wp:anchor>
      </w:drawing>
    </w:r>
    <w:r w:rsidRPr="003E6AD7">
      <w:rPr>
        <w:noProof/>
        <w:lang w:val="es-MX" w:eastAsia="es-MX"/>
      </w:rPr>
      <w:drawing>
        <wp:anchor distT="0" distB="0" distL="114300" distR="114300" simplePos="0" relativeHeight="251657216" behindDoc="0" locked="0" layoutInCell="1" allowOverlap="1" wp14:anchorId="3662F92B" wp14:editId="0DFDA976">
          <wp:simplePos x="0" y="0"/>
          <wp:positionH relativeFrom="page">
            <wp:posOffset>313639</wp:posOffset>
          </wp:positionH>
          <wp:positionV relativeFrom="paragraph">
            <wp:posOffset>4557344</wp:posOffset>
          </wp:positionV>
          <wp:extent cx="1118870" cy="974725"/>
          <wp:effectExtent l="0" t="0" r="5080" b="0"/>
          <wp:wrapNone/>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D13F1" w:rsidRDefault="009D13F1">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3C0721B"/>
    <w:multiLevelType w:val="hybridMultilevel"/>
    <w:tmpl w:val="A02EB05A"/>
    <w:lvl w:ilvl="0" w:tplc="FCCEFFF2">
      <w:start w:val="1"/>
      <w:numFmt w:val="decimal"/>
      <w:lvlText w:val="%1)"/>
      <w:lvlJc w:val="left"/>
      <w:pPr>
        <w:ind w:left="1065" w:hanging="360"/>
      </w:pPr>
      <w:rPr>
        <w:rFonts w:hint="default"/>
        <w:b/>
        <w:sz w:val="24"/>
        <w:szCs w:val="24"/>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2">
    <w:nsid w:val="1C186BDC"/>
    <w:multiLevelType w:val="hybridMultilevel"/>
    <w:tmpl w:val="F898A538"/>
    <w:lvl w:ilvl="0" w:tplc="0D32AC78">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3">
    <w:nsid w:val="1F814398"/>
    <w:multiLevelType w:val="hybridMultilevel"/>
    <w:tmpl w:val="A4DE584A"/>
    <w:lvl w:ilvl="0" w:tplc="8EB8D0CC">
      <w:start w:val="1"/>
      <w:numFmt w:val="upperRoman"/>
      <w:lvlText w:val="%1."/>
      <w:lvlJc w:val="left"/>
      <w:pPr>
        <w:ind w:left="1714" w:hanging="960"/>
      </w:pPr>
      <w:rPr>
        <w:rFonts w:hint="default"/>
      </w:rPr>
    </w:lvl>
    <w:lvl w:ilvl="1" w:tplc="080A0019" w:tentative="1">
      <w:start w:val="1"/>
      <w:numFmt w:val="lowerLetter"/>
      <w:lvlText w:val="%2."/>
      <w:lvlJc w:val="left"/>
      <w:pPr>
        <w:ind w:left="1834" w:hanging="360"/>
      </w:pPr>
    </w:lvl>
    <w:lvl w:ilvl="2" w:tplc="080A001B" w:tentative="1">
      <w:start w:val="1"/>
      <w:numFmt w:val="lowerRoman"/>
      <w:lvlText w:val="%3."/>
      <w:lvlJc w:val="right"/>
      <w:pPr>
        <w:ind w:left="2554" w:hanging="180"/>
      </w:pPr>
    </w:lvl>
    <w:lvl w:ilvl="3" w:tplc="080A000F" w:tentative="1">
      <w:start w:val="1"/>
      <w:numFmt w:val="decimal"/>
      <w:lvlText w:val="%4."/>
      <w:lvlJc w:val="left"/>
      <w:pPr>
        <w:ind w:left="3274" w:hanging="360"/>
      </w:pPr>
    </w:lvl>
    <w:lvl w:ilvl="4" w:tplc="080A0019" w:tentative="1">
      <w:start w:val="1"/>
      <w:numFmt w:val="lowerLetter"/>
      <w:lvlText w:val="%5."/>
      <w:lvlJc w:val="left"/>
      <w:pPr>
        <w:ind w:left="3994" w:hanging="360"/>
      </w:pPr>
    </w:lvl>
    <w:lvl w:ilvl="5" w:tplc="080A001B" w:tentative="1">
      <w:start w:val="1"/>
      <w:numFmt w:val="lowerRoman"/>
      <w:lvlText w:val="%6."/>
      <w:lvlJc w:val="right"/>
      <w:pPr>
        <w:ind w:left="4714" w:hanging="180"/>
      </w:pPr>
    </w:lvl>
    <w:lvl w:ilvl="6" w:tplc="080A000F" w:tentative="1">
      <w:start w:val="1"/>
      <w:numFmt w:val="decimal"/>
      <w:lvlText w:val="%7."/>
      <w:lvlJc w:val="left"/>
      <w:pPr>
        <w:ind w:left="5434" w:hanging="360"/>
      </w:pPr>
    </w:lvl>
    <w:lvl w:ilvl="7" w:tplc="080A0019" w:tentative="1">
      <w:start w:val="1"/>
      <w:numFmt w:val="lowerLetter"/>
      <w:lvlText w:val="%8."/>
      <w:lvlJc w:val="left"/>
      <w:pPr>
        <w:ind w:left="6154" w:hanging="360"/>
      </w:pPr>
    </w:lvl>
    <w:lvl w:ilvl="8" w:tplc="080A001B" w:tentative="1">
      <w:start w:val="1"/>
      <w:numFmt w:val="lowerRoman"/>
      <w:lvlText w:val="%9."/>
      <w:lvlJc w:val="right"/>
      <w:pPr>
        <w:ind w:left="6874" w:hanging="180"/>
      </w:pPr>
    </w:lvl>
  </w:abstractNum>
  <w:abstractNum w:abstractNumId="4">
    <w:nsid w:val="260C53E7"/>
    <w:multiLevelType w:val="hybridMultilevel"/>
    <w:tmpl w:val="F898A538"/>
    <w:lvl w:ilvl="0" w:tplc="0D32AC78">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5">
    <w:nsid w:val="2DFF4D5C"/>
    <w:multiLevelType w:val="hybridMultilevel"/>
    <w:tmpl w:val="3C642932"/>
    <w:lvl w:ilvl="0" w:tplc="9EDCDD74">
      <w:start w:val="1"/>
      <w:numFmt w:val="upperRoman"/>
      <w:lvlText w:val="%1."/>
      <w:lvlJc w:val="left"/>
      <w:pPr>
        <w:ind w:left="1080" w:hanging="720"/>
      </w:pPr>
      <w:rPr>
        <w:rFonts w:hint="default"/>
        <w:i w:val="0"/>
        <w:color w:val="000000"/>
        <w:sz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nsid w:val="31641877"/>
    <w:multiLevelType w:val="hybridMultilevel"/>
    <w:tmpl w:val="F2568A42"/>
    <w:lvl w:ilvl="0" w:tplc="67826DE8">
      <w:start w:val="30"/>
      <w:numFmt w:val="upperRoman"/>
      <w:lvlText w:val="%1."/>
      <w:lvlJc w:val="left"/>
      <w:pPr>
        <w:ind w:left="1440" w:hanging="72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7">
    <w:nsid w:val="38943851"/>
    <w:multiLevelType w:val="hybridMultilevel"/>
    <w:tmpl w:val="621AF52A"/>
    <w:lvl w:ilvl="0" w:tplc="080A0001">
      <w:start w:val="1"/>
      <w:numFmt w:val="bullet"/>
      <w:lvlText w:val=""/>
      <w:lvlJc w:val="left"/>
      <w:pPr>
        <w:ind w:left="2130" w:hanging="360"/>
      </w:pPr>
      <w:rPr>
        <w:rFonts w:ascii="Symbol" w:hAnsi="Symbol" w:hint="default"/>
      </w:rPr>
    </w:lvl>
    <w:lvl w:ilvl="1" w:tplc="080A0003" w:tentative="1">
      <w:start w:val="1"/>
      <w:numFmt w:val="bullet"/>
      <w:lvlText w:val="o"/>
      <w:lvlJc w:val="left"/>
      <w:pPr>
        <w:ind w:left="2850" w:hanging="360"/>
      </w:pPr>
      <w:rPr>
        <w:rFonts w:ascii="Courier New" w:hAnsi="Courier New" w:cs="Courier New" w:hint="default"/>
      </w:rPr>
    </w:lvl>
    <w:lvl w:ilvl="2" w:tplc="080A0005" w:tentative="1">
      <w:start w:val="1"/>
      <w:numFmt w:val="bullet"/>
      <w:lvlText w:val=""/>
      <w:lvlJc w:val="left"/>
      <w:pPr>
        <w:ind w:left="3570" w:hanging="360"/>
      </w:pPr>
      <w:rPr>
        <w:rFonts w:ascii="Wingdings" w:hAnsi="Wingdings" w:hint="default"/>
      </w:rPr>
    </w:lvl>
    <w:lvl w:ilvl="3" w:tplc="080A0001" w:tentative="1">
      <w:start w:val="1"/>
      <w:numFmt w:val="bullet"/>
      <w:lvlText w:val=""/>
      <w:lvlJc w:val="left"/>
      <w:pPr>
        <w:ind w:left="4290" w:hanging="360"/>
      </w:pPr>
      <w:rPr>
        <w:rFonts w:ascii="Symbol" w:hAnsi="Symbol" w:hint="default"/>
      </w:rPr>
    </w:lvl>
    <w:lvl w:ilvl="4" w:tplc="080A0003" w:tentative="1">
      <w:start w:val="1"/>
      <w:numFmt w:val="bullet"/>
      <w:lvlText w:val="o"/>
      <w:lvlJc w:val="left"/>
      <w:pPr>
        <w:ind w:left="5010" w:hanging="360"/>
      </w:pPr>
      <w:rPr>
        <w:rFonts w:ascii="Courier New" w:hAnsi="Courier New" w:cs="Courier New" w:hint="default"/>
      </w:rPr>
    </w:lvl>
    <w:lvl w:ilvl="5" w:tplc="080A0005" w:tentative="1">
      <w:start w:val="1"/>
      <w:numFmt w:val="bullet"/>
      <w:lvlText w:val=""/>
      <w:lvlJc w:val="left"/>
      <w:pPr>
        <w:ind w:left="5730" w:hanging="360"/>
      </w:pPr>
      <w:rPr>
        <w:rFonts w:ascii="Wingdings" w:hAnsi="Wingdings" w:hint="default"/>
      </w:rPr>
    </w:lvl>
    <w:lvl w:ilvl="6" w:tplc="080A0001" w:tentative="1">
      <w:start w:val="1"/>
      <w:numFmt w:val="bullet"/>
      <w:lvlText w:val=""/>
      <w:lvlJc w:val="left"/>
      <w:pPr>
        <w:ind w:left="6450" w:hanging="360"/>
      </w:pPr>
      <w:rPr>
        <w:rFonts w:ascii="Symbol" w:hAnsi="Symbol" w:hint="default"/>
      </w:rPr>
    </w:lvl>
    <w:lvl w:ilvl="7" w:tplc="080A0003" w:tentative="1">
      <w:start w:val="1"/>
      <w:numFmt w:val="bullet"/>
      <w:lvlText w:val="o"/>
      <w:lvlJc w:val="left"/>
      <w:pPr>
        <w:ind w:left="7170" w:hanging="360"/>
      </w:pPr>
      <w:rPr>
        <w:rFonts w:ascii="Courier New" w:hAnsi="Courier New" w:cs="Courier New" w:hint="default"/>
      </w:rPr>
    </w:lvl>
    <w:lvl w:ilvl="8" w:tplc="080A0005" w:tentative="1">
      <w:start w:val="1"/>
      <w:numFmt w:val="bullet"/>
      <w:lvlText w:val=""/>
      <w:lvlJc w:val="left"/>
      <w:pPr>
        <w:ind w:left="7890" w:hanging="360"/>
      </w:pPr>
      <w:rPr>
        <w:rFonts w:ascii="Wingdings" w:hAnsi="Wingdings" w:hint="default"/>
      </w:rPr>
    </w:lvl>
  </w:abstractNum>
  <w:abstractNum w:abstractNumId="8">
    <w:nsid w:val="45B15232"/>
    <w:multiLevelType w:val="hybridMultilevel"/>
    <w:tmpl w:val="283AAA94"/>
    <w:lvl w:ilvl="0" w:tplc="984AEA46">
      <w:start w:val="1"/>
      <w:numFmt w:val="decimal"/>
      <w:lvlText w:val="%1)"/>
      <w:lvlJc w:val="left"/>
      <w:pPr>
        <w:ind w:left="1764" w:hanging="360"/>
      </w:pPr>
      <w:rPr>
        <w:rFonts w:hint="default"/>
        <w:i w:val="0"/>
        <w:sz w:val="26"/>
        <w:szCs w:val="26"/>
      </w:rPr>
    </w:lvl>
    <w:lvl w:ilvl="1" w:tplc="080A0019" w:tentative="1">
      <w:start w:val="1"/>
      <w:numFmt w:val="lowerLetter"/>
      <w:lvlText w:val="%2."/>
      <w:lvlJc w:val="left"/>
      <w:pPr>
        <w:ind w:left="2484" w:hanging="360"/>
      </w:pPr>
    </w:lvl>
    <w:lvl w:ilvl="2" w:tplc="080A001B" w:tentative="1">
      <w:start w:val="1"/>
      <w:numFmt w:val="lowerRoman"/>
      <w:lvlText w:val="%3."/>
      <w:lvlJc w:val="right"/>
      <w:pPr>
        <w:ind w:left="3204" w:hanging="180"/>
      </w:pPr>
    </w:lvl>
    <w:lvl w:ilvl="3" w:tplc="080A000F" w:tentative="1">
      <w:start w:val="1"/>
      <w:numFmt w:val="decimal"/>
      <w:lvlText w:val="%4."/>
      <w:lvlJc w:val="left"/>
      <w:pPr>
        <w:ind w:left="3924" w:hanging="360"/>
      </w:pPr>
    </w:lvl>
    <w:lvl w:ilvl="4" w:tplc="080A0019" w:tentative="1">
      <w:start w:val="1"/>
      <w:numFmt w:val="lowerLetter"/>
      <w:lvlText w:val="%5."/>
      <w:lvlJc w:val="left"/>
      <w:pPr>
        <w:ind w:left="4644" w:hanging="360"/>
      </w:pPr>
    </w:lvl>
    <w:lvl w:ilvl="5" w:tplc="080A001B" w:tentative="1">
      <w:start w:val="1"/>
      <w:numFmt w:val="lowerRoman"/>
      <w:lvlText w:val="%6."/>
      <w:lvlJc w:val="right"/>
      <w:pPr>
        <w:ind w:left="5364" w:hanging="180"/>
      </w:pPr>
    </w:lvl>
    <w:lvl w:ilvl="6" w:tplc="080A000F" w:tentative="1">
      <w:start w:val="1"/>
      <w:numFmt w:val="decimal"/>
      <w:lvlText w:val="%7."/>
      <w:lvlJc w:val="left"/>
      <w:pPr>
        <w:ind w:left="6084" w:hanging="360"/>
      </w:pPr>
    </w:lvl>
    <w:lvl w:ilvl="7" w:tplc="080A0019" w:tentative="1">
      <w:start w:val="1"/>
      <w:numFmt w:val="lowerLetter"/>
      <w:lvlText w:val="%8."/>
      <w:lvlJc w:val="left"/>
      <w:pPr>
        <w:ind w:left="6804" w:hanging="360"/>
      </w:pPr>
    </w:lvl>
    <w:lvl w:ilvl="8" w:tplc="080A001B" w:tentative="1">
      <w:start w:val="1"/>
      <w:numFmt w:val="lowerRoman"/>
      <w:lvlText w:val="%9."/>
      <w:lvlJc w:val="right"/>
      <w:pPr>
        <w:ind w:left="7524" w:hanging="180"/>
      </w:pPr>
    </w:lvl>
  </w:abstractNum>
  <w:abstractNum w:abstractNumId="9">
    <w:nsid w:val="521D7830"/>
    <w:multiLevelType w:val="hybridMultilevel"/>
    <w:tmpl w:val="42A05000"/>
    <w:lvl w:ilvl="0" w:tplc="4D146118">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nsid w:val="586E4D90"/>
    <w:multiLevelType w:val="hybridMultilevel"/>
    <w:tmpl w:val="ED58D5D6"/>
    <w:lvl w:ilvl="0" w:tplc="739CBE1C">
      <w:start w:val="1"/>
      <w:numFmt w:val="decimal"/>
      <w:lvlText w:val="%1."/>
      <w:lvlJc w:val="left"/>
      <w:pPr>
        <w:ind w:left="1068" w:hanging="360"/>
      </w:pPr>
      <w:rPr>
        <w:rFonts w:hint="default"/>
        <w:b w:val="0"/>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1">
    <w:nsid w:val="60FF5D10"/>
    <w:multiLevelType w:val="hybridMultilevel"/>
    <w:tmpl w:val="26B44DF6"/>
    <w:lvl w:ilvl="0" w:tplc="21CE54AE">
      <w:start w:val="1"/>
      <w:numFmt w:val="lowerLetter"/>
      <w:lvlText w:val="%1)"/>
      <w:lvlJc w:val="left"/>
      <w:pPr>
        <w:ind w:left="1068" w:hanging="36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2">
    <w:nsid w:val="6B671744"/>
    <w:multiLevelType w:val="hybridMultilevel"/>
    <w:tmpl w:val="99BEB3B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3">
    <w:nsid w:val="76FE2D64"/>
    <w:multiLevelType w:val="hybridMultilevel"/>
    <w:tmpl w:val="AD1ECFA4"/>
    <w:lvl w:ilvl="0" w:tplc="2B42DB6E">
      <w:start w:val="1"/>
      <w:numFmt w:val="lowerLetter"/>
      <w:lvlText w:val="%1)"/>
      <w:lvlJc w:val="left"/>
      <w:pPr>
        <w:ind w:left="926" w:hanging="360"/>
      </w:pPr>
      <w:rPr>
        <w:rFonts w:hint="default"/>
      </w:rPr>
    </w:lvl>
    <w:lvl w:ilvl="1" w:tplc="080A0019" w:tentative="1">
      <w:start w:val="1"/>
      <w:numFmt w:val="lowerLetter"/>
      <w:lvlText w:val="%2."/>
      <w:lvlJc w:val="left"/>
      <w:pPr>
        <w:ind w:left="1646" w:hanging="360"/>
      </w:pPr>
    </w:lvl>
    <w:lvl w:ilvl="2" w:tplc="080A001B" w:tentative="1">
      <w:start w:val="1"/>
      <w:numFmt w:val="lowerRoman"/>
      <w:lvlText w:val="%3."/>
      <w:lvlJc w:val="right"/>
      <w:pPr>
        <w:ind w:left="2366" w:hanging="180"/>
      </w:pPr>
    </w:lvl>
    <w:lvl w:ilvl="3" w:tplc="080A000F" w:tentative="1">
      <w:start w:val="1"/>
      <w:numFmt w:val="decimal"/>
      <w:lvlText w:val="%4."/>
      <w:lvlJc w:val="left"/>
      <w:pPr>
        <w:ind w:left="3086" w:hanging="360"/>
      </w:pPr>
    </w:lvl>
    <w:lvl w:ilvl="4" w:tplc="080A0019" w:tentative="1">
      <w:start w:val="1"/>
      <w:numFmt w:val="lowerLetter"/>
      <w:lvlText w:val="%5."/>
      <w:lvlJc w:val="left"/>
      <w:pPr>
        <w:ind w:left="3806" w:hanging="360"/>
      </w:pPr>
    </w:lvl>
    <w:lvl w:ilvl="5" w:tplc="080A001B" w:tentative="1">
      <w:start w:val="1"/>
      <w:numFmt w:val="lowerRoman"/>
      <w:lvlText w:val="%6."/>
      <w:lvlJc w:val="right"/>
      <w:pPr>
        <w:ind w:left="4526" w:hanging="180"/>
      </w:pPr>
    </w:lvl>
    <w:lvl w:ilvl="6" w:tplc="080A000F" w:tentative="1">
      <w:start w:val="1"/>
      <w:numFmt w:val="decimal"/>
      <w:lvlText w:val="%7."/>
      <w:lvlJc w:val="left"/>
      <w:pPr>
        <w:ind w:left="5246" w:hanging="360"/>
      </w:pPr>
    </w:lvl>
    <w:lvl w:ilvl="7" w:tplc="080A0019" w:tentative="1">
      <w:start w:val="1"/>
      <w:numFmt w:val="lowerLetter"/>
      <w:lvlText w:val="%8."/>
      <w:lvlJc w:val="left"/>
      <w:pPr>
        <w:ind w:left="5966" w:hanging="360"/>
      </w:pPr>
    </w:lvl>
    <w:lvl w:ilvl="8" w:tplc="080A001B" w:tentative="1">
      <w:start w:val="1"/>
      <w:numFmt w:val="lowerRoman"/>
      <w:lvlText w:val="%9."/>
      <w:lvlJc w:val="right"/>
      <w:pPr>
        <w:ind w:left="6686" w:hanging="180"/>
      </w:pPr>
    </w:lvl>
  </w:abstractNum>
  <w:num w:numId="1">
    <w:abstractNumId w:val="0"/>
  </w:num>
  <w:num w:numId="2">
    <w:abstractNumId w:val="9"/>
  </w:num>
  <w:num w:numId="3">
    <w:abstractNumId w:val="13"/>
  </w:num>
  <w:num w:numId="4">
    <w:abstractNumId w:val="11"/>
  </w:num>
  <w:num w:numId="5">
    <w:abstractNumId w:val="10"/>
  </w:num>
  <w:num w:numId="6">
    <w:abstractNumId w:val="6"/>
  </w:num>
  <w:num w:numId="7">
    <w:abstractNumId w:val="3"/>
  </w:num>
  <w:num w:numId="8">
    <w:abstractNumId w:val="5"/>
  </w:num>
  <w:num w:numId="9">
    <w:abstractNumId w:val="1"/>
  </w:num>
  <w:num w:numId="10">
    <w:abstractNumId w:val="2"/>
  </w:num>
  <w:num w:numId="11">
    <w:abstractNumId w:val="4"/>
  </w:num>
  <w:num w:numId="12">
    <w:abstractNumId w:val="7"/>
  </w:num>
  <w:num w:numId="13">
    <w:abstractNumId w:val="8"/>
  </w:num>
  <w:num w:numId="1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62"/>
  <w:mirrorMargins/>
  <w:proofState w:spelling="clean" w:grammar="clean"/>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32B13"/>
    <w:rsid w:val="0000565E"/>
    <w:rsid w:val="00020959"/>
    <w:rsid w:val="0002163E"/>
    <w:rsid w:val="000219DD"/>
    <w:rsid w:val="00021A9A"/>
    <w:rsid w:val="0002628E"/>
    <w:rsid w:val="00027A8E"/>
    <w:rsid w:val="00032A4C"/>
    <w:rsid w:val="00032BE7"/>
    <w:rsid w:val="00045989"/>
    <w:rsid w:val="00045E82"/>
    <w:rsid w:val="00046448"/>
    <w:rsid w:val="00050C2D"/>
    <w:rsid w:val="000512C7"/>
    <w:rsid w:val="00053356"/>
    <w:rsid w:val="0005687E"/>
    <w:rsid w:val="00057871"/>
    <w:rsid w:val="0006100C"/>
    <w:rsid w:val="00062162"/>
    <w:rsid w:val="00064356"/>
    <w:rsid w:val="000677D0"/>
    <w:rsid w:val="00075CF8"/>
    <w:rsid w:val="00076BEE"/>
    <w:rsid w:val="00077151"/>
    <w:rsid w:val="00081539"/>
    <w:rsid w:val="0008277A"/>
    <w:rsid w:val="00084184"/>
    <w:rsid w:val="000875E2"/>
    <w:rsid w:val="00090AAC"/>
    <w:rsid w:val="00092F9A"/>
    <w:rsid w:val="0009484F"/>
    <w:rsid w:val="00097C1D"/>
    <w:rsid w:val="000A6582"/>
    <w:rsid w:val="000B2F03"/>
    <w:rsid w:val="000B3733"/>
    <w:rsid w:val="000B4683"/>
    <w:rsid w:val="000B541A"/>
    <w:rsid w:val="000B620E"/>
    <w:rsid w:val="000C09AA"/>
    <w:rsid w:val="000C0B8F"/>
    <w:rsid w:val="000C6DEA"/>
    <w:rsid w:val="000C70CE"/>
    <w:rsid w:val="000C72FF"/>
    <w:rsid w:val="000C7BF0"/>
    <w:rsid w:val="000D0EF5"/>
    <w:rsid w:val="000D76B3"/>
    <w:rsid w:val="000E0151"/>
    <w:rsid w:val="000E2052"/>
    <w:rsid w:val="000F184A"/>
    <w:rsid w:val="000F4C2C"/>
    <w:rsid w:val="000F6406"/>
    <w:rsid w:val="000F7C11"/>
    <w:rsid w:val="00105830"/>
    <w:rsid w:val="001069CB"/>
    <w:rsid w:val="00107229"/>
    <w:rsid w:val="0011080C"/>
    <w:rsid w:val="001147B6"/>
    <w:rsid w:val="00114C43"/>
    <w:rsid w:val="00116568"/>
    <w:rsid w:val="00117858"/>
    <w:rsid w:val="001220DE"/>
    <w:rsid w:val="0012503F"/>
    <w:rsid w:val="00125EA2"/>
    <w:rsid w:val="00125FD9"/>
    <w:rsid w:val="00130925"/>
    <w:rsid w:val="00132590"/>
    <w:rsid w:val="00133A98"/>
    <w:rsid w:val="00135476"/>
    <w:rsid w:val="0014092D"/>
    <w:rsid w:val="00142FBB"/>
    <w:rsid w:val="00147A24"/>
    <w:rsid w:val="001500DD"/>
    <w:rsid w:val="001521E1"/>
    <w:rsid w:val="001555A8"/>
    <w:rsid w:val="00156DFD"/>
    <w:rsid w:val="00157C9E"/>
    <w:rsid w:val="001600C0"/>
    <w:rsid w:val="00165170"/>
    <w:rsid w:val="001707A1"/>
    <w:rsid w:val="00173309"/>
    <w:rsid w:val="00173A57"/>
    <w:rsid w:val="00173EF8"/>
    <w:rsid w:val="001745A4"/>
    <w:rsid w:val="00174742"/>
    <w:rsid w:val="00175238"/>
    <w:rsid w:val="00177CFA"/>
    <w:rsid w:val="00182EC0"/>
    <w:rsid w:val="00184503"/>
    <w:rsid w:val="0018745E"/>
    <w:rsid w:val="00187A2C"/>
    <w:rsid w:val="00191876"/>
    <w:rsid w:val="00195333"/>
    <w:rsid w:val="00196682"/>
    <w:rsid w:val="001A225A"/>
    <w:rsid w:val="001A4950"/>
    <w:rsid w:val="001A4D3C"/>
    <w:rsid w:val="001A61E7"/>
    <w:rsid w:val="001A6A9F"/>
    <w:rsid w:val="001B0675"/>
    <w:rsid w:val="001B49DB"/>
    <w:rsid w:val="001C3ECE"/>
    <w:rsid w:val="001C4078"/>
    <w:rsid w:val="001C57AC"/>
    <w:rsid w:val="001C6780"/>
    <w:rsid w:val="001C679E"/>
    <w:rsid w:val="001C6C0E"/>
    <w:rsid w:val="001C6F5E"/>
    <w:rsid w:val="001D081F"/>
    <w:rsid w:val="001D1ED8"/>
    <w:rsid w:val="001D30D5"/>
    <w:rsid w:val="001D33C1"/>
    <w:rsid w:val="001E401F"/>
    <w:rsid w:val="001E6B72"/>
    <w:rsid w:val="001E7087"/>
    <w:rsid w:val="001F5EEC"/>
    <w:rsid w:val="001F73B4"/>
    <w:rsid w:val="002020A6"/>
    <w:rsid w:val="00202751"/>
    <w:rsid w:val="002048CE"/>
    <w:rsid w:val="00206F64"/>
    <w:rsid w:val="00207C50"/>
    <w:rsid w:val="00211656"/>
    <w:rsid w:val="00214F66"/>
    <w:rsid w:val="002176FE"/>
    <w:rsid w:val="00221869"/>
    <w:rsid w:val="002239AE"/>
    <w:rsid w:val="00225F51"/>
    <w:rsid w:val="00227312"/>
    <w:rsid w:val="00231C5D"/>
    <w:rsid w:val="00232FB3"/>
    <w:rsid w:val="00233D63"/>
    <w:rsid w:val="00236830"/>
    <w:rsid w:val="002410F3"/>
    <w:rsid w:val="00241F3D"/>
    <w:rsid w:val="002430D5"/>
    <w:rsid w:val="002436C5"/>
    <w:rsid w:val="00244C39"/>
    <w:rsid w:val="00247DED"/>
    <w:rsid w:val="00251365"/>
    <w:rsid w:val="00254311"/>
    <w:rsid w:val="00263873"/>
    <w:rsid w:val="00264D1B"/>
    <w:rsid w:val="002651DB"/>
    <w:rsid w:val="0027253E"/>
    <w:rsid w:val="002763AB"/>
    <w:rsid w:val="00276E75"/>
    <w:rsid w:val="00284C2D"/>
    <w:rsid w:val="0028630A"/>
    <w:rsid w:val="0029080C"/>
    <w:rsid w:val="00291A9B"/>
    <w:rsid w:val="0029525F"/>
    <w:rsid w:val="002A1F96"/>
    <w:rsid w:val="002A355B"/>
    <w:rsid w:val="002A3FD3"/>
    <w:rsid w:val="002A500C"/>
    <w:rsid w:val="002B04E2"/>
    <w:rsid w:val="002B054A"/>
    <w:rsid w:val="002B096A"/>
    <w:rsid w:val="002B105D"/>
    <w:rsid w:val="002B16F5"/>
    <w:rsid w:val="002B2185"/>
    <w:rsid w:val="002B27E9"/>
    <w:rsid w:val="002B283B"/>
    <w:rsid w:val="002B5479"/>
    <w:rsid w:val="002C0042"/>
    <w:rsid w:val="002C2E78"/>
    <w:rsid w:val="002C2E8E"/>
    <w:rsid w:val="002C65AA"/>
    <w:rsid w:val="002C685D"/>
    <w:rsid w:val="002D0567"/>
    <w:rsid w:val="002D3602"/>
    <w:rsid w:val="002D542B"/>
    <w:rsid w:val="002D5890"/>
    <w:rsid w:val="002E1E94"/>
    <w:rsid w:val="002E3E6D"/>
    <w:rsid w:val="002E59BE"/>
    <w:rsid w:val="002E5D9C"/>
    <w:rsid w:val="002F2166"/>
    <w:rsid w:val="002F42EF"/>
    <w:rsid w:val="002F463A"/>
    <w:rsid w:val="002F4AD6"/>
    <w:rsid w:val="002F4B60"/>
    <w:rsid w:val="002F4D78"/>
    <w:rsid w:val="002F5C58"/>
    <w:rsid w:val="00301690"/>
    <w:rsid w:val="00306E09"/>
    <w:rsid w:val="00315F28"/>
    <w:rsid w:val="00316456"/>
    <w:rsid w:val="00316531"/>
    <w:rsid w:val="00323808"/>
    <w:rsid w:val="00326D85"/>
    <w:rsid w:val="00330055"/>
    <w:rsid w:val="00333021"/>
    <w:rsid w:val="00340122"/>
    <w:rsid w:val="00346500"/>
    <w:rsid w:val="00350A14"/>
    <w:rsid w:val="003606BB"/>
    <w:rsid w:val="00372470"/>
    <w:rsid w:val="003731F7"/>
    <w:rsid w:val="003750A3"/>
    <w:rsid w:val="00376180"/>
    <w:rsid w:val="00380718"/>
    <w:rsid w:val="0038090E"/>
    <w:rsid w:val="003815B1"/>
    <w:rsid w:val="0038406C"/>
    <w:rsid w:val="0039342F"/>
    <w:rsid w:val="00393EE5"/>
    <w:rsid w:val="00396619"/>
    <w:rsid w:val="003966C3"/>
    <w:rsid w:val="00397221"/>
    <w:rsid w:val="003978AF"/>
    <w:rsid w:val="003A4DE5"/>
    <w:rsid w:val="003A513F"/>
    <w:rsid w:val="003B0BCB"/>
    <w:rsid w:val="003B10DF"/>
    <w:rsid w:val="003B431E"/>
    <w:rsid w:val="003C09E5"/>
    <w:rsid w:val="003C3B8C"/>
    <w:rsid w:val="003C7DD9"/>
    <w:rsid w:val="003D0A35"/>
    <w:rsid w:val="003D6599"/>
    <w:rsid w:val="003E06B1"/>
    <w:rsid w:val="003E1CF5"/>
    <w:rsid w:val="003E5B73"/>
    <w:rsid w:val="003E7C49"/>
    <w:rsid w:val="003F0268"/>
    <w:rsid w:val="003F0D75"/>
    <w:rsid w:val="003F1120"/>
    <w:rsid w:val="003F1C9D"/>
    <w:rsid w:val="003F24DD"/>
    <w:rsid w:val="003F4CA8"/>
    <w:rsid w:val="003F751D"/>
    <w:rsid w:val="0040134A"/>
    <w:rsid w:val="00401443"/>
    <w:rsid w:val="004108F7"/>
    <w:rsid w:val="00411E80"/>
    <w:rsid w:val="00412213"/>
    <w:rsid w:val="00413FC8"/>
    <w:rsid w:val="004239F3"/>
    <w:rsid w:val="00424C6C"/>
    <w:rsid w:val="00426EB8"/>
    <w:rsid w:val="00430B5A"/>
    <w:rsid w:val="00432B13"/>
    <w:rsid w:val="00432F9D"/>
    <w:rsid w:val="00434F3F"/>
    <w:rsid w:val="00441EE1"/>
    <w:rsid w:val="00446715"/>
    <w:rsid w:val="004467A5"/>
    <w:rsid w:val="00454F38"/>
    <w:rsid w:val="004563CD"/>
    <w:rsid w:val="00456742"/>
    <w:rsid w:val="004605EC"/>
    <w:rsid w:val="00460913"/>
    <w:rsid w:val="00466743"/>
    <w:rsid w:val="00467337"/>
    <w:rsid w:val="004746F0"/>
    <w:rsid w:val="0047596E"/>
    <w:rsid w:val="004777BE"/>
    <w:rsid w:val="00480D5E"/>
    <w:rsid w:val="00481A72"/>
    <w:rsid w:val="00481C9C"/>
    <w:rsid w:val="00482AA6"/>
    <w:rsid w:val="00482D56"/>
    <w:rsid w:val="00484F65"/>
    <w:rsid w:val="00486015"/>
    <w:rsid w:val="004920D9"/>
    <w:rsid w:val="00495E24"/>
    <w:rsid w:val="004978F5"/>
    <w:rsid w:val="004A04BA"/>
    <w:rsid w:val="004A0E54"/>
    <w:rsid w:val="004A231E"/>
    <w:rsid w:val="004A27E9"/>
    <w:rsid w:val="004A2839"/>
    <w:rsid w:val="004A3262"/>
    <w:rsid w:val="004A3987"/>
    <w:rsid w:val="004B0996"/>
    <w:rsid w:val="004B312F"/>
    <w:rsid w:val="004B44C2"/>
    <w:rsid w:val="004C0353"/>
    <w:rsid w:val="004C1F07"/>
    <w:rsid w:val="004C22A6"/>
    <w:rsid w:val="004C3079"/>
    <w:rsid w:val="004D37BD"/>
    <w:rsid w:val="004D7F50"/>
    <w:rsid w:val="004E053F"/>
    <w:rsid w:val="004E56F3"/>
    <w:rsid w:val="004E76E4"/>
    <w:rsid w:val="004F02A5"/>
    <w:rsid w:val="004F1786"/>
    <w:rsid w:val="00502BA6"/>
    <w:rsid w:val="00504719"/>
    <w:rsid w:val="00512AD5"/>
    <w:rsid w:val="00514BDC"/>
    <w:rsid w:val="00517500"/>
    <w:rsid w:val="0052161B"/>
    <w:rsid w:val="00521E20"/>
    <w:rsid w:val="00530347"/>
    <w:rsid w:val="00532D35"/>
    <w:rsid w:val="00534924"/>
    <w:rsid w:val="005441D7"/>
    <w:rsid w:val="00550352"/>
    <w:rsid w:val="005558D6"/>
    <w:rsid w:val="005604B9"/>
    <w:rsid w:val="005607D2"/>
    <w:rsid w:val="00565774"/>
    <w:rsid w:val="005676F5"/>
    <w:rsid w:val="00572565"/>
    <w:rsid w:val="0057557F"/>
    <w:rsid w:val="00575DB2"/>
    <w:rsid w:val="00580E4C"/>
    <w:rsid w:val="00582670"/>
    <w:rsid w:val="00583432"/>
    <w:rsid w:val="0059091C"/>
    <w:rsid w:val="00590EB3"/>
    <w:rsid w:val="00592E43"/>
    <w:rsid w:val="005B12C2"/>
    <w:rsid w:val="005B2F66"/>
    <w:rsid w:val="005B2F70"/>
    <w:rsid w:val="005B55F2"/>
    <w:rsid w:val="005B6ACE"/>
    <w:rsid w:val="005C43B0"/>
    <w:rsid w:val="005C5005"/>
    <w:rsid w:val="005D195B"/>
    <w:rsid w:val="005E28F5"/>
    <w:rsid w:val="005E2CDB"/>
    <w:rsid w:val="005E6450"/>
    <w:rsid w:val="005E7E5D"/>
    <w:rsid w:val="005F02FD"/>
    <w:rsid w:val="005F0485"/>
    <w:rsid w:val="005F15C3"/>
    <w:rsid w:val="005F2186"/>
    <w:rsid w:val="005F37F3"/>
    <w:rsid w:val="005F4D9D"/>
    <w:rsid w:val="005F7150"/>
    <w:rsid w:val="00611735"/>
    <w:rsid w:val="006173F0"/>
    <w:rsid w:val="00625066"/>
    <w:rsid w:val="00634637"/>
    <w:rsid w:val="006353C4"/>
    <w:rsid w:val="00635AE0"/>
    <w:rsid w:val="0063790D"/>
    <w:rsid w:val="0064083D"/>
    <w:rsid w:val="00640AB3"/>
    <w:rsid w:val="00644C23"/>
    <w:rsid w:val="00650E59"/>
    <w:rsid w:val="006525D8"/>
    <w:rsid w:val="006544E5"/>
    <w:rsid w:val="00654BCD"/>
    <w:rsid w:val="00656F77"/>
    <w:rsid w:val="0066011F"/>
    <w:rsid w:val="006611FC"/>
    <w:rsid w:val="0066742C"/>
    <w:rsid w:val="00667BC9"/>
    <w:rsid w:val="0067167C"/>
    <w:rsid w:val="0067579D"/>
    <w:rsid w:val="006777EC"/>
    <w:rsid w:val="006863D2"/>
    <w:rsid w:val="00691979"/>
    <w:rsid w:val="00694192"/>
    <w:rsid w:val="00697494"/>
    <w:rsid w:val="00697C99"/>
    <w:rsid w:val="006A2970"/>
    <w:rsid w:val="006A311F"/>
    <w:rsid w:val="006A4BC3"/>
    <w:rsid w:val="006A6EA1"/>
    <w:rsid w:val="006B63E7"/>
    <w:rsid w:val="006B67E3"/>
    <w:rsid w:val="006B7077"/>
    <w:rsid w:val="006B7D97"/>
    <w:rsid w:val="006C16F2"/>
    <w:rsid w:val="006C3052"/>
    <w:rsid w:val="006D08B6"/>
    <w:rsid w:val="006D2AF1"/>
    <w:rsid w:val="006D3015"/>
    <w:rsid w:val="006E2745"/>
    <w:rsid w:val="006E63B6"/>
    <w:rsid w:val="006F2D43"/>
    <w:rsid w:val="006F35A7"/>
    <w:rsid w:val="006F610A"/>
    <w:rsid w:val="006F7A55"/>
    <w:rsid w:val="007001BF"/>
    <w:rsid w:val="007008DE"/>
    <w:rsid w:val="00701394"/>
    <w:rsid w:val="007045D3"/>
    <w:rsid w:val="00704FBF"/>
    <w:rsid w:val="00705355"/>
    <w:rsid w:val="007061AD"/>
    <w:rsid w:val="007071B5"/>
    <w:rsid w:val="00711381"/>
    <w:rsid w:val="007145C7"/>
    <w:rsid w:val="00715971"/>
    <w:rsid w:val="00715B44"/>
    <w:rsid w:val="00720B52"/>
    <w:rsid w:val="00726A9C"/>
    <w:rsid w:val="00727566"/>
    <w:rsid w:val="00727CF7"/>
    <w:rsid w:val="00730CF5"/>
    <w:rsid w:val="00733C2A"/>
    <w:rsid w:val="00733CC0"/>
    <w:rsid w:val="007353AB"/>
    <w:rsid w:val="00736653"/>
    <w:rsid w:val="0073763A"/>
    <w:rsid w:val="00737A13"/>
    <w:rsid w:val="00737FA6"/>
    <w:rsid w:val="00750363"/>
    <w:rsid w:val="0075164A"/>
    <w:rsid w:val="007516D1"/>
    <w:rsid w:val="0075211D"/>
    <w:rsid w:val="00752BAA"/>
    <w:rsid w:val="00756E5E"/>
    <w:rsid w:val="0075776A"/>
    <w:rsid w:val="0076306F"/>
    <w:rsid w:val="00765AA1"/>
    <w:rsid w:val="0077330B"/>
    <w:rsid w:val="007826F8"/>
    <w:rsid w:val="00785815"/>
    <w:rsid w:val="007868EE"/>
    <w:rsid w:val="00795F5D"/>
    <w:rsid w:val="00796B0B"/>
    <w:rsid w:val="007A2692"/>
    <w:rsid w:val="007A6E76"/>
    <w:rsid w:val="007A7E82"/>
    <w:rsid w:val="007B3AC1"/>
    <w:rsid w:val="007B66AE"/>
    <w:rsid w:val="007C2AA1"/>
    <w:rsid w:val="007C3B3C"/>
    <w:rsid w:val="007C7DED"/>
    <w:rsid w:val="007C7FB8"/>
    <w:rsid w:val="007D05DF"/>
    <w:rsid w:val="007D63EF"/>
    <w:rsid w:val="007D7995"/>
    <w:rsid w:val="007E034C"/>
    <w:rsid w:val="007E3CEA"/>
    <w:rsid w:val="007E57F6"/>
    <w:rsid w:val="007F23DC"/>
    <w:rsid w:val="007F2A82"/>
    <w:rsid w:val="007F39A7"/>
    <w:rsid w:val="007F4AAB"/>
    <w:rsid w:val="007F6960"/>
    <w:rsid w:val="007F76B0"/>
    <w:rsid w:val="007F791F"/>
    <w:rsid w:val="00803B2D"/>
    <w:rsid w:val="00804D28"/>
    <w:rsid w:val="00810AC2"/>
    <w:rsid w:val="008143FC"/>
    <w:rsid w:val="00820495"/>
    <w:rsid w:val="00824BD4"/>
    <w:rsid w:val="00827BBF"/>
    <w:rsid w:val="00832FEA"/>
    <w:rsid w:val="00834439"/>
    <w:rsid w:val="0083451A"/>
    <w:rsid w:val="008346CC"/>
    <w:rsid w:val="008351CC"/>
    <w:rsid w:val="00835F20"/>
    <w:rsid w:val="00841CA9"/>
    <w:rsid w:val="00842E99"/>
    <w:rsid w:val="008444F0"/>
    <w:rsid w:val="008448AD"/>
    <w:rsid w:val="00844B84"/>
    <w:rsid w:val="00851B53"/>
    <w:rsid w:val="00853021"/>
    <w:rsid w:val="00853336"/>
    <w:rsid w:val="00857FF4"/>
    <w:rsid w:val="00861917"/>
    <w:rsid w:val="0087007B"/>
    <w:rsid w:val="00872C73"/>
    <w:rsid w:val="008814C0"/>
    <w:rsid w:val="00885852"/>
    <w:rsid w:val="00887025"/>
    <w:rsid w:val="008870CC"/>
    <w:rsid w:val="00887199"/>
    <w:rsid w:val="00890BA9"/>
    <w:rsid w:val="00891329"/>
    <w:rsid w:val="00893BF7"/>
    <w:rsid w:val="008A21D8"/>
    <w:rsid w:val="008A2C8B"/>
    <w:rsid w:val="008A364C"/>
    <w:rsid w:val="008A5961"/>
    <w:rsid w:val="008A5B3D"/>
    <w:rsid w:val="008A70BB"/>
    <w:rsid w:val="008B25AD"/>
    <w:rsid w:val="008B31C3"/>
    <w:rsid w:val="008C03F7"/>
    <w:rsid w:val="008C22E6"/>
    <w:rsid w:val="008C2964"/>
    <w:rsid w:val="008C4282"/>
    <w:rsid w:val="008D029F"/>
    <w:rsid w:val="008D2F79"/>
    <w:rsid w:val="008D404B"/>
    <w:rsid w:val="008D4157"/>
    <w:rsid w:val="008D6215"/>
    <w:rsid w:val="008E1337"/>
    <w:rsid w:val="008E7698"/>
    <w:rsid w:val="00901226"/>
    <w:rsid w:val="009039B1"/>
    <w:rsid w:val="00903A4C"/>
    <w:rsid w:val="00910D3A"/>
    <w:rsid w:val="00910E78"/>
    <w:rsid w:val="00916E6D"/>
    <w:rsid w:val="00921551"/>
    <w:rsid w:val="00923408"/>
    <w:rsid w:val="00924B74"/>
    <w:rsid w:val="0092679C"/>
    <w:rsid w:val="00927A10"/>
    <w:rsid w:val="00927DF4"/>
    <w:rsid w:val="00930154"/>
    <w:rsid w:val="00931BB7"/>
    <w:rsid w:val="009368EE"/>
    <w:rsid w:val="00936B34"/>
    <w:rsid w:val="00937101"/>
    <w:rsid w:val="009475BD"/>
    <w:rsid w:val="0095078B"/>
    <w:rsid w:val="00951682"/>
    <w:rsid w:val="00955E9D"/>
    <w:rsid w:val="00956213"/>
    <w:rsid w:val="00964E68"/>
    <w:rsid w:val="009663BB"/>
    <w:rsid w:val="00972535"/>
    <w:rsid w:val="00974636"/>
    <w:rsid w:val="00974C0E"/>
    <w:rsid w:val="00983363"/>
    <w:rsid w:val="0099543B"/>
    <w:rsid w:val="00995962"/>
    <w:rsid w:val="009B0B59"/>
    <w:rsid w:val="009B21D2"/>
    <w:rsid w:val="009B2FC5"/>
    <w:rsid w:val="009B324B"/>
    <w:rsid w:val="009B4DA2"/>
    <w:rsid w:val="009C1D50"/>
    <w:rsid w:val="009C33C9"/>
    <w:rsid w:val="009C4FB5"/>
    <w:rsid w:val="009C6406"/>
    <w:rsid w:val="009D13F1"/>
    <w:rsid w:val="009D4C7A"/>
    <w:rsid w:val="009E2073"/>
    <w:rsid w:val="009E7035"/>
    <w:rsid w:val="009E7B7B"/>
    <w:rsid w:val="009F4EDF"/>
    <w:rsid w:val="009F6A8D"/>
    <w:rsid w:val="00A062CB"/>
    <w:rsid w:val="00A1027A"/>
    <w:rsid w:val="00A1238D"/>
    <w:rsid w:val="00A129F4"/>
    <w:rsid w:val="00A12E82"/>
    <w:rsid w:val="00A13983"/>
    <w:rsid w:val="00A15D2A"/>
    <w:rsid w:val="00A1739F"/>
    <w:rsid w:val="00A17DE0"/>
    <w:rsid w:val="00A25C18"/>
    <w:rsid w:val="00A26CD7"/>
    <w:rsid w:val="00A31782"/>
    <w:rsid w:val="00A32773"/>
    <w:rsid w:val="00A3616A"/>
    <w:rsid w:val="00A36FA4"/>
    <w:rsid w:val="00A44593"/>
    <w:rsid w:val="00A47877"/>
    <w:rsid w:val="00A54E63"/>
    <w:rsid w:val="00A561B0"/>
    <w:rsid w:val="00A56A74"/>
    <w:rsid w:val="00A576AF"/>
    <w:rsid w:val="00A57BCF"/>
    <w:rsid w:val="00A62E72"/>
    <w:rsid w:val="00A663AF"/>
    <w:rsid w:val="00A73B38"/>
    <w:rsid w:val="00A74E46"/>
    <w:rsid w:val="00A75DA1"/>
    <w:rsid w:val="00A80705"/>
    <w:rsid w:val="00A80FA1"/>
    <w:rsid w:val="00A8521C"/>
    <w:rsid w:val="00A91115"/>
    <w:rsid w:val="00A93B0E"/>
    <w:rsid w:val="00A93CED"/>
    <w:rsid w:val="00A94E8C"/>
    <w:rsid w:val="00A956D2"/>
    <w:rsid w:val="00AA1D7E"/>
    <w:rsid w:val="00AA65CD"/>
    <w:rsid w:val="00AB0766"/>
    <w:rsid w:val="00AB2D77"/>
    <w:rsid w:val="00AB3791"/>
    <w:rsid w:val="00AB5F4F"/>
    <w:rsid w:val="00AB6264"/>
    <w:rsid w:val="00AB6E9C"/>
    <w:rsid w:val="00AC1938"/>
    <w:rsid w:val="00AC31EF"/>
    <w:rsid w:val="00AC5540"/>
    <w:rsid w:val="00AC67BB"/>
    <w:rsid w:val="00AC70A1"/>
    <w:rsid w:val="00AC72AE"/>
    <w:rsid w:val="00AD71EE"/>
    <w:rsid w:val="00AE2EF9"/>
    <w:rsid w:val="00AE33EA"/>
    <w:rsid w:val="00AE43D7"/>
    <w:rsid w:val="00AE7394"/>
    <w:rsid w:val="00AF04B9"/>
    <w:rsid w:val="00AF31BF"/>
    <w:rsid w:val="00AF3701"/>
    <w:rsid w:val="00AF53E7"/>
    <w:rsid w:val="00AF72EF"/>
    <w:rsid w:val="00B13650"/>
    <w:rsid w:val="00B16753"/>
    <w:rsid w:val="00B238CA"/>
    <w:rsid w:val="00B26A08"/>
    <w:rsid w:val="00B307CB"/>
    <w:rsid w:val="00B323D2"/>
    <w:rsid w:val="00B348D1"/>
    <w:rsid w:val="00B41ABF"/>
    <w:rsid w:val="00B446E4"/>
    <w:rsid w:val="00B4665D"/>
    <w:rsid w:val="00B4722E"/>
    <w:rsid w:val="00B510AB"/>
    <w:rsid w:val="00B52066"/>
    <w:rsid w:val="00B5498B"/>
    <w:rsid w:val="00B649B7"/>
    <w:rsid w:val="00B716E9"/>
    <w:rsid w:val="00B73B4D"/>
    <w:rsid w:val="00B770E8"/>
    <w:rsid w:val="00B867AD"/>
    <w:rsid w:val="00B90771"/>
    <w:rsid w:val="00B90AE2"/>
    <w:rsid w:val="00B91BB8"/>
    <w:rsid w:val="00B925A9"/>
    <w:rsid w:val="00B930C2"/>
    <w:rsid w:val="00B94C50"/>
    <w:rsid w:val="00B95977"/>
    <w:rsid w:val="00B95D1B"/>
    <w:rsid w:val="00BA0A10"/>
    <w:rsid w:val="00BA0F0F"/>
    <w:rsid w:val="00BA106D"/>
    <w:rsid w:val="00BA4096"/>
    <w:rsid w:val="00BB0353"/>
    <w:rsid w:val="00BB1C4C"/>
    <w:rsid w:val="00BB1FF2"/>
    <w:rsid w:val="00BB3E39"/>
    <w:rsid w:val="00BB4027"/>
    <w:rsid w:val="00BB6531"/>
    <w:rsid w:val="00BC0671"/>
    <w:rsid w:val="00BC0821"/>
    <w:rsid w:val="00BC4196"/>
    <w:rsid w:val="00BC57AF"/>
    <w:rsid w:val="00BD29B8"/>
    <w:rsid w:val="00BD2B0D"/>
    <w:rsid w:val="00BD3A9F"/>
    <w:rsid w:val="00BE31A6"/>
    <w:rsid w:val="00BF355B"/>
    <w:rsid w:val="00BF35B3"/>
    <w:rsid w:val="00BF6989"/>
    <w:rsid w:val="00C00796"/>
    <w:rsid w:val="00C03C63"/>
    <w:rsid w:val="00C03C75"/>
    <w:rsid w:val="00C06602"/>
    <w:rsid w:val="00C072BB"/>
    <w:rsid w:val="00C14970"/>
    <w:rsid w:val="00C149EB"/>
    <w:rsid w:val="00C14F22"/>
    <w:rsid w:val="00C160E8"/>
    <w:rsid w:val="00C17C50"/>
    <w:rsid w:val="00C202AB"/>
    <w:rsid w:val="00C2212B"/>
    <w:rsid w:val="00C24BCD"/>
    <w:rsid w:val="00C24C37"/>
    <w:rsid w:val="00C25619"/>
    <w:rsid w:val="00C30292"/>
    <w:rsid w:val="00C31B2B"/>
    <w:rsid w:val="00C31B78"/>
    <w:rsid w:val="00C32A61"/>
    <w:rsid w:val="00C3351B"/>
    <w:rsid w:val="00C3414C"/>
    <w:rsid w:val="00C37DA8"/>
    <w:rsid w:val="00C412B4"/>
    <w:rsid w:val="00C42D69"/>
    <w:rsid w:val="00C4308E"/>
    <w:rsid w:val="00C46376"/>
    <w:rsid w:val="00C50766"/>
    <w:rsid w:val="00C5573D"/>
    <w:rsid w:val="00C636B0"/>
    <w:rsid w:val="00C65AE8"/>
    <w:rsid w:val="00C73584"/>
    <w:rsid w:val="00C7368B"/>
    <w:rsid w:val="00C7443D"/>
    <w:rsid w:val="00C80287"/>
    <w:rsid w:val="00C81B33"/>
    <w:rsid w:val="00C81DC6"/>
    <w:rsid w:val="00C82B36"/>
    <w:rsid w:val="00C82E82"/>
    <w:rsid w:val="00C85FDB"/>
    <w:rsid w:val="00C95440"/>
    <w:rsid w:val="00C96B7A"/>
    <w:rsid w:val="00CA611F"/>
    <w:rsid w:val="00CB2170"/>
    <w:rsid w:val="00CB4A55"/>
    <w:rsid w:val="00CB723C"/>
    <w:rsid w:val="00CC027E"/>
    <w:rsid w:val="00CC5531"/>
    <w:rsid w:val="00CD46CF"/>
    <w:rsid w:val="00CD49F2"/>
    <w:rsid w:val="00CE2B9B"/>
    <w:rsid w:val="00CE341F"/>
    <w:rsid w:val="00CE4B01"/>
    <w:rsid w:val="00CE52E1"/>
    <w:rsid w:val="00CE6B8E"/>
    <w:rsid w:val="00CF4B61"/>
    <w:rsid w:val="00CF4FF3"/>
    <w:rsid w:val="00CF5893"/>
    <w:rsid w:val="00CF67FD"/>
    <w:rsid w:val="00CF6E15"/>
    <w:rsid w:val="00D009CE"/>
    <w:rsid w:val="00D036B4"/>
    <w:rsid w:val="00D0607B"/>
    <w:rsid w:val="00D14776"/>
    <w:rsid w:val="00D14DAF"/>
    <w:rsid w:val="00D16E53"/>
    <w:rsid w:val="00D265E0"/>
    <w:rsid w:val="00D320A8"/>
    <w:rsid w:val="00D3461D"/>
    <w:rsid w:val="00D34A90"/>
    <w:rsid w:val="00D34EBA"/>
    <w:rsid w:val="00D40FEA"/>
    <w:rsid w:val="00D41393"/>
    <w:rsid w:val="00D44BF8"/>
    <w:rsid w:val="00D50EB2"/>
    <w:rsid w:val="00D51C04"/>
    <w:rsid w:val="00D52D08"/>
    <w:rsid w:val="00D56467"/>
    <w:rsid w:val="00D56A04"/>
    <w:rsid w:val="00D575E4"/>
    <w:rsid w:val="00D71548"/>
    <w:rsid w:val="00D71AA6"/>
    <w:rsid w:val="00D73FFB"/>
    <w:rsid w:val="00D75B8D"/>
    <w:rsid w:val="00D81145"/>
    <w:rsid w:val="00D82B85"/>
    <w:rsid w:val="00D837FB"/>
    <w:rsid w:val="00D85C8A"/>
    <w:rsid w:val="00D9032B"/>
    <w:rsid w:val="00D9196B"/>
    <w:rsid w:val="00D92B1A"/>
    <w:rsid w:val="00D9420B"/>
    <w:rsid w:val="00D968BE"/>
    <w:rsid w:val="00DA010E"/>
    <w:rsid w:val="00DA1A97"/>
    <w:rsid w:val="00DA3889"/>
    <w:rsid w:val="00DA688D"/>
    <w:rsid w:val="00DA6D6A"/>
    <w:rsid w:val="00DA6F20"/>
    <w:rsid w:val="00DA72A6"/>
    <w:rsid w:val="00DB0C05"/>
    <w:rsid w:val="00DB27E4"/>
    <w:rsid w:val="00DB3724"/>
    <w:rsid w:val="00DB74D9"/>
    <w:rsid w:val="00DB77AE"/>
    <w:rsid w:val="00DC3F7C"/>
    <w:rsid w:val="00DC43F5"/>
    <w:rsid w:val="00DC5F70"/>
    <w:rsid w:val="00DD1AF4"/>
    <w:rsid w:val="00DD1CD8"/>
    <w:rsid w:val="00DD33DE"/>
    <w:rsid w:val="00DD44FB"/>
    <w:rsid w:val="00DE0099"/>
    <w:rsid w:val="00DE3F0E"/>
    <w:rsid w:val="00DE6CA4"/>
    <w:rsid w:val="00DF3310"/>
    <w:rsid w:val="00DF656F"/>
    <w:rsid w:val="00DF76D3"/>
    <w:rsid w:val="00E065F0"/>
    <w:rsid w:val="00E151C3"/>
    <w:rsid w:val="00E15961"/>
    <w:rsid w:val="00E17058"/>
    <w:rsid w:val="00E306F1"/>
    <w:rsid w:val="00E36685"/>
    <w:rsid w:val="00E37410"/>
    <w:rsid w:val="00E404B8"/>
    <w:rsid w:val="00E404DE"/>
    <w:rsid w:val="00E41098"/>
    <w:rsid w:val="00E46F00"/>
    <w:rsid w:val="00E5209F"/>
    <w:rsid w:val="00E53DE8"/>
    <w:rsid w:val="00E569CE"/>
    <w:rsid w:val="00E605F3"/>
    <w:rsid w:val="00E63771"/>
    <w:rsid w:val="00E6573E"/>
    <w:rsid w:val="00E67138"/>
    <w:rsid w:val="00E67162"/>
    <w:rsid w:val="00E672D6"/>
    <w:rsid w:val="00E7239E"/>
    <w:rsid w:val="00E73209"/>
    <w:rsid w:val="00E74CC2"/>
    <w:rsid w:val="00E7690C"/>
    <w:rsid w:val="00E77566"/>
    <w:rsid w:val="00E800CD"/>
    <w:rsid w:val="00E819D4"/>
    <w:rsid w:val="00E838E0"/>
    <w:rsid w:val="00E83914"/>
    <w:rsid w:val="00E84511"/>
    <w:rsid w:val="00E86BFA"/>
    <w:rsid w:val="00E878C6"/>
    <w:rsid w:val="00E90464"/>
    <w:rsid w:val="00E91046"/>
    <w:rsid w:val="00E91F10"/>
    <w:rsid w:val="00E9303A"/>
    <w:rsid w:val="00E93C2A"/>
    <w:rsid w:val="00E9529D"/>
    <w:rsid w:val="00EA1ADC"/>
    <w:rsid w:val="00EA5126"/>
    <w:rsid w:val="00EB00CF"/>
    <w:rsid w:val="00EB3E00"/>
    <w:rsid w:val="00EB421B"/>
    <w:rsid w:val="00EB524F"/>
    <w:rsid w:val="00EB72D3"/>
    <w:rsid w:val="00EC197A"/>
    <w:rsid w:val="00EC43E9"/>
    <w:rsid w:val="00EC5C99"/>
    <w:rsid w:val="00EC670E"/>
    <w:rsid w:val="00ED2040"/>
    <w:rsid w:val="00ED5B8E"/>
    <w:rsid w:val="00EE32C2"/>
    <w:rsid w:val="00EE345D"/>
    <w:rsid w:val="00EE4882"/>
    <w:rsid w:val="00EE5F89"/>
    <w:rsid w:val="00EE79CA"/>
    <w:rsid w:val="00EF0B08"/>
    <w:rsid w:val="00EF128D"/>
    <w:rsid w:val="00F00D15"/>
    <w:rsid w:val="00F00E6C"/>
    <w:rsid w:val="00F02AC4"/>
    <w:rsid w:val="00F049AD"/>
    <w:rsid w:val="00F050DF"/>
    <w:rsid w:val="00F17A1D"/>
    <w:rsid w:val="00F21392"/>
    <w:rsid w:val="00F2287D"/>
    <w:rsid w:val="00F23BC8"/>
    <w:rsid w:val="00F244F4"/>
    <w:rsid w:val="00F24D46"/>
    <w:rsid w:val="00F31691"/>
    <w:rsid w:val="00F40ED6"/>
    <w:rsid w:val="00F4334A"/>
    <w:rsid w:val="00F464E3"/>
    <w:rsid w:val="00F51C31"/>
    <w:rsid w:val="00F53FFF"/>
    <w:rsid w:val="00F541E5"/>
    <w:rsid w:val="00F568C7"/>
    <w:rsid w:val="00F618A9"/>
    <w:rsid w:val="00F61E0B"/>
    <w:rsid w:val="00F62AD7"/>
    <w:rsid w:val="00F63301"/>
    <w:rsid w:val="00F662E4"/>
    <w:rsid w:val="00F6786C"/>
    <w:rsid w:val="00F71435"/>
    <w:rsid w:val="00F75105"/>
    <w:rsid w:val="00F80AA0"/>
    <w:rsid w:val="00F8408C"/>
    <w:rsid w:val="00F87174"/>
    <w:rsid w:val="00F873AA"/>
    <w:rsid w:val="00F912AC"/>
    <w:rsid w:val="00F93F34"/>
    <w:rsid w:val="00F968AC"/>
    <w:rsid w:val="00FB0C7F"/>
    <w:rsid w:val="00FC00CB"/>
    <w:rsid w:val="00FC3108"/>
    <w:rsid w:val="00FC445D"/>
    <w:rsid w:val="00FC4AF4"/>
    <w:rsid w:val="00FD1D98"/>
    <w:rsid w:val="00FE6176"/>
    <w:rsid w:val="00FE70F9"/>
    <w:rsid w:val="00FE7CA3"/>
    <w:rsid w:val="00FE7E2A"/>
    <w:rsid w:val="00FF075C"/>
    <w:rsid w:val="00FF267B"/>
    <w:rsid w:val="00FF664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3F493FC-A957-422B-AF78-96984CC4B5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32B13"/>
    <w:pPr>
      <w:spacing w:after="0" w:line="240" w:lineRule="auto"/>
    </w:pPr>
  </w:style>
  <w:style w:type="paragraph" w:styleId="Ttulo1">
    <w:name w:val="heading 1"/>
    <w:basedOn w:val="Normal"/>
    <w:next w:val="Normal"/>
    <w:link w:val="Ttulo1Car"/>
    <w:uiPriority w:val="9"/>
    <w:qFormat/>
    <w:rsid w:val="00432B13"/>
    <w:pPr>
      <w:keepNext/>
      <w:keepLines/>
      <w:spacing w:before="480" w:line="276" w:lineRule="auto"/>
      <w:outlineLvl w:val="0"/>
    </w:pPr>
    <w:rPr>
      <w:rFonts w:asciiTheme="majorHAnsi" w:eastAsiaTheme="majorEastAsia" w:hAnsiTheme="majorHAnsi" w:cstheme="majorBidi"/>
      <w:b/>
      <w:bCs/>
      <w:color w:val="2E74B5" w:themeColor="accent1" w:themeShade="BF"/>
      <w:sz w:val="28"/>
      <w:szCs w:val="28"/>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432B13"/>
    <w:rPr>
      <w:rFonts w:asciiTheme="majorHAnsi" w:eastAsiaTheme="majorEastAsia" w:hAnsiTheme="majorHAnsi" w:cstheme="majorBidi"/>
      <w:b/>
      <w:bCs/>
      <w:color w:val="2E74B5" w:themeColor="accent1" w:themeShade="BF"/>
      <w:sz w:val="28"/>
      <w:szCs w:val="28"/>
      <w:lang w:val="es-ES"/>
    </w:rPr>
  </w:style>
  <w:style w:type="paragraph" w:customStyle="1" w:styleId="Textoindependiente21">
    <w:name w:val="Texto independiente 21"/>
    <w:basedOn w:val="Normal"/>
    <w:rsid w:val="00432B13"/>
    <w:pPr>
      <w:widowControl w:val="0"/>
      <w:spacing w:line="480" w:lineRule="auto"/>
      <w:ind w:right="51" w:firstLine="1134"/>
      <w:jc w:val="both"/>
    </w:pPr>
    <w:rPr>
      <w:rFonts w:ascii="Courier" w:eastAsia="Times New Roman" w:hAnsi="Courier" w:cs="Times New Roman"/>
      <w:sz w:val="24"/>
      <w:szCs w:val="20"/>
      <w:lang w:val="es-ES" w:eastAsia="es-ES"/>
    </w:rPr>
  </w:style>
  <w:style w:type="paragraph" w:styleId="Encabezado">
    <w:name w:val="header"/>
    <w:basedOn w:val="Normal"/>
    <w:link w:val="EncabezadoCar"/>
    <w:uiPriority w:val="99"/>
    <w:rsid w:val="00432B13"/>
    <w:pPr>
      <w:tabs>
        <w:tab w:val="center" w:pos="4252"/>
        <w:tab w:val="right" w:pos="8504"/>
      </w:tabs>
    </w:pPr>
    <w:rPr>
      <w:rFonts w:ascii="Times New Roman" w:eastAsia="PMingLiU" w:hAnsi="Times New Roman" w:cs="Times New Roman"/>
      <w:sz w:val="24"/>
      <w:szCs w:val="24"/>
      <w:lang w:val="es-ES" w:eastAsia="zh-TW"/>
    </w:rPr>
  </w:style>
  <w:style w:type="character" w:customStyle="1" w:styleId="EncabezadoCar">
    <w:name w:val="Encabezado Car"/>
    <w:basedOn w:val="Fuentedeprrafopredeter"/>
    <w:link w:val="Encabezado"/>
    <w:uiPriority w:val="99"/>
    <w:rsid w:val="00432B13"/>
    <w:rPr>
      <w:rFonts w:ascii="Times New Roman" w:eastAsia="PMingLiU" w:hAnsi="Times New Roman" w:cs="Times New Roman"/>
      <w:sz w:val="24"/>
      <w:szCs w:val="24"/>
      <w:lang w:val="es-ES" w:eastAsia="zh-TW"/>
    </w:rPr>
  </w:style>
  <w:style w:type="paragraph" w:styleId="Sinespaciado">
    <w:name w:val="No Spacing"/>
    <w:uiPriority w:val="1"/>
    <w:qFormat/>
    <w:rsid w:val="00432B13"/>
    <w:pPr>
      <w:spacing w:after="0" w:line="240" w:lineRule="auto"/>
    </w:pPr>
    <w:rPr>
      <w:lang w:val="es-ES"/>
    </w:rPr>
  </w:style>
  <w:style w:type="paragraph" w:styleId="Textonotapie">
    <w:name w:val="footnote text"/>
    <w:basedOn w:val="Normal"/>
    <w:link w:val="TextonotapieCar"/>
    <w:uiPriority w:val="99"/>
    <w:unhideWhenUsed/>
    <w:rsid w:val="00432B13"/>
    <w:rPr>
      <w:sz w:val="20"/>
      <w:szCs w:val="20"/>
      <w:lang w:val="es-ES"/>
    </w:rPr>
  </w:style>
  <w:style w:type="character" w:customStyle="1" w:styleId="TextonotapieCar">
    <w:name w:val="Texto nota pie Car"/>
    <w:basedOn w:val="Fuentedeprrafopredeter"/>
    <w:link w:val="Textonotapie"/>
    <w:uiPriority w:val="99"/>
    <w:rsid w:val="00432B13"/>
    <w:rPr>
      <w:sz w:val="20"/>
      <w:szCs w:val="20"/>
      <w:lang w:val="es-ES"/>
    </w:rPr>
  </w:style>
  <w:style w:type="character" w:styleId="Refdenotaalpie">
    <w:name w:val="footnote reference"/>
    <w:basedOn w:val="Fuentedeprrafopredeter"/>
    <w:uiPriority w:val="99"/>
    <w:semiHidden/>
    <w:unhideWhenUsed/>
    <w:rsid w:val="00432B13"/>
    <w:rPr>
      <w:vertAlign w:val="superscript"/>
    </w:rPr>
  </w:style>
  <w:style w:type="paragraph" w:customStyle="1" w:styleId="Estilo">
    <w:name w:val="Estilo"/>
    <w:basedOn w:val="Sinespaciado"/>
    <w:link w:val="EstiloCar"/>
    <w:qFormat/>
    <w:rsid w:val="00694192"/>
    <w:pPr>
      <w:jc w:val="both"/>
    </w:pPr>
    <w:rPr>
      <w:rFonts w:ascii="Arial" w:eastAsiaTheme="minorEastAsia" w:hAnsi="Arial"/>
      <w:sz w:val="24"/>
      <w:lang w:val="es-MX" w:eastAsia="es-MX"/>
    </w:rPr>
  </w:style>
  <w:style w:type="character" w:customStyle="1" w:styleId="EstiloCar">
    <w:name w:val="Estilo Car"/>
    <w:basedOn w:val="Fuentedeprrafopredeter"/>
    <w:link w:val="Estilo"/>
    <w:rsid w:val="00694192"/>
    <w:rPr>
      <w:rFonts w:ascii="Arial" w:eastAsiaTheme="minorEastAsia" w:hAnsi="Arial"/>
      <w:sz w:val="24"/>
      <w:lang w:eastAsia="es-MX"/>
    </w:rPr>
  </w:style>
  <w:style w:type="paragraph" w:styleId="Prrafodelista">
    <w:name w:val="List Paragraph"/>
    <w:basedOn w:val="Normal"/>
    <w:uiPriority w:val="34"/>
    <w:qFormat/>
    <w:rsid w:val="00E569CE"/>
    <w:pPr>
      <w:ind w:left="720"/>
      <w:contextualSpacing/>
    </w:pPr>
  </w:style>
  <w:style w:type="paragraph" w:styleId="Textosinformato">
    <w:name w:val="Plain Text"/>
    <w:basedOn w:val="Normal"/>
    <w:link w:val="TextosinformatoCar"/>
    <w:rsid w:val="005F7150"/>
    <w:rPr>
      <w:rFonts w:ascii="Courier New" w:eastAsia="Times New Roman" w:hAnsi="Courier New" w:cs="Times New Roman"/>
      <w:sz w:val="20"/>
      <w:szCs w:val="20"/>
      <w:lang w:val="es-ES" w:eastAsia="es-ES"/>
    </w:rPr>
  </w:style>
  <w:style w:type="character" w:customStyle="1" w:styleId="TextosinformatoCar">
    <w:name w:val="Texto sin formato Car"/>
    <w:basedOn w:val="Fuentedeprrafopredeter"/>
    <w:link w:val="Textosinformato"/>
    <w:rsid w:val="005F7150"/>
    <w:rPr>
      <w:rFonts w:ascii="Courier New" w:eastAsia="Times New Roman" w:hAnsi="Courier New" w:cs="Times New Roman"/>
      <w:sz w:val="20"/>
      <w:szCs w:val="20"/>
      <w:lang w:val="es-ES" w:eastAsia="es-ES"/>
    </w:rPr>
  </w:style>
  <w:style w:type="paragraph" w:styleId="Textodeglobo">
    <w:name w:val="Balloon Text"/>
    <w:basedOn w:val="Normal"/>
    <w:link w:val="TextodegloboCar"/>
    <w:uiPriority w:val="99"/>
    <w:semiHidden/>
    <w:unhideWhenUsed/>
    <w:rsid w:val="00046448"/>
    <w:rPr>
      <w:rFonts w:ascii="Tahoma" w:hAnsi="Tahoma" w:cs="Tahoma"/>
      <w:sz w:val="16"/>
      <w:szCs w:val="16"/>
    </w:rPr>
  </w:style>
  <w:style w:type="character" w:customStyle="1" w:styleId="TextodegloboCar">
    <w:name w:val="Texto de globo Car"/>
    <w:basedOn w:val="Fuentedeprrafopredeter"/>
    <w:link w:val="Textodeglobo"/>
    <w:uiPriority w:val="99"/>
    <w:semiHidden/>
    <w:rsid w:val="00046448"/>
    <w:rPr>
      <w:rFonts w:ascii="Tahoma" w:hAnsi="Tahoma" w:cs="Tahoma"/>
      <w:sz w:val="16"/>
      <w:szCs w:val="16"/>
    </w:rPr>
  </w:style>
  <w:style w:type="paragraph" w:styleId="Textoindependiente2">
    <w:name w:val="Body Text 2"/>
    <w:basedOn w:val="Normal"/>
    <w:link w:val="Textoindependiente2Car"/>
    <w:uiPriority w:val="99"/>
    <w:unhideWhenUsed/>
    <w:rsid w:val="003D0A35"/>
    <w:pPr>
      <w:spacing w:after="120" w:line="480" w:lineRule="auto"/>
    </w:pPr>
  </w:style>
  <w:style w:type="character" w:customStyle="1" w:styleId="Textoindependiente2Car">
    <w:name w:val="Texto independiente 2 Car"/>
    <w:basedOn w:val="Fuentedeprrafopredeter"/>
    <w:link w:val="Textoindependiente2"/>
    <w:uiPriority w:val="99"/>
    <w:rsid w:val="003D0A35"/>
  </w:style>
  <w:style w:type="paragraph" w:styleId="Piedepgina">
    <w:name w:val="footer"/>
    <w:basedOn w:val="Normal"/>
    <w:link w:val="PiedepginaCar"/>
    <w:uiPriority w:val="99"/>
    <w:unhideWhenUsed/>
    <w:rsid w:val="005F15C3"/>
    <w:pPr>
      <w:tabs>
        <w:tab w:val="center" w:pos="4419"/>
        <w:tab w:val="right" w:pos="8838"/>
      </w:tabs>
    </w:pPr>
  </w:style>
  <w:style w:type="character" w:customStyle="1" w:styleId="PiedepginaCar">
    <w:name w:val="Pie de página Car"/>
    <w:basedOn w:val="Fuentedeprrafopredeter"/>
    <w:link w:val="Piedepgina"/>
    <w:uiPriority w:val="99"/>
    <w:rsid w:val="005F15C3"/>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983363"/>
    <w:pPr>
      <w:spacing w:after="200" w:line="276" w:lineRule="auto"/>
    </w:pPr>
    <w:rPr>
      <w:rFonts w:ascii="Calibri" w:eastAsia="Calibri" w:hAnsi="Calibri" w:cs="Times New Roman"/>
    </w:rPr>
  </w:style>
  <w:style w:type="character" w:styleId="Textoennegrita">
    <w:name w:val="Strong"/>
    <w:basedOn w:val="Fuentedeprrafopredeter"/>
    <w:uiPriority w:val="22"/>
    <w:qFormat/>
    <w:rsid w:val="00C7358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970553">
      <w:bodyDiv w:val="1"/>
      <w:marLeft w:val="0"/>
      <w:marRight w:val="0"/>
      <w:marTop w:val="0"/>
      <w:marBottom w:val="0"/>
      <w:divBdr>
        <w:top w:val="none" w:sz="0" w:space="0" w:color="auto"/>
        <w:left w:val="none" w:sz="0" w:space="0" w:color="auto"/>
        <w:bottom w:val="none" w:sz="0" w:space="0" w:color="auto"/>
        <w:right w:val="none" w:sz="0" w:space="0" w:color="auto"/>
      </w:divBdr>
      <w:divsChild>
        <w:div w:id="2115978391">
          <w:marLeft w:val="0"/>
          <w:marRight w:val="0"/>
          <w:marTop w:val="0"/>
          <w:marBottom w:val="0"/>
          <w:divBdr>
            <w:top w:val="none" w:sz="0" w:space="0" w:color="auto"/>
            <w:left w:val="none" w:sz="0" w:space="0" w:color="auto"/>
            <w:bottom w:val="none" w:sz="0" w:space="0" w:color="auto"/>
            <w:right w:val="none" w:sz="0" w:space="0" w:color="auto"/>
          </w:divBdr>
        </w:div>
        <w:div w:id="2009166038">
          <w:marLeft w:val="0"/>
          <w:marRight w:val="0"/>
          <w:marTop w:val="0"/>
          <w:marBottom w:val="0"/>
          <w:divBdr>
            <w:top w:val="none" w:sz="0" w:space="0" w:color="auto"/>
            <w:left w:val="none" w:sz="0" w:space="0" w:color="auto"/>
            <w:bottom w:val="none" w:sz="0" w:space="0" w:color="auto"/>
            <w:right w:val="none" w:sz="0" w:space="0" w:color="auto"/>
          </w:divBdr>
        </w:div>
        <w:div w:id="1549338186">
          <w:marLeft w:val="0"/>
          <w:marRight w:val="0"/>
          <w:marTop w:val="0"/>
          <w:marBottom w:val="0"/>
          <w:divBdr>
            <w:top w:val="none" w:sz="0" w:space="0" w:color="auto"/>
            <w:left w:val="none" w:sz="0" w:space="0" w:color="auto"/>
            <w:bottom w:val="none" w:sz="0" w:space="0" w:color="auto"/>
            <w:right w:val="none" w:sz="0" w:space="0" w:color="auto"/>
          </w:divBdr>
        </w:div>
        <w:div w:id="1632781675">
          <w:marLeft w:val="0"/>
          <w:marRight w:val="0"/>
          <w:marTop w:val="0"/>
          <w:marBottom w:val="0"/>
          <w:divBdr>
            <w:top w:val="none" w:sz="0" w:space="0" w:color="auto"/>
            <w:left w:val="none" w:sz="0" w:space="0" w:color="auto"/>
            <w:bottom w:val="none" w:sz="0" w:space="0" w:color="auto"/>
            <w:right w:val="none" w:sz="0" w:space="0" w:color="auto"/>
          </w:divBdr>
        </w:div>
        <w:div w:id="829178774">
          <w:marLeft w:val="0"/>
          <w:marRight w:val="0"/>
          <w:marTop w:val="0"/>
          <w:marBottom w:val="0"/>
          <w:divBdr>
            <w:top w:val="none" w:sz="0" w:space="0" w:color="auto"/>
            <w:left w:val="none" w:sz="0" w:space="0" w:color="auto"/>
            <w:bottom w:val="none" w:sz="0" w:space="0" w:color="auto"/>
            <w:right w:val="none" w:sz="0" w:space="0" w:color="auto"/>
          </w:divBdr>
        </w:div>
        <w:div w:id="2134058525">
          <w:marLeft w:val="0"/>
          <w:marRight w:val="0"/>
          <w:marTop w:val="0"/>
          <w:marBottom w:val="0"/>
          <w:divBdr>
            <w:top w:val="none" w:sz="0" w:space="0" w:color="auto"/>
            <w:left w:val="none" w:sz="0" w:space="0" w:color="auto"/>
            <w:bottom w:val="none" w:sz="0" w:space="0" w:color="auto"/>
            <w:right w:val="none" w:sz="0" w:space="0" w:color="auto"/>
          </w:divBdr>
        </w:div>
        <w:div w:id="679284420">
          <w:marLeft w:val="0"/>
          <w:marRight w:val="0"/>
          <w:marTop w:val="0"/>
          <w:marBottom w:val="0"/>
          <w:divBdr>
            <w:top w:val="none" w:sz="0" w:space="0" w:color="auto"/>
            <w:left w:val="none" w:sz="0" w:space="0" w:color="auto"/>
            <w:bottom w:val="none" w:sz="0" w:space="0" w:color="auto"/>
            <w:right w:val="none" w:sz="0" w:space="0" w:color="auto"/>
          </w:divBdr>
        </w:div>
        <w:div w:id="85736987">
          <w:marLeft w:val="0"/>
          <w:marRight w:val="0"/>
          <w:marTop w:val="0"/>
          <w:marBottom w:val="0"/>
          <w:divBdr>
            <w:top w:val="none" w:sz="0" w:space="0" w:color="auto"/>
            <w:left w:val="none" w:sz="0" w:space="0" w:color="auto"/>
            <w:bottom w:val="none" w:sz="0" w:space="0" w:color="auto"/>
            <w:right w:val="none" w:sz="0" w:space="0" w:color="auto"/>
          </w:divBdr>
        </w:div>
        <w:div w:id="715936758">
          <w:marLeft w:val="0"/>
          <w:marRight w:val="0"/>
          <w:marTop w:val="0"/>
          <w:marBottom w:val="0"/>
          <w:divBdr>
            <w:top w:val="none" w:sz="0" w:space="0" w:color="auto"/>
            <w:left w:val="none" w:sz="0" w:space="0" w:color="auto"/>
            <w:bottom w:val="none" w:sz="0" w:space="0" w:color="auto"/>
            <w:right w:val="none" w:sz="0" w:space="0" w:color="auto"/>
          </w:divBdr>
        </w:div>
        <w:div w:id="682514704">
          <w:marLeft w:val="0"/>
          <w:marRight w:val="0"/>
          <w:marTop w:val="0"/>
          <w:marBottom w:val="0"/>
          <w:divBdr>
            <w:top w:val="none" w:sz="0" w:space="0" w:color="auto"/>
            <w:left w:val="none" w:sz="0" w:space="0" w:color="auto"/>
            <w:bottom w:val="none" w:sz="0" w:space="0" w:color="auto"/>
            <w:right w:val="none" w:sz="0" w:space="0" w:color="auto"/>
          </w:divBdr>
        </w:div>
        <w:div w:id="1255357443">
          <w:marLeft w:val="0"/>
          <w:marRight w:val="0"/>
          <w:marTop w:val="0"/>
          <w:marBottom w:val="0"/>
          <w:divBdr>
            <w:top w:val="none" w:sz="0" w:space="0" w:color="auto"/>
            <w:left w:val="none" w:sz="0" w:space="0" w:color="auto"/>
            <w:bottom w:val="none" w:sz="0" w:space="0" w:color="auto"/>
            <w:right w:val="none" w:sz="0" w:space="0" w:color="auto"/>
          </w:divBdr>
        </w:div>
        <w:div w:id="1236861019">
          <w:marLeft w:val="0"/>
          <w:marRight w:val="0"/>
          <w:marTop w:val="0"/>
          <w:marBottom w:val="0"/>
          <w:divBdr>
            <w:top w:val="none" w:sz="0" w:space="0" w:color="auto"/>
            <w:left w:val="none" w:sz="0" w:space="0" w:color="auto"/>
            <w:bottom w:val="none" w:sz="0" w:space="0" w:color="auto"/>
            <w:right w:val="none" w:sz="0" w:space="0" w:color="auto"/>
          </w:divBdr>
        </w:div>
        <w:div w:id="856771303">
          <w:marLeft w:val="0"/>
          <w:marRight w:val="0"/>
          <w:marTop w:val="0"/>
          <w:marBottom w:val="0"/>
          <w:divBdr>
            <w:top w:val="none" w:sz="0" w:space="0" w:color="auto"/>
            <w:left w:val="none" w:sz="0" w:space="0" w:color="auto"/>
            <w:bottom w:val="none" w:sz="0" w:space="0" w:color="auto"/>
            <w:right w:val="none" w:sz="0" w:space="0" w:color="auto"/>
          </w:divBdr>
        </w:div>
        <w:div w:id="427627738">
          <w:marLeft w:val="0"/>
          <w:marRight w:val="0"/>
          <w:marTop w:val="0"/>
          <w:marBottom w:val="0"/>
          <w:divBdr>
            <w:top w:val="none" w:sz="0" w:space="0" w:color="auto"/>
            <w:left w:val="none" w:sz="0" w:space="0" w:color="auto"/>
            <w:bottom w:val="none" w:sz="0" w:space="0" w:color="auto"/>
            <w:right w:val="none" w:sz="0" w:space="0" w:color="auto"/>
          </w:divBdr>
        </w:div>
        <w:div w:id="109401212">
          <w:marLeft w:val="0"/>
          <w:marRight w:val="0"/>
          <w:marTop w:val="0"/>
          <w:marBottom w:val="0"/>
          <w:divBdr>
            <w:top w:val="none" w:sz="0" w:space="0" w:color="auto"/>
            <w:left w:val="none" w:sz="0" w:space="0" w:color="auto"/>
            <w:bottom w:val="none" w:sz="0" w:space="0" w:color="auto"/>
            <w:right w:val="none" w:sz="0" w:space="0" w:color="auto"/>
          </w:divBdr>
        </w:div>
        <w:div w:id="1293829261">
          <w:marLeft w:val="0"/>
          <w:marRight w:val="0"/>
          <w:marTop w:val="0"/>
          <w:marBottom w:val="0"/>
          <w:divBdr>
            <w:top w:val="none" w:sz="0" w:space="0" w:color="auto"/>
            <w:left w:val="none" w:sz="0" w:space="0" w:color="auto"/>
            <w:bottom w:val="none" w:sz="0" w:space="0" w:color="auto"/>
            <w:right w:val="none" w:sz="0" w:space="0" w:color="auto"/>
          </w:divBdr>
        </w:div>
        <w:div w:id="1807160998">
          <w:marLeft w:val="0"/>
          <w:marRight w:val="0"/>
          <w:marTop w:val="0"/>
          <w:marBottom w:val="0"/>
          <w:divBdr>
            <w:top w:val="none" w:sz="0" w:space="0" w:color="auto"/>
            <w:left w:val="none" w:sz="0" w:space="0" w:color="auto"/>
            <w:bottom w:val="none" w:sz="0" w:space="0" w:color="auto"/>
            <w:right w:val="none" w:sz="0" w:space="0" w:color="auto"/>
          </w:divBdr>
        </w:div>
        <w:div w:id="1993831896">
          <w:marLeft w:val="0"/>
          <w:marRight w:val="0"/>
          <w:marTop w:val="0"/>
          <w:marBottom w:val="0"/>
          <w:divBdr>
            <w:top w:val="none" w:sz="0" w:space="0" w:color="auto"/>
            <w:left w:val="none" w:sz="0" w:space="0" w:color="auto"/>
            <w:bottom w:val="none" w:sz="0" w:space="0" w:color="auto"/>
            <w:right w:val="none" w:sz="0" w:space="0" w:color="auto"/>
          </w:divBdr>
        </w:div>
        <w:div w:id="2096391876">
          <w:marLeft w:val="0"/>
          <w:marRight w:val="0"/>
          <w:marTop w:val="0"/>
          <w:marBottom w:val="0"/>
          <w:divBdr>
            <w:top w:val="none" w:sz="0" w:space="0" w:color="auto"/>
            <w:left w:val="none" w:sz="0" w:space="0" w:color="auto"/>
            <w:bottom w:val="none" w:sz="0" w:space="0" w:color="auto"/>
            <w:right w:val="none" w:sz="0" w:space="0" w:color="auto"/>
          </w:divBdr>
        </w:div>
        <w:div w:id="589042924">
          <w:marLeft w:val="0"/>
          <w:marRight w:val="0"/>
          <w:marTop w:val="0"/>
          <w:marBottom w:val="0"/>
          <w:divBdr>
            <w:top w:val="none" w:sz="0" w:space="0" w:color="auto"/>
            <w:left w:val="none" w:sz="0" w:space="0" w:color="auto"/>
            <w:bottom w:val="none" w:sz="0" w:space="0" w:color="auto"/>
            <w:right w:val="none" w:sz="0" w:space="0" w:color="auto"/>
          </w:divBdr>
        </w:div>
        <w:div w:id="1112283557">
          <w:marLeft w:val="0"/>
          <w:marRight w:val="0"/>
          <w:marTop w:val="0"/>
          <w:marBottom w:val="0"/>
          <w:divBdr>
            <w:top w:val="none" w:sz="0" w:space="0" w:color="auto"/>
            <w:left w:val="none" w:sz="0" w:space="0" w:color="auto"/>
            <w:bottom w:val="none" w:sz="0" w:space="0" w:color="auto"/>
            <w:right w:val="none" w:sz="0" w:space="0" w:color="auto"/>
          </w:divBdr>
        </w:div>
        <w:div w:id="1777866644">
          <w:marLeft w:val="0"/>
          <w:marRight w:val="0"/>
          <w:marTop w:val="0"/>
          <w:marBottom w:val="0"/>
          <w:divBdr>
            <w:top w:val="none" w:sz="0" w:space="0" w:color="auto"/>
            <w:left w:val="none" w:sz="0" w:space="0" w:color="auto"/>
            <w:bottom w:val="none" w:sz="0" w:space="0" w:color="auto"/>
            <w:right w:val="none" w:sz="0" w:space="0" w:color="auto"/>
          </w:divBdr>
        </w:div>
        <w:div w:id="552497572">
          <w:marLeft w:val="0"/>
          <w:marRight w:val="0"/>
          <w:marTop w:val="0"/>
          <w:marBottom w:val="0"/>
          <w:divBdr>
            <w:top w:val="none" w:sz="0" w:space="0" w:color="auto"/>
            <w:left w:val="none" w:sz="0" w:space="0" w:color="auto"/>
            <w:bottom w:val="none" w:sz="0" w:space="0" w:color="auto"/>
            <w:right w:val="none" w:sz="0" w:space="0" w:color="auto"/>
          </w:divBdr>
        </w:div>
        <w:div w:id="1211264899">
          <w:marLeft w:val="0"/>
          <w:marRight w:val="0"/>
          <w:marTop w:val="0"/>
          <w:marBottom w:val="0"/>
          <w:divBdr>
            <w:top w:val="none" w:sz="0" w:space="0" w:color="auto"/>
            <w:left w:val="none" w:sz="0" w:space="0" w:color="auto"/>
            <w:bottom w:val="none" w:sz="0" w:space="0" w:color="auto"/>
            <w:right w:val="none" w:sz="0" w:space="0" w:color="auto"/>
          </w:divBdr>
        </w:div>
        <w:div w:id="586236537">
          <w:marLeft w:val="0"/>
          <w:marRight w:val="0"/>
          <w:marTop w:val="0"/>
          <w:marBottom w:val="0"/>
          <w:divBdr>
            <w:top w:val="none" w:sz="0" w:space="0" w:color="auto"/>
            <w:left w:val="none" w:sz="0" w:space="0" w:color="auto"/>
            <w:bottom w:val="none" w:sz="0" w:space="0" w:color="auto"/>
            <w:right w:val="none" w:sz="0" w:space="0" w:color="auto"/>
          </w:divBdr>
        </w:div>
        <w:div w:id="885413565">
          <w:marLeft w:val="0"/>
          <w:marRight w:val="0"/>
          <w:marTop w:val="0"/>
          <w:marBottom w:val="0"/>
          <w:divBdr>
            <w:top w:val="none" w:sz="0" w:space="0" w:color="auto"/>
            <w:left w:val="none" w:sz="0" w:space="0" w:color="auto"/>
            <w:bottom w:val="none" w:sz="0" w:space="0" w:color="auto"/>
            <w:right w:val="none" w:sz="0" w:space="0" w:color="auto"/>
          </w:divBdr>
        </w:div>
        <w:div w:id="758066443">
          <w:marLeft w:val="0"/>
          <w:marRight w:val="0"/>
          <w:marTop w:val="0"/>
          <w:marBottom w:val="0"/>
          <w:divBdr>
            <w:top w:val="none" w:sz="0" w:space="0" w:color="auto"/>
            <w:left w:val="none" w:sz="0" w:space="0" w:color="auto"/>
            <w:bottom w:val="none" w:sz="0" w:space="0" w:color="auto"/>
            <w:right w:val="none" w:sz="0" w:space="0" w:color="auto"/>
          </w:divBdr>
        </w:div>
        <w:div w:id="257913246">
          <w:marLeft w:val="0"/>
          <w:marRight w:val="0"/>
          <w:marTop w:val="0"/>
          <w:marBottom w:val="0"/>
          <w:divBdr>
            <w:top w:val="none" w:sz="0" w:space="0" w:color="auto"/>
            <w:left w:val="none" w:sz="0" w:space="0" w:color="auto"/>
            <w:bottom w:val="none" w:sz="0" w:space="0" w:color="auto"/>
            <w:right w:val="none" w:sz="0" w:space="0" w:color="auto"/>
          </w:divBdr>
        </w:div>
        <w:div w:id="1836341896">
          <w:marLeft w:val="0"/>
          <w:marRight w:val="0"/>
          <w:marTop w:val="0"/>
          <w:marBottom w:val="0"/>
          <w:divBdr>
            <w:top w:val="none" w:sz="0" w:space="0" w:color="auto"/>
            <w:left w:val="none" w:sz="0" w:space="0" w:color="auto"/>
            <w:bottom w:val="none" w:sz="0" w:space="0" w:color="auto"/>
            <w:right w:val="none" w:sz="0" w:space="0" w:color="auto"/>
          </w:divBdr>
        </w:div>
        <w:div w:id="1211839491">
          <w:marLeft w:val="0"/>
          <w:marRight w:val="0"/>
          <w:marTop w:val="0"/>
          <w:marBottom w:val="0"/>
          <w:divBdr>
            <w:top w:val="none" w:sz="0" w:space="0" w:color="auto"/>
            <w:left w:val="none" w:sz="0" w:space="0" w:color="auto"/>
            <w:bottom w:val="none" w:sz="0" w:space="0" w:color="auto"/>
            <w:right w:val="none" w:sz="0" w:space="0" w:color="auto"/>
          </w:divBdr>
        </w:div>
        <w:div w:id="2138404572">
          <w:marLeft w:val="0"/>
          <w:marRight w:val="0"/>
          <w:marTop w:val="0"/>
          <w:marBottom w:val="0"/>
          <w:divBdr>
            <w:top w:val="none" w:sz="0" w:space="0" w:color="auto"/>
            <w:left w:val="none" w:sz="0" w:space="0" w:color="auto"/>
            <w:bottom w:val="none" w:sz="0" w:space="0" w:color="auto"/>
            <w:right w:val="none" w:sz="0" w:space="0" w:color="auto"/>
          </w:divBdr>
        </w:div>
        <w:div w:id="2070036749">
          <w:marLeft w:val="0"/>
          <w:marRight w:val="0"/>
          <w:marTop w:val="0"/>
          <w:marBottom w:val="0"/>
          <w:divBdr>
            <w:top w:val="none" w:sz="0" w:space="0" w:color="auto"/>
            <w:left w:val="none" w:sz="0" w:space="0" w:color="auto"/>
            <w:bottom w:val="none" w:sz="0" w:space="0" w:color="auto"/>
            <w:right w:val="none" w:sz="0" w:space="0" w:color="auto"/>
          </w:divBdr>
        </w:div>
        <w:div w:id="796990503">
          <w:marLeft w:val="0"/>
          <w:marRight w:val="0"/>
          <w:marTop w:val="0"/>
          <w:marBottom w:val="0"/>
          <w:divBdr>
            <w:top w:val="none" w:sz="0" w:space="0" w:color="auto"/>
            <w:left w:val="none" w:sz="0" w:space="0" w:color="auto"/>
            <w:bottom w:val="none" w:sz="0" w:space="0" w:color="auto"/>
            <w:right w:val="none" w:sz="0" w:space="0" w:color="auto"/>
          </w:divBdr>
        </w:div>
        <w:div w:id="393160950">
          <w:marLeft w:val="0"/>
          <w:marRight w:val="0"/>
          <w:marTop w:val="0"/>
          <w:marBottom w:val="0"/>
          <w:divBdr>
            <w:top w:val="none" w:sz="0" w:space="0" w:color="auto"/>
            <w:left w:val="none" w:sz="0" w:space="0" w:color="auto"/>
            <w:bottom w:val="none" w:sz="0" w:space="0" w:color="auto"/>
            <w:right w:val="none" w:sz="0" w:space="0" w:color="auto"/>
          </w:divBdr>
        </w:div>
        <w:div w:id="23293777">
          <w:marLeft w:val="0"/>
          <w:marRight w:val="0"/>
          <w:marTop w:val="0"/>
          <w:marBottom w:val="0"/>
          <w:divBdr>
            <w:top w:val="none" w:sz="0" w:space="0" w:color="auto"/>
            <w:left w:val="none" w:sz="0" w:space="0" w:color="auto"/>
            <w:bottom w:val="none" w:sz="0" w:space="0" w:color="auto"/>
            <w:right w:val="none" w:sz="0" w:space="0" w:color="auto"/>
          </w:divBdr>
        </w:div>
        <w:div w:id="336813755">
          <w:marLeft w:val="0"/>
          <w:marRight w:val="0"/>
          <w:marTop w:val="0"/>
          <w:marBottom w:val="0"/>
          <w:divBdr>
            <w:top w:val="none" w:sz="0" w:space="0" w:color="auto"/>
            <w:left w:val="none" w:sz="0" w:space="0" w:color="auto"/>
            <w:bottom w:val="none" w:sz="0" w:space="0" w:color="auto"/>
            <w:right w:val="none" w:sz="0" w:space="0" w:color="auto"/>
          </w:divBdr>
        </w:div>
        <w:div w:id="1111585803">
          <w:marLeft w:val="0"/>
          <w:marRight w:val="0"/>
          <w:marTop w:val="0"/>
          <w:marBottom w:val="0"/>
          <w:divBdr>
            <w:top w:val="none" w:sz="0" w:space="0" w:color="auto"/>
            <w:left w:val="none" w:sz="0" w:space="0" w:color="auto"/>
            <w:bottom w:val="none" w:sz="0" w:space="0" w:color="auto"/>
            <w:right w:val="none" w:sz="0" w:space="0" w:color="auto"/>
          </w:divBdr>
        </w:div>
        <w:div w:id="1641492942">
          <w:marLeft w:val="0"/>
          <w:marRight w:val="0"/>
          <w:marTop w:val="0"/>
          <w:marBottom w:val="0"/>
          <w:divBdr>
            <w:top w:val="none" w:sz="0" w:space="0" w:color="auto"/>
            <w:left w:val="none" w:sz="0" w:space="0" w:color="auto"/>
            <w:bottom w:val="none" w:sz="0" w:space="0" w:color="auto"/>
            <w:right w:val="none" w:sz="0" w:space="0" w:color="auto"/>
          </w:divBdr>
        </w:div>
        <w:div w:id="877862443">
          <w:marLeft w:val="0"/>
          <w:marRight w:val="0"/>
          <w:marTop w:val="0"/>
          <w:marBottom w:val="0"/>
          <w:divBdr>
            <w:top w:val="none" w:sz="0" w:space="0" w:color="auto"/>
            <w:left w:val="none" w:sz="0" w:space="0" w:color="auto"/>
            <w:bottom w:val="none" w:sz="0" w:space="0" w:color="auto"/>
            <w:right w:val="none" w:sz="0" w:space="0" w:color="auto"/>
          </w:divBdr>
        </w:div>
        <w:div w:id="1637251203">
          <w:marLeft w:val="0"/>
          <w:marRight w:val="0"/>
          <w:marTop w:val="0"/>
          <w:marBottom w:val="0"/>
          <w:divBdr>
            <w:top w:val="none" w:sz="0" w:space="0" w:color="auto"/>
            <w:left w:val="none" w:sz="0" w:space="0" w:color="auto"/>
            <w:bottom w:val="none" w:sz="0" w:space="0" w:color="auto"/>
            <w:right w:val="none" w:sz="0" w:space="0" w:color="auto"/>
          </w:divBdr>
        </w:div>
        <w:div w:id="1602182606">
          <w:marLeft w:val="0"/>
          <w:marRight w:val="0"/>
          <w:marTop w:val="0"/>
          <w:marBottom w:val="0"/>
          <w:divBdr>
            <w:top w:val="none" w:sz="0" w:space="0" w:color="auto"/>
            <w:left w:val="none" w:sz="0" w:space="0" w:color="auto"/>
            <w:bottom w:val="none" w:sz="0" w:space="0" w:color="auto"/>
            <w:right w:val="none" w:sz="0" w:space="0" w:color="auto"/>
          </w:divBdr>
        </w:div>
        <w:div w:id="1247764998">
          <w:marLeft w:val="0"/>
          <w:marRight w:val="0"/>
          <w:marTop w:val="0"/>
          <w:marBottom w:val="0"/>
          <w:divBdr>
            <w:top w:val="none" w:sz="0" w:space="0" w:color="auto"/>
            <w:left w:val="none" w:sz="0" w:space="0" w:color="auto"/>
            <w:bottom w:val="none" w:sz="0" w:space="0" w:color="auto"/>
            <w:right w:val="none" w:sz="0" w:space="0" w:color="auto"/>
          </w:divBdr>
        </w:div>
        <w:div w:id="399183416">
          <w:marLeft w:val="0"/>
          <w:marRight w:val="0"/>
          <w:marTop w:val="0"/>
          <w:marBottom w:val="0"/>
          <w:divBdr>
            <w:top w:val="none" w:sz="0" w:space="0" w:color="auto"/>
            <w:left w:val="none" w:sz="0" w:space="0" w:color="auto"/>
            <w:bottom w:val="none" w:sz="0" w:space="0" w:color="auto"/>
            <w:right w:val="none" w:sz="0" w:space="0" w:color="auto"/>
          </w:divBdr>
        </w:div>
        <w:div w:id="2097824897">
          <w:marLeft w:val="0"/>
          <w:marRight w:val="0"/>
          <w:marTop w:val="0"/>
          <w:marBottom w:val="0"/>
          <w:divBdr>
            <w:top w:val="none" w:sz="0" w:space="0" w:color="auto"/>
            <w:left w:val="none" w:sz="0" w:space="0" w:color="auto"/>
            <w:bottom w:val="none" w:sz="0" w:space="0" w:color="auto"/>
            <w:right w:val="none" w:sz="0" w:space="0" w:color="auto"/>
          </w:divBdr>
        </w:div>
        <w:div w:id="539703985">
          <w:marLeft w:val="0"/>
          <w:marRight w:val="0"/>
          <w:marTop w:val="0"/>
          <w:marBottom w:val="0"/>
          <w:divBdr>
            <w:top w:val="none" w:sz="0" w:space="0" w:color="auto"/>
            <w:left w:val="none" w:sz="0" w:space="0" w:color="auto"/>
            <w:bottom w:val="none" w:sz="0" w:space="0" w:color="auto"/>
            <w:right w:val="none" w:sz="0" w:space="0" w:color="auto"/>
          </w:divBdr>
        </w:div>
        <w:div w:id="515076998">
          <w:marLeft w:val="0"/>
          <w:marRight w:val="0"/>
          <w:marTop w:val="0"/>
          <w:marBottom w:val="0"/>
          <w:divBdr>
            <w:top w:val="none" w:sz="0" w:space="0" w:color="auto"/>
            <w:left w:val="none" w:sz="0" w:space="0" w:color="auto"/>
            <w:bottom w:val="none" w:sz="0" w:space="0" w:color="auto"/>
            <w:right w:val="none" w:sz="0" w:space="0" w:color="auto"/>
          </w:divBdr>
        </w:div>
        <w:div w:id="188959933">
          <w:marLeft w:val="0"/>
          <w:marRight w:val="0"/>
          <w:marTop w:val="0"/>
          <w:marBottom w:val="0"/>
          <w:divBdr>
            <w:top w:val="none" w:sz="0" w:space="0" w:color="auto"/>
            <w:left w:val="none" w:sz="0" w:space="0" w:color="auto"/>
            <w:bottom w:val="none" w:sz="0" w:space="0" w:color="auto"/>
            <w:right w:val="none" w:sz="0" w:space="0" w:color="auto"/>
          </w:divBdr>
        </w:div>
        <w:div w:id="2127890370">
          <w:marLeft w:val="0"/>
          <w:marRight w:val="0"/>
          <w:marTop w:val="0"/>
          <w:marBottom w:val="0"/>
          <w:divBdr>
            <w:top w:val="none" w:sz="0" w:space="0" w:color="auto"/>
            <w:left w:val="none" w:sz="0" w:space="0" w:color="auto"/>
            <w:bottom w:val="none" w:sz="0" w:space="0" w:color="auto"/>
            <w:right w:val="none" w:sz="0" w:space="0" w:color="auto"/>
          </w:divBdr>
        </w:div>
        <w:div w:id="765344719">
          <w:marLeft w:val="0"/>
          <w:marRight w:val="0"/>
          <w:marTop w:val="0"/>
          <w:marBottom w:val="0"/>
          <w:divBdr>
            <w:top w:val="none" w:sz="0" w:space="0" w:color="auto"/>
            <w:left w:val="none" w:sz="0" w:space="0" w:color="auto"/>
            <w:bottom w:val="none" w:sz="0" w:space="0" w:color="auto"/>
            <w:right w:val="none" w:sz="0" w:space="0" w:color="auto"/>
          </w:divBdr>
        </w:div>
      </w:divsChild>
    </w:div>
    <w:div w:id="1495224247">
      <w:bodyDiv w:val="1"/>
      <w:marLeft w:val="0"/>
      <w:marRight w:val="0"/>
      <w:marTop w:val="0"/>
      <w:marBottom w:val="0"/>
      <w:divBdr>
        <w:top w:val="none" w:sz="0" w:space="0" w:color="auto"/>
        <w:left w:val="none" w:sz="0" w:space="0" w:color="auto"/>
        <w:bottom w:val="none" w:sz="0" w:space="0" w:color="auto"/>
        <w:right w:val="none" w:sz="0" w:space="0" w:color="auto"/>
      </w:divBdr>
    </w:div>
    <w:div w:id="1634285346">
      <w:bodyDiv w:val="1"/>
      <w:marLeft w:val="0"/>
      <w:marRight w:val="0"/>
      <w:marTop w:val="0"/>
      <w:marBottom w:val="0"/>
      <w:divBdr>
        <w:top w:val="none" w:sz="0" w:space="0" w:color="auto"/>
        <w:left w:val="none" w:sz="0" w:space="0" w:color="auto"/>
        <w:bottom w:val="none" w:sz="0" w:space="0" w:color="auto"/>
        <w:right w:val="none" w:sz="0" w:space="0" w:color="auto"/>
      </w:divBdr>
    </w:div>
    <w:div w:id="18881043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542DB1-4BD6-4B26-8EE8-F447254F02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814</TotalTime>
  <Pages>14</Pages>
  <Words>4660</Words>
  <Characters>25636</Characters>
  <Application>Microsoft Office Word</Application>
  <DocSecurity>0</DocSecurity>
  <Lines>213</Lines>
  <Paragraphs>60</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30236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TCAC-Personal</cp:lastModifiedBy>
  <cp:revision>293</cp:revision>
  <cp:lastPrinted>2019-02-20T15:13:00Z</cp:lastPrinted>
  <dcterms:created xsi:type="dcterms:W3CDTF">2019-02-18T21:27:00Z</dcterms:created>
  <dcterms:modified xsi:type="dcterms:W3CDTF">2019-04-08T20:58:00Z</dcterms:modified>
</cp:coreProperties>
</file>