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711D9">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711D9">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711D9">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A811FD">
              <w:rPr>
                <w:rFonts w:ascii="Arial" w:eastAsia="PMingLiU" w:hAnsi="Arial" w:cs="Arial"/>
                <w:b/>
                <w:iCs/>
                <w:caps/>
                <w:sz w:val="26"/>
                <w:szCs w:val="26"/>
                <w:lang w:val="es-PE" w:eastAsia="zh-TW"/>
              </w:rPr>
              <w:t>0025/2019 Y 0026/2019</w:t>
            </w:r>
            <w:r>
              <w:rPr>
                <w:rFonts w:ascii="Arial" w:eastAsia="PMingLiU" w:hAnsi="Arial" w:cs="Arial"/>
                <w:b/>
                <w:iCs/>
                <w:caps/>
                <w:sz w:val="26"/>
                <w:szCs w:val="26"/>
                <w:lang w:val="es-PE" w:eastAsia="zh-TW"/>
              </w:rPr>
              <w:t>.</w:t>
            </w:r>
          </w:p>
          <w:p w:rsidR="00E228E5" w:rsidRPr="001872CB" w:rsidRDefault="00E228E5" w:rsidP="004711D9">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711D9">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A811FD">
              <w:rPr>
                <w:rFonts w:ascii="Arial" w:eastAsia="PMingLiU" w:hAnsi="Arial" w:cs="Arial"/>
                <w:b/>
                <w:iCs/>
                <w:caps/>
                <w:sz w:val="26"/>
                <w:szCs w:val="26"/>
                <w:lang w:val="es-PE" w:eastAsia="zh-TW"/>
              </w:rPr>
              <w:t>0094/2017</w:t>
            </w:r>
            <w:r w:rsidR="001D6A01">
              <w:rPr>
                <w:rFonts w:ascii="Arial" w:eastAsia="PMingLiU" w:hAnsi="Arial" w:cs="Arial"/>
                <w:b/>
                <w:iCs/>
                <w:caps/>
                <w:sz w:val="26"/>
                <w:szCs w:val="26"/>
                <w:lang w:val="es-PE" w:eastAsia="zh-TW"/>
              </w:rPr>
              <w:t xml:space="preserve"> de la </w:t>
            </w:r>
            <w:r w:rsidR="00A811FD">
              <w:rPr>
                <w:rFonts w:ascii="Arial" w:eastAsia="PMingLiU" w:hAnsi="Arial" w:cs="Arial"/>
                <w:b/>
                <w:iCs/>
                <w:caps/>
                <w:sz w:val="26"/>
                <w:szCs w:val="26"/>
                <w:lang w:val="es-PE" w:eastAsia="zh-TW"/>
              </w:rPr>
              <w:t>SÉPTIMA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711D9">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711D9">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A82CEE"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TREINTA DE MAYO DE </w:t>
      </w:r>
      <w:r w:rsidR="00E228E5" w:rsidRPr="001872CB">
        <w:rPr>
          <w:rFonts w:ascii="Arial" w:hAnsi="Arial" w:cs="Arial"/>
          <w:b/>
          <w:sz w:val="26"/>
          <w:szCs w:val="26"/>
          <w:lang w:val="es-ES"/>
        </w:rPr>
        <w:t>DOS MIL DIEC</w:t>
      </w:r>
      <w:r w:rsidR="00C17B37">
        <w:rPr>
          <w:rFonts w:ascii="Arial" w:hAnsi="Arial" w:cs="Arial"/>
          <w:b/>
          <w:sz w:val="26"/>
          <w:szCs w:val="26"/>
          <w:lang w:val="es-ES"/>
        </w:rPr>
        <w:t>INUEVE</w:t>
      </w:r>
      <w:r>
        <w:rPr>
          <w:rFonts w:ascii="Arial" w:hAnsi="Arial" w:cs="Arial"/>
          <w:b/>
          <w:sz w:val="26"/>
          <w:szCs w:val="26"/>
          <w:lang w:val="es-ES"/>
        </w:rPr>
        <w:t>.</w:t>
      </w:r>
    </w:p>
    <w:p w:rsidR="00F80457" w:rsidRPr="00F80457" w:rsidRDefault="00E228E5" w:rsidP="00F80457">
      <w:pPr>
        <w:spacing w:after="0" w:line="360" w:lineRule="auto"/>
        <w:ind w:firstLine="709"/>
        <w:jc w:val="both"/>
        <w:rPr>
          <w:rFonts w:ascii="Arial" w:eastAsia="Calibri" w:hAnsi="Arial" w:cs="Arial"/>
          <w:sz w:val="26"/>
          <w:szCs w:val="26"/>
        </w:rPr>
      </w:pPr>
      <w:r w:rsidRPr="00AC5004">
        <w:rPr>
          <w:rFonts w:ascii="Arial" w:eastAsia="Calibri" w:hAnsi="Arial" w:cs="Arial"/>
          <w:sz w:val="26"/>
          <w:szCs w:val="26"/>
        </w:rPr>
        <w:t>Por recibido</w:t>
      </w:r>
      <w:r w:rsidR="00A811FD">
        <w:rPr>
          <w:rFonts w:ascii="Arial" w:eastAsia="Calibri" w:hAnsi="Arial" w:cs="Arial"/>
          <w:sz w:val="26"/>
          <w:szCs w:val="26"/>
        </w:rPr>
        <w:t>s</w:t>
      </w:r>
      <w:r>
        <w:rPr>
          <w:rFonts w:ascii="Arial" w:eastAsia="Calibri" w:hAnsi="Arial" w:cs="Arial"/>
          <w:sz w:val="26"/>
          <w:szCs w:val="26"/>
        </w:rPr>
        <w:t xml:space="preserve"> </w:t>
      </w:r>
      <w:r w:rsidR="00A811FD">
        <w:rPr>
          <w:rFonts w:ascii="Arial" w:eastAsia="Calibri" w:hAnsi="Arial" w:cs="Arial"/>
          <w:sz w:val="26"/>
          <w:szCs w:val="26"/>
        </w:rPr>
        <w:t>los</w:t>
      </w:r>
      <w:r w:rsidRPr="00AC5004">
        <w:rPr>
          <w:rFonts w:ascii="Arial" w:eastAsia="Calibri" w:hAnsi="Arial" w:cs="Arial"/>
          <w:sz w:val="26"/>
          <w:szCs w:val="26"/>
        </w:rPr>
        <w:t xml:space="preserve"> Cuaderno</w:t>
      </w:r>
      <w:r w:rsidR="00A811FD">
        <w:rPr>
          <w:rFonts w:ascii="Arial" w:eastAsia="Calibri" w:hAnsi="Arial" w:cs="Arial"/>
          <w:sz w:val="26"/>
          <w:szCs w:val="26"/>
        </w:rPr>
        <w:t>s</w:t>
      </w:r>
      <w:r w:rsidRPr="00AC5004">
        <w:rPr>
          <w:rFonts w:ascii="Arial" w:eastAsia="Calibri" w:hAnsi="Arial" w:cs="Arial"/>
          <w:sz w:val="26"/>
          <w:szCs w:val="26"/>
        </w:rPr>
        <w:t xml:space="preserve"> de Revisión </w:t>
      </w:r>
      <w:r w:rsidR="00A811FD">
        <w:rPr>
          <w:rFonts w:ascii="Arial" w:eastAsia="PMingLiU" w:hAnsi="Arial" w:cs="Arial"/>
          <w:b/>
          <w:iCs/>
          <w:caps/>
          <w:sz w:val="26"/>
          <w:szCs w:val="26"/>
          <w:lang w:val="es-PE" w:eastAsia="zh-TW"/>
        </w:rPr>
        <w:t xml:space="preserve">0025/2019 </w:t>
      </w:r>
      <w:r w:rsidR="00A811FD" w:rsidRPr="00A811FD">
        <w:rPr>
          <w:rFonts w:ascii="Arial" w:eastAsia="Calibri" w:hAnsi="Arial" w:cs="Arial"/>
          <w:b/>
          <w:sz w:val="26"/>
          <w:szCs w:val="26"/>
        </w:rPr>
        <w:t>y</w:t>
      </w:r>
      <w:r w:rsidR="00A811FD">
        <w:rPr>
          <w:rFonts w:ascii="Arial" w:eastAsia="PMingLiU" w:hAnsi="Arial" w:cs="Arial"/>
          <w:b/>
          <w:iCs/>
          <w:caps/>
          <w:sz w:val="26"/>
          <w:szCs w:val="26"/>
          <w:lang w:val="es-PE" w:eastAsia="zh-TW"/>
        </w:rPr>
        <w:t xml:space="preserve"> 0026/2019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A811FD">
        <w:rPr>
          <w:rFonts w:ascii="Arial" w:eastAsia="Calibri" w:hAnsi="Arial" w:cs="Arial"/>
          <w:sz w:val="26"/>
          <w:szCs w:val="26"/>
        </w:rPr>
        <w:t xml:space="preserve"> </w:t>
      </w:r>
      <w:r w:rsidRPr="00AC5004">
        <w:rPr>
          <w:rFonts w:ascii="Arial" w:eastAsia="Calibri" w:hAnsi="Arial" w:cs="Arial"/>
          <w:sz w:val="26"/>
          <w:szCs w:val="26"/>
        </w:rPr>
        <w:t>l</w:t>
      </w:r>
      <w:r w:rsidR="00A811FD">
        <w:rPr>
          <w:rFonts w:ascii="Arial" w:eastAsia="Calibri" w:hAnsi="Arial" w:cs="Arial"/>
          <w:sz w:val="26"/>
          <w:szCs w:val="26"/>
        </w:rPr>
        <w:t>os</w:t>
      </w:r>
      <w:r w:rsidRPr="00AC5004">
        <w:rPr>
          <w:rFonts w:ascii="Arial" w:eastAsia="Calibri" w:hAnsi="Arial" w:cs="Arial"/>
          <w:sz w:val="26"/>
          <w:szCs w:val="26"/>
        </w:rPr>
        <w:t xml:space="preserve"> recurso</w:t>
      </w:r>
      <w:r w:rsidR="00A811FD">
        <w:rPr>
          <w:rFonts w:ascii="Arial" w:eastAsia="Calibri" w:hAnsi="Arial" w:cs="Arial"/>
          <w:sz w:val="26"/>
          <w:szCs w:val="26"/>
        </w:rPr>
        <w:t>s</w:t>
      </w:r>
      <w:r w:rsidRPr="00AC5004">
        <w:rPr>
          <w:rFonts w:ascii="Arial" w:eastAsia="Calibri" w:hAnsi="Arial" w:cs="Arial"/>
          <w:sz w:val="26"/>
          <w:szCs w:val="26"/>
        </w:rPr>
        <w:t xml:space="preserve"> de revisión interpuesto</w:t>
      </w:r>
      <w:r w:rsidR="00A811FD">
        <w:rPr>
          <w:rFonts w:ascii="Arial" w:eastAsia="Calibri" w:hAnsi="Arial" w:cs="Arial"/>
          <w:sz w:val="26"/>
          <w:szCs w:val="26"/>
        </w:rPr>
        <w:t>s por la</w:t>
      </w:r>
      <w:r w:rsidRPr="00AC5004">
        <w:rPr>
          <w:rFonts w:ascii="Arial" w:eastAsia="Calibri" w:hAnsi="Arial" w:cs="Arial"/>
          <w:sz w:val="26"/>
          <w:szCs w:val="26"/>
        </w:rPr>
        <w:t xml:space="preserve"> </w:t>
      </w:r>
      <w:r w:rsidR="00A811FD">
        <w:rPr>
          <w:rFonts w:ascii="Arial" w:hAnsi="Arial" w:cs="Arial"/>
          <w:b/>
          <w:sz w:val="26"/>
          <w:szCs w:val="26"/>
        </w:rPr>
        <w:t xml:space="preserve">JEFA DE LA UNIDAD DE RECAUDACIÓN DEL MUNICIPIO DE OAXACA DE JUÁREZ, </w:t>
      </w:r>
      <w:r w:rsidR="00A811FD" w:rsidRPr="0068660B">
        <w:rPr>
          <w:rFonts w:ascii="Arial" w:hAnsi="Arial" w:cs="Arial"/>
          <w:sz w:val="26"/>
          <w:szCs w:val="26"/>
        </w:rPr>
        <w:t>y la</w:t>
      </w:r>
      <w:r w:rsidR="00A811FD">
        <w:rPr>
          <w:rFonts w:ascii="Arial" w:hAnsi="Arial" w:cs="Arial"/>
          <w:b/>
          <w:sz w:val="26"/>
          <w:szCs w:val="26"/>
        </w:rPr>
        <w:t xml:space="preserve"> TESORERA MUNICIPAL DEL MUNICIPIO DE OAXACA DE JUÁREZ</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sentencia de fecha 5 cinco de diciembre de 2018 dos mil dieciocho</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18401E">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18401E">
        <w:rPr>
          <w:rFonts w:ascii="Arial" w:eastAsia="Calibri" w:hAnsi="Arial" w:cs="Arial"/>
          <w:sz w:val="26"/>
          <w:szCs w:val="26"/>
        </w:rPr>
        <w:t>a</w:t>
      </w:r>
      <w:r w:rsidR="00793AA8">
        <w:rPr>
          <w:rFonts w:ascii="Arial" w:eastAsia="Calibri" w:hAnsi="Arial" w:cs="Arial"/>
          <w:sz w:val="26"/>
          <w:szCs w:val="26"/>
        </w:rPr>
        <w:t xml:space="preserve"> de la </w:t>
      </w:r>
      <w:r w:rsidR="00A811FD">
        <w:rPr>
          <w:rFonts w:ascii="Arial" w:eastAsia="Calibri" w:hAnsi="Arial" w:cs="Arial"/>
          <w:sz w:val="26"/>
          <w:szCs w:val="26"/>
        </w:rPr>
        <w:t>Séptima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536001">
        <w:rPr>
          <w:rFonts w:ascii="Arial" w:eastAsia="Calibri" w:hAnsi="Arial" w:cs="Arial"/>
          <w:b/>
          <w:sz w:val="26"/>
          <w:szCs w:val="26"/>
        </w:rPr>
        <w:t>0094/2017</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3C49FF">
        <w:rPr>
          <w:rFonts w:ascii="Arial" w:eastAsia="Calibri" w:hAnsi="Arial" w:cs="Arial"/>
          <w:b/>
          <w:sz w:val="26"/>
          <w:szCs w:val="26"/>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2D5010">
        <w:rPr>
          <w:rFonts w:ascii="Arial" w:eastAsia="Calibri" w:hAnsi="Arial" w:cs="Arial"/>
          <w:b/>
          <w:sz w:val="26"/>
          <w:szCs w:val="26"/>
        </w:rPr>
        <w:t>POLÍCIA VIAL CON NÚMERO ESTADÍ</w:t>
      </w:r>
      <w:r w:rsidR="00536001">
        <w:rPr>
          <w:rFonts w:ascii="Arial" w:eastAsia="Calibri" w:hAnsi="Arial" w:cs="Arial"/>
          <w:b/>
          <w:sz w:val="26"/>
          <w:szCs w:val="26"/>
        </w:rPr>
        <w:t>STICO 264, DE LA COMISARÍA DE VIALIDAD DEL MUNICIPIO DE OA</w:t>
      </w:r>
      <w:r w:rsidR="00F359DC">
        <w:rPr>
          <w:rFonts w:ascii="Arial" w:eastAsia="Calibri" w:hAnsi="Arial" w:cs="Arial"/>
          <w:b/>
          <w:sz w:val="26"/>
          <w:szCs w:val="26"/>
        </w:rPr>
        <w:t>XACA DE JUÁREZ, Y DE LAS R</w:t>
      </w:r>
      <w:r w:rsidR="00536001">
        <w:rPr>
          <w:rFonts w:ascii="Arial" w:eastAsia="Calibri" w:hAnsi="Arial" w:cs="Arial"/>
          <w:b/>
          <w:sz w:val="26"/>
          <w:szCs w:val="26"/>
        </w:rPr>
        <w:t>ECURRENTES</w:t>
      </w:r>
      <w:r w:rsidR="001E3EFF">
        <w:rPr>
          <w:rFonts w:ascii="Arial" w:eastAsia="Calibri" w:hAnsi="Arial" w:cs="Arial"/>
          <w:b/>
          <w:sz w:val="26"/>
          <w:szCs w:val="26"/>
        </w:rPr>
        <w:t xml:space="preserve">, </w:t>
      </w:r>
      <w:r w:rsidRPr="00332EDF">
        <w:rPr>
          <w:rFonts w:ascii="Arial" w:hAnsi="Arial" w:cs="Arial"/>
          <w:sz w:val="26"/>
          <w:szCs w:val="26"/>
        </w:rPr>
        <w:t>p</w:t>
      </w:r>
      <w:r w:rsidRPr="00332EDF">
        <w:rPr>
          <w:rFonts w:ascii="Arial" w:eastAsia="Calibri" w:hAnsi="Arial" w:cs="Arial"/>
          <w:sz w:val="26"/>
          <w:szCs w:val="26"/>
        </w:rPr>
        <w:t>or lo que co</w:t>
      </w:r>
      <w:r w:rsidR="00EE0F0C">
        <w:rPr>
          <w:rFonts w:ascii="Arial" w:eastAsia="Calibri" w:hAnsi="Arial" w:cs="Arial"/>
          <w:sz w:val="26"/>
          <w:szCs w:val="26"/>
        </w:rPr>
        <w:t>n fundamento en los artículos 207 y 20</w:t>
      </w:r>
      <w:r w:rsidRPr="00332EDF">
        <w:rPr>
          <w:rFonts w:ascii="Arial" w:eastAsia="Calibri" w:hAnsi="Arial" w:cs="Arial"/>
          <w:sz w:val="26"/>
          <w:szCs w:val="26"/>
        </w:rPr>
        <w:t xml:space="preserve">8, de la Ley de Justicia Administrativa para el Estado de Oaxaca, </w:t>
      </w:r>
      <w:r w:rsidR="00A82CEE">
        <w:rPr>
          <w:rFonts w:ascii="Arial" w:eastAsia="Calibri" w:hAnsi="Arial" w:cs="Arial"/>
          <w:sz w:val="26"/>
          <w:szCs w:val="26"/>
        </w:rPr>
        <w:t>vigente al inicio del juicio natural</w:t>
      </w:r>
      <w:r w:rsidR="00F80457">
        <w:rPr>
          <w:rFonts w:ascii="Arial" w:eastAsia="Calibri" w:hAnsi="Arial" w:cs="Arial"/>
          <w:sz w:val="26"/>
          <w:szCs w:val="26"/>
        </w:rPr>
        <w:t xml:space="preserve">, </w:t>
      </w:r>
      <w:r w:rsidRPr="00332EDF">
        <w:rPr>
          <w:rFonts w:ascii="Arial" w:eastAsia="Calibri" w:hAnsi="Arial" w:cs="Arial"/>
          <w:sz w:val="26"/>
          <w:szCs w:val="26"/>
        </w:rPr>
        <w:t>se admite</w:t>
      </w:r>
      <w:r>
        <w:rPr>
          <w:rFonts w:ascii="Arial" w:eastAsia="Calibri" w:hAnsi="Arial" w:cs="Arial"/>
          <w:sz w:val="26"/>
          <w:szCs w:val="26"/>
        </w:rPr>
        <w:t>.</w:t>
      </w:r>
      <w:r w:rsidRPr="00332EDF">
        <w:rPr>
          <w:rFonts w:ascii="Arial" w:hAnsi="Arial" w:cs="Arial"/>
          <w:sz w:val="26"/>
          <w:szCs w:val="26"/>
        </w:rPr>
        <w:t xml:space="preserve"> En consecuencia, se procede a dictar resolución en los siguientes términos</w:t>
      </w:r>
      <w:r w:rsidRPr="00332EDF">
        <w:rPr>
          <w:rFonts w:ascii="Arial" w:eastAsia="Calibri" w:hAnsi="Arial" w:cs="Arial"/>
          <w:b/>
          <w:sz w:val="26"/>
          <w:szCs w:val="26"/>
        </w:rPr>
        <w:t>.</w:t>
      </w:r>
    </w:p>
    <w:p w:rsidR="00F80457" w:rsidRDefault="00E228E5" w:rsidP="00F80457">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F80457" w:rsidRDefault="00F80457" w:rsidP="00F80457">
      <w:pPr>
        <w:spacing w:after="0" w:line="360" w:lineRule="auto"/>
        <w:jc w:val="center"/>
        <w:rPr>
          <w:rFonts w:ascii="Arial" w:hAnsi="Arial" w:cs="Arial"/>
          <w:b/>
          <w:bCs/>
          <w:sz w:val="26"/>
          <w:szCs w:val="26"/>
          <w:lang w:val="es-ES"/>
        </w:rPr>
      </w:pPr>
    </w:p>
    <w:p w:rsidR="00F80457" w:rsidRDefault="00E228E5" w:rsidP="00F80457">
      <w:pPr>
        <w:spacing w:after="0" w:line="360" w:lineRule="auto"/>
        <w:ind w:firstLine="709"/>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5571DA">
        <w:rPr>
          <w:rFonts w:ascii="Arial" w:hAnsi="Arial" w:cs="Arial"/>
          <w:sz w:val="26"/>
          <w:szCs w:val="26"/>
          <w:lang w:val="es-ES"/>
        </w:rPr>
        <w:t>sentencia de 5 cinco de diciembre de 2018 dos mil dieciocho</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792424">
        <w:rPr>
          <w:rFonts w:ascii="Arial" w:hAnsi="Arial" w:cs="Arial"/>
          <w:sz w:val="26"/>
          <w:szCs w:val="26"/>
          <w:lang w:val="es-ES"/>
        </w:rPr>
        <w:t>la</w:t>
      </w:r>
      <w:r w:rsidR="00305B9A">
        <w:rPr>
          <w:rFonts w:ascii="Arial" w:hAnsi="Arial" w:cs="Arial"/>
          <w:sz w:val="26"/>
          <w:szCs w:val="26"/>
          <w:lang w:val="es-ES"/>
        </w:rPr>
        <w:t xml:space="preserve"> Titular de la </w:t>
      </w:r>
      <w:r w:rsidR="005571DA">
        <w:rPr>
          <w:rFonts w:ascii="Arial" w:eastAsia="Calibri" w:hAnsi="Arial" w:cs="Arial"/>
          <w:sz w:val="26"/>
          <w:szCs w:val="26"/>
        </w:rPr>
        <w:t>Séptima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5571DA">
        <w:rPr>
          <w:rFonts w:ascii="Arial" w:eastAsia="Calibri" w:hAnsi="Arial" w:cs="Arial"/>
          <w:sz w:val="26"/>
          <w:szCs w:val="26"/>
        </w:rPr>
        <w:t>la</w:t>
      </w:r>
      <w:r w:rsidR="005571DA" w:rsidRPr="00AC5004">
        <w:rPr>
          <w:rFonts w:ascii="Arial" w:eastAsia="Calibri" w:hAnsi="Arial" w:cs="Arial"/>
          <w:sz w:val="26"/>
          <w:szCs w:val="26"/>
        </w:rPr>
        <w:t xml:space="preserve"> </w:t>
      </w:r>
      <w:r w:rsidR="005571DA">
        <w:rPr>
          <w:rFonts w:ascii="Arial" w:hAnsi="Arial" w:cs="Arial"/>
          <w:b/>
          <w:sz w:val="26"/>
          <w:szCs w:val="26"/>
        </w:rPr>
        <w:t xml:space="preserve">JEFA DE LA UNIDAD DE RECAUDACIÓN DEL MUNICIPIO DE OAXACA DE JUÁREZ, </w:t>
      </w:r>
      <w:r w:rsidR="005571DA" w:rsidRPr="005571DA">
        <w:rPr>
          <w:rFonts w:ascii="Arial" w:hAnsi="Arial" w:cs="Arial"/>
          <w:sz w:val="26"/>
          <w:szCs w:val="26"/>
        </w:rPr>
        <w:t>y la</w:t>
      </w:r>
      <w:r w:rsidR="005571DA">
        <w:rPr>
          <w:rFonts w:ascii="Arial" w:hAnsi="Arial" w:cs="Arial"/>
          <w:b/>
          <w:sz w:val="26"/>
          <w:szCs w:val="26"/>
        </w:rPr>
        <w:t xml:space="preserve"> TESORERA MUNICIPAL DEL MUNICIPIO DE OAXACA DE JUÁREZ</w:t>
      </w:r>
      <w:r w:rsidR="00792424">
        <w:rPr>
          <w:rFonts w:ascii="Arial" w:hAnsi="Arial" w:cs="Arial"/>
          <w:b/>
          <w:bCs/>
          <w:color w:val="000000"/>
          <w:sz w:val="26"/>
          <w:szCs w:val="26"/>
        </w:rPr>
        <w:t xml:space="preserve">, </w:t>
      </w:r>
      <w:r w:rsidR="00345802">
        <w:rPr>
          <w:rFonts w:ascii="Arial" w:hAnsi="Arial" w:cs="Arial"/>
          <w:sz w:val="26"/>
          <w:szCs w:val="26"/>
          <w:lang w:val="es-ES"/>
        </w:rPr>
        <w:t>interponen</w:t>
      </w:r>
      <w:r>
        <w:rPr>
          <w:rFonts w:ascii="Arial" w:hAnsi="Arial" w:cs="Arial"/>
          <w:sz w:val="26"/>
          <w:szCs w:val="26"/>
          <w:lang w:val="es-ES"/>
        </w:rPr>
        <w:t xml:space="preserve"> </w:t>
      </w:r>
      <w:r w:rsidRPr="001872CB">
        <w:rPr>
          <w:rFonts w:ascii="Arial" w:hAnsi="Arial" w:cs="Arial"/>
          <w:sz w:val="26"/>
          <w:szCs w:val="26"/>
          <w:lang w:val="es-ES"/>
        </w:rPr>
        <w:t>en su contra recurso de revisión.</w:t>
      </w:r>
    </w:p>
    <w:p w:rsidR="00F80457" w:rsidRDefault="00F80457" w:rsidP="00F80457">
      <w:pPr>
        <w:spacing w:after="0" w:line="360" w:lineRule="auto"/>
        <w:ind w:firstLine="709"/>
        <w:jc w:val="both"/>
        <w:rPr>
          <w:rFonts w:ascii="Arial" w:hAnsi="Arial" w:cs="Arial"/>
          <w:sz w:val="26"/>
          <w:szCs w:val="26"/>
          <w:lang w:val="es-ES"/>
        </w:rPr>
      </w:pPr>
    </w:p>
    <w:p w:rsidR="0028071E" w:rsidRDefault="0028071E" w:rsidP="00F80457">
      <w:pPr>
        <w:spacing w:after="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sidR="00F80457">
        <w:rPr>
          <w:rFonts w:ascii="Arial" w:hAnsi="Arial" w:cs="Arial"/>
          <w:sz w:val="26"/>
          <w:szCs w:val="26"/>
        </w:rPr>
        <w:t xml:space="preserve"> son los siguientes:</w:t>
      </w:r>
      <w:r>
        <w:rPr>
          <w:rFonts w:ascii="Arial" w:hAnsi="Arial" w:cs="Arial"/>
          <w:sz w:val="26"/>
          <w:szCs w:val="26"/>
        </w:rPr>
        <w:t xml:space="preserve"> </w:t>
      </w:r>
    </w:p>
    <w:p w:rsidR="0002147F" w:rsidRDefault="0028071E"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w:t>
      </w:r>
      <w:r w:rsidRPr="0002147F">
        <w:rPr>
          <w:rFonts w:ascii="Arial" w:eastAsia="Calibri" w:hAnsi="Arial" w:cs="Arial"/>
          <w:b/>
          <w:bCs/>
          <w:i/>
          <w:color w:val="000000" w:themeColor="text1"/>
        </w:rPr>
        <w:t xml:space="preserve">PRIMERO.- </w:t>
      </w:r>
      <w:r w:rsidRPr="0002147F">
        <w:rPr>
          <w:rFonts w:ascii="Arial" w:eastAsia="Calibri" w:hAnsi="Arial" w:cs="Arial"/>
          <w:bCs/>
          <w:i/>
          <w:color w:val="000000" w:themeColor="text1"/>
        </w:rPr>
        <w:t xml:space="preserve">Esta </w:t>
      </w:r>
      <w:r w:rsidR="00345802">
        <w:rPr>
          <w:rFonts w:ascii="Arial" w:eastAsia="Calibri" w:hAnsi="Arial" w:cs="Arial"/>
          <w:bCs/>
          <w:i/>
          <w:color w:val="000000" w:themeColor="text1"/>
        </w:rPr>
        <w:t>Séptima Sala de Primera Instancia del Tribunal de Justicia Administrativa del Estado de Oaxaca,</w:t>
      </w:r>
      <w:r w:rsidR="001A0AD3">
        <w:rPr>
          <w:rFonts w:ascii="Arial" w:eastAsia="Calibri" w:hAnsi="Arial" w:cs="Arial"/>
          <w:bCs/>
          <w:i/>
          <w:color w:val="000000" w:themeColor="text1"/>
        </w:rPr>
        <w:t xml:space="preserve"> es </w:t>
      </w:r>
      <w:r w:rsidR="001A0AD3">
        <w:rPr>
          <w:rFonts w:ascii="Arial" w:eastAsia="Calibri" w:hAnsi="Arial" w:cs="Arial"/>
          <w:bCs/>
          <w:i/>
          <w:color w:val="000000" w:themeColor="text1"/>
        </w:rPr>
        <w:lastRenderedPageBreak/>
        <w:t>legalmente competente para conocer y resolver del presente Juicio de Nulidad</w:t>
      </w:r>
      <w:r w:rsidR="0002147F" w:rsidRPr="0002147F">
        <w:rPr>
          <w:rFonts w:ascii="Arial" w:eastAsia="Calibri" w:hAnsi="Arial" w:cs="Arial"/>
          <w:bCs/>
          <w:i/>
          <w:color w:val="000000" w:themeColor="text1"/>
        </w:rPr>
        <w:t xml:space="preserve">.- - - - - - - - - - - - - - - - - - </w:t>
      </w:r>
      <w:r w:rsidR="00F80457">
        <w:rPr>
          <w:rFonts w:ascii="Arial" w:eastAsia="Calibri" w:hAnsi="Arial" w:cs="Arial"/>
          <w:bCs/>
          <w:i/>
          <w:color w:val="000000" w:themeColor="text1"/>
        </w:rPr>
        <w:t xml:space="preserve">- - - - - - - - - - - - - - - </w:t>
      </w:r>
      <w:r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1A0AD3">
        <w:rPr>
          <w:rFonts w:ascii="Arial" w:eastAsia="Calibri" w:hAnsi="Arial" w:cs="Arial"/>
          <w:bCs/>
          <w:i/>
          <w:color w:val="000000" w:themeColor="text1"/>
        </w:rPr>
        <w:t xml:space="preserve">No se actualizó causal de improcedencia alguna, por lo que NO SE SOBRESEE EL JUICIO en términos del considerando QUINTO de esta resolución.- - - - - - - - - - - - - - - - </w:t>
      </w:r>
    </w:p>
    <w:p w:rsidR="00E228E5" w:rsidRDefault="0028071E" w:rsidP="001350A5">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w:t>
      </w:r>
      <w:r w:rsidR="001A0AD3">
        <w:rPr>
          <w:rFonts w:ascii="Arial" w:eastAsia="Calibri" w:hAnsi="Arial" w:cs="Arial"/>
          <w:bCs/>
          <w:i/>
          <w:color w:val="000000" w:themeColor="text1"/>
        </w:rPr>
        <w:t xml:space="preserve">Se declara la NULIDAD LISA Y LLANA del acta de infracción de tránsito con número de folio </w:t>
      </w:r>
      <w:r w:rsidR="001A0AD3">
        <w:rPr>
          <w:rFonts w:ascii="Arial" w:eastAsia="Calibri" w:hAnsi="Arial" w:cs="Arial"/>
          <w:b/>
          <w:bCs/>
          <w:i/>
          <w:color w:val="000000" w:themeColor="text1"/>
        </w:rPr>
        <w:t xml:space="preserve">23752, </w:t>
      </w:r>
      <w:r w:rsidR="001A0AD3">
        <w:rPr>
          <w:rFonts w:ascii="Arial" w:eastAsia="Calibri" w:hAnsi="Arial" w:cs="Arial"/>
          <w:bCs/>
          <w:i/>
          <w:color w:val="000000" w:themeColor="text1"/>
        </w:rPr>
        <w:t xml:space="preserve"> de veintiuno de agosto de dos mil diecisiete (21/08/2017), relacionada al vehículo con placas de circulación </w:t>
      </w:r>
      <w:r w:rsidR="003C49FF">
        <w:rPr>
          <w:rFonts w:ascii="Arial" w:eastAsia="Calibri" w:hAnsi="Arial" w:cs="Arial"/>
          <w:bCs/>
          <w:i/>
          <w:color w:val="000000" w:themeColor="text1"/>
        </w:rPr>
        <w:t>**********</w:t>
      </w:r>
      <w:r w:rsidR="001A0AD3">
        <w:rPr>
          <w:rFonts w:ascii="Arial" w:eastAsia="Calibri" w:hAnsi="Arial" w:cs="Arial"/>
          <w:bCs/>
          <w:i/>
          <w:color w:val="000000" w:themeColor="text1"/>
        </w:rPr>
        <w:t xml:space="preserve">del Estado de Oaxaca, emitida por la C. OBDULIA PÉREZ ALCÁNTARA, Policía Vial con número estadístico 264, de la Comisaría de Vialidad del Municipio de Oaxaca de Juárez; y como consecuencia se ordena </w:t>
      </w:r>
      <w:r w:rsidR="005D4261">
        <w:rPr>
          <w:rFonts w:ascii="Arial" w:eastAsia="Calibri" w:hAnsi="Arial" w:cs="Arial"/>
          <w:bCs/>
          <w:i/>
          <w:color w:val="000000" w:themeColor="text1"/>
        </w:rPr>
        <w:t>a la Recaudadora de Rentas del Munici</w:t>
      </w:r>
      <w:r w:rsidR="0068660B">
        <w:rPr>
          <w:rFonts w:ascii="Arial" w:eastAsia="Calibri" w:hAnsi="Arial" w:cs="Arial"/>
          <w:bCs/>
          <w:i/>
          <w:color w:val="000000" w:themeColor="text1"/>
        </w:rPr>
        <w:t>pio de Oaxaca de Juárez, Oaxaca</w:t>
      </w:r>
      <w:r w:rsidR="00A3132F">
        <w:rPr>
          <w:rFonts w:ascii="Arial" w:eastAsia="Calibri" w:hAnsi="Arial" w:cs="Arial"/>
          <w:bCs/>
          <w:i/>
          <w:color w:val="000000" w:themeColor="text1"/>
        </w:rPr>
        <w:t>,</w:t>
      </w:r>
      <w:r w:rsidR="005D4261">
        <w:rPr>
          <w:rFonts w:ascii="Arial" w:eastAsia="Calibri" w:hAnsi="Arial" w:cs="Arial"/>
          <w:bCs/>
          <w:i/>
          <w:color w:val="000000" w:themeColor="text1"/>
        </w:rPr>
        <w:t xml:space="preserve"> demandada, la devolución a la actora C. </w:t>
      </w:r>
      <w:r w:rsidR="003C49FF">
        <w:rPr>
          <w:rFonts w:ascii="Arial" w:eastAsia="Calibri" w:hAnsi="Arial" w:cs="Arial"/>
          <w:bCs/>
          <w:i/>
          <w:color w:val="000000" w:themeColor="text1"/>
        </w:rPr>
        <w:t>**********</w:t>
      </w:r>
      <w:r w:rsidR="005D4261">
        <w:rPr>
          <w:rFonts w:ascii="Arial" w:eastAsia="Calibri" w:hAnsi="Arial" w:cs="Arial"/>
          <w:bCs/>
          <w:i/>
          <w:color w:val="000000" w:themeColor="text1"/>
        </w:rPr>
        <w:t>, de la cantidad de $845.00 (OCHOCIENTOS CUARENTA Y CINCO PESOS 00/100 M.N) que erogó para obtener la devolución de la placa de circulación que le fue retenida como garantía de pago, además, se ordena a la Policía Vial demandada C. OBDULIA PÉREZ ALCÁNTARA, Policía Vial con número estadístico 264, realizar los</w:t>
      </w:r>
      <w:r w:rsidR="00832086">
        <w:rPr>
          <w:rFonts w:ascii="Arial" w:eastAsia="Calibri" w:hAnsi="Arial" w:cs="Arial"/>
          <w:bCs/>
          <w:i/>
          <w:color w:val="000000" w:themeColor="text1"/>
        </w:rPr>
        <w:t xml:space="preserve"> trámites</w:t>
      </w:r>
      <w:r w:rsidR="005D4261">
        <w:rPr>
          <w:rFonts w:ascii="Arial" w:eastAsia="Calibri" w:hAnsi="Arial" w:cs="Arial"/>
          <w:bCs/>
          <w:i/>
          <w:color w:val="000000" w:themeColor="text1"/>
        </w:rPr>
        <w:t xml:space="preserve"> correspondientes para la</w:t>
      </w:r>
      <w:r w:rsidR="00832086">
        <w:rPr>
          <w:rFonts w:ascii="Arial" w:eastAsia="Calibri" w:hAnsi="Arial" w:cs="Arial"/>
          <w:bCs/>
          <w:i/>
          <w:color w:val="000000" w:themeColor="text1"/>
        </w:rPr>
        <w:t xml:space="preserve"> cancelación del acta de infracción en el sistema electrónico con que cuenta la Comisaría de Vialidad Municipal; lo anterior en términos precisados en el considerando SEXTO de esta resolución</w:t>
      </w:r>
      <w:r>
        <w:rPr>
          <w:rFonts w:ascii="Arial" w:eastAsia="Calibri" w:hAnsi="Arial" w:cs="Arial"/>
          <w:bCs/>
          <w:i/>
          <w:color w:val="000000" w:themeColor="text1"/>
        </w:rPr>
        <w:t>.-</w:t>
      </w:r>
      <w:r w:rsidR="001350A5">
        <w:rPr>
          <w:rFonts w:ascii="Arial" w:eastAsia="Calibri" w:hAnsi="Arial" w:cs="Arial"/>
          <w:bCs/>
          <w:i/>
          <w:color w:val="000000" w:themeColor="text1"/>
        </w:rPr>
        <w:t xml:space="preserve"> - - - - - - - - - - -</w:t>
      </w:r>
      <w:r w:rsidR="00832086">
        <w:rPr>
          <w:rFonts w:ascii="Arial" w:eastAsia="Calibri" w:hAnsi="Arial" w:cs="Arial"/>
          <w:bCs/>
          <w:i/>
          <w:color w:val="000000" w:themeColor="text1"/>
        </w:rPr>
        <w:t xml:space="preserve"> - - - - - - - - - - - - - - - </w:t>
      </w:r>
      <w:r w:rsidR="00832086">
        <w:rPr>
          <w:rFonts w:ascii="Arial" w:eastAsia="Calibri" w:hAnsi="Arial" w:cs="Arial"/>
          <w:b/>
          <w:bCs/>
          <w:i/>
          <w:color w:val="000000" w:themeColor="text1"/>
        </w:rPr>
        <w:t xml:space="preserve">CUARTO.- </w:t>
      </w:r>
      <w:r w:rsidR="00832086">
        <w:rPr>
          <w:rFonts w:ascii="Arial" w:eastAsia="Calibri" w:hAnsi="Arial" w:cs="Arial"/>
          <w:bCs/>
          <w:i/>
          <w:color w:val="000000" w:themeColor="text1"/>
        </w:rPr>
        <w:t xml:space="preserve">Conforme a lo dispuesto en el artículo 142 fracción I y 143 fracciones I y II, de la Ley de Justicia Administrativa para el Estado, </w:t>
      </w:r>
      <w:r w:rsidR="00832086">
        <w:rPr>
          <w:rFonts w:ascii="Arial" w:eastAsia="Calibri" w:hAnsi="Arial" w:cs="Arial"/>
          <w:b/>
          <w:bCs/>
          <w:i/>
          <w:color w:val="000000" w:themeColor="text1"/>
        </w:rPr>
        <w:t>NOTIFÍQUESE PERSONALMENTE A LA PARTE ACTORA Y POR OFICIO A LAS AUTORIDADES DEMANDADAS. CÚMPLASE</w:t>
      </w:r>
      <w:r w:rsidR="00832086">
        <w:rPr>
          <w:rFonts w:ascii="Arial" w:eastAsia="Calibri" w:hAnsi="Arial" w:cs="Arial"/>
          <w:bCs/>
          <w:i/>
          <w:color w:val="000000" w:themeColor="text1"/>
        </w:rPr>
        <w:t>.- - - - - - - - - - - - - - - - - - - - - - - - -</w:t>
      </w:r>
      <w:r w:rsidR="001350A5">
        <w:rPr>
          <w:rFonts w:ascii="Arial" w:eastAsia="Calibri" w:hAnsi="Arial" w:cs="Arial"/>
          <w:bCs/>
          <w:i/>
          <w:color w:val="000000" w:themeColor="text1"/>
        </w:rPr>
        <w:t xml:space="preserve"> </w:t>
      </w:r>
    </w:p>
    <w:p w:rsidR="00F80457" w:rsidRPr="0028071E" w:rsidRDefault="00F80457" w:rsidP="001350A5">
      <w:pPr>
        <w:spacing w:after="120" w:line="360" w:lineRule="auto"/>
        <w:ind w:left="1134" w:right="758"/>
        <w:jc w:val="both"/>
        <w:rPr>
          <w:rFonts w:ascii="Arial" w:eastAsia="Calibri" w:hAnsi="Arial" w:cs="Arial"/>
          <w:bCs/>
          <w:i/>
          <w:color w:val="000000" w:themeColor="text1"/>
        </w:rPr>
      </w:pPr>
    </w:p>
    <w:p w:rsidR="00F80457" w:rsidRDefault="00E228E5" w:rsidP="00F80457">
      <w:pPr>
        <w:widowControl w:val="0"/>
        <w:tabs>
          <w:tab w:val="left" w:pos="7938"/>
          <w:tab w:val="left" w:pos="8222"/>
        </w:tabs>
        <w:spacing w:after="0" w:line="360" w:lineRule="auto"/>
        <w:ind w:right="51"/>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F80457" w:rsidRDefault="00F80457" w:rsidP="00F80457">
      <w:pPr>
        <w:widowControl w:val="0"/>
        <w:tabs>
          <w:tab w:val="left" w:pos="7938"/>
          <w:tab w:val="left" w:pos="8222"/>
        </w:tabs>
        <w:spacing w:after="0" w:line="360" w:lineRule="auto"/>
        <w:ind w:right="51"/>
        <w:jc w:val="center"/>
        <w:rPr>
          <w:rFonts w:ascii="Arial" w:eastAsia="Times New Roman" w:hAnsi="Arial" w:cs="Arial"/>
          <w:b/>
          <w:bCs/>
          <w:sz w:val="26"/>
          <w:szCs w:val="26"/>
          <w:lang w:val="es-ES" w:eastAsia="es-ES"/>
        </w:rPr>
      </w:pPr>
    </w:p>
    <w:p w:rsidR="00F80457" w:rsidRDefault="00F80457" w:rsidP="00CA6FB3">
      <w:pPr>
        <w:widowControl w:val="0"/>
        <w:tabs>
          <w:tab w:val="left" w:pos="7938"/>
          <w:tab w:val="left" w:pos="8222"/>
        </w:tabs>
        <w:spacing w:after="0" w:line="360" w:lineRule="auto"/>
        <w:ind w:right="51"/>
        <w:jc w:val="both"/>
        <w:rPr>
          <w:rFonts w:ascii="Arial" w:hAnsi="Arial" w:cs="Arial"/>
          <w:bCs/>
          <w:iCs/>
          <w:sz w:val="26"/>
          <w:szCs w:val="26"/>
        </w:rPr>
      </w:pPr>
      <w:r>
        <w:rPr>
          <w:rFonts w:ascii="Arial" w:hAnsi="Arial" w:cs="Arial"/>
          <w:b/>
          <w:bCs/>
          <w:iCs/>
          <w:sz w:val="26"/>
          <w:szCs w:val="26"/>
        </w:rPr>
        <w:t xml:space="preserve">          </w:t>
      </w:r>
      <w:r w:rsidR="00E228E5" w:rsidRPr="001872CB">
        <w:rPr>
          <w:rFonts w:ascii="Arial" w:hAnsi="Arial" w:cs="Arial"/>
          <w:b/>
          <w:bCs/>
          <w:iCs/>
          <w:sz w:val="26"/>
          <w:szCs w:val="26"/>
        </w:rPr>
        <w:t xml:space="preserve">PRIMERO. </w:t>
      </w:r>
      <w:r w:rsidR="00461A08" w:rsidRPr="00FC7072">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Soberano de Oaxaca, </w:t>
      </w:r>
      <w:r w:rsidR="00461A08" w:rsidRPr="00FC7072">
        <w:rPr>
          <w:rFonts w:ascii="Arial" w:hAnsi="Arial" w:cs="Arial"/>
          <w:sz w:val="26"/>
          <w:szCs w:val="26"/>
        </w:rPr>
        <w:t>así como los diversos 86, 88, 92, 93, fracción I, 94, 201, 206 y 208, de la Ley de Justicia Administrativa para el Estado de Oaxaca, vigente hasta el 20 veinte de octubre de 2017 dos mil diecisiete</w:t>
      </w:r>
      <w:r w:rsidR="0090758B" w:rsidRPr="00A40958">
        <w:rPr>
          <w:rFonts w:ascii="Arial" w:eastAsia="Calibri" w:hAnsi="Arial" w:cs="Arial"/>
          <w:sz w:val="26"/>
          <w:szCs w:val="26"/>
        </w:rPr>
        <w:t>,</w:t>
      </w:r>
      <w:r w:rsidR="00461A08">
        <w:rPr>
          <w:rFonts w:ascii="Arial" w:hAnsi="Arial" w:cs="Arial"/>
          <w:bCs/>
          <w:iCs/>
          <w:sz w:val="26"/>
          <w:szCs w:val="26"/>
        </w:rPr>
        <w:t xml:space="preserve"> dado </w:t>
      </w:r>
      <w:r w:rsidR="0090758B">
        <w:rPr>
          <w:rFonts w:ascii="Arial" w:hAnsi="Arial" w:cs="Arial"/>
          <w:bCs/>
          <w:iCs/>
          <w:sz w:val="26"/>
          <w:szCs w:val="26"/>
        </w:rPr>
        <w:t xml:space="preserve">que </w:t>
      </w:r>
      <w:r w:rsidR="0090758B" w:rsidRPr="00DB04B5">
        <w:rPr>
          <w:rFonts w:ascii="Arial" w:hAnsi="Arial" w:cs="Arial"/>
          <w:bCs/>
          <w:iCs/>
          <w:sz w:val="26"/>
          <w:szCs w:val="26"/>
        </w:rPr>
        <w:t xml:space="preserve">se trata de un Recurso de Revisión </w:t>
      </w:r>
      <w:r w:rsidR="0090758B">
        <w:rPr>
          <w:rFonts w:ascii="Arial" w:hAnsi="Arial" w:cs="Arial"/>
          <w:bCs/>
          <w:iCs/>
          <w:sz w:val="26"/>
          <w:szCs w:val="26"/>
        </w:rPr>
        <w:t xml:space="preserve">interpuesto </w:t>
      </w:r>
      <w:r w:rsidR="0090758B" w:rsidRPr="00DB04B5">
        <w:rPr>
          <w:rFonts w:ascii="Arial" w:hAnsi="Arial" w:cs="Arial"/>
          <w:bCs/>
          <w:iCs/>
          <w:sz w:val="26"/>
          <w:szCs w:val="26"/>
        </w:rPr>
        <w:t xml:space="preserve">en contra de la </w:t>
      </w:r>
      <w:r w:rsidR="00461A08">
        <w:rPr>
          <w:rFonts w:ascii="Arial" w:hAnsi="Arial" w:cs="Arial"/>
          <w:bCs/>
          <w:iCs/>
          <w:sz w:val="26"/>
          <w:szCs w:val="26"/>
        </w:rPr>
        <w:t>sentencia de 5 cinco de diciembre</w:t>
      </w:r>
      <w:r w:rsidR="0090758B">
        <w:rPr>
          <w:rFonts w:ascii="Arial" w:hAnsi="Arial" w:cs="Arial"/>
          <w:bCs/>
          <w:iCs/>
          <w:sz w:val="26"/>
          <w:szCs w:val="26"/>
        </w:rPr>
        <w:t xml:space="preserve"> </w:t>
      </w:r>
      <w:r w:rsidR="0090758B" w:rsidRPr="00DB04B5">
        <w:rPr>
          <w:rFonts w:ascii="Arial" w:hAnsi="Arial" w:cs="Arial"/>
          <w:bCs/>
          <w:iCs/>
          <w:sz w:val="26"/>
          <w:szCs w:val="26"/>
        </w:rPr>
        <w:t xml:space="preserve">de </w:t>
      </w:r>
      <w:r w:rsidR="0090758B">
        <w:rPr>
          <w:rFonts w:ascii="Arial" w:hAnsi="Arial" w:cs="Arial"/>
          <w:bCs/>
          <w:iCs/>
          <w:sz w:val="26"/>
          <w:szCs w:val="26"/>
        </w:rPr>
        <w:t xml:space="preserve">2018 </w:t>
      </w:r>
      <w:r w:rsidR="0090758B" w:rsidRPr="00DB04B5">
        <w:rPr>
          <w:rFonts w:ascii="Arial" w:hAnsi="Arial" w:cs="Arial"/>
          <w:bCs/>
          <w:iCs/>
          <w:sz w:val="26"/>
          <w:szCs w:val="26"/>
        </w:rPr>
        <w:t xml:space="preserve">dos mil dieciocho, en el expediente </w:t>
      </w:r>
      <w:r w:rsidR="00461A08">
        <w:rPr>
          <w:rFonts w:ascii="Arial" w:hAnsi="Arial" w:cs="Arial"/>
          <w:b/>
          <w:bCs/>
          <w:iCs/>
          <w:sz w:val="26"/>
          <w:szCs w:val="26"/>
        </w:rPr>
        <w:t>0094</w:t>
      </w:r>
      <w:r w:rsidR="0090758B">
        <w:rPr>
          <w:rFonts w:ascii="Arial" w:hAnsi="Arial" w:cs="Arial"/>
          <w:b/>
          <w:bCs/>
          <w:iCs/>
          <w:sz w:val="26"/>
          <w:szCs w:val="26"/>
        </w:rPr>
        <w:t>/</w:t>
      </w:r>
      <w:r w:rsidR="00461A08">
        <w:rPr>
          <w:rFonts w:ascii="Arial" w:hAnsi="Arial" w:cs="Arial"/>
          <w:b/>
          <w:bCs/>
          <w:iCs/>
          <w:sz w:val="26"/>
          <w:szCs w:val="26"/>
        </w:rPr>
        <w:t>2017</w:t>
      </w:r>
      <w:r w:rsidR="0090758B" w:rsidRPr="00DB04B5">
        <w:rPr>
          <w:rFonts w:ascii="Arial" w:hAnsi="Arial" w:cs="Arial"/>
          <w:b/>
          <w:bCs/>
          <w:iCs/>
          <w:sz w:val="26"/>
          <w:szCs w:val="26"/>
        </w:rPr>
        <w:t xml:space="preserve">, </w:t>
      </w:r>
      <w:r w:rsidR="0090758B" w:rsidRPr="00DB04B5">
        <w:rPr>
          <w:rFonts w:ascii="Arial" w:hAnsi="Arial" w:cs="Arial"/>
          <w:bCs/>
          <w:iCs/>
          <w:sz w:val="26"/>
          <w:szCs w:val="26"/>
        </w:rPr>
        <w:t xml:space="preserve">de la </w:t>
      </w:r>
      <w:r w:rsidR="00461A08">
        <w:rPr>
          <w:rFonts w:ascii="Arial" w:hAnsi="Arial" w:cs="Arial"/>
          <w:bCs/>
          <w:iCs/>
          <w:sz w:val="26"/>
          <w:szCs w:val="26"/>
        </w:rPr>
        <w:t>Séptima</w:t>
      </w:r>
      <w:r w:rsidR="0090758B" w:rsidRPr="00DB04B5">
        <w:rPr>
          <w:rFonts w:ascii="Arial" w:hAnsi="Arial" w:cs="Arial"/>
          <w:bCs/>
          <w:iCs/>
          <w:sz w:val="26"/>
          <w:szCs w:val="26"/>
        </w:rPr>
        <w:t xml:space="preserve"> Sala Unitaria de Primera Instancia</w:t>
      </w:r>
      <w:r>
        <w:rPr>
          <w:rFonts w:ascii="Arial" w:hAnsi="Arial" w:cs="Arial"/>
          <w:bCs/>
          <w:iCs/>
          <w:sz w:val="26"/>
          <w:szCs w:val="26"/>
        </w:rPr>
        <w:t>.</w:t>
      </w:r>
    </w:p>
    <w:p w:rsidR="00F80457" w:rsidRDefault="00F80457" w:rsidP="00CA6FB3">
      <w:pPr>
        <w:widowControl w:val="0"/>
        <w:tabs>
          <w:tab w:val="left" w:pos="7938"/>
          <w:tab w:val="left" w:pos="8222"/>
        </w:tabs>
        <w:spacing w:after="0" w:line="360" w:lineRule="auto"/>
        <w:ind w:right="51"/>
        <w:jc w:val="both"/>
        <w:rPr>
          <w:rFonts w:ascii="Arial" w:hAnsi="Arial" w:cs="Arial"/>
          <w:bCs/>
          <w:sz w:val="26"/>
          <w:szCs w:val="26"/>
        </w:rPr>
      </w:pPr>
      <w:r>
        <w:rPr>
          <w:rFonts w:ascii="Arial" w:hAnsi="Arial" w:cs="Arial"/>
          <w:bCs/>
          <w:iCs/>
          <w:sz w:val="26"/>
          <w:szCs w:val="26"/>
        </w:rPr>
        <w:t xml:space="preserve">          </w:t>
      </w:r>
      <w:r w:rsidR="00E228E5"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CA6FB3">
        <w:rPr>
          <w:rFonts w:ascii="Arial" w:eastAsia="Calibri" w:hAnsi="Arial" w:cs="Arial"/>
          <w:bCs/>
          <w:sz w:val="26"/>
          <w:szCs w:val="26"/>
        </w:rPr>
        <w:t xml:space="preserve">Toda vez que, </w:t>
      </w:r>
      <w:r w:rsidR="00CA6FB3">
        <w:rPr>
          <w:rFonts w:ascii="Arial" w:hAnsi="Arial" w:cs="Arial"/>
          <w:bCs/>
          <w:sz w:val="26"/>
          <w:szCs w:val="26"/>
        </w:rPr>
        <w:t>de ma</w:t>
      </w:r>
      <w:r w:rsidR="000420F9">
        <w:rPr>
          <w:rFonts w:ascii="Arial" w:hAnsi="Arial" w:cs="Arial"/>
          <w:bCs/>
          <w:sz w:val="26"/>
          <w:szCs w:val="26"/>
        </w:rPr>
        <w:t xml:space="preserve">nera conjunta interpusieron la </w:t>
      </w:r>
      <w:r w:rsidR="000420F9">
        <w:rPr>
          <w:rFonts w:ascii="Arial" w:hAnsi="Arial" w:cs="Arial"/>
          <w:b/>
          <w:sz w:val="26"/>
          <w:szCs w:val="26"/>
        </w:rPr>
        <w:lastRenderedPageBreak/>
        <w:t>JEFA DE LA UNIDAD DE RECAUDACIÓN</w:t>
      </w:r>
      <w:r w:rsidR="00240760">
        <w:rPr>
          <w:rFonts w:ascii="Arial" w:hAnsi="Arial" w:cs="Arial"/>
          <w:b/>
          <w:sz w:val="26"/>
          <w:szCs w:val="26"/>
        </w:rPr>
        <w:t xml:space="preserve"> Y LA </w:t>
      </w:r>
      <w:r w:rsidR="000420F9">
        <w:rPr>
          <w:rFonts w:ascii="Arial" w:hAnsi="Arial" w:cs="Arial"/>
          <w:b/>
          <w:sz w:val="26"/>
          <w:szCs w:val="26"/>
        </w:rPr>
        <w:t>TESORERA MUNICIPAL</w:t>
      </w:r>
      <w:r w:rsidR="000420F9">
        <w:rPr>
          <w:rFonts w:ascii="Arial" w:hAnsi="Arial" w:cs="Arial"/>
          <w:b/>
          <w:bCs/>
          <w:sz w:val="26"/>
          <w:szCs w:val="26"/>
        </w:rPr>
        <w:t xml:space="preserve">, </w:t>
      </w:r>
      <w:r w:rsidR="00240760">
        <w:rPr>
          <w:rFonts w:ascii="Arial" w:hAnsi="Arial" w:cs="Arial"/>
          <w:b/>
          <w:bCs/>
          <w:sz w:val="26"/>
          <w:szCs w:val="26"/>
        </w:rPr>
        <w:t>Ambas del Municipio de Oaxaca d</w:t>
      </w:r>
      <w:r w:rsidR="00240760" w:rsidRPr="00240760">
        <w:rPr>
          <w:rFonts w:ascii="Arial" w:hAnsi="Arial" w:cs="Arial"/>
          <w:b/>
          <w:bCs/>
          <w:sz w:val="26"/>
          <w:szCs w:val="26"/>
        </w:rPr>
        <w:t>e Juárez</w:t>
      </w:r>
      <w:r w:rsidR="00CA6FB3" w:rsidRPr="00240760">
        <w:rPr>
          <w:rFonts w:ascii="Arial" w:hAnsi="Arial" w:cs="Arial"/>
          <w:sz w:val="26"/>
          <w:szCs w:val="26"/>
        </w:rPr>
        <w:t>,</w:t>
      </w:r>
      <w:r w:rsidR="00CA6FB3">
        <w:rPr>
          <w:rFonts w:ascii="Arial" w:hAnsi="Arial" w:cs="Arial"/>
          <w:sz w:val="26"/>
          <w:szCs w:val="26"/>
        </w:rPr>
        <w:t xml:space="preserve"> recursos de revisión en contra de la sentencia de </w:t>
      </w:r>
      <w:r w:rsidR="000420F9">
        <w:rPr>
          <w:rFonts w:ascii="Arial" w:hAnsi="Arial" w:cs="Arial"/>
          <w:sz w:val="26"/>
          <w:szCs w:val="26"/>
        </w:rPr>
        <w:t>5 cinco de diciembre de 2018 dos mil dieciocho</w:t>
      </w:r>
      <w:r w:rsidR="00CA6FB3">
        <w:rPr>
          <w:rFonts w:ascii="Arial" w:hAnsi="Arial" w:cs="Arial"/>
          <w:sz w:val="26"/>
          <w:szCs w:val="26"/>
        </w:rPr>
        <w:t xml:space="preserve">, en los cuadernos de revisión </w:t>
      </w:r>
      <w:r w:rsidR="000420F9">
        <w:rPr>
          <w:rFonts w:ascii="Arial" w:hAnsi="Arial" w:cs="Arial"/>
          <w:b/>
          <w:sz w:val="26"/>
          <w:szCs w:val="26"/>
        </w:rPr>
        <w:t>0025/2019 y 0026/2019</w:t>
      </w:r>
      <w:r w:rsidR="00CA6FB3">
        <w:rPr>
          <w:rFonts w:ascii="Arial" w:hAnsi="Arial" w:cs="Arial"/>
          <w:bCs/>
          <w:sz w:val="26"/>
          <w:szCs w:val="26"/>
        </w:rPr>
        <w:t>; y en consideración a la similitud de los agravios que hacen valer, es procedente emitir una resolución común a ambos medios de impugnación.</w:t>
      </w:r>
    </w:p>
    <w:p w:rsidR="00F80457" w:rsidRDefault="007A0114" w:rsidP="00F80457">
      <w:pPr>
        <w:spacing w:line="360" w:lineRule="auto"/>
        <w:ind w:firstLine="567"/>
        <w:jc w:val="both"/>
        <w:rPr>
          <w:rFonts w:ascii="Arial" w:eastAsia="Calibri" w:hAnsi="Arial" w:cs="Arial"/>
          <w:bCs/>
          <w:sz w:val="26"/>
          <w:szCs w:val="26"/>
        </w:rPr>
      </w:pPr>
      <w:r>
        <w:rPr>
          <w:rFonts w:ascii="Arial" w:eastAsia="Calibri" w:hAnsi="Arial" w:cs="Arial"/>
          <w:b/>
          <w:bCs/>
          <w:sz w:val="26"/>
          <w:szCs w:val="26"/>
        </w:rPr>
        <w:t>TERCERO.</w:t>
      </w:r>
      <w:r w:rsidR="00E228E5" w:rsidRPr="001872CB">
        <w:rPr>
          <w:rFonts w:ascii="Arial" w:hAnsi="Arial" w:cs="Arial"/>
          <w:b/>
          <w:bCs/>
          <w:sz w:val="26"/>
          <w:szCs w:val="26"/>
        </w:rPr>
        <w:t xml:space="preserve"> </w:t>
      </w:r>
      <w:r w:rsidR="000420F9" w:rsidRPr="0018002C">
        <w:rPr>
          <w:rFonts w:ascii="Arial" w:eastAsia="Calibri" w:hAnsi="Arial" w:cs="Arial"/>
          <w:bCs/>
          <w:sz w:val="26"/>
          <w:szCs w:val="26"/>
        </w:rPr>
        <w:t xml:space="preserve">El artículo </w:t>
      </w:r>
      <w:r w:rsidR="005C05DB">
        <w:rPr>
          <w:rFonts w:ascii="Arial" w:eastAsia="Calibri" w:hAnsi="Arial" w:cs="Arial"/>
          <w:bCs/>
          <w:sz w:val="24"/>
          <w:szCs w:val="24"/>
        </w:rPr>
        <w:t xml:space="preserve">206, de la </w:t>
      </w:r>
      <w:r w:rsidR="00F80457">
        <w:rPr>
          <w:rFonts w:ascii="Arial" w:eastAsia="Calibri" w:hAnsi="Arial" w:cs="Arial"/>
          <w:bCs/>
          <w:sz w:val="24"/>
          <w:szCs w:val="24"/>
        </w:rPr>
        <w:t xml:space="preserve">reformada </w:t>
      </w:r>
      <w:r w:rsidR="005C05DB">
        <w:rPr>
          <w:rFonts w:ascii="Arial" w:eastAsia="Calibri" w:hAnsi="Arial" w:cs="Arial"/>
          <w:bCs/>
          <w:sz w:val="24"/>
          <w:szCs w:val="24"/>
        </w:rPr>
        <w:t>Ley de Justicia Administrativa para el Estado de Oaxaca</w:t>
      </w:r>
      <w:r w:rsidR="005C05DB">
        <w:rPr>
          <w:rFonts w:ascii="Arial" w:eastAsia="Calibri" w:hAnsi="Arial" w:cs="Arial"/>
          <w:bCs/>
          <w:sz w:val="26"/>
          <w:szCs w:val="26"/>
        </w:rPr>
        <w:t xml:space="preserve">, </w:t>
      </w:r>
      <w:r w:rsidR="000420F9" w:rsidRPr="0018002C">
        <w:rPr>
          <w:rFonts w:ascii="Arial" w:eastAsia="Calibri" w:hAnsi="Arial" w:cs="Arial"/>
          <w:bCs/>
          <w:sz w:val="26"/>
          <w:szCs w:val="26"/>
        </w:rPr>
        <w:t>dispone que los acuerdos y resoluciones de la primera instancia, podrán ser impugnadas por las partes.</w:t>
      </w:r>
    </w:p>
    <w:p w:rsidR="00F80457" w:rsidRDefault="00F975A8" w:rsidP="00F80457">
      <w:pPr>
        <w:spacing w:line="360" w:lineRule="auto"/>
        <w:ind w:firstLine="567"/>
        <w:jc w:val="both"/>
        <w:rPr>
          <w:rFonts w:ascii="Arial" w:eastAsia="Calibri" w:hAnsi="Arial" w:cs="Arial"/>
          <w:bCs/>
          <w:sz w:val="26"/>
          <w:szCs w:val="26"/>
        </w:rPr>
      </w:pPr>
      <w:r w:rsidRPr="00F975A8">
        <w:rPr>
          <w:rFonts w:ascii="Arial" w:eastAsia="Calibri" w:hAnsi="Arial" w:cs="Arial"/>
          <w:bCs/>
          <w:sz w:val="26"/>
          <w:szCs w:val="26"/>
        </w:rPr>
        <w:t>De donde, con fundamento en l</w:t>
      </w:r>
      <w:r>
        <w:rPr>
          <w:rFonts w:ascii="Arial" w:eastAsia="Calibri" w:hAnsi="Arial" w:cs="Arial"/>
          <w:bCs/>
          <w:sz w:val="26"/>
          <w:szCs w:val="26"/>
        </w:rPr>
        <w:t>o dispuesto por el artículo 133</w:t>
      </w:r>
      <w:r w:rsidRPr="00F975A8">
        <w:rPr>
          <w:rFonts w:ascii="Arial" w:eastAsia="Calibri" w:hAnsi="Arial" w:cs="Arial"/>
          <w:bCs/>
          <w:sz w:val="26"/>
          <w:szCs w:val="26"/>
        </w:rPr>
        <w:t xml:space="preserve"> de la Ley de la materia, resultan ser parte en el juicio administrativo el actor, el demandado y el tercero afectado, </w:t>
      </w:r>
      <w:r w:rsidR="00261EC0" w:rsidRPr="001B3376">
        <w:rPr>
          <w:rFonts w:ascii="Arial" w:eastAsia="Calibri" w:hAnsi="Arial" w:cs="Arial"/>
          <w:bCs/>
          <w:sz w:val="26"/>
          <w:szCs w:val="26"/>
        </w:rPr>
        <w:t>y de acuerdo a las constancias que integran el expediente de primera instancia, que merecen pleno valor probatorio de conformidad con lo dis</w:t>
      </w:r>
      <w:r w:rsidR="00261EC0">
        <w:rPr>
          <w:rFonts w:ascii="Arial" w:eastAsia="Calibri" w:hAnsi="Arial" w:cs="Arial"/>
          <w:bCs/>
          <w:sz w:val="26"/>
          <w:szCs w:val="26"/>
        </w:rPr>
        <w:t xml:space="preserve">puesto por el </w:t>
      </w:r>
      <w:r w:rsidR="00261EC0" w:rsidRPr="0018002C">
        <w:rPr>
          <w:rFonts w:ascii="Arial" w:eastAsia="Calibri" w:hAnsi="Arial" w:cs="Arial"/>
          <w:bCs/>
          <w:sz w:val="26"/>
          <w:szCs w:val="26"/>
        </w:rPr>
        <w:t>artículo</w:t>
      </w:r>
      <w:r w:rsidR="00261EC0">
        <w:rPr>
          <w:rFonts w:ascii="Arial" w:eastAsia="Calibri" w:hAnsi="Arial" w:cs="Arial"/>
          <w:bCs/>
          <w:sz w:val="26"/>
          <w:szCs w:val="26"/>
        </w:rPr>
        <w:t xml:space="preserve"> </w:t>
      </w:r>
      <w:r w:rsidRPr="005F0467">
        <w:rPr>
          <w:rFonts w:ascii="Arial" w:eastAsia="Calibri" w:hAnsi="Arial" w:cs="Arial"/>
          <w:bCs/>
          <w:sz w:val="26"/>
          <w:szCs w:val="26"/>
        </w:rPr>
        <w:t xml:space="preserve">173 </w:t>
      </w:r>
      <w:r w:rsidR="000420F9" w:rsidRPr="005F0467">
        <w:rPr>
          <w:rFonts w:ascii="Arial" w:eastAsia="Calibri" w:hAnsi="Arial" w:cs="Arial"/>
          <w:bCs/>
          <w:sz w:val="26"/>
          <w:szCs w:val="26"/>
        </w:rPr>
        <w:t>fracción I</w:t>
      </w:r>
      <w:r w:rsidR="005C05DB" w:rsidRPr="005F0467">
        <w:rPr>
          <w:rFonts w:ascii="Arial" w:eastAsia="Calibri" w:hAnsi="Arial" w:cs="Arial"/>
          <w:bCs/>
          <w:sz w:val="26"/>
          <w:szCs w:val="26"/>
        </w:rPr>
        <w:t>,</w:t>
      </w:r>
      <w:r w:rsidR="000420F9" w:rsidRPr="005F0467">
        <w:rPr>
          <w:rFonts w:ascii="Arial" w:eastAsia="Calibri" w:hAnsi="Arial" w:cs="Arial"/>
          <w:bCs/>
          <w:sz w:val="26"/>
          <w:szCs w:val="26"/>
        </w:rPr>
        <w:t xml:space="preserve"> </w:t>
      </w:r>
      <w:r w:rsidR="005C05DB" w:rsidRPr="005F0467">
        <w:rPr>
          <w:rFonts w:ascii="Arial" w:eastAsia="Calibri" w:hAnsi="Arial" w:cs="Arial"/>
          <w:bCs/>
          <w:sz w:val="26"/>
          <w:szCs w:val="26"/>
        </w:rPr>
        <w:t>de la Ley de Justicia Administrativa para el Estado</w:t>
      </w:r>
      <w:r w:rsidR="00F80457">
        <w:rPr>
          <w:rFonts w:ascii="Arial" w:eastAsia="Calibri" w:hAnsi="Arial" w:cs="Arial"/>
          <w:bCs/>
          <w:sz w:val="26"/>
          <w:szCs w:val="26"/>
        </w:rPr>
        <w:t>, vigente hasta el veinte de octubre de dos mil diecisiete</w:t>
      </w:r>
      <w:r w:rsidR="005C05DB" w:rsidRPr="005F0467">
        <w:rPr>
          <w:rFonts w:ascii="Arial" w:eastAsia="Calibri" w:hAnsi="Arial" w:cs="Arial"/>
          <w:bCs/>
          <w:sz w:val="26"/>
          <w:szCs w:val="26"/>
        </w:rPr>
        <w:t>;</w:t>
      </w:r>
      <w:r w:rsidR="000420F9" w:rsidRPr="005F0467">
        <w:rPr>
          <w:rFonts w:ascii="Arial" w:eastAsia="Calibri" w:hAnsi="Arial" w:cs="Arial"/>
          <w:bCs/>
          <w:sz w:val="26"/>
          <w:szCs w:val="26"/>
        </w:rPr>
        <w:t xml:space="preserve"> se establece que la</w:t>
      </w:r>
      <w:r w:rsidR="000420F9" w:rsidRPr="001B3376">
        <w:rPr>
          <w:rFonts w:ascii="Arial" w:eastAsia="Calibri" w:hAnsi="Arial" w:cs="Arial"/>
          <w:bCs/>
          <w:sz w:val="26"/>
          <w:szCs w:val="26"/>
        </w:rPr>
        <w:t xml:space="preserve"> </w:t>
      </w:r>
      <w:r w:rsidR="00844DFE" w:rsidRPr="002D5010">
        <w:rPr>
          <w:rFonts w:ascii="Arial" w:hAnsi="Arial" w:cs="Arial"/>
          <w:b/>
          <w:sz w:val="26"/>
          <w:szCs w:val="26"/>
        </w:rPr>
        <w:t>JEFA DE LA UNIDAD DE RECAUDACIÓN Y LA TESORERA MUNICIPAL</w:t>
      </w:r>
      <w:r w:rsidR="00844DFE">
        <w:rPr>
          <w:rFonts w:ascii="Arial" w:hAnsi="Arial" w:cs="Arial"/>
          <w:sz w:val="26"/>
          <w:szCs w:val="26"/>
        </w:rPr>
        <w:t xml:space="preserve">, </w:t>
      </w:r>
      <w:r w:rsidR="002D5010" w:rsidRPr="00240760">
        <w:rPr>
          <w:rFonts w:ascii="Arial" w:hAnsi="Arial" w:cs="Arial"/>
          <w:b/>
          <w:sz w:val="26"/>
          <w:szCs w:val="26"/>
        </w:rPr>
        <w:t xml:space="preserve">ambas del Municipio de </w:t>
      </w:r>
      <w:r w:rsidR="00047F44" w:rsidRPr="00240760">
        <w:rPr>
          <w:rFonts w:ascii="Arial" w:hAnsi="Arial" w:cs="Arial"/>
          <w:b/>
          <w:sz w:val="26"/>
          <w:szCs w:val="26"/>
        </w:rPr>
        <w:t>Oaxaca d</w:t>
      </w:r>
      <w:r w:rsidR="00261EC0" w:rsidRPr="00240760">
        <w:rPr>
          <w:rFonts w:ascii="Arial" w:hAnsi="Arial" w:cs="Arial"/>
          <w:b/>
          <w:sz w:val="26"/>
          <w:szCs w:val="26"/>
        </w:rPr>
        <w:t>e Juárez</w:t>
      </w:r>
      <w:r w:rsidR="000420F9" w:rsidRPr="001B3376">
        <w:rPr>
          <w:rFonts w:ascii="Arial" w:eastAsia="Calibri" w:hAnsi="Arial" w:cs="Arial"/>
          <w:b/>
          <w:bCs/>
          <w:sz w:val="26"/>
          <w:szCs w:val="26"/>
        </w:rPr>
        <w:t>,</w:t>
      </w:r>
      <w:r w:rsidR="000420F9" w:rsidRPr="001B3376">
        <w:rPr>
          <w:rFonts w:ascii="Arial" w:eastAsia="Calibri" w:hAnsi="Arial" w:cs="Arial"/>
          <w:bCs/>
          <w:sz w:val="26"/>
          <w:szCs w:val="26"/>
        </w:rPr>
        <w:t xml:space="preserve"> resulta</w:t>
      </w:r>
      <w:r w:rsidR="005C05DB">
        <w:rPr>
          <w:rFonts w:ascii="Arial" w:eastAsia="Calibri" w:hAnsi="Arial" w:cs="Arial"/>
          <w:bCs/>
          <w:sz w:val="26"/>
          <w:szCs w:val="26"/>
        </w:rPr>
        <w:t>n</w:t>
      </w:r>
      <w:r w:rsidR="002D5010">
        <w:rPr>
          <w:rFonts w:ascii="Arial" w:eastAsia="Calibri" w:hAnsi="Arial" w:cs="Arial"/>
          <w:bCs/>
          <w:sz w:val="26"/>
          <w:szCs w:val="26"/>
        </w:rPr>
        <w:t xml:space="preserve"> ser </w:t>
      </w:r>
      <w:r w:rsidR="000420F9">
        <w:rPr>
          <w:rFonts w:ascii="Arial" w:eastAsia="Calibri" w:hAnsi="Arial" w:cs="Arial"/>
          <w:bCs/>
          <w:sz w:val="26"/>
          <w:szCs w:val="26"/>
        </w:rPr>
        <w:t>autoridad</w:t>
      </w:r>
      <w:r w:rsidR="005C05DB">
        <w:rPr>
          <w:rFonts w:ascii="Arial" w:eastAsia="Calibri" w:hAnsi="Arial" w:cs="Arial"/>
          <w:bCs/>
          <w:sz w:val="26"/>
          <w:szCs w:val="26"/>
        </w:rPr>
        <w:t>es demandadas</w:t>
      </w:r>
      <w:r>
        <w:rPr>
          <w:rFonts w:ascii="Arial" w:eastAsia="Calibri" w:hAnsi="Arial" w:cs="Arial"/>
          <w:bCs/>
          <w:sz w:val="26"/>
          <w:szCs w:val="26"/>
        </w:rPr>
        <w:t>,</w:t>
      </w:r>
      <w:r w:rsidR="000420F9">
        <w:rPr>
          <w:rFonts w:ascii="Arial" w:eastAsia="Calibri" w:hAnsi="Arial" w:cs="Arial"/>
          <w:bCs/>
          <w:sz w:val="26"/>
          <w:szCs w:val="26"/>
        </w:rPr>
        <w:t xml:space="preserve"> </w:t>
      </w:r>
      <w:r w:rsidR="000420F9" w:rsidRPr="001B3376">
        <w:rPr>
          <w:rFonts w:ascii="Arial" w:eastAsia="Calibri" w:hAnsi="Arial" w:cs="Arial"/>
          <w:bCs/>
          <w:sz w:val="26"/>
          <w:szCs w:val="26"/>
        </w:rPr>
        <w:t>y por tanto</w:t>
      </w:r>
      <w:r>
        <w:rPr>
          <w:rFonts w:ascii="Arial" w:eastAsia="Calibri" w:hAnsi="Arial" w:cs="Arial"/>
          <w:bCs/>
          <w:sz w:val="26"/>
          <w:szCs w:val="26"/>
        </w:rPr>
        <w:t>,</w:t>
      </w:r>
      <w:r w:rsidR="000420F9" w:rsidRPr="001B3376">
        <w:rPr>
          <w:rFonts w:ascii="Arial" w:eastAsia="Calibri" w:hAnsi="Arial" w:cs="Arial"/>
          <w:bCs/>
          <w:sz w:val="26"/>
          <w:szCs w:val="26"/>
        </w:rPr>
        <w:t xml:space="preserve"> </w:t>
      </w:r>
      <w:r w:rsidR="000420F9">
        <w:rPr>
          <w:rFonts w:ascii="Arial" w:eastAsia="Calibri" w:hAnsi="Arial" w:cs="Arial"/>
          <w:bCs/>
          <w:sz w:val="26"/>
          <w:szCs w:val="26"/>
        </w:rPr>
        <w:t xml:space="preserve">resultan ser </w:t>
      </w:r>
      <w:r w:rsidR="000420F9" w:rsidRPr="001B3376">
        <w:rPr>
          <w:rFonts w:ascii="Arial" w:eastAsia="Calibri" w:hAnsi="Arial" w:cs="Arial"/>
          <w:bCs/>
          <w:sz w:val="26"/>
          <w:szCs w:val="26"/>
        </w:rPr>
        <w:t xml:space="preserve">parte en el </w:t>
      </w:r>
      <w:r>
        <w:rPr>
          <w:rFonts w:ascii="Arial" w:eastAsia="Calibri" w:hAnsi="Arial" w:cs="Arial"/>
          <w:bCs/>
          <w:sz w:val="26"/>
          <w:szCs w:val="26"/>
        </w:rPr>
        <w:t xml:space="preserve">presente juicio; también, </w:t>
      </w:r>
      <w:r w:rsidR="00720D4C">
        <w:rPr>
          <w:rFonts w:ascii="Arial" w:eastAsia="Calibri" w:hAnsi="Arial" w:cs="Arial"/>
          <w:bCs/>
          <w:sz w:val="26"/>
          <w:szCs w:val="26"/>
        </w:rPr>
        <w:t>es cierto que el acto impugnado y del</w:t>
      </w:r>
      <w:r w:rsidR="000420F9" w:rsidRPr="001B3376">
        <w:rPr>
          <w:rFonts w:ascii="Arial" w:eastAsia="Calibri" w:hAnsi="Arial" w:cs="Arial"/>
          <w:bCs/>
          <w:sz w:val="26"/>
          <w:szCs w:val="26"/>
        </w:rPr>
        <w:t xml:space="preserve"> que se declaró su nulidad lo constituye el acta</w:t>
      </w:r>
      <w:r w:rsidR="005F0467">
        <w:rPr>
          <w:rFonts w:ascii="Arial" w:eastAsia="Calibri" w:hAnsi="Arial" w:cs="Arial"/>
          <w:bCs/>
          <w:sz w:val="26"/>
          <w:szCs w:val="26"/>
        </w:rPr>
        <w:t xml:space="preserve"> de</w:t>
      </w:r>
      <w:r w:rsidR="000420F9" w:rsidRPr="001B3376">
        <w:rPr>
          <w:rFonts w:ascii="Arial" w:eastAsia="Calibri" w:hAnsi="Arial" w:cs="Arial"/>
          <w:bCs/>
          <w:sz w:val="26"/>
          <w:szCs w:val="26"/>
        </w:rPr>
        <w:t xml:space="preserve"> infracción de folio </w:t>
      </w:r>
      <w:r>
        <w:rPr>
          <w:rFonts w:ascii="Arial" w:eastAsia="Calibri" w:hAnsi="Arial" w:cs="Arial"/>
          <w:bCs/>
          <w:sz w:val="26"/>
          <w:szCs w:val="26"/>
        </w:rPr>
        <w:t>23752</w:t>
      </w:r>
      <w:r w:rsidR="000420F9" w:rsidRPr="001B3376">
        <w:rPr>
          <w:rFonts w:ascii="Arial" w:eastAsia="Calibri" w:hAnsi="Arial" w:cs="Arial"/>
          <w:bCs/>
          <w:sz w:val="26"/>
          <w:szCs w:val="26"/>
        </w:rPr>
        <w:t xml:space="preserve"> de</w:t>
      </w:r>
      <w:r w:rsidR="005F0467">
        <w:rPr>
          <w:rFonts w:ascii="Arial" w:eastAsia="Calibri" w:hAnsi="Arial" w:cs="Arial"/>
          <w:bCs/>
          <w:sz w:val="26"/>
          <w:szCs w:val="26"/>
        </w:rPr>
        <w:t xml:space="preserve"> </w:t>
      </w:r>
      <w:r>
        <w:rPr>
          <w:rFonts w:ascii="Arial" w:eastAsia="Calibri" w:hAnsi="Arial" w:cs="Arial"/>
          <w:bCs/>
          <w:sz w:val="26"/>
          <w:szCs w:val="26"/>
        </w:rPr>
        <w:t>fecha 21 veintiuno de agosto de 2017 dos mil diecisiete</w:t>
      </w:r>
      <w:r w:rsidR="000420F9" w:rsidRPr="001B3376">
        <w:rPr>
          <w:rFonts w:ascii="Arial" w:eastAsia="Calibri" w:hAnsi="Arial" w:cs="Arial"/>
          <w:bCs/>
          <w:sz w:val="26"/>
          <w:szCs w:val="26"/>
        </w:rPr>
        <w:t>, la cual fue emi</w:t>
      </w:r>
      <w:r w:rsidR="00F80457">
        <w:rPr>
          <w:rFonts w:ascii="Arial" w:eastAsia="Calibri" w:hAnsi="Arial" w:cs="Arial"/>
          <w:bCs/>
          <w:sz w:val="26"/>
          <w:szCs w:val="26"/>
        </w:rPr>
        <w:t>tida por una autoridad diversa.</w:t>
      </w:r>
    </w:p>
    <w:p w:rsidR="00F80457" w:rsidRDefault="00261EC0" w:rsidP="00F80457">
      <w:pPr>
        <w:spacing w:line="360" w:lineRule="auto"/>
        <w:ind w:firstLine="567"/>
        <w:jc w:val="both"/>
        <w:rPr>
          <w:rFonts w:ascii="Arial" w:eastAsia="Calibri" w:hAnsi="Arial" w:cs="Arial"/>
          <w:bCs/>
          <w:sz w:val="26"/>
          <w:szCs w:val="26"/>
        </w:rPr>
      </w:pPr>
      <w:r w:rsidRPr="00261EC0">
        <w:rPr>
          <w:rFonts w:ascii="Arial" w:eastAsia="Calibri" w:hAnsi="Arial" w:cs="Arial"/>
          <w:bCs/>
          <w:sz w:val="26"/>
          <w:szCs w:val="26"/>
        </w:rPr>
        <w:t>Ahora, dado que el acto cuya nulidad fue declarada</w:t>
      </w:r>
      <w:r w:rsidR="002D5010">
        <w:rPr>
          <w:rFonts w:ascii="Arial" w:eastAsia="Calibri" w:hAnsi="Arial" w:cs="Arial"/>
          <w:bCs/>
          <w:sz w:val="26"/>
          <w:szCs w:val="26"/>
        </w:rPr>
        <w:t>,</w:t>
      </w:r>
      <w:r w:rsidRPr="00261EC0">
        <w:rPr>
          <w:rFonts w:ascii="Arial" w:eastAsia="Calibri" w:hAnsi="Arial" w:cs="Arial"/>
          <w:bCs/>
          <w:sz w:val="26"/>
          <w:szCs w:val="26"/>
        </w:rPr>
        <w:t xml:space="preserve"> fue atribuido a autoridad diversa </w:t>
      </w:r>
      <w:r w:rsidRPr="001B3376">
        <w:rPr>
          <w:rFonts w:ascii="Arial" w:eastAsia="Calibri" w:hAnsi="Arial" w:cs="Arial"/>
          <w:bCs/>
          <w:sz w:val="26"/>
          <w:szCs w:val="26"/>
        </w:rPr>
        <w:t>a la</w:t>
      </w:r>
      <w:r>
        <w:rPr>
          <w:rFonts w:ascii="Arial" w:eastAsia="Calibri" w:hAnsi="Arial" w:cs="Arial"/>
          <w:bCs/>
          <w:sz w:val="26"/>
          <w:szCs w:val="26"/>
        </w:rPr>
        <w:t>s</w:t>
      </w:r>
      <w:r w:rsidRPr="001B3376">
        <w:rPr>
          <w:rFonts w:ascii="Arial" w:eastAsia="Calibri" w:hAnsi="Arial" w:cs="Arial"/>
          <w:bCs/>
          <w:sz w:val="26"/>
          <w:szCs w:val="26"/>
        </w:rPr>
        <w:t xml:space="preserve"> que hoy recurre</w:t>
      </w:r>
      <w:r>
        <w:rPr>
          <w:rFonts w:ascii="Arial" w:eastAsia="Calibri" w:hAnsi="Arial" w:cs="Arial"/>
          <w:bCs/>
          <w:sz w:val="26"/>
          <w:szCs w:val="26"/>
        </w:rPr>
        <w:t>n</w:t>
      </w:r>
      <w:r w:rsidRPr="001B3376">
        <w:rPr>
          <w:rFonts w:ascii="Arial" w:eastAsia="Calibri" w:hAnsi="Arial" w:cs="Arial"/>
          <w:bCs/>
          <w:sz w:val="26"/>
          <w:szCs w:val="26"/>
        </w:rPr>
        <w:t xml:space="preserve">, </w:t>
      </w:r>
      <w:r w:rsidR="000420F9" w:rsidRPr="001B3376">
        <w:rPr>
          <w:rFonts w:ascii="Arial" w:eastAsia="Calibri" w:hAnsi="Arial" w:cs="Arial"/>
          <w:bCs/>
          <w:sz w:val="26"/>
          <w:szCs w:val="26"/>
        </w:rPr>
        <w:t>como así fue determina</w:t>
      </w:r>
      <w:r w:rsidR="002D5010">
        <w:rPr>
          <w:rFonts w:ascii="Arial" w:eastAsia="Calibri" w:hAnsi="Arial" w:cs="Arial"/>
          <w:bCs/>
          <w:sz w:val="26"/>
          <w:szCs w:val="26"/>
        </w:rPr>
        <w:t xml:space="preserve">do en la sentencia en revisión </w:t>
      </w:r>
      <w:r w:rsidR="000420F9" w:rsidRPr="001B3376">
        <w:rPr>
          <w:rFonts w:ascii="Arial" w:eastAsia="Calibri" w:hAnsi="Arial" w:cs="Arial"/>
          <w:bCs/>
          <w:sz w:val="26"/>
          <w:szCs w:val="26"/>
        </w:rPr>
        <w:t xml:space="preserve">al indicar que fue emitida por </w:t>
      </w:r>
      <w:r w:rsidR="005F0467">
        <w:rPr>
          <w:rFonts w:ascii="Arial" w:eastAsia="Calibri" w:hAnsi="Arial" w:cs="Arial"/>
          <w:bCs/>
          <w:sz w:val="26"/>
          <w:szCs w:val="26"/>
        </w:rPr>
        <w:t>la</w:t>
      </w:r>
      <w:r>
        <w:rPr>
          <w:rFonts w:ascii="Arial" w:eastAsia="Calibri" w:hAnsi="Arial" w:cs="Arial"/>
          <w:bCs/>
          <w:sz w:val="26"/>
          <w:szCs w:val="26"/>
        </w:rPr>
        <w:t xml:space="preserve"> </w:t>
      </w:r>
      <w:r w:rsidR="000420F9" w:rsidRPr="001B3376">
        <w:rPr>
          <w:rFonts w:ascii="Arial" w:eastAsia="Calibri" w:hAnsi="Arial" w:cs="Arial"/>
          <w:bCs/>
          <w:sz w:val="26"/>
          <w:szCs w:val="26"/>
        </w:rPr>
        <w:t>P</w:t>
      </w:r>
      <w:r w:rsidR="00047F44">
        <w:rPr>
          <w:rFonts w:ascii="Arial" w:eastAsia="Calibri" w:hAnsi="Arial" w:cs="Arial"/>
          <w:bCs/>
          <w:sz w:val="26"/>
          <w:szCs w:val="26"/>
        </w:rPr>
        <w:t>OLICÍA VIAL, en donde aun cuando la</w:t>
      </w:r>
      <w:r w:rsidR="000420F9" w:rsidRPr="001B3376">
        <w:rPr>
          <w:rFonts w:ascii="Arial" w:eastAsia="Calibri" w:hAnsi="Arial" w:cs="Arial"/>
          <w:bCs/>
          <w:sz w:val="26"/>
          <w:szCs w:val="26"/>
        </w:rPr>
        <w:t xml:space="preserve"> </w:t>
      </w:r>
      <w:r w:rsidR="00844DFE">
        <w:rPr>
          <w:rFonts w:ascii="Arial" w:hAnsi="Arial" w:cs="Arial"/>
          <w:b/>
          <w:sz w:val="26"/>
          <w:szCs w:val="26"/>
        </w:rPr>
        <w:t>JEFA DE LA UNIDAD DE RECAUDACIÓN Y LA TESORERA MUNICIPAL</w:t>
      </w:r>
      <w:r w:rsidR="00047F44">
        <w:rPr>
          <w:rFonts w:ascii="Arial" w:hAnsi="Arial" w:cs="Arial"/>
          <w:b/>
          <w:bCs/>
          <w:sz w:val="26"/>
          <w:szCs w:val="26"/>
        </w:rPr>
        <w:t xml:space="preserve">, </w:t>
      </w:r>
      <w:r w:rsidR="00047F44" w:rsidRPr="00240760">
        <w:rPr>
          <w:rFonts w:ascii="Arial" w:hAnsi="Arial" w:cs="Arial"/>
          <w:b/>
          <w:bCs/>
          <w:sz w:val="26"/>
          <w:szCs w:val="26"/>
        </w:rPr>
        <w:t>ambas del Municipio de Oaxaca de Juárez</w:t>
      </w:r>
      <w:r w:rsidR="00047F44" w:rsidRPr="00844DFE">
        <w:rPr>
          <w:rFonts w:ascii="Arial" w:eastAsia="Calibri" w:hAnsi="Arial" w:cs="Arial"/>
          <w:bCs/>
          <w:sz w:val="26"/>
          <w:szCs w:val="26"/>
        </w:rPr>
        <w:t>,</w:t>
      </w:r>
      <w:r w:rsidR="000420F9" w:rsidRPr="00844DFE">
        <w:rPr>
          <w:rFonts w:ascii="Arial" w:eastAsia="Calibri" w:hAnsi="Arial" w:cs="Arial"/>
          <w:bCs/>
          <w:sz w:val="26"/>
          <w:szCs w:val="26"/>
        </w:rPr>
        <w:t xml:space="preserve"> </w:t>
      </w:r>
      <w:r w:rsidR="00047F44" w:rsidRPr="00844DFE">
        <w:rPr>
          <w:rFonts w:ascii="Arial" w:eastAsia="Calibri" w:hAnsi="Arial" w:cs="Arial"/>
          <w:bCs/>
          <w:sz w:val="26"/>
          <w:szCs w:val="26"/>
        </w:rPr>
        <w:t>son parte en el juicio por s</w:t>
      </w:r>
      <w:r w:rsidR="00047F44">
        <w:rPr>
          <w:rFonts w:ascii="Arial" w:eastAsia="Calibri" w:hAnsi="Arial" w:cs="Arial"/>
          <w:bCs/>
          <w:sz w:val="26"/>
          <w:szCs w:val="26"/>
        </w:rPr>
        <w:t xml:space="preserve">er autoridades demandadas, </w:t>
      </w:r>
      <w:r w:rsidR="000420F9" w:rsidRPr="001B3376">
        <w:rPr>
          <w:rFonts w:ascii="Arial" w:eastAsia="Calibri" w:hAnsi="Arial" w:cs="Arial"/>
          <w:bCs/>
          <w:sz w:val="26"/>
          <w:szCs w:val="26"/>
        </w:rPr>
        <w:t>lo cierto es que no cuenta</w:t>
      </w:r>
      <w:r w:rsidR="000420F9">
        <w:rPr>
          <w:rFonts w:ascii="Arial" w:eastAsia="Calibri" w:hAnsi="Arial" w:cs="Arial"/>
          <w:bCs/>
          <w:sz w:val="26"/>
          <w:szCs w:val="26"/>
        </w:rPr>
        <w:t>n</w:t>
      </w:r>
      <w:r w:rsidR="000420F9" w:rsidRPr="001B3376">
        <w:rPr>
          <w:rFonts w:ascii="Arial" w:eastAsia="Calibri" w:hAnsi="Arial" w:cs="Arial"/>
          <w:bCs/>
          <w:sz w:val="26"/>
          <w:szCs w:val="26"/>
        </w:rPr>
        <w:t xml:space="preserve">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w:t>
      </w:r>
      <w:r w:rsidR="005F0467">
        <w:rPr>
          <w:rFonts w:ascii="Arial" w:eastAsia="Calibri" w:hAnsi="Arial" w:cs="Arial"/>
          <w:bCs/>
          <w:sz w:val="26"/>
          <w:szCs w:val="26"/>
        </w:rPr>
        <w:t xml:space="preserve">nte en su </w:t>
      </w:r>
      <w:r w:rsidR="005F0467">
        <w:rPr>
          <w:rFonts w:ascii="Arial" w:eastAsia="Calibri" w:hAnsi="Arial" w:cs="Arial"/>
          <w:bCs/>
          <w:sz w:val="26"/>
          <w:szCs w:val="26"/>
        </w:rPr>
        <w:lastRenderedPageBreak/>
        <w:t>actuación para así haber</w:t>
      </w:r>
      <w:r w:rsidR="000420F9" w:rsidRPr="001B3376">
        <w:rPr>
          <w:rFonts w:ascii="Arial" w:eastAsia="Calibri" w:hAnsi="Arial" w:cs="Arial"/>
          <w:bCs/>
          <w:sz w:val="26"/>
          <w:szCs w:val="26"/>
        </w:rPr>
        <w:t xml:space="preserve"> justificado su interés en que sea modificada o revocada esa decisión.</w:t>
      </w:r>
    </w:p>
    <w:p w:rsidR="00F80457" w:rsidRDefault="000420F9" w:rsidP="00F80457">
      <w:pPr>
        <w:spacing w:line="360" w:lineRule="auto"/>
        <w:ind w:firstLine="567"/>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w:t>
      </w:r>
      <w:r w:rsidR="005F0467">
        <w:rPr>
          <w:rFonts w:ascii="Arial" w:eastAsia="Calibri" w:hAnsi="Arial" w:cs="Arial"/>
          <w:bCs/>
          <w:sz w:val="26"/>
          <w:szCs w:val="26"/>
        </w:rPr>
        <w:t xml:space="preserve">la </w:t>
      </w:r>
      <w:r w:rsidRPr="001B3376">
        <w:rPr>
          <w:rFonts w:ascii="Arial" w:eastAsia="Calibri" w:hAnsi="Arial" w:cs="Arial"/>
          <w:bCs/>
          <w:sz w:val="26"/>
          <w:szCs w:val="26"/>
        </w:rPr>
        <w:t xml:space="preserve">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solo a dicha autoridad corresponde la legitimación ad causam para impugnarlas en lo atinente a tal declaración de nulidad y sus efectos.</w:t>
      </w:r>
    </w:p>
    <w:p w:rsidR="00F80457" w:rsidRDefault="000420F9" w:rsidP="00F80457">
      <w:pPr>
        <w:spacing w:line="360" w:lineRule="auto"/>
        <w:ind w:firstLine="567"/>
        <w:jc w:val="both"/>
        <w:rPr>
          <w:rFonts w:ascii="Arial" w:eastAsia="Calibri" w:hAnsi="Arial" w:cs="Arial"/>
          <w:bCs/>
          <w:sz w:val="26"/>
          <w:szCs w:val="26"/>
        </w:rPr>
      </w:pPr>
      <w:r w:rsidRPr="001B3376">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0420F9" w:rsidRPr="00566D23" w:rsidRDefault="000420F9" w:rsidP="00047F44">
      <w:pPr>
        <w:spacing w:after="0" w:line="240" w:lineRule="auto"/>
        <w:jc w:val="both"/>
        <w:rPr>
          <w:rFonts w:ascii="Arial" w:eastAsia="Calibri" w:hAnsi="Arial" w:cs="Arial"/>
          <w:sz w:val="26"/>
          <w:szCs w:val="26"/>
        </w:rPr>
      </w:pPr>
    </w:p>
    <w:p w:rsidR="00047F44" w:rsidRDefault="000420F9" w:rsidP="00844DFE">
      <w:pPr>
        <w:tabs>
          <w:tab w:val="left" w:pos="7513"/>
          <w:tab w:val="left" w:pos="7541"/>
        </w:tabs>
        <w:spacing w:after="0" w:line="360" w:lineRule="auto"/>
        <w:ind w:left="567"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00047F44">
        <w:rPr>
          <w:rFonts w:ascii="Arial" w:eastAsia="Calibri" w:hAnsi="Arial" w:cs="Arial"/>
          <w:i/>
        </w:rPr>
        <w:t xml:space="preserve"> </w:t>
      </w:r>
    </w:p>
    <w:p w:rsidR="00844DFE" w:rsidRDefault="00844DFE" w:rsidP="00844DFE">
      <w:pPr>
        <w:tabs>
          <w:tab w:val="left" w:pos="7513"/>
          <w:tab w:val="left" w:pos="7541"/>
        </w:tabs>
        <w:spacing w:after="0" w:line="360" w:lineRule="auto"/>
        <w:ind w:left="567" w:right="757"/>
        <w:jc w:val="both"/>
        <w:rPr>
          <w:rFonts w:ascii="Arial" w:eastAsia="Calibri" w:hAnsi="Arial" w:cs="Arial"/>
          <w:i/>
        </w:rPr>
      </w:pPr>
    </w:p>
    <w:p w:rsidR="00F80457" w:rsidRDefault="000420F9" w:rsidP="00F80457">
      <w:pPr>
        <w:spacing w:line="360" w:lineRule="auto"/>
        <w:ind w:firstLine="567"/>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w:t>
      </w:r>
      <w:r w:rsidRPr="001B3376">
        <w:rPr>
          <w:rFonts w:ascii="Arial" w:eastAsia="Calibri" w:hAnsi="Arial" w:cs="Arial"/>
          <w:bCs/>
          <w:sz w:val="26"/>
          <w:szCs w:val="26"/>
        </w:rPr>
        <w:lastRenderedPageBreak/>
        <w:t xml:space="preserve">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F80457" w:rsidRDefault="00F80457" w:rsidP="00047F44">
      <w:pPr>
        <w:spacing w:after="0" w:line="360" w:lineRule="auto"/>
        <w:ind w:left="567" w:right="616"/>
        <w:jc w:val="both"/>
        <w:rPr>
          <w:rFonts w:ascii="Arial" w:hAnsi="Arial" w:cs="Arial"/>
          <w:i/>
        </w:rPr>
      </w:pPr>
      <w:r>
        <w:rPr>
          <w:rFonts w:ascii="Arial" w:hAnsi="Arial" w:cs="Arial"/>
          <w:i/>
        </w:rPr>
        <w:t xml:space="preserve"> </w:t>
      </w:r>
      <w:r w:rsidR="000420F9">
        <w:rPr>
          <w:rFonts w:ascii="Arial" w:hAnsi="Arial" w:cs="Arial"/>
          <w:i/>
        </w:rPr>
        <w:t>“</w:t>
      </w:r>
      <w:r w:rsidR="000420F9" w:rsidRPr="00D32226">
        <w:rPr>
          <w:rFonts w:ascii="Arial" w:hAnsi="Arial" w:cs="Arial"/>
          <w:b/>
          <w:i/>
        </w:rPr>
        <w:t>LEGITIMACIÓN EN LA CAUSA. SÓLO PUEDE ESTUDIARSE EN LA SENTENCIA DEFINITIVA</w:t>
      </w:r>
      <w:r w:rsidR="000420F9"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sidR="000420F9">
        <w:rPr>
          <w:rFonts w:ascii="Arial" w:hAnsi="Arial" w:cs="Arial"/>
          <w:i/>
        </w:rPr>
        <w:t>”</w:t>
      </w:r>
    </w:p>
    <w:p w:rsidR="00047F44" w:rsidRDefault="00047F44" w:rsidP="00047F44">
      <w:pPr>
        <w:spacing w:after="0" w:line="360" w:lineRule="auto"/>
        <w:ind w:left="567" w:right="616"/>
        <w:jc w:val="both"/>
        <w:rPr>
          <w:rFonts w:ascii="Arial" w:hAnsi="Arial" w:cs="Arial"/>
          <w:i/>
        </w:rPr>
      </w:pPr>
    </w:p>
    <w:p w:rsidR="00F80457" w:rsidRDefault="000420F9" w:rsidP="00F80457">
      <w:pPr>
        <w:spacing w:line="360" w:lineRule="auto"/>
        <w:ind w:firstLine="567"/>
        <w:jc w:val="both"/>
        <w:rPr>
          <w:rFonts w:ascii="Arial" w:hAnsi="Arial" w:cs="Arial"/>
          <w:sz w:val="26"/>
          <w:szCs w:val="26"/>
        </w:rPr>
      </w:pPr>
      <w:r w:rsidRPr="001B3376">
        <w:rPr>
          <w:rFonts w:ascii="Arial" w:hAnsi="Arial" w:cs="Arial"/>
          <w:sz w:val="26"/>
          <w:szCs w:val="26"/>
        </w:rPr>
        <w:t xml:space="preserve">Así mismo, se ha considerado en la jurisprudencia 2a./J. 75/97 de </w:t>
      </w:r>
      <w:r w:rsidR="00844DFE" w:rsidRPr="001B3376">
        <w:rPr>
          <w:rFonts w:ascii="Arial" w:hAnsi="Arial" w:cs="Arial"/>
          <w:sz w:val="26"/>
          <w:szCs w:val="26"/>
        </w:rPr>
        <w:t>la Segunda</w:t>
      </w:r>
      <w:r w:rsidRPr="001B3376">
        <w:rPr>
          <w:rFonts w:ascii="Arial" w:hAnsi="Arial" w:cs="Arial"/>
          <w:sz w:val="26"/>
          <w:szCs w:val="26"/>
        </w:rPr>
        <w:t xml:space="preserve"> Sala de la Suprema Corte de Justicia de la Nación, </w:t>
      </w:r>
      <w:r w:rsidR="00F80457">
        <w:rPr>
          <w:rFonts w:ascii="Arial" w:hAnsi="Arial" w:cs="Arial"/>
          <w:sz w:val="26"/>
          <w:szCs w:val="26"/>
        </w:rPr>
        <w:t>también emitida en la novena ép</w:t>
      </w:r>
      <w:r w:rsidRPr="001B3376">
        <w:rPr>
          <w:rFonts w:ascii="Arial" w:hAnsi="Arial" w:cs="Arial"/>
          <w:sz w:val="26"/>
          <w:szCs w:val="26"/>
        </w:rPr>
        <w:t>oca. Semanario Judicial de la Federación y su Gaceta. Tomo VII, Enero de 1998, Pág. 351.</w:t>
      </w:r>
    </w:p>
    <w:p w:rsidR="00F80457" w:rsidRDefault="00F80457" w:rsidP="00EE0FFD">
      <w:pPr>
        <w:spacing w:line="360" w:lineRule="auto"/>
        <w:ind w:left="567" w:right="616"/>
        <w:jc w:val="both"/>
        <w:rPr>
          <w:rFonts w:ascii="Arial" w:hAnsi="Arial" w:cs="Arial"/>
          <w:i/>
        </w:rPr>
      </w:pPr>
      <w:r w:rsidRPr="00D32226">
        <w:rPr>
          <w:rFonts w:ascii="Arial" w:hAnsi="Arial" w:cs="Arial"/>
          <w:i/>
        </w:rPr>
        <w:t xml:space="preserve"> </w:t>
      </w:r>
      <w:r w:rsidR="000420F9" w:rsidRPr="00D32226">
        <w:rPr>
          <w:rFonts w:ascii="Arial" w:hAnsi="Arial" w:cs="Arial"/>
          <w:i/>
        </w:rPr>
        <w:t>“</w:t>
      </w:r>
      <w:r w:rsidR="000420F9" w:rsidRPr="00D32226">
        <w:rPr>
          <w:rFonts w:ascii="Arial" w:hAnsi="Arial" w:cs="Arial"/>
          <w:b/>
          <w:i/>
        </w:rPr>
        <w:t>LEGITIMACIÓN PROCESAL ACTIVA. CONCEPTO.</w:t>
      </w:r>
      <w:r w:rsidR="000420F9"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w:t>
      </w:r>
      <w:r w:rsidR="000420F9" w:rsidRPr="00D32226">
        <w:rPr>
          <w:rFonts w:ascii="Arial" w:hAnsi="Arial" w:cs="Arial"/>
          <w:i/>
        </w:rPr>
        <w:lastRenderedPageBreak/>
        <w:t>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r w:rsidR="00EE0FFD" w:rsidRPr="00EE0FFD">
        <w:rPr>
          <w:rFonts w:ascii="Arial" w:hAnsi="Arial" w:cs="Arial"/>
          <w:i/>
        </w:rPr>
        <w:t xml:space="preserve"> </w:t>
      </w:r>
    </w:p>
    <w:p w:rsidR="00F80457" w:rsidRDefault="000420F9" w:rsidP="00F80457">
      <w:pPr>
        <w:spacing w:after="0" w:line="360" w:lineRule="auto"/>
        <w:ind w:firstLine="567"/>
        <w:jc w:val="both"/>
        <w:rPr>
          <w:rFonts w:ascii="Arial" w:eastAsia="Calibri" w:hAnsi="Arial" w:cs="Arial"/>
          <w:sz w:val="26"/>
          <w:szCs w:val="26"/>
        </w:rPr>
      </w:pPr>
      <w:r w:rsidRPr="001B3376">
        <w:rPr>
          <w:rFonts w:ascii="Arial" w:eastAsia="Calibri" w:hAnsi="Arial" w:cs="Arial"/>
          <w:sz w:val="26"/>
          <w:szCs w:val="26"/>
        </w:rPr>
        <w:t xml:space="preserve">Se reitera, en el caso no le asiste la razón a la </w:t>
      </w:r>
      <w:r w:rsidR="00EE0FFD">
        <w:rPr>
          <w:rFonts w:ascii="Arial" w:eastAsia="Calibri" w:hAnsi="Arial" w:cs="Arial"/>
          <w:sz w:val="26"/>
          <w:szCs w:val="26"/>
        </w:rPr>
        <w:t xml:space="preserve">Jefa de la Unidad de Recaudación Municipal, </w:t>
      </w:r>
      <w:r>
        <w:rPr>
          <w:rFonts w:ascii="Arial" w:eastAsia="Calibri" w:hAnsi="Arial" w:cs="Arial"/>
          <w:bCs/>
          <w:sz w:val="26"/>
          <w:szCs w:val="26"/>
        </w:rPr>
        <w:t>ni a la Tesorera Municipal, ambas autoridades pertenecientes al Municipio</w:t>
      </w:r>
      <w:r w:rsidRPr="001B3376">
        <w:rPr>
          <w:rFonts w:ascii="Arial" w:eastAsia="Calibri" w:hAnsi="Arial" w:cs="Arial"/>
          <w:bCs/>
          <w:sz w:val="26"/>
          <w:szCs w:val="26"/>
        </w:rPr>
        <w:t xml:space="preserve"> de Oaxaca de Juárez</w:t>
      </w:r>
      <w:r w:rsidRPr="001B3376">
        <w:rPr>
          <w:rFonts w:ascii="Arial" w:eastAsia="Calibri" w:hAnsi="Arial" w:cs="Arial"/>
          <w:sz w:val="26"/>
          <w:szCs w:val="26"/>
        </w:rPr>
        <w:t>, para recurrir la sentencia en los términos en que lo hace</w:t>
      </w:r>
      <w:r>
        <w:rPr>
          <w:rFonts w:ascii="Arial" w:eastAsia="Calibri" w:hAnsi="Arial" w:cs="Arial"/>
          <w:sz w:val="26"/>
          <w:szCs w:val="26"/>
        </w:rPr>
        <w:t>n</w:t>
      </w:r>
      <w:r w:rsidRPr="001B3376">
        <w:rPr>
          <w:rFonts w:ascii="Arial" w:eastAsia="Calibri" w:hAnsi="Arial" w:cs="Arial"/>
          <w:sz w:val="26"/>
          <w:szCs w:val="26"/>
        </w:rPr>
        <w:t xml:space="preserv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Pr>
          <w:rFonts w:ascii="Arial" w:eastAsia="Calibri" w:hAnsi="Arial" w:cs="Arial"/>
          <w:sz w:val="26"/>
          <w:szCs w:val="26"/>
        </w:rPr>
        <w:t>los</w:t>
      </w:r>
      <w:r w:rsidRPr="001B3376">
        <w:rPr>
          <w:rFonts w:ascii="Arial" w:eastAsia="Calibri" w:hAnsi="Arial" w:cs="Arial"/>
          <w:sz w:val="26"/>
          <w:szCs w:val="26"/>
        </w:rPr>
        <w:t xml:space="preserve"> recurrente</w:t>
      </w:r>
      <w:r>
        <w:rPr>
          <w:rFonts w:ascii="Arial" w:eastAsia="Calibri" w:hAnsi="Arial" w:cs="Arial"/>
          <w:sz w:val="26"/>
          <w:szCs w:val="26"/>
        </w:rPr>
        <w:t>s</w:t>
      </w:r>
      <w:r w:rsidRPr="001B3376">
        <w:rPr>
          <w:rFonts w:ascii="Arial" w:eastAsia="Calibri" w:hAnsi="Arial" w:cs="Arial"/>
          <w:sz w:val="26"/>
          <w:szCs w:val="26"/>
        </w:rPr>
        <w:t xml:space="preserve"> no puede</w:t>
      </w:r>
      <w:r>
        <w:rPr>
          <w:rFonts w:ascii="Arial" w:eastAsia="Calibri" w:hAnsi="Arial" w:cs="Arial"/>
          <w:sz w:val="26"/>
          <w:szCs w:val="26"/>
        </w:rPr>
        <w:t>n</w:t>
      </w:r>
      <w:r w:rsidRPr="001B3376">
        <w:rPr>
          <w:rFonts w:ascii="Arial" w:eastAsia="Calibri" w:hAnsi="Arial" w:cs="Arial"/>
          <w:sz w:val="26"/>
          <w:szCs w:val="26"/>
        </w:rPr>
        <w:t xml:space="preserv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F80457" w:rsidRDefault="00F80457" w:rsidP="00F80457">
      <w:pPr>
        <w:spacing w:after="0" w:line="360" w:lineRule="auto"/>
        <w:ind w:firstLine="567"/>
        <w:jc w:val="both"/>
        <w:rPr>
          <w:rFonts w:ascii="Arial" w:eastAsia="Calibri" w:hAnsi="Arial" w:cs="Arial"/>
          <w:sz w:val="26"/>
          <w:szCs w:val="26"/>
        </w:rPr>
      </w:pPr>
    </w:p>
    <w:p w:rsidR="00F80457" w:rsidRDefault="000420F9" w:rsidP="00F80457">
      <w:pPr>
        <w:spacing w:after="0" w:line="360" w:lineRule="auto"/>
        <w:ind w:firstLine="567"/>
        <w:jc w:val="both"/>
        <w:rPr>
          <w:rFonts w:ascii="Arial" w:hAnsi="Arial" w:cs="Arial"/>
          <w:sz w:val="26"/>
          <w:szCs w:val="26"/>
        </w:rPr>
      </w:pPr>
      <w:r w:rsidRPr="00365F44">
        <w:rPr>
          <w:rFonts w:ascii="Arial" w:eastAsia="Calibri" w:hAnsi="Arial" w:cs="Arial"/>
          <w:sz w:val="26"/>
          <w:szCs w:val="26"/>
        </w:rPr>
        <w:t>En consecuencia ante las a</w:t>
      </w:r>
      <w:r w:rsidR="00A1019C">
        <w:rPr>
          <w:rFonts w:ascii="Arial" w:eastAsia="Calibri" w:hAnsi="Arial" w:cs="Arial"/>
          <w:sz w:val="26"/>
          <w:szCs w:val="26"/>
        </w:rPr>
        <w:t xml:space="preserve">nteriores consideraciones, se </w:t>
      </w:r>
      <w:r w:rsidRPr="00365F44">
        <w:rPr>
          <w:rFonts w:ascii="Arial" w:eastAsia="Calibri" w:hAnsi="Arial" w:cs="Arial"/>
          <w:sz w:val="26"/>
          <w:szCs w:val="26"/>
        </w:rPr>
        <w:t xml:space="preserve">procede </w:t>
      </w:r>
      <w:r w:rsidR="00A1019C">
        <w:rPr>
          <w:rFonts w:ascii="Arial" w:eastAsia="Calibri" w:hAnsi="Arial" w:cs="Arial"/>
          <w:sz w:val="26"/>
          <w:szCs w:val="26"/>
        </w:rPr>
        <w:t xml:space="preserve">a </w:t>
      </w:r>
      <w:r w:rsidRPr="00365F44">
        <w:rPr>
          <w:rFonts w:ascii="Arial" w:eastAsia="Calibri" w:hAnsi="Arial" w:cs="Arial"/>
          <w:b/>
          <w:sz w:val="26"/>
          <w:szCs w:val="26"/>
        </w:rPr>
        <w:t>DESECHAR</w:t>
      </w:r>
      <w:r>
        <w:rPr>
          <w:rFonts w:ascii="Arial" w:eastAsia="Calibri" w:hAnsi="Arial" w:cs="Arial"/>
          <w:b/>
          <w:sz w:val="26"/>
          <w:szCs w:val="26"/>
        </w:rPr>
        <w:t xml:space="preserve"> </w:t>
      </w:r>
      <w:r w:rsidRPr="00B866AB">
        <w:rPr>
          <w:rFonts w:ascii="Arial" w:eastAsia="Calibri" w:hAnsi="Arial" w:cs="Arial"/>
          <w:sz w:val="26"/>
          <w:szCs w:val="26"/>
        </w:rPr>
        <w:t>el presente medio de defensa</w:t>
      </w:r>
      <w:r>
        <w:rPr>
          <w:rFonts w:ascii="Arial" w:eastAsia="Calibri" w:hAnsi="Arial" w:cs="Arial"/>
          <w:b/>
          <w:sz w:val="26"/>
          <w:szCs w:val="26"/>
        </w:rPr>
        <w:t xml:space="preserve"> </w:t>
      </w:r>
      <w:r w:rsidRPr="00365F44">
        <w:rPr>
          <w:rFonts w:ascii="Arial" w:eastAsia="Calibri" w:hAnsi="Arial" w:cs="Arial"/>
          <w:sz w:val="26"/>
          <w:szCs w:val="26"/>
        </w:rPr>
        <w:t>al no estar legitimada</w:t>
      </w:r>
      <w:r w:rsidR="00EE0FFD">
        <w:rPr>
          <w:rFonts w:ascii="Arial" w:eastAsia="Calibri" w:hAnsi="Arial" w:cs="Arial"/>
          <w:sz w:val="26"/>
          <w:szCs w:val="26"/>
        </w:rPr>
        <w:t>s las recurrentes,</w:t>
      </w:r>
      <w:r w:rsidRPr="00365F44">
        <w:rPr>
          <w:rFonts w:ascii="Arial" w:eastAsia="Calibri" w:hAnsi="Arial" w:cs="Arial"/>
          <w:sz w:val="26"/>
          <w:szCs w:val="26"/>
        </w:rPr>
        <w:t xml:space="preserve"> para impugnar la sentencia en los términos planteado</w:t>
      </w:r>
      <w:r w:rsidR="00EE0FFD">
        <w:rPr>
          <w:rFonts w:ascii="Arial" w:eastAsia="Calibri" w:hAnsi="Arial" w:cs="Arial"/>
          <w:sz w:val="26"/>
          <w:szCs w:val="26"/>
        </w:rPr>
        <w:t>s</w:t>
      </w:r>
      <w:r w:rsidR="00A1019C">
        <w:rPr>
          <w:rFonts w:ascii="Arial" w:eastAsia="Calibri" w:hAnsi="Arial" w:cs="Arial"/>
          <w:sz w:val="26"/>
          <w:szCs w:val="26"/>
        </w:rPr>
        <w:t>;</w:t>
      </w:r>
      <w:r w:rsidRPr="00365F44">
        <w:rPr>
          <w:rFonts w:ascii="Arial" w:eastAsia="Calibri" w:hAnsi="Arial" w:cs="Arial"/>
          <w:sz w:val="26"/>
          <w:szCs w:val="26"/>
        </w:rPr>
        <w:t xml:space="preserve"> y </w:t>
      </w:r>
      <w:r w:rsidR="00EE0FFD">
        <w:rPr>
          <w:rFonts w:ascii="Arial" w:eastAsia="Calibri" w:hAnsi="Arial" w:cs="Arial"/>
          <w:sz w:val="26"/>
          <w:szCs w:val="26"/>
        </w:rPr>
        <w:t>con fundamento en los artículos 2</w:t>
      </w:r>
      <w:r w:rsidR="008D0650" w:rsidRPr="00372D3D">
        <w:rPr>
          <w:rFonts w:ascii="Arial" w:hAnsi="Arial" w:cs="Arial"/>
          <w:sz w:val="26"/>
          <w:szCs w:val="26"/>
        </w:rPr>
        <w:t>07 y 208 de la Ley de Justicia Administrativa para el Estado, se:</w:t>
      </w:r>
    </w:p>
    <w:p w:rsidR="00F80457" w:rsidRDefault="00F80457" w:rsidP="00F80457">
      <w:pPr>
        <w:pStyle w:val="Sinespaciado"/>
        <w:spacing w:after="120" w:line="360" w:lineRule="auto"/>
        <w:ind w:right="51"/>
        <w:jc w:val="center"/>
        <w:rPr>
          <w:rFonts w:ascii="Arial" w:hAnsi="Arial" w:cs="Arial"/>
          <w:b/>
          <w:sz w:val="26"/>
          <w:szCs w:val="26"/>
        </w:rPr>
      </w:pPr>
      <w:r>
        <w:rPr>
          <w:rFonts w:ascii="Arial" w:hAnsi="Arial" w:cs="Arial"/>
          <w:b/>
          <w:sz w:val="26"/>
          <w:szCs w:val="26"/>
        </w:rPr>
        <w:t>R E S U E L V E</w:t>
      </w:r>
    </w:p>
    <w:p w:rsidR="00F80457" w:rsidRDefault="008D0650" w:rsidP="00F80457">
      <w:pPr>
        <w:pStyle w:val="Sinespaciado"/>
        <w:spacing w:after="120" w:line="360" w:lineRule="auto"/>
        <w:ind w:right="51" w:firstLine="709"/>
        <w:jc w:val="both"/>
        <w:rPr>
          <w:rFonts w:ascii="Arial" w:hAnsi="Arial" w:cs="Arial"/>
          <w:sz w:val="26"/>
          <w:szCs w:val="26"/>
          <w:lang w:val="es-MX"/>
        </w:rPr>
      </w:pPr>
      <w:r w:rsidRPr="006E349D">
        <w:rPr>
          <w:rFonts w:ascii="Arial" w:hAnsi="Arial" w:cs="Arial"/>
          <w:b/>
          <w:sz w:val="26"/>
          <w:szCs w:val="26"/>
        </w:rPr>
        <w:t>PRIMERO</w:t>
      </w:r>
      <w:r w:rsidRPr="00676F3E">
        <w:rPr>
          <w:rFonts w:ascii="Arial" w:hAnsi="Arial" w:cs="Arial"/>
          <w:b/>
          <w:sz w:val="26"/>
          <w:szCs w:val="26"/>
          <w:lang w:val="es-MX"/>
        </w:rPr>
        <w:t>.</w:t>
      </w:r>
      <w:r w:rsidRPr="006E349D">
        <w:rPr>
          <w:rFonts w:ascii="Arial" w:hAnsi="Arial" w:cs="Arial"/>
          <w:sz w:val="26"/>
          <w:szCs w:val="26"/>
          <w:lang w:val="es-MX"/>
        </w:rPr>
        <w:t xml:space="preserve"> </w:t>
      </w:r>
      <w:r>
        <w:rPr>
          <w:rFonts w:ascii="Arial" w:hAnsi="Arial" w:cs="Arial"/>
          <w:sz w:val="26"/>
          <w:szCs w:val="26"/>
          <w:lang w:val="es-MX"/>
        </w:rPr>
        <w:t>Se desecha</w:t>
      </w:r>
      <w:r w:rsidR="00676F3E">
        <w:rPr>
          <w:rFonts w:ascii="Arial" w:hAnsi="Arial" w:cs="Arial"/>
          <w:sz w:val="26"/>
          <w:szCs w:val="26"/>
          <w:lang w:val="es-MX"/>
        </w:rPr>
        <w:t>n</w:t>
      </w:r>
      <w:r>
        <w:rPr>
          <w:rFonts w:ascii="Arial" w:hAnsi="Arial" w:cs="Arial"/>
          <w:sz w:val="26"/>
          <w:szCs w:val="26"/>
          <w:lang w:val="es-MX"/>
        </w:rPr>
        <w:t xml:space="preserve"> por </w:t>
      </w:r>
      <w:r w:rsidRPr="007B007F">
        <w:rPr>
          <w:rFonts w:ascii="Arial" w:hAnsi="Arial" w:cs="Arial"/>
          <w:b/>
          <w:sz w:val="26"/>
          <w:szCs w:val="26"/>
          <w:lang w:val="es-MX"/>
        </w:rPr>
        <w:t>IMPROCEDENTE</w:t>
      </w:r>
      <w:r w:rsidR="00676F3E">
        <w:rPr>
          <w:rFonts w:ascii="Arial" w:hAnsi="Arial" w:cs="Arial"/>
          <w:b/>
          <w:sz w:val="26"/>
          <w:szCs w:val="26"/>
          <w:lang w:val="es-MX"/>
        </w:rPr>
        <w:t>S</w:t>
      </w:r>
      <w:r>
        <w:rPr>
          <w:rFonts w:ascii="Arial" w:hAnsi="Arial" w:cs="Arial"/>
          <w:b/>
          <w:sz w:val="26"/>
          <w:szCs w:val="26"/>
          <w:lang w:val="es-MX"/>
        </w:rPr>
        <w:t xml:space="preserve"> </w:t>
      </w:r>
      <w:r w:rsidR="00676F3E">
        <w:rPr>
          <w:rFonts w:ascii="Arial" w:hAnsi="Arial" w:cs="Arial"/>
          <w:sz w:val="26"/>
          <w:szCs w:val="26"/>
          <w:lang w:val="es-MX"/>
        </w:rPr>
        <w:t>los</w:t>
      </w:r>
      <w:r>
        <w:rPr>
          <w:rFonts w:ascii="Arial" w:hAnsi="Arial" w:cs="Arial"/>
          <w:sz w:val="26"/>
          <w:szCs w:val="26"/>
          <w:lang w:val="es-MX"/>
        </w:rPr>
        <w:t xml:space="preserve"> recurso</w:t>
      </w:r>
      <w:r w:rsidR="00676F3E">
        <w:rPr>
          <w:rFonts w:ascii="Arial" w:hAnsi="Arial" w:cs="Arial"/>
          <w:sz w:val="26"/>
          <w:szCs w:val="26"/>
          <w:lang w:val="es-MX"/>
        </w:rPr>
        <w:t xml:space="preserve">s </w:t>
      </w:r>
      <w:r w:rsidR="00293C36">
        <w:rPr>
          <w:rFonts w:ascii="Arial" w:hAnsi="Arial" w:cs="Arial"/>
          <w:sz w:val="26"/>
          <w:szCs w:val="26"/>
          <w:lang w:val="es-MX"/>
        </w:rPr>
        <w:t>de revisión interpuesto</w:t>
      </w:r>
      <w:r w:rsidR="00676F3E">
        <w:rPr>
          <w:rFonts w:ascii="Arial" w:hAnsi="Arial" w:cs="Arial"/>
          <w:sz w:val="26"/>
          <w:szCs w:val="26"/>
          <w:lang w:val="es-MX"/>
        </w:rPr>
        <w:t>s</w:t>
      </w:r>
      <w:r w:rsidR="00293C36">
        <w:rPr>
          <w:rFonts w:ascii="Arial" w:hAnsi="Arial" w:cs="Arial"/>
          <w:sz w:val="26"/>
          <w:szCs w:val="26"/>
          <w:lang w:val="es-MX"/>
        </w:rPr>
        <w:t xml:space="preserve"> </w:t>
      </w:r>
      <w:r w:rsidR="00293C36">
        <w:rPr>
          <w:rFonts w:ascii="Arial" w:eastAsia="Calibri" w:hAnsi="Arial" w:cs="Arial"/>
          <w:sz w:val="26"/>
          <w:szCs w:val="26"/>
        </w:rPr>
        <w:t xml:space="preserve">en contra </w:t>
      </w:r>
      <w:r w:rsidR="00293C36" w:rsidRPr="00AC5004">
        <w:rPr>
          <w:rFonts w:ascii="Arial" w:eastAsia="Calibri" w:hAnsi="Arial" w:cs="Arial"/>
          <w:sz w:val="26"/>
          <w:szCs w:val="26"/>
        </w:rPr>
        <w:t>de</w:t>
      </w:r>
      <w:r w:rsidR="00293C36">
        <w:rPr>
          <w:rFonts w:ascii="Arial" w:eastAsia="Calibri" w:hAnsi="Arial" w:cs="Arial"/>
          <w:sz w:val="26"/>
          <w:szCs w:val="26"/>
        </w:rPr>
        <w:t xml:space="preserve"> la </w:t>
      </w:r>
      <w:r w:rsidR="002A2DED">
        <w:rPr>
          <w:rFonts w:ascii="Arial" w:eastAsia="Calibri" w:hAnsi="Arial" w:cs="Arial"/>
          <w:sz w:val="26"/>
          <w:szCs w:val="26"/>
        </w:rPr>
        <w:t>sentencia de 5 cinco de diciembre de 2018 dos mil dieciocho</w:t>
      </w:r>
      <w:r>
        <w:rPr>
          <w:rFonts w:ascii="Arial" w:hAnsi="Arial" w:cs="Arial"/>
          <w:sz w:val="26"/>
          <w:szCs w:val="26"/>
          <w:lang w:val="es-MX"/>
        </w:rPr>
        <w:t>, por las razones legales expuest</w:t>
      </w:r>
      <w:r w:rsidR="00F80457">
        <w:rPr>
          <w:rFonts w:ascii="Arial" w:hAnsi="Arial" w:cs="Arial"/>
          <w:sz w:val="26"/>
          <w:szCs w:val="26"/>
          <w:lang w:val="es-MX"/>
        </w:rPr>
        <w:t>as en el Considerando Tercero.</w:t>
      </w:r>
    </w:p>
    <w:p w:rsidR="00146CE1" w:rsidRDefault="008D0650" w:rsidP="00F80457">
      <w:pPr>
        <w:pStyle w:val="Sinespaciado"/>
        <w:spacing w:after="120" w:line="360" w:lineRule="auto"/>
        <w:ind w:right="51" w:firstLine="709"/>
        <w:jc w:val="both"/>
        <w:rPr>
          <w:rFonts w:ascii="Arial" w:eastAsia="Calibri" w:hAnsi="Arial" w:cs="Arial"/>
          <w:sz w:val="26"/>
          <w:szCs w:val="26"/>
          <w:lang w:eastAsia="es-ES"/>
        </w:rPr>
      </w:pPr>
      <w:r>
        <w:rPr>
          <w:rFonts w:ascii="Arial" w:eastAsia="Calibri" w:hAnsi="Arial" w:cs="Arial"/>
          <w:b/>
          <w:sz w:val="26"/>
          <w:szCs w:val="26"/>
        </w:rPr>
        <w:t>SEGUNDO.</w:t>
      </w:r>
      <w:r w:rsidRPr="00372D3D">
        <w:rPr>
          <w:rFonts w:ascii="Arial" w:eastAsia="Calibri" w:hAnsi="Arial" w:cs="Arial"/>
          <w:b/>
          <w:sz w:val="26"/>
          <w:szCs w:val="26"/>
        </w:rPr>
        <w:t xml:space="preserve"> </w:t>
      </w:r>
      <w:r w:rsidR="00676F3E">
        <w:rPr>
          <w:rFonts w:ascii="Arial" w:eastAsia="Calibri" w:hAnsi="Arial" w:cs="Arial"/>
          <w:sz w:val="26"/>
          <w:szCs w:val="26"/>
          <w:lang w:eastAsia="es-ES"/>
        </w:rPr>
        <w:t xml:space="preserve">Glósese copia certificada de la presente resolución al recurso de revisión </w:t>
      </w:r>
      <w:r w:rsidR="00676F3E">
        <w:rPr>
          <w:rFonts w:ascii="Arial" w:eastAsia="Calibri" w:hAnsi="Arial" w:cs="Arial"/>
          <w:b/>
          <w:sz w:val="26"/>
          <w:szCs w:val="26"/>
          <w:lang w:eastAsia="es-ES"/>
        </w:rPr>
        <w:t>0026/2019</w:t>
      </w:r>
      <w:r w:rsidR="00A1019C">
        <w:rPr>
          <w:rFonts w:ascii="Arial" w:eastAsia="Calibri" w:hAnsi="Arial" w:cs="Arial"/>
          <w:b/>
          <w:sz w:val="26"/>
          <w:szCs w:val="26"/>
          <w:lang w:eastAsia="es-ES"/>
        </w:rPr>
        <w:t>,</w:t>
      </w:r>
      <w:r w:rsidR="00A1019C" w:rsidRPr="00A1019C">
        <w:rPr>
          <w:rFonts w:ascii="Arial" w:hAnsi="Arial" w:cs="Arial"/>
          <w:sz w:val="26"/>
          <w:szCs w:val="26"/>
        </w:rPr>
        <w:t xml:space="preserve"> </w:t>
      </w:r>
      <w:r w:rsidR="00A1019C">
        <w:rPr>
          <w:rFonts w:ascii="Arial" w:hAnsi="Arial" w:cs="Arial"/>
          <w:sz w:val="26"/>
          <w:szCs w:val="26"/>
        </w:rPr>
        <w:t>para los efectos legales correspondientes</w:t>
      </w:r>
      <w:r w:rsidR="00146CE1">
        <w:rPr>
          <w:rFonts w:ascii="Arial" w:eastAsia="Calibri" w:hAnsi="Arial" w:cs="Arial"/>
          <w:sz w:val="26"/>
          <w:szCs w:val="26"/>
          <w:lang w:eastAsia="es-ES"/>
        </w:rPr>
        <w:t>.</w:t>
      </w:r>
    </w:p>
    <w:p w:rsidR="00146CE1" w:rsidRDefault="00676F3E" w:rsidP="00F80457">
      <w:pPr>
        <w:pStyle w:val="Sinespaciado"/>
        <w:spacing w:after="120" w:line="360" w:lineRule="auto"/>
        <w:ind w:right="51" w:firstLine="709"/>
        <w:jc w:val="both"/>
        <w:rPr>
          <w:rFonts w:ascii="Arial" w:hAnsi="Arial" w:cs="Arial"/>
          <w:sz w:val="26"/>
          <w:szCs w:val="26"/>
        </w:rPr>
      </w:pPr>
      <w:r>
        <w:rPr>
          <w:rFonts w:ascii="Arial" w:eastAsia="Calibri" w:hAnsi="Arial" w:cs="Arial"/>
          <w:b/>
          <w:sz w:val="26"/>
          <w:szCs w:val="26"/>
          <w:lang w:eastAsia="es-ES"/>
        </w:rPr>
        <w:t xml:space="preserve">TERCERO. </w:t>
      </w:r>
      <w:r w:rsidR="00293C36">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w:t>
      </w:r>
      <w:r w:rsidR="00293C36">
        <w:rPr>
          <w:rFonts w:ascii="Arial" w:hAnsi="Arial" w:cs="Arial"/>
          <w:sz w:val="26"/>
          <w:szCs w:val="26"/>
        </w:rPr>
        <w:lastRenderedPageBreak/>
        <w:t xml:space="preserve">Justicia Administrativa del Estado de Oaxaca, y en atención a la fe de erratas del referido acuerdo, el inmueble que alberga las instalaciones de este Tribunal a partir del 1 uno de enero de 2019 dos mil diecinueve, es el ubicado en la </w:t>
      </w:r>
      <w:r w:rsidR="00293C36">
        <w:rPr>
          <w:rFonts w:ascii="Arial" w:hAnsi="Arial" w:cs="Arial"/>
          <w:b/>
          <w:sz w:val="26"/>
          <w:szCs w:val="26"/>
        </w:rPr>
        <w:t>Calle Miguel Hidalgo número 215, Colonia Centro, Municipio de Oaxaca de Juárez, Oaxaca, Código Postal 68000.</w:t>
      </w:r>
    </w:p>
    <w:p w:rsidR="00146CE1" w:rsidRDefault="00676F3E" w:rsidP="00146CE1">
      <w:pPr>
        <w:pStyle w:val="Sinespaciado"/>
        <w:spacing w:after="120" w:line="360" w:lineRule="auto"/>
        <w:ind w:right="51" w:firstLine="709"/>
        <w:jc w:val="both"/>
        <w:rPr>
          <w:rFonts w:ascii="Arial" w:hAnsi="Arial" w:cs="Arial"/>
          <w:sz w:val="26"/>
          <w:szCs w:val="26"/>
        </w:rPr>
      </w:pPr>
      <w:r>
        <w:rPr>
          <w:rFonts w:ascii="Arial" w:hAnsi="Arial" w:cs="Arial"/>
          <w:b/>
          <w:sz w:val="26"/>
          <w:szCs w:val="26"/>
        </w:rPr>
        <w:t>CUARTO</w:t>
      </w:r>
      <w:r w:rsidR="008D0650">
        <w:rPr>
          <w:rFonts w:ascii="Arial" w:hAnsi="Arial" w:cs="Arial"/>
          <w:b/>
          <w:sz w:val="26"/>
          <w:szCs w:val="26"/>
        </w:rPr>
        <w:t xml:space="preserve">. NOTIFÍQUESE Y CÚMPLASE, </w:t>
      </w:r>
      <w:r w:rsidR="008D0650">
        <w:rPr>
          <w:rFonts w:ascii="Arial" w:hAnsi="Arial" w:cs="Arial"/>
          <w:sz w:val="26"/>
          <w:szCs w:val="26"/>
        </w:rPr>
        <w:t xml:space="preserve">remítase copia certificada de la presente resolución a la </w:t>
      </w:r>
      <w:r w:rsidR="002A2DED">
        <w:rPr>
          <w:rFonts w:ascii="Arial" w:hAnsi="Arial" w:cs="Arial"/>
          <w:sz w:val="26"/>
          <w:szCs w:val="26"/>
        </w:rPr>
        <w:t>Séptima</w:t>
      </w:r>
      <w:r w:rsidR="00124484">
        <w:rPr>
          <w:rFonts w:ascii="Arial" w:hAnsi="Arial" w:cs="Arial"/>
          <w:sz w:val="26"/>
          <w:szCs w:val="26"/>
        </w:rPr>
        <w:t xml:space="preserve"> </w:t>
      </w:r>
      <w:r w:rsidR="008D0650">
        <w:rPr>
          <w:rFonts w:ascii="Arial" w:hAnsi="Arial" w:cs="Arial"/>
          <w:sz w:val="26"/>
          <w:szCs w:val="26"/>
        </w:rPr>
        <w:t>Sala Unitaria de Primera Instancia de este Tribunal y en su oportunidad archívese el presente cuaderno de revisión como asunto concluido.</w:t>
      </w:r>
    </w:p>
    <w:p w:rsidR="00146CE1" w:rsidRDefault="008D0650" w:rsidP="00F80457">
      <w:pPr>
        <w:pStyle w:val="Sinespaciado"/>
        <w:spacing w:after="120" w:line="360" w:lineRule="auto"/>
        <w:ind w:right="51" w:firstLine="709"/>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w:t>
      </w:r>
      <w:r w:rsidR="00146CE1">
        <w:rPr>
          <w:rFonts w:ascii="Arial" w:hAnsi="Arial" w:cs="Arial"/>
          <w:sz w:val="26"/>
          <w:szCs w:val="26"/>
        </w:rPr>
        <w:t xml:space="preserve">ibunal, que autoriza y da fe. </w:t>
      </w:r>
    </w:p>
    <w:p w:rsidR="00293C36" w:rsidRDefault="008D0650" w:rsidP="00124484">
      <w:pPr>
        <w:spacing w:after="0" w:line="240" w:lineRule="auto"/>
        <w:jc w:val="center"/>
        <w:rPr>
          <w:rFonts w:ascii="Arial" w:eastAsia="Calibri" w:hAnsi="Arial" w:cs="Arial"/>
          <w:sz w:val="26"/>
          <w:szCs w:val="26"/>
        </w:rPr>
      </w:pPr>
      <w:r w:rsidRPr="00124484">
        <w:rPr>
          <w:rFonts w:ascii="Arial" w:eastAsia="Calibri" w:hAnsi="Arial" w:cs="Arial"/>
          <w:sz w:val="26"/>
          <w:szCs w:val="26"/>
        </w:rPr>
        <w:t xml:space="preserve">   </w:t>
      </w: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146CE1" w:rsidRDefault="00146CE1" w:rsidP="00124484">
      <w:pPr>
        <w:spacing w:after="0" w:line="240" w:lineRule="auto"/>
        <w:jc w:val="center"/>
        <w:rPr>
          <w:rFonts w:ascii="Arial" w:eastAsia="Calibri" w:hAnsi="Arial" w:cs="Arial"/>
          <w:sz w:val="26"/>
          <w:szCs w:val="26"/>
        </w:rPr>
      </w:pPr>
    </w:p>
    <w:p w:rsidR="008D0650" w:rsidRPr="00124484" w:rsidRDefault="008D0650" w:rsidP="00124484">
      <w:pPr>
        <w:spacing w:after="0" w:line="240" w:lineRule="auto"/>
        <w:jc w:val="center"/>
        <w:rPr>
          <w:rFonts w:ascii="Arial" w:eastAsia="Calibri" w:hAnsi="Arial" w:cs="Arial"/>
          <w:sz w:val="26"/>
          <w:szCs w:val="26"/>
        </w:rPr>
      </w:pPr>
      <w:r w:rsidRPr="00124484">
        <w:rPr>
          <w:rFonts w:ascii="Arial" w:eastAsia="Calibri" w:hAnsi="Arial" w:cs="Arial"/>
          <w:sz w:val="26"/>
          <w:szCs w:val="26"/>
        </w:rPr>
        <w:t>MAGISTRADO ADRIÁN QUIROGA AVENDAÑO</w:t>
      </w:r>
    </w:p>
    <w:p w:rsidR="008D0650" w:rsidRPr="00146CE1" w:rsidRDefault="00146CE1" w:rsidP="00124484">
      <w:pPr>
        <w:spacing w:after="0" w:line="240" w:lineRule="auto"/>
        <w:jc w:val="center"/>
        <w:rPr>
          <w:rFonts w:ascii="Arial" w:eastAsia="Calibri" w:hAnsi="Arial" w:cs="Arial"/>
          <w:sz w:val="26"/>
          <w:szCs w:val="26"/>
        </w:rPr>
      </w:pPr>
      <w:r w:rsidRPr="00146CE1">
        <w:rPr>
          <w:rFonts w:ascii="Arial" w:eastAsia="Calibri" w:hAnsi="Arial" w:cs="Arial"/>
          <w:sz w:val="26"/>
          <w:szCs w:val="26"/>
        </w:rPr>
        <w:t>PRESIDENTE</w:t>
      </w:r>
      <w:r w:rsidR="00844DFE" w:rsidRPr="00146CE1">
        <w:rPr>
          <w:rFonts w:ascii="Arial" w:eastAsia="Calibri" w:hAnsi="Arial" w:cs="Arial"/>
          <w:sz w:val="26"/>
          <w:szCs w:val="26"/>
        </w:rPr>
        <w:t>.</w:t>
      </w:r>
    </w:p>
    <w:p w:rsidR="00293C36" w:rsidRDefault="00293C36"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Default="00146CE1" w:rsidP="00124484">
      <w:pPr>
        <w:spacing w:after="0" w:line="240" w:lineRule="auto"/>
        <w:jc w:val="center"/>
        <w:rPr>
          <w:rFonts w:ascii="Arial" w:eastAsia="Calibri" w:hAnsi="Arial" w:cs="Arial"/>
          <w:b/>
          <w:sz w:val="26"/>
          <w:szCs w:val="26"/>
        </w:rPr>
      </w:pPr>
    </w:p>
    <w:p w:rsidR="00146CE1" w:rsidRPr="00124484" w:rsidRDefault="00146CE1" w:rsidP="00124484">
      <w:pPr>
        <w:spacing w:after="0" w:line="240" w:lineRule="auto"/>
        <w:jc w:val="center"/>
        <w:rPr>
          <w:rFonts w:ascii="Arial" w:eastAsia="Calibri" w:hAnsi="Arial" w:cs="Arial"/>
          <w:b/>
          <w:sz w:val="26"/>
          <w:szCs w:val="26"/>
        </w:rPr>
      </w:pPr>
    </w:p>
    <w:p w:rsidR="00293C36" w:rsidRDefault="008D0650" w:rsidP="00293C36">
      <w:pPr>
        <w:spacing w:line="480" w:lineRule="auto"/>
        <w:jc w:val="center"/>
        <w:rPr>
          <w:rFonts w:ascii="Arial" w:eastAsia="Calibri" w:hAnsi="Arial" w:cs="Arial"/>
          <w:sz w:val="26"/>
          <w:szCs w:val="26"/>
        </w:rPr>
      </w:pPr>
      <w:r w:rsidRPr="00124484">
        <w:rPr>
          <w:rFonts w:ascii="Arial" w:eastAsia="Calibri" w:hAnsi="Arial" w:cs="Arial"/>
          <w:sz w:val="26"/>
          <w:szCs w:val="26"/>
        </w:rPr>
        <w:t>MAGISTRADO HUGO VILLEGAS AQUINO</w:t>
      </w:r>
    </w:p>
    <w:p w:rsidR="00146CE1" w:rsidRDefault="00146CE1" w:rsidP="00293C36">
      <w:pPr>
        <w:spacing w:line="480" w:lineRule="auto"/>
        <w:jc w:val="center"/>
        <w:rPr>
          <w:rFonts w:ascii="Arial" w:eastAsia="Calibri" w:hAnsi="Arial" w:cs="Arial"/>
          <w:sz w:val="26"/>
          <w:szCs w:val="26"/>
        </w:rPr>
      </w:pPr>
    </w:p>
    <w:p w:rsidR="00146CE1" w:rsidRDefault="00146CE1" w:rsidP="00293C36">
      <w:pPr>
        <w:spacing w:line="480" w:lineRule="auto"/>
        <w:jc w:val="center"/>
        <w:rPr>
          <w:rFonts w:ascii="Arial" w:eastAsia="Calibri" w:hAnsi="Arial" w:cs="Arial"/>
          <w:sz w:val="26"/>
          <w:szCs w:val="26"/>
        </w:rPr>
      </w:pPr>
    </w:p>
    <w:p w:rsidR="00146CE1" w:rsidRDefault="00146CE1" w:rsidP="00293C36">
      <w:pPr>
        <w:spacing w:line="480" w:lineRule="auto"/>
        <w:jc w:val="center"/>
        <w:rPr>
          <w:rFonts w:ascii="Arial" w:eastAsia="Calibri" w:hAnsi="Arial" w:cs="Arial"/>
          <w:sz w:val="26"/>
          <w:szCs w:val="26"/>
        </w:rPr>
      </w:pPr>
    </w:p>
    <w:p w:rsidR="008D0650" w:rsidRDefault="008D0650" w:rsidP="00293C36">
      <w:pPr>
        <w:spacing w:line="480" w:lineRule="auto"/>
        <w:jc w:val="center"/>
        <w:rPr>
          <w:rFonts w:ascii="Arial" w:eastAsia="Calibri" w:hAnsi="Arial" w:cs="Arial"/>
          <w:sz w:val="26"/>
          <w:szCs w:val="26"/>
        </w:rPr>
      </w:pPr>
      <w:r w:rsidRPr="00124484">
        <w:rPr>
          <w:rFonts w:ascii="Arial" w:eastAsia="Calibri" w:hAnsi="Arial" w:cs="Arial"/>
          <w:sz w:val="26"/>
          <w:szCs w:val="26"/>
        </w:rPr>
        <w:t xml:space="preserve">   MAGISTRADO ENRIQUE PACHECO MARTÍNEZ</w:t>
      </w:r>
    </w:p>
    <w:p w:rsidR="00146CE1" w:rsidRPr="00146CE1" w:rsidRDefault="00146CE1" w:rsidP="00293C36">
      <w:pPr>
        <w:spacing w:line="480" w:lineRule="auto"/>
        <w:jc w:val="center"/>
        <w:rPr>
          <w:rFonts w:ascii="Arial" w:eastAsia="Calibri" w:hAnsi="Arial" w:cs="Arial"/>
          <w:b/>
          <w:sz w:val="14"/>
          <w:szCs w:val="26"/>
        </w:rPr>
      </w:pPr>
      <w:r w:rsidRPr="00146CE1">
        <w:rPr>
          <w:rFonts w:ascii="Arial" w:eastAsia="Calibri" w:hAnsi="Arial" w:cs="Arial"/>
          <w:b/>
          <w:sz w:val="14"/>
          <w:szCs w:val="26"/>
        </w:rPr>
        <w:t>LAS PRESENTES FIRMAS CORRESPONDEN AL RECURSO DE REVISIÓN 25/2019</w:t>
      </w:r>
    </w:p>
    <w:p w:rsidR="00146CE1" w:rsidRDefault="00146CE1" w:rsidP="00293C36">
      <w:pPr>
        <w:spacing w:line="480" w:lineRule="auto"/>
        <w:jc w:val="center"/>
        <w:rPr>
          <w:rFonts w:ascii="Arial" w:eastAsia="Calibri" w:hAnsi="Arial" w:cs="Arial"/>
          <w:sz w:val="26"/>
          <w:szCs w:val="26"/>
        </w:rPr>
      </w:pPr>
    </w:p>
    <w:p w:rsidR="00146CE1" w:rsidRDefault="00146CE1" w:rsidP="00293C36">
      <w:pPr>
        <w:spacing w:line="480" w:lineRule="auto"/>
        <w:jc w:val="center"/>
        <w:rPr>
          <w:rFonts w:ascii="Arial" w:eastAsia="Calibri" w:hAnsi="Arial" w:cs="Arial"/>
          <w:sz w:val="26"/>
          <w:szCs w:val="26"/>
        </w:rPr>
      </w:pPr>
    </w:p>
    <w:p w:rsidR="00146CE1" w:rsidRPr="00124484" w:rsidRDefault="00146CE1" w:rsidP="00293C36">
      <w:pPr>
        <w:spacing w:line="480" w:lineRule="auto"/>
        <w:jc w:val="center"/>
        <w:rPr>
          <w:rFonts w:ascii="Arial" w:eastAsia="Calibri" w:hAnsi="Arial" w:cs="Arial"/>
          <w:sz w:val="26"/>
          <w:szCs w:val="26"/>
        </w:rPr>
      </w:pPr>
    </w:p>
    <w:p w:rsidR="008D0650" w:rsidRDefault="008D0650" w:rsidP="008D0650">
      <w:pPr>
        <w:spacing w:line="480" w:lineRule="auto"/>
        <w:jc w:val="center"/>
        <w:rPr>
          <w:rFonts w:ascii="Arial" w:eastAsia="Calibri" w:hAnsi="Arial" w:cs="Arial"/>
          <w:sz w:val="26"/>
          <w:szCs w:val="26"/>
        </w:rPr>
      </w:pPr>
      <w:r w:rsidRPr="00124484">
        <w:rPr>
          <w:rFonts w:ascii="Arial" w:eastAsia="Calibri" w:hAnsi="Arial" w:cs="Arial"/>
          <w:sz w:val="26"/>
          <w:szCs w:val="26"/>
        </w:rPr>
        <w:t xml:space="preserve">    MAGISTRADA MARÍA ELENA VILLA DE JARQUÍN</w:t>
      </w:r>
    </w:p>
    <w:p w:rsidR="00146CE1" w:rsidRDefault="00146CE1" w:rsidP="008D0650">
      <w:pPr>
        <w:spacing w:line="480" w:lineRule="auto"/>
        <w:jc w:val="center"/>
        <w:rPr>
          <w:rFonts w:ascii="Arial" w:eastAsia="Calibri" w:hAnsi="Arial" w:cs="Arial"/>
          <w:sz w:val="26"/>
          <w:szCs w:val="26"/>
        </w:rPr>
      </w:pPr>
    </w:p>
    <w:p w:rsidR="00146CE1" w:rsidRDefault="00146CE1" w:rsidP="008D0650">
      <w:pPr>
        <w:spacing w:line="480" w:lineRule="auto"/>
        <w:jc w:val="center"/>
        <w:rPr>
          <w:rFonts w:ascii="Arial" w:eastAsia="Calibri" w:hAnsi="Arial" w:cs="Arial"/>
          <w:sz w:val="26"/>
          <w:szCs w:val="26"/>
        </w:rPr>
      </w:pPr>
    </w:p>
    <w:p w:rsidR="00146CE1" w:rsidRPr="00124484" w:rsidRDefault="00146CE1" w:rsidP="008D0650">
      <w:pPr>
        <w:spacing w:line="480" w:lineRule="auto"/>
        <w:jc w:val="center"/>
        <w:rPr>
          <w:rFonts w:ascii="Arial" w:eastAsia="Calibri" w:hAnsi="Arial" w:cs="Arial"/>
          <w:sz w:val="26"/>
          <w:szCs w:val="26"/>
        </w:rPr>
      </w:pPr>
    </w:p>
    <w:p w:rsidR="008D0650" w:rsidRDefault="008D0650" w:rsidP="008D0650">
      <w:pPr>
        <w:spacing w:line="480" w:lineRule="auto"/>
        <w:ind w:left="851" w:firstLine="142"/>
        <w:rPr>
          <w:rFonts w:ascii="Arial" w:eastAsia="Calibri" w:hAnsi="Arial" w:cs="Arial"/>
          <w:sz w:val="26"/>
          <w:szCs w:val="26"/>
        </w:rPr>
      </w:pPr>
      <w:r w:rsidRPr="00124484">
        <w:rPr>
          <w:rFonts w:ascii="Arial" w:eastAsia="Calibri" w:hAnsi="Arial" w:cs="Arial"/>
          <w:sz w:val="26"/>
          <w:szCs w:val="26"/>
        </w:rPr>
        <w:t xml:space="preserve">     MAGISTRADO MANUEL VELASCO ALCÁNTARA</w:t>
      </w:r>
    </w:p>
    <w:p w:rsidR="00146CE1" w:rsidRDefault="00146CE1" w:rsidP="008D0650">
      <w:pPr>
        <w:spacing w:line="480" w:lineRule="auto"/>
        <w:ind w:left="851" w:firstLine="142"/>
        <w:rPr>
          <w:rFonts w:ascii="Arial" w:eastAsia="Calibri" w:hAnsi="Arial" w:cs="Arial"/>
          <w:sz w:val="26"/>
          <w:szCs w:val="26"/>
        </w:rPr>
      </w:pPr>
    </w:p>
    <w:p w:rsidR="00146CE1" w:rsidRPr="00124484" w:rsidRDefault="00146CE1" w:rsidP="008D0650">
      <w:pPr>
        <w:spacing w:line="480" w:lineRule="auto"/>
        <w:ind w:left="851" w:firstLine="142"/>
        <w:rPr>
          <w:rFonts w:ascii="Arial" w:eastAsia="Calibri" w:hAnsi="Arial" w:cs="Arial"/>
          <w:sz w:val="26"/>
          <w:szCs w:val="26"/>
        </w:rPr>
      </w:pPr>
    </w:p>
    <w:p w:rsidR="00844DFE" w:rsidRPr="00844DFE" w:rsidRDefault="00F4688C" w:rsidP="00844DFE">
      <w:pPr>
        <w:pStyle w:val="Prrafodelista"/>
        <w:ind w:left="1429"/>
        <w:rPr>
          <w:rFonts w:ascii="Arial" w:eastAsia="Calibri" w:hAnsi="Arial" w:cs="Arial"/>
          <w:sz w:val="26"/>
          <w:szCs w:val="26"/>
        </w:rPr>
      </w:pPr>
      <w:r>
        <w:rPr>
          <w:rFonts w:ascii="Arial" w:eastAsia="Calibri" w:hAnsi="Arial" w:cs="Arial"/>
          <w:sz w:val="26"/>
          <w:szCs w:val="26"/>
        </w:rPr>
        <w:t xml:space="preserve">       </w:t>
      </w:r>
      <w:r w:rsidRPr="00211DED">
        <w:rPr>
          <w:rFonts w:ascii="Arial" w:eastAsia="Calibri" w:hAnsi="Arial" w:cs="Arial"/>
          <w:sz w:val="26"/>
          <w:szCs w:val="26"/>
        </w:rPr>
        <w:t xml:space="preserve">LICENCIADA </w:t>
      </w:r>
      <w:r w:rsidR="00844DFE">
        <w:rPr>
          <w:rFonts w:ascii="Arial" w:eastAsia="Calibri" w:hAnsi="Arial" w:cs="Arial"/>
          <w:sz w:val="26"/>
          <w:szCs w:val="26"/>
        </w:rPr>
        <w:t>LETICIA GARCÍ</w:t>
      </w:r>
      <w:r>
        <w:rPr>
          <w:rFonts w:ascii="Arial" w:eastAsia="Calibri" w:hAnsi="Arial" w:cs="Arial"/>
          <w:sz w:val="26"/>
          <w:szCs w:val="26"/>
        </w:rPr>
        <w:t>A SOTO</w:t>
      </w:r>
    </w:p>
    <w:p w:rsidR="00F4688C" w:rsidRPr="008A03AE" w:rsidRDefault="00F4688C" w:rsidP="00F4688C">
      <w:pPr>
        <w:pStyle w:val="Prrafodelista"/>
        <w:ind w:left="1429"/>
        <w:rPr>
          <w:rFonts w:ascii="Arial" w:eastAsia="Calibri" w:hAnsi="Arial" w:cs="Arial"/>
          <w:bCs/>
          <w:sz w:val="26"/>
          <w:szCs w:val="26"/>
        </w:rPr>
      </w:pPr>
      <w:r>
        <w:rPr>
          <w:rFonts w:ascii="Arial" w:eastAsia="Calibri" w:hAnsi="Arial" w:cs="Arial"/>
          <w:sz w:val="26"/>
          <w:szCs w:val="26"/>
        </w:rPr>
        <w:t xml:space="preserve">    </w:t>
      </w:r>
      <w:r w:rsidRPr="00211DED">
        <w:rPr>
          <w:rFonts w:ascii="Arial" w:eastAsia="Calibri" w:hAnsi="Arial" w:cs="Arial"/>
          <w:sz w:val="26"/>
          <w:szCs w:val="26"/>
        </w:rPr>
        <w:t>SECRETARIA GENERAL DE ACUERDOS.</w:t>
      </w:r>
    </w:p>
    <w:p w:rsidR="008D0650" w:rsidRPr="00124484" w:rsidRDefault="008D0650" w:rsidP="00D209D3">
      <w:pPr>
        <w:widowControl w:val="0"/>
        <w:tabs>
          <w:tab w:val="left" w:pos="7938"/>
          <w:tab w:val="left" w:pos="8222"/>
        </w:tabs>
        <w:spacing w:after="120" w:line="360" w:lineRule="auto"/>
        <w:ind w:right="49"/>
        <w:jc w:val="both"/>
        <w:rPr>
          <w:rFonts w:ascii="Arial" w:hAnsi="Arial" w:cs="Arial"/>
          <w:b/>
          <w:bCs/>
          <w:sz w:val="26"/>
          <w:szCs w:val="26"/>
        </w:rPr>
      </w:pPr>
    </w:p>
    <w:p w:rsidR="008D0650" w:rsidRPr="00124484" w:rsidRDefault="008D0650" w:rsidP="00D209D3">
      <w:pPr>
        <w:widowControl w:val="0"/>
        <w:tabs>
          <w:tab w:val="left" w:pos="7938"/>
          <w:tab w:val="left" w:pos="8222"/>
        </w:tabs>
        <w:spacing w:after="120" w:line="360" w:lineRule="auto"/>
        <w:ind w:right="49"/>
        <w:jc w:val="both"/>
        <w:rPr>
          <w:rFonts w:ascii="Arial" w:hAnsi="Arial" w:cs="Arial"/>
          <w:b/>
          <w:bCs/>
          <w:sz w:val="26"/>
          <w:szCs w:val="26"/>
        </w:rPr>
      </w:pPr>
    </w:p>
    <w:sectPr w:rsidR="008D0650" w:rsidRPr="00124484" w:rsidSect="00146CE1">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E2F" w:rsidRDefault="00825E2F">
      <w:pPr>
        <w:spacing w:after="0" w:line="240" w:lineRule="auto"/>
      </w:pPr>
      <w:r>
        <w:separator/>
      </w:r>
    </w:p>
  </w:endnote>
  <w:endnote w:type="continuationSeparator" w:id="0">
    <w:p w:rsidR="00825E2F" w:rsidRDefault="00825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21" w:rsidRDefault="00F4342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21" w:rsidRDefault="00F43421">
    <w:pPr>
      <w:pStyle w:val="Piedepgina"/>
    </w:pPr>
    <w:r>
      <w:rPr>
        <w:noProof/>
        <w:lang w:eastAsia="es-MX"/>
      </w:rPr>
      <w:drawing>
        <wp:anchor distT="0" distB="0" distL="114300" distR="114300" simplePos="0" relativeHeight="251669504" behindDoc="0" locked="0" layoutInCell="1" allowOverlap="1" wp14:anchorId="5BBD8C3A" wp14:editId="11B9633E">
          <wp:simplePos x="0" y="0"/>
          <wp:positionH relativeFrom="column">
            <wp:posOffset>-993887</wp:posOffset>
          </wp:positionH>
          <wp:positionV relativeFrom="paragraph">
            <wp:posOffset>-5268782</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21" w:rsidRDefault="00F434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E2F" w:rsidRDefault="00825E2F">
      <w:pPr>
        <w:spacing w:after="0" w:line="240" w:lineRule="auto"/>
      </w:pPr>
      <w:r>
        <w:separator/>
      </w:r>
    </w:p>
  </w:footnote>
  <w:footnote w:type="continuationSeparator" w:id="0">
    <w:p w:rsidR="00825E2F" w:rsidRDefault="00825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47F44" w:rsidRDefault="00047F44">
        <w:pPr>
          <w:pStyle w:val="Encabezado"/>
          <w:jc w:val="center"/>
        </w:pPr>
        <w:r>
          <w:fldChar w:fldCharType="begin"/>
        </w:r>
        <w:r>
          <w:instrText>PAGE   \* MERGEFORMAT</w:instrText>
        </w:r>
        <w:r>
          <w:fldChar w:fldCharType="separate"/>
        </w:r>
        <w:r w:rsidR="00F43421">
          <w:rPr>
            <w:noProof/>
          </w:rPr>
          <w:t>2</w:t>
        </w:r>
        <w:r>
          <w:fldChar w:fldCharType="end"/>
        </w:r>
      </w:p>
    </w:sdtContent>
  </w:sdt>
  <w:p w:rsidR="00047F44" w:rsidRDefault="00F43421">
    <w:pPr>
      <w:pStyle w:val="Encabezado"/>
    </w:pPr>
    <w:bookmarkStart w:id="0" w:name="_GoBack"/>
    <w:r>
      <w:rPr>
        <w:noProof/>
        <w:lang w:eastAsia="es-MX"/>
      </w:rPr>
      <w:drawing>
        <wp:anchor distT="0" distB="0" distL="114300" distR="114300" simplePos="0" relativeHeight="251667456" behindDoc="0" locked="0" layoutInCell="1" allowOverlap="1" wp14:anchorId="2D1B2EA0" wp14:editId="06D8737D">
          <wp:simplePos x="0" y="0"/>
          <wp:positionH relativeFrom="column">
            <wp:posOffset>5061809</wp:posOffset>
          </wp:positionH>
          <wp:positionV relativeFrom="paragraph">
            <wp:posOffset>4834031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47F44" w:rsidRDefault="00047F44" w:rsidP="004E12FB">
        <w:pPr>
          <w:pStyle w:val="Encabezado"/>
          <w:jc w:val="center"/>
          <w:rPr>
            <w:noProof/>
          </w:rPr>
        </w:pPr>
        <w:r>
          <w:fldChar w:fldCharType="begin"/>
        </w:r>
        <w:r>
          <w:instrText xml:space="preserve"> PAGE   \* MERGEFORMAT </w:instrText>
        </w:r>
        <w:r>
          <w:fldChar w:fldCharType="separate"/>
        </w:r>
        <w:r w:rsidR="00F43421">
          <w:rPr>
            <w:noProof/>
          </w:rPr>
          <w:t>1</w:t>
        </w:r>
        <w:r>
          <w:rPr>
            <w:noProof/>
          </w:rPr>
          <w:fldChar w:fldCharType="end"/>
        </w:r>
      </w:p>
    </w:sdtContent>
  </w:sdt>
  <w:p w:rsidR="00047F44" w:rsidRDefault="00047F44" w:rsidP="004E12FB">
    <w:pPr>
      <w:pStyle w:val="Encabezado"/>
      <w:jc w:val="center"/>
    </w:pPr>
    <w:r>
      <w:rPr>
        <w:noProof/>
        <w:lang w:val="es-MX" w:eastAsia="es-MX"/>
      </w:rPr>
      <w:drawing>
        <wp:anchor distT="0" distB="0" distL="114300" distR="114300" simplePos="0" relativeHeight="251661312" behindDoc="1" locked="0" layoutInCell="1" allowOverlap="1" wp14:anchorId="029BCD48" wp14:editId="2E1F03F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76E81F81" wp14:editId="420D839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21" w:rsidRDefault="00F434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78A1"/>
    <w:rsid w:val="0002147F"/>
    <w:rsid w:val="00025D40"/>
    <w:rsid w:val="000420F9"/>
    <w:rsid w:val="00047F44"/>
    <w:rsid w:val="000733D1"/>
    <w:rsid w:val="0009469A"/>
    <w:rsid w:val="000B0483"/>
    <w:rsid w:val="000C5335"/>
    <w:rsid w:val="001003BA"/>
    <w:rsid w:val="00110488"/>
    <w:rsid w:val="001230D7"/>
    <w:rsid w:val="00124069"/>
    <w:rsid w:val="00124484"/>
    <w:rsid w:val="001350A5"/>
    <w:rsid w:val="00146CE1"/>
    <w:rsid w:val="001578A5"/>
    <w:rsid w:val="001734EF"/>
    <w:rsid w:val="00173D38"/>
    <w:rsid w:val="00176401"/>
    <w:rsid w:val="0018401E"/>
    <w:rsid w:val="001967E5"/>
    <w:rsid w:val="001A0AD3"/>
    <w:rsid w:val="001A21A7"/>
    <w:rsid w:val="001B3C47"/>
    <w:rsid w:val="001C03D5"/>
    <w:rsid w:val="001D6A01"/>
    <w:rsid w:val="001E3EFF"/>
    <w:rsid w:val="00200EB5"/>
    <w:rsid w:val="0020525E"/>
    <w:rsid w:val="00207556"/>
    <w:rsid w:val="00217ED8"/>
    <w:rsid w:val="002241E9"/>
    <w:rsid w:val="002264D6"/>
    <w:rsid w:val="00240760"/>
    <w:rsid w:val="00252151"/>
    <w:rsid w:val="00261EC0"/>
    <w:rsid w:val="0027710C"/>
    <w:rsid w:val="0028071E"/>
    <w:rsid w:val="002911B3"/>
    <w:rsid w:val="00293C36"/>
    <w:rsid w:val="002968CF"/>
    <w:rsid w:val="002972EC"/>
    <w:rsid w:val="002A2DED"/>
    <w:rsid w:val="002D5010"/>
    <w:rsid w:val="002F419D"/>
    <w:rsid w:val="00305B9A"/>
    <w:rsid w:val="003076FF"/>
    <w:rsid w:val="00345802"/>
    <w:rsid w:val="00347F63"/>
    <w:rsid w:val="003522D3"/>
    <w:rsid w:val="003645A3"/>
    <w:rsid w:val="00365474"/>
    <w:rsid w:val="00374E51"/>
    <w:rsid w:val="00376509"/>
    <w:rsid w:val="00380B42"/>
    <w:rsid w:val="003C49FF"/>
    <w:rsid w:val="003D4918"/>
    <w:rsid w:val="003E1B75"/>
    <w:rsid w:val="003E21D7"/>
    <w:rsid w:val="003E4707"/>
    <w:rsid w:val="00416399"/>
    <w:rsid w:val="00433275"/>
    <w:rsid w:val="00444781"/>
    <w:rsid w:val="00461A08"/>
    <w:rsid w:val="0046362C"/>
    <w:rsid w:val="00464D85"/>
    <w:rsid w:val="00470EA2"/>
    <w:rsid w:val="004711D9"/>
    <w:rsid w:val="00472F19"/>
    <w:rsid w:val="004749C5"/>
    <w:rsid w:val="00491D30"/>
    <w:rsid w:val="004A0F48"/>
    <w:rsid w:val="004A6259"/>
    <w:rsid w:val="004B0484"/>
    <w:rsid w:val="004C7506"/>
    <w:rsid w:val="004D0AC9"/>
    <w:rsid w:val="004E12FB"/>
    <w:rsid w:val="0052747C"/>
    <w:rsid w:val="00536001"/>
    <w:rsid w:val="005365F9"/>
    <w:rsid w:val="00553AFB"/>
    <w:rsid w:val="005571DA"/>
    <w:rsid w:val="00572B74"/>
    <w:rsid w:val="00587E3D"/>
    <w:rsid w:val="005A667B"/>
    <w:rsid w:val="005C05DB"/>
    <w:rsid w:val="005C22DF"/>
    <w:rsid w:val="005C623F"/>
    <w:rsid w:val="005D4261"/>
    <w:rsid w:val="005E1F12"/>
    <w:rsid w:val="005E34AF"/>
    <w:rsid w:val="005F0467"/>
    <w:rsid w:val="005F1EC5"/>
    <w:rsid w:val="006220C5"/>
    <w:rsid w:val="00627382"/>
    <w:rsid w:val="00637F66"/>
    <w:rsid w:val="00644DD2"/>
    <w:rsid w:val="0064742C"/>
    <w:rsid w:val="00653008"/>
    <w:rsid w:val="00676F3E"/>
    <w:rsid w:val="00681C7C"/>
    <w:rsid w:val="0068660B"/>
    <w:rsid w:val="00690D4D"/>
    <w:rsid w:val="006925A0"/>
    <w:rsid w:val="00695586"/>
    <w:rsid w:val="006A51E0"/>
    <w:rsid w:val="006A639C"/>
    <w:rsid w:val="006B6A1B"/>
    <w:rsid w:val="006C350D"/>
    <w:rsid w:val="006F0B86"/>
    <w:rsid w:val="006F7EFE"/>
    <w:rsid w:val="00700211"/>
    <w:rsid w:val="00712776"/>
    <w:rsid w:val="00716DB6"/>
    <w:rsid w:val="00720D4C"/>
    <w:rsid w:val="007351A8"/>
    <w:rsid w:val="0074554A"/>
    <w:rsid w:val="00757317"/>
    <w:rsid w:val="0077255A"/>
    <w:rsid w:val="00773798"/>
    <w:rsid w:val="00787169"/>
    <w:rsid w:val="00792424"/>
    <w:rsid w:val="00793AA8"/>
    <w:rsid w:val="00793DAD"/>
    <w:rsid w:val="00794CE8"/>
    <w:rsid w:val="0079689C"/>
    <w:rsid w:val="007A0114"/>
    <w:rsid w:val="007A0B35"/>
    <w:rsid w:val="007A4D88"/>
    <w:rsid w:val="007C15B8"/>
    <w:rsid w:val="007C36C3"/>
    <w:rsid w:val="007F0521"/>
    <w:rsid w:val="00815027"/>
    <w:rsid w:val="00823E55"/>
    <w:rsid w:val="00825E2F"/>
    <w:rsid w:val="00832086"/>
    <w:rsid w:val="00844DFE"/>
    <w:rsid w:val="008719FF"/>
    <w:rsid w:val="00881C30"/>
    <w:rsid w:val="008B56E6"/>
    <w:rsid w:val="008C4994"/>
    <w:rsid w:val="008D0650"/>
    <w:rsid w:val="008F20E4"/>
    <w:rsid w:val="009008DF"/>
    <w:rsid w:val="00900E1B"/>
    <w:rsid w:val="0090758B"/>
    <w:rsid w:val="009111CE"/>
    <w:rsid w:val="00917A97"/>
    <w:rsid w:val="009227ED"/>
    <w:rsid w:val="0092441F"/>
    <w:rsid w:val="00926D4F"/>
    <w:rsid w:val="009457FC"/>
    <w:rsid w:val="0096006F"/>
    <w:rsid w:val="009662C3"/>
    <w:rsid w:val="00967B91"/>
    <w:rsid w:val="00967E09"/>
    <w:rsid w:val="00971B1B"/>
    <w:rsid w:val="00972250"/>
    <w:rsid w:val="009763EF"/>
    <w:rsid w:val="009764EE"/>
    <w:rsid w:val="00977CF1"/>
    <w:rsid w:val="009955E6"/>
    <w:rsid w:val="009B627D"/>
    <w:rsid w:val="009C2C64"/>
    <w:rsid w:val="009C474B"/>
    <w:rsid w:val="009F24D6"/>
    <w:rsid w:val="00A02819"/>
    <w:rsid w:val="00A1019C"/>
    <w:rsid w:val="00A162B2"/>
    <w:rsid w:val="00A27E95"/>
    <w:rsid w:val="00A3132F"/>
    <w:rsid w:val="00A3286B"/>
    <w:rsid w:val="00A535DA"/>
    <w:rsid w:val="00A62EC8"/>
    <w:rsid w:val="00A6528C"/>
    <w:rsid w:val="00A70245"/>
    <w:rsid w:val="00A811FD"/>
    <w:rsid w:val="00A82CEE"/>
    <w:rsid w:val="00A903D9"/>
    <w:rsid w:val="00A91D54"/>
    <w:rsid w:val="00AD2870"/>
    <w:rsid w:val="00B066D1"/>
    <w:rsid w:val="00B41440"/>
    <w:rsid w:val="00B6593A"/>
    <w:rsid w:val="00B65A7E"/>
    <w:rsid w:val="00B67459"/>
    <w:rsid w:val="00B77005"/>
    <w:rsid w:val="00B87C4C"/>
    <w:rsid w:val="00B913BF"/>
    <w:rsid w:val="00BB0481"/>
    <w:rsid w:val="00BC23C3"/>
    <w:rsid w:val="00BC3C16"/>
    <w:rsid w:val="00BD5CE0"/>
    <w:rsid w:val="00BE6D20"/>
    <w:rsid w:val="00BF676D"/>
    <w:rsid w:val="00C17B37"/>
    <w:rsid w:val="00C47C8F"/>
    <w:rsid w:val="00C57458"/>
    <w:rsid w:val="00C63CC8"/>
    <w:rsid w:val="00CA6FB3"/>
    <w:rsid w:val="00CB2BE8"/>
    <w:rsid w:val="00CF249F"/>
    <w:rsid w:val="00CF4BD3"/>
    <w:rsid w:val="00D209D3"/>
    <w:rsid w:val="00D3297A"/>
    <w:rsid w:val="00D42E18"/>
    <w:rsid w:val="00D42EBC"/>
    <w:rsid w:val="00D47C42"/>
    <w:rsid w:val="00D67D7D"/>
    <w:rsid w:val="00D70587"/>
    <w:rsid w:val="00D73B86"/>
    <w:rsid w:val="00DE0BB4"/>
    <w:rsid w:val="00DE14DB"/>
    <w:rsid w:val="00DF5802"/>
    <w:rsid w:val="00E228E5"/>
    <w:rsid w:val="00E4036B"/>
    <w:rsid w:val="00E50304"/>
    <w:rsid w:val="00E53EBD"/>
    <w:rsid w:val="00E60B89"/>
    <w:rsid w:val="00E66955"/>
    <w:rsid w:val="00E7136D"/>
    <w:rsid w:val="00E74965"/>
    <w:rsid w:val="00E84466"/>
    <w:rsid w:val="00E927F8"/>
    <w:rsid w:val="00E94637"/>
    <w:rsid w:val="00EA3A61"/>
    <w:rsid w:val="00EA4AA8"/>
    <w:rsid w:val="00EB3D05"/>
    <w:rsid w:val="00EC56AF"/>
    <w:rsid w:val="00EE0F0C"/>
    <w:rsid w:val="00EE0FFD"/>
    <w:rsid w:val="00EE51CB"/>
    <w:rsid w:val="00EF5B16"/>
    <w:rsid w:val="00F1181C"/>
    <w:rsid w:val="00F12548"/>
    <w:rsid w:val="00F14528"/>
    <w:rsid w:val="00F2221D"/>
    <w:rsid w:val="00F32B43"/>
    <w:rsid w:val="00F359DC"/>
    <w:rsid w:val="00F40C32"/>
    <w:rsid w:val="00F413B4"/>
    <w:rsid w:val="00F43421"/>
    <w:rsid w:val="00F4688C"/>
    <w:rsid w:val="00F5029C"/>
    <w:rsid w:val="00F55334"/>
    <w:rsid w:val="00F6407F"/>
    <w:rsid w:val="00F75EF3"/>
    <w:rsid w:val="00F80457"/>
    <w:rsid w:val="00F80C77"/>
    <w:rsid w:val="00F92AF6"/>
    <w:rsid w:val="00F94BB6"/>
    <w:rsid w:val="00F975A8"/>
    <w:rsid w:val="00FB0A0A"/>
    <w:rsid w:val="00FB5E30"/>
    <w:rsid w:val="00FC2162"/>
    <w:rsid w:val="00FC3678"/>
    <w:rsid w:val="00FD1813"/>
    <w:rsid w:val="00FD3351"/>
    <w:rsid w:val="00FE73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FA2AC9-BE92-41D7-A5AA-4EA55E98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Piedepgina">
    <w:name w:val="footer"/>
    <w:basedOn w:val="Normal"/>
    <w:link w:val="PiedepginaCar"/>
    <w:uiPriority w:val="99"/>
    <w:unhideWhenUsed/>
    <w:rsid w:val="00F804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0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DF421-1845-4AB8-9DAE-F9061F94E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2357</Words>
  <Characters>12967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59</cp:revision>
  <cp:lastPrinted>2019-06-03T18:31:00Z</cp:lastPrinted>
  <dcterms:created xsi:type="dcterms:W3CDTF">2019-04-01T18:22:00Z</dcterms:created>
  <dcterms:modified xsi:type="dcterms:W3CDTF">2019-07-01T20:36:00Z</dcterms:modified>
</cp:coreProperties>
</file>