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696113">
      <w:pPr>
        <w:spacing w:line="240" w:lineRule="auto"/>
        <w:ind w:left="2552"/>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2620B24F" w:rsidR="003B6CF0" w:rsidRPr="00CB6405" w:rsidRDefault="003B6CF0" w:rsidP="00696113">
      <w:pPr>
        <w:spacing w:line="240" w:lineRule="auto"/>
        <w:ind w:left="2552"/>
        <w:jc w:val="both"/>
        <w:rPr>
          <w:rFonts w:ascii="Arial" w:hAnsi="Arial" w:cs="Arial"/>
          <w:b/>
          <w:sz w:val="26"/>
          <w:szCs w:val="26"/>
        </w:rPr>
      </w:pPr>
      <w:r w:rsidRPr="00CB6405">
        <w:rPr>
          <w:rFonts w:ascii="Arial" w:hAnsi="Arial" w:cs="Arial"/>
          <w:b/>
          <w:sz w:val="26"/>
          <w:szCs w:val="26"/>
        </w:rPr>
        <w:t>RECURSO DE REVISIÓN:</w:t>
      </w:r>
      <w:r w:rsidR="00DE7C8F">
        <w:rPr>
          <w:rFonts w:ascii="Arial" w:hAnsi="Arial" w:cs="Arial"/>
          <w:b/>
          <w:sz w:val="26"/>
          <w:szCs w:val="26"/>
        </w:rPr>
        <w:t xml:space="preserve"> </w:t>
      </w:r>
      <w:r w:rsidRPr="00CB6405">
        <w:rPr>
          <w:rFonts w:ascii="Arial" w:hAnsi="Arial" w:cs="Arial"/>
          <w:b/>
          <w:sz w:val="26"/>
          <w:szCs w:val="26"/>
        </w:rPr>
        <w:t>0</w:t>
      </w:r>
      <w:r w:rsidR="00B90481">
        <w:rPr>
          <w:rFonts w:ascii="Arial" w:hAnsi="Arial" w:cs="Arial"/>
          <w:b/>
          <w:sz w:val="26"/>
          <w:szCs w:val="26"/>
        </w:rPr>
        <w:t>026</w:t>
      </w:r>
      <w:r>
        <w:rPr>
          <w:rFonts w:ascii="Arial" w:hAnsi="Arial" w:cs="Arial"/>
          <w:b/>
          <w:sz w:val="26"/>
          <w:szCs w:val="26"/>
        </w:rPr>
        <w:t>/202</w:t>
      </w:r>
      <w:r w:rsidR="00B90481">
        <w:rPr>
          <w:rFonts w:ascii="Arial" w:hAnsi="Arial" w:cs="Arial"/>
          <w:b/>
          <w:sz w:val="26"/>
          <w:szCs w:val="26"/>
        </w:rPr>
        <w:t>1</w:t>
      </w:r>
      <w:r>
        <w:rPr>
          <w:rFonts w:ascii="Arial" w:hAnsi="Arial" w:cs="Arial"/>
          <w:b/>
          <w:sz w:val="26"/>
          <w:szCs w:val="26"/>
        </w:rPr>
        <w:t>.</w:t>
      </w:r>
    </w:p>
    <w:p w14:paraId="4DFA70CD" w14:textId="76C758FE" w:rsidR="003B6CF0" w:rsidRDefault="003B6CF0" w:rsidP="00696113">
      <w:pPr>
        <w:spacing w:line="240" w:lineRule="auto"/>
        <w:ind w:left="2552"/>
        <w:jc w:val="both"/>
        <w:rPr>
          <w:rFonts w:ascii="Arial" w:hAnsi="Arial" w:cs="Arial"/>
          <w:b/>
          <w:sz w:val="26"/>
          <w:szCs w:val="26"/>
        </w:rPr>
      </w:pPr>
      <w:r w:rsidRPr="00CB6405">
        <w:rPr>
          <w:rFonts w:ascii="Arial" w:hAnsi="Arial" w:cs="Arial"/>
          <w:b/>
          <w:sz w:val="26"/>
          <w:szCs w:val="26"/>
        </w:rPr>
        <w:t>EXPEDIENTE:</w:t>
      </w:r>
      <w:r w:rsidR="00DE7C8F">
        <w:rPr>
          <w:rFonts w:ascii="Arial" w:hAnsi="Arial" w:cs="Arial"/>
          <w:b/>
          <w:sz w:val="26"/>
          <w:szCs w:val="26"/>
        </w:rPr>
        <w:t xml:space="preserve"> </w:t>
      </w:r>
      <w:r w:rsidR="00B90481">
        <w:rPr>
          <w:rFonts w:ascii="Arial" w:hAnsi="Arial" w:cs="Arial"/>
          <w:b/>
          <w:sz w:val="26"/>
          <w:szCs w:val="26"/>
        </w:rPr>
        <w:t>0064</w:t>
      </w:r>
      <w:r>
        <w:rPr>
          <w:rFonts w:ascii="Arial" w:hAnsi="Arial" w:cs="Arial"/>
          <w:b/>
          <w:sz w:val="26"/>
          <w:szCs w:val="26"/>
        </w:rPr>
        <w:t>/</w:t>
      </w:r>
      <w:r w:rsidRPr="00CB6405">
        <w:rPr>
          <w:rFonts w:ascii="Arial" w:hAnsi="Arial" w:cs="Arial"/>
          <w:b/>
          <w:sz w:val="26"/>
          <w:szCs w:val="26"/>
        </w:rPr>
        <w:t>20</w:t>
      </w:r>
      <w:r w:rsidR="00B90481">
        <w:rPr>
          <w:rFonts w:ascii="Arial" w:hAnsi="Arial" w:cs="Arial"/>
          <w:b/>
          <w:sz w:val="26"/>
          <w:szCs w:val="26"/>
        </w:rPr>
        <w:t>19</w:t>
      </w:r>
      <w:r w:rsidRPr="00CB6405">
        <w:rPr>
          <w:rFonts w:ascii="Arial" w:hAnsi="Arial" w:cs="Arial"/>
          <w:b/>
          <w:sz w:val="26"/>
          <w:szCs w:val="26"/>
        </w:rPr>
        <w:t xml:space="preserve"> </w:t>
      </w:r>
      <w:r w:rsidR="000E7081">
        <w:rPr>
          <w:rFonts w:ascii="Arial" w:hAnsi="Arial" w:cs="Arial"/>
          <w:b/>
          <w:sz w:val="26"/>
          <w:szCs w:val="26"/>
        </w:rPr>
        <w:t>SEGUND</w:t>
      </w:r>
      <w:r w:rsidR="00A202FC">
        <w:rPr>
          <w:rFonts w:ascii="Arial" w:hAnsi="Arial" w:cs="Arial"/>
          <w:b/>
          <w:sz w:val="26"/>
          <w:szCs w:val="26"/>
        </w:rPr>
        <w: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696113">
      <w:pPr>
        <w:spacing w:line="240" w:lineRule="auto"/>
        <w:ind w:left="2552"/>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17E5F94F" w:rsidR="003B6CF0" w:rsidRDefault="00E164DB" w:rsidP="00D7716F">
      <w:pPr>
        <w:pStyle w:val="Sinespaciado"/>
      </w:pPr>
      <w:r>
        <w:t xml:space="preserve">                                                                                                                                                                                                                                                                                                                                                                                                                                                                                                                                                                                                                                                                                                                                                   </w:t>
      </w:r>
      <w:r w:rsidR="00B7192B">
        <w:t xml:space="preserve">                                                                                                                                                                                                                                                                                                                                                                                                                                                                                                                                                                                                                                                                                                                                               </w:t>
      </w:r>
    </w:p>
    <w:p w14:paraId="3DE7165A" w14:textId="6BD25620"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1C02F7">
        <w:rPr>
          <w:rFonts w:ascii="Arial" w:hAnsi="Arial" w:cs="Arial"/>
          <w:b/>
          <w:sz w:val="26"/>
          <w:szCs w:val="26"/>
        </w:rPr>
        <w:t>A ONCE</w:t>
      </w:r>
      <w:r w:rsidR="003E26A1">
        <w:rPr>
          <w:rFonts w:ascii="Arial" w:hAnsi="Arial" w:cs="Arial"/>
          <w:b/>
          <w:sz w:val="26"/>
          <w:szCs w:val="26"/>
        </w:rPr>
        <w:t xml:space="preserve"> DE NOVIEMBRE </w:t>
      </w:r>
      <w:r>
        <w:rPr>
          <w:rFonts w:ascii="Arial" w:hAnsi="Arial" w:cs="Arial"/>
          <w:b/>
          <w:sz w:val="26"/>
          <w:szCs w:val="26"/>
        </w:rPr>
        <w:t xml:space="preserve">DE DOS MIL VEINTIUNO. - - - - - - - - - - - - - - - - - - - - - - - - - - - - - - - - - - - - - - - </w:t>
      </w:r>
    </w:p>
    <w:p w14:paraId="655159DA" w14:textId="06DC7CA8" w:rsidR="003B6CF0" w:rsidRPr="000D304A" w:rsidRDefault="003B6CF0" w:rsidP="003E26A1">
      <w:pPr>
        <w:spacing w:line="360" w:lineRule="auto"/>
        <w:ind w:firstLine="708"/>
        <w:jc w:val="both"/>
        <w:rPr>
          <w:rFonts w:ascii="Arial" w:hAnsi="Arial" w:cs="Arial"/>
          <w:b/>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B90481">
        <w:rPr>
          <w:rFonts w:ascii="Arial" w:hAnsi="Arial" w:cs="Arial"/>
          <w:b/>
          <w:sz w:val="26"/>
          <w:szCs w:val="26"/>
        </w:rPr>
        <w:t>026</w:t>
      </w:r>
      <w:r w:rsidRPr="00CB6405">
        <w:rPr>
          <w:rFonts w:ascii="Arial" w:hAnsi="Arial" w:cs="Arial"/>
          <w:b/>
          <w:sz w:val="26"/>
          <w:szCs w:val="26"/>
        </w:rPr>
        <w:t>/20</w:t>
      </w:r>
      <w:r>
        <w:rPr>
          <w:rFonts w:ascii="Arial" w:hAnsi="Arial" w:cs="Arial"/>
          <w:b/>
          <w:sz w:val="26"/>
          <w:szCs w:val="26"/>
        </w:rPr>
        <w:t>2</w:t>
      </w:r>
      <w:r w:rsidR="00B90481">
        <w:rPr>
          <w:rFonts w:ascii="Arial" w:hAnsi="Arial" w:cs="Arial"/>
          <w:b/>
          <w:sz w:val="26"/>
          <w:szCs w:val="26"/>
        </w:rPr>
        <w:t>1</w:t>
      </w:r>
      <w:r>
        <w:rPr>
          <w:rFonts w:ascii="Arial" w:hAnsi="Arial" w:cs="Arial"/>
          <w:sz w:val="26"/>
          <w:szCs w:val="26"/>
        </w:rPr>
        <w:t>, turnado por la Secretaría General de Acuerdos, con motivo del recu</w:t>
      </w:r>
      <w:r w:rsidR="007007A1">
        <w:rPr>
          <w:rFonts w:ascii="Arial" w:hAnsi="Arial" w:cs="Arial"/>
          <w:sz w:val="26"/>
          <w:szCs w:val="26"/>
        </w:rPr>
        <w:t xml:space="preserve">rso de revisión interpuesto por </w:t>
      </w:r>
      <w:r w:rsidR="00AF4C1E">
        <w:rPr>
          <w:rFonts w:ascii="Arial" w:hAnsi="Arial" w:cs="Arial"/>
          <w:b/>
          <w:sz w:val="26"/>
          <w:szCs w:val="26"/>
        </w:rPr>
        <w:t xml:space="preserve">ANTONIO GARCÍA BAUTISTA, </w:t>
      </w:r>
      <w:r w:rsidR="00B90481">
        <w:rPr>
          <w:rFonts w:ascii="Arial" w:hAnsi="Arial" w:cs="Arial"/>
          <w:b/>
          <w:sz w:val="26"/>
          <w:szCs w:val="26"/>
        </w:rPr>
        <w:t>POLICÍA SEGUNDO VIAL, CON NÚMERO ESTADÍSTICO PV-324 ADSCRITO A LA SUBDIRECCIÓN DE TRÁNSITO Y MOVILIDAD DEL MUNICIPIO DE OAXACA DE JUÁREZ,</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B90481">
        <w:rPr>
          <w:rFonts w:ascii="Arial" w:hAnsi="Arial" w:cs="Arial"/>
          <w:sz w:val="26"/>
          <w:szCs w:val="26"/>
        </w:rPr>
        <w:t xml:space="preserve"> </w:t>
      </w:r>
      <w:r w:rsidR="002B2D60">
        <w:rPr>
          <w:rFonts w:ascii="Arial" w:hAnsi="Arial" w:cs="Arial"/>
          <w:sz w:val="26"/>
          <w:szCs w:val="26"/>
        </w:rPr>
        <w:t>l</w:t>
      </w:r>
      <w:r w:rsidR="00B90481">
        <w:rPr>
          <w:rFonts w:ascii="Arial" w:hAnsi="Arial" w:cs="Arial"/>
          <w:sz w:val="26"/>
          <w:szCs w:val="26"/>
        </w:rPr>
        <w:t>a</w:t>
      </w:r>
      <w:r w:rsidR="00666F98">
        <w:rPr>
          <w:rFonts w:ascii="Arial" w:hAnsi="Arial" w:cs="Arial"/>
          <w:sz w:val="26"/>
          <w:szCs w:val="26"/>
        </w:rPr>
        <w:t xml:space="preserve"> </w:t>
      </w:r>
      <w:r w:rsidR="00B90481">
        <w:rPr>
          <w:rFonts w:ascii="Arial" w:hAnsi="Arial" w:cs="Arial"/>
          <w:sz w:val="26"/>
          <w:szCs w:val="26"/>
        </w:rPr>
        <w:t>sentencia</w:t>
      </w:r>
      <w:r w:rsidR="00666F98">
        <w:rPr>
          <w:rFonts w:ascii="Arial" w:hAnsi="Arial" w:cs="Arial"/>
          <w:sz w:val="26"/>
          <w:szCs w:val="26"/>
        </w:rPr>
        <w:t xml:space="preserve"> de</w:t>
      </w:r>
      <w:r w:rsidR="00A202FC">
        <w:rPr>
          <w:rFonts w:ascii="Arial" w:hAnsi="Arial" w:cs="Arial"/>
          <w:sz w:val="26"/>
          <w:szCs w:val="26"/>
        </w:rPr>
        <w:t xml:space="preserve"> </w:t>
      </w:r>
      <w:r w:rsidR="00B90481">
        <w:rPr>
          <w:rFonts w:ascii="Arial" w:hAnsi="Arial" w:cs="Arial"/>
          <w:sz w:val="26"/>
          <w:szCs w:val="26"/>
        </w:rPr>
        <w:t>catorce</w:t>
      </w:r>
      <w:r w:rsidR="00666F98">
        <w:rPr>
          <w:rFonts w:ascii="Arial" w:hAnsi="Arial" w:cs="Arial"/>
          <w:sz w:val="26"/>
          <w:szCs w:val="26"/>
        </w:rPr>
        <w:t xml:space="preserve"> </w:t>
      </w:r>
      <w:r>
        <w:rPr>
          <w:rFonts w:ascii="Arial" w:hAnsi="Arial" w:cs="Arial"/>
          <w:sz w:val="26"/>
          <w:szCs w:val="26"/>
        </w:rPr>
        <w:t xml:space="preserve">de </w:t>
      </w:r>
      <w:r w:rsidR="00B90481">
        <w:rPr>
          <w:rFonts w:ascii="Arial" w:hAnsi="Arial" w:cs="Arial"/>
          <w:sz w:val="26"/>
          <w:szCs w:val="26"/>
        </w:rPr>
        <w:t>octu</w:t>
      </w:r>
      <w:r w:rsidR="00F00EFF">
        <w:rPr>
          <w:rFonts w:ascii="Arial" w:hAnsi="Arial" w:cs="Arial"/>
          <w:sz w:val="26"/>
          <w:szCs w:val="26"/>
        </w:rPr>
        <w:t>bre</w:t>
      </w:r>
      <w:r>
        <w:rPr>
          <w:rFonts w:ascii="Arial" w:hAnsi="Arial" w:cs="Arial"/>
          <w:sz w:val="26"/>
          <w:szCs w:val="26"/>
        </w:rPr>
        <w:t xml:space="preserve"> de dos mil </w:t>
      </w:r>
      <w:r w:rsidR="00666F98">
        <w:rPr>
          <w:rFonts w:ascii="Arial" w:hAnsi="Arial" w:cs="Arial"/>
          <w:sz w:val="26"/>
          <w:szCs w:val="26"/>
        </w:rPr>
        <w:t>veinte</w:t>
      </w:r>
      <w:r>
        <w:rPr>
          <w:rFonts w:ascii="Arial" w:hAnsi="Arial" w:cs="Arial"/>
          <w:sz w:val="26"/>
          <w:szCs w:val="26"/>
        </w:rPr>
        <w:t>, dictad</w:t>
      </w:r>
      <w:r w:rsidR="00B90481">
        <w:rPr>
          <w:rFonts w:ascii="Arial" w:hAnsi="Arial" w:cs="Arial"/>
          <w:sz w:val="26"/>
          <w:szCs w:val="26"/>
        </w:rPr>
        <w:t>a</w:t>
      </w:r>
      <w:r>
        <w:rPr>
          <w:rFonts w:ascii="Arial" w:hAnsi="Arial" w:cs="Arial"/>
          <w:sz w:val="26"/>
          <w:szCs w:val="26"/>
        </w:rPr>
        <w:t xml:space="preserve"> en el expediente </w:t>
      </w:r>
      <w:r w:rsidR="00F00EFF">
        <w:rPr>
          <w:rFonts w:ascii="Arial" w:hAnsi="Arial" w:cs="Arial"/>
          <w:b/>
          <w:sz w:val="26"/>
          <w:szCs w:val="26"/>
        </w:rPr>
        <w:t>0</w:t>
      </w:r>
      <w:r w:rsidR="000D304A">
        <w:rPr>
          <w:rFonts w:ascii="Arial" w:hAnsi="Arial" w:cs="Arial"/>
          <w:b/>
          <w:sz w:val="26"/>
          <w:szCs w:val="26"/>
        </w:rPr>
        <w:t>0</w:t>
      </w:r>
      <w:r w:rsidR="00B90481">
        <w:rPr>
          <w:rFonts w:ascii="Arial" w:hAnsi="Arial" w:cs="Arial"/>
          <w:b/>
          <w:sz w:val="26"/>
          <w:szCs w:val="26"/>
        </w:rPr>
        <w:t>6</w:t>
      </w:r>
      <w:r w:rsidR="000D304A">
        <w:rPr>
          <w:rFonts w:ascii="Arial" w:hAnsi="Arial" w:cs="Arial"/>
          <w:b/>
          <w:sz w:val="26"/>
          <w:szCs w:val="26"/>
        </w:rPr>
        <w:t>4</w:t>
      </w:r>
      <w:r w:rsidR="007007A1">
        <w:rPr>
          <w:rFonts w:ascii="Arial" w:hAnsi="Arial" w:cs="Arial"/>
          <w:b/>
          <w:sz w:val="26"/>
          <w:szCs w:val="26"/>
        </w:rPr>
        <w:t>/20</w:t>
      </w:r>
      <w:r w:rsidR="00B90481">
        <w:rPr>
          <w:rFonts w:ascii="Arial" w:hAnsi="Arial" w:cs="Arial"/>
          <w:b/>
          <w:sz w:val="26"/>
          <w:szCs w:val="26"/>
        </w:rPr>
        <w:t>19</w:t>
      </w:r>
      <w:r>
        <w:rPr>
          <w:rFonts w:ascii="Arial" w:hAnsi="Arial" w:cs="Arial"/>
          <w:b/>
          <w:sz w:val="26"/>
          <w:szCs w:val="26"/>
        </w:rPr>
        <w:t xml:space="preserve"> </w:t>
      </w:r>
      <w:r w:rsidR="007007A1">
        <w:rPr>
          <w:rFonts w:ascii="Arial" w:hAnsi="Arial" w:cs="Arial"/>
          <w:sz w:val="26"/>
          <w:szCs w:val="26"/>
        </w:rPr>
        <w:t xml:space="preserve">del índice de la </w:t>
      </w:r>
      <w:r w:rsidR="002B2D60">
        <w:rPr>
          <w:rFonts w:ascii="Arial" w:hAnsi="Arial" w:cs="Arial"/>
          <w:sz w:val="26"/>
          <w:szCs w:val="26"/>
        </w:rPr>
        <w:t>Segund</w:t>
      </w:r>
      <w:r w:rsidR="00A202FC">
        <w:rPr>
          <w:rFonts w:ascii="Arial" w:hAnsi="Arial" w:cs="Arial"/>
          <w:sz w:val="26"/>
          <w:szCs w:val="26"/>
        </w:rPr>
        <w:t>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Pr>
          <w:rFonts w:ascii="Arial" w:hAnsi="Arial" w:cs="Arial"/>
          <w:sz w:val="26"/>
          <w:szCs w:val="26"/>
        </w:rPr>
        <w:t xml:space="preserve"> </w:t>
      </w:r>
      <w:r w:rsidR="002F7711">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sidR="00D577A6">
        <w:rPr>
          <w:rFonts w:ascii="Arial" w:hAnsi="Arial" w:cs="Arial"/>
          <w:sz w:val="26"/>
          <w:szCs w:val="26"/>
        </w:rPr>
        <w:t>en contra de</w:t>
      </w:r>
      <w:r w:rsidR="002B2D60">
        <w:rPr>
          <w:rFonts w:ascii="Arial" w:hAnsi="Arial" w:cs="Arial"/>
          <w:b/>
          <w:sz w:val="26"/>
          <w:szCs w:val="26"/>
        </w:rPr>
        <w:t xml:space="preserve"> </w:t>
      </w:r>
      <w:r w:rsidR="00AF4C1E">
        <w:rPr>
          <w:rFonts w:ascii="Arial" w:hAnsi="Arial" w:cs="Arial"/>
          <w:b/>
          <w:sz w:val="26"/>
          <w:szCs w:val="26"/>
        </w:rPr>
        <w:t>ANTONIO GARCÍA BAUTISTA, POLICÍA SEGUNDO VIAL, CON NÚMERO ESTADÍSTICO PV-324 ADSCRITO A LA SUBDIRECCIÓN DE TRÁNSITO Y MOVILIDAD DEL MUNICIPIO DE OAXACA DE JUÁREZ</w:t>
      </w:r>
      <w:r w:rsidR="00B736E2">
        <w:rPr>
          <w:rFonts w:ascii="Arial" w:hAnsi="Arial" w:cs="Arial"/>
          <w:b/>
          <w:sz w:val="26"/>
          <w:szCs w:val="26"/>
        </w:rPr>
        <w:t>;</w:t>
      </w:r>
      <w:r>
        <w:rPr>
          <w:rFonts w:ascii="Arial" w:hAnsi="Arial" w:cs="Arial"/>
          <w:sz w:val="26"/>
          <w:szCs w:val="26"/>
        </w:rPr>
        <w:t xml:space="preserve"> por lo que, con fundamento en los artículos 237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vigente, se admite. Por consiguiente, se procede a dictar resolución en los siguientes términos:</w:t>
      </w:r>
      <w:r w:rsidR="00D73577">
        <w:rPr>
          <w:rFonts w:ascii="Arial" w:hAnsi="Arial" w:cs="Arial"/>
          <w:sz w:val="26"/>
          <w:szCs w:val="26"/>
        </w:rPr>
        <w:t>- - - - - - - - - - - - - - - -</w:t>
      </w:r>
      <w:r w:rsidR="005A4204">
        <w:rPr>
          <w:rFonts w:ascii="Arial" w:hAnsi="Arial" w:cs="Arial"/>
          <w:sz w:val="26"/>
          <w:szCs w:val="26"/>
        </w:rPr>
        <w:t xml:space="preserve"> </w:t>
      </w:r>
      <w:r w:rsidR="00D73577">
        <w:rPr>
          <w:rFonts w:ascii="Arial" w:hAnsi="Arial" w:cs="Arial"/>
          <w:sz w:val="26"/>
          <w:szCs w:val="26"/>
        </w:rPr>
        <w:t xml:space="preserve">- - - - - - - - - </w:t>
      </w:r>
      <w:r w:rsidR="002F7711">
        <w:rPr>
          <w:rFonts w:ascii="Arial" w:hAnsi="Arial" w:cs="Arial"/>
          <w:sz w:val="26"/>
          <w:szCs w:val="26"/>
        </w:rPr>
        <w:t xml:space="preserve">- - - - - - - - - - </w:t>
      </w:r>
    </w:p>
    <w:p w14:paraId="7CF0F441" w14:textId="77777777" w:rsidR="003B6CF0" w:rsidRDefault="003B6CF0" w:rsidP="00E6323F">
      <w:pPr>
        <w:pStyle w:val="Sinespaciado"/>
      </w:pP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767A48BE"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F00EFF">
        <w:rPr>
          <w:rFonts w:ascii="Arial" w:hAnsi="Arial" w:cs="Arial"/>
          <w:sz w:val="26"/>
          <w:szCs w:val="26"/>
        </w:rPr>
        <w:t xml:space="preserve"> </w:t>
      </w:r>
      <w:r w:rsidR="00AF4C1E">
        <w:rPr>
          <w:rFonts w:ascii="Arial" w:hAnsi="Arial" w:cs="Arial"/>
          <w:sz w:val="26"/>
          <w:szCs w:val="26"/>
        </w:rPr>
        <w:t>la sentencia</w:t>
      </w:r>
      <w:r w:rsidR="003464E8">
        <w:rPr>
          <w:rFonts w:ascii="Arial" w:hAnsi="Arial" w:cs="Arial"/>
          <w:sz w:val="26"/>
          <w:szCs w:val="26"/>
        </w:rPr>
        <w:t xml:space="preserve"> de </w:t>
      </w:r>
      <w:r w:rsidR="00AF4C1E">
        <w:rPr>
          <w:rFonts w:ascii="Arial" w:hAnsi="Arial" w:cs="Arial"/>
          <w:sz w:val="26"/>
          <w:szCs w:val="26"/>
        </w:rPr>
        <w:t xml:space="preserve">catorce </w:t>
      </w:r>
      <w:r w:rsidR="003464E8">
        <w:rPr>
          <w:rFonts w:ascii="Arial" w:hAnsi="Arial" w:cs="Arial"/>
          <w:sz w:val="26"/>
          <w:szCs w:val="26"/>
        </w:rPr>
        <w:t xml:space="preserve">de </w:t>
      </w:r>
      <w:r w:rsidR="00AF4C1E">
        <w:rPr>
          <w:rFonts w:ascii="Arial" w:hAnsi="Arial" w:cs="Arial"/>
          <w:sz w:val="26"/>
          <w:szCs w:val="26"/>
        </w:rPr>
        <w:t>octu</w:t>
      </w:r>
      <w:r w:rsidR="003464E8">
        <w:rPr>
          <w:rFonts w:ascii="Arial" w:hAnsi="Arial" w:cs="Arial"/>
          <w:sz w:val="26"/>
          <w:szCs w:val="26"/>
        </w:rPr>
        <w:t>bre de dos mil veinte</w:t>
      </w:r>
      <w:r>
        <w:rPr>
          <w:rFonts w:ascii="Arial" w:hAnsi="Arial" w:cs="Arial"/>
          <w:sz w:val="26"/>
          <w:szCs w:val="26"/>
        </w:rPr>
        <w:t xml:space="preserve">, </w:t>
      </w:r>
      <w:r w:rsidRPr="00CB6405">
        <w:rPr>
          <w:rFonts w:ascii="Arial" w:hAnsi="Arial" w:cs="Arial"/>
          <w:sz w:val="26"/>
          <w:szCs w:val="26"/>
        </w:rPr>
        <w:t>dictad</w:t>
      </w:r>
      <w:r w:rsidR="00AF4C1E">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AA5205">
        <w:rPr>
          <w:rFonts w:ascii="Arial" w:hAnsi="Arial" w:cs="Arial"/>
          <w:sz w:val="26"/>
          <w:szCs w:val="26"/>
        </w:rPr>
        <w:t>Segund</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AF4C1E">
        <w:rPr>
          <w:rFonts w:ascii="Arial" w:hAnsi="Arial" w:cs="Arial"/>
          <w:b/>
          <w:sz w:val="26"/>
          <w:szCs w:val="26"/>
        </w:rPr>
        <w:t>ANTONIO GARCÍA BAUTISTA, POLICÍA SEGUNDO VIAL, CON NÚMERO ESTADÍSTICO PV-324 ADSCRITO A LA SUBDIRECCIÓN DE TRÁNSITO Y MOVILIDAD DEL MUNICIPIO DE OAXACA DE JUÁREZ</w:t>
      </w:r>
      <w:r w:rsidR="00003FDD">
        <w:rPr>
          <w:rFonts w:ascii="Arial" w:hAnsi="Arial" w:cs="Arial"/>
          <w:b/>
          <w:sz w:val="26"/>
          <w:szCs w:val="26"/>
        </w:rPr>
        <w:t xml:space="preserve">, </w:t>
      </w:r>
      <w:r w:rsidR="00003FDD" w:rsidRPr="00003FDD">
        <w:rPr>
          <w:rFonts w:ascii="Arial" w:hAnsi="Arial" w:cs="Arial"/>
          <w:sz w:val="26"/>
          <w:szCs w:val="26"/>
        </w:rPr>
        <w:t>interpuso</w:t>
      </w:r>
      <w:r w:rsidRPr="00CB6405">
        <w:rPr>
          <w:rFonts w:ascii="Arial" w:hAnsi="Arial" w:cs="Arial"/>
          <w:sz w:val="26"/>
          <w:szCs w:val="26"/>
        </w:rPr>
        <w:t xml:space="preserve"> en su contra recurso de </w:t>
      </w:r>
      <w:r w:rsidR="00E6323F" w:rsidRPr="00CB6405">
        <w:rPr>
          <w:rFonts w:ascii="Arial" w:hAnsi="Arial" w:cs="Arial"/>
          <w:sz w:val="26"/>
          <w:szCs w:val="26"/>
        </w:rPr>
        <w:t>revisión.</w:t>
      </w:r>
      <w:r w:rsidR="00E6323F">
        <w:rPr>
          <w:rFonts w:ascii="Arial" w:hAnsi="Arial" w:cs="Arial"/>
          <w:sz w:val="26"/>
          <w:szCs w:val="26"/>
        </w:rPr>
        <w:t xml:space="preserve"> - - - </w:t>
      </w:r>
    </w:p>
    <w:p w14:paraId="1EA11EAA" w14:textId="697901BE" w:rsidR="00AF4C1E" w:rsidRPr="005C0B02" w:rsidRDefault="003B6CF0" w:rsidP="00AF4C1E">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AF4C1E" w:rsidRPr="003B084B">
        <w:rPr>
          <w:rFonts w:ascii="Arial" w:hAnsi="Arial" w:cs="Arial"/>
          <w:bCs/>
          <w:iCs/>
          <w:sz w:val="26"/>
          <w:szCs w:val="26"/>
        </w:rPr>
        <w:t>Los puntos resolutivos de la sentencia recurrida son los siguientes:</w:t>
      </w:r>
      <w:r w:rsidR="00E6323F">
        <w:rPr>
          <w:rFonts w:ascii="Arial" w:hAnsi="Arial" w:cs="Arial"/>
          <w:bCs/>
          <w:iCs/>
          <w:sz w:val="26"/>
          <w:szCs w:val="26"/>
        </w:rPr>
        <w:t xml:space="preserve"> - - - - - - - - - - - - - - - - - - - - - - - - - - - - - - - - - - - - - - - - - -</w:t>
      </w:r>
    </w:p>
    <w:p w14:paraId="14F92CBF" w14:textId="7BCDBB8E" w:rsidR="003B6CF0" w:rsidRDefault="003B6CF0" w:rsidP="004C568C">
      <w:pPr>
        <w:spacing w:after="0" w:line="360" w:lineRule="auto"/>
        <w:ind w:firstLine="567"/>
        <w:jc w:val="both"/>
        <w:rPr>
          <w:rFonts w:ascii="Arial" w:eastAsia="Times New Roman" w:hAnsi="Arial" w:cs="Arial"/>
          <w:b/>
          <w:bCs/>
          <w:i/>
          <w:iCs/>
          <w:lang w:eastAsia="es-ES"/>
        </w:rPr>
      </w:pPr>
    </w:p>
    <w:p w14:paraId="35840090" w14:textId="1788C7A7" w:rsidR="00AF4C1E" w:rsidRDefault="004C568C" w:rsidP="00417449">
      <w:pPr>
        <w:spacing w:after="0" w:line="360" w:lineRule="auto"/>
        <w:ind w:left="567" w:right="616"/>
        <w:jc w:val="both"/>
        <w:rPr>
          <w:rFonts w:ascii="Arial" w:eastAsia="Times New Roman" w:hAnsi="Arial" w:cs="Arial"/>
          <w:bCs/>
          <w:i/>
          <w:iCs/>
          <w:lang w:eastAsia="es-ES"/>
        </w:rPr>
      </w:pPr>
      <w:r>
        <w:rPr>
          <w:rFonts w:ascii="Arial" w:eastAsia="Times New Roman" w:hAnsi="Arial" w:cs="Arial"/>
          <w:b/>
          <w:bCs/>
          <w:i/>
          <w:iCs/>
          <w:lang w:eastAsia="es-ES"/>
        </w:rPr>
        <w:tab/>
      </w:r>
      <w:r w:rsidR="00AF4C1E">
        <w:rPr>
          <w:rFonts w:ascii="Arial" w:eastAsia="Times New Roman" w:hAnsi="Arial" w:cs="Arial"/>
          <w:b/>
          <w:bCs/>
          <w:i/>
          <w:iCs/>
          <w:lang w:eastAsia="es-ES"/>
        </w:rPr>
        <w:t>“</w:t>
      </w:r>
      <w:r w:rsidR="00AF4C1E" w:rsidRPr="00AF4C1E">
        <w:rPr>
          <w:rFonts w:ascii="Arial" w:eastAsia="Times New Roman" w:hAnsi="Arial" w:cs="Arial"/>
          <w:b/>
          <w:bCs/>
          <w:i/>
          <w:iCs/>
          <w:lang w:eastAsia="es-ES"/>
        </w:rPr>
        <w:t>PRIMERO.</w:t>
      </w:r>
      <w:r w:rsidR="00AF4C1E">
        <w:rPr>
          <w:rFonts w:ascii="Arial" w:eastAsia="Times New Roman" w:hAnsi="Arial" w:cs="Arial"/>
          <w:b/>
          <w:bCs/>
          <w:i/>
          <w:iCs/>
          <w:lang w:eastAsia="es-ES"/>
        </w:rPr>
        <w:t xml:space="preserve"> </w:t>
      </w:r>
      <w:r w:rsidR="00AF4C1E">
        <w:rPr>
          <w:rFonts w:ascii="Arial" w:eastAsia="Times New Roman" w:hAnsi="Arial" w:cs="Arial"/>
          <w:bCs/>
          <w:i/>
          <w:iCs/>
          <w:lang w:eastAsia="es-ES"/>
        </w:rPr>
        <w:t>Esta Segunda Sala Unitaria del Tribunal de Justicia Administrativa del Estado de Oaxaca, es competente para conocer y resolver el presente juicio.</w:t>
      </w:r>
    </w:p>
    <w:p w14:paraId="75602283" w14:textId="3977B114" w:rsidR="00AF4C1E" w:rsidRDefault="00AF4C1E" w:rsidP="00417449">
      <w:pPr>
        <w:spacing w:after="0" w:line="360" w:lineRule="auto"/>
        <w:ind w:left="567" w:right="616"/>
        <w:jc w:val="both"/>
        <w:rPr>
          <w:rFonts w:ascii="Arial" w:eastAsia="Times New Roman" w:hAnsi="Arial" w:cs="Arial"/>
          <w:bCs/>
          <w:i/>
          <w:iCs/>
          <w:lang w:eastAsia="es-ES"/>
        </w:rPr>
      </w:pPr>
      <w:r>
        <w:rPr>
          <w:rFonts w:ascii="Arial" w:eastAsia="Times New Roman" w:hAnsi="Arial" w:cs="Arial"/>
          <w:b/>
          <w:bCs/>
          <w:i/>
          <w:iCs/>
          <w:lang w:eastAsia="es-ES"/>
        </w:rPr>
        <w:t xml:space="preserve">SEGUNDO. </w:t>
      </w:r>
      <w:r>
        <w:rPr>
          <w:rFonts w:ascii="Arial" w:eastAsia="Times New Roman" w:hAnsi="Arial" w:cs="Arial"/>
          <w:bCs/>
          <w:i/>
          <w:iCs/>
          <w:lang w:eastAsia="es-ES"/>
        </w:rPr>
        <w:t xml:space="preserve">La personalidad de las partes quedó asentada en autos, dentro del considerando SEGUNDO de la presente sentencia. </w:t>
      </w:r>
    </w:p>
    <w:p w14:paraId="3FD11911" w14:textId="6894359C" w:rsidR="00AF4C1E" w:rsidRDefault="00AF4C1E" w:rsidP="00417449">
      <w:pPr>
        <w:spacing w:after="0" w:line="360" w:lineRule="auto"/>
        <w:ind w:left="567" w:right="616"/>
        <w:jc w:val="both"/>
        <w:rPr>
          <w:rFonts w:ascii="Arial" w:eastAsia="Times New Roman" w:hAnsi="Arial" w:cs="Arial"/>
          <w:b/>
          <w:bCs/>
          <w:i/>
          <w:iCs/>
          <w:lang w:eastAsia="es-ES"/>
        </w:rPr>
      </w:pPr>
      <w:r>
        <w:rPr>
          <w:rFonts w:ascii="Arial" w:eastAsia="Times New Roman" w:hAnsi="Arial" w:cs="Arial"/>
          <w:b/>
          <w:bCs/>
          <w:i/>
          <w:iCs/>
          <w:lang w:eastAsia="es-ES"/>
        </w:rPr>
        <w:t xml:space="preserve">TERCERO. </w:t>
      </w:r>
      <w:r>
        <w:rPr>
          <w:rFonts w:ascii="Arial" w:eastAsia="Times New Roman" w:hAnsi="Arial" w:cs="Arial"/>
          <w:bCs/>
          <w:i/>
          <w:iCs/>
          <w:lang w:eastAsia="es-ES"/>
        </w:rPr>
        <w:t xml:space="preserve">No se configura alguna causal de improcedencia o sobreseimiento, por tanto, </w:t>
      </w:r>
      <w:r>
        <w:rPr>
          <w:rFonts w:ascii="Arial" w:eastAsia="Times New Roman" w:hAnsi="Arial" w:cs="Arial"/>
          <w:b/>
          <w:bCs/>
          <w:i/>
          <w:iCs/>
          <w:lang w:eastAsia="es-ES"/>
        </w:rPr>
        <w:t>NO SE SOBRESEE.</w:t>
      </w:r>
    </w:p>
    <w:p w14:paraId="054A2CF7" w14:textId="5C08D980" w:rsidR="00D577A6" w:rsidRDefault="00AF4C1E" w:rsidP="00417449">
      <w:pPr>
        <w:spacing w:after="0" w:line="360" w:lineRule="auto"/>
        <w:ind w:left="567" w:right="616"/>
        <w:jc w:val="both"/>
        <w:rPr>
          <w:rFonts w:ascii="Arial" w:eastAsia="Times New Roman" w:hAnsi="Arial" w:cs="Arial"/>
          <w:bCs/>
          <w:i/>
          <w:iCs/>
          <w:lang w:eastAsia="es-ES"/>
        </w:rPr>
      </w:pPr>
      <w:r>
        <w:rPr>
          <w:rFonts w:ascii="Arial" w:eastAsia="Times New Roman" w:hAnsi="Arial" w:cs="Arial"/>
          <w:b/>
          <w:bCs/>
          <w:i/>
          <w:iCs/>
          <w:lang w:eastAsia="es-ES"/>
        </w:rPr>
        <w:t xml:space="preserve">CUARTO. </w:t>
      </w:r>
      <w:r>
        <w:rPr>
          <w:rFonts w:ascii="Arial" w:eastAsia="Times New Roman" w:hAnsi="Arial" w:cs="Arial"/>
          <w:bCs/>
          <w:i/>
          <w:iCs/>
          <w:lang w:eastAsia="es-ES"/>
        </w:rPr>
        <w:t xml:space="preserve">Se declara la </w:t>
      </w:r>
      <w:r>
        <w:rPr>
          <w:rFonts w:ascii="Arial" w:eastAsia="Times New Roman" w:hAnsi="Arial" w:cs="Arial"/>
          <w:b/>
          <w:bCs/>
          <w:i/>
          <w:iCs/>
          <w:lang w:eastAsia="es-ES"/>
        </w:rPr>
        <w:t xml:space="preserve">NULIDAD LISA Y LLANA </w:t>
      </w:r>
      <w:r>
        <w:rPr>
          <w:rFonts w:ascii="Arial" w:eastAsia="Times New Roman" w:hAnsi="Arial" w:cs="Arial"/>
          <w:bCs/>
          <w:i/>
          <w:iCs/>
          <w:lang w:eastAsia="es-ES"/>
        </w:rPr>
        <w:t xml:space="preserve">del acta de infracción con número de folio </w:t>
      </w:r>
      <w:r w:rsidR="002F7711">
        <w:rPr>
          <w:rFonts w:ascii="Arial" w:hAnsi="Arial" w:cs="Arial"/>
          <w:b/>
          <w:sz w:val="26"/>
          <w:szCs w:val="26"/>
        </w:rPr>
        <w:t>***********</w:t>
      </w:r>
      <w:r>
        <w:rPr>
          <w:rFonts w:ascii="Arial" w:eastAsia="Times New Roman" w:hAnsi="Arial" w:cs="Arial"/>
          <w:bCs/>
          <w:i/>
          <w:iCs/>
          <w:lang w:eastAsia="es-ES"/>
        </w:rPr>
        <w:t xml:space="preserve">, de fecha tres de junio de dos mil diecinueve, emitida por ANTONIO GARCÍA BAUTISTA, Policía Vial con número estadístico 324, adscrito a la Comisaria de Vialidad de la Subdirección de Tránsito </w:t>
      </w:r>
      <w:r w:rsidR="00D577A6">
        <w:rPr>
          <w:rFonts w:ascii="Arial" w:eastAsia="Times New Roman" w:hAnsi="Arial" w:cs="Arial"/>
          <w:bCs/>
          <w:i/>
          <w:iCs/>
          <w:lang w:eastAsia="es-ES"/>
        </w:rPr>
        <w:t>y Movilidad del Municipio de Oaxaca de Juárez, Oaxaca, en consecuencia, se ordena a ésta autoridad demandada para que a través de sí misma o de quien sea</w:t>
      </w:r>
      <w:r w:rsidR="0056216E">
        <w:rPr>
          <w:rFonts w:ascii="Arial" w:eastAsia="Times New Roman" w:hAnsi="Arial" w:cs="Arial"/>
          <w:bCs/>
          <w:i/>
          <w:iCs/>
          <w:lang w:eastAsia="es-ES"/>
        </w:rPr>
        <w:t xml:space="preserve"> legalmente competente, realice la baja </w:t>
      </w:r>
      <w:r w:rsidR="00D577A6">
        <w:rPr>
          <w:rFonts w:ascii="Arial" w:eastAsia="Times New Roman" w:hAnsi="Arial" w:cs="Arial"/>
          <w:bCs/>
          <w:i/>
          <w:iCs/>
          <w:lang w:eastAsia="es-ES"/>
        </w:rPr>
        <w:t xml:space="preserve">de la citada acta de infracción del sistema electrónico y/o documental que para tal efecto lleve esa autoridad, por las razones ya expuestas en el considerando CUARTO  de esta sentencia. </w:t>
      </w:r>
    </w:p>
    <w:p w14:paraId="39005866" w14:textId="77777777" w:rsidR="00D577A6" w:rsidRDefault="00D577A6" w:rsidP="00417449">
      <w:pPr>
        <w:spacing w:after="0" w:line="360" w:lineRule="auto"/>
        <w:ind w:left="567" w:right="616"/>
        <w:jc w:val="both"/>
        <w:rPr>
          <w:rFonts w:ascii="Arial" w:eastAsia="Times New Roman" w:hAnsi="Arial" w:cs="Arial"/>
          <w:b/>
          <w:bCs/>
          <w:i/>
          <w:iCs/>
          <w:lang w:eastAsia="es-ES"/>
        </w:rPr>
      </w:pPr>
      <w:r>
        <w:rPr>
          <w:rFonts w:ascii="Arial" w:eastAsia="Times New Roman" w:hAnsi="Arial" w:cs="Arial"/>
          <w:b/>
          <w:bCs/>
          <w:i/>
          <w:iCs/>
          <w:lang w:eastAsia="es-ES"/>
        </w:rPr>
        <w:t>QUINTO. NOTIFÍQUESE Y CÚMPLASE.</w:t>
      </w:r>
    </w:p>
    <w:p w14:paraId="751F2259" w14:textId="77777777" w:rsidR="00417449" w:rsidRDefault="00D577A6" w:rsidP="00417449">
      <w:pPr>
        <w:spacing w:after="0" w:line="360" w:lineRule="auto"/>
        <w:ind w:left="567" w:right="616"/>
        <w:jc w:val="both"/>
        <w:rPr>
          <w:rFonts w:ascii="Arial" w:hAnsi="Arial" w:cs="Arial"/>
          <w:i/>
        </w:rPr>
      </w:pPr>
      <w:r>
        <w:rPr>
          <w:rFonts w:ascii="Arial" w:eastAsia="Times New Roman" w:hAnsi="Arial" w:cs="Arial"/>
          <w:bCs/>
          <w:i/>
          <w:iCs/>
          <w:lang w:eastAsia="es-ES"/>
        </w:rPr>
        <w:t xml:space="preserve">Así lo resolvió y firma el Magistrado Titular de la Segunda Sala del Tribunal de Justicia Administrativa del Estado de Oaxaca, quien actúa </w:t>
      </w:r>
      <w:r w:rsidR="00417449">
        <w:rPr>
          <w:rFonts w:ascii="Arial" w:eastAsia="Times New Roman" w:hAnsi="Arial" w:cs="Arial"/>
          <w:bCs/>
          <w:i/>
          <w:iCs/>
          <w:lang w:eastAsia="es-ES"/>
        </w:rPr>
        <w:t>c</w:t>
      </w:r>
      <w:r>
        <w:rPr>
          <w:rFonts w:ascii="Arial" w:eastAsia="Times New Roman" w:hAnsi="Arial" w:cs="Arial"/>
          <w:bCs/>
          <w:i/>
          <w:iCs/>
          <w:lang w:eastAsia="es-ES"/>
        </w:rPr>
        <w:t>on el Secretario de Acuerdos, que autoriza y da fe.</w:t>
      </w:r>
      <w:r w:rsidR="003B6CF0">
        <w:rPr>
          <w:rFonts w:ascii="Arial" w:hAnsi="Arial" w:cs="Arial"/>
          <w:i/>
        </w:rPr>
        <w:t>”</w:t>
      </w:r>
    </w:p>
    <w:p w14:paraId="1DD2B178" w14:textId="463EDFDE" w:rsidR="003B6CF0" w:rsidRPr="002614F4" w:rsidRDefault="003B6CF0" w:rsidP="00417449">
      <w:pPr>
        <w:spacing w:after="0" w:line="360" w:lineRule="auto"/>
        <w:ind w:left="567" w:right="616"/>
        <w:jc w:val="both"/>
        <w:rPr>
          <w:rFonts w:ascii="Arial" w:eastAsia="Times New Roman" w:hAnsi="Arial" w:cs="Arial"/>
          <w:bCs/>
          <w:i/>
          <w:iCs/>
          <w:lang w:eastAsia="es-ES"/>
        </w:rPr>
      </w:pPr>
      <w:r w:rsidRPr="00001C39">
        <w:rPr>
          <w:rFonts w:ascii="Arial" w:eastAsia="Times New Roman" w:hAnsi="Arial" w:cs="Arial"/>
          <w:b/>
          <w:bCs/>
          <w:i/>
          <w:iCs/>
          <w:lang w:eastAsia="es-ES"/>
        </w:rPr>
        <w:t xml:space="preserve"> </w:t>
      </w:r>
    </w:p>
    <w:p w14:paraId="36EF0AC2" w14:textId="467598A2" w:rsidR="003B6CF0" w:rsidRPr="00CB6405" w:rsidRDefault="003B6CF0" w:rsidP="003B6CF0">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0B7C76DE" w14:textId="6F8EAB7D"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w:t>
      </w:r>
      <w:r w:rsidR="00D577A6">
        <w:rPr>
          <w:rFonts w:ascii="Arial" w:hAnsi="Arial" w:cs="Arial"/>
          <w:bCs/>
          <w:iCs/>
          <w:sz w:val="26"/>
          <w:szCs w:val="26"/>
        </w:rPr>
        <w:t xml:space="preserve"> </w:t>
      </w:r>
      <w:r w:rsidR="00C43946">
        <w:rPr>
          <w:rFonts w:ascii="Arial" w:hAnsi="Arial" w:cs="Arial"/>
          <w:bCs/>
          <w:iCs/>
          <w:sz w:val="26"/>
          <w:szCs w:val="26"/>
        </w:rPr>
        <w:t>l</w:t>
      </w:r>
      <w:r w:rsidR="00D577A6">
        <w:rPr>
          <w:rFonts w:ascii="Arial" w:hAnsi="Arial" w:cs="Arial"/>
          <w:bCs/>
          <w:iCs/>
          <w:sz w:val="26"/>
          <w:szCs w:val="26"/>
        </w:rPr>
        <w:t>a</w:t>
      </w:r>
      <w:r w:rsidR="00AD2EE6">
        <w:rPr>
          <w:rFonts w:ascii="Arial" w:hAnsi="Arial" w:cs="Arial"/>
          <w:bCs/>
          <w:iCs/>
          <w:sz w:val="26"/>
          <w:szCs w:val="26"/>
        </w:rPr>
        <w:t xml:space="preserve"> </w:t>
      </w:r>
      <w:r w:rsidR="00D577A6">
        <w:rPr>
          <w:rFonts w:ascii="Arial" w:hAnsi="Arial" w:cs="Arial"/>
          <w:bCs/>
          <w:iCs/>
          <w:sz w:val="26"/>
          <w:szCs w:val="26"/>
        </w:rPr>
        <w:t>sentencia</w:t>
      </w:r>
      <w:r w:rsidR="00AD2EE6">
        <w:rPr>
          <w:rFonts w:ascii="Arial" w:hAnsi="Arial" w:cs="Arial"/>
          <w:bCs/>
          <w:iCs/>
          <w:sz w:val="26"/>
          <w:szCs w:val="26"/>
        </w:rPr>
        <w:t xml:space="preserve"> de </w:t>
      </w:r>
      <w:r w:rsidR="00D577A6">
        <w:rPr>
          <w:rFonts w:ascii="Arial" w:hAnsi="Arial" w:cs="Arial"/>
          <w:bCs/>
          <w:iCs/>
          <w:sz w:val="26"/>
          <w:szCs w:val="26"/>
        </w:rPr>
        <w:t>catorce</w:t>
      </w:r>
      <w:r w:rsidR="00AD2EE6">
        <w:rPr>
          <w:rFonts w:ascii="Arial" w:hAnsi="Arial" w:cs="Arial"/>
          <w:bCs/>
          <w:iCs/>
          <w:sz w:val="26"/>
          <w:szCs w:val="26"/>
        </w:rPr>
        <w:t xml:space="preserve"> de </w:t>
      </w:r>
      <w:r w:rsidR="00D577A6">
        <w:rPr>
          <w:rFonts w:ascii="Arial" w:hAnsi="Arial" w:cs="Arial"/>
          <w:bCs/>
          <w:iCs/>
          <w:sz w:val="26"/>
          <w:szCs w:val="26"/>
        </w:rPr>
        <w:t>octu</w:t>
      </w:r>
      <w:r w:rsidR="00AD2EE6">
        <w:rPr>
          <w:rFonts w:ascii="Arial" w:hAnsi="Arial" w:cs="Arial"/>
          <w:bCs/>
          <w:iCs/>
          <w:sz w:val="26"/>
          <w:szCs w:val="26"/>
        </w:rPr>
        <w:t>bre de dos mil veinte</w:t>
      </w:r>
      <w:r w:rsidR="006035A5">
        <w:rPr>
          <w:rFonts w:ascii="Arial" w:hAnsi="Arial" w:cs="Arial"/>
          <w:bCs/>
          <w:iCs/>
          <w:sz w:val="26"/>
          <w:szCs w:val="26"/>
        </w:rPr>
        <w:t>,</w:t>
      </w:r>
      <w:r w:rsidR="009A1705">
        <w:rPr>
          <w:rFonts w:ascii="Arial" w:hAnsi="Arial" w:cs="Arial"/>
          <w:bCs/>
          <w:iCs/>
          <w:sz w:val="26"/>
          <w:szCs w:val="26"/>
        </w:rPr>
        <w:t xml:space="preserve"> </w:t>
      </w:r>
      <w:r w:rsidR="006035A5">
        <w:rPr>
          <w:rFonts w:ascii="Arial" w:hAnsi="Arial" w:cs="Arial"/>
          <w:bCs/>
          <w:iCs/>
          <w:sz w:val="26"/>
          <w:szCs w:val="26"/>
        </w:rPr>
        <w:t>dictad</w:t>
      </w:r>
      <w:r w:rsidR="00D577A6">
        <w:rPr>
          <w:rFonts w:ascii="Arial" w:hAnsi="Arial" w:cs="Arial"/>
          <w:bCs/>
          <w:iCs/>
          <w:sz w:val="26"/>
          <w:szCs w:val="26"/>
        </w:rPr>
        <w:t>a</w:t>
      </w:r>
      <w:r w:rsidRPr="008E3662">
        <w:rPr>
          <w:rFonts w:ascii="Arial" w:hAnsi="Arial" w:cs="Arial"/>
          <w:bCs/>
          <w:iCs/>
          <w:sz w:val="26"/>
          <w:szCs w:val="26"/>
        </w:rPr>
        <w:t xml:space="preserve"> por la </w:t>
      </w:r>
      <w:r w:rsidR="00C43946">
        <w:rPr>
          <w:rFonts w:ascii="Arial" w:hAnsi="Arial" w:cs="Arial"/>
          <w:bCs/>
          <w:iCs/>
          <w:sz w:val="26"/>
          <w:szCs w:val="26"/>
        </w:rPr>
        <w:t>Segunda</w:t>
      </w:r>
      <w:r w:rsidRPr="008E3662">
        <w:rPr>
          <w:rFonts w:ascii="Arial" w:hAnsi="Arial" w:cs="Arial"/>
          <w:bCs/>
          <w:iCs/>
          <w:sz w:val="26"/>
          <w:szCs w:val="26"/>
        </w:rPr>
        <w:t xml:space="preserve">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0E7081">
        <w:rPr>
          <w:rFonts w:ascii="Arial" w:hAnsi="Arial" w:cs="Arial"/>
          <w:b/>
          <w:bCs/>
          <w:iCs/>
          <w:sz w:val="26"/>
          <w:szCs w:val="26"/>
        </w:rPr>
        <w:t>0</w:t>
      </w:r>
      <w:r w:rsidR="00D577A6">
        <w:rPr>
          <w:rFonts w:ascii="Arial" w:hAnsi="Arial" w:cs="Arial"/>
          <w:b/>
          <w:bCs/>
          <w:iCs/>
          <w:sz w:val="26"/>
          <w:szCs w:val="26"/>
        </w:rPr>
        <w:t>6</w:t>
      </w:r>
      <w:r w:rsidR="000E7081">
        <w:rPr>
          <w:rFonts w:ascii="Arial" w:hAnsi="Arial" w:cs="Arial"/>
          <w:b/>
          <w:bCs/>
          <w:iCs/>
          <w:sz w:val="26"/>
          <w:szCs w:val="26"/>
        </w:rPr>
        <w:t>4</w:t>
      </w:r>
      <w:r w:rsidRPr="00AE78C3">
        <w:rPr>
          <w:rFonts w:ascii="Arial" w:hAnsi="Arial" w:cs="Arial"/>
          <w:b/>
          <w:bCs/>
          <w:iCs/>
          <w:sz w:val="26"/>
          <w:szCs w:val="26"/>
        </w:rPr>
        <w:t>/20</w:t>
      </w:r>
      <w:r w:rsidR="00D577A6">
        <w:rPr>
          <w:rFonts w:ascii="Arial" w:hAnsi="Arial" w:cs="Arial"/>
          <w:b/>
          <w:bCs/>
          <w:iCs/>
          <w:sz w:val="26"/>
          <w:szCs w:val="26"/>
        </w:rPr>
        <w:t>19</w:t>
      </w:r>
      <w:r w:rsidRPr="00AE78C3">
        <w:rPr>
          <w:rFonts w:ascii="Arial" w:hAnsi="Arial" w:cs="Arial"/>
          <w:b/>
          <w:bCs/>
          <w:iCs/>
          <w:sz w:val="26"/>
          <w:szCs w:val="26"/>
        </w:rPr>
        <w:t>.</w:t>
      </w:r>
      <w:r w:rsidR="00C67CCC">
        <w:rPr>
          <w:rFonts w:ascii="Arial" w:hAnsi="Arial" w:cs="Arial"/>
          <w:b/>
          <w:bCs/>
          <w:iCs/>
          <w:sz w:val="26"/>
          <w:szCs w:val="26"/>
        </w:rPr>
        <w:t xml:space="preserve"> - - - - - - - - - - - - - - - - - - - - - - - - - - - - - - - - - - -</w:t>
      </w:r>
    </w:p>
    <w:p w14:paraId="6D6FB538" w14:textId="03AB4996" w:rsidR="0076751E" w:rsidRPr="0001502B" w:rsidRDefault="003B6CF0" w:rsidP="0076751E">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76751E" w:rsidRPr="0001502B">
        <w:rPr>
          <w:rFonts w:ascii="Arial" w:hAnsi="Arial" w:cs="Arial"/>
          <w:sz w:val="26"/>
          <w:szCs w:val="26"/>
        </w:rPr>
        <w:t xml:space="preserve">Los agravios hechos valer se encuentran expuestos en el escrito respectivo de la recurrente, por lo que no existe necesidad de transcribirlos, al no transgredírsele derecho alguno, como tampoco se vulnera disposición expresa que imponga tal obligación. En apoyo a </w:t>
      </w:r>
      <w:r w:rsidR="0076751E" w:rsidRPr="0001502B">
        <w:rPr>
          <w:rFonts w:ascii="Arial" w:hAnsi="Arial" w:cs="Arial"/>
          <w:sz w:val="26"/>
          <w:szCs w:val="26"/>
        </w:rPr>
        <w:lastRenderedPageBreak/>
        <w:t xml:space="preserve">lo anterior, resulta aplicable la jurisprudencia 2a./J. 58/2010, con número de registro digital 164618, publicada en el Semanario Judicial de la Federación y su Gaceta, Tomo XXXI, </w:t>
      </w:r>
      <w:r w:rsidR="0076751E">
        <w:rPr>
          <w:rFonts w:ascii="Arial" w:hAnsi="Arial" w:cs="Arial"/>
          <w:sz w:val="26"/>
          <w:szCs w:val="26"/>
        </w:rPr>
        <w:t>m</w:t>
      </w:r>
      <w:r w:rsidR="0076751E" w:rsidRPr="0001502B">
        <w:rPr>
          <w:rFonts w:ascii="Arial" w:hAnsi="Arial" w:cs="Arial"/>
          <w:sz w:val="26"/>
          <w:szCs w:val="26"/>
        </w:rPr>
        <w:t xml:space="preserve">ayo de 2010, página 830, de rubro y texto siguientes: </w:t>
      </w:r>
      <w:r w:rsidR="00C67CCC">
        <w:rPr>
          <w:rFonts w:ascii="Arial" w:hAnsi="Arial" w:cs="Arial"/>
          <w:sz w:val="26"/>
          <w:szCs w:val="26"/>
        </w:rPr>
        <w:t>- - - - - - - - - - - - - - - - - - - - - - - - - - - - - - - - - - -</w:t>
      </w:r>
    </w:p>
    <w:p w14:paraId="718808B2" w14:textId="77777777" w:rsidR="0076751E" w:rsidRPr="0001502B" w:rsidRDefault="0076751E" w:rsidP="00C67CCC">
      <w:pPr>
        <w:spacing w:before="240" w:after="0"/>
        <w:ind w:left="567" w:right="616"/>
        <w:jc w:val="both"/>
        <w:rPr>
          <w:rFonts w:ascii="Arial" w:hAnsi="Arial" w:cs="Arial"/>
          <w:b/>
          <w:i/>
        </w:rPr>
      </w:pPr>
      <w:r w:rsidRPr="0001502B">
        <w:rPr>
          <w:rFonts w:ascii="Arial" w:hAnsi="Arial" w:cs="Arial"/>
          <w:b/>
          <w:i/>
        </w:rPr>
        <w:t>“CONCEPTOS DE VIOLACIÓN O AGRAVIOS. PARA CUMPLIR CON LOS PRINCIPIOS DE CONGRUENCIA Y EXHAUSTIVIDAD EN LAS SENTENCIAS DE AMPARO ES INNECESARIA SU TRANSCRIPCIÓN.</w:t>
      </w:r>
    </w:p>
    <w:p w14:paraId="0AC28F7A" w14:textId="77777777" w:rsidR="0076751E" w:rsidRPr="0001502B" w:rsidRDefault="0076751E" w:rsidP="00C67CCC">
      <w:pPr>
        <w:spacing w:before="240" w:after="0"/>
        <w:ind w:left="567" w:right="616"/>
        <w:jc w:val="both"/>
        <w:rPr>
          <w:rFonts w:ascii="Arial" w:hAnsi="Arial" w:cs="Arial"/>
          <w:i/>
        </w:rPr>
      </w:pPr>
      <w:r w:rsidRPr="0001502B">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506E3B4" w14:textId="77777777" w:rsidR="0076751E" w:rsidRPr="0001502B" w:rsidRDefault="0076751E" w:rsidP="00C67CCC">
      <w:pPr>
        <w:spacing w:before="240" w:after="0"/>
        <w:ind w:left="567" w:right="616"/>
        <w:jc w:val="both"/>
        <w:rPr>
          <w:rFonts w:ascii="Arial" w:hAnsi="Arial" w:cs="Arial"/>
          <w:i/>
        </w:rPr>
      </w:pPr>
      <w:r w:rsidRPr="0001502B">
        <w:rPr>
          <w:rFonts w:ascii="Arial" w:hAnsi="Arial" w:cs="Arial"/>
          <w:i/>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545A6CEC" w14:textId="77777777" w:rsidR="0076751E" w:rsidRPr="00C644DD" w:rsidRDefault="0076751E" w:rsidP="00C67CCC">
      <w:pPr>
        <w:spacing w:before="240" w:after="0"/>
        <w:ind w:left="567" w:right="616"/>
        <w:jc w:val="both"/>
        <w:rPr>
          <w:rFonts w:ascii="Arial" w:hAnsi="Arial" w:cs="Arial"/>
          <w:i/>
        </w:rPr>
      </w:pPr>
      <w:r w:rsidRPr="0001502B">
        <w:rPr>
          <w:rFonts w:ascii="Arial" w:hAnsi="Arial" w:cs="Arial"/>
          <w:i/>
        </w:rPr>
        <w:t>Tesis de jurisprudencia 58/2010. Aprobada por la Segunda Sala de este Alto Tribunal, en sesión privada del doce de mayo de dos mil diez.”</w:t>
      </w:r>
    </w:p>
    <w:p w14:paraId="2C116F3B" w14:textId="2D3A183D" w:rsidR="0076751E" w:rsidRDefault="0076751E" w:rsidP="0076751E">
      <w:pPr>
        <w:spacing w:before="240" w:after="0" w:line="360" w:lineRule="auto"/>
        <w:ind w:firstLine="709"/>
        <w:jc w:val="both"/>
        <w:rPr>
          <w:rFonts w:ascii="Arial" w:eastAsia="Times New Roman" w:hAnsi="Arial" w:cs="Arial"/>
          <w:sz w:val="26"/>
          <w:szCs w:val="26"/>
        </w:rPr>
      </w:pPr>
      <w:r w:rsidRPr="007D470A">
        <w:rPr>
          <w:rFonts w:ascii="Arial" w:eastAsia="Times New Roman" w:hAnsi="Arial" w:cs="Arial"/>
          <w:b/>
          <w:sz w:val="26"/>
          <w:szCs w:val="26"/>
        </w:rPr>
        <w:t>TERCERO. -</w:t>
      </w:r>
      <w:r>
        <w:rPr>
          <w:rFonts w:ascii="Arial" w:eastAsia="Times New Roman" w:hAnsi="Arial" w:cs="Arial"/>
          <w:b/>
          <w:sz w:val="26"/>
          <w:szCs w:val="26"/>
        </w:rPr>
        <w:t xml:space="preserve"> </w:t>
      </w:r>
      <w:r>
        <w:rPr>
          <w:rFonts w:ascii="Arial" w:eastAsia="Times New Roman" w:hAnsi="Arial" w:cs="Arial"/>
          <w:sz w:val="26"/>
          <w:szCs w:val="26"/>
        </w:rPr>
        <w:t xml:space="preserve">La autoridad recurrente argumenta que le causa agravio el considerando </w:t>
      </w:r>
      <w:r w:rsidR="002357F0">
        <w:rPr>
          <w:rFonts w:ascii="Arial" w:eastAsia="Times New Roman" w:hAnsi="Arial" w:cs="Arial"/>
          <w:sz w:val="26"/>
          <w:szCs w:val="26"/>
        </w:rPr>
        <w:t xml:space="preserve">cuarto </w:t>
      </w:r>
      <w:r>
        <w:rPr>
          <w:rFonts w:ascii="Arial" w:eastAsia="Times New Roman" w:hAnsi="Arial" w:cs="Arial"/>
          <w:sz w:val="26"/>
          <w:szCs w:val="26"/>
        </w:rPr>
        <w:t xml:space="preserve">de la sentencia recurrida, porque el </w:t>
      </w:r>
      <w:r w:rsidRPr="002357F0">
        <w:rPr>
          <w:rFonts w:ascii="Arial" w:eastAsia="Times New Roman" w:hAnsi="Arial" w:cs="Arial"/>
          <w:i/>
          <w:iCs/>
          <w:sz w:val="26"/>
          <w:szCs w:val="26"/>
        </w:rPr>
        <w:t>A quo</w:t>
      </w:r>
      <w:r>
        <w:rPr>
          <w:rFonts w:ascii="Arial" w:eastAsia="Times New Roman" w:hAnsi="Arial" w:cs="Arial"/>
          <w:sz w:val="26"/>
          <w:szCs w:val="26"/>
        </w:rPr>
        <w:t xml:space="preserve"> debe valorar al momento de resolver la procedencia del juicio de nulidad de la boleta de infracción de folio </w:t>
      </w:r>
      <w:r w:rsidR="002F7711">
        <w:rPr>
          <w:rFonts w:ascii="Arial" w:hAnsi="Arial" w:cs="Arial"/>
          <w:b/>
          <w:sz w:val="26"/>
          <w:szCs w:val="26"/>
        </w:rPr>
        <w:t>***********</w:t>
      </w:r>
      <w:r>
        <w:rPr>
          <w:rFonts w:ascii="Arial" w:eastAsia="Times New Roman" w:hAnsi="Arial" w:cs="Arial"/>
          <w:sz w:val="26"/>
          <w:szCs w:val="26"/>
        </w:rPr>
        <w:t xml:space="preserve"> de </w:t>
      </w:r>
      <w:r w:rsidR="002357F0">
        <w:rPr>
          <w:rFonts w:ascii="Arial" w:eastAsia="Times New Roman" w:hAnsi="Arial" w:cs="Arial"/>
          <w:sz w:val="26"/>
          <w:szCs w:val="26"/>
        </w:rPr>
        <w:t xml:space="preserve">tres de junio </w:t>
      </w:r>
      <w:r>
        <w:rPr>
          <w:rFonts w:ascii="Arial" w:eastAsia="Times New Roman" w:hAnsi="Arial" w:cs="Arial"/>
          <w:sz w:val="26"/>
          <w:szCs w:val="26"/>
        </w:rPr>
        <w:t>de dos mil diecinueve, que se le realizó al actor</w:t>
      </w:r>
      <w:r w:rsidR="002357F0">
        <w:rPr>
          <w:rFonts w:ascii="Arial" w:eastAsia="Times New Roman" w:hAnsi="Arial" w:cs="Arial"/>
          <w:sz w:val="26"/>
          <w:szCs w:val="26"/>
        </w:rPr>
        <w:t xml:space="preserve"> </w:t>
      </w:r>
      <w:r w:rsidR="002F7711">
        <w:rPr>
          <w:rFonts w:ascii="Arial" w:hAnsi="Arial" w:cs="Arial"/>
          <w:b/>
          <w:sz w:val="26"/>
          <w:szCs w:val="26"/>
        </w:rPr>
        <w:t>***********</w:t>
      </w:r>
      <w:r>
        <w:rPr>
          <w:rFonts w:ascii="Arial" w:eastAsia="Times New Roman" w:hAnsi="Arial" w:cs="Arial"/>
          <w:sz w:val="26"/>
          <w:szCs w:val="26"/>
        </w:rPr>
        <w:t>, toda vez que el policía vial se fundamentó en los artículos</w:t>
      </w:r>
      <w:r w:rsidR="002357F0">
        <w:rPr>
          <w:rFonts w:ascii="Arial" w:eastAsia="Times New Roman" w:hAnsi="Arial" w:cs="Arial"/>
          <w:sz w:val="26"/>
          <w:szCs w:val="26"/>
        </w:rPr>
        <w:t xml:space="preserve"> 60 fracción III y </w:t>
      </w:r>
      <w:r>
        <w:rPr>
          <w:rFonts w:ascii="Arial" w:eastAsia="Times New Roman" w:hAnsi="Arial" w:cs="Arial"/>
          <w:sz w:val="26"/>
          <w:szCs w:val="26"/>
        </w:rPr>
        <w:t xml:space="preserve">86 fracción </w:t>
      </w:r>
      <w:r w:rsidR="009D77B0">
        <w:rPr>
          <w:rFonts w:ascii="Arial" w:eastAsia="Times New Roman" w:hAnsi="Arial" w:cs="Arial"/>
          <w:sz w:val="26"/>
          <w:szCs w:val="26"/>
        </w:rPr>
        <w:t>IX</w:t>
      </w:r>
      <w:r>
        <w:rPr>
          <w:rFonts w:ascii="Arial" w:eastAsia="Times New Roman" w:hAnsi="Arial" w:cs="Arial"/>
          <w:sz w:val="26"/>
          <w:szCs w:val="26"/>
        </w:rPr>
        <w:t xml:space="preserve"> del Reglamento de Vialidad para el Municipio de Oaxaca de Juárez vigente, contrario como manifiesta el actor, el artículo 11 del Bando de Policía y Gobierno del Municipio de Oaxaca de Juárez, y 7 fracción VIII del Reglamento de Vialidad para el Municipio de Oaxaca de Juárez, motivo por el cual en la contestación del juicio de nulidad se fundamenta en los artículos 13 fracción III del Reglamento en la materia.</w:t>
      </w:r>
    </w:p>
    <w:p w14:paraId="33E4E793" w14:textId="0972C3D4" w:rsidR="0076751E" w:rsidRDefault="0076751E" w:rsidP="0076751E">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lastRenderedPageBreak/>
        <w:t>Finaliza su agravio, señalando textualmente que “tal como se desprende de la boleta de infracción, que fue notificada al administrado el día veintiséis de agosto del año dos mil diecinueve, por ello dicha sentencia no es apegada a derecho, ni fundada ni motivada”, y transcribe el contenido de los artículos</w:t>
      </w:r>
      <w:r w:rsidR="006120CD">
        <w:rPr>
          <w:rFonts w:ascii="Arial" w:eastAsia="Times New Roman" w:hAnsi="Arial" w:cs="Arial"/>
          <w:sz w:val="26"/>
          <w:szCs w:val="26"/>
        </w:rPr>
        <w:t xml:space="preserve"> 60</w:t>
      </w:r>
      <w:r>
        <w:rPr>
          <w:rFonts w:ascii="Arial" w:eastAsia="Times New Roman" w:hAnsi="Arial" w:cs="Arial"/>
          <w:sz w:val="26"/>
          <w:szCs w:val="26"/>
        </w:rPr>
        <w:t xml:space="preserve">, 16 y </w:t>
      </w:r>
      <w:r w:rsidR="006120CD">
        <w:rPr>
          <w:rFonts w:ascii="Arial" w:eastAsia="Times New Roman" w:hAnsi="Arial" w:cs="Arial"/>
          <w:sz w:val="26"/>
          <w:szCs w:val="26"/>
        </w:rPr>
        <w:t>86</w:t>
      </w:r>
      <w:r>
        <w:rPr>
          <w:rFonts w:ascii="Arial" w:eastAsia="Times New Roman" w:hAnsi="Arial" w:cs="Arial"/>
          <w:sz w:val="26"/>
          <w:szCs w:val="26"/>
        </w:rPr>
        <w:t>, sin indicar a qué ordenamiento jurídico corresponden</w:t>
      </w:r>
      <w:r w:rsidR="006120CD">
        <w:rPr>
          <w:rFonts w:ascii="Arial" w:eastAsia="Times New Roman" w:hAnsi="Arial" w:cs="Arial"/>
          <w:sz w:val="26"/>
          <w:szCs w:val="26"/>
        </w:rPr>
        <w:t>.</w:t>
      </w:r>
      <w:r w:rsidR="00B13517">
        <w:rPr>
          <w:rFonts w:ascii="Arial" w:eastAsia="Times New Roman" w:hAnsi="Arial" w:cs="Arial"/>
          <w:sz w:val="26"/>
          <w:szCs w:val="26"/>
        </w:rPr>
        <w:t xml:space="preserve"> - - - - - - - - - - - - - - - - - - - - -- - - - -</w:t>
      </w:r>
    </w:p>
    <w:p w14:paraId="6F94D4A1" w14:textId="4C122716" w:rsidR="0076751E" w:rsidRDefault="0076751E" w:rsidP="0076751E">
      <w:pPr>
        <w:spacing w:before="240" w:after="0" w:line="360" w:lineRule="auto"/>
        <w:ind w:firstLine="709"/>
        <w:jc w:val="both"/>
        <w:rPr>
          <w:rFonts w:ascii="Arial" w:hAnsi="Arial" w:cs="Arial"/>
          <w:bCs/>
          <w:color w:val="000000"/>
          <w:sz w:val="26"/>
          <w:szCs w:val="26"/>
        </w:rPr>
      </w:pPr>
      <w:r>
        <w:rPr>
          <w:rFonts w:ascii="Arial" w:eastAsia="Times New Roman" w:hAnsi="Arial" w:cs="Arial"/>
          <w:sz w:val="26"/>
          <w:szCs w:val="26"/>
        </w:rPr>
        <w:t xml:space="preserve">Esta Sala Superior califica como </w:t>
      </w:r>
      <w:r w:rsidRPr="00236ECF">
        <w:rPr>
          <w:rFonts w:ascii="Arial" w:eastAsia="Times New Roman" w:hAnsi="Arial" w:cs="Arial"/>
          <w:b/>
          <w:bCs/>
          <w:sz w:val="26"/>
          <w:szCs w:val="26"/>
        </w:rPr>
        <w:t>INOPERANTE</w:t>
      </w:r>
      <w:r>
        <w:rPr>
          <w:rFonts w:ascii="Arial" w:eastAsia="Times New Roman" w:hAnsi="Arial" w:cs="Arial"/>
          <w:sz w:val="26"/>
          <w:szCs w:val="26"/>
        </w:rPr>
        <w:t xml:space="preserve"> el agravio en estudio</w:t>
      </w:r>
      <w:r>
        <w:rPr>
          <w:rFonts w:ascii="Arial" w:hAnsi="Arial" w:cs="Arial"/>
          <w:bCs/>
          <w:color w:val="000000"/>
          <w:sz w:val="26"/>
          <w:szCs w:val="26"/>
        </w:rPr>
        <w:t xml:space="preserve">, </w:t>
      </w:r>
      <w:r>
        <w:rPr>
          <w:rFonts w:ascii="Arial" w:hAnsi="Arial" w:cs="Arial"/>
          <w:color w:val="000000"/>
          <w:sz w:val="26"/>
          <w:szCs w:val="26"/>
        </w:rPr>
        <w:t xml:space="preserve">porque </w:t>
      </w:r>
      <w:r>
        <w:rPr>
          <w:rFonts w:ascii="Arial" w:eastAsia="Calibri" w:hAnsi="Arial" w:cs="Arial"/>
          <w:bCs/>
          <w:sz w:val="26"/>
          <w:szCs w:val="26"/>
          <w:lang w:val="es-ES" w:eastAsia="en-US"/>
        </w:rPr>
        <w:t>omite</w:t>
      </w:r>
      <w:r w:rsidRPr="00A4490C">
        <w:rPr>
          <w:rFonts w:ascii="Arial" w:eastAsia="Calibri" w:hAnsi="Arial" w:cs="Arial"/>
          <w:bCs/>
          <w:sz w:val="26"/>
          <w:szCs w:val="26"/>
          <w:lang w:val="es-ES" w:eastAsia="en-US"/>
        </w:rPr>
        <w:t xml:space="preserve"> controv</w:t>
      </w:r>
      <w:r>
        <w:rPr>
          <w:rFonts w:ascii="Arial" w:eastAsia="Calibri" w:hAnsi="Arial" w:cs="Arial"/>
          <w:bCs/>
          <w:sz w:val="26"/>
          <w:szCs w:val="26"/>
          <w:lang w:val="es-ES" w:eastAsia="en-US"/>
        </w:rPr>
        <w:t>ertir los razonamientos principales que tuvo la S</w:t>
      </w:r>
      <w:r w:rsidR="003D60FD">
        <w:rPr>
          <w:rFonts w:ascii="Arial" w:eastAsia="Calibri" w:hAnsi="Arial" w:cs="Arial"/>
          <w:bCs/>
          <w:sz w:val="26"/>
          <w:szCs w:val="26"/>
          <w:lang w:val="es-ES" w:eastAsia="en-US"/>
        </w:rPr>
        <w:t>egunda</w:t>
      </w:r>
      <w:r>
        <w:rPr>
          <w:rFonts w:ascii="Arial" w:eastAsia="Calibri" w:hAnsi="Arial" w:cs="Arial"/>
          <w:bCs/>
          <w:sz w:val="26"/>
          <w:szCs w:val="26"/>
          <w:lang w:val="es-ES" w:eastAsia="en-US"/>
        </w:rPr>
        <w:t xml:space="preserve"> Sala </w:t>
      </w:r>
      <w:bookmarkStart w:id="0" w:name="_Hlk85746071"/>
      <w:r w:rsidR="003D60FD">
        <w:rPr>
          <w:rFonts w:ascii="Arial" w:eastAsia="Calibri" w:hAnsi="Arial" w:cs="Arial"/>
          <w:bCs/>
          <w:sz w:val="26"/>
          <w:szCs w:val="26"/>
          <w:lang w:val="es-ES" w:eastAsia="en-US"/>
        </w:rPr>
        <w:t xml:space="preserve">Unitaria de Primera Instancia </w:t>
      </w:r>
      <w:bookmarkEnd w:id="0"/>
      <w:r>
        <w:rPr>
          <w:rFonts w:ascii="Arial" w:eastAsia="Calibri" w:hAnsi="Arial" w:cs="Arial"/>
          <w:bCs/>
          <w:sz w:val="26"/>
          <w:szCs w:val="26"/>
          <w:lang w:val="es-ES" w:eastAsia="en-US"/>
        </w:rPr>
        <w:t>para declarar la</w:t>
      </w:r>
      <w:r w:rsidRPr="00000C44">
        <w:rPr>
          <w:rFonts w:ascii="Arial" w:eastAsia="Calibri" w:hAnsi="Arial" w:cs="Arial"/>
          <w:bCs/>
          <w:sz w:val="26"/>
          <w:szCs w:val="26"/>
          <w:lang w:val="es-ES" w:eastAsia="en-US"/>
        </w:rPr>
        <w:t xml:space="preserve"> </w:t>
      </w:r>
      <w:r w:rsidR="003D60FD" w:rsidRPr="00000C44">
        <w:rPr>
          <w:rFonts w:ascii="Arial" w:eastAsia="Calibri" w:hAnsi="Arial" w:cs="Arial"/>
          <w:bCs/>
          <w:sz w:val="26"/>
          <w:szCs w:val="26"/>
          <w:lang w:val="es-ES" w:eastAsia="en-US"/>
        </w:rPr>
        <w:t>nulidad</w:t>
      </w:r>
      <w:r w:rsidRPr="00000C44">
        <w:rPr>
          <w:rFonts w:ascii="Arial" w:eastAsia="Calibri" w:hAnsi="Arial" w:cs="Arial"/>
          <w:bCs/>
          <w:sz w:val="26"/>
          <w:szCs w:val="26"/>
          <w:lang w:val="es-ES" w:eastAsia="en-US"/>
        </w:rPr>
        <w:t xml:space="preserve"> del acta de infracción de tránsito con número de folio </w:t>
      </w:r>
      <w:r w:rsidR="002F7711">
        <w:rPr>
          <w:rFonts w:ascii="Arial" w:hAnsi="Arial" w:cs="Arial"/>
          <w:b/>
          <w:sz w:val="26"/>
          <w:szCs w:val="26"/>
        </w:rPr>
        <w:t>***********</w:t>
      </w:r>
      <w:bookmarkStart w:id="1" w:name="_GoBack"/>
      <w:bookmarkEnd w:id="1"/>
      <w:r w:rsidR="00F1381A">
        <w:rPr>
          <w:rFonts w:ascii="Arial" w:eastAsia="Times New Roman" w:hAnsi="Arial" w:cs="Arial"/>
          <w:sz w:val="26"/>
          <w:szCs w:val="26"/>
        </w:rPr>
        <w:t xml:space="preserve"> de tres de junio de dos mil diecinueve</w:t>
      </w:r>
      <w:r>
        <w:rPr>
          <w:rFonts w:ascii="Arial" w:eastAsia="Calibri" w:hAnsi="Arial" w:cs="Arial"/>
          <w:bCs/>
          <w:sz w:val="26"/>
          <w:szCs w:val="26"/>
          <w:lang w:val="es-ES" w:eastAsia="en-US"/>
        </w:rPr>
        <w:t xml:space="preserve">, </w:t>
      </w:r>
      <w:bookmarkStart w:id="2" w:name="_Hlk82123264"/>
      <w:r>
        <w:rPr>
          <w:rFonts w:ascii="Arial" w:hAnsi="Arial" w:cs="Arial"/>
          <w:color w:val="000000"/>
          <w:sz w:val="26"/>
          <w:szCs w:val="26"/>
        </w:rPr>
        <w:t xml:space="preserve">ya que </w:t>
      </w:r>
      <w:r>
        <w:rPr>
          <w:rFonts w:ascii="Arial" w:hAnsi="Arial" w:cs="Arial"/>
          <w:bCs/>
          <w:color w:val="000000"/>
          <w:sz w:val="26"/>
          <w:szCs w:val="26"/>
        </w:rPr>
        <w:t xml:space="preserve">la autoridad recurrente se limitó a indicar que la </w:t>
      </w:r>
      <w:r w:rsidRPr="00735D96">
        <w:rPr>
          <w:rFonts w:ascii="Arial" w:hAnsi="Arial" w:cs="Arial"/>
          <w:bCs/>
          <w:i/>
          <w:color w:val="000000"/>
          <w:sz w:val="26"/>
          <w:szCs w:val="26"/>
        </w:rPr>
        <w:t>A quo</w:t>
      </w:r>
      <w:r>
        <w:rPr>
          <w:rFonts w:ascii="Arial" w:hAnsi="Arial" w:cs="Arial"/>
          <w:bCs/>
          <w:color w:val="000000"/>
          <w:sz w:val="26"/>
          <w:szCs w:val="26"/>
        </w:rPr>
        <w:t xml:space="preserve"> debió haber valorado la fundamentación del acto impugnado, y señaló diversos preceptos legales, sin haber argumentado de qué manera debió valorar la Primera Instancia, los fundamentos a los que hizo referencia, para emitir el fallo en revisión.</w:t>
      </w:r>
      <w:r w:rsidR="00533C5F">
        <w:rPr>
          <w:rFonts w:ascii="Arial" w:hAnsi="Arial" w:cs="Arial"/>
          <w:bCs/>
          <w:color w:val="000000"/>
          <w:sz w:val="26"/>
          <w:szCs w:val="26"/>
        </w:rPr>
        <w:t>- -</w:t>
      </w:r>
    </w:p>
    <w:p w14:paraId="22E7A9BF" w14:textId="77777777" w:rsidR="00533C5F" w:rsidRPr="00000C44" w:rsidRDefault="00533C5F" w:rsidP="00533C5F">
      <w:pPr>
        <w:pStyle w:val="Sinespaciado"/>
        <w:rPr>
          <w:rFonts w:eastAsia="Times New Roman"/>
        </w:rPr>
      </w:pPr>
    </w:p>
    <w:bookmarkEnd w:id="2"/>
    <w:p w14:paraId="3BAE29B6" w14:textId="5C722C7C" w:rsidR="0076751E" w:rsidRDefault="0076751E" w:rsidP="0076751E">
      <w:pPr>
        <w:spacing w:after="0" w:line="360" w:lineRule="auto"/>
        <w:ind w:firstLine="567"/>
        <w:jc w:val="both"/>
        <w:rPr>
          <w:rFonts w:ascii="Arial" w:eastAsia="Calibri" w:hAnsi="Arial" w:cs="Arial"/>
          <w:bCs/>
          <w:sz w:val="26"/>
          <w:szCs w:val="26"/>
        </w:rPr>
      </w:pPr>
      <w:r>
        <w:rPr>
          <w:rFonts w:ascii="Arial" w:eastAsia="Calibri" w:hAnsi="Arial" w:cs="Arial"/>
          <w:bCs/>
          <w:sz w:val="26"/>
          <w:szCs w:val="26"/>
        </w:rPr>
        <w:t xml:space="preserve">Es pertinente mencionar </w:t>
      </w:r>
      <w:r w:rsidRPr="00EC4A1C">
        <w:rPr>
          <w:rFonts w:ascii="Arial" w:eastAsia="Calibri" w:hAnsi="Arial" w:cs="Arial"/>
          <w:bCs/>
          <w:sz w:val="26"/>
          <w:szCs w:val="26"/>
        </w:rPr>
        <w:t>que</w:t>
      </w:r>
      <w:r>
        <w:rPr>
          <w:rFonts w:ascii="Arial" w:eastAsia="Calibri" w:hAnsi="Arial" w:cs="Arial"/>
          <w:bCs/>
          <w:sz w:val="26"/>
          <w:szCs w:val="26"/>
        </w:rPr>
        <w:t>,</w:t>
      </w:r>
      <w:r w:rsidRPr="00EC4A1C">
        <w:rPr>
          <w:rFonts w:ascii="Arial" w:eastAsia="Calibri" w:hAnsi="Arial" w:cs="Arial"/>
          <w:bCs/>
          <w:sz w:val="26"/>
          <w:szCs w:val="26"/>
        </w:rPr>
        <w:t xml:space="preserve"> </w:t>
      </w:r>
      <w:r>
        <w:rPr>
          <w:rFonts w:ascii="Arial" w:eastAsia="Calibri" w:hAnsi="Arial" w:cs="Arial"/>
          <w:bCs/>
          <w:sz w:val="26"/>
          <w:szCs w:val="26"/>
        </w:rPr>
        <w:t xml:space="preserve">tratándose de la interposición del recurso de revisión en la segunda instancia, </w:t>
      </w:r>
      <w:r w:rsidRPr="00EC4A1C">
        <w:rPr>
          <w:rFonts w:ascii="Arial" w:eastAsia="Calibri" w:hAnsi="Arial" w:cs="Arial"/>
          <w:bCs/>
          <w:sz w:val="26"/>
          <w:szCs w:val="26"/>
        </w:rPr>
        <w:t xml:space="preserve">es </w:t>
      </w:r>
      <w:r>
        <w:rPr>
          <w:rFonts w:ascii="Arial" w:eastAsia="Calibri" w:hAnsi="Arial" w:cs="Arial"/>
          <w:bCs/>
          <w:sz w:val="26"/>
          <w:szCs w:val="26"/>
        </w:rPr>
        <w:t>indispensable que el recurrente precise cuál es la lesión que le ocasiona la sentencia combatida, que haga el señalamiento d</w:t>
      </w:r>
      <w:r w:rsidRPr="00EC4A1C">
        <w:rPr>
          <w:rFonts w:ascii="Arial" w:eastAsia="Calibri" w:hAnsi="Arial" w:cs="Arial"/>
          <w:bCs/>
          <w:sz w:val="26"/>
          <w:szCs w:val="26"/>
        </w:rPr>
        <w:t>el precepto legal</w:t>
      </w:r>
      <w:r>
        <w:rPr>
          <w:rFonts w:ascii="Arial" w:eastAsia="Calibri" w:hAnsi="Arial" w:cs="Arial"/>
          <w:bCs/>
          <w:sz w:val="26"/>
          <w:szCs w:val="26"/>
        </w:rPr>
        <w:t xml:space="preserve"> que estima</w:t>
      </w:r>
      <w:r w:rsidRPr="00EC4A1C">
        <w:rPr>
          <w:rFonts w:ascii="Arial" w:eastAsia="Calibri" w:hAnsi="Arial" w:cs="Arial"/>
          <w:bCs/>
          <w:sz w:val="26"/>
          <w:szCs w:val="26"/>
        </w:rPr>
        <w:t xml:space="preserve"> violado y que </w:t>
      </w:r>
      <w:r>
        <w:rPr>
          <w:rFonts w:ascii="Arial" w:eastAsia="Calibri" w:hAnsi="Arial" w:cs="Arial"/>
          <w:bCs/>
          <w:sz w:val="26"/>
          <w:szCs w:val="26"/>
        </w:rPr>
        <w:t xml:space="preserve">argumente de </w:t>
      </w:r>
      <w:r w:rsidRPr="00EC4A1C">
        <w:rPr>
          <w:rFonts w:ascii="Arial" w:eastAsia="Calibri" w:hAnsi="Arial" w:cs="Arial"/>
          <w:bCs/>
          <w:sz w:val="26"/>
          <w:szCs w:val="26"/>
        </w:rPr>
        <w:t xml:space="preserve">qué manera la </w:t>
      </w:r>
      <w:r w:rsidRPr="00462A62">
        <w:rPr>
          <w:rFonts w:ascii="Arial" w:eastAsia="Calibri" w:hAnsi="Arial" w:cs="Arial"/>
          <w:bCs/>
          <w:i/>
          <w:sz w:val="26"/>
          <w:szCs w:val="26"/>
        </w:rPr>
        <w:t>A quo</w:t>
      </w:r>
      <w:r>
        <w:rPr>
          <w:rFonts w:ascii="Arial" w:eastAsia="Calibri" w:hAnsi="Arial" w:cs="Arial"/>
          <w:bCs/>
          <w:sz w:val="26"/>
          <w:szCs w:val="26"/>
        </w:rPr>
        <w:t xml:space="preserve"> le produjo </w:t>
      </w:r>
      <w:r w:rsidRPr="00EC4A1C">
        <w:rPr>
          <w:rFonts w:ascii="Arial" w:eastAsia="Calibri" w:hAnsi="Arial" w:cs="Arial"/>
          <w:bCs/>
          <w:sz w:val="26"/>
          <w:szCs w:val="26"/>
        </w:rPr>
        <w:t>el perjuicio</w:t>
      </w:r>
      <w:r>
        <w:rPr>
          <w:rFonts w:ascii="Arial" w:eastAsia="Calibri" w:hAnsi="Arial" w:cs="Arial"/>
          <w:bCs/>
          <w:sz w:val="26"/>
          <w:szCs w:val="26"/>
        </w:rPr>
        <w:t xml:space="preserve"> alegado, ya que así </w:t>
      </w:r>
      <w:r w:rsidRPr="00EC4A1C">
        <w:rPr>
          <w:rFonts w:ascii="Arial" w:eastAsia="Calibri" w:hAnsi="Arial" w:cs="Arial"/>
          <w:bCs/>
          <w:sz w:val="26"/>
          <w:szCs w:val="26"/>
        </w:rPr>
        <w:t>lo exige la técnica p</w:t>
      </w:r>
      <w:r>
        <w:rPr>
          <w:rFonts w:ascii="Arial" w:eastAsia="Calibri" w:hAnsi="Arial" w:cs="Arial"/>
          <w:bCs/>
          <w:sz w:val="26"/>
          <w:szCs w:val="26"/>
        </w:rPr>
        <w:t xml:space="preserve">rocesal tratándose de recursos, sin que sea válido que el recurrente pretenda realizar sus impugnaciones a través de manifestaciones genéricas en las que afirme que la sentencia combatida le agravia, </w:t>
      </w:r>
      <w:r w:rsidRPr="00EC4A1C">
        <w:rPr>
          <w:rFonts w:ascii="Arial" w:eastAsia="Calibri" w:hAnsi="Arial" w:cs="Arial"/>
          <w:bCs/>
          <w:sz w:val="26"/>
          <w:szCs w:val="26"/>
        </w:rPr>
        <w:t>pues así</w:t>
      </w:r>
      <w:r>
        <w:rPr>
          <w:rFonts w:ascii="Arial" w:eastAsia="Calibri" w:hAnsi="Arial" w:cs="Arial"/>
          <w:bCs/>
          <w:sz w:val="26"/>
          <w:szCs w:val="26"/>
        </w:rPr>
        <w:t>, no explica de ninguna manera</w:t>
      </w:r>
      <w:r w:rsidRPr="00EC4A1C">
        <w:rPr>
          <w:rFonts w:ascii="Arial" w:eastAsia="Calibri" w:hAnsi="Arial" w:cs="Arial"/>
          <w:bCs/>
          <w:sz w:val="26"/>
          <w:szCs w:val="26"/>
        </w:rPr>
        <w:t xml:space="preserve"> el daño sufrido</w:t>
      </w:r>
      <w:r>
        <w:rPr>
          <w:rFonts w:ascii="Arial" w:eastAsia="Calibri" w:hAnsi="Arial" w:cs="Arial"/>
          <w:bCs/>
          <w:sz w:val="26"/>
          <w:szCs w:val="26"/>
        </w:rPr>
        <w:t>.</w:t>
      </w:r>
      <w:r w:rsidR="00636DE6">
        <w:rPr>
          <w:rFonts w:ascii="Arial" w:eastAsia="Calibri" w:hAnsi="Arial" w:cs="Arial"/>
          <w:bCs/>
          <w:sz w:val="26"/>
          <w:szCs w:val="26"/>
        </w:rPr>
        <w:t>- - - - - - - - - - - - - - - - - - - - - - - - - - - - - - - - - - - - - - - - - - - - - - -</w:t>
      </w:r>
    </w:p>
    <w:p w14:paraId="23218590" w14:textId="77777777" w:rsidR="00636DE6" w:rsidRDefault="00636DE6" w:rsidP="00636DE6">
      <w:pPr>
        <w:pStyle w:val="Sinespaciado"/>
        <w:rPr>
          <w:rFonts w:eastAsia="Calibri"/>
        </w:rPr>
      </w:pPr>
    </w:p>
    <w:p w14:paraId="23830376" w14:textId="4B98AC79" w:rsidR="0076751E" w:rsidRDefault="0076751E" w:rsidP="0076751E">
      <w:pPr>
        <w:spacing w:after="0" w:line="360" w:lineRule="auto"/>
        <w:ind w:firstLine="708"/>
        <w:jc w:val="both"/>
        <w:rPr>
          <w:rFonts w:ascii="Arial" w:eastAsia="Calibri" w:hAnsi="Arial" w:cs="Arial"/>
          <w:bCs/>
          <w:sz w:val="26"/>
          <w:szCs w:val="26"/>
          <w:lang w:val="es-ES" w:eastAsia="en-US"/>
        </w:rPr>
      </w:pPr>
      <w:r w:rsidRPr="0057470F">
        <w:rPr>
          <w:rFonts w:ascii="Arial" w:eastAsia="Calibri" w:hAnsi="Arial" w:cs="Arial"/>
          <w:bCs/>
          <w:sz w:val="26"/>
          <w:szCs w:val="26"/>
          <w:lang w:val="es-ES" w:eastAsia="en-US"/>
        </w:rPr>
        <w:t xml:space="preserve">En apoyo a lo anterior, se invoca la jurisprudencia IV.3o.J/12, con número de registro 218411, emitida por el Tercer Tribunal Colegiado del Cuarto Circuito en la Octava Época, visible en la Gaceta del Semanario Judicial de la Federación, número 57, de septiembre de 1992, de rubro y texto siguiente: </w:t>
      </w:r>
      <w:r w:rsidR="00636DE6">
        <w:rPr>
          <w:rFonts w:ascii="Arial" w:eastAsia="Calibri" w:hAnsi="Arial" w:cs="Arial"/>
          <w:bCs/>
          <w:sz w:val="26"/>
          <w:szCs w:val="26"/>
          <w:lang w:val="es-ES" w:eastAsia="en-US"/>
        </w:rPr>
        <w:t>- - - - - -  - - - - - - -- - - - - - - - - - - - - - - - - - - - - - - - - - -</w:t>
      </w:r>
    </w:p>
    <w:p w14:paraId="31812E91" w14:textId="77777777" w:rsidR="0076751E" w:rsidRPr="0057470F" w:rsidRDefault="0076751E" w:rsidP="00EE4F81">
      <w:pPr>
        <w:pStyle w:val="Sinespaciado"/>
        <w:rPr>
          <w:rFonts w:eastAsia="Calibri"/>
          <w:lang w:eastAsia="en-US"/>
        </w:rPr>
      </w:pPr>
    </w:p>
    <w:p w14:paraId="74287F42" w14:textId="77777777" w:rsidR="0076751E" w:rsidRPr="0057470F" w:rsidRDefault="0076751E" w:rsidP="00865CD2">
      <w:pPr>
        <w:spacing w:after="120"/>
        <w:ind w:left="709" w:right="902"/>
        <w:jc w:val="both"/>
        <w:rPr>
          <w:rFonts w:ascii="Arial" w:eastAsia="Calibri" w:hAnsi="Arial" w:cs="Arial"/>
          <w:bCs/>
          <w:i/>
          <w:lang w:val="es-ES" w:eastAsia="en-US"/>
        </w:rPr>
      </w:pPr>
      <w:r w:rsidRPr="0057470F">
        <w:rPr>
          <w:rFonts w:ascii="Arial" w:eastAsia="Calibri" w:hAnsi="Arial" w:cs="Arial"/>
          <w:b/>
          <w:bCs/>
          <w:i/>
          <w:lang w:val="es-ES" w:eastAsia="en-US"/>
        </w:rPr>
        <w:t xml:space="preserve">AGRAVIOS. DEBEN DE IMPUGNAR LA ILEGALIDAD DEL FALLO RECURRIDO. </w:t>
      </w:r>
      <w:r w:rsidRPr="0057470F">
        <w:rPr>
          <w:rFonts w:ascii="Arial" w:eastAsia="Calibri" w:hAnsi="Arial" w:cs="Arial"/>
          <w:bCs/>
          <w:i/>
          <w:lang w:val="es-ES" w:eastAsia="en-US"/>
        </w:rPr>
        <w:t xml:space="preserve">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w:t>
      </w:r>
      <w:r w:rsidRPr="0057470F">
        <w:rPr>
          <w:rFonts w:ascii="Arial" w:eastAsia="Calibri" w:hAnsi="Arial" w:cs="Arial"/>
          <w:bCs/>
          <w:i/>
          <w:lang w:val="es-ES" w:eastAsia="en-US"/>
        </w:rPr>
        <w:lastRenderedPageBreak/>
        <w:t>tendientes a impugnar la ilegalidad del fallo, señalando las violaciones que cometió la autoridad recurrida.</w:t>
      </w:r>
    </w:p>
    <w:p w14:paraId="50A70C6C" w14:textId="77777777" w:rsidR="0076751E" w:rsidRDefault="0076751E" w:rsidP="00865CD2">
      <w:pPr>
        <w:spacing w:after="120"/>
        <w:ind w:left="709" w:right="902"/>
        <w:jc w:val="both"/>
        <w:rPr>
          <w:rFonts w:ascii="Arial" w:eastAsia="Calibri" w:hAnsi="Arial" w:cs="Arial"/>
          <w:b/>
          <w:bCs/>
          <w:i/>
          <w:lang w:val="es-ES" w:eastAsia="en-US"/>
        </w:rPr>
      </w:pPr>
      <w:r w:rsidRPr="0057470F">
        <w:rPr>
          <w:rFonts w:ascii="Arial" w:eastAsia="Calibri" w:hAnsi="Arial" w:cs="Arial"/>
          <w:b/>
          <w:bCs/>
          <w:i/>
          <w:lang w:val="es-ES" w:eastAsia="en-US"/>
        </w:rPr>
        <w:t>TERCER TRIBUNAL COLEGIADO DEL CUARTO CIRCUITO.</w:t>
      </w:r>
    </w:p>
    <w:p w14:paraId="33947868" w14:textId="40716A22" w:rsidR="0076751E" w:rsidRDefault="0076751E" w:rsidP="0076751E">
      <w:pPr>
        <w:spacing w:before="240" w:after="0" w:line="360" w:lineRule="auto"/>
        <w:ind w:right="-234" w:firstLine="567"/>
        <w:jc w:val="both"/>
        <w:rPr>
          <w:rFonts w:ascii="Arial" w:hAnsi="Arial" w:cs="Arial"/>
          <w:sz w:val="26"/>
          <w:szCs w:val="26"/>
        </w:rPr>
      </w:pPr>
      <w:r>
        <w:rPr>
          <w:rFonts w:ascii="Arial" w:hAnsi="Arial" w:cs="Arial"/>
          <w:sz w:val="26"/>
          <w:szCs w:val="26"/>
        </w:rPr>
        <w:t>P</w:t>
      </w:r>
      <w:r w:rsidRPr="00403CFB">
        <w:rPr>
          <w:rFonts w:ascii="Arial" w:hAnsi="Arial" w:cs="Arial"/>
          <w:sz w:val="26"/>
          <w:szCs w:val="26"/>
        </w:rPr>
        <w:t>or las consideraciones</w:t>
      </w:r>
      <w:r>
        <w:rPr>
          <w:rFonts w:ascii="Arial" w:hAnsi="Arial" w:cs="Arial"/>
          <w:sz w:val="26"/>
          <w:szCs w:val="26"/>
        </w:rPr>
        <w:t xml:space="preserve"> antes expuestas</w:t>
      </w:r>
      <w:r w:rsidRPr="00403CFB">
        <w:rPr>
          <w:rFonts w:ascii="Arial" w:hAnsi="Arial" w:cs="Arial"/>
          <w:sz w:val="26"/>
          <w:szCs w:val="26"/>
        </w:rPr>
        <w:t xml:space="preserve">, </w:t>
      </w:r>
      <w:r>
        <w:rPr>
          <w:rFonts w:ascii="Arial" w:hAnsi="Arial" w:cs="Arial"/>
          <w:sz w:val="26"/>
          <w:szCs w:val="26"/>
        </w:rPr>
        <w:t xml:space="preserve">y dado lo </w:t>
      </w:r>
      <w:r w:rsidR="000351FD" w:rsidRPr="005752D4">
        <w:rPr>
          <w:rFonts w:ascii="Arial" w:hAnsi="Arial" w:cs="Arial"/>
          <w:b/>
          <w:sz w:val="26"/>
          <w:szCs w:val="26"/>
        </w:rPr>
        <w:t>INOPERANTE</w:t>
      </w:r>
      <w:r w:rsidR="000351FD">
        <w:rPr>
          <w:rFonts w:ascii="Arial" w:hAnsi="Arial" w:cs="Arial"/>
          <w:sz w:val="26"/>
          <w:szCs w:val="26"/>
        </w:rPr>
        <w:t xml:space="preserve"> </w:t>
      </w:r>
      <w:r>
        <w:rPr>
          <w:rFonts w:ascii="Arial" w:hAnsi="Arial" w:cs="Arial"/>
          <w:sz w:val="26"/>
          <w:szCs w:val="26"/>
        </w:rPr>
        <w:t>del agravio formulado por la autoridad inconforme,</w:t>
      </w:r>
      <w:r w:rsidRPr="00403CFB">
        <w:rPr>
          <w:rFonts w:ascii="Arial" w:hAnsi="Arial" w:cs="Arial"/>
          <w:sz w:val="26"/>
          <w:szCs w:val="26"/>
        </w:rPr>
        <w:t xml:space="preserve"> </w:t>
      </w:r>
      <w:r>
        <w:rPr>
          <w:rFonts w:ascii="Arial" w:hAnsi="Arial" w:cs="Arial"/>
          <w:sz w:val="26"/>
          <w:szCs w:val="26"/>
        </w:rPr>
        <w:t xml:space="preserve">es </w:t>
      </w:r>
      <w:r w:rsidRPr="00403CFB">
        <w:rPr>
          <w:rFonts w:ascii="Arial" w:hAnsi="Arial" w:cs="Arial"/>
          <w:sz w:val="26"/>
          <w:szCs w:val="26"/>
        </w:rPr>
        <w:t>procede</w:t>
      </w:r>
      <w:r>
        <w:rPr>
          <w:rFonts w:ascii="Arial" w:hAnsi="Arial" w:cs="Arial"/>
          <w:sz w:val="26"/>
          <w:szCs w:val="26"/>
        </w:rPr>
        <w:t>nte</w:t>
      </w:r>
      <w:r w:rsidRPr="00403CFB">
        <w:rPr>
          <w:rFonts w:ascii="Arial" w:hAnsi="Arial" w:cs="Arial"/>
          <w:sz w:val="26"/>
          <w:szCs w:val="26"/>
        </w:rPr>
        <w:t xml:space="preserve"> </w:t>
      </w:r>
      <w:r w:rsidRPr="00403CFB">
        <w:rPr>
          <w:rFonts w:ascii="Arial" w:hAnsi="Arial" w:cs="Arial"/>
          <w:b/>
          <w:sz w:val="26"/>
          <w:szCs w:val="26"/>
        </w:rPr>
        <w:t>CONFIRMAR</w:t>
      </w:r>
      <w:r w:rsidRPr="00403CFB">
        <w:rPr>
          <w:rFonts w:ascii="Arial" w:hAnsi="Arial" w:cs="Arial"/>
          <w:sz w:val="26"/>
          <w:szCs w:val="26"/>
        </w:rPr>
        <w:t xml:space="preserve"> la sentencia alzada; y, </w:t>
      </w:r>
      <w:r w:rsidRPr="00403CFB">
        <w:rPr>
          <w:rFonts w:ascii="Arial" w:eastAsia="Calibri" w:hAnsi="Arial" w:cs="Arial"/>
          <w:bCs/>
          <w:sz w:val="26"/>
          <w:szCs w:val="26"/>
        </w:rPr>
        <w:t>c</w:t>
      </w:r>
      <w:r w:rsidRPr="00403CFB">
        <w:rPr>
          <w:rFonts w:ascii="Arial" w:hAnsi="Arial" w:cs="Arial"/>
          <w:sz w:val="26"/>
          <w:szCs w:val="26"/>
        </w:rPr>
        <w:t>on fundamento en los artículos 237 y 238 de la Ley de Procedimiento y Justicia Administrativa para el Estado de Oaxaca, se:</w:t>
      </w:r>
      <w:r w:rsidR="000356C6">
        <w:rPr>
          <w:rFonts w:ascii="Arial" w:hAnsi="Arial" w:cs="Arial"/>
          <w:sz w:val="26"/>
          <w:szCs w:val="26"/>
        </w:rPr>
        <w:t xml:space="preserve"> - - - - - - - - - - - - - - - - - - - - - - - - - - - - - - - - - - - - - - - - - - </w:t>
      </w:r>
    </w:p>
    <w:p w14:paraId="61DBFA35" w14:textId="77777777" w:rsidR="0076751E" w:rsidRPr="000356C6" w:rsidRDefault="0076751E" w:rsidP="0076751E">
      <w:pPr>
        <w:pStyle w:val="Sinespaciado"/>
        <w:spacing w:before="240" w:line="360" w:lineRule="auto"/>
        <w:jc w:val="center"/>
        <w:rPr>
          <w:rFonts w:ascii="Arial" w:hAnsi="Arial" w:cs="Arial"/>
          <w:b/>
          <w:sz w:val="26"/>
          <w:szCs w:val="26"/>
        </w:rPr>
      </w:pPr>
      <w:r w:rsidRPr="000356C6">
        <w:rPr>
          <w:rFonts w:ascii="Arial" w:hAnsi="Arial" w:cs="Arial"/>
          <w:b/>
          <w:sz w:val="26"/>
          <w:szCs w:val="26"/>
        </w:rPr>
        <w:t>R E S U E L V E</w:t>
      </w:r>
    </w:p>
    <w:p w14:paraId="4F1AA795" w14:textId="12F30AE6" w:rsidR="0076751E" w:rsidRDefault="0076751E" w:rsidP="0076751E">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Se</w:t>
      </w:r>
      <w:r>
        <w:rPr>
          <w:rFonts w:ascii="Arial" w:hAnsi="Arial" w:cs="Arial"/>
          <w:b/>
          <w:color w:val="000000"/>
          <w:sz w:val="26"/>
          <w:szCs w:val="26"/>
          <w:lang w:val="es-MX"/>
        </w:rPr>
        <w:t xml:space="preserve"> CONFIRMA </w:t>
      </w:r>
      <w:r w:rsidRPr="00867780">
        <w:rPr>
          <w:rFonts w:ascii="Arial" w:hAnsi="Arial" w:cs="Arial"/>
          <w:bCs/>
          <w:color w:val="000000"/>
          <w:sz w:val="26"/>
          <w:szCs w:val="26"/>
          <w:lang w:val="es-MX"/>
        </w:rPr>
        <w:t>la sentencia recurrida</w:t>
      </w:r>
      <w:r>
        <w:rPr>
          <w:rFonts w:ascii="Arial" w:hAnsi="Arial" w:cs="Arial"/>
          <w:color w:val="000000"/>
          <w:sz w:val="26"/>
          <w:szCs w:val="26"/>
          <w:lang w:val="es-MX"/>
        </w:rPr>
        <w:t xml:space="preserve">, por las razones expuestas por esta Sala Superior en el considerando que </w:t>
      </w:r>
      <w:r w:rsidR="00CE10D6">
        <w:rPr>
          <w:rFonts w:ascii="Arial" w:hAnsi="Arial" w:cs="Arial"/>
          <w:color w:val="000000"/>
          <w:sz w:val="26"/>
          <w:szCs w:val="26"/>
          <w:lang w:val="es-MX"/>
        </w:rPr>
        <w:t xml:space="preserve">antecede. - - - </w:t>
      </w:r>
    </w:p>
    <w:p w14:paraId="4C9BE149" w14:textId="1DD9F188" w:rsidR="0076751E" w:rsidRDefault="0076751E" w:rsidP="0076751E">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0351FD">
        <w:rPr>
          <w:rFonts w:ascii="Arial" w:hAnsi="Arial" w:cs="Arial"/>
          <w:sz w:val="26"/>
          <w:szCs w:val="26"/>
        </w:rPr>
        <w:t>Segunda</w:t>
      </w:r>
      <w:r>
        <w:rPr>
          <w:rFonts w:ascii="Arial" w:hAnsi="Arial" w:cs="Arial"/>
          <w:sz w:val="26"/>
          <w:szCs w:val="26"/>
        </w:rPr>
        <w:t xml:space="preserve"> Sala Unitaria de Primera Instancia de este Tribunal y en su oportunidad archívese el presente cuaderno de revisión como asunto concluido.</w:t>
      </w:r>
      <w:r w:rsidR="00CE10D6">
        <w:rPr>
          <w:rFonts w:ascii="Arial" w:hAnsi="Arial" w:cs="Arial"/>
          <w:sz w:val="26"/>
          <w:szCs w:val="26"/>
        </w:rPr>
        <w:t xml:space="preserve"> - - - - - - - - - - - - </w:t>
      </w:r>
    </w:p>
    <w:p w14:paraId="22952C09" w14:textId="77777777" w:rsidR="00163C53" w:rsidRDefault="00163C53" w:rsidP="00163C53">
      <w:pPr>
        <w:pStyle w:val="Sinespaciado"/>
        <w:spacing w:before="240" w:line="360" w:lineRule="auto"/>
        <w:ind w:right="49" w:firstLine="567"/>
        <w:jc w:val="both"/>
        <w:rPr>
          <w:rFonts w:ascii="Arial" w:eastAsiaTheme="minorHAnsi" w:hAnsi="Arial" w:cs="Arial"/>
          <w:sz w:val="26"/>
          <w:szCs w:val="26"/>
        </w:rPr>
      </w:pPr>
      <w:r>
        <w:rPr>
          <w:rFonts w:ascii="Arial" w:eastAsia="Calibri" w:hAnsi="Arial" w:cs="Arial"/>
          <w:sz w:val="26"/>
          <w:szCs w:val="26"/>
        </w:rPr>
        <w:t xml:space="preserve">Así por unanimidad de votos, lo resolvieron y firmaron </w:t>
      </w:r>
      <w:r>
        <w:rPr>
          <w:rFonts w:ascii="Arial" w:hAnsi="Arial" w:cs="Arial"/>
          <w:sz w:val="26"/>
          <w:szCs w:val="26"/>
        </w:rPr>
        <w:t xml:space="preserve">los Magistrados integrantes de la Sala Superior, Manuel Velasco Alcántara, Abraham Santiago Soriano, Raúl Palomares Palomino </w:t>
      </w:r>
      <w:r>
        <w:rPr>
          <w:rFonts w:ascii="Arial" w:hAnsi="Arial" w:cs="Arial"/>
          <w:b/>
          <w:bCs/>
          <w:sz w:val="26"/>
          <w:szCs w:val="26"/>
        </w:rPr>
        <w:t>(ponente)</w:t>
      </w:r>
      <w:r>
        <w:rPr>
          <w:rFonts w:ascii="Arial" w:hAnsi="Arial" w:cs="Arial"/>
          <w:sz w:val="26"/>
          <w:szCs w:val="26"/>
        </w:rPr>
        <w:t>, Gloria del Carmen Camacho Meza y Paulo José Luis Tapia Palacios, quienes actúan con el Licenciado Juan Edy García Coronado, Secretario General de Acuerdos de este Tribunal, que autoriza y da fe.-</w:t>
      </w:r>
    </w:p>
    <w:p w14:paraId="4FC70D64" w14:textId="77777777" w:rsidR="00163C53" w:rsidRDefault="00163C53" w:rsidP="00163C53">
      <w:pPr>
        <w:spacing w:after="0" w:line="360" w:lineRule="auto"/>
        <w:ind w:right="51" w:firstLine="567"/>
        <w:jc w:val="center"/>
        <w:rPr>
          <w:rFonts w:ascii="Arial" w:eastAsia="Calibri" w:hAnsi="Arial" w:cs="Arial"/>
          <w:b/>
          <w:sz w:val="18"/>
          <w:szCs w:val="18"/>
        </w:rPr>
      </w:pPr>
    </w:p>
    <w:p w14:paraId="22599C8B" w14:textId="77777777" w:rsidR="00163C53" w:rsidRDefault="00163C53" w:rsidP="00163C53">
      <w:pPr>
        <w:spacing w:after="0" w:line="360" w:lineRule="auto"/>
        <w:ind w:right="51" w:firstLine="567"/>
        <w:jc w:val="center"/>
        <w:rPr>
          <w:rFonts w:ascii="Arial" w:eastAsia="Calibri" w:hAnsi="Arial" w:cs="Arial"/>
          <w:b/>
          <w:sz w:val="18"/>
          <w:szCs w:val="18"/>
        </w:rPr>
      </w:pPr>
    </w:p>
    <w:p w14:paraId="79051A2E" w14:textId="0DA78D21" w:rsidR="00163C53" w:rsidRDefault="00163C53" w:rsidP="00163C53">
      <w:pPr>
        <w:spacing w:after="0" w:line="240" w:lineRule="auto"/>
        <w:rPr>
          <w:rFonts w:ascii="Arial" w:eastAsia="Times New Roman" w:hAnsi="Arial" w:cs="Arial"/>
          <w:sz w:val="26"/>
          <w:szCs w:val="26"/>
        </w:rPr>
      </w:pPr>
    </w:p>
    <w:p w14:paraId="6FDDF58A" w14:textId="3121A512" w:rsidR="00163C53" w:rsidRDefault="00163C53" w:rsidP="00163C53">
      <w:pPr>
        <w:spacing w:after="0" w:line="240" w:lineRule="auto"/>
        <w:rPr>
          <w:rFonts w:ascii="Arial" w:eastAsia="Times New Roman" w:hAnsi="Arial" w:cs="Arial"/>
          <w:sz w:val="26"/>
          <w:szCs w:val="26"/>
        </w:rPr>
      </w:pPr>
    </w:p>
    <w:p w14:paraId="72C679C7" w14:textId="433ACA1E" w:rsidR="00163C53" w:rsidRDefault="00163C53" w:rsidP="00163C53">
      <w:pPr>
        <w:spacing w:after="0" w:line="240" w:lineRule="auto"/>
        <w:rPr>
          <w:rFonts w:ascii="Arial" w:eastAsia="Times New Roman" w:hAnsi="Arial" w:cs="Arial"/>
          <w:sz w:val="26"/>
          <w:szCs w:val="26"/>
        </w:rPr>
      </w:pPr>
    </w:p>
    <w:p w14:paraId="43D723F5" w14:textId="77777777" w:rsidR="00163C53" w:rsidRDefault="00163C53" w:rsidP="00163C53">
      <w:pPr>
        <w:spacing w:after="0" w:line="240" w:lineRule="auto"/>
        <w:rPr>
          <w:rFonts w:ascii="Arial" w:eastAsia="Times New Roman" w:hAnsi="Arial" w:cs="Arial"/>
          <w:sz w:val="26"/>
          <w:szCs w:val="26"/>
        </w:rPr>
      </w:pPr>
    </w:p>
    <w:p w14:paraId="21A04EEE" w14:textId="77777777" w:rsidR="00163C53" w:rsidRDefault="00163C53" w:rsidP="00163C53">
      <w:pPr>
        <w:spacing w:after="0" w:line="240" w:lineRule="auto"/>
        <w:rPr>
          <w:rFonts w:ascii="Arial" w:eastAsia="Times New Roman" w:hAnsi="Arial" w:cs="Arial"/>
          <w:sz w:val="26"/>
          <w:szCs w:val="26"/>
        </w:rPr>
      </w:pPr>
    </w:p>
    <w:p w14:paraId="1E00CD91" w14:textId="77777777" w:rsidR="00163C53" w:rsidRDefault="00163C53" w:rsidP="00163C53">
      <w:pPr>
        <w:spacing w:after="0" w:line="240" w:lineRule="auto"/>
        <w:ind w:firstLine="567"/>
        <w:jc w:val="center"/>
        <w:rPr>
          <w:rFonts w:ascii="Arial" w:eastAsia="Times New Roman" w:hAnsi="Arial" w:cs="Arial"/>
          <w:sz w:val="26"/>
          <w:szCs w:val="26"/>
        </w:rPr>
      </w:pPr>
    </w:p>
    <w:p w14:paraId="1FDAE3A2" w14:textId="77777777" w:rsidR="00163C53" w:rsidRDefault="00163C53" w:rsidP="00163C53">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2B5B7AEB" w14:textId="77777777" w:rsidR="00163C53" w:rsidRDefault="00163C53" w:rsidP="00163C53">
      <w:pPr>
        <w:spacing w:after="0" w:line="240" w:lineRule="auto"/>
        <w:ind w:firstLine="567"/>
        <w:jc w:val="center"/>
        <w:rPr>
          <w:rFonts w:ascii="Arial" w:hAnsi="Arial" w:cs="Arial"/>
          <w:sz w:val="26"/>
          <w:szCs w:val="26"/>
        </w:rPr>
      </w:pPr>
      <w:r>
        <w:rPr>
          <w:rFonts w:ascii="Arial" w:hAnsi="Arial" w:cs="Arial"/>
          <w:sz w:val="26"/>
          <w:szCs w:val="26"/>
        </w:rPr>
        <w:t>PRESIDENTE</w:t>
      </w:r>
    </w:p>
    <w:p w14:paraId="6F8764A2" w14:textId="77777777" w:rsidR="00163C53" w:rsidRDefault="00163C53" w:rsidP="00163C53">
      <w:pPr>
        <w:jc w:val="center"/>
        <w:rPr>
          <w:rFonts w:ascii="Arial" w:hAnsi="Arial" w:cs="Arial"/>
          <w:sz w:val="26"/>
          <w:szCs w:val="26"/>
        </w:rPr>
      </w:pPr>
    </w:p>
    <w:p w14:paraId="382C7DD5" w14:textId="77777777" w:rsidR="00163C53" w:rsidRDefault="00163C53" w:rsidP="00163C53">
      <w:pPr>
        <w:jc w:val="center"/>
        <w:rPr>
          <w:rFonts w:ascii="Arial" w:hAnsi="Arial" w:cs="Arial"/>
          <w:sz w:val="26"/>
          <w:szCs w:val="26"/>
        </w:rPr>
      </w:pPr>
    </w:p>
    <w:p w14:paraId="1DE42C46" w14:textId="2F8B58B4" w:rsidR="00163C53" w:rsidRDefault="00163C53" w:rsidP="00163C53">
      <w:pPr>
        <w:rPr>
          <w:rFonts w:ascii="Arial" w:hAnsi="Arial" w:cs="Arial"/>
          <w:sz w:val="26"/>
          <w:szCs w:val="26"/>
        </w:rPr>
      </w:pPr>
    </w:p>
    <w:p w14:paraId="5120E071" w14:textId="77777777" w:rsidR="00163C53" w:rsidRDefault="00163C53" w:rsidP="00163C53">
      <w:pPr>
        <w:rPr>
          <w:rFonts w:ascii="Arial" w:hAnsi="Arial" w:cs="Arial"/>
          <w:sz w:val="26"/>
          <w:szCs w:val="26"/>
        </w:rPr>
      </w:pPr>
    </w:p>
    <w:p w14:paraId="55832F61" w14:textId="77777777" w:rsidR="00163C53" w:rsidRDefault="00163C53" w:rsidP="00163C53">
      <w:pPr>
        <w:jc w:val="center"/>
        <w:rPr>
          <w:rFonts w:ascii="Arial" w:hAnsi="Arial" w:cs="Arial"/>
          <w:sz w:val="26"/>
          <w:szCs w:val="26"/>
        </w:rPr>
      </w:pPr>
    </w:p>
    <w:p w14:paraId="4CE0B2D2" w14:textId="754F2810" w:rsidR="00163C53" w:rsidRDefault="00163C53" w:rsidP="00163C53">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63391347" w14:textId="01ED5095" w:rsidR="00163C53" w:rsidRPr="00163C53" w:rsidRDefault="00163C53" w:rsidP="00163C53">
      <w:pPr>
        <w:jc w:val="center"/>
        <w:rPr>
          <w:rFonts w:ascii="Arial" w:hAnsi="Arial" w:cs="Arial"/>
          <w:b/>
          <w:bCs/>
          <w:sz w:val="18"/>
          <w:szCs w:val="18"/>
        </w:rPr>
      </w:pPr>
      <w:r w:rsidRPr="00163C53">
        <w:rPr>
          <w:rFonts w:ascii="Arial" w:hAnsi="Arial" w:cs="Arial"/>
          <w:b/>
          <w:bCs/>
          <w:sz w:val="18"/>
          <w:szCs w:val="18"/>
        </w:rPr>
        <w:lastRenderedPageBreak/>
        <w:t>LAS PRESENTES FIRMAS CORRESPONDEN A LA RESOLUCIÓN</w:t>
      </w:r>
      <w:r w:rsidR="00E53C5A">
        <w:rPr>
          <w:rFonts w:ascii="Arial" w:hAnsi="Arial" w:cs="Arial"/>
          <w:b/>
          <w:bCs/>
          <w:sz w:val="18"/>
          <w:szCs w:val="18"/>
        </w:rPr>
        <w:t xml:space="preserve"> </w:t>
      </w:r>
      <w:r w:rsidRPr="00163C53">
        <w:rPr>
          <w:rFonts w:ascii="Arial" w:hAnsi="Arial" w:cs="Arial"/>
          <w:b/>
          <w:bCs/>
          <w:sz w:val="18"/>
          <w:szCs w:val="18"/>
        </w:rPr>
        <w:t>DEL RECURSO DE REVISIÓN 0026/2021.</w:t>
      </w:r>
    </w:p>
    <w:p w14:paraId="1FA587B3" w14:textId="78C0E5EB" w:rsidR="00163C53" w:rsidRDefault="00163C53" w:rsidP="00163C53">
      <w:pPr>
        <w:rPr>
          <w:rFonts w:ascii="Arial" w:hAnsi="Arial" w:cs="Arial"/>
          <w:sz w:val="26"/>
          <w:szCs w:val="26"/>
        </w:rPr>
      </w:pPr>
    </w:p>
    <w:p w14:paraId="1B416F2B" w14:textId="385295C5" w:rsidR="00163C53" w:rsidRDefault="00163C53" w:rsidP="00163C53">
      <w:pPr>
        <w:rPr>
          <w:rFonts w:ascii="Arial" w:hAnsi="Arial" w:cs="Arial"/>
          <w:sz w:val="26"/>
          <w:szCs w:val="26"/>
        </w:rPr>
      </w:pPr>
    </w:p>
    <w:p w14:paraId="5348758A" w14:textId="1DD21A35" w:rsidR="00163C53" w:rsidRDefault="00163C53" w:rsidP="00163C53">
      <w:pPr>
        <w:rPr>
          <w:rFonts w:ascii="Arial" w:hAnsi="Arial" w:cs="Arial"/>
          <w:sz w:val="26"/>
          <w:szCs w:val="26"/>
        </w:rPr>
      </w:pPr>
    </w:p>
    <w:p w14:paraId="20442C63" w14:textId="7267903A" w:rsidR="00163C53" w:rsidRDefault="00163C53" w:rsidP="00163C53">
      <w:pPr>
        <w:rPr>
          <w:rFonts w:ascii="Arial" w:hAnsi="Arial" w:cs="Arial"/>
          <w:sz w:val="26"/>
          <w:szCs w:val="26"/>
        </w:rPr>
      </w:pPr>
    </w:p>
    <w:p w14:paraId="0A14FF1A" w14:textId="77777777" w:rsidR="00163C53" w:rsidRDefault="00163C53" w:rsidP="00163C53">
      <w:pPr>
        <w:rPr>
          <w:rFonts w:ascii="Arial" w:hAnsi="Arial" w:cs="Arial"/>
          <w:sz w:val="26"/>
          <w:szCs w:val="26"/>
        </w:rPr>
      </w:pPr>
    </w:p>
    <w:p w14:paraId="2C53B000" w14:textId="77777777" w:rsidR="00163C53" w:rsidRDefault="00163C53" w:rsidP="00163C53">
      <w:pPr>
        <w:rPr>
          <w:rFonts w:ascii="Arial" w:hAnsi="Arial" w:cs="Arial"/>
          <w:sz w:val="26"/>
          <w:szCs w:val="26"/>
        </w:rPr>
      </w:pPr>
      <w:r>
        <w:rPr>
          <w:rFonts w:ascii="Arial" w:hAnsi="Arial" w:cs="Arial"/>
          <w:sz w:val="26"/>
          <w:szCs w:val="26"/>
        </w:rPr>
        <w:t xml:space="preserve">                   MAGISTRADO RAÚL PALOMARES PALOMINO</w:t>
      </w:r>
    </w:p>
    <w:p w14:paraId="2193BEE7" w14:textId="77777777" w:rsidR="00163C53" w:rsidRDefault="00163C53" w:rsidP="00163C53">
      <w:pPr>
        <w:rPr>
          <w:rFonts w:ascii="Arial" w:hAnsi="Arial" w:cs="Arial"/>
          <w:sz w:val="26"/>
          <w:szCs w:val="26"/>
        </w:rPr>
      </w:pPr>
    </w:p>
    <w:p w14:paraId="3C0F61A9" w14:textId="414E74EF" w:rsidR="00163C53" w:rsidRDefault="00163C53" w:rsidP="00163C53">
      <w:pPr>
        <w:rPr>
          <w:rFonts w:ascii="Arial" w:hAnsi="Arial" w:cs="Arial"/>
          <w:sz w:val="26"/>
          <w:szCs w:val="26"/>
        </w:rPr>
      </w:pPr>
    </w:p>
    <w:p w14:paraId="79E8DC99" w14:textId="77777777" w:rsidR="00F865AD" w:rsidRDefault="00F865AD" w:rsidP="00163C53">
      <w:pPr>
        <w:rPr>
          <w:rFonts w:ascii="Arial" w:hAnsi="Arial" w:cs="Arial"/>
          <w:sz w:val="26"/>
          <w:szCs w:val="26"/>
        </w:rPr>
      </w:pPr>
    </w:p>
    <w:p w14:paraId="35225DA6" w14:textId="77777777" w:rsidR="00163C53" w:rsidRDefault="00163C53" w:rsidP="00163C53">
      <w:pPr>
        <w:rPr>
          <w:rFonts w:ascii="Arial" w:hAnsi="Arial" w:cs="Arial"/>
          <w:sz w:val="26"/>
          <w:szCs w:val="26"/>
        </w:rPr>
      </w:pPr>
    </w:p>
    <w:p w14:paraId="026F6733" w14:textId="77777777" w:rsidR="00163C53" w:rsidRDefault="00163C53" w:rsidP="00163C53">
      <w:pPr>
        <w:rPr>
          <w:rFonts w:ascii="Arial" w:hAnsi="Arial" w:cs="Arial"/>
          <w:b/>
          <w:bCs/>
          <w:sz w:val="20"/>
          <w:szCs w:val="20"/>
        </w:rPr>
      </w:pPr>
    </w:p>
    <w:p w14:paraId="06D6C45B" w14:textId="77777777" w:rsidR="00163C53" w:rsidRDefault="00163C53" w:rsidP="00163C53">
      <w:pPr>
        <w:jc w:val="center"/>
        <w:rPr>
          <w:rFonts w:ascii="Arial" w:hAnsi="Arial" w:cs="Arial"/>
          <w:sz w:val="26"/>
          <w:szCs w:val="26"/>
        </w:rPr>
      </w:pPr>
      <w:r>
        <w:rPr>
          <w:rFonts w:ascii="Arial" w:hAnsi="Arial" w:cs="Arial"/>
          <w:sz w:val="26"/>
          <w:szCs w:val="26"/>
        </w:rPr>
        <w:t>MAGISTRADA GLORIA DEL CARMEN CAMACHO MEZA</w:t>
      </w:r>
    </w:p>
    <w:p w14:paraId="78378CB5" w14:textId="77777777" w:rsidR="00163C53" w:rsidRDefault="00163C53" w:rsidP="00163C53">
      <w:pPr>
        <w:tabs>
          <w:tab w:val="left" w:pos="1680"/>
          <w:tab w:val="center" w:pos="4277"/>
        </w:tabs>
        <w:spacing w:line="360" w:lineRule="auto"/>
        <w:rPr>
          <w:rFonts w:ascii="Arial" w:hAnsi="Arial" w:cs="Arial"/>
          <w:b/>
          <w:bCs/>
          <w:sz w:val="18"/>
          <w:szCs w:val="18"/>
        </w:rPr>
      </w:pPr>
    </w:p>
    <w:p w14:paraId="061DEEB0" w14:textId="77777777" w:rsidR="00163C53" w:rsidRDefault="00163C53" w:rsidP="00163C53">
      <w:pPr>
        <w:tabs>
          <w:tab w:val="left" w:pos="1680"/>
          <w:tab w:val="center" w:pos="4277"/>
        </w:tabs>
        <w:spacing w:line="360" w:lineRule="auto"/>
        <w:rPr>
          <w:rFonts w:ascii="Arial" w:hAnsi="Arial" w:cs="Arial"/>
          <w:b/>
          <w:bCs/>
          <w:sz w:val="18"/>
          <w:szCs w:val="18"/>
        </w:rPr>
      </w:pPr>
    </w:p>
    <w:p w14:paraId="455A92B4" w14:textId="7563C95F" w:rsidR="00163C53" w:rsidRDefault="00163C53" w:rsidP="00163C53">
      <w:pPr>
        <w:tabs>
          <w:tab w:val="left" w:pos="1680"/>
          <w:tab w:val="center" w:pos="4277"/>
        </w:tabs>
        <w:spacing w:line="360" w:lineRule="auto"/>
        <w:rPr>
          <w:rFonts w:ascii="Arial" w:hAnsi="Arial" w:cs="Arial"/>
          <w:b/>
          <w:bCs/>
          <w:sz w:val="18"/>
          <w:szCs w:val="18"/>
        </w:rPr>
      </w:pPr>
    </w:p>
    <w:p w14:paraId="10314204" w14:textId="77777777" w:rsidR="00F865AD" w:rsidRDefault="00F865AD" w:rsidP="00163C53">
      <w:pPr>
        <w:tabs>
          <w:tab w:val="left" w:pos="1680"/>
          <w:tab w:val="center" w:pos="4277"/>
        </w:tabs>
        <w:spacing w:line="360" w:lineRule="auto"/>
        <w:rPr>
          <w:rFonts w:ascii="Arial" w:hAnsi="Arial" w:cs="Arial"/>
          <w:b/>
          <w:bCs/>
          <w:sz w:val="18"/>
          <w:szCs w:val="18"/>
        </w:rPr>
      </w:pPr>
    </w:p>
    <w:p w14:paraId="3EBAE925" w14:textId="77777777" w:rsidR="00163C53" w:rsidRDefault="00163C53" w:rsidP="00163C53">
      <w:pPr>
        <w:tabs>
          <w:tab w:val="left" w:pos="1680"/>
          <w:tab w:val="center" w:pos="4277"/>
        </w:tabs>
        <w:spacing w:line="360" w:lineRule="auto"/>
        <w:jc w:val="center"/>
        <w:rPr>
          <w:rFonts w:ascii="Arial" w:hAnsi="Arial" w:cs="Arial"/>
          <w:b/>
          <w:bCs/>
          <w:sz w:val="18"/>
          <w:szCs w:val="18"/>
        </w:rPr>
      </w:pPr>
    </w:p>
    <w:p w14:paraId="238EFD8B" w14:textId="77777777" w:rsidR="00163C53" w:rsidRDefault="00163C53" w:rsidP="00163C53">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3FA193D0" w14:textId="77777777" w:rsidR="00163C53" w:rsidRDefault="00163C53" w:rsidP="00163C53">
      <w:pPr>
        <w:tabs>
          <w:tab w:val="left" w:pos="1680"/>
          <w:tab w:val="center" w:pos="4277"/>
        </w:tabs>
        <w:spacing w:line="360" w:lineRule="auto"/>
        <w:jc w:val="center"/>
        <w:rPr>
          <w:rFonts w:ascii="Arial" w:hAnsi="Arial" w:cs="Arial"/>
          <w:sz w:val="26"/>
          <w:szCs w:val="26"/>
        </w:rPr>
      </w:pPr>
    </w:p>
    <w:p w14:paraId="34B075FE" w14:textId="77777777" w:rsidR="00163C53" w:rsidRDefault="00163C53" w:rsidP="00163C53">
      <w:pPr>
        <w:tabs>
          <w:tab w:val="left" w:pos="1680"/>
          <w:tab w:val="center" w:pos="4277"/>
        </w:tabs>
        <w:spacing w:line="360" w:lineRule="auto"/>
        <w:jc w:val="center"/>
        <w:rPr>
          <w:rFonts w:ascii="Arial" w:hAnsi="Arial" w:cs="Arial"/>
          <w:sz w:val="26"/>
          <w:szCs w:val="26"/>
        </w:rPr>
      </w:pPr>
    </w:p>
    <w:p w14:paraId="70AB6C89" w14:textId="77777777" w:rsidR="00163C53" w:rsidRDefault="00163C53" w:rsidP="00163C53">
      <w:pPr>
        <w:tabs>
          <w:tab w:val="left" w:pos="1680"/>
          <w:tab w:val="center" w:pos="4277"/>
        </w:tabs>
        <w:spacing w:line="360" w:lineRule="auto"/>
        <w:jc w:val="center"/>
        <w:rPr>
          <w:rFonts w:ascii="Arial" w:hAnsi="Arial" w:cs="Arial"/>
          <w:sz w:val="26"/>
          <w:szCs w:val="26"/>
        </w:rPr>
      </w:pPr>
    </w:p>
    <w:p w14:paraId="7B6FA6BF" w14:textId="77777777" w:rsidR="00163C53" w:rsidRDefault="00163C53" w:rsidP="00163C53">
      <w:pPr>
        <w:spacing w:after="0" w:line="240" w:lineRule="auto"/>
        <w:rPr>
          <w:rFonts w:ascii="Arial" w:hAnsi="Arial" w:cs="Arial"/>
          <w:sz w:val="26"/>
          <w:szCs w:val="26"/>
        </w:rPr>
      </w:pPr>
    </w:p>
    <w:p w14:paraId="055CEBA5" w14:textId="77777777" w:rsidR="00163C53" w:rsidRDefault="00163C53" w:rsidP="00163C53">
      <w:pPr>
        <w:spacing w:after="0" w:line="240" w:lineRule="auto"/>
        <w:jc w:val="center"/>
        <w:rPr>
          <w:rFonts w:ascii="Arial" w:hAnsi="Arial" w:cs="Arial"/>
          <w:sz w:val="26"/>
          <w:szCs w:val="26"/>
        </w:rPr>
      </w:pPr>
      <w:r>
        <w:rPr>
          <w:rFonts w:ascii="Arial" w:hAnsi="Arial" w:cs="Arial"/>
          <w:sz w:val="26"/>
          <w:szCs w:val="26"/>
        </w:rPr>
        <w:t>LICENCIADO JUAN EDY GARCÍA CORONADO.</w:t>
      </w:r>
    </w:p>
    <w:p w14:paraId="58C8CEF7" w14:textId="77777777" w:rsidR="00163C53" w:rsidRDefault="00163C53" w:rsidP="00163C53">
      <w:pPr>
        <w:spacing w:after="0" w:line="240" w:lineRule="auto"/>
        <w:jc w:val="center"/>
      </w:pPr>
      <w:r>
        <w:rPr>
          <w:rFonts w:ascii="Arial" w:hAnsi="Arial" w:cs="Arial"/>
          <w:sz w:val="26"/>
          <w:szCs w:val="26"/>
        </w:rPr>
        <w:t>SECRETARIO GENERAL DE ACUERDOS</w:t>
      </w:r>
    </w:p>
    <w:p w14:paraId="50453FE0" w14:textId="1A869526" w:rsidR="00BA258A" w:rsidRDefault="00BA258A" w:rsidP="00163C53">
      <w:pPr>
        <w:spacing w:before="240" w:line="360" w:lineRule="auto"/>
        <w:ind w:firstLine="708"/>
        <w:jc w:val="both"/>
      </w:pPr>
    </w:p>
    <w:p w14:paraId="38149844" w14:textId="77777777" w:rsidR="00E53C5A" w:rsidRPr="003B6CF0" w:rsidRDefault="00E53C5A" w:rsidP="00163C53">
      <w:pPr>
        <w:spacing w:before="240" w:line="360" w:lineRule="auto"/>
        <w:ind w:firstLine="708"/>
        <w:jc w:val="both"/>
      </w:pPr>
    </w:p>
    <w:sectPr w:rsidR="00E53C5A" w:rsidRPr="003B6CF0"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1CB74C" w14:textId="77777777" w:rsidR="00C0425E" w:rsidRDefault="00C0425E">
      <w:pPr>
        <w:spacing w:after="0" w:line="240" w:lineRule="auto"/>
      </w:pPr>
      <w:r>
        <w:separator/>
      </w:r>
    </w:p>
  </w:endnote>
  <w:endnote w:type="continuationSeparator" w:id="0">
    <w:p w14:paraId="22E3B084" w14:textId="77777777" w:rsidR="00C0425E" w:rsidRDefault="00C042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0657EE" w14:textId="77777777" w:rsidR="00C0425E" w:rsidRDefault="00C0425E">
      <w:pPr>
        <w:spacing w:after="0" w:line="240" w:lineRule="auto"/>
      </w:pPr>
      <w:r>
        <w:separator/>
      </w:r>
    </w:p>
  </w:footnote>
  <w:footnote w:type="continuationSeparator" w:id="0">
    <w:p w14:paraId="75CD4FE6" w14:textId="77777777" w:rsidR="00C0425E" w:rsidRDefault="00C042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56F7A2F5" w:rsidR="000F5C41" w:rsidRDefault="002F7711">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2F7711">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1076AA1" w:rsidR="000F5C41" w:rsidRDefault="002F7711">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2F7711">
          <w:rPr>
            <w:noProof/>
            <w:lang w:val="es-ES"/>
          </w:rPr>
          <w:t>5</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2F7711">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51FD"/>
    <w:rsid w:val="000356C6"/>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260"/>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5E9F"/>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04A"/>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081"/>
    <w:rsid w:val="000E74F5"/>
    <w:rsid w:val="000E7DB2"/>
    <w:rsid w:val="000F0C84"/>
    <w:rsid w:val="000F0D7B"/>
    <w:rsid w:val="000F2020"/>
    <w:rsid w:val="000F2949"/>
    <w:rsid w:val="000F2B5A"/>
    <w:rsid w:val="000F2D32"/>
    <w:rsid w:val="000F3448"/>
    <w:rsid w:val="000F4347"/>
    <w:rsid w:val="000F50E8"/>
    <w:rsid w:val="000F54B0"/>
    <w:rsid w:val="000F5C41"/>
    <w:rsid w:val="000F5DE0"/>
    <w:rsid w:val="000F62C3"/>
    <w:rsid w:val="000F631D"/>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C53"/>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0FF4"/>
    <w:rsid w:val="001826D0"/>
    <w:rsid w:val="001831E3"/>
    <w:rsid w:val="0018337D"/>
    <w:rsid w:val="0018345B"/>
    <w:rsid w:val="0018356C"/>
    <w:rsid w:val="0018358B"/>
    <w:rsid w:val="0018454F"/>
    <w:rsid w:val="001846BB"/>
    <w:rsid w:val="001854BD"/>
    <w:rsid w:val="00185DC5"/>
    <w:rsid w:val="00186701"/>
    <w:rsid w:val="00186FB3"/>
    <w:rsid w:val="001872FD"/>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2F7"/>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7F0"/>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669"/>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012"/>
    <w:rsid w:val="00267221"/>
    <w:rsid w:val="00270087"/>
    <w:rsid w:val="00270831"/>
    <w:rsid w:val="0027275E"/>
    <w:rsid w:val="00272A7D"/>
    <w:rsid w:val="00273171"/>
    <w:rsid w:val="00273266"/>
    <w:rsid w:val="002748AA"/>
    <w:rsid w:val="00275418"/>
    <w:rsid w:val="0027551C"/>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2D60"/>
    <w:rsid w:val="002B3BA3"/>
    <w:rsid w:val="002B4040"/>
    <w:rsid w:val="002B5C09"/>
    <w:rsid w:val="002B5C82"/>
    <w:rsid w:val="002B5E81"/>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11"/>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4E8"/>
    <w:rsid w:val="00346754"/>
    <w:rsid w:val="00346E4A"/>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6BA3"/>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1EA9"/>
    <w:rsid w:val="003D4395"/>
    <w:rsid w:val="003D474C"/>
    <w:rsid w:val="003D5398"/>
    <w:rsid w:val="003D5BAD"/>
    <w:rsid w:val="003D5F20"/>
    <w:rsid w:val="003D60FD"/>
    <w:rsid w:val="003D6E19"/>
    <w:rsid w:val="003D737D"/>
    <w:rsid w:val="003D7E33"/>
    <w:rsid w:val="003E0C30"/>
    <w:rsid w:val="003E0F2A"/>
    <w:rsid w:val="003E1CD9"/>
    <w:rsid w:val="003E26A1"/>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09F"/>
    <w:rsid w:val="0041540D"/>
    <w:rsid w:val="0041584F"/>
    <w:rsid w:val="00415924"/>
    <w:rsid w:val="004165A7"/>
    <w:rsid w:val="00416D45"/>
    <w:rsid w:val="00416F89"/>
    <w:rsid w:val="00417449"/>
    <w:rsid w:val="00417B7B"/>
    <w:rsid w:val="004211BE"/>
    <w:rsid w:val="0042205F"/>
    <w:rsid w:val="00423C26"/>
    <w:rsid w:val="00423E43"/>
    <w:rsid w:val="00424839"/>
    <w:rsid w:val="0042483E"/>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0EF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5692"/>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2FA9"/>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568C"/>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3C95"/>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97B"/>
    <w:rsid w:val="00526DC4"/>
    <w:rsid w:val="005274E0"/>
    <w:rsid w:val="00527F7B"/>
    <w:rsid w:val="005300DF"/>
    <w:rsid w:val="00531B2A"/>
    <w:rsid w:val="00531B72"/>
    <w:rsid w:val="00531C8C"/>
    <w:rsid w:val="005324A4"/>
    <w:rsid w:val="00532D69"/>
    <w:rsid w:val="00532E56"/>
    <w:rsid w:val="00533B21"/>
    <w:rsid w:val="00533C5F"/>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16E"/>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5A8B"/>
    <w:rsid w:val="005960D3"/>
    <w:rsid w:val="005973A7"/>
    <w:rsid w:val="005A0825"/>
    <w:rsid w:val="005A09A3"/>
    <w:rsid w:val="005A1FEE"/>
    <w:rsid w:val="005A273F"/>
    <w:rsid w:val="005A3583"/>
    <w:rsid w:val="005A4118"/>
    <w:rsid w:val="005A4204"/>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5A5"/>
    <w:rsid w:val="00603EE5"/>
    <w:rsid w:val="00605582"/>
    <w:rsid w:val="00605720"/>
    <w:rsid w:val="00605C0C"/>
    <w:rsid w:val="00605C57"/>
    <w:rsid w:val="00605C73"/>
    <w:rsid w:val="0060626C"/>
    <w:rsid w:val="006065FF"/>
    <w:rsid w:val="00607309"/>
    <w:rsid w:val="00607F3D"/>
    <w:rsid w:val="00610C46"/>
    <w:rsid w:val="006120CD"/>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2A27"/>
    <w:rsid w:val="00633242"/>
    <w:rsid w:val="00633FA0"/>
    <w:rsid w:val="00634534"/>
    <w:rsid w:val="00634AD8"/>
    <w:rsid w:val="00634EF5"/>
    <w:rsid w:val="00636401"/>
    <w:rsid w:val="00636905"/>
    <w:rsid w:val="00636A93"/>
    <w:rsid w:val="00636DE6"/>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6F98"/>
    <w:rsid w:val="0066701C"/>
    <w:rsid w:val="006671D4"/>
    <w:rsid w:val="006673B1"/>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13"/>
    <w:rsid w:val="00696139"/>
    <w:rsid w:val="00696607"/>
    <w:rsid w:val="00696616"/>
    <w:rsid w:val="00696D5C"/>
    <w:rsid w:val="00696F11"/>
    <w:rsid w:val="006973E2"/>
    <w:rsid w:val="00697607"/>
    <w:rsid w:val="0069771F"/>
    <w:rsid w:val="00697D08"/>
    <w:rsid w:val="00697D57"/>
    <w:rsid w:val="006A07C1"/>
    <w:rsid w:val="006A0BEA"/>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DFC"/>
    <w:rsid w:val="00710B09"/>
    <w:rsid w:val="00711AAA"/>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5E71"/>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2D69"/>
    <w:rsid w:val="007656A2"/>
    <w:rsid w:val="00766389"/>
    <w:rsid w:val="0076751E"/>
    <w:rsid w:val="007677CD"/>
    <w:rsid w:val="00767FE0"/>
    <w:rsid w:val="00770340"/>
    <w:rsid w:val="00770536"/>
    <w:rsid w:val="00770AC5"/>
    <w:rsid w:val="007711A1"/>
    <w:rsid w:val="00771AF2"/>
    <w:rsid w:val="00772040"/>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222"/>
    <w:rsid w:val="007A1877"/>
    <w:rsid w:val="007A1A79"/>
    <w:rsid w:val="007A367E"/>
    <w:rsid w:val="007A3AF8"/>
    <w:rsid w:val="007A43A0"/>
    <w:rsid w:val="007A47F2"/>
    <w:rsid w:val="007A490A"/>
    <w:rsid w:val="007A530A"/>
    <w:rsid w:val="007A6395"/>
    <w:rsid w:val="007A65AF"/>
    <w:rsid w:val="007A7006"/>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68F9"/>
    <w:rsid w:val="0084703C"/>
    <w:rsid w:val="008473A8"/>
    <w:rsid w:val="00847424"/>
    <w:rsid w:val="00847B25"/>
    <w:rsid w:val="00850259"/>
    <w:rsid w:val="008504C8"/>
    <w:rsid w:val="00850714"/>
    <w:rsid w:val="00851000"/>
    <w:rsid w:val="00851789"/>
    <w:rsid w:val="00854886"/>
    <w:rsid w:val="00855029"/>
    <w:rsid w:val="0085507C"/>
    <w:rsid w:val="0085563E"/>
    <w:rsid w:val="00857E00"/>
    <w:rsid w:val="008601DA"/>
    <w:rsid w:val="00861653"/>
    <w:rsid w:val="00861978"/>
    <w:rsid w:val="008625C0"/>
    <w:rsid w:val="00863418"/>
    <w:rsid w:val="008634C5"/>
    <w:rsid w:val="00863FB1"/>
    <w:rsid w:val="00864F72"/>
    <w:rsid w:val="00865B42"/>
    <w:rsid w:val="00865CD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6E1E"/>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23E3"/>
    <w:rsid w:val="008D32AD"/>
    <w:rsid w:val="008D3620"/>
    <w:rsid w:val="008D39B1"/>
    <w:rsid w:val="008D458F"/>
    <w:rsid w:val="008D52D9"/>
    <w:rsid w:val="008D6772"/>
    <w:rsid w:val="008D7AC6"/>
    <w:rsid w:val="008D7AD1"/>
    <w:rsid w:val="008E02E6"/>
    <w:rsid w:val="008E08A8"/>
    <w:rsid w:val="008E0B04"/>
    <w:rsid w:val="008E15B5"/>
    <w:rsid w:val="008E1606"/>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16B19"/>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43E"/>
    <w:rsid w:val="00927607"/>
    <w:rsid w:val="00931D14"/>
    <w:rsid w:val="009322BE"/>
    <w:rsid w:val="00932FC8"/>
    <w:rsid w:val="00933060"/>
    <w:rsid w:val="00933673"/>
    <w:rsid w:val="00934178"/>
    <w:rsid w:val="00934282"/>
    <w:rsid w:val="00934719"/>
    <w:rsid w:val="00934B4F"/>
    <w:rsid w:val="00934D95"/>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8F5"/>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1705"/>
    <w:rsid w:val="009A33BE"/>
    <w:rsid w:val="009A3F67"/>
    <w:rsid w:val="009B05B5"/>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7B0"/>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33"/>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611"/>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4C65"/>
    <w:rsid w:val="00A164A6"/>
    <w:rsid w:val="00A165FE"/>
    <w:rsid w:val="00A16EFC"/>
    <w:rsid w:val="00A17A7F"/>
    <w:rsid w:val="00A202FC"/>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0EE"/>
    <w:rsid w:val="00AA221F"/>
    <w:rsid w:val="00AA2C0B"/>
    <w:rsid w:val="00AA2CA6"/>
    <w:rsid w:val="00AA3786"/>
    <w:rsid w:val="00AA38B9"/>
    <w:rsid w:val="00AA438D"/>
    <w:rsid w:val="00AA5205"/>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2EE6"/>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05B7"/>
    <w:rsid w:val="00AF1629"/>
    <w:rsid w:val="00AF2172"/>
    <w:rsid w:val="00AF3B8C"/>
    <w:rsid w:val="00AF3E80"/>
    <w:rsid w:val="00AF4C1E"/>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51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A37"/>
    <w:rsid w:val="00B70EC1"/>
    <w:rsid w:val="00B70F1D"/>
    <w:rsid w:val="00B7103E"/>
    <w:rsid w:val="00B710F9"/>
    <w:rsid w:val="00B7192B"/>
    <w:rsid w:val="00B72097"/>
    <w:rsid w:val="00B72FDD"/>
    <w:rsid w:val="00B735DA"/>
    <w:rsid w:val="00B736E2"/>
    <w:rsid w:val="00B73AD3"/>
    <w:rsid w:val="00B759C6"/>
    <w:rsid w:val="00B766B9"/>
    <w:rsid w:val="00B76E0C"/>
    <w:rsid w:val="00B7728D"/>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481"/>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0EFF"/>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6785"/>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25E"/>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946"/>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67CCC"/>
    <w:rsid w:val="00C67F4C"/>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A82"/>
    <w:rsid w:val="00C76E4E"/>
    <w:rsid w:val="00C80261"/>
    <w:rsid w:val="00C808D5"/>
    <w:rsid w:val="00C810FC"/>
    <w:rsid w:val="00C83651"/>
    <w:rsid w:val="00C83754"/>
    <w:rsid w:val="00C83F2B"/>
    <w:rsid w:val="00C84998"/>
    <w:rsid w:val="00C849F0"/>
    <w:rsid w:val="00C855DB"/>
    <w:rsid w:val="00C86C94"/>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0D6"/>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2CC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577A6"/>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577"/>
    <w:rsid w:val="00D73C07"/>
    <w:rsid w:val="00D743AB"/>
    <w:rsid w:val="00D74799"/>
    <w:rsid w:val="00D74FDC"/>
    <w:rsid w:val="00D7536B"/>
    <w:rsid w:val="00D75AD5"/>
    <w:rsid w:val="00D7716F"/>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E7C8F"/>
    <w:rsid w:val="00DF0FAE"/>
    <w:rsid w:val="00DF1506"/>
    <w:rsid w:val="00DF1880"/>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4DB"/>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3C5A"/>
    <w:rsid w:val="00E540CA"/>
    <w:rsid w:val="00E54462"/>
    <w:rsid w:val="00E54583"/>
    <w:rsid w:val="00E55F46"/>
    <w:rsid w:val="00E5633C"/>
    <w:rsid w:val="00E56E97"/>
    <w:rsid w:val="00E56EE4"/>
    <w:rsid w:val="00E60A17"/>
    <w:rsid w:val="00E621FE"/>
    <w:rsid w:val="00E62CBA"/>
    <w:rsid w:val="00E6323F"/>
    <w:rsid w:val="00E648F7"/>
    <w:rsid w:val="00E64CC9"/>
    <w:rsid w:val="00E65E40"/>
    <w:rsid w:val="00E6690D"/>
    <w:rsid w:val="00E67861"/>
    <w:rsid w:val="00E67D3C"/>
    <w:rsid w:val="00E702B9"/>
    <w:rsid w:val="00E70CCF"/>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2BBB"/>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23C4"/>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4F8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0EFF"/>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81A"/>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5AD"/>
    <w:rsid w:val="00F86E1B"/>
    <w:rsid w:val="00F902E3"/>
    <w:rsid w:val="00F90DA1"/>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DFE"/>
    <w:rsid w:val="00FC0F4A"/>
    <w:rsid w:val="00FC1289"/>
    <w:rsid w:val="00FC16C4"/>
    <w:rsid w:val="00FC26C9"/>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E7571"/>
    <w:rsid w:val="00FF0C49"/>
    <w:rsid w:val="00FF0FDB"/>
    <w:rsid w:val="00FF1282"/>
    <w:rsid w:val="00FF1339"/>
    <w:rsid w:val="00FF1682"/>
    <w:rsid w:val="00FF16C4"/>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41133054">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C3315B-7DD1-4B6B-A83C-3E908AE44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1313</TotalTime>
  <Pages>6</Pages>
  <Words>2023</Words>
  <Characters>11127</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79</cp:revision>
  <cp:lastPrinted>2021-11-18T18:56:00Z</cp:lastPrinted>
  <dcterms:created xsi:type="dcterms:W3CDTF">2021-02-11T19:49:00Z</dcterms:created>
  <dcterms:modified xsi:type="dcterms:W3CDTF">2022-02-08T21:07:00Z</dcterms:modified>
</cp:coreProperties>
</file>