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75F" w:rsidRPr="007B0581" w:rsidRDefault="00BB275F" w:rsidP="00BB275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BB275F" w:rsidRPr="007B0581" w:rsidRDefault="00BB275F" w:rsidP="00BB275F">
      <w:pPr>
        <w:pStyle w:val="corte4fondo"/>
        <w:spacing w:line="276" w:lineRule="auto"/>
        <w:ind w:left="3544" w:right="-521" w:firstLine="0"/>
        <w:rPr>
          <w:rFonts w:cs="Arial"/>
          <w:b/>
          <w:sz w:val="24"/>
          <w:szCs w:val="24"/>
        </w:rPr>
      </w:pPr>
    </w:p>
    <w:p w:rsidR="00BB275F" w:rsidRPr="007B0581" w:rsidRDefault="00BB275F" w:rsidP="00BB275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0026</w:t>
      </w:r>
      <w:r w:rsidRPr="007B0581">
        <w:rPr>
          <w:rFonts w:cs="Arial"/>
          <w:b/>
          <w:bCs/>
          <w:sz w:val="24"/>
          <w:szCs w:val="24"/>
        </w:rPr>
        <w:t>/20</w:t>
      </w:r>
      <w:r>
        <w:rPr>
          <w:rFonts w:cs="Arial"/>
          <w:b/>
          <w:bCs/>
          <w:sz w:val="24"/>
          <w:szCs w:val="24"/>
        </w:rPr>
        <w:t>21</w:t>
      </w:r>
      <w:r w:rsidRPr="007B0581">
        <w:rPr>
          <w:rFonts w:cs="Arial"/>
          <w:sz w:val="24"/>
          <w:szCs w:val="24"/>
        </w:rPr>
        <w:t xml:space="preserve">. </w:t>
      </w:r>
    </w:p>
    <w:p w:rsidR="00BB275F" w:rsidRPr="007B0581" w:rsidRDefault="00BB275F" w:rsidP="00BB275F">
      <w:pPr>
        <w:pStyle w:val="corte4fondo"/>
        <w:spacing w:line="276" w:lineRule="auto"/>
        <w:ind w:left="3544" w:right="-521" w:firstLine="0"/>
        <w:rPr>
          <w:rFonts w:cs="Arial"/>
          <w:sz w:val="24"/>
          <w:szCs w:val="24"/>
        </w:rPr>
      </w:pPr>
    </w:p>
    <w:p w:rsidR="00BB275F" w:rsidRPr="007B0581" w:rsidRDefault="00BB275F" w:rsidP="00BB275F">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w:t>
      </w:r>
    </w:p>
    <w:p w:rsidR="00BB275F" w:rsidRPr="007B0581" w:rsidRDefault="00BB275F" w:rsidP="00BB275F">
      <w:pPr>
        <w:pStyle w:val="corte4fondo"/>
        <w:spacing w:line="276" w:lineRule="auto"/>
        <w:ind w:left="3544" w:right="-521" w:firstLine="0"/>
        <w:rPr>
          <w:rFonts w:cs="Arial"/>
          <w:b/>
          <w:i/>
          <w:sz w:val="24"/>
          <w:szCs w:val="24"/>
        </w:rPr>
      </w:pPr>
      <w:r w:rsidRPr="007B0581">
        <w:rPr>
          <w:rFonts w:cs="Arial"/>
          <w:b/>
          <w:i/>
          <w:sz w:val="24"/>
          <w:szCs w:val="24"/>
        </w:rPr>
        <w:t xml:space="preserve"> </w:t>
      </w:r>
    </w:p>
    <w:p w:rsidR="00BB275F" w:rsidRPr="007B0581" w:rsidRDefault="00BB275F" w:rsidP="00BB275F">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DIRECTOR DE LO CONTENCIOSO DE LA PROCURADURÍA FISCAL DE LA SECRETARÍA DE FINANZAS DEL PODER EJECUTIVO DEL ESTADO DE OAXACA, SECRETARIO Y DIRECTORA DE INGRESOS Y RECAUDACIÓN DE LA SECRETARÍA DE FINANZAS DEL GOBIERNO DEL ESTADO DE OAXACA.</w:t>
      </w:r>
    </w:p>
    <w:p w:rsidR="00BB275F" w:rsidRPr="007B0581" w:rsidRDefault="00BB275F" w:rsidP="00BB275F">
      <w:pPr>
        <w:pStyle w:val="corte4fondo"/>
        <w:spacing w:line="276" w:lineRule="auto"/>
        <w:ind w:left="3544" w:right="51" w:firstLine="0"/>
        <w:rPr>
          <w:rFonts w:cs="Arial"/>
          <w:bCs/>
          <w:sz w:val="24"/>
          <w:szCs w:val="24"/>
        </w:rPr>
      </w:pPr>
    </w:p>
    <w:p w:rsidR="00BB275F" w:rsidRPr="007B0581" w:rsidRDefault="00BB275F" w:rsidP="00BB275F">
      <w:pPr>
        <w:pStyle w:val="corte4fondo"/>
        <w:spacing w:line="276" w:lineRule="auto"/>
        <w:ind w:left="3544" w:right="51" w:firstLine="0"/>
        <w:rPr>
          <w:rFonts w:cs="Arial"/>
          <w:bCs/>
          <w:sz w:val="24"/>
          <w:szCs w:val="24"/>
        </w:rPr>
      </w:pPr>
    </w:p>
    <w:p w:rsidR="00BB275F" w:rsidRDefault="00BB275F" w:rsidP="00BB275F">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TRECE DE ABRIL DE DOS MIL VEINTITRÉS</w:t>
      </w:r>
      <w:r w:rsidRPr="007B0581">
        <w:rPr>
          <w:rFonts w:ascii="Arial" w:hAnsi="Arial" w:cs="Arial"/>
          <w:b/>
          <w:sz w:val="24"/>
          <w:szCs w:val="24"/>
        </w:rPr>
        <w:t xml:space="preserve">. </w:t>
      </w:r>
    </w:p>
    <w:p w:rsidR="00BB275F" w:rsidRDefault="00BB275F" w:rsidP="00BB275F">
      <w:pPr>
        <w:spacing w:line="360" w:lineRule="auto"/>
        <w:jc w:val="both"/>
        <w:rPr>
          <w:rFonts w:ascii="Arial" w:hAnsi="Arial" w:cs="Arial"/>
          <w:b/>
          <w:sz w:val="24"/>
          <w:szCs w:val="24"/>
        </w:rPr>
      </w:pPr>
      <w:r w:rsidRPr="007B0581">
        <w:rPr>
          <w:rFonts w:ascii="Arial" w:hAnsi="Arial" w:cs="Arial"/>
          <w:b/>
          <w:sz w:val="24"/>
          <w:szCs w:val="24"/>
        </w:rPr>
        <w:t xml:space="preserve"> </w:t>
      </w:r>
    </w:p>
    <w:p w:rsidR="00BB275F" w:rsidRPr="007B0581" w:rsidRDefault="00BB275F" w:rsidP="00BB275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0026</w:t>
      </w:r>
      <w:r w:rsidRPr="001A7D4E">
        <w:rPr>
          <w:rFonts w:ascii="Arial" w:hAnsi="Arial" w:cs="Arial"/>
          <w:b/>
          <w:bCs/>
          <w:sz w:val="24"/>
          <w:szCs w:val="24"/>
        </w:rPr>
        <w:t>/20</w:t>
      </w:r>
      <w:r>
        <w:rPr>
          <w:rFonts w:ascii="Arial" w:hAnsi="Arial" w:cs="Arial"/>
          <w:b/>
          <w:bCs/>
          <w:sz w:val="24"/>
          <w:szCs w:val="24"/>
        </w:rPr>
        <w:t>21</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contenida en el oficio </w:t>
      </w:r>
      <w:r>
        <w:rPr>
          <w:rFonts w:cs="Arial"/>
          <w:b/>
          <w:sz w:val="24"/>
          <w:szCs w:val="24"/>
        </w:rPr>
        <w:t>**********</w:t>
      </w:r>
      <w:r>
        <w:rPr>
          <w:rFonts w:ascii="Arial" w:hAnsi="Arial" w:cs="Arial"/>
          <w:sz w:val="24"/>
          <w:szCs w:val="24"/>
        </w:rPr>
        <w:t xml:space="preserve">de veintisiete de marzo de dos mil veinte, </w:t>
      </w:r>
      <w:bookmarkStart w:id="0" w:name="_Hlk83640314"/>
      <w:bookmarkStart w:id="1" w:name="_Hlk84505151"/>
      <w:r>
        <w:rPr>
          <w:rFonts w:ascii="Arial" w:hAnsi="Arial" w:cs="Arial"/>
          <w:sz w:val="24"/>
          <w:szCs w:val="24"/>
        </w:rPr>
        <w:t xml:space="preserve">emitida por el </w:t>
      </w:r>
      <w:bookmarkEnd w:id="0"/>
      <w:r>
        <w:rPr>
          <w:rFonts w:ascii="Arial" w:hAnsi="Arial" w:cs="Arial"/>
          <w:sz w:val="24"/>
          <w:szCs w:val="24"/>
        </w:rPr>
        <w:t xml:space="preserve">Director de lo Contencioso de la Procuraduría Fiscal de la Secretaría de Finanzas del Poder Ejecutivo del Estado de Oaxaca, así como en contra del Secretario y Directora de Ingresos y Recaudación de la Secretaría de Finanzas del Gobierno del Estado de Oaxaca, </w:t>
      </w:r>
      <w:r w:rsidRPr="007B0581">
        <w:rPr>
          <w:rFonts w:ascii="Arial" w:hAnsi="Arial" w:cs="Arial"/>
          <w:sz w:val="24"/>
          <w:szCs w:val="24"/>
        </w:rPr>
        <w:t>y;</w:t>
      </w:r>
      <w:r w:rsidRPr="007B0581">
        <w:rPr>
          <w:rFonts w:ascii="Arial" w:hAnsi="Arial" w:cs="Arial"/>
          <w:b/>
          <w:bCs/>
          <w:sz w:val="24"/>
          <w:szCs w:val="24"/>
        </w:rPr>
        <w:t xml:space="preserve"> </w:t>
      </w:r>
    </w:p>
    <w:bookmarkEnd w:id="1"/>
    <w:p w:rsidR="00BB275F" w:rsidRDefault="00BB275F" w:rsidP="00BB275F">
      <w:pPr>
        <w:contextualSpacing/>
        <w:jc w:val="both"/>
        <w:rPr>
          <w:rFonts w:ascii="Arial" w:hAnsi="Arial" w:cs="Arial"/>
          <w:sz w:val="24"/>
          <w:szCs w:val="24"/>
        </w:rPr>
      </w:pPr>
    </w:p>
    <w:p w:rsidR="00BB275F" w:rsidRPr="007B0581" w:rsidRDefault="00BB275F" w:rsidP="00BB275F">
      <w:pPr>
        <w:contextualSpacing/>
        <w:jc w:val="both"/>
        <w:rPr>
          <w:rFonts w:ascii="Arial" w:hAnsi="Arial" w:cs="Arial"/>
          <w:sz w:val="24"/>
          <w:szCs w:val="24"/>
        </w:rPr>
      </w:pPr>
    </w:p>
    <w:p w:rsidR="00BB275F" w:rsidRPr="007B0581" w:rsidRDefault="00BB275F" w:rsidP="00BB275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BB275F" w:rsidRPr="007B0581" w:rsidRDefault="00BB275F" w:rsidP="00BB275F">
      <w:pPr>
        <w:contextualSpacing/>
        <w:jc w:val="both"/>
        <w:rPr>
          <w:rFonts w:ascii="Arial" w:hAnsi="Arial" w:cs="Arial"/>
          <w:b/>
          <w:spacing w:val="-3"/>
          <w:sz w:val="24"/>
          <w:szCs w:val="24"/>
          <w:lang w:val="es-ES_tradnl"/>
        </w:rPr>
      </w:pPr>
    </w:p>
    <w:p w:rsidR="00BB275F" w:rsidRPr="007B0581" w:rsidRDefault="00BB275F" w:rsidP="00BB275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seis de abril de dos mil veintiuno</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la nulidad</w:t>
      </w:r>
      <w:r>
        <w:rPr>
          <w:rFonts w:ascii="Arial" w:hAnsi="Arial" w:cs="Arial"/>
          <w:sz w:val="24"/>
          <w:szCs w:val="24"/>
        </w:rPr>
        <w:t xml:space="preserve"> </w:t>
      </w:r>
      <w:bookmarkStart w:id="2" w:name="_Hlk83725409"/>
      <w:r w:rsidRPr="007B0581">
        <w:rPr>
          <w:rFonts w:ascii="Arial" w:hAnsi="Arial" w:cs="Arial"/>
          <w:sz w:val="24"/>
          <w:szCs w:val="24"/>
        </w:rPr>
        <w:t>de</w:t>
      </w:r>
      <w:r>
        <w:rPr>
          <w:rFonts w:ascii="Arial" w:hAnsi="Arial" w:cs="Arial"/>
          <w:sz w:val="24"/>
          <w:szCs w:val="24"/>
        </w:rPr>
        <w:t xml:space="preserv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veintisiete de marzo de dos mil veinte, emitida por el Director de lo Contencioso de la Procuraduría Fiscal de la Secretaría de Finanzas del Poder Ejecutivo del Estado de Oaxaca, así como en contra del Secretario y Directora de Ingresos y Recaudación de la Secretaría de Finanzas del Gobierno del Estado de Oaxaca</w:t>
      </w:r>
      <w:r w:rsidRPr="007B0581">
        <w:rPr>
          <w:rFonts w:ascii="Arial" w:hAnsi="Arial" w:cs="Arial"/>
          <w:sz w:val="24"/>
          <w:szCs w:val="24"/>
        </w:rPr>
        <w:t xml:space="preserve">. </w:t>
      </w:r>
    </w:p>
    <w:bookmarkEnd w:id="2"/>
    <w:p w:rsidR="00BB275F" w:rsidRDefault="00BB275F" w:rsidP="00BB275F">
      <w:pPr>
        <w:spacing w:line="360" w:lineRule="auto"/>
        <w:ind w:firstLine="567"/>
        <w:jc w:val="both"/>
        <w:rPr>
          <w:rFonts w:ascii="Arial" w:hAnsi="Arial" w:cs="Arial"/>
          <w:sz w:val="24"/>
          <w:szCs w:val="24"/>
        </w:rPr>
      </w:pPr>
      <w:r w:rsidRPr="007B0581">
        <w:rPr>
          <w:rFonts w:ascii="Arial" w:hAnsi="Arial" w:cs="Arial"/>
          <w:b/>
          <w:sz w:val="24"/>
          <w:szCs w:val="24"/>
        </w:rPr>
        <w:lastRenderedPageBreak/>
        <w:t xml:space="preserve">SEGUNDO. </w:t>
      </w:r>
      <w:r>
        <w:rPr>
          <w:rFonts w:ascii="Arial" w:hAnsi="Arial" w:cs="Arial"/>
          <w:b/>
          <w:sz w:val="24"/>
          <w:szCs w:val="24"/>
        </w:rPr>
        <w:t>-</w:t>
      </w:r>
      <w:r w:rsidRPr="007B0581">
        <w:rPr>
          <w:rFonts w:ascii="Arial" w:hAnsi="Arial" w:cs="Arial"/>
          <w:sz w:val="24"/>
          <w:szCs w:val="24"/>
        </w:rPr>
        <w:t xml:space="preserve"> </w:t>
      </w:r>
      <w:r>
        <w:rPr>
          <w:rFonts w:ascii="Arial" w:hAnsi="Arial" w:cs="Arial"/>
          <w:sz w:val="24"/>
          <w:szCs w:val="24"/>
        </w:rPr>
        <w:t xml:space="preserve">Por acuerdo de doce de abril de dos mil veintiuno, se requirió al promovente para que en el plazo de tres días hábiles acreditara su representación legal, la fecha exacta en que tuvo conocimiento de la resolución combatida y el domicilio en el que serían emplazadas las autoridades demandadas, apercibido que de no hacerlo se desecharía su demanda. </w:t>
      </w:r>
    </w:p>
    <w:p w:rsidR="00BB275F" w:rsidRDefault="00BB275F" w:rsidP="00BB275F">
      <w:pPr>
        <w:spacing w:line="360" w:lineRule="auto"/>
        <w:ind w:firstLine="567"/>
        <w:jc w:val="both"/>
        <w:rPr>
          <w:rFonts w:ascii="Arial" w:hAnsi="Arial" w:cs="Arial"/>
          <w:sz w:val="24"/>
          <w:szCs w:val="24"/>
        </w:rPr>
      </w:pPr>
    </w:p>
    <w:p w:rsidR="00BB275F" w:rsidRPr="007B0581" w:rsidRDefault="00BB275F" w:rsidP="00BB275F">
      <w:pPr>
        <w:spacing w:line="360" w:lineRule="auto"/>
        <w:ind w:firstLine="567"/>
        <w:jc w:val="both"/>
        <w:rPr>
          <w:rFonts w:ascii="Arial" w:hAnsi="Arial" w:cs="Arial"/>
          <w:sz w:val="24"/>
          <w:szCs w:val="24"/>
        </w:rPr>
      </w:pPr>
      <w:r w:rsidRPr="00D21DD8">
        <w:rPr>
          <w:rFonts w:ascii="Arial" w:hAnsi="Arial" w:cs="Arial"/>
          <w:b/>
          <w:bCs/>
          <w:sz w:val="24"/>
          <w:szCs w:val="24"/>
        </w:rPr>
        <w:t>TERCERO. -</w:t>
      </w:r>
      <w:r>
        <w:rPr>
          <w:rFonts w:ascii="Arial" w:hAnsi="Arial" w:cs="Arial"/>
          <w:sz w:val="24"/>
          <w:szCs w:val="24"/>
        </w:rPr>
        <w:t xml:space="preserve"> </w:t>
      </w:r>
      <w:r w:rsidRPr="007B0581">
        <w:rPr>
          <w:rFonts w:ascii="Arial" w:hAnsi="Arial" w:cs="Arial"/>
          <w:sz w:val="24"/>
          <w:szCs w:val="24"/>
        </w:rPr>
        <w:t>Por a</w:t>
      </w:r>
      <w:r>
        <w:rPr>
          <w:rFonts w:ascii="Arial" w:hAnsi="Arial" w:cs="Arial"/>
          <w:sz w:val="24"/>
          <w:szCs w:val="24"/>
        </w:rPr>
        <w:t>uto</w:t>
      </w:r>
      <w:r w:rsidRPr="007B0581">
        <w:rPr>
          <w:rFonts w:ascii="Arial" w:hAnsi="Arial" w:cs="Arial"/>
          <w:sz w:val="24"/>
          <w:szCs w:val="24"/>
        </w:rPr>
        <w:t xml:space="preserve"> de </w:t>
      </w:r>
      <w:r>
        <w:rPr>
          <w:rFonts w:ascii="Arial" w:hAnsi="Arial" w:cs="Arial"/>
          <w:sz w:val="24"/>
          <w:szCs w:val="24"/>
        </w:rPr>
        <w:t>diecinueve de mayo de dos mil veintiuno</w:t>
      </w:r>
      <w:r w:rsidRPr="007B0581">
        <w:rPr>
          <w:rFonts w:ascii="Arial" w:hAnsi="Arial" w:cs="Arial"/>
          <w:sz w:val="24"/>
          <w:szCs w:val="24"/>
        </w:rPr>
        <w:t>, se</w:t>
      </w:r>
      <w:r>
        <w:rPr>
          <w:rFonts w:ascii="Arial" w:hAnsi="Arial" w:cs="Arial"/>
          <w:sz w:val="24"/>
          <w:szCs w:val="24"/>
        </w:rPr>
        <w:t xml:space="preserve"> tuvo a la parte actora dando cumplimiento al requerimiento descrito en el resultando próximo anterior. Asimismo, se</w:t>
      </w:r>
      <w:r w:rsidRPr="007B0581">
        <w:rPr>
          <w:rFonts w:ascii="Arial" w:hAnsi="Arial" w:cs="Arial"/>
          <w:sz w:val="24"/>
          <w:szCs w:val="24"/>
        </w:rPr>
        <w:t xml:space="preserv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para que produjera</w:t>
      </w:r>
      <w:r>
        <w:rPr>
          <w:rFonts w:ascii="Arial" w:hAnsi="Arial" w:cs="Arial"/>
          <w:sz w:val="24"/>
          <w:szCs w:val="24"/>
        </w:rPr>
        <w:t>n</w:t>
      </w:r>
      <w:r w:rsidRPr="007B0581">
        <w:rPr>
          <w:rFonts w:ascii="Arial" w:hAnsi="Arial" w:cs="Arial"/>
          <w:sz w:val="24"/>
          <w:szCs w:val="24"/>
        </w:rPr>
        <w:t xml:space="preserve"> su contestación en los términos de ley. </w:t>
      </w:r>
    </w:p>
    <w:p w:rsidR="00BB275F" w:rsidRPr="007B0581" w:rsidRDefault="00BB275F" w:rsidP="00BB275F">
      <w:pPr>
        <w:pStyle w:val="corte4fondo"/>
        <w:spacing w:line="240" w:lineRule="auto"/>
        <w:ind w:right="51" w:firstLine="567"/>
        <w:contextualSpacing/>
        <w:rPr>
          <w:rFonts w:cs="Arial"/>
          <w:bCs/>
          <w:sz w:val="24"/>
          <w:szCs w:val="24"/>
        </w:rPr>
      </w:pPr>
      <w:r w:rsidRPr="007B0581">
        <w:rPr>
          <w:rFonts w:cs="Arial"/>
          <w:bCs/>
          <w:sz w:val="24"/>
          <w:szCs w:val="24"/>
        </w:rPr>
        <w:tab/>
      </w:r>
    </w:p>
    <w:p w:rsidR="00BB275F" w:rsidRPr="007B0581" w:rsidRDefault="00BB275F" w:rsidP="00BB275F">
      <w:pPr>
        <w:pStyle w:val="corte4fondo"/>
        <w:ind w:right="51" w:firstLine="567"/>
        <w:rPr>
          <w:rFonts w:cs="Arial"/>
          <w:sz w:val="24"/>
          <w:szCs w:val="24"/>
        </w:rPr>
      </w:pPr>
      <w:r>
        <w:rPr>
          <w:rFonts w:cs="Arial"/>
          <w:b/>
          <w:bCs/>
          <w:sz w:val="24"/>
          <w:szCs w:val="24"/>
        </w:rPr>
        <w:t>CUARTO</w:t>
      </w:r>
      <w:r w:rsidRPr="00B30CC5">
        <w:rPr>
          <w:rFonts w:cs="Arial"/>
          <w:b/>
          <w:sz w:val="24"/>
          <w:szCs w:val="24"/>
        </w:rPr>
        <w:t>. -</w:t>
      </w:r>
      <w:r w:rsidRPr="007B0581">
        <w:rPr>
          <w:rFonts w:cs="Arial"/>
          <w:bCs/>
          <w:sz w:val="24"/>
          <w:szCs w:val="24"/>
        </w:rPr>
        <w:t xml:space="preserve"> </w:t>
      </w:r>
      <w:r w:rsidRPr="00AD192C">
        <w:rPr>
          <w:rFonts w:cs="Arial"/>
          <w:bCs/>
          <w:sz w:val="24"/>
          <w:szCs w:val="24"/>
        </w:rPr>
        <w:t xml:space="preserve">Por </w:t>
      </w:r>
      <w:r>
        <w:rPr>
          <w:rFonts w:cs="Arial"/>
          <w:bCs/>
          <w:sz w:val="24"/>
          <w:szCs w:val="24"/>
        </w:rPr>
        <w:t>proveído</w:t>
      </w:r>
      <w:r w:rsidRPr="00AD192C">
        <w:rPr>
          <w:rFonts w:cs="Arial"/>
          <w:bCs/>
          <w:sz w:val="24"/>
          <w:szCs w:val="24"/>
        </w:rPr>
        <w:t xml:space="preserve"> de </w:t>
      </w:r>
      <w:r>
        <w:rPr>
          <w:rFonts w:cs="Arial"/>
          <w:bCs/>
          <w:sz w:val="24"/>
          <w:szCs w:val="24"/>
        </w:rPr>
        <w:t>quince de julio de dos mil veintiuno</w:t>
      </w:r>
      <w:r w:rsidRPr="00AD192C">
        <w:rPr>
          <w:rFonts w:cs="Arial"/>
          <w:bCs/>
          <w:sz w:val="24"/>
          <w:szCs w:val="24"/>
        </w:rPr>
        <w:t>, se tuvo a</w:t>
      </w:r>
      <w:r>
        <w:rPr>
          <w:rFonts w:cs="Arial"/>
          <w:bCs/>
          <w:sz w:val="24"/>
          <w:szCs w:val="24"/>
        </w:rPr>
        <w:t xml:space="preserve">l Director de lo Contencioso de la Procuraduría Fiscal, dependiente de la </w:t>
      </w:r>
      <w:r>
        <w:rPr>
          <w:rFonts w:cs="Arial"/>
          <w:sz w:val="24"/>
          <w:szCs w:val="24"/>
        </w:rPr>
        <w:t>Subsecretaría de Ingresos de la Secretaría de Finanzas del Poder Ejecutivo del Estado de Oaxaca</w:t>
      </w:r>
      <w:r w:rsidRPr="00AD192C">
        <w:rPr>
          <w:rFonts w:cs="Arial"/>
          <w:bCs/>
          <w:sz w:val="24"/>
          <w:szCs w:val="24"/>
        </w:rPr>
        <w:t>,</w:t>
      </w:r>
      <w:r>
        <w:rPr>
          <w:rFonts w:cs="Arial"/>
          <w:bCs/>
          <w:sz w:val="24"/>
          <w:szCs w:val="24"/>
        </w:rPr>
        <w:t xml:space="preserve"> por sí y en representación legal del Secretario de Finanzas y de la Directora de Ingresos y Recaudación de la misma dependencia,</w:t>
      </w:r>
      <w:r w:rsidRPr="00AD192C">
        <w:rPr>
          <w:rFonts w:cs="Arial"/>
          <w:bCs/>
          <w:sz w:val="24"/>
          <w:szCs w:val="24"/>
        </w:rPr>
        <w:t xml:space="preserve">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 para los efectos</w:t>
      </w:r>
      <w:r>
        <w:rPr>
          <w:rFonts w:cs="Arial"/>
          <w:sz w:val="24"/>
          <w:szCs w:val="24"/>
        </w:rPr>
        <w:t xml:space="preserve"> legales</w:t>
      </w:r>
      <w:r w:rsidRPr="00AD192C">
        <w:rPr>
          <w:rFonts w:cs="Arial"/>
          <w:sz w:val="24"/>
          <w:szCs w:val="24"/>
        </w:rPr>
        <w:t xml:space="preserve"> correspondientes</w:t>
      </w:r>
      <w:r>
        <w:rPr>
          <w:rFonts w:cs="Arial"/>
          <w:sz w:val="24"/>
          <w:szCs w:val="24"/>
        </w:rPr>
        <w:t xml:space="preserve">. </w:t>
      </w:r>
    </w:p>
    <w:p w:rsidR="00BB275F" w:rsidRPr="007B0581" w:rsidRDefault="00BB275F" w:rsidP="00BB275F">
      <w:pPr>
        <w:pStyle w:val="corte4fondo"/>
        <w:spacing w:line="240" w:lineRule="auto"/>
        <w:ind w:right="51" w:firstLine="567"/>
        <w:contextualSpacing/>
        <w:rPr>
          <w:rFonts w:cs="Arial"/>
          <w:b/>
          <w:bCs/>
          <w:sz w:val="24"/>
          <w:szCs w:val="24"/>
        </w:rPr>
      </w:pPr>
    </w:p>
    <w:p w:rsidR="00BB275F" w:rsidRDefault="00BB275F" w:rsidP="00BB275F">
      <w:pPr>
        <w:pStyle w:val="corte4fondo"/>
        <w:ind w:right="51" w:firstLine="567"/>
        <w:rPr>
          <w:rFonts w:cs="Arial"/>
          <w:sz w:val="24"/>
          <w:szCs w:val="24"/>
        </w:rPr>
      </w:pPr>
      <w:r w:rsidRPr="00317B19">
        <w:rPr>
          <w:rFonts w:cs="Arial"/>
          <w:b/>
          <w:bCs/>
          <w:sz w:val="24"/>
          <w:szCs w:val="24"/>
        </w:rPr>
        <w:t>QUI</w:t>
      </w:r>
      <w:r>
        <w:rPr>
          <w:rFonts w:cs="Arial"/>
          <w:b/>
          <w:bCs/>
          <w:sz w:val="24"/>
          <w:szCs w:val="24"/>
        </w:rPr>
        <w:t>NTO</w:t>
      </w:r>
      <w:r w:rsidRPr="007B0581">
        <w:rPr>
          <w:rFonts w:cs="Arial"/>
          <w:b/>
          <w:bCs/>
          <w:sz w:val="24"/>
          <w:szCs w:val="24"/>
        </w:rPr>
        <w:t xml:space="preserve">. </w:t>
      </w:r>
      <w:r>
        <w:rPr>
          <w:rFonts w:cs="Arial"/>
          <w:b/>
          <w:bCs/>
          <w:sz w:val="24"/>
          <w:szCs w:val="24"/>
        </w:rPr>
        <w:t>-</w:t>
      </w:r>
      <w:r w:rsidRPr="007B0581">
        <w:rPr>
          <w:rFonts w:cs="Arial"/>
          <w:b/>
          <w:bCs/>
          <w:sz w:val="24"/>
          <w:szCs w:val="24"/>
        </w:rPr>
        <w:t xml:space="preserve"> </w:t>
      </w:r>
      <w:r>
        <w:rPr>
          <w:rFonts w:cs="Arial"/>
          <w:sz w:val="24"/>
          <w:szCs w:val="24"/>
        </w:rPr>
        <w:t xml:space="preserve">Por acuerdo de treinta de septiembre de dos mil veintiuno, la parte actora amplió su demanda, ordenándose correr traslado a las autoridades demandadas para que en el plazo de cinco días hábiles contestaran la ampliación de la demanda, apercibidas que de no hacerlo, se tendría por precluído su derecho. </w:t>
      </w:r>
    </w:p>
    <w:p w:rsidR="00BB275F" w:rsidRDefault="00BB275F" w:rsidP="00BB275F">
      <w:pPr>
        <w:pStyle w:val="corte4fondo"/>
        <w:ind w:right="51" w:firstLine="567"/>
        <w:rPr>
          <w:rFonts w:cs="Arial"/>
          <w:sz w:val="24"/>
          <w:szCs w:val="24"/>
        </w:rPr>
      </w:pPr>
    </w:p>
    <w:p w:rsidR="00BB275F" w:rsidRDefault="00BB275F" w:rsidP="00BB275F">
      <w:pPr>
        <w:pStyle w:val="corte4fondo"/>
        <w:ind w:right="51" w:firstLine="567"/>
        <w:rPr>
          <w:rFonts w:cs="Arial"/>
          <w:sz w:val="24"/>
          <w:szCs w:val="24"/>
        </w:rPr>
      </w:pPr>
      <w:r w:rsidRPr="000C0C02">
        <w:rPr>
          <w:rFonts w:cs="Arial"/>
          <w:b/>
          <w:bCs/>
          <w:sz w:val="24"/>
          <w:szCs w:val="24"/>
        </w:rPr>
        <w:t>SEXTO</w:t>
      </w:r>
      <w:r w:rsidRPr="00B30CC5">
        <w:rPr>
          <w:rFonts w:cs="Arial"/>
          <w:b/>
          <w:bCs/>
          <w:sz w:val="24"/>
          <w:szCs w:val="24"/>
        </w:rPr>
        <w:t>. -</w:t>
      </w:r>
      <w:r>
        <w:rPr>
          <w:rFonts w:cs="Arial"/>
          <w:sz w:val="24"/>
          <w:szCs w:val="24"/>
        </w:rPr>
        <w:t xml:space="preserve"> Por proveído de doce de noviembre de dos mil veintiuno, el Director de lo Contencioso de la Procuraduría Fiscal dio contestación en tiempo y forma a la ampliación de la demanda realizada por la parte actora, ordenándose correr traslado a la misma para los efectos legales correspondientes </w:t>
      </w:r>
    </w:p>
    <w:p w:rsidR="00BB275F" w:rsidRDefault="00BB275F" w:rsidP="00BB275F">
      <w:pPr>
        <w:pStyle w:val="corte4fondo"/>
        <w:ind w:right="51" w:firstLine="567"/>
        <w:rPr>
          <w:rFonts w:cs="Arial"/>
          <w:sz w:val="24"/>
          <w:szCs w:val="24"/>
        </w:rPr>
      </w:pPr>
    </w:p>
    <w:p w:rsidR="00BB275F" w:rsidRDefault="00BB275F" w:rsidP="00BB275F">
      <w:pPr>
        <w:pStyle w:val="corte4fondo"/>
        <w:ind w:right="51" w:firstLine="567"/>
        <w:rPr>
          <w:rFonts w:cs="Arial"/>
          <w:b/>
          <w:bCs/>
          <w:sz w:val="24"/>
          <w:szCs w:val="24"/>
        </w:rPr>
      </w:pPr>
      <w:r w:rsidRPr="007B1C2C">
        <w:rPr>
          <w:rFonts w:cs="Arial"/>
          <w:b/>
          <w:bCs/>
          <w:sz w:val="24"/>
          <w:szCs w:val="24"/>
        </w:rPr>
        <w:t>SÉPTIMO. -</w:t>
      </w:r>
      <w:r>
        <w:rPr>
          <w:rFonts w:cs="Arial"/>
          <w:sz w:val="24"/>
          <w:szCs w:val="24"/>
        </w:rPr>
        <w:t xml:space="preserve"> Por auto de siete de abril de dos mil veintidós, se señalaron las ONCE HORAS del día VEINTE DE MAYO DE DOS MIL VEINTIDÓS, para la celebración de la audiencia final.</w:t>
      </w:r>
    </w:p>
    <w:p w:rsidR="00BB275F" w:rsidRDefault="00BB275F" w:rsidP="00BB275F">
      <w:pPr>
        <w:pStyle w:val="corte4fondo"/>
        <w:ind w:right="51" w:firstLine="567"/>
        <w:rPr>
          <w:rFonts w:cs="Arial"/>
          <w:b/>
          <w:bCs/>
          <w:sz w:val="24"/>
          <w:szCs w:val="24"/>
        </w:rPr>
      </w:pPr>
    </w:p>
    <w:p w:rsidR="00BB275F" w:rsidRDefault="00BB275F" w:rsidP="00BB275F">
      <w:pPr>
        <w:pStyle w:val="corte4fondo"/>
        <w:ind w:right="51" w:firstLine="567"/>
        <w:rPr>
          <w:rFonts w:cs="Arial"/>
          <w:b/>
          <w:bCs/>
          <w:sz w:val="24"/>
          <w:szCs w:val="24"/>
        </w:rPr>
      </w:pPr>
      <w:r w:rsidRPr="00643238">
        <w:rPr>
          <w:rFonts w:cs="Arial"/>
          <w:b/>
          <w:bCs/>
          <w:sz w:val="24"/>
          <w:szCs w:val="24"/>
        </w:rPr>
        <w:t>OCTAVO. -</w:t>
      </w:r>
      <w:r>
        <w:rPr>
          <w:rFonts w:cs="Arial"/>
          <w:sz w:val="24"/>
          <w:szCs w:val="24"/>
        </w:rPr>
        <w:t xml:space="preserve"> E</w:t>
      </w:r>
      <w:r>
        <w:rPr>
          <w:rFonts w:cs="Arial"/>
          <w:sz w:val="24"/>
          <w:szCs w:val="24"/>
          <w:lang w:val="es-ES"/>
        </w:rPr>
        <w:t>l veinte de mayo de dos mil veintidós</w:t>
      </w:r>
      <w:r w:rsidRPr="007B0581">
        <w:rPr>
          <w:rFonts w:cs="Arial"/>
          <w:bCs/>
          <w:sz w:val="24"/>
          <w:szCs w:val="24"/>
          <w:lang w:val="es-ES"/>
        </w:rPr>
        <w:t xml:space="preserve">, </w:t>
      </w:r>
      <w:r w:rsidRPr="006A1793">
        <w:rPr>
          <w:rFonts w:cs="Arial"/>
          <w:sz w:val="24"/>
          <w:szCs w:val="24"/>
        </w:rPr>
        <w:t>se llevó a cabo la Audiencia Final, sin la asistencia de las partes, ni persona alguna que legalmente las representara, asentando la</w:t>
      </w:r>
      <w:r w:rsidRPr="006C7760">
        <w:rPr>
          <w:rFonts w:cs="Arial"/>
          <w:sz w:val="24"/>
          <w:szCs w:val="24"/>
        </w:rPr>
        <w:t xml:space="preserve"> Secretaria de Acuerdos de esta Sala Unitaria, que </w:t>
      </w:r>
      <w:r w:rsidRPr="006C7760">
        <w:rPr>
          <w:rFonts w:cs="Arial"/>
          <w:sz w:val="24"/>
          <w:szCs w:val="24"/>
        </w:rPr>
        <w:lastRenderedPageBreak/>
        <w:t>las partes no formularon alegatos; por lo que se ordenó citar a las partes a oír sentencia dentro del término de ley, misma que ahora se pronuncia, y;</w:t>
      </w:r>
    </w:p>
    <w:p w:rsidR="00BB275F" w:rsidRDefault="00BB275F" w:rsidP="00BB275F">
      <w:pPr>
        <w:pStyle w:val="corte4fondo"/>
        <w:ind w:right="51" w:firstLine="567"/>
        <w:rPr>
          <w:rFonts w:cs="Arial"/>
          <w:b/>
          <w:bCs/>
          <w:sz w:val="24"/>
          <w:szCs w:val="24"/>
        </w:rPr>
      </w:pPr>
    </w:p>
    <w:p w:rsidR="00BB275F" w:rsidRPr="007B0581" w:rsidRDefault="00BB275F" w:rsidP="00BB275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BB275F" w:rsidRPr="007B0581" w:rsidRDefault="00BB275F" w:rsidP="00BB275F">
      <w:pPr>
        <w:pStyle w:val="corte4fondo"/>
        <w:spacing w:line="240" w:lineRule="auto"/>
        <w:ind w:right="51" w:firstLine="567"/>
        <w:contextualSpacing/>
        <w:rPr>
          <w:rFonts w:cs="Arial"/>
          <w:bCs/>
          <w:sz w:val="24"/>
          <w:szCs w:val="24"/>
        </w:rPr>
      </w:pPr>
    </w:p>
    <w:p w:rsidR="00BB275F" w:rsidRPr="007B0581" w:rsidRDefault="00BB275F" w:rsidP="00BB275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w:t>
      </w:r>
      <w:r>
        <w:rPr>
          <w:rFonts w:ascii="Arial" w:hAnsi="Arial" w:cs="Arial"/>
          <w:sz w:val="24"/>
          <w:szCs w:val="24"/>
        </w:rPr>
        <w:t>,</w:t>
      </w:r>
      <w:r w:rsidRPr="007B0581">
        <w:rPr>
          <w:rFonts w:ascii="Arial" w:hAnsi="Arial" w:cs="Arial"/>
          <w:sz w:val="24"/>
          <w:szCs w:val="24"/>
        </w:rPr>
        <w:t xml:space="preserve"> con fundamento en el artículo 114 QUATER, párrafo primero, inciso B, fracción </w:t>
      </w:r>
      <w:r w:rsidRPr="004515BD">
        <w:rPr>
          <w:rFonts w:ascii="Arial" w:hAnsi="Arial" w:cs="Arial"/>
          <w:sz w:val="24"/>
          <w:szCs w:val="24"/>
        </w:rPr>
        <w:t>VI</w:t>
      </w:r>
      <w:r w:rsidRPr="007B0581">
        <w:rPr>
          <w:rFonts w:ascii="Arial" w:hAnsi="Arial" w:cs="Arial"/>
          <w:sz w:val="24"/>
          <w:szCs w:val="24"/>
        </w:rPr>
        <w:t xml:space="preserve"> de la Constitución Política del Estado Libre y Soberano de Oaxaca; 120, </w:t>
      </w:r>
      <w:r w:rsidRPr="000C0C02">
        <w:rPr>
          <w:rFonts w:ascii="Arial" w:hAnsi="Arial" w:cs="Arial"/>
          <w:sz w:val="24"/>
          <w:szCs w:val="24"/>
        </w:rPr>
        <w:t>fracción I,</w:t>
      </w:r>
      <w:r w:rsidRPr="007B0581">
        <w:rPr>
          <w:rFonts w:ascii="Arial" w:hAnsi="Arial" w:cs="Arial"/>
          <w:sz w:val="24"/>
          <w:szCs w:val="24"/>
        </w:rPr>
        <w:t xml:space="preserve"> 132 fracciones I y II, 133 fracción </w:t>
      </w:r>
      <w:r>
        <w:rPr>
          <w:rFonts w:ascii="Arial" w:hAnsi="Arial" w:cs="Arial"/>
          <w:sz w:val="24"/>
          <w:szCs w:val="24"/>
        </w:rPr>
        <w:t>I</w:t>
      </w:r>
      <w:r w:rsidRPr="007B0581">
        <w:rPr>
          <w:rFonts w:ascii="Arial" w:hAnsi="Arial" w:cs="Arial"/>
          <w:sz w:val="24"/>
          <w:szCs w:val="24"/>
        </w:rPr>
        <w:t xml:space="preserve">I, 146 y 147 de la Ley de Procedimiento y Justicia Administrativa para el Estado de Oaxaca. </w:t>
      </w:r>
    </w:p>
    <w:p w:rsidR="00BB275F" w:rsidRPr="007B0581" w:rsidRDefault="00BB275F" w:rsidP="00BB275F">
      <w:pPr>
        <w:spacing w:line="360" w:lineRule="auto"/>
        <w:jc w:val="both"/>
        <w:rPr>
          <w:rFonts w:ascii="Arial" w:hAnsi="Arial" w:cs="Arial"/>
          <w:sz w:val="24"/>
          <w:szCs w:val="24"/>
        </w:rPr>
      </w:pPr>
      <w:r w:rsidRPr="007B0581">
        <w:rPr>
          <w:rFonts w:ascii="Arial" w:hAnsi="Arial" w:cs="Arial"/>
          <w:sz w:val="24"/>
          <w:szCs w:val="24"/>
        </w:rPr>
        <w:t xml:space="preserve"> </w:t>
      </w:r>
    </w:p>
    <w:p w:rsidR="00BB275F" w:rsidRDefault="00BB275F" w:rsidP="00BB275F">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 representante legal de la parte</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w:t>
      </w:r>
      <w:r>
        <w:rPr>
          <w:rFonts w:ascii="Arial" w:hAnsi="Arial" w:cs="Arial"/>
          <w:sz w:val="24"/>
          <w:szCs w:val="24"/>
        </w:rPr>
        <w:t xml:space="preserve"> con la copia certificada del instrumento notarial número diez mil ciento setenta y tres, pasado ante la fe del notario público número 28, con residencia en Oaxaca de Juárez, Oaxaca, </w:t>
      </w:r>
      <w:r w:rsidRPr="007B0581">
        <w:rPr>
          <w:rFonts w:ascii="Arial" w:hAnsi="Arial" w:cs="Arial"/>
          <w:sz w:val="24"/>
          <w:szCs w:val="24"/>
        </w:rPr>
        <w:t>y la</w:t>
      </w:r>
      <w:r>
        <w:rPr>
          <w:rFonts w:ascii="Arial" w:hAnsi="Arial" w:cs="Arial"/>
          <w:sz w:val="24"/>
          <w:szCs w:val="24"/>
        </w:rPr>
        <w:t xml:space="preserve"> de las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BB275F" w:rsidRPr="007B0581" w:rsidRDefault="00BB275F" w:rsidP="00BB275F">
      <w:pPr>
        <w:spacing w:line="360" w:lineRule="auto"/>
        <w:ind w:right="51" w:firstLine="709"/>
        <w:jc w:val="both"/>
        <w:rPr>
          <w:rFonts w:ascii="Arial" w:hAnsi="Arial" w:cs="Arial"/>
          <w:sz w:val="24"/>
          <w:szCs w:val="24"/>
        </w:rPr>
      </w:pPr>
    </w:p>
    <w:p w:rsidR="00BB275F" w:rsidRDefault="00BB275F" w:rsidP="00BB275F">
      <w:pPr>
        <w:spacing w:line="360" w:lineRule="auto"/>
        <w:ind w:firstLine="709"/>
        <w:contextualSpacing/>
        <w:jc w:val="both"/>
        <w:rPr>
          <w:rFonts w:ascii="Arial" w:hAnsi="Arial" w:cs="Arial"/>
          <w:sz w:val="24"/>
          <w:szCs w:val="24"/>
        </w:rPr>
      </w:pPr>
      <w:r w:rsidRPr="0083108E">
        <w:rPr>
          <w:rFonts w:ascii="Arial" w:hAnsi="Arial" w:cs="Arial"/>
          <w:b/>
          <w:sz w:val="24"/>
          <w:szCs w:val="24"/>
        </w:rPr>
        <w:t>TERCERO</w:t>
      </w:r>
      <w:r w:rsidRPr="00C664F9">
        <w:rPr>
          <w:rFonts w:ascii="Arial" w:hAnsi="Arial" w:cs="Arial"/>
          <w:b/>
          <w:sz w:val="24"/>
          <w:szCs w:val="24"/>
        </w:rPr>
        <w:t>.-</w:t>
      </w:r>
      <w:r>
        <w:rPr>
          <w:rFonts w:ascii="Arial" w:hAnsi="Arial" w:cs="Arial"/>
          <w:sz w:val="24"/>
          <w:szCs w:val="24"/>
        </w:rPr>
        <w:t xml:space="preserve"> </w:t>
      </w:r>
      <w:r w:rsidRPr="00D4142D">
        <w:rPr>
          <w:rFonts w:ascii="Arial" w:hAnsi="Arial" w:cs="Arial"/>
          <w:sz w:val="24"/>
          <w:szCs w:val="24"/>
          <w:lang w:val="es-ES_tradnl"/>
        </w:rPr>
        <w:t xml:space="preserve">Esta Sala </w:t>
      </w:r>
      <w:r w:rsidRPr="00D4142D">
        <w:rPr>
          <w:rFonts w:ascii="Arial" w:hAnsi="Arial" w:cs="Arial"/>
          <w:bCs/>
          <w:sz w:val="24"/>
          <w:szCs w:val="24"/>
        </w:rPr>
        <w:t>previo al estudio de fondo del asunto procede analizar, sí en la especie se actualiza alguna causal de improcedencia del juicio de nulidad, ya sea invocada por las partes o bien, alguna que se advierta oficiosamente,</w:t>
      </w:r>
      <w:r>
        <w:rPr>
          <w:rFonts w:ascii="Arial" w:hAnsi="Arial" w:cs="Arial"/>
          <w:bCs/>
          <w:sz w:val="24"/>
          <w:szCs w:val="24"/>
        </w:rPr>
        <w:t xml:space="preserve"> en ese sentido </w:t>
      </w:r>
      <w:r w:rsidRPr="00D62161">
        <w:rPr>
          <w:rFonts w:ascii="Arial" w:hAnsi="Arial" w:cs="Arial"/>
          <w:b/>
          <w:sz w:val="24"/>
          <w:szCs w:val="24"/>
        </w:rPr>
        <w:t>SE SOBRESEE</w:t>
      </w:r>
      <w:r>
        <w:rPr>
          <w:rFonts w:ascii="Arial" w:hAnsi="Arial" w:cs="Arial"/>
          <w:b/>
          <w:sz w:val="24"/>
          <w:szCs w:val="24"/>
        </w:rPr>
        <w:t xml:space="preserve"> EN</w:t>
      </w:r>
      <w:r w:rsidRPr="00D62161">
        <w:rPr>
          <w:rFonts w:ascii="Arial" w:hAnsi="Arial" w:cs="Arial"/>
          <w:b/>
          <w:sz w:val="24"/>
          <w:szCs w:val="24"/>
        </w:rPr>
        <w:t xml:space="preserve"> EL JUICIO</w:t>
      </w:r>
      <w:r>
        <w:rPr>
          <w:rFonts w:ascii="Arial" w:hAnsi="Arial" w:cs="Arial"/>
          <w:bCs/>
          <w:sz w:val="24"/>
          <w:szCs w:val="24"/>
        </w:rPr>
        <w:t xml:space="preserve"> por lo que hace únicamente a las autoridades demandadas, </w:t>
      </w:r>
      <w:r>
        <w:rPr>
          <w:rFonts w:ascii="Arial" w:hAnsi="Arial" w:cs="Arial"/>
          <w:sz w:val="24"/>
          <w:szCs w:val="24"/>
        </w:rPr>
        <w:t xml:space="preserve">Secretario de Finanzas y Directora de Ingresos y Recaudación de la Secretaría de Finanzas del Gobierno del Estado de Oaxaca, en virtud que no son parte en el presente asunto, dado que no </w:t>
      </w:r>
      <w:r w:rsidRPr="000508C0">
        <w:rPr>
          <w:rFonts w:ascii="Arial" w:eastAsiaTheme="minorHAnsi" w:hAnsi="Arial" w:cs="Arial"/>
          <w:sz w:val="24"/>
          <w:szCs w:val="24"/>
          <w:lang w:val="es-MX" w:eastAsia="en-US"/>
        </w:rPr>
        <w:t>dict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orden</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ejecut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o trat</w:t>
      </w:r>
      <w:r>
        <w:rPr>
          <w:rFonts w:ascii="Arial" w:eastAsiaTheme="minorHAnsi" w:hAnsi="Arial" w:cs="Arial"/>
          <w:sz w:val="24"/>
          <w:szCs w:val="24"/>
          <w:lang w:val="es-MX" w:eastAsia="en-US"/>
        </w:rPr>
        <w:t>aron</w:t>
      </w:r>
      <w:r w:rsidRPr="000508C0">
        <w:rPr>
          <w:rFonts w:ascii="Arial" w:eastAsiaTheme="minorHAnsi" w:hAnsi="Arial" w:cs="Arial"/>
          <w:sz w:val="24"/>
          <w:szCs w:val="24"/>
          <w:lang w:val="es-MX" w:eastAsia="en-US"/>
        </w:rPr>
        <w:t xml:space="preserve"> de ejecutar el acto impugnado</w:t>
      </w:r>
      <w:r>
        <w:rPr>
          <w:rFonts w:ascii="Arial" w:eastAsiaTheme="minorHAnsi" w:hAnsi="Arial" w:cs="Arial"/>
          <w:sz w:val="24"/>
          <w:szCs w:val="24"/>
          <w:lang w:val="es-MX" w:eastAsia="en-US"/>
        </w:rPr>
        <w:t>, de conformidad con los artículos 163, fracción II, inciso a), 161, fracciones II y IX y, 162, fracción II,</w:t>
      </w:r>
      <w:r>
        <w:rPr>
          <w:rFonts w:ascii="Arial" w:hAnsi="Arial" w:cs="Arial"/>
          <w:bCs/>
          <w:sz w:val="24"/>
          <w:szCs w:val="24"/>
        </w:rPr>
        <w:t xml:space="preserve"> de la </w:t>
      </w:r>
      <w:r w:rsidRPr="00D4142D">
        <w:rPr>
          <w:rFonts w:ascii="Arial" w:hAnsi="Arial" w:cs="Arial"/>
          <w:bCs/>
          <w:sz w:val="24"/>
          <w:szCs w:val="24"/>
        </w:rPr>
        <w:t>Ley de Procedimiento y Justicia Administrativa para el Estado de Oaxaca</w:t>
      </w:r>
      <w:r>
        <w:rPr>
          <w:rFonts w:ascii="Arial" w:hAnsi="Arial" w:cs="Arial"/>
          <w:bCs/>
          <w:sz w:val="24"/>
          <w:szCs w:val="24"/>
        </w:rPr>
        <w:t>.</w:t>
      </w:r>
    </w:p>
    <w:p w:rsidR="00BB275F" w:rsidRDefault="00BB275F" w:rsidP="00BB275F">
      <w:pPr>
        <w:spacing w:line="360" w:lineRule="auto"/>
        <w:ind w:firstLine="709"/>
        <w:contextualSpacing/>
        <w:jc w:val="both"/>
        <w:rPr>
          <w:rFonts w:ascii="Arial" w:hAnsi="Arial" w:cs="Arial"/>
          <w:sz w:val="24"/>
          <w:szCs w:val="24"/>
        </w:rPr>
      </w:pPr>
    </w:p>
    <w:p w:rsidR="00BB275F" w:rsidRDefault="00BB275F" w:rsidP="00BB275F">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BB275F" w:rsidRPr="007B0581" w:rsidRDefault="00BB275F" w:rsidP="00BB275F">
      <w:pPr>
        <w:spacing w:line="360" w:lineRule="auto"/>
        <w:ind w:firstLine="708"/>
        <w:jc w:val="both"/>
        <w:rPr>
          <w:rFonts w:ascii="Arial" w:hAnsi="Arial" w:cs="Arial"/>
          <w:sz w:val="24"/>
          <w:szCs w:val="24"/>
        </w:rPr>
      </w:pPr>
    </w:p>
    <w:p w:rsidR="00BB275F" w:rsidRDefault="00BB275F" w:rsidP="00BB275F">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w:t>
      </w:r>
      <w:r w:rsidRPr="007B0581">
        <w:rPr>
          <w:rFonts w:ascii="Arial" w:hAnsi="Arial" w:cs="Arial"/>
          <w:sz w:val="24"/>
          <w:szCs w:val="24"/>
          <w:lang w:eastAsia="es-MX"/>
        </w:rPr>
        <w:lastRenderedPageBreak/>
        <w:t xml:space="preserve">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BB275F" w:rsidRPr="007B0581" w:rsidRDefault="00BB275F" w:rsidP="00BB275F">
      <w:pPr>
        <w:pStyle w:val="Textonotapie"/>
        <w:widowControl w:val="0"/>
        <w:spacing w:line="360" w:lineRule="auto"/>
        <w:ind w:firstLine="708"/>
        <w:jc w:val="both"/>
        <w:rPr>
          <w:rFonts w:ascii="Arial" w:hAnsi="Arial" w:cs="Arial"/>
          <w:sz w:val="24"/>
          <w:szCs w:val="24"/>
          <w:lang w:eastAsia="es-MX"/>
        </w:rPr>
      </w:pPr>
    </w:p>
    <w:p w:rsidR="00BB275F" w:rsidRDefault="00BB275F" w:rsidP="00BB275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BB275F" w:rsidRPr="007B0581" w:rsidRDefault="00BB275F" w:rsidP="00BB275F">
      <w:pPr>
        <w:pStyle w:val="Textonotapie"/>
        <w:widowControl w:val="0"/>
        <w:spacing w:line="360" w:lineRule="auto"/>
        <w:ind w:left="1701" w:right="1469"/>
        <w:jc w:val="both"/>
        <w:rPr>
          <w:rFonts w:ascii="Arial" w:hAnsi="Arial" w:cs="Arial"/>
          <w:b/>
          <w:sz w:val="24"/>
          <w:szCs w:val="24"/>
          <w:lang w:eastAsia="es-MX"/>
        </w:rPr>
      </w:pPr>
    </w:p>
    <w:p w:rsidR="00BB275F" w:rsidRDefault="00BB275F" w:rsidP="00BB275F">
      <w:pPr>
        <w:spacing w:line="360" w:lineRule="auto"/>
        <w:ind w:firstLine="709"/>
        <w:contextualSpacing/>
        <w:jc w:val="both"/>
        <w:rPr>
          <w:rFonts w:ascii="Arial" w:hAnsi="Arial" w:cs="Arial"/>
          <w:sz w:val="24"/>
          <w:szCs w:val="24"/>
        </w:rPr>
      </w:pPr>
      <w:r w:rsidRPr="00726A71">
        <w:rPr>
          <w:rFonts w:ascii="Arial" w:hAnsi="Arial" w:cs="Arial"/>
          <w:bCs/>
          <w:sz w:val="24"/>
          <w:szCs w:val="24"/>
          <w:lang w:val="es-MX"/>
        </w:rPr>
        <w:t>La</w:t>
      </w:r>
      <w:r w:rsidRPr="00013C7C">
        <w:rPr>
          <w:rFonts w:ascii="Arial" w:hAnsi="Arial" w:cs="Arial"/>
          <w:bCs/>
          <w:sz w:val="24"/>
          <w:szCs w:val="24"/>
          <w:lang w:val="es-MX"/>
        </w:rPr>
        <w:t xml:space="preserve"> actor</w:t>
      </w:r>
      <w:r>
        <w:rPr>
          <w:rFonts w:ascii="Arial" w:hAnsi="Arial" w:cs="Arial"/>
          <w:bCs/>
          <w:sz w:val="24"/>
          <w:szCs w:val="24"/>
          <w:lang w:val="es-MX"/>
        </w:rPr>
        <w:t>a</w:t>
      </w:r>
      <w:r w:rsidRPr="00850D23">
        <w:rPr>
          <w:rFonts w:ascii="Arial" w:hAnsi="Arial" w:cs="Arial"/>
          <w:bCs/>
          <w:sz w:val="24"/>
          <w:szCs w:val="24"/>
          <w:lang w:val="es-MX"/>
        </w:rPr>
        <w:t xml:space="preserve"> </w:t>
      </w:r>
      <w:r>
        <w:rPr>
          <w:rFonts w:cs="Arial"/>
          <w:b/>
          <w:sz w:val="24"/>
          <w:szCs w:val="24"/>
        </w:rPr>
        <w:t>**********</w:t>
      </w:r>
      <w:r w:rsidRPr="00850D23">
        <w:rPr>
          <w:rFonts w:ascii="Arial" w:hAnsi="Arial" w:cs="Arial"/>
          <w:sz w:val="24"/>
          <w:szCs w:val="24"/>
        </w:rPr>
        <w:t xml:space="preserve">, </w:t>
      </w:r>
      <w:bookmarkStart w:id="3" w:name="_Hlk90293366"/>
      <w:r w:rsidRPr="00850D23">
        <w:rPr>
          <w:rFonts w:ascii="Arial" w:hAnsi="Arial" w:cs="Arial"/>
          <w:sz w:val="24"/>
          <w:szCs w:val="24"/>
        </w:rPr>
        <w:t xml:space="preserve">demandó la nulidad </w:t>
      </w:r>
      <w:r>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Pr>
          <w:rFonts w:ascii="Arial" w:hAnsi="Arial" w:cs="Arial"/>
          <w:sz w:val="24"/>
          <w:szCs w:val="24"/>
        </w:rPr>
        <w:t xml:space="preserve">de veintisiete de marzo de dos mil veinte, emitida por el Director de lo Contencioso de la Procuraduría Fiscal de la Secretaría de Finanzas del Poder Ejecutivo del Estado de Oaxaca, por considerar que no cumple con los requisitos de debida fundamentación y motivación exigidos por el artículo 16 de la Constitución Política de los Estados Unidos Mexicanos, en virtud que el citado numeral establece la obligación de las autoridades de fundar y motivar todas y cada una de sus resoluciones, esto es, expresar tanto los fundamentos de derecho en los cuales funde sus decisiones, así como aportar y dar a conocer los razonamientos, datos, motivos, elementos por los cuales considere que en el caso resulten aplicables los sustentos legales. </w:t>
      </w:r>
    </w:p>
    <w:p w:rsidR="00BB275F" w:rsidRDefault="00BB275F" w:rsidP="00BB275F">
      <w:pPr>
        <w:spacing w:line="360" w:lineRule="auto"/>
        <w:ind w:firstLine="709"/>
        <w:contextualSpacing/>
        <w:jc w:val="both"/>
        <w:rPr>
          <w:rFonts w:ascii="Arial" w:hAnsi="Arial" w:cs="Arial"/>
          <w:sz w:val="24"/>
          <w:szCs w:val="24"/>
        </w:rPr>
      </w:pPr>
    </w:p>
    <w:p w:rsidR="00BB275F" w:rsidRDefault="00BB275F" w:rsidP="00BB275F">
      <w:pPr>
        <w:spacing w:line="360" w:lineRule="auto"/>
        <w:ind w:firstLine="709"/>
        <w:contextualSpacing/>
        <w:jc w:val="both"/>
        <w:rPr>
          <w:rFonts w:ascii="Arial" w:hAnsi="Arial" w:cs="Arial"/>
          <w:sz w:val="24"/>
          <w:szCs w:val="24"/>
        </w:rPr>
      </w:pPr>
      <w:r w:rsidRPr="00013C7C">
        <w:rPr>
          <w:rFonts w:ascii="Arial" w:hAnsi="Arial" w:cs="Arial"/>
          <w:sz w:val="24"/>
          <w:szCs w:val="24"/>
        </w:rPr>
        <w:t>Por su parte,</w:t>
      </w:r>
      <w:r>
        <w:rPr>
          <w:rFonts w:ascii="Arial" w:hAnsi="Arial" w:cs="Arial"/>
          <w:sz w:val="24"/>
          <w:szCs w:val="24"/>
        </w:rPr>
        <w:t xml:space="preserve"> la autoridad demandada indicó</w:t>
      </w:r>
      <w:r w:rsidRPr="00726A71">
        <w:rPr>
          <w:rFonts w:ascii="Arial" w:hAnsi="Arial" w:cs="Arial"/>
          <w:sz w:val="24"/>
          <w:szCs w:val="24"/>
        </w:rPr>
        <w:t xml:space="preserve"> que</w:t>
      </w:r>
      <w:r>
        <w:rPr>
          <w:rFonts w:ascii="Arial" w:hAnsi="Arial" w:cs="Arial"/>
          <w:sz w:val="24"/>
          <w:szCs w:val="24"/>
        </w:rPr>
        <w:t xml:space="preserve"> el recurso de revocación se resolvió de manera correcta y en estricto apego a derecho en razón que en la Multa por Infracción Relacionada con la Presentación de Declaraciones del Impuesto Sobre la Prestación de Servicios de Hospedaje con número de control </w:t>
      </w:r>
      <w:r>
        <w:rPr>
          <w:rFonts w:cs="Arial"/>
          <w:b/>
          <w:sz w:val="24"/>
          <w:szCs w:val="24"/>
        </w:rPr>
        <w:t>**********</w:t>
      </w:r>
      <w:r>
        <w:rPr>
          <w:rFonts w:ascii="Arial" w:hAnsi="Arial" w:cs="Arial"/>
          <w:sz w:val="24"/>
          <w:szCs w:val="24"/>
        </w:rPr>
        <w:t xml:space="preserve"> de veinte de febrero de dos mil diecinueve, fue resuelto con fundamento en los artículos 255, 256 y 257, párrafo primero, fracción II, del Código Fiscal para el Estado de Oaxaca.</w:t>
      </w:r>
    </w:p>
    <w:p w:rsidR="00BB275F" w:rsidRDefault="00BB275F" w:rsidP="00BB275F">
      <w:pPr>
        <w:spacing w:line="360" w:lineRule="auto"/>
        <w:ind w:firstLine="709"/>
        <w:contextualSpacing/>
        <w:jc w:val="both"/>
        <w:rPr>
          <w:rFonts w:ascii="Arial" w:hAnsi="Arial" w:cs="Arial"/>
          <w:sz w:val="24"/>
          <w:szCs w:val="24"/>
        </w:rPr>
      </w:pPr>
    </w:p>
    <w:bookmarkEnd w:id="3"/>
    <w:p w:rsidR="00BB275F" w:rsidRDefault="00BB275F" w:rsidP="00BB275F">
      <w:pPr>
        <w:spacing w:line="360" w:lineRule="auto"/>
        <w:ind w:firstLine="709"/>
        <w:contextualSpacing/>
        <w:jc w:val="both"/>
        <w:rPr>
          <w:rFonts w:ascii="Arial" w:hAnsi="Arial" w:cs="Arial"/>
          <w:sz w:val="24"/>
          <w:szCs w:val="24"/>
        </w:rPr>
      </w:pPr>
      <w:r w:rsidRPr="00531264">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 </w:t>
      </w:r>
      <w:r>
        <w:rPr>
          <w:rFonts w:ascii="Arial" w:hAnsi="Arial" w:cs="Arial"/>
          <w:sz w:val="24"/>
          <w:szCs w:val="24"/>
        </w:rPr>
        <w:t xml:space="preserve">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veintisiete de marzo de dos mil veinte, emitida por el Director de lo Contencioso de la Procuraduría Fiscal de la Secretaría de Finanzas del Poder Ejecutivo del Estado de Oaxaca,</w:t>
      </w:r>
      <w:r w:rsidRPr="00812150">
        <w:rPr>
          <w:rFonts w:ascii="Arial" w:hAnsi="Arial" w:cs="Arial"/>
          <w:sz w:val="24"/>
          <w:szCs w:val="24"/>
        </w:rPr>
        <w:t xml:space="preserve"> </w:t>
      </w:r>
      <w:r w:rsidRPr="00A8308C">
        <w:rPr>
          <w:rFonts w:ascii="Arial" w:hAnsi="Arial" w:cs="Arial"/>
          <w:sz w:val="24"/>
          <w:szCs w:val="24"/>
        </w:rPr>
        <w:t>advierte que</w:t>
      </w:r>
      <w:r>
        <w:rPr>
          <w:rFonts w:ascii="Arial" w:hAnsi="Arial" w:cs="Arial"/>
          <w:sz w:val="24"/>
          <w:szCs w:val="24"/>
        </w:rPr>
        <w:t xml:space="preserve">, es </w:t>
      </w:r>
      <w:r w:rsidRPr="0003238C">
        <w:rPr>
          <w:rFonts w:ascii="Arial" w:hAnsi="Arial" w:cs="Arial"/>
          <w:b/>
          <w:bCs/>
          <w:sz w:val="24"/>
          <w:szCs w:val="24"/>
        </w:rPr>
        <w:t>FUNDADO</w:t>
      </w:r>
      <w:r>
        <w:rPr>
          <w:rFonts w:ascii="Arial" w:hAnsi="Arial" w:cs="Arial"/>
          <w:sz w:val="24"/>
          <w:szCs w:val="24"/>
        </w:rPr>
        <w:t xml:space="preserve"> el primero de los conceptos de impugnación hechos valer por el</w:t>
      </w:r>
      <w:r w:rsidRPr="008D7776">
        <w:rPr>
          <w:rFonts w:ascii="Arial" w:hAnsi="Arial" w:cs="Arial"/>
          <w:sz w:val="24"/>
          <w:szCs w:val="24"/>
        </w:rPr>
        <w:t xml:space="preserve"> acto</w:t>
      </w:r>
      <w:r>
        <w:rPr>
          <w:rFonts w:ascii="Arial" w:hAnsi="Arial" w:cs="Arial"/>
          <w:sz w:val="24"/>
          <w:szCs w:val="24"/>
        </w:rPr>
        <w:t>r, en el sentido que no se encuentra debidamente fundado ni motivado. S</w:t>
      </w:r>
      <w:r w:rsidRPr="008D7776">
        <w:rPr>
          <w:rFonts w:ascii="Arial" w:hAnsi="Arial" w:cs="Arial"/>
          <w:sz w:val="24"/>
          <w:szCs w:val="24"/>
        </w:rPr>
        <w:t>e dice lo anterior</w:t>
      </w:r>
      <w:r>
        <w:rPr>
          <w:rFonts w:ascii="Arial" w:hAnsi="Arial" w:cs="Arial"/>
          <w:sz w:val="24"/>
          <w:szCs w:val="24"/>
        </w:rPr>
        <w:t>,</w:t>
      </w:r>
      <w:r w:rsidRPr="008D7776">
        <w:rPr>
          <w:rFonts w:ascii="Arial" w:hAnsi="Arial" w:cs="Arial"/>
          <w:sz w:val="24"/>
          <w:szCs w:val="24"/>
        </w:rPr>
        <w:t xml:space="preserve"> en razón </w:t>
      </w:r>
      <w:r w:rsidRPr="00531264">
        <w:rPr>
          <w:rFonts w:ascii="Arial" w:hAnsi="Arial" w:cs="Arial"/>
          <w:sz w:val="24"/>
          <w:szCs w:val="24"/>
        </w:rPr>
        <w:t>que</w:t>
      </w:r>
      <w:r>
        <w:rPr>
          <w:rFonts w:ascii="Arial" w:hAnsi="Arial" w:cs="Arial"/>
          <w:sz w:val="24"/>
          <w:szCs w:val="24"/>
        </w:rPr>
        <w:t xml:space="preserve">, la autoridad demandada para confirmar la multa contenida en el oficio con número de control </w:t>
      </w:r>
      <w:r>
        <w:rPr>
          <w:rFonts w:cs="Arial"/>
          <w:b/>
          <w:sz w:val="24"/>
          <w:szCs w:val="24"/>
        </w:rPr>
        <w:t>**********</w:t>
      </w:r>
      <w:r>
        <w:rPr>
          <w:rFonts w:ascii="Arial" w:hAnsi="Arial" w:cs="Arial"/>
          <w:sz w:val="24"/>
          <w:szCs w:val="24"/>
        </w:rPr>
        <w:t xml:space="preserve"> de veinte de febrero de dos </w:t>
      </w:r>
      <w:r>
        <w:rPr>
          <w:rFonts w:ascii="Arial" w:hAnsi="Arial" w:cs="Arial"/>
          <w:sz w:val="24"/>
          <w:szCs w:val="24"/>
        </w:rPr>
        <w:lastRenderedPageBreak/>
        <w:t xml:space="preserve">mil diecinueve, refirió lo siguiente: </w:t>
      </w:r>
      <w:r w:rsidRPr="005643CE">
        <w:rPr>
          <w:rFonts w:ascii="Arial" w:hAnsi="Arial" w:cs="Arial"/>
          <w:i/>
          <w:iCs/>
          <w:sz w:val="24"/>
          <w:szCs w:val="24"/>
        </w:rPr>
        <w:t xml:space="preserve">“…si la recurrente presentó </w:t>
      </w:r>
      <w:r w:rsidRPr="005643CE">
        <w:rPr>
          <w:rFonts w:ascii="Arial" w:hAnsi="Arial" w:cs="Arial"/>
          <w:b/>
          <w:bCs/>
          <w:i/>
          <w:iCs/>
          <w:sz w:val="24"/>
          <w:szCs w:val="24"/>
        </w:rPr>
        <w:t>las</w:t>
      </w:r>
      <w:r w:rsidRPr="005643CE">
        <w:rPr>
          <w:rFonts w:ascii="Arial" w:hAnsi="Arial" w:cs="Arial"/>
          <w:i/>
          <w:iCs/>
          <w:sz w:val="24"/>
          <w:szCs w:val="24"/>
        </w:rPr>
        <w:t xml:space="preserve"> </w:t>
      </w:r>
      <w:r w:rsidRPr="005643CE">
        <w:rPr>
          <w:rFonts w:ascii="Arial" w:hAnsi="Arial" w:cs="Arial"/>
          <w:b/>
          <w:bCs/>
          <w:i/>
          <w:iCs/>
          <w:sz w:val="24"/>
          <w:szCs w:val="24"/>
        </w:rPr>
        <w:t>declaraciones bimestrales definitivas del Impuesto Sobre la Prestación de Servicio al Hospedaje del 5º y 6º bimestre del ejercicio fiscal 2018</w:t>
      </w:r>
      <w:r w:rsidRPr="005643CE">
        <w:rPr>
          <w:rFonts w:ascii="Arial" w:hAnsi="Arial" w:cs="Arial"/>
          <w:i/>
          <w:iCs/>
          <w:sz w:val="24"/>
          <w:szCs w:val="24"/>
        </w:rPr>
        <w:t xml:space="preserve"> el </w:t>
      </w:r>
      <w:r w:rsidRPr="005643CE">
        <w:rPr>
          <w:rFonts w:ascii="Arial" w:hAnsi="Arial" w:cs="Arial"/>
          <w:b/>
          <w:bCs/>
          <w:i/>
          <w:iCs/>
          <w:sz w:val="24"/>
          <w:szCs w:val="24"/>
        </w:rPr>
        <w:t>02 de abril de 2019</w:t>
      </w:r>
      <w:r w:rsidRPr="005643CE">
        <w:rPr>
          <w:rFonts w:ascii="Arial" w:hAnsi="Arial" w:cs="Arial"/>
          <w:i/>
          <w:iCs/>
          <w:sz w:val="24"/>
          <w:szCs w:val="24"/>
        </w:rPr>
        <w:t xml:space="preserve"> y </w:t>
      </w:r>
      <w:r w:rsidRPr="005643CE">
        <w:rPr>
          <w:rFonts w:ascii="Arial" w:hAnsi="Arial" w:cs="Arial"/>
          <w:b/>
          <w:bCs/>
          <w:i/>
          <w:iCs/>
          <w:sz w:val="24"/>
          <w:szCs w:val="24"/>
          <w:u w:val="single"/>
        </w:rPr>
        <w:t>la multa se notificó con esa misma fecha</w:t>
      </w:r>
      <w:r w:rsidRPr="005643CE">
        <w:rPr>
          <w:rFonts w:ascii="Arial" w:hAnsi="Arial" w:cs="Arial"/>
          <w:i/>
          <w:iCs/>
          <w:sz w:val="24"/>
          <w:szCs w:val="24"/>
        </w:rPr>
        <w:t xml:space="preserve">, es indudable que el cumplimiento </w:t>
      </w:r>
      <w:r w:rsidRPr="005643CE">
        <w:rPr>
          <w:rFonts w:ascii="Arial" w:hAnsi="Arial" w:cs="Arial"/>
          <w:b/>
          <w:bCs/>
          <w:i/>
          <w:iCs/>
          <w:sz w:val="24"/>
          <w:szCs w:val="24"/>
          <w:u w:val="single"/>
        </w:rPr>
        <w:t>no fue espontáneo</w:t>
      </w:r>
      <w:r w:rsidRPr="005643CE">
        <w:rPr>
          <w:rFonts w:ascii="Arial" w:hAnsi="Arial" w:cs="Arial"/>
          <w:i/>
          <w:iCs/>
          <w:sz w:val="24"/>
          <w:szCs w:val="24"/>
        </w:rPr>
        <w:t>, porque las declaraciones omitidas se presentaron el mismo día en que la contribuyente tuvo conocimiento de la resolución recurrida, por lo tanto no le resulta aplicable lo dispuesto por el referido artículo 263, párrafo primero, del Código Fiscal para el Estado de Oaxaca…”</w:t>
      </w:r>
      <w:r>
        <w:rPr>
          <w:rFonts w:ascii="Arial" w:hAnsi="Arial" w:cs="Arial"/>
          <w:i/>
          <w:iCs/>
          <w:sz w:val="24"/>
          <w:szCs w:val="24"/>
        </w:rPr>
        <w:t xml:space="preserve">, </w:t>
      </w:r>
      <w:r w:rsidRPr="005643CE">
        <w:rPr>
          <w:rFonts w:ascii="Arial" w:hAnsi="Arial" w:cs="Arial"/>
          <w:sz w:val="24"/>
          <w:szCs w:val="24"/>
        </w:rPr>
        <w:t>de lo an</w:t>
      </w:r>
      <w:r>
        <w:rPr>
          <w:rFonts w:ascii="Arial" w:hAnsi="Arial" w:cs="Arial"/>
          <w:sz w:val="24"/>
          <w:szCs w:val="24"/>
        </w:rPr>
        <w:t xml:space="preserve">teriormente expuesto, </w:t>
      </w:r>
      <w:r w:rsidRPr="00531264">
        <w:rPr>
          <w:rFonts w:ascii="Arial" w:hAnsi="Arial" w:cs="Arial"/>
          <w:sz w:val="24"/>
          <w:szCs w:val="24"/>
        </w:rPr>
        <w:t>si bien</w:t>
      </w:r>
      <w:r>
        <w:rPr>
          <w:rFonts w:ascii="Arial" w:hAnsi="Arial" w:cs="Arial"/>
          <w:sz w:val="24"/>
          <w:szCs w:val="24"/>
        </w:rPr>
        <w:t xml:space="preserve"> es cierto que a foja 61 de los presentes autos existe agregada una notificación de la Multa por Infracción Relacionada con la Presentación de Declaraciones del Impuesto Sobre la Prestación de Servicios de Hospedaje con número de control </w:t>
      </w:r>
      <w:r>
        <w:rPr>
          <w:rFonts w:cs="Arial"/>
          <w:b/>
          <w:sz w:val="24"/>
          <w:szCs w:val="24"/>
        </w:rPr>
        <w:t>**********</w:t>
      </w:r>
      <w:r>
        <w:rPr>
          <w:rFonts w:ascii="Arial" w:hAnsi="Arial" w:cs="Arial"/>
          <w:sz w:val="24"/>
          <w:szCs w:val="24"/>
        </w:rPr>
        <w:t xml:space="preserve"> de veinte de febrero de dos mil diecinueve, efectuada mediante correo certificado, el dos de abril de dos mil diecinueve, también lo es, que la citada notificación se realizó a una tercera persona que no es la actora ni su representante legal, de conformidad con el </w:t>
      </w:r>
      <w:r w:rsidRPr="00AE56C3">
        <w:rPr>
          <w:rFonts w:ascii="Arial" w:hAnsi="Arial" w:cs="Arial"/>
          <w:sz w:val="24"/>
          <w:szCs w:val="24"/>
        </w:rPr>
        <w:t>artículo 42, primer</w:t>
      </w:r>
      <w:r>
        <w:rPr>
          <w:rFonts w:ascii="Arial" w:hAnsi="Arial" w:cs="Arial"/>
          <w:sz w:val="24"/>
          <w:szCs w:val="24"/>
        </w:rPr>
        <w:t xml:space="preserve"> párrafo, de </w:t>
      </w:r>
      <w:r>
        <w:rPr>
          <w:rFonts w:ascii="Arial" w:hAnsi="Arial" w:cs="Arial"/>
          <w:bCs/>
          <w:sz w:val="24"/>
          <w:szCs w:val="24"/>
        </w:rPr>
        <w:t>Ley de Servicio Postal Mexicano</w:t>
      </w:r>
      <w:r>
        <w:rPr>
          <w:rFonts w:ascii="Arial" w:hAnsi="Arial" w:cs="Arial"/>
          <w:sz w:val="24"/>
          <w:szCs w:val="24"/>
        </w:rPr>
        <w:t xml:space="preserve">, que </w:t>
      </w:r>
      <w:r>
        <w:rPr>
          <w:rFonts w:ascii="Arial" w:hAnsi="Arial" w:cs="Arial"/>
          <w:bCs/>
          <w:sz w:val="24"/>
          <w:szCs w:val="24"/>
        </w:rPr>
        <w:t>establece que e</w:t>
      </w:r>
      <w:r w:rsidRPr="003B30F7">
        <w:rPr>
          <w:rFonts w:ascii="Arial" w:hAnsi="Arial" w:cs="Arial"/>
          <w:bCs/>
          <w:sz w:val="24"/>
          <w:szCs w:val="24"/>
        </w:rPr>
        <w:t>l servicio de acuse de recibo de envíos o de correspondencia registrados, consiste en recabar en un documento especial la firma de recepción del destinatario o de su representante legal y en entregar ese documento al remitente, como constancia</w:t>
      </w:r>
      <w:r>
        <w:rPr>
          <w:rFonts w:ascii="Arial" w:hAnsi="Arial" w:cs="Arial"/>
          <w:bCs/>
          <w:sz w:val="24"/>
          <w:szCs w:val="24"/>
        </w:rPr>
        <w:t xml:space="preserve">, y del acuse de recibo exhibido por la demandada no se advierte el nombre ni la firma de la actora o documento fehaciente con el que se acredite que el nombre plasmado en la citada documental pertenezca al de su representante legal, por lo tanto se tiene como fecha de conocimiento del acto primigenio la referida por la parte actora, esta es, el veintitrés de abril de dos mil diecinueve, por lo que, si el actor presentó las declaraciones bimestrales definitivas del Impuesto Sobre la Prestación de Servicios de Hospedaje correspondientes al 5º y 6º bimestres del ejercicio fiscal 2018, el dos de abril de dos mil diecinueve, esto es, antes de que se le notificara al actor la </w:t>
      </w:r>
      <w:r>
        <w:rPr>
          <w:rFonts w:ascii="Arial" w:hAnsi="Arial" w:cs="Arial"/>
          <w:sz w:val="24"/>
          <w:szCs w:val="24"/>
        </w:rPr>
        <w:t xml:space="preserve">Multa de referencia, se colige que el administrado cumplió en forma espontánea con las obligaciones fiscales fuera de los plazos señalados por las disposiciones fiscales, de conformidad con el artículo 263, párrafo primero, del Código Fiscal para el Estado de Oaxaca.  </w:t>
      </w:r>
    </w:p>
    <w:p w:rsidR="00BB275F" w:rsidRDefault="00BB275F" w:rsidP="00BB275F">
      <w:pPr>
        <w:spacing w:line="360" w:lineRule="auto"/>
        <w:ind w:firstLine="709"/>
        <w:contextualSpacing/>
        <w:jc w:val="both"/>
        <w:rPr>
          <w:rFonts w:ascii="Arial" w:hAnsi="Arial" w:cs="Arial"/>
          <w:sz w:val="24"/>
          <w:szCs w:val="24"/>
        </w:rPr>
      </w:pPr>
    </w:p>
    <w:p w:rsidR="00BB275F" w:rsidRDefault="00BB275F" w:rsidP="00BB275F">
      <w:pPr>
        <w:spacing w:line="360" w:lineRule="auto"/>
        <w:ind w:firstLine="709"/>
        <w:contextualSpacing/>
        <w:jc w:val="both"/>
        <w:rPr>
          <w:rFonts w:ascii="Arial" w:hAnsi="Arial" w:cs="Arial"/>
          <w:b/>
          <w:bCs/>
          <w:i/>
          <w:iCs/>
          <w:sz w:val="24"/>
          <w:szCs w:val="24"/>
        </w:rPr>
      </w:pPr>
      <w:r w:rsidRPr="00AE56C3">
        <w:rPr>
          <w:rFonts w:ascii="Arial" w:hAnsi="Arial" w:cs="Arial"/>
          <w:sz w:val="24"/>
          <w:szCs w:val="24"/>
        </w:rPr>
        <w:t>De lo antes expuesto</w:t>
      </w:r>
      <w:r w:rsidRPr="007B0581">
        <w:rPr>
          <w:rFonts w:ascii="Arial" w:hAnsi="Arial" w:cs="Arial"/>
          <w:sz w:val="24"/>
          <w:szCs w:val="24"/>
        </w:rPr>
        <w:t>, al</w:t>
      </w:r>
      <w:r>
        <w:rPr>
          <w:rFonts w:ascii="Arial" w:hAnsi="Arial" w:cs="Arial"/>
          <w:sz w:val="24"/>
          <w:szCs w:val="24"/>
        </w:rPr>
        <w:t xml:space="preserve"> advertir esta juzgadora que la autoridad demandada aplicó de manera diversa el artículo 263, párrafo primero, del Código Fiscal para el Estado de Oaxaca, </w:t>
      </w:r>
      <w:r w:rsidRPr="007B0581">
        <w:rPr>
          <w:rFonts w:ascii="Arial" w:hAnsi="Arial" w:cs="Arial"/>
          <w:sz w:val="24"/>
          <w:szCs w:val="24"/>
        </w:rPr>
        <w:t xml:space="preserve">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de</w:t>
      </w:r>
      <w:r>
        <w:rPr>
          <w:rFonts w:ascii="Arial" w:hAnsi="Arial" w:cs="Arial"/>
          <w:sz w:val="24"/>
          <w:szCs w:val="24"/>
        </w:rPr>
        <w:t xml:space="preserve"> </w:t>
      </w:r>
      <w:r w:rsidRPr="007B0581">
        <w:rPr>
          <w:rFonts w:ascii="Arial" w:hAnsi="Arial" w:cs="Arial"/>
          <w:sz w:val="24"/>
          <w:szCs w:val="24"/>
        </w:rPr>
        <w:t>l</w:t>
      </w:r>
      <w:r>
        <w:rPr>
          <w:rFonts w:ascii="Arial" w:hAnsi="Arial" w:cs="Arial"/>
          <w:sz w:val="24"/>
          <w:szCs w:val="24"/>
        </w:rPr>
        <w:t>a resolución</w:t>
      </w:r>
      <w:r w:rsidRPr="007B0581">
        <w:rPr>
          <w:rFonts w:ascii="Arial" w:hAnsi="Arial" w:cs="Arial"/>
          <w:sz w:val="24"/>
          <w:szCs w:val="24"/>
        </w:rPr>
        <w:t xml:space="preserve"> </w:t>
      </w:r>
      <w:r>
        <w:rPr>
          <w:rFonts w:ascii="Arial" w:hAnsi="Arial" w:cs="Arial"/>
          <w:sz w:val="24"/>
          <w:szCs w:val="24"/>
        </w:rPr>
        <w:t xml:space="preserve">contenida en el oficio </w:t>
      </w:r>
      <w:r>
        <w:rPr>
          <w:rFonts w:cs="Arial"/>
          <w:b/>
          <w:sz w:val="24"/>
          <w:szCs w:val="24"/>
        </w:rPr>
        <w:t>**********</w:t>
      </w:r>
      <w:r>
        <w:rPr>
          <w:rFonts w:cs="Arial"/>
          <w:b/>
          <w:sz w:val="24"/>
          <w:szCs w:val="24"/>
        </w:rPr>
        <w:t xml:space="preserve"> </w:t>
      </w:r>
      <w:r>
        <w:rPr>
          <w:rFonts w:ascii="Arial" w:hAnsi="Arial" w:cs="Arial"/>
          <w:sz w:val="24"/>
          <w:szCs w:val="24"/>
        </w:rPr>
        <w:t>de veintisiete de marzo de dos mil veinte, emitida por el Director de lo Contencioso de la Procuraduría Fiscal de la Secretaría de Finanzas del Poder Ejecutivo del Estado de Oaxaca</w:t>
      </w:r>
      <w:r w:rsidRPr="007B0581">
        <w:rPr>
          <w:rFonts w:ascii="Arial" w:hAnsi="Arial" w:cs="Arial"/>
          <w:sz w:val="24"/>
          <w:szCs w:val="24"/>
        </w:rPr>
        <w:t xml:space="preserve">, </w:t>
      </w:r>
      <w:r w:rsidRPr="007B0581">
        <w:rPr>
          <w:rFonts w:ascii="Arial" w:hAnsi="Arial" w:cs="Arial"/>
          <w:b/>
          <w:bCs/>
          <w:sz w:val="24"/>
          <w:szCs w:val="24"/>
        </w:rPr>
        <w:t xml:space="preserve">PARA EL EFECTO </w:t>
      </w:r>
      <w:bookmarkStart w:id="4" w:name="_Hlk84507859"/>
      <w:r>
        <w:rPr>
          <w:rFonts w:ascii="Arial" w:hAnsi="Arial" w:cs="Arial"/>
          <w:sz w:val="24"/>
          <w:szCs w:val="24"/>
        </w:rPr>
        <w:t xml:space="preserve">de </w:t>
      </w:r>
      <w:r w:rsidRPr="007B0581">
        <w:rPr>
          <w:rFonts w:ascii="Arial" w:hAnsi="Arial" w:cs="Arial"/>
          <w:sz w:val="24"/>
          <w:szCs w:val="24"/>
        </w:rPr>
        <w:t>que una vez que cause estado la presente resolución,</w:t>
      </w:r>
      <w:r>
        <w:rPr>
          <w:rFonts w:ascii="Arial" w:hAnsi="Arial" w:cs="Arial"/>
          <w:sz w:val="24"/>
          <w:szCs w:val="24"/>
        </w:rPr>
        <w:t xml:space="preserve"> el Director de lo Contencioso de la Procuraduría Fiscal, dicte otra donde declare la NULIDAD LISA </w:t>
      </w:r>
      <w:r>
        <w:rPr>
          <w:rFonts w:ascii="Arial" w:hAnsi="Arial" w:cs="Arial"/>
          <w:sz w:val="24"/>
          <w:szCs w:val="24"/>
        </w:rPr>
        <w:lastRenderedPageBreak/>
        <w:t xml:space="preserve">y LLANA de la Multa por Infracción Relacionada con la Presentación de Declaraciones del Impuesto Sobre la Prestación de Servicios de Hospedaje con número de </w:t>
      </w:r>
      <w:r w:rsidRPr="00370AF4">
        <w:rPr>
          <w:rFonts w:ascii="Arial" w:hAnsi="Arial" w:cs="Arial"/>
          <w:sz w:val="24"/>
          <w:szCs w:val="24"/>
        </w:rPr>
        <w:t>control</w:t>
      </w:r>
      <w:r>
        <w:rPr>
          <w:rFonts w:ascii="Arial" w:hAnsi="Arial" w:cs="Arial"/>
          <w:sz w:val="24"/>
          <w:szCs w:val="24"/>
        </w:rPr>
        <w:t xml:space="preserve"> </w:t>
      </w:r>
      <w:r>
        <w:rPr>
          <w:rFonts w:cs="Arial"/>
          <w:b/>
          <w:sz w:val="24"/>
          <w:szCs w:val="24"/>
        </w:rPr>
        <w:t>**********</w:t>
      </w:r>
      <w:r>
        <w:rPr>
          <w:rFonts w:ascii="Arial" w:hAnsi="Arial" w:cs="Arial"/>
          <w:sz w:val="24"/>
          <w:szCs w:val="24"/>
        </w:rPr>
        <w:t xml:space="preserve"> de veinte de febrero de dos mil diecinueve, fundando y motivando la misma de conformidad con lo establecido en el artículo 17, fracción V, de la Ley de Procedimiento y Justicia Administrativa para el Estado</w:t>
      </w:r>
      <w:bookmarkEnd w:id="4"/>
      <w:r>
        <w:rPr>
          <w:rFonts w:ascii="Arial" w:hAnsi="Arial" w:cs="Arial"/>
          <w:sz w:val="24"/>
          <w:szCs w:val="24"/>
        </w:rPr>
        <w:t xml:space="preserve"> de Oaxaca. Lo anterior en el entendido, que para tener por cumplido el presente fallo, la autoridad demandada debe remitir a este órgano jurisdiccional constancia del proveído que al efecto dicte. Sirve de apoyo a lo anterior la jurisprudenc</w:t>
      </w:r>
      <w:r w:rsidRPr="00190B21">
        <w:rPr>
          <w:rFonts w:ascii="Arial" w:hAnsi="Arial" w:cs="Arial"/>
          <w:sz w:val="24"/>
          <w:szCs w:val="24"/>
        </w:rPr>
        <w:t>ia</w:t>
      </w:r>
      <w:r>
        <w:rPr>
          <w:rFonts w:ascii="Arial" w:hAnsi="Arial" w:cs="Arial"/>
          <w:sz w:val="24"/>
          <w:szCs w:val="24"/>
        </w:rPr>
        <w:t xml:space="preserve"> publicada en la Décima Época, por la Segunda Sala </w:t>
      </w:r>
      <w:r w:rsidRPr="007B0581">
        <w:rPr>
          <w:rFonts w:ascii="Arial" w:hAnsi="Arial" w:cs="Arial"/>
          <w:sz w:val="24"/>
          <w:szCs w:val="24"/>
        </w:rPr>
        <w:t>de la Suprema Corte de Justicia de la Nación</w:t>
      </w:r>
      <w:r>
        <w:rPr>
          <w:rFonts w:ascii="Arial" w:hAnsi="Arial" w:cs="Arial"/>
          <w:sz w:val="24"/>
          <w:szCs w:val="24"/>
        </w:rPr>
        <w:t xml:space="preserve">, consultable en el Semanario Judicial de la Federación y su gaceta, Libro 15, Febrero de 2015, Tomo II, Página 1689, con número de Registro 2008559 de rubro siguiente: </w:t>
      </w:r>
      <w:r w:rsidRPr="00923C09">
        <w:rPr>
          <w:rFonts w:ascii="Arial" w:hAnsi="Arial" w:cs="Arial"/>
          <w:i/>
          <w:iCs/>
          <w:sz w:val="24"/>
          <w:szCs w:val="24"/>
        </w:rPr>
        <w:t>“NULIDAD DE RESOLUCIONES O ACTOS DERIVADOS DEL EJERCICIO DE FACULTADES DISCRECIONALES. LA DECRETADA POR VICIOS DE FORMA DEBE SER PARA EFECTOS”.</w:t>
      </w:r>
    </w:p>
    <w:p w:rsidR="00BB275F" w:rsidRDefault="00BB275F" w:rsidP="00BB275F">
      <w:pPr>
        <w:spacing w:line="360" w:lineRule="auto"/>
        <w:ind w:firstLine="709"/>
        <w:contextualSpacing/>
        <w:jc w:val="both"/>
        <w:rPr>
          <w:rFonts w:ascii="Arial" w:hAnsi="Arial" w:cs="Arial"/>
          <w:b/>
          <w:bCs/>
          <w:i/>
          <w:iCs/>
          <w:sz w:val="24"/>
          <w:szCs w:val="24"/>
        </w:rPr>
      </w:pPr>
      <w:bookmarkStart w:id="5" w:name="_GoBack"/>
      <w:bookmarkEnd w:id="5"/>
    </w:p>
    <w:p w:rsidR="00BB275F" w:rsidRPr="007B0581" w:rsidRDefault="00BB275F" w:rsidP="00BB275F">
      <w:pPr>
        <w:spacing w:line="360" w:lineRule="auto"/>
        <w:ind w:firstLine="708"/>
        <w:jc w:val="both"/>
        <w:rPr>
          <w:rFonts w:ascii="Arial" w:hAnsi="Arial" w:cs="Arial"/>
          <w:color w:val="FF0000"/>
          <w:sz w:val="24"/>
          <w:szCs w:val="24"/>
        </w:rPr>
      </w:pPr>
      <w:r w:rsidRPr="00370AF4">
        <w:rPr>
          <w:rFonts w:ascii="Arial" w:hAnsi="Arial" w:cs="Arial"/>
          <w:bCs/>
          <w:color w:val="000000"/>
          <w:sz w:val="24"/>
          <w:szCs w:val="24"/>
        </w:rPr>
        <w:t>Cabe</w:t>
      </w:r>
      <w:r w:rsidRPr="009761C8">
        <w:rPr>
          <w:rFonts w:ascii="Arial" w:hAnsi="Arial" w:cs="Arial"/>
          <w:bCs/>
          <w:color w:val="000000"/>
          <w:sz w:val="24"/>
          <w:szCs w:val="24"/>
        </w:rPr>
        <w:t xml:space="preserv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formulados por </w:t>
      </w:r>
      <w:r>
        <w:rPr>
          <w:rFonts w:ascii="Arial" w:hAnsi="Arial" w:cs="Arial"/>
          <w:bCs/>
          <w:color w:val="000000"/>
          <w:sz w:val="24"/>
          <w:szCs w:val="24"/>
        </w:rPr>
        <w:t>la parte</w:t>
      </w:r>
      <w:r w:rsidRPr="009761C8">
        <w:rPr>
          <w:rFonts w:ascii="Arial" w:hAnsi="Arial" w:cs="Arial"/>
          <w:bCs/>
          <w:color w:val="000000"/>
          <w:sz w:val="24"/>
          <w:szCs w:val="24"/>
        </w:rPr>
        <w:t xml:space="preserve"> actor</w:t>
      </w:r>
      <w:r>
        <w:rPr>
          <w:rFonts w:ascii="Arial" w:hAnsi="Arial" w:cs="Arial"/>
          <w:bCs/>
          <w:color w:val="000000"/>
          <w:sz w:val="24"/>
          <w:szCs w:val="24"/>
        </w:rPr>
        <w:t>a</w:t>
      </w:r>
      <w:r w:rsidRPr="009761C8">
        <w:rPr>
          <w:rFonts w:ascii="Arial" w:hAnsi="Arial" w:cs="Arial"/>
          <w:bCs/>
          <w:color w:val="000000"/>
          <w:sz w:val="24"/>
          <w:szCs w:val="24"/>
        </w:rPr>
        <w:t>,</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del mismo, pretensión principal de</w:t>
      </w:r>
      <w:r>
        <w:rPr>
          <w:rFonts w:ascii="Arial" w:hAnsi="Arial" w:cs="Arial"/>
          <w:bCs/>
          <w:color w:val="000000"/>
          <w:sz w:val="24"/>
          <w:szCs w:val="24"/>
        </w:rPr>
        <w:t>l</w:t>
      </w:r>
      <w:r w:rsidRPr="009761C8">
        <w:rPr>
          <w:rFonts w:ascii="Arial" w:hAnsi="Arial" w:cs="Arial"/>
          <w:bCs/>
          <w:color w:val="000000"/>
          <w:sz w:val="24"/>
          <w:szCs w:val="24"/>
        </w:rPr>
        <w:t xml:space="preserve">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w:t>
      </w:r>
      <w:r w:rsidRPr="00923C09">
        <w:rPr>
          <w:rFonts w:ascii="Arial" w:hAnsi="Arial" w:cs="Arial"/>
          <w:b/>
          <w:bCs/>
          <w:i/>
          <w:iCs/>
          <w:sz w:val="24"/>
          <w:szCs w:val="24"/>
        </w:rPr>
        <w:t>“SENTENCIAS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r>
        <w:rPr>
          <w:rFonts w:ascii="Arial" w:hAnsi="Arial" w:cs="Arial"/>
          <w:b/>
          <w:bCs/>
          <w:sz w:val="24"/>
          <w:szCs w:val="24"/>
        </w:rPr>
        <w:t>.</w:t>
      </w:r>
    </w:p>
    <w:p w:rsidR="00BB275F" w:rsidRDefault="00BB275F" w:rsidP="00BB275F">
      <w:pPr>
        <w:spacing w:line="360" w:lineRule="auto"/>
        <w:ind w:firstLine="709"/>
        <w:contextualSpacing/>
        <w:jc w:val="both"/>
        <w:rPr>
          <w:rFonts w:ascii="Arial" w:hAnsi="Arial" w:cs="Arial"/>
          <w:b/>
          <w:bCs/>
          <w:i/>
          <w:iCs/>
          <w:sz w:val="24"/>
          <w:szCs w:val="24"/>
        </w:rPr>
      </w:pPr>
    </w:p>
    <w:p w:rsidR="00BB275F" w:rsidRPr="007B0581" w:rsidRDefault="00BB275F" w:rsidP="00BB275F">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w:t>
      </w:r>
      <w:r w:rsidRPr="007B0581">
        <w:rPr>
          <w:rFonts w:ascii="Arial" w:hAnsi="Arial" w:cs="Arial"/>
          <w:sz w:val="24"/>
          <w:szCs w:val="24"/>
        </w:rPr>
        <w:lastRenderedPageBreak/>
        <w:t>identificables, procurándose que no se impida conocer el criterio sostenido por este órgano jurisdiccional.</w:t>
      </w:r>
    </w:p>
    <w:p w:rsidR="00BB275F" w:rsidRDefault="00BB275F" w:rsidP="00BB275F">
      <w:pPr>
        <w:spacing w:line="360" w:lineRule="auto"/>
        <w:ind w:firstLine="708"/>
        <w:jc w:val="both"/>
        <w:rPr>
          <w:rFonts w:ascii="Arial" w:eastAsia="Calibri" w:hAnsi="Arial" w:cs="Arial"/>
          <w:color w:val="000000"/>
          <w:sz w:val="24"/>
          <w:szCs w:val="24"/>
          <w:lang w:val="es-MX" w:eastAsia="en-US"/>
        </w:rPr>
      </w:pPr>
    </w:p>
    <w:p w:rsidR="00BB275F" w:rsidRDefault="00BB275F" w:rsidP="00BB275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BB275F" w:rsidRPr="007B0581" w:rsidRDefault="00BB275F" w:rsidP="00BB275F">
      <w:pPr>
        <w:spacing w:line="360" w:lineRule="auto"/>
        <w:ind w:firstLine="708"/>
        <w:jc w:val="both"/>
        <w:rPr>
          <w:rFonts w:ascii="Arial" w:eastAsia="Calibri" w:hAnsi="Arial" w:cs="Arial"/>
          <w:color w:val="000000"/>
          <w:sz w:val="24"/>
          <w:szCs w:val="24"/>
          <w:lang w:val="es-MX" w:eastAsia="en-US"/>
        </w:rPr>
      </w:pPr>
    </w:p>
    <w:p w:rsidR="00BB275F" w:rsidRPr="007B0581" w:rsidRDefault="00BB275F" w:rsidP="00BB275F">
      <w:pPr>
        <w:spacing w:line="360" w:lineRule="auto"/>
        <w:ind w:firstLine="708"/>
        <w:jc w:val="both"/>
        <w:rPr>
          <w:rFonts w:ascii="Arial" w:eastAsia="Calibri" w:hAnsi="Arial" w:cs="Arial"/>
          <w:color w:val="000000"/>
          <w:sz w:val="24"/>
          <w:szCs w:val="24"/>
          <w:lang w:val="es-MX" w:eastAsia="en-US"/>
        </w:rPr>
      </w:pPr>
    </w:p>
    <w:p w:rsidR="00BB275F" w:rsidRDefault="00BB275F" w:rsidP="00BB275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BB275F" w:rsidRPr="007B0581" w:rsidRDefault="00BB275F" w:rsidP="00BB275F">
      <w:pPr>
        <w:tabs>
          <w:tab w:val="left" w:pos="3932"/>
        </w:tabs>
        <w:jc w:val="both"/>
        <w:rPr>
          <w:rFonts w:ascii="Arial" w:hAnsi="Arial" w:cs="Arial"/>
          <w:b/>
          <w:sz w:val="24"/>
          <w:szCs w:val="24"/>
        </w:rPr>
      </w:pPr>
    </w:p>
    <w:p w:rsidR="00BB275F" w:rsidRPr="007B0581" w:rsidRDefault="00BB275F" w:rsidP="00BB275F">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BB275F" w:rsidRPr="007B0581" w:rsidRDefault="00BB275F" w:rsidP="00BB275F">
      <w:pPr>
        <w:pStyle w:val="Textoindependiente"/>
        <w:ind w:firstLine="709"/>
        <w:contextualSpacing/>
        <w:jc w:val="both"/>
        <w:rPr>
          <w:rFonts w:ascii="Arial" w:hAnsi="Arial" w:cs="Arial"/>
          <w:b/>
          <w:sz w:val="24"/>
          <w:szCs w:val="24"/>
        </w:rPr>
      </w:pPr>
    </w:p>
    <w:p w:rsidR="00BB275F" w:rsidRPr="007B0581" w:rsidRDefault="00BB275F" w:rsidP="00BB275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BB275F" w:rsidRDefault="00BB275F" w:rsidP="00BB275F">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DE6826">
        <w:rPr>
          <w:rFonts w:ascii="Arial" w:eastAsia="Calibri" w:hAnsi="Arial" w:cs="Arial"/>
          <w:b/>
          <w:bCs/>
          <w:color w:val="000000"/>
          <w:sz w:val="24"/>
          <w:szCs w:val="24"/>
          <w:lang w:val="es-MX" w:eastAsia="en-US"/>
        </w:rPr>
        <w:t>SE SOBRESEE</w:t>
      </w:r>
      <w:r>
        <w:rPr>
          <w:rFonts w:ascii="Arial" w:eastAsia="Calibri" w:hAnsi="Arial" w:cs="Arial"/>
          <w:b/>
          <w:bCs/>
          <w:color w:val="000000"/>
          <w:sz w:val="24"/>
          <w:szCs w:val="24"/>
          <w:lang w:val="es-MX" w:eastAsia="en-US"/>
        </w:rPr>
        <w:t xml:space="preserve"> </w:t>
      </w:r>
      <w:r w:rsidRPr="002953D9">
        <w:rPr>
          <w:rFonts w:ascii="Arial" w:eastAsia="Calibri" w:hAnsi="Arial" w:cs="Arial"/>
          <w:color w:val="000000"/>
          <w:sz w:val="24"/>
          <w:szCs w:val="24"/>
          <w:lang w:val="es-MX" w:eastAsia="en-US"/>
        </w:rPr>
        <w:t>únicamente respecto de</w:t>
      </w:r>
      <w:r>
        <w:rPr>
          <w:rFonts w:ascii="Arial" w:eastAsia="Calibri" w:hAnsi="Arial" w:cs="Arial"/>
          <w:color w:val="000000"/>
          <w:sz w:val="24"/>
          <w:szCs w:val="24"/>
          <w:lang w:val="es-MX" w:eastAsia="en-US"/>
        </w:rPr>
        <w:t xml:space="preserve"> </w:t>
      </w:r>
      <w:r w:rsidRPr="002953D9">
        <w:rPr>
          <w:rFonts w:ascii="Arial" w:eastAsia="Calibri" w:hAnsi="Arial" w:cs="Arial"/>
          <w:color w:val="000000"/>
          <w:sz w:val="24"/>
          <w:szCs w:val="24"/>
          <w:lang w:val="es-MX" w:eastAsia="en-US"/>
        </w:rPr>
        <w:t>l</w:t>
      </w:r>
      <w:r>
        <w:rPr>
          <w:rFonts w:ascii="Arial" w:eastAsia="Calibri" w:hAnsi="Arial" w:cs="Arial"/>
          <w:color w:val="000000"/>
          <w:sz w:val="24"/>
          <w:szCs w:val="24"/>
          <w:lang w:val="es-MX" w:eastAsia="en-US"/>
        </w:rPr>
        <w:t xml:space="preserve">as autoridades demandadas, </w:t>
      </w:r>
      <w:r>
        <w:rPr>
          <w:rFonts w:ascii="Arial" w:hAnsi="Arial" w:cs="Arial"/>
          <w:sz w:val="24"/>
          <w:szCs w:val="24"/>
        </w:rPr>
        <w:t>Secretario de Finanzas y Director de Ingresos y Recaudación de la Secretaría de Finanzas del Gobierno del Estado de Oaxaca</w:t>
      </w:r>
      <w:r w:rsidRPr="007B0581">
        <w:rPr>
          <w:rFonts w:ascii="Arial" w:eastAsia="Calibri" w:hAnsi="Arial" w:cs="Arial"/>
          <w:color w:val="000000"/>
          <w:sz w:val="24"/>
          <w:szCs w:val="24"/>
          <w:lang w:val="es-MX" w:eastAsia="en-US"/>
        </w:rPr>
        <w:t>.</w:t>
      </w:r>
    </w:p>
    <w:p w:rsidR="00BB275F" w:rsidRDefault="00BB275F" w:rsidP="00BB275F">
      <w:pPr>
        <w:spacing w:line="360" w:lineRule="auto"/>
        <w:ind w:right="51" w:firstLine="567"/>
        <w:contextualSpacing/>
        <w:jc w:val="both"/>
        <w:rPr>
          <w:rFonts w:ascii="Arial" w:eastAsia="Calibri" w:hAnsi="Arial" w:cs="Arial"/>
          <w:color w:val="000000"/>
          <w:sz w:val="24"/>
          <w:szCs w:val="24"/>
          <w:lang w:val="es-MX" w:eastAsia="en-US"/>
        </w:rPr>
      </w:pPr>
    </w:p>
    <w:p w:rsidR="00BB275F" w:rsidRPr="007B0581" w:rsidRDefault="00BB275F" w:rsidP="00BB275F">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BB5812">
        <w:rPr>
          <w:rFonts w:ascii="Arial" w:hAnsi="Arial" w:cs="Arial"/>
          <w:b/>
          <w:sz w:val="24"/>
          <w:szCs w:val="24"/>
        </w:rPr>
        <w:t xml:space="preserve"> </w:t>
      </w:r>
      <w:r w:rsidRPr="00A84B6D">
        <w:rPr>
          <w:rFonts w:ascii="Arial" w:hAnsi="Arial" w:cs="Arial"/>
          <w:sz w:val="24"/>
          <w:szCs w:val="24"/>
        </w:rPr>
        <w:t>d</w:t>
      </w:r>
      <w:r>
        <w:rPr>
          <w:rFonts w:ascii="Arial" w:hAnsi="Arial" w:cs="Arial"/>
          <w:sz w:val="24"/>
          <w:szCs w:val="24"/>
        </w:rPr>
        <w:t xml:space="preserve">e la resolución contenida en el oficio </w:t>
      </w:r>
      <w:r>
        <w:rPr>
          <w:rFonts w:cs="Arial"/>
          <w:b/>
          <w:sz w:val="24"/>
          <w:szCs w:val="24"/>
        </w:rPr>
        <w:t>**********</w:t>
      </w:r>
      <w:r>
        <w:rPr>
          <w:rFonts w:cs="Arial"/>
          <w:b/>
          <w:sz w:val="24"/>
          <w:szCs w:val="24"/>
        </w:rPr>
        <w:t xml:space="preserve"> </w:t>
      </w:r>
      <w:r>
        <w:rPr>
          <w:rFonts w:ascii="Arial" w:hAnsi="Arial" w:cs="Arial"/>
          <w:sz w:val="24"/>
          <w:szCs w:val="24"/>
        </w:rPr>
        <w:t>de veintisiete de marzo de dos mil veinte, emitida por el Director de lo Contencioso de la Procuraduría Fiscal de la Secretaría de Finanzas del Poder Ejecutivo del Estado de Oaxaca</w:t>
      </w:r>
      <w:r>
        <w:rPr>
          <w:rFonts w:ascii="Arial" w:hAnsi="Arial" w:cs="Arial"/>
          <w:bCs/>
          <w:sz w:val="24"/>
          <w:szCs w:val="24"/>
        </w:rPr>
        <w:t>,</w:t>
      </w:r>
      <w:r w:rsidRPr="00BB5812">
        <w:rPr>
          <w:rFonts w:ascii="Arial" w:hAnsi="Arial" w:cs="Arial"/>
          <w:bCs/>
          <w:sz w:val="24"/>
          <w:szCs w:val="24"/>
        </w:rPr>
        <w:t xml:space="preserve"> </w:t>
      </w:r>
      <w:r w:rsidRPr="007B0581">
        <w:rPr>
          <w:rFonts w:ascii="Arial" w:hAnsi="Arial" w:cs="Arial"/>
          <w:b/>
          <w:bCs/>
          <w:sz w:val="24"/>
          <w:szCs w:val="24"/>
        </w:rPr>
        <w:t xml:space="preserve">PARA EL EFECTO </w:t>
      </w:r>
      <w:r w:rsidRPr="007B0581">
        <w:rPr>
          <w:rFonts w:ascii="Arial" w:hAnsi="Arial" w:cs="Arial"/>
          <w:sz w:val="24"/>
          <w:szCs w:val="24"/>
        </w:rPr>
        <w:t>de que dicte otr</w:t>
      </w:r>
      <w:r>
        <w:rPr>
          <w:rFonts w:ascii="Arial" w:hAnsi="Arial" w:cs="Arial"/>
          <w:sz w:val="24"/>
          <w:szCs w:val="24"/>
        </w:rPr>
        <w:t>a</w:t>
      </w:r>
      <w:r w:rsidRPr="007B0581">
        <w:rPr>
          <w:rFonts w:ascii="Arial" w:hAnsi="Arial" w:cs="Arial"/>
          <w:sz w:val="24"/>
          <w:szCs w:val="24"/>
        </w:rPr>
        <w:t xml:space="preserve"> en los términos indicados en el considerando CUARTO de la presente sentencia</w:t>
      </w:r>
      <w:r>
        <w:rPr>
          <w:rFonts w:ascii="Arial" w:hAnsi="Arial" w:cs="Arial"/>
          <w:bCs/>
          <w:sz w:val="24"/>
          <w:szCs w:val="24"/>
        </w:rPr>
        <w:t>.</w:t>
      </w:r>
    </w:p>
    <w:p w:rsidR="00BB275F" w:rsidRDefault="00BB275F" w:rsidP="00BB275F">
      <w:pPr>
        <w:spacing w:line="360" w:lineRule="auto"/>
        <w:ind w:right="51" w:firstLine="567"/>
        <w:jc w:val="both"/>
        <w:rPr>
          <w:rFonts w:ascii="Arial" w:hAnsi="Arial" w:cs="Arial"/>
          <w:sz w:val="24"/>
          <w:szCs w:val="24"/>
        </w:rPr>
      </w:pPr>
    </w:p>
    <w:p w:rsidR="00BB275F" w:rsidRDefault="00BB275F" w:rsidP="00BB275F">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w:t>
      </w:r>
      <w:r w:rsidRPr="007B0581">
        <w:rPr>
          <w:rFonts w:ascii="Arial" w:eastAsia="Calibri" w:hAnsi="Arial" w:cs="Arial"/>
          <w:b/>
          <w:color w:val="000000"/>
          <w:sz w:val="24"/>
          <w:szCs w:val="24"/>
          <w:lang w:val="es-MX" w:eastAsia="en-US"/>
        </w:rPr>
        <w:t>CÚMPLASE.</w:t>
      </w:r>
    </w:p>
    <w:p w:rsidR="00BB275F" w:rsidRDefault="00BB275F" w:rsidP="00BB275F">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75F" w:rsidRDefault="00BB275F" w:rsidP="00BB275F">
      <w:r>
        <w:separator/>
      </w:r>
    </w:p>
  </w:endnote>
  <w:endnote w:type="continuationSeparator" w:id="0">
    <w:p w:rsidR="00BB275F" w:rsidRDefault="00BB275F" w:rsidP="00BB2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21657A">
        <w:pPr>
          <w:pStyle w:val="Piedepgina"/>
          <w:jc w:val="center"/>
        </w:pPr>
        <w:r>
          <w:fldChar w:fldCharType="begin"/>
        </w:r>
        <w:r>
          <w:instrText>PAGE   \* MERGEFORMAT</w:instrText>
        </w:r>
        <w:r>
          <w:fldChar w:fldCharType="separate"/>
        </w:r>
        <w:r>
          <w:rPr>
            <w:noProof/>
          </w:rPr>
          <w:t>7</w:t>
        </w:r>
        <w:r>
          <w:fldChar w:fldCharType="end"/>
        </w:r>
      </w:p>
    </w:sdtContent>
  </w:sdt>
  <w:p w:rsidR="009525A3" w:rsidRDefault="0021657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275F" w:rsidRDefault="00BB275F">
    <w:pPr>
      <w:pStyle w:val="Piedepgina"/>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4C7CC60F" wp14:editId="69C71C7E">
              <wp:simplePos x="0" y="0"/>
              <wp:positionH relativeFrom="leftMargin">
                <wp:posOffset>247939</wp:posOffset>
              </wp:positionH>
              <wp:positionV relativeFrom="paragraph">
                <wp:posOffset>-4226246</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B275F" w:rsidRDefault="00BB275F" w:rsidP="00BB275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7CC60F" id="_x0000_t202" coordsize="21600,21600" o:spt="202" path="m,l,21600r21600,l21600,xe">
              <v:stroke joinstyle="miter"/>
              <v:path gradientshapeok="t" o:connecttype="rect"/>
            </v:shapetype>
            <v:shape id="Cuadro de texto 5" o:spid="_x0000_s1027" type="#_x0000_t202" style="position:absolute;margin-left:19.5pt;margin-top:-332.8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B3Fs/G4QAAAAwBAAAPAAAAZHJzL2Rv&#10;d25yZXYueG1sTI/BTsMwDIbvSLxDZCQuaEtpR+hK0wkhgeAGA8E1a7K2InFKknXl7TEnONr+9fv7&#10;6s3sLJtMiINHCZfLDJjB1usBOwlvr/eLElhMCrWyHo2EbxNh05ye1KrS/ogvZtqmjlEJxkpJ6FMa&#10;K85j2xun4tKPBum298GpRGPouA7qSOXO8jzLBHdqQPrQq9Hc9ab93B6chHL1OH3Ep+L5vRV7u04X&#10;19PDV5Dy/Gy+vQGWzJz+wvCLT+jQENPOH1BHZiUUa1JJEhZCXAlglMizgmR2tFrlpQDe1Py/RPMD&#10;AAD//wMAUEsBAi0AFAAGAAgAAAAhALaDOJL+AAAA4QEAABMAAAAAAAAAAAAAAAAAAAAAAFtDb250&#10;ZW50X1R5cGVzXS54bWxQSwECLQAUAAYACAAAACEAOP0h/9YAAACUAQAACwAAAAAAAAAAAAAAAAAv&#10;AQAAX3JlbHMvLnJlbHNQSwECLQAUAAYACAAAACEAvbLecy8CAABYBAAADgAAAAAAAAAAAAAAAAAu&#10;AgAAZHJzL2Uyb0RvYy54bWxQSwECLQAUAAYACAAAACEAdxbPxuEAAAAMAQAADwAAAAAAAAAAAAAA&#10;AACJBAAAZHJzL2Rvd25yZXYueG1sUEsFBgAAAAAEAAQA8wAAAJcFAAAAAA==&#10;">
              <v:textbox>
                <w:txbxContent>
                  <w:p w:rsidR="00BB275F" w:rsidRDefault="00BB275F" w:rsidP="00BB275F">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75F" w:rsidRDefault="00BB275F" w:rsidP="00BB275F">
      <w:r>
        <w:separator/>
      </w:r>
    </w:p>
  </w:footnote>
  <w:footnote w:type="continuationSeparator" w:id="0">
    <w:p w:rsidR="00BB275F" w:rsidRDefault="00BB275F" w:rsidP="00BB27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BB275F"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7B469969" wp14:editId="5E78426F">
              <wp:simplePos x="0" y="0"/>
              <wp:positionH relativeFrom="leftMargin">
                <wp:posOffset>236413</wp:posOffset>
              </wp:positionH>
              <wp:positionV relativeFrom="paragraph">
                <wp:posOffset>4281419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BB275F" w:rsidRDefault="00BB275F" w:rsidP="00BB275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469969" id="_x0000_t202" coordsize="21600,21600" o:spt="202" path="m,l,21600r21600,l21600,xe">
              <v:stroke joinstyle="miter"/>
              <v:path gradientshapeok="t" o:connecttype="rect"/>
            </v:shapetype>
            <v:shape id="Cuadro de texto 4" o:spid="_x0000_s1026" type="#_x0000_t202" style="position:absolute;left:0;text-align:left;margin-left:18.6pt;margin-top:337.1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TBoMAIAAF8EAAAOAAAAZHJzL2Uyb0RvYy54bWysVFFv0zAQfkfiP1h+Z0mrdK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bVeXVBLkG+2aKslossYQH103PnQ/ygsGfp0nBP&#10;E5DhYX8XYioH6qeQlC2g0fJWG5MNv92sjWd7oGm5zV/u4EWYsWxo+HIxX0wM/BWizN+fIHodaeyN&#10;7ht+cQyCOvH23so8lBG0me5UsrEHIhN3E4tx3IxZuMxyInmD8pGY9ThNOW0lXTr0PzkbaMIbHn7s&#10;wCvOzEdL6ixnVZVWIhvV4u2cDH/q2Zx6wAqCanjkbLqu47RGO+f1tqNM0zxYvCZFW525fq7qUD5N&#10;cZbgsHFpTU7tHPX8v7D6BQAA//8DAFBLAwQUAAYACAAAACEA+Ap3pOAAAAAKAQAADwAAAGRycy9k&#10;b3ducmV2LnhtbEyPy07DMBBF90j8gzVIbBB14lZJGzKpEBIIdlAQbN3YTSL8CLabhr9nWMFuRnN0&#10;59x6O1vDJh3i4B1CvsiAadd6NbgO4e31/noNLCbplDTeaYRvHWHbnJ/VslL+5F70tEsdoxAXK4nQ&#10;pzRWnMe211bGhR+1o9vBBysTraHjKsgThVvDRZYV3MrB0Ydejvqu1+3n7mgR1qvH6SM+LZ/f2+Jg&#10;NumqnB6+AuLlxXx7AyzpOf3B8KtP6tCQ094fnYrMICxLQSRCUa5oIEBkgsrtETZ5LoA3Nf9fofkB&#10;AAD//wMAUEsBAi0AFAAGAAgAAAAhALaDOJL+AAAA4QEAABMAAAAAAAAAAAAAAAAAAAAAAFtDb250&#10;ZW50X1R5cGVzXS54bWxQSwECLQAUAAYACAAAACEAOP0h/9YAAACUAQAACwAAAAAAAAAAAAAAAAAv&#10;AQAAX3JlbHMvLnJlbHNQSwECLQAUAAYACAAAACEAri0waDACAABfBAAADgAAAAAAAAAAAAAAAAAu&#10;AgAAZHJzL2Uyb0RvYy54bWxQSwECLQAUAAYACAAAACEA+Ap3pOAAAAAKAQAADwAAAAAAAAAAAAAA&#10;AACKBAAAZHJzL2Rvd25yZXYueG1sUEsFBgAAAAAEAAQA8wAAAJcFAAAAAA==&#10;">
              <v:textbox>
                <w:txbxContent>
                  <w:p w:rsidR="00BB275F" w:rsidRDefault="00BB275F" w:rsidP="00BB275F">
                    <w:pPr>
                      <w:jc w:val="center"/>
                    </w:pPr>
                    <w:r>
                      <w:t>DATOS PERSONALES PROTEGIDOS POR EL ART.- 116 DE LA LGTAIP Y EL ART.- 61 DE LA LTAIPEO</w:t>
                    </w:r>
                  </w:p>
                </w:txbxContent>
              </v:textbox>
              <w10:wrap anchorx="margin"/>
            </v:shape>
          </w:pict>
        </mc:Fallback>
      </mc:AlternateContent>
    </w:r>
    <w:r w:rsidR="0021657A" w:rsidRPr="00A73AD7">
      <w:rPr>
        <w:rFonts w:ascii="Arial" w:hAnsi="Arial" w:cs="Arial"/>
        <w:noProof/>
        <w:sz w:val="18"/>
        <w:szCs w:val="18"/>
        <w:lang w:val="es-MX"/>
      </w:rPr>
      <w:drawing>
        <wp:anchor distT="0" distB="0" distL="114300" distR="114300" simplePos="0" relativeHeight="251659264" behindDoc="1" locked="0" layoutInCell="1" allowOverlap="1" wp14:anchorId="7D94D6DF" wp14:editId="5204331B">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657A">
      <w:rPr>
        <w:rFonts w:ascii="Arial" w:hAnsi="Arial" w:cs="Arial"/>
      </w:rPr>
      <w:t>00</w:t>
    </w:r>
    <w:r w:rsidR="0021657A">
      <w:rPr>
        <w:rFonts w:ascii="Arial" w:hAnsi="Arial" w:cs="Arial"/>
      </w:rPr>
      <w:t>2</w:t>
    </w:r>
    <w:r w:rsidR="0021657A">
      <w:rPr>
        <w:rFonts w:ascii="Arial" w:hAnsi="Arial" w:cs="Arial"/>
      </w:rPr>
      <w:t>6</w:t>
    </w:r>
    <w:r w:rsidR="0021657A" w:rsidRPr="00A73AD7">
      <w:rPr>
        <w:rFonts w:ascii="Arial" w:hAnsi="Arial" w:cs="Arial"/>
      </w:rPr>
      <w:t>/20</w:t>
    </w:r>
    <w:r w:rsidR="0021657A">
      <w:rPr>
        <w:rFonts w:ascii="Arial" w:hAnsi="Arial" w:cs="Arial"/>
      </w:rPr>
      <w:t>2</w:t>
    </w:r>
    <w:r w:rsidR="0021657A">
      <w:rPr>
        <w:rFonts w:ascii="Arial" w:hAnsi="Arial" w:cs="Arial"/>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21657A">
    <w:pPr>
      <w:pStyle w:val="Encabezado"/>
    </w:pPr>
    <w:r>
      <w:rPr>
        <w:noProof/>
        <w:lang w:val="es-MX"/>
      </w:rPr>
      <w:drawing>
        <wp:anchor distT="0" distB="0" distL="114300" distR="114300" simplePos="0" relativeHeight="251661312" behindDoc="1" locked="0" layoutInCell="1" allowOverlap="1" wp14:anchorId="0B4BE5DE" wp14:editId="79BE23F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E762B39" wp14:editId="6664EC9E">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75F"/>
    <w:rsid w:val="0021657A"/>
    <w:rsid w:val="00294EC6"/>
    <w:rsid w:val="004B1DB0"/>
    <w:rsid w:val="005223BF"/>
    <w:rsid w:val="00685BC3"/>
    <w:rsid w:val="00AC77AC"/>
    <w:rsid w:val="00BB27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5028D8A-EC81-488A-AE96-C2914D564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75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BB275F"/>
    <w:pPr>
      <w:spacing w:after="120"/>
    </w:pPr>
    <w:rPr>
      <w:lang w:val="x-none"/>
    </w:rPr>
  </w:style>
  <w:style w:type="character" w:customStyle="1" w:styleId="TextoindependienteCar">
    <w:name w:val="Texto independiente Car"/>
    <w:basedOn w:val="Fuentedeprrafopredeter"/>
    <w:link w:val="Textoindependiente"/>
    <w:uiPriority w:val="99"/>
    <w:rsid w:val="00BB275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BB275F"/>
    <w:pPr>
      <w:autoSpaceDE w:val="0"/>
      <w:autoSpaceDN w:val="0"/>
    </w:pPr>
    <w:rPr>
      <w:lang w:eastAsia="es-ES"/>
    </w:rPr>
  </w:style>
  <w:style w:type="character" w:customStyle="1" w:styleId="TextonotapieCar">
    <w:name w:val="Texto nota pie Car"/>
    <w:basedOn w:val="Fuentedeprrafopredeter"/>
    <w:link w:val="Textonotapie"/>
    <w:uiPriority w:val="99"/>
    <w:rsid w:val="00BB275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BB275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BB275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BB275F"/>
    <w:pPr>
      <w:tabs>
        <w:tab w:val="center" w:pos="4419"/>
        <w:tab w:val="right" w:pos="8838"/>
      </w:tabs>
    </w:pPr>
  </w:style>
  <w:style w:type="character" w:customStyle="1" w:styleId="EncabezadoCar">
    <w:name w:val="Encabezado Car"/>
    <w:basedOn w:val="Fuentedeprrafopredeter"/>
    <w:link w:val="Encabezado"/>
    <w:uiPriority w:val="99"/>
    <w:rsid w:val="00BB275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BB275F"/>
    <w:pPr>
      <w:tabs>
        <w:tab w:val="center" w:pos="4419"/>
        <w:tab w:val="right" w:pos="8838"/>
      </w:tabs>
    </w:pPr>
  </w:style>
  <w:style w:type="character" w:customStyle="1" w:styleId="PiedepginaCar">
    <w:name w:val="Pie de página Car"/>
    <w:basedOn w:val="Fuentedeprrafopredeter"/>
    <w:link w:val="Piedepgina"/>
    <w:uiPriority w:val="99"/>
    <w:rsid w:val="00BB275F"/>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258"/>
    <w:rsid w:val="005E32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905A67E1A6A4A338E50C7CC40628DE7">
    <w:name w:val="1905A67E1A6A4A338E50C7CC40628DE7"/>
    <w:rsid w:val="005E32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2464</Words>
  <Characters>13553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2023-07-12T19:53:00Z</dcterms:created>
  <dcterms:modified xsi:type="dcterms:W3CDTF">2023-07-12T20:07:00Z</dcterms:modified>
</cp:coreProperties>
</file>