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FB0D2F">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FB0D2F">
      <w:pPr>
        <w:tabs>
          <w:tab w:val="left" w:pos="6480"/>
        </w:tabs>
        <w:spacing w:after="160" w:line="360" w:lineRule="auto"/>
        <w:jc w:val="right"/>
        <w:rPr>
          <w:rFonts w:ascii="Calibri" w:eastAsia="Calibri" w:hAnsi="Calibri" w:cs="Times New Roman"/>
          <w:sz w:val="24"/>
          <w:szCs w:val="24"/>
          <w:lang w:eastAsia="en-US"/>
        </w:rPr>
      </w:pPr>
    </w:p>
    <w:p w14:paraId="3901E82E" w14:textId="24D98ACD" w:rsidR="007C7A1C" w:rsidRPr="00512412" w:rsidRDefault="007C7A1C" w:rsidP="00FB0D2F">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Oaxaca de Juárez, Oaxaca,</w:t>
      </w:r>
      <w:r w:rsidR="009836A7">
        <w:rPr>
          <w:rFonts w:ascii="Arial" w:eastAsia="Calibri" w:hAnsi="Arial" w:cs="Arial"/>
          <w:b/>
          <w:bCs/>
          <w:sz w:val="24"/>
          <w:szCs w:val="24"/>
          <w:lang w:eastAsia="en-US"/>
        </w:rPr>
        <w:t xml:space="preserve"> a</w:t>
      </w:r>
      <w:r w:rsidR="00A45F47">
        <w:rPr>
          <w:rFonts w:ascii="Arial" w:eastAsia="Calibri" w:hAnsi="Arial" w:cs="Arial"/>
          <w:b/>
          <w:bCs/>
          <w:sz w:val="24"/>
          <w:szCs w:val="24"/>
          <w:lang w:eastAsia="en-US"/>
        </w:rPr>
        <w:t xml:space="preserve"> </w:t>
      </w:r>
      <w:r w:rsidR="00EF024A">
        <w:rPr>
          <w:rFonts w:ascii="Arial" w:eastAsia="Calibri" w:hAnsi="Arial" w:cs="Arial"/>
          <w:b/>
          <w:bCs/>
          <w:sz w:val="24"/>
          <w:szCs w:val="24"/>
          <w:lang w:eastAsia="en-US"/>
        </w:rPr>
        <w:t>31</w:t>
      </w:r>
      <w:r w:rsidR="00A45F47">
        <w:rPr>
          <w:rFonts w:ascii="Arial" w:eastAsia="Calibri" w:hAnsi="Arial" w:cs="Arial"/>
          <w:b/>
          <w:bCs/>
          <w:sz w:val="24"/>
          <w:szCs w:val="24"/>
          <w:lang w:eastAsia="en-US"/>
        </w:rPr>
        <w:t xml:space="preserve"> de mayo</w:t>
      </w:r>
      <w:r w:rsidR="00CA378A">
        <w:rPr>
          <w:rFonts w:ascii="Arial" w:eastAsia="Calibri" w:hAnsi="Arial" w:cs="Arial"/>
          <w:b/>
          <w:bCs/>
          <w:sz w:val="24"/>
          <w:szCs w:val="24"/>
          <w:lang w:eastAsia="en-US"/>
        </w:rPr>
        <w:t xml:space="preserve"> de 2023</w:t>
      </w:r>
      <w:r w:rsidRPr="00512412">
        <w:rPr>
          <w:rFonts w:ascii="Arial" w:eastAsia="Calibri" w:hAnsi="Arial" w:cs="Arial"/>
          <w:b/>
          <w:bCs/>
          <w:sz w:val="24"/>
          <w:szCs w:val="24"/>
          <w:lang w:eastAsia="en-US"/>
        </w:rPr>
        <w:t>.</w:t>
      </w:r>
    </w:p>
    <w:p w14:paraId="19350AAC" w14:textId="77777777" w:rsidR="007C7A1C" w:rsidRPr="00512412" w:rsidRDefault="007C7A1C" w:rsidP="00FB0D2F">
      <w:pPr>
        <w:tabs>
          <w:tab w:val="left" w:pos="6480"/>
        </w:tabs>
        <w:spacing w:after="160" w:line="360" w:lineRule="auto"/>
        <w:rPr>
          <w:rFonts w:ascii="Calibri" w:eastAsia="Calibri" w:hAnsi="Calibri" w:cs="Times New Roman"/>
          <w:sz w:val="24"/>
          <w:szCs w:val="24"/>
          <w:lang w:eastAsia="en-US"/>
        </w:rPr>
      </w:pPr>
    </w:p>
    <w:p w14:paraId="22E739C9" w14:textId="77777777" w:rsidR="007C7A1C" w:rsidRDefault="007C7A1C" w:rsidP="00FB0D2F">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41BB6D2E" w14:textId="77777777" w:rsidR="0067566B" w:rsidRPr="00512412" w:rsidRDefault="0067566B" w:rsidP="00FB0D2F">
      <w:pPr>
        <w:tabs>
          <w:tab w:val="left" w:pos="6480"/>
        </w:tabs>
        <w:spacing w:after="160" w:line="360" w:lineRule="auto"/>
        <w:jc w:val="center"/>
        <w:rPr>
          <w:rFonts w:ascii="Arial" w:eastAsia="Calibri" w:hAnsi="Arial" w:cs="Arial"/>
          <w:b/>
          <w:bCs/>
          <w:sz w:val="24"/>
          <w:szCs w:val="24"/>
          <w:lang w:eastAsia="en-US"/>
        </w:rPr>
      </w:pPr>
    </w:p>
    <w:p w14:paraId="1BA08A92" w14:textId="1FAC25A4" w:rsidR="007C7A1C" w:rsidRDefault="007C7A1C" w:rsidP="00FB0D2F">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1D3B9F">
        <w:rPr>
          <w:rFonts w:ascii="Arial" w:hAnsi="Arial" w:cs="Arial"/>
          <w:b/>
          <w:sz w:val="24"/>
          <w:szCs w:val="24"/>
        </w:rPr>
        <w:t>0026</w:t>
      </w:r>
      <w:r w:rsidRPr="00512412">
        <w:rPr>
          <w:rFonts w:ascii="Arial" w:hAnsi="Arial" w:cs="Arial"/>
          <w:b/>
          <w:sz w:val="24"/>
          <w:szCs w:val="24"/>
        </w:rPr>
        <w:t>/20</w:t>
      </w:r>
      <w:r w:rsidR="007751BD">
        <w:rPr>
          <w:rFonts w:ascii="Arial" w:hAnsi="Arial" w:cs="Arial"/>
          <w:b/>
          <w:sz w:val="24"/>
          <w:szCs w:val="24"/>
        </w:rPr>
        <w:t>2</w:t>
      </w:r>
      <w:r w:rsidR="001D3B9F">
        <w:rPr>
          <w:rFonts w:ascii="Arial" w:hAnsi="Arial" w:cs="Arial"/>
          <w:b/>
          <w:sz w:val="24"/>
          <w:szCs w:val="24"/>
        </w:rPr>
        <w:t>3</w:t>
      </w:r>
      <w:r w:rsidRPr="00512412">
        <w:rPr>
          <w:rFonts w:ascii="Arial" w:hAnsi="Arial" w:cs="Arial"/>
          <w:sz w:val="24"/>
          <w:szCs w:val="24"/>
        </w:rPr>
        <w:t>, promovido por</w:t>
      </w:r>
      <w:r w:rsidRPr="00512412">
        <w:rPr>
          <w:rFonts w:ascii="Arial" w:hAnsi="Arial" w:cs="Arial"/>
          <w:b/>
          <w:sz w:val="24"/>
          <w:szCs w:val="24"/>
        </w:rPr>
        <w:t xml:space="preserve"> </w:t>
      </w:r>
      <w:r w:rsidR="0051153F">
        <w:rPr>
          <w:rFonts w:ascii="Arial" w:hAnsi="Arial" w:cs="Arial"/>
          <w:b/>
          <w:sz w:val="24"/>
          <w:szCs w:val="24"/>
        </w:rPr>
        <w:t>**********</w:t>
      </w:r>
      <w:r w:rsidR="00CA378A">
        <w:rPr>
          <w:rFonts w:ascii="Arial" w:hAnsi="Arial" w:cs="Arial"/>
          <w:b/>
          <w:sz w:val="24"/>
          <w:szCs w:val="24"/>
        </w:rPr>
        <w:tab/>
      </w:r>
      <w:r w:rsidR="007751BD">
        <w:rPr>
          <w:rFonts w:ascii="Arial" w:hAnsi="Arial" w:cs="Arial"/>
          <w:b/>
          <w:sz w:val="24"/>
          <w:szCs w:val="24"/>
        </w:rPr>
        <w:t xml:space="preserve"> </w:t>
      </w:r>
      <w:r w:rsidRPr="00512412">
        <w:rPr>
          <w:rFonts w:ascii="Arial" w:hAnsi="Arial" w:cs="Arial"/>
          <w:sz w:val="24"/>
          <w:szCs w:val="24"/>
        </w:rPr>
        <w:t>en contra de</w:t>
      </w:r>
      <w:r w:rsidR="009836A7">
        <w:rPr>
          <w:rFonts w:ascii="Arial" w:hAnsi="Arial" w:cs="Arial"/>
          <w:sz w:val="24"/>
          <w:szCs w:val="24"/>
        </w:rPr>
        <w:t>l</w:t>
      </w:r>
      <w:r w:rsidR="00CA378A">
        <w:rPr>
          <w:rFonts w:ascii="Arial" w:hAnsi="Arial" w:cs="Arial"/>
          <w:sz w:val="24"/>
          <w:szCs w:val="24"/>
        </w:rPr>
        <w:t xml:space="preserve"> </w:t>
      </w:r>
      <w:r w:rsidR="00C05B4E">
        <w:rPr>
          <w:rFonts w:ascii="Arial" w:hAnsi="Arial" w:cs="Arial"/>
          <w:b/>
          <w:bCs/>
          <w:sz w:val="24"/>
          <w:szCs w:val="24"/>
        </w:rPr>
        <w:t>POLICIA VIAL</w:t>
      </w:r>
      <w:r w:rsidR="00EF024A">
        <w:rPr>
          <w:rFonts w:ascii="Arial" w:hAnsi="Arial" w:cs="Arial"/>
          <w:b/>
          <w:bCs/>
          <w:sz w:val="24"/>
          <w:szCs w:val="24"/>
        </w:rPr>
        <w:t xml:space="preserve"> DEL MUNICIPIO DE SANTA CRUZ XOXOCOTLÁN</w:t>
      </w:r>
      <w:r w:rsidR="009836A7">
        <w:rPr>
          <w:rFonts w:ascii="Arial" w:hAnsi="Arial" w:cs="Arial"/>
          <w:b/>
          <w:bCs/>
          <w:sz w:val="24"/>
          <w:szCs w:val="24"/>
        </w:rPr>
        <w:t>, OAXACA</w:t>
      </w:r>
      <w:r w:rsidR="007751BD">
        <w:rPr>
          <w:rFonts w:ascii="Arial" w:hAnsi="Arial" w:cs="Arial"/>
          <w:b/>
          <w:bCs/>
          <w:sz w:val="24"/>
          <w:szCs w:val="24"/>
        </w:rPr>
        <w:t xml:space="preserve">. </w:t>
      </w:r>
      <w:r w:rsidRPr="00512412">
        <w:rPr>
          <w:rFonts w:ascii="Arial" w:hAnsi="Arial" w:cs="Arial"/>
          <w:b/>
          <w:sz w:val="24"/>
          <w:szCs w:val="24"/>
        </w:rPr>
        <w:t xml:space="preserve"> </w:t>
      </w:r>
    </w:p>
    <w:p w14:paraId="4E584FE8" w14:textId="77777777" w:rsidR="0067566B" w:rsidRDefault="0067566B" w:rsidP="00FB0D2F">
      <w:pPr>
        <w:tabs>
          <w:tab w:val="left" w:pos="284"/>
          <w:tab w:val="left" w:pos="426"/>
          <w:tab w:val="right" w:pos="9072"/>
        </w:tabs>
        <w:spacing w:after="0" w:line="360" w:lineRule="auto"/>
        <w:ind w:right="-234" w:firstLine="567"/>
        <w:jc w:val="both"/>
        <w:rPr>
          <w:rFonts w:ascii="Arial" w:hAnsi="Arial" w:cs="Arial"/>
          <w:b/>
          <w:sz w:val="24"/>
          <w:szCs w:val="24"/>
        </w:rPr>
      </w:pPr>
    </w:p>
    <w:p w14:paraId="475056CC" w14:textId="77777777" w:rsidR="003A730F" w:rsidRDefault="003A730F" w:rsidP="00FB0D2F">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FB0D2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07603486" w:rsidR="003A730F" w:rsidRPr="00512412" w:rsidRDefault="003A730F" w:rsidP="00FB0D2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1D3B9F">
        <w:rPr>
          <w:rFonts w:ascii="Arial" w:eastAsia="Calibri" w:hAnsi="Arial" w:cs="Arial"/>
          <w:sz w:val="24"/>
          <w:szCs w:val="24"/>
          <w:lang w:eastAsia="en-US"/>
        </w:rPr>
        <w:t>veintiuno de marzo de dos mil veintitrés</w:t>
      </w:r>
      <w:r w:rsidR="00513C70">
        <w:rPr>
          <w:rFonts w:ascii="Arial" w:eastAsia="Calibri" w:hAnsi="Arial" w:cs="Arial"/>
          <w:sz w:val="24"/>
          <w:szCs w:val="24"/>
          <w:lang w:eastAsia="en-US"/>
        </w:rPr>
        <w:t xml:space="preserve">, </w:t>
      </w:r>
      <w:r w:rsidR="0051153F">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 xml:space="preserve">la nulidad </w:t>
      </w:r>
      <w:r w:rsidR="009836A7">
        <w:rPr>
          <w:rFonts w:ascii="Arial" w:eastAsia="Calibri" w:hAnsi="Arial" w:cs="Arial"/>
          <w:sz w:val="24"/>
          <w:szCs w:val="24"/>
          <w:lang w:eastAsia="en-US"/>
        </w:rPr>
        <w:t xml:space="preserve">del </w:t>
      </w:r>
      <w:r w:rsidR="00CA378A">
        <w:rPr>
          <w:rFonts w:ascii="Arial" w:eastAsia="Calibri" w:hAnsi="Arial" w:cs="Arial"/>
          <w:sz w:val="24"/>
          <w:szCs w:val="24"/>
          <w:lang w:eastAsia="en-US"/>
        </w:rPr>
        <w:t xml:space="preserve">acta de infracción con número de folio </w:t>
      </w:r>
      <w:r w:rsidR="0051153F">
        <w:rPr>
          <w:rFonts w:ascii="Arial" w:eastAsia="Calibri" w:hAnsi="Arial" w:cs="Arial"/>
          <w:sz w:val="24"/>
          <w:szCs w:val="24"/>
          <w:lang w:eastAsia="en-US"/>
        </w:rPr>
        <w:t>**********</w:t>
      </w:r>
      <w:r w:rsidR="00AE31BC">
        <w:rPr>
          <w:rFonts w:ascii="Arial" w:eastAsia="Calibri" w:hAnsi="Arial" w:cs="Arial"/>
          <w:sz w:val="24"/>
          <w:szCs w:val="24"/>
          <w:lang w:eastAsia="en-US"/>
        </w:rPr>
        <w:t xml:space="preserve"> de fecha </w:t>
      </w:r>
      <w:r w:rsidR="001D3B9F">
        <w:rPr>
          <w:rFonts w:ascii="Arial" w:eastAsia="Calibri" w:hAnsi="Arial" w:cs="Arial"/>
          <w:sz w:val="24"/>
          <w:szCs w:val="24"/>
          <w:lang w:eastAsia="en-US"/>
        </w:rPr>
        <w:t>diecisiete de marzo de dos mil veintitrés</w:t>
      </w:r>
      <w:r w:rsidR="00CA378A">
        <w:rPr>
          <w:rFonts w:ascii="Arial" w:eastAsia="Calibri" w:hAnsi="Arial" w:cs="Arial"/>
          <w:sz w:val="24"/>
          <w:szCs w:val="24"/>
          <w:lang w:eastAsia="en-US"/>
        </w:rPr>
        <w:t xml:space="preserve">, </w:t>
      </w:r>
      <w:r w:rsidRPr="00512412">
        <w:rPr>
          <w:rFonts w:ascii="Arial" w:eastAsia="Calibri" w:hAnsi="Arial" w:cs="Arial"/>
          <w:sz w:val="24"/>
          <w:szCs w:val="24"/>
          <w:lang w:eastAsia="en-US"/>
        </w:rPr>
        <w:t>demanda que por razón de turno tocó conocer a esta Primera Sala Unitaria de Primera Instancia del Tribunal de Justicia Administrativa del Estado.</w:t>
      </w:r>
    </w:p>
    <w:p w14:paraId="2307559A" w14:textId="3DCA0743" w:rsidR="003A730F" w:rsidRDefault="003A730F" w:rsidP="00FB0D2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1D3B9F">
        <w:rPr>
          <w:rFonts w:ascii="Arial" w:eastAsia="Calibri" w:hAnsi="Arial" w:cs="Arial"/>
          <w:sz w:val="24"/>
          <w:szCs w:val="24"/>
          <w:lang w:eastAsia="en-US"/>
        </w:rPr>
        <w:t>veintisiete de marzo de dos mil veintitrés</w:t>
      </w:r>
      <w:r w:rsidR="006C08AA">
        <w:rPr>
          <w:rFonts w:ascii="Arial" w:eastAsia="Calibri" w:hAnsi="Arial" w:cs="Arial"/>
          <w:sz w:val="24"/>
          <w:szCs w:val="24"/>
          <w:lang w:eastAsia="en-US"/>
        </w:rPr>
        <w:t xml:space="preserve"> se </w:t>
      </w:r>
      <w:r w:rsidRPr="00512412">
        <w:rPr>
          <w:rFonts w:ascii="Arial" w:eastAsia="Calibri" w:hAnsi="Arial" w:cs="Arial"/>
          <w:sz w:val="24"/>
          <w:szCs w:val="24"/>
          <w:lang w:eastAsia="en-US"/>
        </w:rPr>
        <w:t xml:space="preserve">admitió </w:t>
      </w:r>
      <w:r w:rsidR="009836A7">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 autorida</w:t>
      </w:r>
      <w:r w:rsidR="001D3B9F">
        <w:rPr>
          <w:rFonts w:ascii="Arial" w:eastAsia="Calibri" w:hAnsi="Arial" w:cs="Arial"/>
          <w:sz w:val="24"/>
          <w:szCs w:val="24"/>
          <w:lang w:eastAsia="en-US"/>
        </w:rPr>
        <w:t>d</w:t>
      </w:r>
      <w:r w:rsidR="00AE31BC">
        <w:rPr>
          <w:rFonts w:ascii="Arial" w:eastAsia="Calibri" w:hAnsi="Arial" w:cs="Arial"/>
          <w:sz w:val="24"/>
          <w:szCs w:val="24"/>
          <w:lang w:eastAsia="en-US"/>
        </w:rPr>
        <w:t xml:space="preserve"> enjuiciada</w:t>
      </w:r>
      <w:r w:rsidR="006C08AA">
        <w:rPr>
          <w:rFonts w:ascii="Arial" w:eastAsia="Calibri" w:hAnsi="Arial" w:cs="Arial"/>
          <w:sz w:val="24"/>
          <w:szCs w:val="24"/>
          <w:lang w:eastAsia="en-US"/>
        </w:rPr>
        <w:t xml:space="preserve">, </w:t>
      </w:r>
      <w:r w:rsidRPr="00512412">
        <w:rPr>
          <w:rFonts w:ascii="Arial" w:eastAsia="Calibri" w:hAnsi="Arial" w:cs="Arial"/>
          <w:sz w:val="24"/>
          <w:szCs w:val="24"/>
          <w:lang w:eastAsia="en-US"/>
        </w:rPr>
        <w:t>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w:t>
      </w:r>
      <w:r w:rsidR="00AE31BC">
        <w:rPr>
          <w:rFonts w:ascii="Arial" w:eastAsia="Calibri" w:hAnsi="Arial" w:cs="Arial"/>
          <w:sz w:val="24"/>
          <w:szCs w:val="24"/>
          <w:lang w:eastAsia="en-US"/>
        </w:rPr>
        <w:t>.</w:t>
      </w:r>
      <w:r w:rsidR="006C08AA">
        <w:rPr>
          <w:rFonts w:ascii="Arial" w:eastAsia="Calibri" w:hAnsi="Arial" w:cs="Arial"/>
          <w:sz w:val="24"/>
          <w:szCs w:val="24"/>
          <w:lang w:eastAsia="en-US"/>
        </w:rPr>
        <w:t xml:space="preserve"> </w:t>
      </w:r>
    </w:p>
    <w:p w14:paraId="3DFA690B" w14:textId="7538CFBC" w:rsidR="0035795D" w:rsidRPr="000606B0" w:rsidRDefault="003A730F" w:rsidP="00FB0D2F">
      <w:pPr>
        <w:spacing w:after="160" w:line="360" w:lineRule="auto"/>
        <w:ind w:firstLine="567"/>
        <w:jc w:val="both"/>
        <w:rPr>
          <w:rFonts w:ascii="Arial" w:eastAsia="Calibri" w:hAnsi="Arial" w:cs="Arial"/>
          <w:sz w:val="24"/>
          <w:szCs w:val="24"/>
          <w:lang w:eastAsia="en-US"/>
        </w:rPr>
      </w:pPr>
      <w:r w:rsidRPr="000606B0">
        <w:rPr>
          <w:rFonts w:ascii="Arial" w:eastAsia="Calibri" w:hAnsi="Arial" w:cs="Arial"/>
          <w:b/>
          <w:bCs/>
          <w:sz w:val="24"/>
          <w:szCs w:val="24"/>
          <w:lang w:eastAsia="en-US"/>
        </w:rPr>
        <w:t>3°.</w:t>
      </w:r>
      <w:r w:rsidRPr="000606B0">
        <w:rPr>
          <w:rFonts w:ascii="Arial" w:eastAsia="Calibri" w:hAnsi="Arial" w:cs="Arial"/>
          <w:sz w:val="24"/>
          <w:szCs w:val="24"/>
          <w:lang w:eastAsia="en-US"/>
        </w:rPr>
        <w:t xml:space="preserve"> </w:t>
      </w:r>
      <w:r w:rsidR="00AE31BC" w:rsidRPr="000606B0">
        <w:rPr>
          <w:rFonts w:ascii="Arial" w:eastAsia="Calibri" w:hAnsi="Arial" w:cs="Arial"/>
          <w:sz w:val="24"/>
          <w:szCs w:val="24"/>
          <w:lang w:eastAsia="en-US"/>
        </w:rPr>
        <w:t>Por acuerdo de</w:t>
      </w:r>
      <w:r w:rsidR="0035795D" w:rsidRPr="000606B0">
        <w:rPr>
          <w:rFonts w:ascii="Arial" w:eastAsia="Calibri" w:hAnsi="Arial" w:cs="Arial"/>
          <w:sz w:val="24"/>
          <w:szCs w:val="24"/>
          <w:lang w:eastAsia="en-US"/>
        </w:rPr>
        <w:t xml:space="preserve"> </w:t>
      </w:r>
      <w:r w:rsidR="001D3B9F" w:rsidRPr="000606B0">
        <w:rPr>
          <w:rFonts w:ascii="Arial" w:eastAsia="Calibri" w:hAnsi="Arial" w:cs="Arial"/>
          <w:sz w:val="24"/>
          <w:szCs w:val="24"/>
          <w:lang w:eastAsia="en-US"/>
        </w:rPr>
        <w:t>veinticinco de abril de dos mil veintitrés</w:t>
      </w:r>
      <w:r w:rsidR="0035795D" w:rsidRPr="000606B0">
        <w:rPr>
          <w:rFonts w:ascii="Arial" w:eastAsia="Calibri" w:hAnsi="Arial" w:cs="Arial"/>
          <w:sz w:val="24"/>
          <w:szCs w:val="24"/>
          <w:lang w:eastAsia="en-US"/>
        </w:rPr>
        <w:t xml:space="preserve"> se tuvo </w:t>
      </w:r>
      <w:r w:rsidR="00EF024A" w:rsidRPr="000606B0">
        <w:rPr>
          <w:rFonts w:ascii="Arial" w:eastAsia="Calibri" w:hAnsi="Arial" w:cs="Arial"/>
          <w:sz w:val="24"/>
          <w:szCs w:val="24"/>
          <w:lang w:eastAsia="en-US"/>
        </w:rPr>
        <w:t xml:space="preserve">por recibidos </w:t>
      </w:r>
      <w:r w:rsidR="001D3B9F" w:rsidRPr="000606B0">
        <w:rPr>
          <w:rFonts w:ascii="Arial" w:eastAsia="Calibri" w:hAnsi="Arial" w:cs="Arial"/>
          <w:sz w:val="24"/>
          <w:szCs w:val="24"/>
          <w:lang w:eastAsia="en-US"/>
        </w:rPr>
        <w:t xml:space="preserve">el oficio CSPVPC/760/2023 por virtud del cual </w:t>
      </w:r>
      <w:r w:rsidR="00EF024A" w:rsidRPr="000606B0">
        <w:rPr>
          <w:rFonts w:ascii="Arial" w:eastAsia="Calibri" w:hAnsi="Arial" w:cs="Arial"/>
          <w:sz w:val="24"/>
          <w:szCs w:val="24"/>
          <w:lang w:eastAsia="en-US"/>
        </w:rPr>
        <w:t xml:space="preserve">el Policía Vial Municipal </w:t>
      </w:r>
      <w:r w:rsidR="009836A7">
        <w:rPr>
          <w:rFonts w:ascii="Arial" w:eastAsia="Calibri" w:hAnsi="Arial" w:cs="Arial"/>
          <w:sz w:val="24"/>
          <w:szCs w:val="24"/>
          <w:lang w:eastAsia="en-US"/>
        </w:rPr>
        <w:t xml:space="preserve"> del </w:t>
      </w:r>
      <w:r w:rsidR="00EF024A" w:rsidRPr="000606B0">
        <w:rPr>
          <w:rFonts w:ascii="Arial" w:eastAsia="Calibri" w:hAnsi="Arial" w:cs="Arial"/>
          <w:sz w:val="24"/>
          <w:szCs w:val="24"/>
          <w:lang w:eastAsia="en-US"/>
        </w:rPr>
        <w:t xml:space="preserve">Ayuntamiento Constitucional de Santa Cruz </w:t>
      </w:r>
      <w:proofErr w:type="spellStart"/>
      <w:r w:rsidR="00EF024A" w:rsidRPr="000606B0">
        <w:rPr>
          <w:rFonts w:ascii="Arial" w:eastAsia="Calibri" w:hAnsi="Arial" w:cs="Arial"/>
          <w:sz w:val="24"/>
          <w:szCs w:val="24"/>
          <w:lang w:eastAsia="en-US"/>
        </w:rPr>
        <w:t>Xoxocotlán</w:t>
      </w:r>
      <w:proofErr w:type="spellEnd"/>
      <w:r w:rsidR="001D7DAD">
        <w:rPr>
          <w:rFonts w:ascii="Arial" w:eastAsia="Calibri" w:hAnsi="Arial" w:cs="Arial"/>
          <w:sz w:val="24"/>
          <w:szCs w:val="24"/>
          <w:lang w:eastAsia="en-US"/>
        </w:rPr>
        <w:t xml:space="preserve">, Oaxaca </w:t>
      </w:r>
      <w:r w:rsidR="00EF024A" w:rsidRPr="000606B0">
        <w:rPr>
          <w:rFonts w:ascii="Arial" w:eastAsia="Calibri" w:hAnsi="Arial" w:cs="Arial"/>
          <w:sz w:val="24"/>
          <w:szCs w:val="24"/>
          <w:lang w:eastAsia="en-US"/>
        </w:rPr>
        <w:t xml:space="preserve">se le tuvo </w:t>
      </w:r>
      <w:r w:rsidR="0035795D" w:rsidRPr="000606B0">
        <w:rPr>
          <w:rFonts w:ascii="Arial" w:eastAsia="Calibri" w:hAnsi="Arial" w:cs="Arial"/>
          <w:sz w:val="24"/>
          <w:szCs w:val="24"/>
          <w:lang w:eastAsia="en-US"/>
        </w:rPr>
        <w:t>contestando la demanda de nulidad</w:t>
      </w:r>
      <w:r w:rsidR="000606B0" w:rsidRPr="000606B0">
        <w:rPr>
          <w:rFonts w:ascii="Arial" w:eastAsia="Calibri" w:hAnsi="Arial" w:cs="Arial"/>
          <w:sz w:val="24"/>
          <w:szCs w:val="24"/>
          <w:lang w:eastAsia="en-US"/>
        </w:rPr>
        <w:t xml:space="preserve">. De igual manera se fijaron las once horas del doce de mayo de dos mil veintitrés para que tuviera verificativo la Audiencia Final </w:t>
      </w:r>
    </w:p>
    <w:p w14:paraId="219A7C67" w14:textId="0F0F41D0" w:rsidR="003A730F" w:rsidRPr="000606B0" w:rsidRDefault="000606B0" w:rsidP="00FB0D2F">
      <w:pPr>
        <w:spacing w:after="160" w:line="360" w:lineRule="auto"/>
        <w:ind w:firstLine="567"/>
        <w:jc w:val="both"/>
        <w:rPr>
          <w:rFonts w:ascii="Arial" w:eastAsia="Calibri" w:hAnsi="Arial" w:cs="Arial"/>
          <w:sz w:val="24"/>
          <w:szCs w:val="24"/>
          <w:lang w:eastAsia="en-US"/>
        </w:rPr>
      </w:pPr>
      <w:r w:rsidRPr="000606B0">
        <w:rPr>
          <w:rFonts w:ascii="Arial" w:eastAsia="Calibri" w:hAnsi="Arial" w:cs="Arial"/>
          <w:b/>
          <w:bCs/>
          <w:sz w:val="24"/>
          <w:szCs w:val="24"/>
          <w:lang w:eastAsia="en-US"/>
        </w:rPr>
        <w:lastRenderedPageBreak/>
        <w:t>4</w:t>
      </w:r>
      <w:r w:rsidR="007E5BDE" w:rsidRPr="000606B0">
        <w:rPr>
          <w:rFonts w:ascii="Arial" w:eastAsia="Calibri" w:hAnsi="Arial" w:cs="Arial"/>
          <w:b/>
          <w:bCs/>
          <w:sz w:val="24"/>
          <w:szCs w:val="24"/>
          <w:lang w:eastAsia="en-US"/>
        </w:rPr>
        <w:t xml:space="preserve">°. </w:t>
      </w:r>
      <w:r w:rsidR="003A730F" w:rsidRPr="000606B0">
        <w:rPr>
          <w:rFonts w:ascii="Arial" w:eastAsia="Calibri" w:hAnsi="Arial" w:cs="Arial"/>
          <w:sz w:val="24"/>
          <w:szCs w:val="24"/>
          <w:lang w:eastAsia="en-US"/>
        </w:rPr>
        <w:t xml:space="preserve"> </w:t>
      </w:r>
      <w:r w:rsidR="007E5BDE" w:rsidRPr="000606B0">
        <w:rPr>
          <w:rFonts w:ascii="Arial" w:eastAsia="Calibri" w:hAnsi="Arial" w:cs="Arial"/>
          <w:sz w:val="24"/>
          <w:szCs w:val="24"/>
          <w:lang w:eastAsia="en-US"/>
        </w:rPr>
        <w:t>El día señalado se celebró la Audiencia de Ley</w:t>
      </w:r>
      <w:r w:rsidR="003C1EC7" w:rsidRPr="000606B0">
        <w:rPr>
          <w:rFonts w:ascii="Arial" w:eastAsia="Calibri" w:hAnsi="Arial" w:cs="Arial"/>
          <w:sz w:val="24"/>
          <w:szCs w:val="24"/>
          <w:lang w:eastAsia="en-US"/>
        </w:rPr>
        <w:t xml:space="preserve"> </w:t>
      </w:r>
      <w:r w:rsidR="0085386F" w:rsidRPr="000606B0">
        <w:rPr>
          <w:rFonts w:ascii="Arial" w:eastAsia="Calibri" w:hAnsi="Arial" w:cs="Arial"/>
          <w:sz w:val="24"/>
          <w:szCs w:val="24"/>
          <w:lang w:eastAsia="en-US"/>
        </w:rPr>
        <w:t xml:space="preserve">donde </w:t>
      </w:r>
      <w:r w:rsidR="003A730F" w:rsidRPr="000606B0">
        <w:rPr>
          <w:rFonts w:ascii="Arial" w:eastAsia="Calibri" w:hAnsi="Arial" w:cs="Arial"/>
          <w:sz w:val="24"/>
          <w:szCs w:val="24"/>
          <w:lang w:eastAsia="en-US"/>
        </w:rPr>
        <w:t>se hizo constar</w:t>
      </w:r>
      <w:r w:rsidR="0085386F" w:rsidRPr="000606B0">
        <w:rPr>
          <w:rFonts w:ascii="Arial" w:eastAsia="Calibri" w:hAnsi="Arial" w:cs="Arial"/>
          <w:sz w:val="24"/>
          <w:szCs w:val="24"/>
          <w:lang w:eastAsia="en-US"/>
        </w:rPr>
        <w:t xml:space="preserve"> que no se encontraron presentes las partes ni persona alguna que legalmente las representara</w:t>
      </w:r>
      <w:r w:rsidR="003A730F" w:rsidRPr="000606B0">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1D7DAD">
        <w:rPr>
          <w:rFonts w:ascii="Arial" w:eastAsia="Calibri" w:hAnsi="Arial" w:cs="Arial"/>
          <w:sz w:val="24"/>
          <w:szCs w:val="24"/>
          <w:lang w:eastAsia="en-US"/>
        </w:rPr>
        <w:t xml:space="preserve">que las partes no presentaron por lo que </w:t>
      </w:r>
      <w:r w:rsidR="007E5BDE" w:rsidRPr="000606B0">
        <w:rPr>
          <w:rFonts w:ascii="Arial" w:eastAsia="Calibri" w:hAnsi="Arial" w:cs="Arial"/>
          <w:sz w:val="24"/>
          <w:szCs w:val="24"/>
          <w:lang w:eastAsia="en-US"/>
        </w:rPr>
        <w:t xml:space="preserve">se declaró </w:t>
      </w:r>
      <w:proofErr w:type="spellStart"/>
      <w:r w:rsidR="007E5BDE" w:rsidRPr="000606B0">
        <w:rPr>
          <w:rFonts w:ascii="Arial" w:eastAsia="Calibri" w:hAnsi="Arial" w:cs="Arial"/>
          <w:sz w:val="24"/>
          <w:szCs w:val="24"/>
          <w:lang w:eastAsia="en-US"/>
        </w:rPr>
        <w:t>precluido</w:t>
      </w:r>
      <w:proofErr w:type="spellEnd"/>
      <w:r w:rsidR="007E5BDE" w:rsidRPr="000606B0">
        <w:rPr>
          <w:rFonts w:ascii="Arial" w:eastAsia="Calibri" w:hAnsi="Arial" w:cs="Arial"/>
          <w:sz w:val="24"/>
          <w:szCs w:val="24"/>
          <w:lang w:eastAsia="en-US"/>
        </w:rPr>
        <w:t xml:space="preserve"> </w:t>
      </w:r>
      <w:r w:rsidR="001D7DAD">
        <w:rPr>
          <w:rFonts w:ascii="Arial" w:eastAsia="Calibri" w:hAnsi="Arial" w:cs="Arial"/>
          <w:sz w:val="24"/>
          <w:szCs w:val="24"/>
          <w:lang w:eastAsia="en-US"/>
        </w:rPr>
        <w:t>su derecho</w:t>
      </w:r>
      <w:r w:rsidR="007E5BDE" w:rsidRPr="000606B0">
        <w:rPr>
          <w:rFonts w:ascii="Arial" w:eastAsia="Calibri" w:hAnsi="Arial" w:cs="Arial"/>
          <w:sz w:val="24"/>
          <w:szCs w:val="24"/>
          <w:lang w:eastAsia="en-US"/>
        </w:rPr>
        <w:t>, por lo que</w:t>
      </w:r>
      <w:r w:rsidR="003A730F" w:rsidRPr="000606B0">
        <w:rPr>
          <w:rFonts w:ascii="Arial" w:eastAsia="Calibri" w:hAnsi="Arial" w:cs="Arial"/>
          <w:sz w:val="24"/>
          <w:szCs w:val="24"/>
          <w:lang w:eastAsia="en-US"/>
        </w:rPr>
        <w:t xml:space="preserve"> se cerró dicho periodo quedando el asunto integrado y en estado de resolución, finalmente se emite sentencia en los siguientes términos:</w:t>
      </w:r>
    </w:p>
    <w:p w14:paraId="3D48B7CA" w14:textId="77777777" w:rsidR="0085386F" w:rsidRPr="00512412" w:rsidRDefault="0085386F" w:rsidP="00FB0D2F">
      <w:pPr>
        <w:spacing w:after="160" w:line="360" w:lineRule="auto"/>
        <w:jc w:val="center"/>
        <w:rPr>
          <w:rFonts w:ascii="Arial" w:eastAsia="Calibri" w:hAnsi="Arial" w:cs="Arial"/>
          <w:b/>
          <w:bCs/>
          <w:sz w:val="24"/>
          <w:szCs w:val="24"/>
          <w:lang w:eastAsia="en-US"/>
        </w:rPr>
      </w:pPr>
      <w:r w:rsidRPr="000606B0">
        <w:rPr>
          <w:rFonts w:ascii="Arial" w:eastAsia="Calibri" w:hAnsi="Arial" w:cs="Arial"/>
          <w:b/>
          <w:bCs/>
          <w:sz w:val="24"/>
          <w:szCs w:val="24"/>
          <w:lang w:eastAsia="en-US"/>
        </w:rPr>
        <w:t>C O N S I D E R A N D O</w:t>
      </w:r>
      <w:r w:rsidRPr="00512412">
        <w:rPr>
          <w:rFonts w:ascii="Arial" w:eastAsia="Calibri" w:hAnsi="Arial" w:cs="Arial"/>
          <w:b/>
          <w:bCs/>
          <w:sz w:val="24"/>
          <w:szCs w:val="24"/>
          <w:lang w:eastAsia="en-US"/>
        </w:rPr>
        <w:t xml:space="preserve"> </w:t>
      </w:r>
    </w:p>
    <w:p w14:paraId="364191BE" w14:textId="15ACF3AA" w:rsidR="0085386F" w:rsidRPr="00512412" w:rsidRDefault="0085386F" w:rsidP="00FB0D2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1D7DAD">
        <w:rPr>
          <w:rFonts w:ascii="Arial" w:eastAsia="Calibri" w:hAnsi="Arial" w:cs="Arial"/>
          <w:b/>
          <w:sz w:val="24"/>
          <w:szCs w:val="24"/>
          <w:lang w:eastAsia="en-US"/>
        </w:rPr>
        <w:t>municipal</w:t>
      </w:r>
      <w:r w:rsidRPr="00512412">
        <w:rPr>
          <w:rFonts w:ascii="Arial" w:eastAsia="Calibri" w:hAnsi="Arial" w:cs="Arial"/>
          <w:sz w:val="24"/>
          <w:szCs w:val="24"/>
          <w:lang w:eastAsia="en-US"/>
        </w:rPr>
        <w:t xml:space="preserve">. </w:t>
      </w:r>
    </w:p>
    <w:p w14:paraId="0C80F779" w14:textId="261E5917" w:rsidR="0085386F" w:rsidRPr="00512412" w:rsidRDefault="0085386F" w:rsidP="00FB0D2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w:t>
      </w:r>
      <w:r w:rsidR="00766267" w:rsidRPr="00C75F21">
        <w:rPr>
          <w:rFonts w:ascii="Arial" w:eastAsia="Arial" w:hAnsi="Arial" w:cs="Arial"/>
          <w:sz w:val="24"/>
          <w:szCs w:val="24"/>
        </w:rPr>
        <w:t>Administrativa</w:t>
      </w:r>
      <w:r w:rsidR="00766267">
        <w:rPr>
          <w:rFonts w:ascii="Arial" w:eastAsia="Arial" w:hAnsi="Arial" w:cs="Arial"/>
          <w:sz w:val="24"/>
          <w:szCs w:val="24"/>
        </w:rPr>
        <w:t xml:space="preserve"> del Estado de Oaxaca</w:t>
      </w:r>
      <w:r w:rsidR="001D7DAD">
        <w:rPr>
          <w:rFonts w:ascii="Arial" w:eastAsia="Arial" w:hAnsi="Arial" w:cs="Arial"/>
          <w:sz w:val="24"/>
          <w:szCs w:val="24"/>
        </w:rPr>
        <w:t xml:space="preserve"> de Oaxaca</w:t>
      </w:r>
      <w:r w:rsidR="00766267">
        <w:rPr>
          <w:rFonts w:ascii="Arial" w:eastAsia="Arial" w:hAnsi="Arial" w:cs="Arial"/>
          <w:sz w:val="24"/>
          <w:szCs w:val="24"/>
        </w:rPr>
        <w:t>.</w:t>
      </w:r>
    </w:p>
    <w:p w14:paraId="1D9EEE29" w14:textId="6FC0B5E6" w:rsidR="00D83CC1" w:rsidRDefault="00D83CC1" w:rsidP="00FB0D2F">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971BEB">
        <w:rPr>
          <w:rFonts w:ascii="Arial" w:hAnsi="Arial" w:cs="Arial"/>
          <w:sz w:val="24"/>
          <w:szCs w:val="24"/>
        </w:rPr>
        <w:t xml:space="preserve">acta de infracción con número de folio </w:t>
      </w:r>
      <w:r w:rsidR="0051153F">
        <w:rPr>
          <w:rFonts w:ascii="Arial" w:eastAsia="Calibri" w:hAnsi="Arial" w:cs="Arial"/>
          <w:sz w:val="24"/>
          <w:szCs w:val="24"/>
          <w:lang w:eastAsia="en-US"/>
        </w:rPr>
        <w:t>**********</w:t>
      </w:r>
      <w:r w:rsidR="00AC3EDF">
        <w:rPr>
          <w:rFonts w:ascii="Arial" w:eastAsia="Calibri" w:hAnsi="Arial" w:cs="Arial"/>
          <w:sz w:val="24"/>
          <w:szCs w:val="24"/>
          <w:lang w:eastAsia="en-US"/>
        </w:rPr>
        <w:t xml:space="preserve"> de fecha diecisiete de marzo de dos mil veintitrés</w:t>
      </w:r>
      <w:r w:rsidR="0031519F">
        <w:rPr>
          <w:rFonts w:ascii="Arial" w:hAnsi="Arial" w:cs="Arial"/>
          <w:sz w:val="24"/>
          <w:szCs w:val="24"/>
        </w:rPr>
        <w:t xml:space="preserve"> </w:t>
      </w:r>
      <w:r w:rsidR="00CF1890">
        <w:rPr>
          <w:rFonts w:ascii="Arial" w:hAnsi="Arial" w:cs="Arial"/>
          <w:sz w:val="24"/>
          <w:szCs w:val="24"/>
        </w:rPr>
        <w:t xml:space="preserve">que obra a foja </w:t>
      </w:r>
      <w:r w:rsidR="00AC3EDF">
        <w:rPr>
          <w:rFonts w:ascii="Arial" w:hAnsi="Arial" w:cs="Arial"/>
          <w:sz w:val="24"/>
          <w:szCs w:val="24"/>
        </w:rPr>
        <w:t>nueve</w:t>
      </w:r>
      <w:r w:rsidR="00CF1890">
        <w:rPr>
          <w:rFonts w:ascii="Arial" w:hAnsi="Arial" w:cs="Arial"/>
          <w:sz w:val="24"/>
          <w:szCs w:val="24"/>
        </w:rPr>
        <w:t xml:space="preserve"> del expediente y al que</w:t>
      </w:r>
      <w:r w:rsidRPr="006D319D">
        <w:rPr>
          <w:rFonts w:ascii="Arial" w:hAnsi="Arial" w:cs="Arial"/>
          <w:sz w:val="24"/>
          <w:szCs w:val="24"/>
        </w:rPr>
        <w:t xml:space="preserve"> se le concede valor probatorio pleno de conformidad con el artículo 203</w:t>
      </w:r>
      <w:r w:rsidR="001D7DAD">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w:t>
      </w:r>
      <w:r w:rsidR="00A36975">
        <w:rPr>
          <w:rFonts w:ascii="Arial" w:hAnsi="Arial" w:cs="Arial"/>
          <w:sz w:val="24"/>
          <w:szCs w:val="24"/>
        </w:rPr>
        <w:t xml:space="preserve"> toda vez que la parte demandada reconoce su emisión en la contestación</w:t>
      </w:r>
      <w:r w:rsidR="001D7DAD">
        <w:rPr>
          <w:rFonts w:ascii="Arial" w:hAnsi="Arial" w:cs="Arial"/>
          <w:sz w:val="24"/>
          <w:szCs w:val="24"/>
        </w:rPr>
        <w:t xml:space="preserve"> de demanda</w:t>
      </w:r>
      <w:r w:rsidR="00A36975">
        <w:rPr>
          <w:rFonts w:ascii="Arial" w:hAnsi="Arial" w:cs="Arial"/>
          <w:sz w:val="24"/>
          <w:szCs w:val="24"/>
        </w:rPr>
        <w:t>.</w:t>
      </w:r>
      <w:r>
        <w:rPr>
          <w:rFonts w:ascii="Arial" w:hAnsi="Arial" w:cs="Arial"/>
          <w:sz w:val="24"/>
          <w:szCs w:val="24"/>
        </w:rPr>
        <w:t xml:space="preserve"> De manera que dicha</w:t>
      </w:r>
      <w:r w:rsidRPr="006D319D">
        <w:rPr>
          <w:rFonts w:ascii="Arial" w:hAnsi="Arial" w:cs="Arial"/>
          <w:sz w:val="24"/>
          <w:szCs w:val="24"/>
        </w:rPr>
        <w:t xml:space="preserve"> documental pública es el medio de convicción, que se tiene </w:t>
      </w:r>
      <w:r w:rsidR="001D7DAD">
        <w:rPr>
          <w:rFonts w:ascii="Arial" w:hAnsi="Arial" w:cs="Arial"/>
          <w:sz w:val="24"/>
          <w:szCs w:val="24"/>
        </w:rPr>
        <w:t>para acreditar</w:t>
      </w:r>
      <w:r w:rsidRPr="006D319D">
        <w:rPr>
          <w:rFonts w:ascii="Arial" w:hAnsi="Arial" w:cs="Arial"/>
          <w:sz w:val="24"/>
          <w:szCs w:val="24"/>
        </w:rPr>
        <w:t xml:space="preserve"> la existencia del acto impugnado. </w:t>
      </w:r>
    </w:p>
    <w:p w14:paraId="73C61101" w14:textId="72328AA2" w:rsidR="00226899" w:rsidRDefault="00D83CC1" w:rsidP="00FB0D2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lastRenderedPageBreak/>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w:t>
      </w:r>
      <w:r w:rsidR="001D7DAD">
        <w:rPr>
          <w:rFonts w:ascii="Arial" w:hAnsi="Arial" w:cs="Arial"/>
          <w:sz w:val="24"/>
          <w:szCs w:val="24"/>
        </w:rPr>
        <w:t xml:space="preserve">aquí </w:t>
      </w:r>
      <w:r w:rsidR="00971BEB">
        <w:rPr>
          <w:rFonts w:ascii="Arial" w:hAnsi="Arial" w:cs="Arial"/>
          <w:sz w:val="24"/>
          <w:szCs w:val="24"/>
        </w:rPr>
        <w:t>impugnada</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se encuentra indebidamente fundad</w:t>
      </w:r>
      <w:r w:rsidR="00226899">
        <w:rPr>
          <w:rFonts w:ascii="Arial" w:hAnsi="Arial" w:cs="Arial"/>
          <w:sz w:val="24"/>
          <w:szCs w:val="24"/>
        </w:rPr>
        <w:t xml:space="preserve">a y </w:t>
      </w:r>
      <w:r w:rsidR="00AC3EDF">
        <w:rPr>
          <w:rFonts w:ascii="Arial" w:hAnsi="Arial" w:cs="Arial"/>
          <w:sz w:val="24"/>
          <w:szCs w:val="24"/>
        </w:rPr>
        <w:t xml:space="preserve">motivada por no advertirse el nombre de la autoridad que la emite máxime que se trata de un formato </w:t>
      </w:r>
      <w:proofErr w:type="spellStart"/>
      <w:r w:rsidR="00AC3EDF">
        <w:rPr>
          <w:rFonts w:ascii="Arial" w:hAnsi="Arial" w:cs="Arial"/>
          <w:sz w:val="24"/>
          <w:szCs w:val="24"/>
        </w:rPr>
        <w:t>preimpreso</w:t>
      </w:r>
      <w:proofErr w:type="spellEnd"/>
      <w:r w:rsidR="0031519F">
        <w:rPr>
          <w:rFonts w:ascii="Arial" w:hAnsi="Arial" w:cs="Arial"/>
          <w:sz w:val="24"/>
          <w:szCs w:val="24"/>
        </w:rPr>
        <w:t>.</w:t>
      </w:r>
    </w:p>
    <w:p w14:paraId="753B0B7A" w14:textId="0CA5313D" w:rsidR="007C49D1" w:rsidRDefault="007C49D1" w:rsidP="00FB0D2F">
      <w:pPr>
        <w:spacing w:after="160" w:line="360" w:lineRule="auto"/>
        <w:ind w:firstLine="567"/>
        <w:jc w:val="both"/>
        <w:rPr>
          <w:rFonts w:ascii="Arial" w:hAnsi="Arial" w:cs="Arial"/>
          <w:sz w:val="24"/>
          <w:szCs w:val="24"/>
        </w:rPr>
      </w:pPr>
      <w:r>
        <w:rPr>
          <w:rFonts w:ascii="Arial" w:hAnsi="Arial" w:cs="Arial"/>
          <w:sz w:val="24"/>
          <w:szCs w:val="24"/>
        </w:rPr>
        <w:t>Por su parte</w:t>
      </w:r>
      <w:r w:rsidR="00971BEB">
        <w:rPr>
          <w:rFonts w:ascii="Arial" w:hAnsi="Arial" w:cs="Arial"/>
          <w:sz w:val="24"/>
          <w:szCs w:val="24"/>
        </w:rPr>
        <w:t xml:space="preserve"> </w:t>
      </w:r>
      <w:r w:rsidR="00AC3EDF">
        <w:rPr>
          <w:rFonts w:ascii="Arial" w:hAnsi="Arial" w:cs="Arial"/>
          <w:sz w:val="24"/>
          <w:szCs w:val="24"/>
        </w:rPr>
        <w:t>la autoridad demandada</w:t>
      </w:r>
      <w:r w:rsidR="00CF1890">
        <w:rPr>
          <w:rFonts w:ascii="Arial" w:hAnsi="Arial" w:cs="Arial"/>
          <w:sz w:val="24"/>
          <w:szCs w:val="24"/>
        </w:rPr>
        <w:t xml:space="preserve"> </w:t>
      </w:r>
      <w:r w:rsidR="00AC3EDF">
        <w:rPr>
          <w:rFonts w:ascii="Arial" w:hAnsi="Arial" w:cs="Arial"/>
          <w:sz w:val="24"/>
          <w:szCs w:val="24"/>
        </w:rPr>
        <w:t>manifiesta</w:t>
      </w:r>
      <w:r w:rsidR="00CF1890">
        <w:rPr>
          <w:rFonts w:ascii="Arial" w:hAnsi="Arial" w:cs="Arial"/>
          <w:sz w:val="24"/>
          <w:szCs w:val="24"/>
        </w:rPr>
        <w:t xml:space="preserve"> que</w:t>
      </w:r>
      <w:r w:rsidR="00A36975">
        <w:rPr>
          <w:rFonts w:ascii="Arial" w:hAnsi="Arial" w:cs="Arial"/>
          <w:sz w:val="24"/>
          <w:szCs w:val="24"/>
        </w:rPr>
        <w:t xml:space="preserve"> el acto impugnado se encuentra debidamente fundado y motivado máxime que realizó la adecuada </w:t>
      </w:r>
      <w:proofErr w:type="spellStart"/>
      <w:r w:rsidR="00A36975">
        <w:rPr>
          <w:rFonts w:ascii="Arial" w:hAnsi="Arial" w:cs="Arial"/>
          <w:sz w:val="24"/>
          <w:szCs w:val="24"/>
        </w:rPr>
        <w:t>circunstanciación</w:t>
      </w:r>
      <w:proofErr w:type="spellEnd"/>
      <w:r w:rsidR="00A36975">
        <w:rPr>
          <w:rFonts w:ascii="Arial" w:hAnsi="Arial" w:cs="Arial"/>
          <w:sz w:val="24"/>
          <w:szCs w:val="24"/>
        </w:rPr>
        <w:t xml:space="preserve"> del mismo</w:t>
      </w:r>
      <w:r w:rsidR="00971BEB">
        <w:rPr>
          <w:rFonts w:ascii="Arial" w:hAnsi="Arial" w:cs="Arial"/>
          <w:sz w:val="24"/>
          <w:szCs w:val="24"/>
        </w:rPr>
        <w:t>.</w:t>
      </w:r>
    </w:p>
    <w:p w14:paraId="1D668CDD" w14:textId="6E977C8F" w:rsidR="00BA14C6" w:rsidRDefault="00BA14C6" w:rsidP="00FB0D2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 xml:space="preserve">De un estudio oficioso de las causales de improcedencia y sobreseimiento del juicio, que estipula el artículo 161 in fine de la Ley de la materia, se advierte que no existe una causal de improcedencia ni sobreseimiento </w:t>
      </w:r>
      <w:r w:rsidR="001D7DAD">
        <w:rPr>
          <w:rFonts w:ascii="Arial" w:hAnsi="Arial" w:cs="Arial"/>
          <w:sz w:val="24"/>
          <w:szCs w:val="24"/>
        </w:rPr>
        <w:t xml:space="preserve">que evite conocer </w:t>
      </w:r>
      <w:r w:rsidRPr="00937F4C">
        <w:rPr>
          <w:rFonts w:ascii="Arial" w:hAnsi="Arial" w:cs="Arial"/>
          <w:sz w:val="24"/>
          <w:szCs w:val="24"/>
        </w:rPr>
        <w:t>el fondo del presente juicio.</w:t>
      </w:r>
      <w:r w:rsidR="0031519F">
        <w:rPr>
          <w:rFonts w:ascii="Arial" w:hAnsi="Arial" w:cs="Arial"/>
          <w:sz w:val="24"/>
          <w:szCs w:val="24"/>
        </w:rPr>
        <w:t xml:space="preserve"> </w:t>
      </w:r>
    </w:p>
    <w:p w14:paraId="2E7CE99F" w14:textId="16435954" w:rsidR="003F5A16" w:rsidRDefault="003F5A16" w:rsidP="00FB0D2F">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51153F">
        <w:rPr>
          <w:rFonts w:ascii="Arial" w:eastAsia="Calibri" w:hAnsi="Arial" w:cs="Arial"/>
          <w:sz w:val="24"/>
          <w:szCs w:val="24"/>
          <w:lang w:eastAsia="en-US"/>
        </w:rPr>
        <w:t>**********</w:t>
      </w:r>
      <w:r w:rsidR="00AC3EDF">
        <w:rPr>
          <w:rFonts w:ascii="Arial" w:eastAsia="Calibri" w:hAnsi="Arial" w:cs="Arial"/>
          <w:sz w:val="24"/>
          <w:szCs w:val="24"/>
          <w:lang w:eastAsia="en-US"/>
        </w:rPr>
        <w:t xml:space="preserve"> de fecha diecisiete de marzo de dos mil veintitrés</w:t>
      </w:r>
      <w:r w:rsidR="00A36029">
        <w:rPr>
          <w:rFonts w:ascii="Arial" w:hAnsi="Arial" w:cs="Arial"/>
          <w:sz w:val="24"/>
          <w:szCs w:val="24"/>
        </w:rPr>
        <w:t>.</w:t>
      </w:r>
    </w:p>
    <w:p w14:paraId="093217AF" w14:textId="403A34F3" w:rsidR="00343500" w:rsidRDefault="00343500" w:rsidP="00FB0D2F">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La parte actora refirió en lo medular que el acto administrativo es ilegal en virtud de que no fue emitido cumpliendo con los requisitos de validez que deben tener los actos administrativos, pues si bien cita el supuesto precepto normativo aplicable para la imposición de sanciones, no así realiza </w:t>
      </w:r>
      <w:r w:rsidR="001D7DAD">
        <w:rPr>
          <w:rFonts w:ascii="Arial" w:eastAsia="Calibri" w:hAnsi="Arial" w:cs="Arial"/>
          <w:sz w:val="24"/>
          <w:szCs w:val="24"/>
          <w:lang w:eastAsia="en-US"/>
        </w:rPr>
        <w:t>u</w:t>
      </w:r>
      <w:r>
        <w:rPr>
          <w:rFonts w:ascii="Arial" w:eastAsia="Calibri" w:hAnsi="Arial" w:cs="Arial"/>
          <w:sz w:val="24"/>
          <w:szCs w:val="24"/>
          <w:lang w:eastAsia="en-US"/>
        </w:rPr>
        <w:t>n análisis lógico jurídico para exponer por qué la conducta del actor es en efecto sancionable. Mientras que la autoridad demandada sostiene la legalidad del fundamento y motivo del acto impugnado.</w:t>
      </w:r>
    </w:p>
    <w:p w14:paraId="63EDB96C" w14:textId="140E2B57" w:rsidR="00343500" w:rsidRPr="00CE328A" w:rsidRDefault="00343500" w:rsidP="00FB0D2F">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Por ello</w:t>
      </w:r>
      <w:r w:rsidR="001D7DAD">
        <w:rPr>
          <w:rFonts w:ascii="Arial" w:eastAsia="Calibri" w:hAnsi="Arial" w:cs="Arial"/>
          <w:sz w:val="24"/>
          <w:szCs w:val="24"/>
          <w:lang w:eastAsia="en-US"/>
        </w:rPr>
        <w:t>,</w:t>
      </w:r>
      <w:r>
        <w:rPr>
          <w:rFonts w:ascii="Arial" w:eastAsia="Calibri" w:hAnsi="Arial" w:cs="Arial"/>
          <w:sz w:val="24"/>
          <w:szCs w:val="24"/>
          <w:lang w:eastAsia="en-US"/>
        </w:rPr>
        <w:t xml:space="preserve"> es menester verificar si el acto administrativo impugnado cumple o no con los requisitos de validez que deben revestir los actos administrativos.</w:t>
      </w:r>
    </w:p>
    <w:p w14:paraId="74B494C9" w14:textId="7EA17301" w:rsidR="00610349" w:rsidRPr="00AC3EDF" w:rsidRDefault="00343500" w:rsidP="00AC3EDF">
      <w:pPr>
        <w:spacing w:after="160" w:line="360" w:lineRule="auto"/>
        <w:ind w:firstLine="567"/>
        <w:jc w:val="both"/>
        <w:rPr>
          <w:rFonts w:ascii="Arial Narrow" w:eastAsia="Calibri" w:hAnsi="Arial Narrow" w:cs="Arial"/>
          <w:b/>
          <w:bCs/>
          <w:sz w:val="24"/>
          <w:szCs w:val="24"/>
          <w:lang w:eastAsia="en-US"/>
        </w:rPr>
      </w:pPr>
      <w:r>
        <w:rPr>
          <w:rFonts w:ascii="Arial" w:eastAsia="Calibri" w:hAnsi="Arial" w:cs="Arial"/>
          <w:sz w:val="24"/>
          <w:szCs w:val="24"/>
          <w:lang w:eastAsia="en-US"/>
        </w:rPr>
        <w:t>Así pues, de</w:t>
      </w:r>
      <w:r w:rsidRPr="00CE328A">
        <w:rPr>
          <w:rFonts w:ascii="Arial" w:eastAsia="Calibri" w:hAnsi="Arial" w:cs="Arial"/>
          <w:sz w:val="24"/>
          <w:szCs w:val="24"/>
          <w:lang w:eastAsia="en-US"/>
        </w:rPr>
        <w:t xml:space="preserve"> una lectura integral del acto impugnado, al cual se le ha dado valor probatorio pleno de conformidad con el precepto 203</w:t>
      </w:r>
      <w:r w:rsidR="001D7DAD">
        <w:rPr>
          <w:rFonts w:ascii="Arial" w:eastAsia="Calibri" w:hAnsi="Arial" w:cs="Arial"/>
          <w:sz w:val="24"/>
          <w:szCs w:val="24"/>
          <w:lang w:eastAsia="en-US"/>
        </w:rPr>
        <w:t>,</w:t>
      </w:r>
      <w:r w:rsidRPr="00CE328A">
        <w:rPr>
          <w:rFonts w:ascii="Arial" w:eastAsia="Calibri" w:hAnsi="Arial" w:cs="Arial"/>
          <w:sz w:val="24"/>
          <w:szCs w:val="24"/>
          <w:lang w:eastAsia="en-US"/>
        </w:rPr>
        <w:t xml:space="preserve"> fracción I de la Ley de la materia, en la parte que interesa, se advierte que la autoridad aquí demandada </w:t>
      </w:r>
      <w:r w:rsidR="00AC3EDF">
        <w:rPr>
          <w:rFonts w:ascii="Arial" w:eastAsia="Calibri" w:hAnsi="Arial" w:cs="Arial"/>
          <w:b/>
          <w:bCs/>
          <w:sz w:val="24"/>
          <w:szCs w:val="24"/>
          <w:lang w:eastAsia="en-US"/>
        </w:rPr>
        <w:t xml:space="preserve">no </w:t>
      </w:r>
      <w:r w:rsidR="004F2B6D">
        <w:rPr>
          <w:rFonts w:ascii="Arial" w:eastAsia="Calibri" w:hAnsi="Arial" w:cs="Arial"/>
          <w:b/>
          <w:bCs/>
          <w:sz w:val="24"/>
          <w:szCs w:val="24"/>
          <w:lang w:eastAsia="en-US"/>
        </w:rPr>
        <w:t>anotó de forma legible el nombre de su emisor.</w:t>
      </w:r>
    </w:p>
    <w:p w14:paraId="7EF25139" w14:textId="5056ECE8" w:rsidR="004F795C" w:rsidRDefault="001D7DAD" w:rsidP="00FB0D2F">
      <w:pPr>
        <w:spacing w:line="360" w:lineRule="auto"/>
        <w:ind w:firstLine="567"/>
        <w:jc w:val="both"/>
        <w:rPr>
          <w:rFonts w:ascii="Arial" w:hAnsi="Arial" w:cs="Arial"/>
          <w:sz w:val="24"/>
          <w:szCs w:val="24"/>
        </w:rPr>
      </w:pPr>
      <w:r>
        <w:rPr>
          <w:rFonts w:ascii="Arial" w:hAnsi="Arial" w:cs="Arial"/>
          <w:sz w:val="24"/>
          <w:szCs w:val="24"/>
        </w:rPr>
        <w:t xml:space="preserve">Es así, </w:t>
      </w:r>
      <w:r w:rsidR="004F795C">
        <w:rPr>
          <w:rFonts w:ascii="Arial" w:hAnsi="Arial" w:cs="Arial"/>
          <w:sz w:val="24"/>
          <w:szCs w:val="24"/>
        </w:rPr>
        <w:t xml:space="preserve">que el artículo 21 de la Constitución Política de los Estados Unidos Mexicanos, faculta a las autoridades administrativas a imponer sanciones que no podrán ir más allá de una multa, arresto hasta por treinta y seis horas o trabajo en favor de la comunidad: </w:t>
      </w:r>
    </w:p>
    <w:p w14:paraId="3122EF4B" w14:textId="4D302BA0" w:rsidR="004F795C" w:rsidRPr="009F092A" w:rsidRDefault="00737757" w:rsidP="00737757">
      <w:pPr>
        <w:spacing w:line="360" w:lineRule="auto"/>
        <w:ind w:left="1134" w:right="900"/>
        <w:jc w:val="both"/>
        <w:rPr>
          <w:rFonts w:ascii="Arial Narrow" w:hAnsi="Arial Narrow" w:cs="Arial"/>
          <w:sz w:val="24"/>
          <w:szCs w:val="24"/>
        </w:rPr>
      </w:pPr>
      <w:r>
        <w:rPr>
          <w:rFonts w:ascii="Arial Narrow" w:hAnsi="Arial Narrow" w:cs="Arial"/>
          <w:b/>
          <w:bCs/>
          <w:sz w:val="24"/>
          <w:szCs w:val="24"/>
        </w:rPr>
        <w:lastRenderedPageBreak/>
        <w:t>“</w:t>
      </w:r>
      <w:r w:rsidR="004F795C" w:rsidRPr="009F092A">
        <w:rPr>
          <w:rFonts w:ascii="Arial Narrow" w:hAnsi="Arial Narrow" w:cs="Arial"/>
          <w:b/>
          <w:bCs/>
          <w:sz w:val="24"/>
          <w:szCs w:val="24"/>
        </w:rPr>
        <w:t>Artículo 21.</w:t>
      </w:r>
      <w:r w:rsidR="004F795C" w:rsidRPr="009F092A">
        <w:rPr>
          <w:rFonts w:ascii="Arial Narrow" w:hAnsi="Arial Narrow" w:cs="Arial"/>
          <w:sz w:val="24"/>
          <w:szCs w:val="24"/>
        </w:rPr>
        <w:t xml:space="preserve"> La investigación de los delitos corresponde al Ministerio Público y a las policías, las cuales actuarán bajo la conducción y mando de aquél en el ejercicio de esta función.</w:t>
      </w:r>
    </w:p>
    <w:p w14:paraId="2442E631" w14:textId="77777777" w:rsidR="004F795C" w:rsidRPr="009F092A" w:rsidRDefault="004F795C" w:rsidP="00737757">
      <w:pPr>
        <w:spacing w:line="360" w:lineRule="auto"/>
        <w:ind w:left="1134" w:right="900"/>
        <w:jc w:val="both"/>
        <w:rPr>
          <w:rFonts w:ascii="Arial Narrow" w:hAnsi="Arial Narrow" w:cs="Arial"/>
          <w:sz w:val="24"/>
          <w:szCs w:val="24"/>
        </w:rPr>
      </w:pPr>
      <w:r w:rsidRPr="009F092A">
        <w:rPr>
          <w:rFonts w:ascii="Arial Narrow" w:hAnsi="Arial Narrow" w:cs="Arial"/>
          <w:sz w:val="24"/>
          <w:szCs w:val="24"/>
        </w:rPr>
        <w:t>(…)</w:t>
      </w:r>
    </w:p>
    <w:p w14:paraId="3585A664" w14:textId="77777777" w:rsidR="004F795C" w:rsidRPr="009F092A" w:rsidRDefault="004F795C" w:rsidP="00737757">
      <w:pPr>
        <w:spacing w:line="360" w:lineRule="auto"/>
        <w:ind w:left="1134" w:right="900"/>
        <w:jc w:val="both"/>
        <w:rPr>
          <w:rFonts w:ascii="Arial Narrow" w:hAnsi="Arial Narrow" w:cs="Arial"/>
          <w:sz w:val="24"/>
          <w:szCs w:val="24"/>
        </w:rPr>
      </w:pPr>
      <w:r w:rsidRPr="009F092A">
        <w:rPr>
          <w:rFonts w:ascii="Arial Narrow" w:hAnsi="Arial Narrow" w:cs="Arial"/>
          <w:sz w:val="24"/>
          <w:szCs w:val="24"/>
        </w:rPr>
        <w:t xml:space="preserve"> 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14:paraId="634D13D5" w14:textId="5D1B4567" w:rsidR="004F795C" w:rsidRPr="009F092A" w:rsidRDefault="004F795C" w:rsidP="00737757">
      <w:pPr>
        <w:spacing w:line="360" w:lineRule="auto"/>
        <w:ind w:left="1134" w:right="900"/>
        <w:jc w:val="both"/>
        <w:rPr>
          <w:rFonts w:ascii="Arial Narrow" w:hAnsi="Arial Narrow" w:cs="Arial"/>
          <w:sz w:val="28"/>
          <w:szCs w:val="28"/>
        </w:rPr>
      </w:pPr>
      <w:r w:rsidRPr="009F092A">
        <w:rPr>
          <w:rFonts w:ascii="Arial Narrow" w:hAnsi="Arial Narrow" w:cs="Arial"/>
          <w:sz w:val="24"/>
          <w:szCs w:val="24"/>
        </w:rPr>
        <w:t>(…)</w:t>
      </w:r>
      <w:r w:rsidR="00737757">
        <w:rPr>
          <w:rFonts w:ascii="Arial Narrow" w:hAnsi="Arial Narrow" w:cs="Arial"/>
          <w:sz w:val="24"/>
          <w:szCs w:val="24"/>
        </w:rPr>
        <w:t>”</w:t>
      </w:r>
    </w:p>
    <w:p w14:paraId="1EFEB37D" w14:textId="77777777" w:rsidR="004F795C" w:rsidRDefault="004F795C" w:rsidP="00FB0D2F">
      <w:pPr>
        <w:spacing w:line="360" w:lineRule="auto"/>
        <w:jc w:val="both"/>
        <w:rPr>
          <w:rFonts w:ascii="Arial" w:hAnsi="Arial" w:cs="Arial"/>
          <w:sz w:val="24"/>
          <w:szCs w:val="24"/>
        </w:rPr>
      </w:pPr>
    </w:p>
    <w:p w14:paraId="0F653C3D" w14:textId="5F16C02F" w:rsidR="004F795C" w:rsidRDefault="004F795C" w:rsidP="00737757">
      <w:pPr>
        <w:spacing w:line="360" w:lineRule="auto"/>
        <w:ind w:firstLine="567"/>
        <w:jc w:val="both"/>
        <w:rPr>
          <w:rFonts w:ascii="Arial" w:hAnsi="Arial" w:cs="Arial"/>
          <w:sz w:val="24"/>
          <w:szCs w:val="24"/>
        </w:rPr>
      </w:pPr>
      <w:r>
        <w:rPr>
          <w:rFonts w:ascii="Arial" w:hAnsi="Arial" w:cs="Arial"/>
          <w:sz w:val="24"/>
          <w:szCs w:val="24"/>
        </w:rPr>
        <w:t xml:space="preserve">Así pues, resulta innegable que las multas emitidas por una autoridad administrativa, deben cumplir el imperativo constitucional de encontrarse debidamente fundadas y motivadas como se podrá apreciar de la cita de las siguientes Tesis: </w:t>
      </w:r>
    </w:p>
    <w:p w14:paraId="39C4BC5D" w14:textId="48B4DB12" w:rsidR="004F795C" w:rsidRPr="009F092A" w:rsidRDefault="00737757" w:rsidP="00737757">
      <w:pPr>
        <w:spacing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Pr>
          <w:rStyle w:val="Refdenotaalpie"/>
          <w:rFonts w:ascii="Arial Narrow" w:hAnsi="Arial Narrow" w:cs="Arial"/>
          <w:b/>
          <w:bCs/>
          <w:sz w:val="24"/>
          <w:szCs w:val="24"/>
        </w:rPr>
        <w:footnoteReference w:id="4"/>
      </w:r>
      <w:r w:rsidR="004F795C" w:rsidRPr="009F092A">
        <w:rPr>
          <w:rFonts w:ascii="Arial Narrow" w:hAnsi="Arial Narrow" w:cs="Arial"/>
          <w:b/>
          <w:bCs/>
          <w:sz w:val="24"/>
          <w:szCs w:val="24"/>
        </w:rPr>
        <w:t>.</w:t>
      </w:r>
    </w:p>
    <w:p w14:paraId="4A69DEC6" w14:textId="06D7B1E1" w:rsidR="004F795C" w:rsidRDefault="004F795C" w:rsidP="00737757">
      <w:pPr>
        <w:spacing w:line="360" w:lineRule="auto"/>
        <w:ind w:left="1134" w:right="616"/>
        <w:jc w:val="both"/>
        <w:rPr>
          <w:rFonts w:ascii="Arial Narrow" w:hAnsi="Arial Narrow" w:cs="Arial"/>
          <w:sz w:val="24"/>
          <w:szCs w:val="24"/>
        </w:rPr>
      </w:pPr>
      <w:r w:rsidRPr="009F092A">
        <w:rPr>
          <w:rFonts w:ascii="Arial Narrow" w:hAnsi="Arial Narrow" w:cs="Arial"/>
          <w:sz w:val="24"/>
          <w:szCs w:val="24"/>
        </w:rPr>
        <w:t>Si un agente de tránsito como testigo, parte y Juez, levanta una infracción, y contra su dicho resulta eventualmente diabólica la carga de la prueba, lo menos que puede exigirse de ese agente es que al levantar una infracción exprese con toda amplitud y claridad los motivos que tuvo para hacerlo, y funde en derecho, con toda claridad los motivos que tuvo para hacerlo, y funde en derecho, con toda claridad, la multa que impuso. Y también es menester que conteste la demanda que contra su acta de infracción y su resolución de multa se imponga, refiriéndose con toda claridad y precisión a los hechos que el actor narra en su demanda y en los que dicho agente tuvo intervención,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r w:rsidR="00737757">
        <w:rPr>
          <w:rFonts w:ascii="Arial Narrow" w:hAnsi="Arial Narrow" w:cs="Arial"/>
          <w:sz w:val="24"/>
          <w:szCs w:val="24"/>
        </w:rPr>
        <w:t>”</w:t>
      </w:r>
    </w:p>
    <w:p w14:paraId="5A9428B2" w14:textId="5EA50A27" w:rsidR="004F795C" w:rsidRPr="009F092A" w:rsidRDefault="00737757" w:rsidP="00737757">
      <w:pPr>
        <w:spacing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sidRPr="009F092A">
        <w:rPr>
          <w:rStyle w:val="Refdenotaalpie"/>
          <w:rFonts w:ascii="Arial Narrow" w:hAnsi="Arial Narrow" w:cs="Arial"/>
          <w:b/>
          <w:bCs/>
          <w:sz w:val="24"/>
          <w:szCs w:val="24"/>
        </w:rPr>
        <w:footnoteReference w:id="5"/>
      </w:r>
      <w:r w:rsidR="004F795C" w:rsidRPr="009F092A">
        <w:rPr>
          <w:rFonts w:ascii="Arial Narrow" w:hAnsi="Arial Narrow" w:cs="Arial"/>
          <w:b/>
          <w:bCs/>
          <w:sz w:val="24"/>
          <w:szCs w:val="24"/>
        </w:rPr>
        <w:t>.</w:t>
      </w:r>
    </w:p>
    <w:p w14:paraId="00EA1B8B" w14:textId="196D571E" w:rsidR="004F795C" w:rsidRDefault="004F795C" w:rsidP="00737757">
      <w:pPr>
        <w:spacing w:line="360" w:lineRule="auto"/>
        <w:ind w:left="1134" w:right="616"/>
        <w:jc w:val="both"/>
        <w:rPr>
          <w:rFonts w:ascii="Arial Narrow" w:hAnsi="Arial Narrow" w:cs="Arial"/>
          <w:sz w:val="24"/>
          <w:szCs w:val="24"/>
        </w:rPr>
      </w:pPr>
      <w:r w:rsidRPr="009F092A">
        <w:rPr>
          <w:rFonts w:ascii="Arial Narrow" w:hAnsi="Arial Narrow" w:cs="Arial"/>
          <w:sz w:val="24"/>
          <w:szCs w:val="24"/>
        </w:rPr>
        <w:lastRenderedPageBreak/>
        <w:t>Una infracción y una multa impuestas por el agente de tránsito como parte, testigo y Juez, en cuya acta se limita a asentar escuetamente "pasar alto con señal de semáforo", carece de motivación en realidad, pues por una parte no explica en forma clara y completa las circunstancias de la infracción y, por otra, sería una denegación de justicia y una renuncia al debido proceso legal, contra el texto de los artículos 14 y 16 constitucionales, obligar a un particular a pagar sin más una multa cuya motivación no es clara y en la que, como se dijo, el agente fue parte, testigo y Juez, sin que su dicho admita prueba eficaz y real (no simplemente teórica) en contrario.</w:t>
      </w:r>
      <w:r w:rsidR="00737757">
        <w:rPr>
          <w:rFonts w:ascii="Arial Narrow" w:hAnsi="Arial Narrow" w:cs="Arial"/>
          <w:sz w:val="24"/>
          <w:szCs w:val="24"/>
        </w:rPr>
        <w:t>”</w:t>
      </w:r>
    </w:p>
    <w:p w14:paraId="03BE2D2D" w14:textId="77777777" w:rsidR="004F795C" w:rsidRDefault="004F795C" w:rsidP="00FB0D2F">
      <w:pPr>
        <w:spacing w:line="360" w:lineRule="auto"/>
        <w:ind w:firstLine="567"/>
        <w:jc w:val="both"/>
        <w:rPr>
          <w:rFonts w:ascii="Arial" w:hAnsi="Arial" w:cs="Arial"/>
          <w:sz w:val="24"/>
          <w:szCs w:val="24"/>
        </w:rPr>
      </w:pPr>
    </w:p>
    <w:p w14:paraId="0BBAD0AB" w14:textId="57F74125" w:rsidR="004F795C" w:rsidRDefault="004F795C" w:rsidP="00FB0D2F">
      <w:pPr>
        <w:spacing w:line="360" w:lineRule="auto"/>
        <w:ind w:firstLine="567"/>
        <w:jc w:val="both"/>
        <w:rPr>
          <w:rFonts w:ascii="Arial" w:hAnsi="Arial" w:cs="Arial"/>
          <w:sz w:val="24"/>
          <w:szCs w:val="24"/>
        </w:rPr>
      </w:pPr>
      <w:r>
        <w:rPr>
          <w:rFonts w:ascii="Arial" w:hAnsi="Arial" w:cs="Arial"/>
          <w:sz w:val="24"/>
          <w:szCs w:val="24"/>
        </w:rPr>
        <w:t xml:space="preserve">Considerando lo anterior, se busca que las infracciones de tránsito contengan un mínimo de fundamentación y motivación que permita al particular conocer a plenitud la conducta que actualizó y por cuyo motivo se le está sancionando, pues se reitera, la finalidad es evitar actuaciones arbitrarias por parte de las autoridades administrativas al momento de imponer sanciones. </w:t>
      </w:r>
    </w:p>
    <w:p w14:paraId="79153C75" w14:textId="1BCFC04F" w:rsidR="004F795C" w:rsidRPr="00737757" w:rsidRDefault="004F795C" w:rsidP="00737757">
      <w:pPr>
        <w:spacing w:line="360" w:lineRule="auto"/>
        <w:ind w:firstLine="567"/>
        <w:jc w:val="both"/>
        <w:rPr>
          <w:rFonts w:ascii="Arial" w:hAnsi="Arial" w:cs="Arial"/>
          <w:sz w:val="24"/>
          <w:szCs w:val="24"/>
        </w:rPr>
      </w:pPr>
      <w:r>
        <w:rPr>
          <w:rFonts w:ascii="Arial" w:hAnsi="Arial" w:cs="Arial"/>
          <w:sz w:val="24"/>
          <w:szCs w:val="24"/>
        </w:rPr>
        <w:t xml:space="preserve">Lo anterior se advierte de una interpretación de la siguiente Jurisprudencia que en este momento se transcribe: </w:t>
      </w:r>
    </w:p>
    <w:p w14:paraId="3EBD5A40" w14:textId="76ADA292" w:rsidR="004F795C" w:rsidRPr="00821610" w:rsidRDefault="00737757" w:rsidP="00737757">
      <w:pPr>
        <w:spacing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4F795C" w:rsidRPr="00821610">
        <w:rPr>
          <w:rFonts w:ascii="Arial Narrow" w:hAnsi="Arial Narrow" w:cs="Arial"/>
          <w:b/>
          <w:bCs/>
          <w:sz w:val="24"/>
          <w:szCs w:val="24"/>
        </w:rPr>
        <w:t>TRANSITO, MULTA IMPUESTA POR VIOLACION AL REGLAMENTO DE, NO FUNDADA</w:t>
      </w:r>
      <w:r w:rsidR="004F795C">
        <w:rPr>
          <w:rStyle w:val="Refdenotaalpie"/>
          <w:rFonts w:ascii="Arial Narrow" w:hAnsi="Arial Narrow" w:cs="Arial"/>
          <w:b/>
          <w:bCs/>
          <w:sz w:val="24"/>
          <w:szCs w:val="24"/>
        </w:rPr>
        <w:footnoteReference w:id="6"/>
      </w:r>
      <w:r w:rsidR="004F795C" w:rsidRPr="00821610">
        <w:rPr>
          <w:rFonts w:ascii="Arial Narrow" w:hAnsi="Arial Narrow" w:cs="Arial"/>
          <w:b/>
          <w:bCs/>
          <w:sz w:val="24"/>
          <w:szCs w:val="24"/>
        </w:rPr>
        <w:t>.</w:t>
      </w:r>
    </w:p>
    <w:p w14:paraId="013C2BEF" w14:textId="1E1FA63F" w:rsidR="004F795C" w:rsidRPr="00821610" w:rsidRDefault="004F795C" w:rsidP="00737757">
      <w:pPr>
        <w:spacing w:line="360" w:lineRule="auto"/>
        <w:ind w:left="1134" w:right="758"/>
        <w:jc w:val="both"/>
        <w:rPr>
          <w:rFonts w:ascii="Arial Narrow" w:hAnsi="Arial Narrow" w:cs="Arial"/>
          <w:sz w:val="24"/>
          <w:szCs w:val="24"/>
        </w:rPr>
      </w:pPr>
      <w:r w:rsidRPr="00821610">
        <w:rPr>
          <w:rFonts w:ascii="Arial Narrow" w:hAnsi="Arial Narrow" w:cs="Arial"/>
          <w:sz w:val="24"/>
          <w:szCs w:val="24"/>
        </w:rPr>
        <w:t xml:space="preserve">De la lectura del acta de infracción y multa reclamados, no puede admitirse jurídicamente que se esté ante una resolución fundada en los términos del artículo 16 de la Constitución General de la República, aun cuando sea cierto que en el documento relativo se mencione el artículo 215, capítulo XII, del Reglamento de Tránsito del Departamento del Distrito Federal, como apoyo de la facultad sancionadora de la autoridad administrativa, si también es cierto que al precisarse la violación cometida, únicamente se menciona el "Artículo 175, fracción III, del grupo 1", sin precisarse a qué ordenamiento legal corresponde este último precepto invocado, omisión que desde luego se traduce en una falta de fundamentación de la resolución impugnada ante el Tribunal de lo </w:t>
      </w:r>
      <w:r w:rsidRPr="00821610">
        <w:rPr>
          <w:rFonts w:ascii="Arial Narrow" w:hAnsi="Arial Narrow" w:cs="Arial"/>
          <w:sz w:val="24"/>
          <w:szCs w:val="24"/>
        </w:rPr>
        <w:lastRenderedPageBreak/>
        <w:t>Contencioso Administrativo del Distrito Federal, lo que lleva a conceder el amparo y protección de la Justicia Federal que se demande.</w:t>
      </w:r>
      <w:r w:rsidR="00737757">
        <w:rPr>
          <w:rFonts w:ascii="Arial Narrow" w:hAnsi="Arial Narrow" w:cs="Arial"/>
          <w:sz w:val="24"/>
          <w:szCs w:val="24"/>
        </w:rPr>
        <w:t>”</w:t>
      </w:r>
    </w:p>
    <w:p w14:paraId="7C6E2BC3" w14:textId="31D7D038" w:rsidR="004F795C" w:rsidRDefault="004F795C" w:rsidP="00FB0D2F">
      <w:pPr>
        <w:spacing w:line="360" w:lineRule="auto"/>
        <w:ind w:firstLine="567"/>
        <w:jc w:val="both"/>
        <w:rPr>
          <w:rFonts w:ascii="Arial" w:hAnsi="Arial" w:cs="Arial"/>
          <w:sz w:val="24"/>
          <w:szCs w:val="24"/>
        </w:rPr>
      </w:pPr>
    </w:p>
    <w:p w14:paraId="34FB064B" w14:textId="485C4AFD" w:rsidR="00343500" w:rsidRPr="0051494B" w:rsidRDefault="004F795C" w:rsidP="00DA7E76">
      <w:pPr>
        <w:spacing w:line="360" w:lineRule="auto"/>
        <w:ind w:firstLine="567"/>
        <w:jc w:val="both"/>
        <w:rPr>
          <w:rFonts w:ascii="Arial" w:eastAsia="Calibri" w:hAnsi="Arial" w:cs="Arial"/>
          <w:sz w:val="24"/>
          <w:szCs w:val="24"/>
          <w:lang w:eastAsia="en-US"/>
        </w:rPr>
      </w:pPr>
      <w:r>
        <w:rPr>
          <w:rFonts w:ascii="Arial" w:hAnsi="Arial" w:cs="Arial"/>
          <w:sz w:val="24"/>
          <w:szCs w:val="24"/>
        </w:rPr>
        <w:t>Sin embargo</w:t>
      </w:r>
      <w:r w:rsidR="00737757">
        <w:rPr>
          <w:rFonts w:ascii="Arial" w:hAnsi="Arial" w:cs="Arial"/>
          <w:sz w:val="24"/>
          <w:szCs w:val="24"/>
        </w:rPr>
        <w:t>,</w:t>
      </w:r>
      <w:r>
        <w:rPr>
          <w:rFonts w:ascii="Arial" w:hAnsi="Arial" w:cs="Arial"/>
          <w:sz w:val="24"/>
          <w:szCs w:val="24"/>
        </w:rPr>
        <w:t xml:space="preserve"> en el presente caso no se advierte que el policía que detuvo al hoy actor, </w:t>
      </w:r>
      <w:r w:rsidR="00D824EE">
        <w:rPr>
          <w:rFonts w:ascii="Arial" w:hAnsi="Arial" w:cs="Arial"/>
          <w:sz w:val="24"/>
          <w:szCs w:val="24"/>
        </w:rPr>
        <w:t>hubiera realizado una adecuada fundamentación y motivación</w:t>
      </w:r>
      <w:r w:rsidR="007D4B1E">
        <w:rPr>
          <w:rFonts w:ascii="Arial" w:hAnsi="Arial" w:cs="Arial"/>
          <w:sz w:val="24"/>
          <w:szCs w:val="24"/>
        </w:rPr>
        <w:t xml:space="preserve"> </w:t>
      </w:r>
      <w:r w:rsidR="00DA7E76">
        <w:rPr>
          <w:rFonts w:ascii="Arial" w:hAnsi="Arial" w:cs="Arial"/>
          <w:sz w:val="24"/>
          <w:szCs w:val="24"/>
        </w:rPr>
        <w:t xml:space="preserve">pues </w:t>
      </w:r>
      <w:r w:rsidR="004F2B6D">
        <w:rPr>
          <w:rFonts w:ascii="Arial" w:hAnsi="Arial" w:cs="Arial"/>
          <w:sz w:val="24"/>
          <w:szCs w:val="24"/>
        </w:rPr>
        <w:t>omite suscribir de forma legible el acta de infracción impugnada lo cual conlleva a una afectación directa al principio de legalidad en su vertiente de seguridad jurídica, pues la parte actora no se encontraba en condiciones de conocer exactamente quién lo estaba infraccionando y si además tenía la facultad para hacerlo,</w:t>
      </w:r>
      <w:r w:rsidR="00DA7E76">
        <w:rPr>
          <w:rFonts w:ascii="Arial" w:hAnsi="Arial" w:cs="Arial"/>
          <w:sz w:val="24"/>
          <w:szCs w:val="24"/>
        </w:rPr>
        <w:t xml:space="preserve"> lo que </w:t>
      </w:r>
      <w:r w:rsidR="00A53C75">
        <w:rPr>
          <w:rFonts w:ascii="Arial" w:eastAsia="Calibri" w:hAnsi="Arial" w:cs="Arial"/>
          <w:sz w:val="24"/>
          <w:szCs w:val="24"/>
          <w:lang w:eastAsia="en-US"/>
        </w:rPr>
        <w:t>deriva</w:t>
      </w:r>
      <w:r w:rsidR="00DA7E76">
        <w:rPr>
          <w:rFonts w:ascii="Arial" w:eastAsia="Calibri" w:hAnsi="Arial" w:cs="Arial"/>
          <w:sz w:val="24"/>
          <w:szCs w:val="24"/>
          <w:lang w:eastAsia="en-US"/>
        </w:rPr>
        <w:t xml:space="preserve"> en</w:t>
      </w:r>
      <w:r w:rsidR="00A53C75">
        <w:rPr>
          <w:rFonts w:ascii="Arial" w:eastAsia="Calibri" w:hAnsi="Arial" w:cs="Arial"/>
          <w:sz w:val="24"/>
          <w:szCs w:val="24"/>
          <w:lang w:eastAsia="en-US"/>
        </w:rPr>
        <w:t xml:space="preserve"> que se declare </w:t>
      </w:r>
      <w:r w:rsidR="00DA7E76">
        <w:rPr>
          <w:rFonts w:ascii="Arial" w:eastAsia="Calibri" w:hAnsi="Arial" w:cs="Arial"/>
          <w:sz w:val="24"/>
          <w:szCs w:val="24"/>
          <w:lang w:eastAsia="en-US"/>
        </w:rPr>
        <w:t>la</w:t>
      </w:r>
      <w:r w:rsidR="00A53C75">
        <w:rPr>
          <w:rFonts w:ascii="Arial" w:eastAsia="Calibri" w:hAnsi="Arial" w:cs="Arial"/>
          <w:sz w:val="24"/>
          <w:szCs w:val="24"/>
          <w:lang w:eastAsia="en-US"/>
        </w:rPr>
        <w:t xml:space="preserve"> </w:t>
      </w:r>
      <w:r w:rsidR="00A53C75">
        <w:rPr>
          <w:rFonts w:ascii="Arial" w:eastAsia="Calibri" w:hAnsi="Arial" w:cs="Arial"/>
          <w:b/>
          <w:bCs/>
          <w:sz w:val="24"/>
          <w:szCs w:val="24"/>
          <w:lang w:eastAsia="en-US"/>
        </w:rPr>
        <w:t>NULIDAD LISA Y LLANA</w:t>
      </w:r>
      <w:r w:rsidR="00DA7E76">
        <w:rPr>
          <w:rFonts w:ascii="Arial" w:eastAsia="Calibri" w:hAnsi="Arial" w:cs="Arial"/>
          <w:b/>
          <w:bCs/>
          <w:sz w:val="24"/>
          <w:szCs w:val="24"/>
          <w:lang w:eastAsia="en-US"/>
        </w:rPr>
        <w:t xml:space="preserve"> </w:t>
      </w:r>
      <w:r w:rsidR="00DA7E76">
        <w:rPr>
          <w:rFonts w:ascii="Arial" w:eastAsia="Calibri" w:hAnsi="Arial" w:cs="Arial"/>
          <w:sz w:val="24"/>
          <w:szCs w:val="24"/>
          <w:lang w:eastAsia="en-US"/>
        </w:rPr>
        <w:t>del acta de infracción impugnada</w:t>
      </w:r>
      <w:r w:rsidR="00A53C75">
        <w:rPr>
          <w:rFonts w:ascii="Arial" w:eastAsia="Calibri" w:hAnsi="Arial" w:cs="Arial"/>
          <w:sz w:val="24"/>
          <w:szCs w:val="24"/>
          <w:lang w:eastAsia="en-US"/>
        </w:rPr>
        <w:t xml:space="preserve">. </w:t>
      </w:r>
      <w:r w:rsidR="00343500" w:rsidRPr="0051494B">
        <w:rPr>
          <w:rFonts w:ascii="Arial" w:eastAsia="Calibri" w:hAnsi="Arial" w:cs="Arial"/>
          <w:sz w:val="24"/>
          <w:szCs w:val="24"/>
          <w:lang w:eastAsia="en-US"/>
        </w:rPr>
        <w:t xml:space="preserve"> </w:t>
      </w:r>
    </w:p>
    <w:p w14:paraId="1D2D489C" w14:textId="77777777" w:rsidR="00343500" w:rsidRPr="0051494B" w:rsidRDefault="00343500" w:rsidP="00FB0D2F">
      <w:pPr>
        <w:tabs>
          <w:tab w:val="right" w:pos="8789"/>
        </w:tabs>
        <w:spacing w:after="0" w:line="360" w:lineRule="auto"/>
        <w:ind w:firstLine="567"/>
        <w:jc w:val="both"/>
        <w:rPr>
          <w:rFonts w:ascii="Arial" w:eastAsia="Calibri" w:hAnsi="Arial" w:cs="Arial"/>
          <w:lang w:eastAsia="en-US"/>
        </w:rPr>
      </w:pPr>
    </w:p>
    <w:p w14:paraId="6D474895" w14:textId="77777777" w:rsidR="00343500" w:rsidRPr="0051494B" w:rsidRDefault="00343500" w:rsidP="00FB0D2F">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FB0D2F">
      <w:pPr>
        <w:tabs>
          <w:tab w:val="right" w:pos="8789"/>
        </w:tabs>
        <w:spacing w:after="0" w:line="360" w:lineRule="auto"/>
        <w:ind w:left="1134" w:right="616"/>
        <w:jc w:val="both"/>
        <w:rPr>
          <w:rFonts w:ascii="Arial" w:eastAsia="Calibri" w:hAnsi="Arial" w:cs="Arial"/>
          <w:i/>
          <w:lang w:eastAsia="en-US"/>
        </w:rPr>
      </w:pPr>
    </w:p>
    <w:p w14:paraId="5A2D7E8F" w14:textId="77777777" w:rsidR="00343500" w:rsidRPr="00BF29B5" w:rsidRDefault="00343500" w:rsidP="00FB0D2F">
      <w:pPr>
        <w:tabs>
          <w:tab w:val="right" w:pos="8789"/>
        </w:tabs>
        <w:spacing w:after="0" w:line="360" w:lineRule="auto"/>
        <w:jc w:val="both"/>
        <w:rPr>
          <w:rFonts w:ascii="Arial Narrow" w:eastAsia="Calibri" w:hAnsi="Arial Narrow" w:cs="Arial"/>
          <w:b/>
          <w:i/>
          <w:sz w:val="24"/>
          <w:szCs w:val="24"/>
          <w:lang w:eastAsia="en-US"/>
        </w:rPr>
      </w:pPr>
    </w:p>
    <w:p w14:paraId="1E5D1A01" w14:textId="58029CE5" w:rsidR="00343500" w:rsidRPr="00BF29B5" w:rsidRDefault="00737757" w:rsidP="00FB0D2F">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00343500"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FB0D2F">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529DEEA7" w14:textId="56116299" w:rsidR="00343500" w:rsidRPr="00BF29B5" w:rsidRDefault="00343500" w:rsidP="00FB0D2F">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w:t>
      </w:r>
      <w:r w:rsidRPr="00BF29B5">
        <w:rPr>
          <w:rFonts w:ascii="Arial Narrow" w:eastAsia="Calibri" w:hAnsi="Arial Narrow" w:cs="Arial"/>
          <w:color w:val="000000"/>
          <w:sz w:val="24"/>
          <w:szCs w:val="24"/>
          <w:lang w:eastAsia="en-US"/>
        </w:rPr>
        <w:lastRenderedPageBreak/>
        <w:t>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737757">
        <w:rPr>
          <w:rFonts w:ascii="Arial Narrow" w:eastAsia="Calibri" w:hAnsi="Arial Narrow" w:cs="Arial"/>
          <w:color w:val="000000"/>
          <w:sz w:val="24"/>
          <w:szCs w:val="24"/>
          <w:lang w:eastAsia="en-US"/>
        </w:rPr>
        <w:t>”</w:t>
      </w:r>
    </w:p>
    <w:p w14:paraId="0FD9619A" w14:textId="77777777" w:rsidR="00343500" w:rsidRPr="0051494B" w:rsidRDefault="00343500" w:rsidP="00FB0D2F">
      <w:pPr>
        <w:autoSpaceDE w:val="0"/>
        <w:autoSpaceDN w:val="0"/>
        <w:adjustRightInd w:val="0"/>
        <w:spacing w:after="0" w:line="360" w:lineRule="auto"/>
        <w:rPr>
          <w:rFonts w:ascii="NimbusSanL" w:eastAsia="Calibri" w:hAnsi="NimbusSanL" w:cs="NimbusSanL"/>
          <w:color w:val="000000"/>
          <w:sz w:val="24"/>
          <w:szCs w:val="24"/>
          <w:lang w:eastAsia="en-US"/>
        </w:rPr>
      </w:pPr>
    </w:p>
    <w:p w14:paraId="2181F7C3" w14:textId="77777777" w:rsidR="00343500" w:rsidRPr="0051494B" w:rsidRDefault="00343500" w:rsidP="00FB0D2F">
      <w:pPr>
        <w:tabs>
          <w:tab w:val="right" w:pos="8789"/>
        </w:tabs>
        <w:spacing w:after="0" w:line="360" w:lineRule="auto"/>
        <w:jc w:val="both"/>
        <w:rPr>
          <w:rFonts w:ascii="Arial" w:eastAsia="Calibri" w:hAnsi="Arial" w:cs="Arial"/>
          <w:color w:val="FF0000"/>
          <w:lang w:eastAsia="en-US"/>
        </w:rPr>
      </w:pPr>
    </w:p>
    <w:p w14:paraId="120AAAC4" w14:textId="77777777" w:rsidR="00343500" w:rsidRPr="0051494B" w:rsidRDefault="00343500" w:rsidP="00FB0D2F">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 xml:space="preserve">Este criterio también se sostiene en la Jurisprudencia de número 173565, emitida por los Tribunales Colegiados de Circuito, publicada en el Semanario </w:t>
      </w:r>
      <w:r w:rsidRPr="0051494B">
        <w:rPr>
          <w:rFonts w:ascii="Arial" w:eastAsia="Calibri" w:hAnsi="Arial" w:cs="Arial"/>
          <w:sz w:val="24"/>
          <w:szCs w:val="24"/>
          <w:lang w:eastAsia="en-US"/>
        </w:rPr>
        <w:lastRenderedPageBreak/>
        <w:t>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FB0D2F">
      <w:pPr>
        <w:tabs>
          <w:tab w:val="right" w:pos="8789"/>
        </w:tabs>
        <w:spacing w:after="0" w:line="360" w:lineRule="auto"/>
        <w:jc w:val="both"/>
        <w:rPr>
          <w:rFonts w:ascii="Arial" w:eastAsia="Calibri" w:hAnsi="Arial" w:cs="Arial"/>
          <w:b/>
          <w:noProof/>
          <w:lang w:eastAsia="en-US"/>
        </w:rPr>
      </w:pPr>
    </w:p>
    <w:p w14:paraId="18CEBF72" w14:textId="5D9F0B55" w:rsidR="00343500" w:rsidRPr="00BF29B5" w:rsidRDefault="00737757" w:rsidP="00FB0D2F">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SU DISTINCIÓN ENTRE SU FALTA Y CUANDO ES INDEBIDA.</w:t>
      </w:r>
      <w:r w:rsidR="00343500" w:rsidRPr="00BF29B5">
        <w:rPr>
          <w:rFonts w:ascii="Arial Narrow" w:eastAsia="Calibri" w:hAnsi="Arial Narrow" w:cs="Arial"/>
          <w:color w:val="000000"/>
          <w:sz w:val="24"/>
          <w:szCs w:val="24"/>
          <w:lang w:eastAsia="en-US"/>
        </w:rPr>
        <w:t xml:space="preserve"> </w:t>
      </w:r>
    </w:p>
    <w:p w14:paraId="4E933182" w14:textId="77777777" w:rsidR="00343500" w:rsidRPr="00BF29B5" w:rsidRDefault="00343500" w:rsidP="00FB0D2F">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7FDF31CC" w14:textId="436A1406" w:rsidR="00343500" w:rsidRPr="00BF29B5" w:rsidRDefault="00343500" w:rsidP="00FB0D2F">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737757">
        <w:rPr>
          <w:rFonts w:ascii="Arial Narrow" w:eastAsia="Calibri" w:hAnsi="Arial Narrow" w:cs="Arial"/>
          <w:color w:val="000000"/>
          <w:sz w:val="24"/>
          <w:szCs w:val="24"/>
          <w:lang w:eastAsia="en-US"/>
        </w:rPr>
        <w:t>”</w:t>
      </w:r>
    </w:p>
    <w:p w14:paraId="30865CB1" w14:textId="77777777" w:rsidR="00343500" w:rsidRPr="0051494B" w:rsidRDefault="00343500" w:rsidP="00FB0D2F">
      <w:pPr>
        <w:tabs>
          <w:tab w:val="right" w:pos="8789"/>
        </w:tabs>
        <w:spacing w:after="0" w:line="360" w:lineRule="auto"/>
        <w:ind w:left="567" w:right="758"/>
        <w:jc w:val="both"/>
        <w:rPr>
          <w:rFonts w:ascii="Arial" w:eastAsia="Calibri" w:hAnsi="Arial" w:cs="Arial"/>
          <w:b/>
          <w:i/>
          <w:noProof/>
          <w:lang w:eastAsia="en-US"/>
        </w:rPr>
      </w:pPr>
    </w:p>
    <w:p w14:paraId="3F4634CD" w14:textId="03647CD6" w:rsidR="00610349" w:rsidRDefault="00610349" w:rsidP="00FB0D2F">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4E1EEFD5" w:rsidR="00EC3B62" w:rsidRDefault="00EC3B62" w:rsidP="00FB0D2F">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51153F">
        <w:rPr>
          <w:rFonts w:ascii="Arial" w:eastAsia="Calibri" w:hAnsi="Arial" w:cs="Arial"/>
          <w:sz w:val="24"/>
          <w:szCs w:val="24"/>
          <w:lang w:eastAsia="en-US"/>
        </w:rPr>
        <w:t>**********</w:t>
      </w:r>
      <w:r w:rsidR="00AC3EDF">
        <w:rPr>
          <w:rFonts w:ascii="Arial" w:eastAsia="Calibri" w:hAnsi="Arial" w:cs="Arial"/>
          <w:sz w:val="24"/>
          <w:szCs w:val="24"/>
          <w:lang w:eastAsia="en-US"/>
        </w:rPr>
        <w:t xml:space="preserve"> de fecha diecisiete de marzo de dos mil veintitrés</w:t>
      </w:r>
      <w:r>
        <w:rPr>
          <w:rFonts w:ascii="Arial" w:hAnsi="Arial" w:cs="Arial"/>
          <w:sz w:val="24"/>
          <w:szCs w:val="24"/>
        </w:rPr>
        <w:t>, en términos de la siguiente Jurisprudencia</w:t>
      </w:r>
      <w:r>
        <w:rPr>
          <w:rStyle w:val="Refdenotaalpie"/>
          <w:rFonts w:ascii="Arial" w:hAnsi="Arial" w:cs="Arial"/>
          <w:sz w:val="24"/>
          <w:szCs w:val="24"/>
        </w:rPr>
        <w:footnoteReference w:id="7"/>
      </w:r>
      <w:r>
        <w:rPr>
          <w:rFonts w:ascii="Arial" w:hAnsi="Arial" w:cs="Arial"/>
          <w:sz w:val="24"/>
          <w:szCs w:val="24"/>
        </w:rPr>
        <w:t xml:space="preserve">: </w:t>
      </w:r>
    </w:p>
    <w:p w14:paraId="51B284B6" w14:textId="6EDB32CC" w:rsidR="00EC3B62" w:rsidRPr="00EC3B62" w:rsidRDefault="00EC3B62" w:rsidP="00FB0D2F">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3BB9611E" w:rsidR="00EC3B62" w:rsidRPr="00EC3B62" w:rsidRDefault="00737757" w:rsidP="00737757">
      <w:pPr>
        <w:tabs>
          <w:tab w:val="left" w:pos="284"/>
          <w:tab w:val="left" w:pos="851"/>
          <w:tab w:val="right" w:pos="8080"/>
        </w:tabs>
        <w:spacing w:after="0"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737757">
      <w:pPr>
        <w:tabs>
          <w:tab w:val="left" w:pos="284"/>
          <w:tab w:val="left" w:pos="851"/>
          <w:tab w:val="right" w:pos="8080"/>
        </w:tabs>
        <w:spacing w:after="0" w:line="360" w:lineRule="auto"/>
        <w:ind w:left="1134" w:right="616"/>
        <w:jc w:val="both"/>
        <w:rPr>
          <w:rFonts w:ascii="Arial Narrow" w:hAnsi="Arial Narrow" w:cs="Arial"/>
          <w:sz w:val="24"/>
          <w:szCs w:val="24"/>
        </w:rPr>
      </w:pPr>
    </w:p>
    <w:p w14:paraId="4C3813EB" w14:textId="77777777" w:rsidR="00EC3B62" w:rsidRPr="00EC3B62" w:rsidRDefault="00EC3B62" w:rsidP="00737757">
      <w:pPr>
        <w:tabs>
          <w:tab w:val="left" w:pos="284"/>
          <w:tab w:val="left" w:pos="851"/>
          <w:tab w:val="right" w:pos="8080"/>
        </w:tabs>
        <w:spacing w:after="0" w:line="360" w:lineRule="auto"/>
        <w:ind w:left="1134" w:right="616"/>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w:t>
      </w:r>
      <w:r w:rsidRPr="00EC3B62">
        <w:rPr>
          <w:rFonts w:ascii="Arial Narrow" w:hAnsi="Arial Narrow" w:cs="Arial"/>
          <w:sz w:val="24"/>
          <w:szCs w:val="24"/>
        </w:rPr>
        <w:lastRenderedPageBreak/>
        <w:t>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FB0D2F">
      <w:pPr>
        <w:tabs>
          <w:tab w:val="left" w:pos="284"/>
          <w:tab w:val="left" w:pos="426"/>
          <w:tab w:val="right" w:pos="9072"/>
        </w:tabs>
        <w:spacing w:after="0" w:line="360" w:lineRule="auto"/>
        <w:ind w:right="-234" w:firstLine="567"/>
        <w:jc w:val="both"/>
        <w:rPr>
          <w:rFonts w:ascii="Arial" w:hAnsi="Arial" w:cs="Arial"/>
          <w:sz w:val="24"/>
          <w:szCs w:val="24"/>
        </w:rPr>
      </w:pPr>
    </w:p>
    <w:p w14:paraId="3DD651DD" w14:textId="3045BCDD" w:rsidR="00A53C75" w:rsidRDefault="00A53C75" w:rsidP="00FB0D2F">
      <w:pPr>
        <w:spacing w:line="360" w:lineRule="auto"/>
        <w:ind w:firstLine="567"/>
        <w:jc w:val="both"/>
        <w:rPr>
          <w:rFonts w:ascii="Arial" w:hAnsi="Arial" w:cs="Arial"/>
          <w:sz w:val="24"/>
          <w:szCs w:val="24"/>
        </w:rPr>
      </w:pPr>
      <w:r>
        <w:rPr>
          <w:rFonts w:ascii="Arial" w:hAnsi="Arial" w:cs="Arial"/>
          <w:sz w:val="24"/>
          <w:szCs w:val="24"/>
        </w:rPr>
        <w:t xml:space="preserve">Por último, por ser un efecto consecuente, inmediato y directo del que se ha declarado nulo en el presente juicio, se </w:t>
      </w:r>
      <w:r w:rsidRPr="00737757">
        <w:rPr>
          <w:rFonts w:ascii="Arial" w:hAnsi="Arial" w:cs="Arial"/>
          <w:b/>
          <w:sz w:val="24"/>
          <w:szCs w:val="24"/>
        </w:rPr>
        <w:t xml:space="preserve">ordena </w:t>
      </w:r>
      <w:r w:rsidR="00737757" w:rsidRPr="00737757">
        <w:rPr>
          <w:rFonts w:ascii="Arial" w:hAnsi="Arial" w:cs="Arial"/>
          <w:b/>
          <w:bCs/>
          <w:sz w:val="24"/>
          <w:szCs w:val="24"/>
        </w:rPr>
        <w:t xml:space="preserve">al Policía Vial Municipal </w:t>
      </w:r>
      <w:r w:rsidR="0051153F">
        <w:rPr>
          <w:rFonts w:ascii="Arial" w:hAnsi="Arial" w:cs="Arial"/>
          <w:b/>
          <w:bCs/>
          <w:sz w:val="24"/>
          <w:szCs w:val="24"/>
        </w:rPr>
        <w:t>**********</w:t>
      </w:r>
      <w:r w:rsidR="00737757" w:rsidRPr="00737757">
        <w:rPr>
          <w:rFonts w:ascii="Arial" w:hAnsi="Arial" w:cs="Arial"/>
          <w:b/>
          <w:bCs/>
          <w:sz w:val="24"/>
          <w:szCs w:val="24"/>
        </w:rPr>
        <w:t xml:space="preserve"> del Ayuntamiento de Santa Cruz </w:t>
      </w:r>
      <w:proofErr w:type="spellStart"/>
      <w:r w:rsidR="00737757" w:rsidRPr="00737757">
        <w:rPr>
          <w:rFonts w:ascii="Arial" w:hAnsi="Arial" w:cs="Arial"/>
          <w:b/>
          <w:bCs/>
          <w:sz w:val="24"/>
          <w:szCs w:val="24"/>
        </w:rPr>
        <w:t>Xoxocotlán</w:t>
      </w:r>
      <w:proofErr w:type="spellEnd"/>
      <w:r w:rsidR="00737757" w:rsidRPr="00737757">
        <w:rPr>
          <w:rFonts w:ascii="Arial" w:hAnsi="Arial" w:cs="Arial"/>
          <w:bCs/>
          <w:sz w:val="24"/>
          <w:szCs w:val="24"/>
        </w:rPr>
        <w:t>, Oaxaca</w:t>
      </w:r>
      <w:r w:rsidR="00737757">
        <w:rPr>
          <w:rFonts w:ascii="Arial" w:hAnsi="Arial" w:cs="Arial"/>
          <w:b/>
          <w:bCs/>
          <w:sz w:val="24"/>
          <w:szCs w:val="24"/>
        </w:rPr>
        <w:t xml:space="preserve"> </w:t>
      </w:r>
      <w:r>
        <w:rPr>
          <w:rFonts w:ascii="Arial" w:hAnsi="Arial" w:cs="Arial"/>
          <w:sz w:val="24"/>
          <w:szCs w:val="24"/>
        </w:rPr>
        <w:t xml:space="preserve"> </w:t>
      </w:r>
      <w:r w:rsidR="007D4B1E">
        <w:rPr>
          <w:rFonts w:ascii="Arial" w:hAnsi="Arial" w:cs="Arial"/>
          <w:sz w:val="24"/>
          <w:szCs w:val="24"/>
        </w:rPr>
        <w:t xml:space="preserve">para que por </w:t>
      </w:r>
      <w:r w:rsidR="00737757">
        <w:rPr>
          <w:rFonts w:ascii="Arial" w:hAnsi="Arial" w:cs="Arial"/>
          <w:sz w:val="24"/>
          <w:szCs w:val="24"/>
        </w:rPr>
        <w:t xml:space="preserve">su </w:t>
      </w:r>
      <w:r w:rsidR="007D4B1E">
        <w:rPr>
          <w:rFonts w:ascii="Arial" w:hAnsi="Arial" w:cs="Arial"/>
          <w:sz w:val="24"/>
          <w:szCs w:val="24"/>
        </w:rPr>
        <w:t xml:space="preserve">conducto </w:t>
      </w:r>
      <w:r w:rsidR="00737757">
        <w:rPr>
          <w:rFonts w:ascii="Arial" w:hAnsi="Arial" w:cs="Arial"/>
          <w:sz w:val="24"/>
          <w:szCs w:val="24"/>
        </w:rPr>
        <w:t xml:space="preserve">o </w:t>
      </w:r>
      <w:r w:rsidR="007D4B1E" w:rsidRPr="00737757">
        <w:rPr>
          <w:rFonts w:ascii="Arial" w:hAnsi="Arial" w:cs="Arial"/>
          <w:b/>
          <w:sz w:val="24"/>
          <w:szCs w:val="24"/>
        </w:rPr>
        <w:t xml:space="preserve">de quien resulte </w:t>
      </w:r>
      <w:r w:rsidR="00737757" w:rsidRPr="00737757">
        <w:rPr>
          <w:rFonts w:ascii="Arial" w:hAnsi="Arial" w:cs="Arial"/>
          <w:b/>
          <w:sz w:val="24"/>
          <w:szCs w:val="24"/>
        </w:rPr>
        <w:t>competente</w:t>
      </w:r>
      <w:r w:rsidR="00737757">
        <w:rPr>
          <w:rFonts w:ascii="Arial" w:hAnsi="Arial" w:cs="Arial"/>
          <w:sz w:val="24"/>
          <w:szCs w:val="24"/>
        </w:rPr>
        <w:t xml:space="preserve"> </w:t>
      </w:r>
      <w:r w:rsidR="00737757" w:rsidRPr="00737757">
        <w:rPr>
          <w:rFonts w:ascii="Arial" w:hAnsi="Arial" w:cs="Arial"/>
          <w:b/>
          <w:sz w:val="24"/>
          <w:szCs w:val="24"/>
        </w:rPr>
        <w:t>devuelva</w:t>
      </w:r>
      <w:r w:rsidR="00737757">
        <w:rPr>
          <w:rFonts w:ascii="Arial" w:hAnsi="Arial" w:cs="Arial"/>
          <w:sz w:val="24"/>
          <w:szCs w:val="24"/>
        </w:rPr>
        <w:t xml:space="preserve"> de manera inmediata </w:t>
      </w:r>
      <w:r w:rsidR="00737757" w:rsidRPr="00737757">
        <w:rPr>
          <w:rFonts w:ascii="Arial" w:hAnsi="Arial" w:cs="Arial"/>
          <w:b/>
          <w:sz w:val="24"/>
          <w:szCs w:val="24"/>
        </w:rPr>
        <w:t xml:space="preserve">la placa trasera número </w:t>
      </w:r>
      <w:r w:rsidR="0051153F">
        <w:rPr>
          <w:rFonts w:ascii="Arial" w:hAnsi="Arial" w:cs="Arial"/>
          <w:b/>
          <w:sz w:val="24"/>
          <w:szCs w:val="24"/>
        </w:rPr>
        <w:t>**********</w:t>
      </w:r>
      <w:r w:rsidR="00737757">
        <w:rPr>
          <w:rFonts w:ascii="Arial" w:hAnsi="Arial" w:cs="Arial"/>
          <w:sz w:val="24"/>
          <w:szCs w:val="24"/>
        </w:rPr>
        <w:t xml:space="preserve"> del Estado de Oaxaca, misma </w:t>
      </w:r>
      <w:r w:rsidR="00737757">
        <w:rPr>
          <w:rFonts w:ascii="Arial" w:hAnsi="Arial" w:cs="Arial"/>
          <w:sz w:val="24"/>
          <w:szCs w:val="24"/>
        </w:rPr>
        <w:lastRenderedPageBreak/>
        <w:t>que retuvo como garantía; así como</w:t>
      </w:r>
      <w:r w:rsidR="007D4B1E">
        <w:rPr>
          <w:rFonts w:ascii="Arial" w:hAnsi="Arial" w:cs="Arial"/>
          <w:sz w:val="24"/>
          <w:szCs w:val="24"/>
        </w:rPr>
        <w:t xml:space="preserve"> </w:t>
      </w:r>
      <w:r w:rsidR="007D4B1E">
        <w:rPr>
          <w:rFonts w:ascii="Arial" w:hAnsi="Arial" w:cs="Arial"/>
          <w:b/>
          <w:bCs/>
          <w:sz w:val="24"/>
          <w:szCs w:val="24"/>
        </w:rPr>
        <w:t>se dé de baja del sistema SAP</w:t>
      </w:r>
      <w:r w:rsidR="00737757">
        <w:rPr>
          <w:rFonts w:ascii="Arial" w:hAnsi="Arial" w:cs="Arial"/>
          <w:b/>
          <w:bCs/>
          <w:sz w:val="24"/>
          <w:szCs w:val="24"/>
        </w:rPr>
        <w:t xml:space="preserve"> o de sus registros</w:t>
      </w:r>
      <w:r w:rsidR="007D4B1E">
        <w:rPr>
          <w:rFonts w:ascii="Arial" w:hAnsi="Arial" w:cs="Arial"/>
          <w:sz w:val="24"/>
          <w:szCs w:val="24"/>
        </w:rPr>
        <w:t xml:space="preserve"> la infracción</w:t>
      </w:r>
      <w:r w:rsidR="007D4B1E">
        <w:rPr>
          <w:rFonts w:ascii="Arial" w:hAnsi="Arial" w:cs="Arial"/>
          <w:b/>
          <w:bCs/>
          <w:sz w:val="24"/>
          <w:szCs w:val="24"/>
        </w:rPr>
        <w:t xml:space="preserve"> </w:t>
      </w:r>
      <w:r w:rsidR="007D4B1E">
        <w:rPr>
          <w:rFonts w:ascii="Arial" w:hAnsi="Arial" w:cs="Arial"/>
          <w:sz w:val="24"/>
          <w:szCs w:val="24"/>
        </w:rPr>
        <w:t>de tránsito aquí impugnada, a fin de que se restituya al actor en el pleno goce de sus derechos</w:t>
      </w:r>
      <w:r w:rsidR="007D4B1E">
        <w:rPr>
          <w:rStyle w:val="Refdenotaalpie"/>
          <w:rFonts w:ascii="Arial" w:hAnsi="Arial" w:cs="Arial"/>
          <w:sz w:val="24"/>
          <w:szCs w:val="24"/>
        </w:rPr>
        <w:footnoteReference w:id="8"/>
      </w:r>
      <w:r w:rsidR="007D4B1E">
        <w:rPr>
          <w:rFonts w:ascii="Arial" w:hAnsi="Arial" w:cs="Arial"/>
          <w:sz w:val="24"/>
          <w:szCs w:val="24"/>
        </w:rPr>
        <w:t>.</w:t>
      </w:r>
    </w:p>
    <w:p w14:paraId="1830672D" w14:textId="3E0BF3D4" w:rsidR="002B375F" w:rsidRPr="00512412" w:rsidRDefault="002B375F" w:rsidP="00FB0D2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FB0D2F">
      <w:pPr>
        <w:tabs>
          <w:tab w:val="right" w:pos="9072"/>
        </w:tabs>
        <w:spacing w:after="0" w:line="360" w:lineRule="auto"/>
        <w:ind w:right="-234"/>
        <w:rPr>
          <w:rFonts w:ascii="Arial" w:hAnsi="Arial" w:cs="Arial"/>
          <w:b/>
          <w:sz w:val="24"/>
          <w:szCs w:val="24"/>
        </w:rPr>
      </w:pPr>
    </w:p>
    <w:p w14:paraId="2CFE5B16" w14:textId="77777777" w:rsidR="0067566B" w:rsidRDefault="0067566B" w:rsidP="00FB0D2F">
      <w:pPr>
        <w:tabs>
          <w:tab w:val="right" w:pos="9072"/>
        </w:tabs>
        <w:spacing w:after="0" w:line="360" w:lineRule="auto"/>
        <w:ind w:right="-234" w:firstLine="708"/>
        <w:jc w:val="center"/>
        <w:rPr>
          <w:rFonts w:ascii="Arial" w:hAnsi="Arial" w:cs="Arial"/>
          <w:b/>
          <w:sz w:val="24"/>
          <w:szCs w:val="24"/>
        </w:rPr>
      </w:pPr>
    </w:p>
    <w:p w14:paraId="676D380E" w14:textId="77777777" w:rsidR="002B375F" w:rsidRPr="00512412" w:rsidRDefault="002B375F" w:rsidP="00FB0D2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FB0D2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FB0D2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FB0D2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FB0D2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FB0D2F">
      <w:pPr>
        <w:tabs>
          <w:tab w:val="right" w:pos="9072"/>
        </w:tabs>
        <w:spacing w:after="0" w:line="360" w:lineRule="auto"/>
        <w:ind w:right="-234" w:firstLine="567"/>
        <w:jc w:val="both"/>
        <w:rPr>
          <w:rFonts w:ascii="Arial" w:hAnsi="Arial" w:cs="Arial"/>
          <w:b/>
          <w:sz w:val="24"/>
          <w:szCs w:val="24"/>
        </w:rPr>
      </w:pPr>
    </w:p>
    <w:p w14:paraId="5A6E4C73" w14:textId="06D75DFB" w:rsidR="002B375F" w:rsidRDefault="002B375F" w:rsidP="00FB0D2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7B7C50">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51153F">
        <w:rPr>
          <w:rFonts w:ascii="Arial" w:eastAsia="Calibri" w:hAnsi="Arial" w:cs="Arial"/>
          <w:sz w:val="24"/>
          <w:szCs w:val="24"/>
          <w:lang w:eastAsia="en-US"/>
        </w:rPr>
        <w:t>**********</w:t>
      </w:r>
      <w:r w:rsidR="00AC3EDF">
        <w:rPr>
          <w:rFonts w:ascii="Arial" w:eastAsia="Calibri" w:hAnsi="Arial" w:cs="Arial"/>
          <w:sz w:val="24"/>
          <w:szCs w:val="24"/>
          <w:lang w:eastAsia="en-US"/>
        </w:rPr>
        <w:t xml:space="preserve"> de fecha diecisiete de marzo de dos mil veintitrés</w:t>
      </w:r>
      <w:r w:rsidR="007D4B1E">
        <w:rPr>
          <w:rFonts w:ascii="Arial" w:hAnsi="Arial" w:cs="Arial"/>
          <w:sz w:val="24"/>
          <w:szCs w:val="24"/>
        </w:rPr>
        <w:t xml:space="preserve"> </w:t>
      </w:r>
      <w:r w:rsidR="00EC3B62">
        <w:rPr>
          <w:rFonts w:ascii="Arial" w:hAnsi="Arial" w:cs="Arial"/>
          <w:sz w:val="24"/>
          <w:szCs w:val="24"/>
        </w:rPr>
        <w:t>por las razones expuestas</w:t>
      </w:r>
      <w:r>
        <w:rPr>
          <w:rFonts w:ascii="Arial" w:hAnsi="Arial" w:cs="Arial"/>
          <w:bCs/>
          <w:sz w:val="24"/>
          <w:szCs w:val="24"/>
        </w:rPr>
        <w:t xml:space="preserve"> en el considerando </w:t>
      </w:r>
      <w:r w:rsidR="00F7700E">
        <w:rPr>
          <w:rFonts w:ascii="Arial" w:hAnsi="Arial" w:cs="Arial"/>
          <w:bCs/>
          <w:sz w:val="24"/>
          <w:szCs w:val="24"/>
        </w:rPr>
        <w:t>SEXTO</w:t>
      </w:r>
      <w:r>
        <w:rPr>
          <w:rFonts w:ascii="Arial" w:hAnsi="Arial" w:cs="Arial"/>
          <w:bCs/>
          <w:sz w:val="24"/>
          <w:szCs w:val="24"/>
        </w:rPr>
        <w:t xml:space="preserve"> de la presente resolución</w:t>
      </w:r>
      <w:r w:rsidR="0067566B">
        <w:rPr>
          <w:rFonts w:ascii="Arial" w:hAnsi="Arial" w:cs="Arial"/>
          <w:bCs/>
          <w:sz w:val="24"/>
          <w:szCs w:val="24"/>
        </w:rPr>
        <w:t xml:space="preserve">; y proceda a la devolución de la placa trasera </w:t>
      </w:r>
      <w:r w:rsidR="0051153F">
        <w:rPr>
          <w:rFonts w:ascii="Arial" w:hAnsi="Arial" w:cs="Arial"/>
          <w:bCs/>
          <w:sz w:val="24"/>
          <w:szCs w:val="24"/>
        </w:rPr>
        <w:t>**********</w:t>
      </w:r>
      <w:bookmarkStart w:id="0" w:name="_GoBack"/>
      <w:bookmarkEnd w:id="0"/>
      <w:r w:rsidR="0067566B">
        <w:rPr>
          <w:rFonts w:ascii="Arial" w:hAnsi="Arial" w:cs="Arial"/>
          <w:bCs/>
          <w:sz w:val="24"/>
          <w:szCs w:val="24"/>
        </w:rPr>
        <w:t xml:space="preserve"> del Estado de Oaxaca y; dé de baja de sus registros el acta de infracción mencionada</w:t>
      </w:r>
      <w:r>
        <w:rPr>
          <w:rFonts w:ascii="Arial" w:hAnsi="Arial" w:cs="Arial"/>
          <w:bCs/>
          <w:sz w:val="24"/>
          <w:szCs w:val="24"/>
        </w:rPr>
        <w:t>.</w:t>
      </w:r>
    </w:p>
    <w:p w14:paraId="7C1BBEAB" w14:textId="77777777" w:rsidR="002B375F" w:rsidRPr="00512412" w:rsidRDefault="002B375F" w:rsidP="00FB0D2F">
      <w:pPr>
        <w:spacing w:after="0" w:line="360" w:lineRule="auto"/>
        <w:ind w:firstLine="567"/>
        <w:jc w:val="both"/>
        <w:rPr>
          <w:rFonts w:ascii="Arial" w:hAnsi="Arial" w:cs="Arial"/>
          <w:sz w:val="24"/>
          <w:szCs w:val="24"/>
        </w:rPr>
      </w:pPr>
    </w:p>
    <w:p w14:paraId="4F70F251" w14:textId="64E1B3CB" w:rsidR="002B375F" w:rsidRPr="00512412" w:rsidRDefault="002B375F" w:rsidP="00FB0D2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w:t>
      </w:r>
      <w:r w:rsidR="0067566B">
        <w:rPr>
          <w:rFonts w:ascii="Arial" w:eastAsia="Times New Roman" w:hAnsi="Arial" w:cs="Arial"/>
          <w:sz w:val="24"/>
          <w:szCs w:val="24"/>
        </w:rPr>
        <w:t>,</w:t>
      </w:r>
      <w:r w:rsidRPr="00512412">
        <w:rPr>
          <w:rFonts w:ascii="Arial" w:eastAsia="Times New Roman" w:hAnsi="Arial" w:cs="Arial"/>
          <w:sz w:val="24"/>
          <w:szCs w:val="24"/>
        </w:rPr>
        <w:t xml:space="preserve">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FB0D2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FB0D2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191F1F" w14:textId="77777777" w:rsidR="002D5ACF" w:rsidRDefault="002D5ACF">
      <w:pPr>
        <w:spacing w:after="0" w:line="240" w:lineRule="auto"/>
      </w:pPr>
      <w:r>
        <w:separator/>
      </w:r>
    </w:p>
  </w:endnote>
  <w:endnote w:type="continuationSeparator" w:id="0">
    <w:p w14:paraId="651EB9E9" w14:textId="77777777" w:rsidR="002D5ACF" w:rsidRDefault="002D5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2E021" w14:textId="77777777" w:rsidR="002D5ACF" w:rsidRDefault="002D5ACF">
      <w:pPr>
        <w:spacing w:after="0" w:line="240" w:lineRule="auto"/>
      </w:pPr>
      <w:r>
        <w:separator/>
      </w:r>
    </w:p>
  </w:footnote>
  <w:footnote w:type="continuationSeparator" w:id="0">
    <w:p w14:paraId="1212B980" w14:textId="77777777" w:rsidR="002D5ACF" w:rsidRDefault="002D5ACF">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256A2623" w14:textId="77777777" w:rsidR="004F795C" w:rsidRDefault="004F795C" w:rsidP="004F795C">
      <w:pPr>
        <w:pStyle w:val="Textonotapie"/>
        <w:jc w:val="both"/>
        <w:rPr>
          <w:rFonts w:ascii="Arial" w:hAnsi="Arial" w:cs="Arial"/>
          <w:sz w:val="16"/>
          <w:szCs w:val="16"/>
        </w:rPr>
      </w:pPr>
      <w:r>
        <w:rPr>
          <w:rStyle w:val="Refdenotaalpie"/>
        </w:rPr>
        <w:footnoteRef/>
      </w:r>
      <w:r>
        <w:t xml:space="preserve"> </w:t>
      </w:r>
      <w:r w:rsidRPr="009F092A">
        <w:rPr>
          <w:rFonts w:ascii="Arial" w:hAnsi="Arial" w:cs="Arial"/>
          <w:sz w:val="16"/>
          <w:szCs w:val="16"/>
        </w:rPr>
        <w:t>Registro digital: 251050, Instancia: Tribunales Colegiados de Circuito, Séptima Época, Materia(s): Administrativa, Fuente: Semanario Judicial de la Federación, Volumen 145-150, Sexta Parte, página 283, Tipo: Aislada</w:t>
      </w:r>
    </w:p>
    <w:p w14:paraId="7445DAE6" w14:textId="77777777" w:rsidR="004F795C" w:rsidRDefault="004F795C" w:rsidP="004F795C">
      <w:pPr>
        <w:pStyle w:val="Textonotapie"/>
        <w:jc w:val="both"/>
      </w:pPr>
    </w:p>
  </w:footnote>
  <w:footnote w:id="5">
    <w:p w14:paraId="36EBAB5E" w14:textId="77777777" w:rsidR="004F795C" w:rsidRDefault="004F795C" w:rsidP="004F795C">
      <w:pPr>
        <w:pStyle w:val="Textonotapie"/>
        <w:jc w:val="both"/>
      </w:pPr>
      <w:r>
        <w:rPr>
          <w:rStyle w:val="Refdenotaalpie"/>
        </w:rPr>
        <w:footnoteRef/>
      </w:r>
      <w:r>
        <w:t xml:space="preserve"> </w:t>
      </w:r>
      <w:r w:rsidRPr="009F092A">
        <w:rPr>
          <w:rFonts w:ascii="Arial" w:hAnsi="Arial" w:cs="Arial"/>
          <w:sz w:val="16"/>
          <w:szCs w:val="16"/>
        </w:rPr>
        <w:t>Registro digital: 252071, Instancia: Tribunales Colegiados de Circuito, Séptima Época, Materia(s): Administrativa, Fuente: Semanario Judicial de la Federación, Volumen 121-126, Sexta Parte, página 233, Tipo: Aislada</w:t>
      </w:r>
    </w:p>
  </w:footnote>
  <w:footnote w:id="6">
    <w:p w14:paraId="2991E409" w14:textId="77777777" w:rsidR="004F795C" w:rsidRDefault="004F795C" w:rsidP="004F795C">
      <w:pPr>
        <w:pStyle w:val="Textonotapie"/>
        <w:jc w:val="both"/>
      </w:pPr>
      <w:r>
        <w:rPr>
          <w:rStyle w:val="Refdenotaalpie"/>
        </w:rPr>
        <w:footnoteRef/>
      </w:r>
      <w:r>
        <w:t xml:space="preserve"> </w:t>
      </w:r>
      <w:r w:rsidRPr="00821610">
        <w:rPr>
          <w:rFonts w:ascii="Arial" w:hAnsi="Arial" w:cs="Arial"/>
          <w:sz w:val="16"/>
          <w:szCs w:val="16"/>
        </w:rPr>
        <w:t>Registro digital: 252110, Instancia: Tribunales Colegiados de Circuito, Séptima Época, Materia(s): Administrativa, Fuente: Semanario Judicial de la Federación, Volumen 121-126, Sexta Parte, página 293, Tipo: Jurisprudencia</w:t>
      </w:r>
    </w:p>
  </w:footnote>
  <w:footnote w:id="7">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 w:id="8">
    <w:p w14:paraId="05B998B7" w14:textId="77777777" w:rsidR="007D4B1E" w:rsidRPr="000264BB" w:rsidRDefault="007D4B1E" w:rsidP="007D4B1E">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3C246A2A" w14:textId="77777777" w:rsidR="007D4B1E" w:rsidRPr="000264BB" w:rsidRDefault="007D4B1E" w:rsidP="007D4B1E">
      <w:pPr>
        <w:pStyle w:val="Textonotapie"/>
        <w:jc w:val="both"/>
        <w:rPr>
          <w:rFonts w:ascii="Arial" w:hAnsi="Arial" w:cs="Arial"/>
          <w:sz w:val="16"/>
          <w:szCs w:val="16"/>
        </w:rPr>
      </w:pPr>
    </w:p>
    <w:p w14:paraId="5C09A440" w14:textId="77777777" w:rsidR="007D4B1E" w:rsidRDefault="007D4B1E" w:rsidP="007D4B1E">
      <w:pPr>
        <w:pStyle w:val="Textonotapie"/>
        <w:jc w:val="both"/>
        <w:rPr>
          <w:rFonts w:ascii="Arial" w:hAnsi="Arial" w:cs="Arial"/>
          <w:sz w:val="16"/>
          <w:szCs w:val="16"/>
        </w:rPr>
      </w:pPr>
      <w:r w:rsidRPr="000264BB">
        <w:rPr>
          <w:rFonts w:ascii="Arial" w:hAnsi="Arial" w:cs="Arial"/>
          <w:sz w:val="16"/>
          <w:szCs w:val="16"/>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0264BB">
        <w:rPr>
          <w:rFonts w:ascii="Arial" w:hAnsi="Arial" w:cs="Arial"/>
          <w:sz w:val="16"/>
          <w:szCs w:val="16"/>
        </w:rPr>
        <w:t>litis</w:t>
      </w:r>
      <w:proofErr w:type="spellEnd"/>
      <w:r w:rsidRPr="000264BB">
        <w:rPr>
          <w:rFonts w:ascii="Arial" w:hAnsi="Arial" w:cs="Arial"/>
          <w:sz w:val="16"/>
          <w:szCs w:val="16"/>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78EF00AA" w14:textId="77777777" w:rsidR="007D4B1E" w:rsidRPr="000264BB" w:rsidRDefault="007D4B1E" w:rsidP="007D4B1E">
      <w:pPr>
        <w:pStyle w:val="Textonotapie"/>
        <w:jc w:val="both"/>
        <w:rPr>
          <w:rFonts w:ascii="Arial" w:hAnsi="Arial" w:cs="Arial"/>
          <w:sz w:val="12"/>
          <w:szCs w:val="12"/>
        </w:rPr>
      </w:pPr>
    </w:p>
    <w:p w14:paraId="03F97CA9" w14:textId="77777777" w:rsidR="007D4B1E" w:rsidRDefault="007D4B1E" w:rsidP="007D4B1E">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2D5AC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51153F" w:rsidRPr="0051153F">
          <w:rPr>
            <w:noProof/>
            <w:lang w:val="es-ES"/>
          </w:rPr>
          <w:t>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777777" w:rsidR="00A360DF" w:rsidRDefault="002D5AC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51153F" w:rsidRPr="0051153F">
          <w:rPr>
            <w:noProof/>
            <w:lang w:val="es-ES"/>
          </w:rPr>
          <w:t>3</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1D3B9F">
          <w:rPr>
            <w:rFonts w:ascii="Century Schoolbook" w:hAnsi="Century Schoolbook" w:cs="Arial"/>
            <w:b/>
            <w:bCs/>
          </w:rPr>
          <w:t>0026</w:t>
        </w:r>
        <w:r w:rsidR="007C7A1C">
          <w:rPr>
            <w:rFonts w:ascii="Century Schoolbook" w:hAnsi="Century Schoolbook" w:cs="Arial"/>
            <w:b/>
            <w:bCs/>
          </w:rPr>
          <w:t>/20</w:t>
        </w:r>
        <w:r w:rsidR="007751BD">
          <w:rPr>
            <w:rFonts w:ascii="Century Schoolbook" w:hAnsi="Century Schoolbook" w:cs="Arial"/>
            <w:b/>
            <w:bCs/>
          </w:rPr>
          <w:t>2</w:t>
        </w:r>
        <w:r w:rsidR="001D3B9F">
          <w:rPr>
            <w:rFonts w:ascii="Century Schoolbook" w:hAnsi="Century Schoolbook" w:cs="Arial"/>
            <w:b/>
            <w:bCs/>
          </w:rPr>
          <w:t>3</w:t>
        </w:r>
      </w:sdtContent>
    </w:sdt>
  </w:p>
  <w:sdt>
    <w:sdtPr>
      <w:id w:val="1700360081"/>
      <w:docPartObj>
        <w:docPartGallery w:val="Page Numbers (Top of Page)"/>
        <w:docPartUnique/>
      </w:docPartObj>
    </w:sdtPr>
    <w:sdtContent>
      <w:p w14:paraId="26E126BC" w14:textId="77777777" w:rsidR="0051153F" w:rsidRDefault="0051153F" w:rsidP="0051153F">
        <w:pPr>
          <w:pStyle w:val="Encabezado"/>
          <w:jc w:val="center"/>
        </w:pPr>
      </w:p>
      <w:p w14:paraId="1584E934" w14:textId="2697D3C3" w:rsidR="0051153F" w:rsidRDefault="0051153F" w:rsidP="0051153F">
        <w:pPr>
          <w:pStyle w:val="Encabezado"/>
          <w:jc w:val="center"/>
        </w:pPr>
        <w:r>
          <w:rPr>
            <w:rFonts w:ascii="Arial" w:hAnsi="Arial" w:cs="Arial"/>
            <w:b/>
            <w:color w:val="0070C0"/>
          </w:rPr>
          <w:t xml:space="preserve">DATOS PERSONALES PROTEGIDOS POR EL ARTÍCULO 116 DE LA LGTAIP Y ARTÍCULO 61 DE LA LTAIPBGEO </w:t>
        </w:r>
      </w:p>
    </w:sdtContent>
  </w:sdt>
  <w:p w14:paraId="26F32996" w14:textId="77777777" w:rsidR="0051153F" w:rsidRDefault="0051153F" w:rsidP="0051153F">
    <w:pPr>
      <w:tabs>
        <w:tab w:val="center" w:pos="4419"/>
        <w:tab w:val="right" w:pos="8838"/>
      </w:tabs>
      <w:spacing w:after="0" w:line="240" w:lineRule="auto"/>
      <w:jc w:val="center"/>
      <w:rPr>
        <w:color w:val="000000"/>
      </w:rPr>
    </w:pP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2D5AC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6B0"/>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39"/>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4462"/>
    <w:rsid w:val="001450E2"/>
    <w:rsid w:val="001460CF"/>
    <w:rsid w:val="00146509"/>
    <w:rsid w:val="0014671A"/>
    <w:rsid w:val="00146991"/>
    <w:rsid w:val="00146DCF"/>
    <w:rsid w:val="0014701C"/>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3B9F"/>
    <w:rsid w:val="001D40CC"/>
    <w:rsid w:val="001D4D61"/>
    <w:rsid w:val="001D4D8C"/>
    <w:rsid w:val="001D5282"/>
    <w:rsid w:val="001D529D"/>
    <w:rsid w:val="001D577C"/>
    <w:rsid w:val="001D694C"/>
    <w:rsid w:val="001D754A"/>
    <w:rsid w:val="001D7DAD"/>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5ACF"/>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19F"/>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5795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549"/>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B6D"/>
    <w:rsid w:val="004F2E5D"/>
    <w:rsid w:val="004F2E7C"/>
    <w:rsid w:val="004F421C"/>
    <w:rsid w:val="004F4289"/>
    <w:rsid w:val="004F48BF"/>
    <w:rsid w:val="004F5821"/>
    <w:rsid w:val="004F5F16"/>
    <w:rsid w:val="004F674E"/>
    <w:rsid w:val="004F6C74"/>
    <w:rsid w:val="004F795C"/>
    <w:rsid w:val="005001E5"/>
    <w:rsid w:val="00500A0B"/>
    <w:rsid w:val="00500C4C"/>
    <w:rsid w:val="005016CA"/>
    <w:rsid w:val="00502093"/>
    <w:rsid w:val="00502177"/>
    <w:rsid w:val="0050345B"/>
    <w:rsid w:val="00504E19"/>
    <w:rsid w:val="005057B6"/>
    <w:rsid w:val="005063B6"/>
    <w:rsid w:val="00506A1C"/>
    <w:rsid w:val="0050734D"/>
    <w:rsid w:val="00507AB3"/>
    <w:rsid w:val="00510956"/>
    <w:rsid w:val="00510F23"/>
    <w:rsid w:val="0051133B"/>
    <w:rsid w:val="0051153F"/>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7CA"/>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566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08AA"/>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37757"/>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267"/>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B7C50"/>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4B1E"/>
    <w:rsid w:val="007D5692"/>
    <w:rsid w:val="007D6461"/>
    <w:rsid w:val="007E3210"/>
    <w:rsid w:val="007E32FC"/>
    <w:rsid w:val="007E4266"/>
    <w:rsid w:val="007E4EA5"/>
    <w:rsid w:val="007E5A5C"/>
    <w:rsid w:val="007E5BDE"/>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6B6B"/>
    <w:rsid w:val="00907C15"/>
    <w:rsid w:val="0091170B"/>
    <w:rsid w:val="00911817"/>
    <w:rsid w:val="00912F68"/>
    <w:rsid w:val="009133A9"/>
    <w:rsid w:val="00913418"/>
    <w:rsid w:val="009137F9"/>
    <w:rsid w:val="009138DA"/>
    <w:rsid w:val="00913C08"/>
    <w:rsid w:val="00915282"/>
    <w:rsid w:val="0091567A"/>
    <w:rsid w:val="00917D73"/>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BEB"/>
    <w:rsid w:val="00972B61"/>
    <w:rsid w:val="009730F2"/>
    <w:rsid w:val="00974250"/>
    <w:rsid w:val="00974F50"/>
    <w:rsid w:val="009756EC"/>
    <w:rsid w:val="009757EE"/>
    <w:rsid w:val="0097584C"/>
    <w:rsid w:val="00976FCC"/>
    <w:rsid w:val="0097768E"/>
    <w:rsid w:val="009818A2"/>
    <w:rsid w:val="00982231"/>
    <w:rsid w:val="009829E2"/>
    <w:rsid w:val="00983525"/>
    <w:rsid w:val="009836A7"/>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6350"/>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6975"/>
    <w:rsid w:val="00A37129"/>
    <w:rsid w:val="00A37825"/>
    <w:rsid w:val="00A4105D"/>
    <w:rsid w:val="00A41757"/>
    <w:rsid w:val="00A417FE"/>
    <w:rsid w:val="00A41FA8"/>
    <w:rsid w:val="00A426F3"/>
    <w:rsid w:val="00A42E01"/>
    <w:rsid w:val="00A44166"/>
    <w:rsid w:val="00A448E0"/>
    <w:rsid w:val="00A456F5"/>
    <w:rsid w:val="00A45C71"/>
    <w:rsid w:val="00A45F47"/>
    <w:rsid w:val="00A4628E"/>
    <w:rsid w:val="00A47209"/>
    <w:rsid w:val="00A47455"/>
    <w:rsid w:val="00A51781"/>
    <w:rsid w:val="00A5203E"/>
    <w:rsid w:val="00A52320"/>
    <w:rsid w:val="00A52762"/>
    <w:rsid w:val="00A532CC"/>
    <w:rsid w:val="00A537AD"/>
    <w:rsid w:val="00A53C75"/>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47B0"/>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C3EDF"/>
    <w:rsid w:val="00AC707D"/>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1BC"/>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881"/>
    <w:rsid w:val="00C04F09"/>
    <w:rsid w:val="00C056CD"/>
    <w:rsid w:val="00C05725"/>
    <w:rsid w:val="00C05B4E"/>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78A"/>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75F"/>
    <w:rsid w:val="00CE2CBA"/>
    <w:rsid w:val="00CE302C"/>
    <w:rsid w:val="00CE31BD"/>
    <w:rsid w:val="00CE449A"/>
    <w:rsid w:val="00CE4619"/>
    <w:rsid w:val="00CE4BF2"/>
    <w:rsid w:val="00CE5E91"/>
    <w:rsid w:val="00CF01EA"/>
    <w:rsid w:val="00CF021C"/>
    <w:rsid w:val="00CF04E4"/>
    <w:rsid w:val="00CF10EF"/>
    <w:rsid w:val="00CF1890"/>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4EE"/>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A7E76"/>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24A"/>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17006"/>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00E"/>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0D2F"/>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92811533">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2084315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C60FF-EBA5-4ECA-A29B-373D8B7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TotalTime>
  <Pages>1</Pages>
  <Words>3300</Words>
  <Characters>18150</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21</cp:revision>
  <cp:lastPrinted>2023-10-24T00:11:00Z</cp:lastPrinted>
  <dcterms:created xsi:type="dcterms:W3CDTF">2022-10-24T19:10:00Z</dcterms:created>
  <dcterms:modified xsi:type="dcterms:W3CDTF">2023-10-24T00:11:00Z</dcterms:modified>
</cp:coreProperties>
</file>