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0D8" w:rsidRPr="002850D8" w:rsidRDefault="002850D8" w:rsidP="002850D8">
      <w:pPr>
        <w:spacing w:after="0" w:line="240" w:lineRule="auto"/>
        <w:ind w:left="2765"/>
        <w:contextualSpacing/>
        <w:jc w:val="both"/>
        <w:rPr>
          <w:rFonts w:ascii="Arial" w:hAnsi="Arial" w:cs="Arial"/>
          <w:b/>
          <w:sz w:val="26"/>
          <w:szCs w:val="26"/>
        </w:rPr>
      </w:pPr>
      <w:r w:rsidRPr="002850D8">
        <w:rPr>
          <w:rFonts w:ascii="Arial" w:hAnsi="Arial" w:cs="Arial"/>
          <w:b/>
          <w:sz w:val="26"/>
          <w:szCs w:val="26"/>
        </w:rPr>
        <w:t>SALA SUPERIOR DEL TRIBUNAL DE JUSTICIA ADMINISTRATIVA DEL ESTADO DE OAXACA</w:t>
      </w:r>
    </w:p>
    <w:p w:rsidR="002850D8" w:rsidRPr="002850D8" w:rsidRDefault="002850D8" w:rsidP="002850D8">
      <w:pPr>
        <w:spacing w:after="0" w:line="240" w:lineRule="auto"/>
        <w:ind w:left="2765"/>
        <w:contextualSpacing/>
        <w:jc w:val="both"/>
        <w:rPr>
          <w:rFonts w:ascii="Arial" w:hAnsi="Arial" w:cs="Arial"/>
          <w:b/>
          <w:sz w:val="26"/>
          <w:szCs w:val="26"/>
        </w:rPr>
      </w:pPr>
    </w:p>
    <w:p w:rsidR="002850D8" w:rsidRPr="002850D8" w:rsidRDefault="002850D8" w:rsidP="002850D8">
      <w:pPr>
        <w:spacing w:after="0" w:line="240" w:lineRule="auto"/>
        <w:ind w:left="2765"/>
        <w:contextualSpacing/>
        <w:jc w:val="both"/>
        <w:rPr>
          <w:rFonts w:ascii="Arial" w:hAnsi="Arial" w:cs="Arial"/>
          <w:b/>
          <w:sz w:val="26"/>
          <w:szCs w:val="26"/>
        </w:rPr>
      </w:pPr>
      <w:r w:rsidRPr="002850D8">
        <w:rPr>
          <w:rFonts w:ascii="Arial" w:hAnsi="Arial" w:cs="Arial"/>
          <w:b/>
          <w:sz w:val="26"/>
          <w:szCs w:val="26"/>
        </w:rPr>
        <w:t>RECURSOS DE REVISIÓN: 265/2018, y 266/2018.</w:t>
      </w:r>
    </w:p>
    <w:p w:rsidR="002850D8" w:rsidRPr="002850D8" w:rsidRDefault="002850D8" w:rsidP="002850D8">
      <w:pPr>
        <w:spacing w:after="0" w:line="240" w:lineRule="auto"/>
        <w:ind w:left="2765"/>
        <w:contextualSpacing/>
        <w:jc w:val="both"/>
        <w:rPr>
          <w:rFonts w:ascii="Arial" w:hAnsi="Arial" w:cs="Arial"/>
          <w:b/>
          <w:sz w:val="26"/>
          <w:szCs w:val="26"/>
        </w:rPr>
      </w:pPr>
    </w:p>
    <w:p w:rsidR="002850D8" w:rsidRPr="002850D8" w:rsidRDefault="002850D8" w:rsidP="002850D8">
      <w:pPr>
        <w:spacing w:after="0" w:line="240" w:lineRule="auto"/>
        <w:ind w:left="2765"/>
        <w:contextualSpacing/>
        <w:jc w:val="both"/>
        <w:rPr>
          <w:rFonts w:ascii="Arial" w:hAnsi="Arial" w:cs="Arial"/>
          <w:b/>
          <w:sz w:val="26"/>
          <w:szCs w:val="26"/>
        </w:rPr>
      </w:pPr>
      <w:r w:rsidRPr="002850D8">
        <w:rPr>
          <w:rFonts w:ascii="Arial" w:hAnsi="Arial" w:cs="Arial"/>
          <w:b/>
          <w:sz w:val="26"/>
          <w:szCs w:val="26"/>
        </w:rPr>
        <w:t>EXPEDIENTE: 0118/2016, QUINTA SALA UNITARIA DE PRIMERA INSTANCIA</w:t>
      </w:r>
    </w:p>
    <w:p w:rsidR="002850D8" w:rsidRPr="002850D8" w:rsidRDefault="002850D8" w:rsidP="002850D8">
      <w:pPr>
        <w:spacing w:after="0" w:line="240" w:lineRule="auto"/>
        <w:ind w:left="2765"/>
        <w:contextualSpacing/>
        <w:jc w:val="both"/>
        <w:rPr>
          <w:rFonts w:ascii="Arial" w:hAnsi="Arial" w:cs="Arial"/>
          <w:b/>
          <w:sz w:val="26"/>
          <w:szCs w:val="26"/>
        </w:rPr>
      </w:pPr>
    </w:p>
    <w:p w:rsidR="002850D8" w:rsidRPr="002850D8" w:rsidRDefault="002850D8" w:rsidP="002850D8">
      <w:pPr>
        <w:spacing w:after="0" w:line="240" w:lineRule="auto"/>
        <w:ind w:left="2765"/>
        <w:contextualSpacing/>
        <w:jc w:val="both"/>
        <w:rPr>
          <w:rFonts w:ascii="Arial" w:hAnsi="Arial" w:cs="Arial"/>
          <w:b/>
          <w:sz w:val="26"/>
          <w:szCs w:val="26"/>
        </w:rPr>
      </w:pPr>
      <w:r w:rsidRPr="002850D8">
        <w:rPr>
          <w:rFonts w:ascii="Arial" w:hAnsi="Arial" w:cs="Arial"/>
          <w:b/>
          <w:sz w:val="26"/>
          <w:szCs w:val="26"/>
        </w:rPr>
        <w:t>PONENTE: MAGISTRADA MARÍA ELENA VILLA DE JARQUÍN.</w:t>
      </w:r>
    </w:p>
    <w:p w:rsidR="002850D8" w:rsidRPr="002850D8" w:rsidRDefault="002850D8" w:rsidP="002850D8">
      <w:pPr>
        <w:spacing w:after="0" w:line="240" w:lineRule="auto"/>
        <w:ind w:left="3686"/>
        <w:contextualSpacing/>
        <w:jc w:val="both"/>
        <w:rPr>
          <w:rFonts w:ascii="Arial" w:hAnsi="Arial" w:cs="Arial"/>
          <w:b/>
          <w:sz w:val="26"/>
          <w:szCs w:val="26"/>
        </w:rPr>
      </w:pPr>
    </w:p>
    <w:p w:rsidR="002850D8" w:rsidRPr="002850D8" w:rsidRDefault="002850D8" w:rsidP="002850D8">
      <w:pPr>
        <w:spacing w:after="0"/>
        <w:ind w:left="2124"/>
        <w:jc w:val="both"/>
        <w:rPr>
          <w:rFonts w:ascii="Arial" w:hAnsi="Arial" w:cs="Arial"/>
          <w:b/>
          <w:sz w:val="26"/>
          <w:szCs w:val="26"/>
        </w:rPr>
      </w:pPr>
    </w:p>
    <w:p w:rsidR="002850D8" w:rsidRPr="002850D8" w:rsidRDefault="002850D8" w:rsidP="002850D8">
      <w:pPr>
        <w:spacing w:before="240" w:after="240" w:line="360" w:lineRule="auto"/>
        <w:jc w:val="both"/>
        <w:rPr>
          <w:rFonts w:ascii="Arial" w:hAnsi="Arial" w:cs="Arial"/>
          <w:b/>
          <w:sz w:val="26"/>
          <w:szCs w:val="26"/>
        </w:rPr>
      </w:pPr>
      <w:r w:rsidRPr="002850D8">
        <w:rPr>
          <w:rFonts w:ascii="Arial" w:hAnsi="Arial" w:cs="Arial"/>
          <w:b/>
          <w:sz w:val="26"/>
          <w:szCs w:val="26"/>
        </w:rPr>
        <w:t>OAXACA DE JUÁREZ, OAXACA, SIETE DE FEBRERO DE DOS MIL DIECINUEVE.</w:t>
      </w:r>
    </w:p>
    <w:p w:rsidR="002850D8" w:rsidRPr="002850D8" w:rsidRDefault="002850D8" w:rsidP="002850D8">
      <w:pPr>
        <w:spacing w:line="360" w:lineRule="auto"/>
        <w:ind w:firstLine="708"/>
        <w:jc w:val="both"/>
        <w:rPr>
          <w:rFonts w:ascii="Arial" w:hAnsi="Arial" w:cs="Arial"/>
          <w:sz w:val="26"/>
          <w:szCs w:val="26"/>
        </w:rPr>
      </w:pPr>
      <w:r w:rsidRPr="002850D8">
        <w:rPr>
          <w:rFonts w:ascii="Arial" w:eastAsia="Calibri" w:hAnsi="Arial" w:cs="Arial"/>
          <w:sz w:val="26"/>
          <w:szCs w:val="26"/>
        </w:rPr>
        <w:t xml:space="preserve">Por recibidos los Cuadernos de Revisión </w:t>
      </w:r>
      <w:r w:rsidRPr="002850D8">
        <w:rPr>
          <w:rFonts w:ascii="Arial" w:eastAsia="Calibri" w:hAnsi="Arial" w:cs="Arial"/>
          <w:b/>
          <w:sz w:val="26"/>
          <w:szCs w:val="26"/>
        </w:rPr>
        <w:t>0265/2018 y 266/2018</w:t>
      </w:r>
      <w:r w:rsidRPr="002850D8">
        <w:rPr>
          <w:rFonts w:ascii="Arial" w:eastAsia="Calibri" w:hAnsi="Arial" w:cs="Arial"/>
          <w:sz w:val="26"/>
          <w:szCs w:val="26"/>
        </w:rPr>
        <w:t xml:space="preserve">, que remite la Secretaría General de Acuerdos, con motivo del recurso de revisión interpuesto por los codemandados </w:t>
      </w:r>
      <w:r w:rsidRPr="002850D8">
        <w:rPr>
          <w:rFonts w:ascii="Arial" w:eastAsia="Calibri" w:hAnsi="Arial" w:cs="Arial"/>
          <w:b/>
          <w:sz w:val="26"/>
          <w:szCs w:val="26"/>
        </w:rPr>
        <w:t>PRESIDENTE CONSTITUCIONAL  Y SINDICO  SEGUNDO, ambos del  MUNICIPIO DEL HONORABLE AYUNTAMIENTO DE OAXACA  DE OAXACA</w:t>
      </w:r>
      <w:r w:rsidRPr="002850D8">
        <w:rPr>
          <w:rFonts w:ascii="Arial" w:eastAsia="Calibri" w:hAnsi="Arial" w:cs="Arial"/>
          <w:sz w:val="26"/>
          <w:szCs w:val="26"/>
        </w:rPr>
        <w:t>,</w:t>
      </w:r>
      <w:r w:rsidRPr="002850D8">
        <w:rPr>
          <w:rFonts w:ascii="Arial" w:eastAsia="Calibri" w:hAnsi="Arial" w:cs="Arial"/>
          <w:b/>
          <w:sz w:val="26"/>
          <w:szCs w:val="26"/>
        </w:rPr>
        <w:t xml:space="preserve"> </w:t>
      </w:r>
      <w:r w:rsidRPr="002850D8">
        <w:rPr>
          <w:rFonts w:ascii="Arial" w:eastAsia="Calibri" w:hAnsi="Arial" w:cs="Arial"/>
          <w:sz w:val="26"/>
          <w:szCs w:val="26"/>
        </w:rPr>
        <w:t xml:space="preserve">en contra de la sentencia de </w:t>
      </w:r>
      <w:r>
        <w:rPr>
          <w:rFonts w:ascii="Arial" w:eastAsia="Calibri" w:hAnsi="Arial" w:cs="Arial"/>
          <w:sz w:val="26"/>
          <w:szCs w:val="26"/>
        </w:rPr>
        <w:t xml:space="preserve">13 </w:t>
      </w:r>
      <w:r w:rsidRPr="002850D8">
        <w:rPr>
          <w:rFonts w:ascii="Arial" w:eastAsia="Calibri" w:hAnsi="Arial" w:cs="Arial"/>
          <w:sz w:val="26"/>
          <w:szCs w:val="26"/>
        </w:rPr>
        <w:t xml:space="preserve">trece de junio de </w:t>
      </w:r>
      <w:r>
        <w:rPr>
          <w:rFonts w:ascii="Arial" w:eastAsia="Calibri" w:hAnsi="Arial" w:cs="Arial"/>
          <w:sz w:val="26"/>
          <w:szCs w:val="26"/>
        </w:rPr>
        <w:t xml:space="preserve">2018 </w:t>
      </w:r>
      <w:r w:rsidRPr="002850D8">
        <w:rPr>
          <w:rFonts w:ascii="Arial" w:eastAsia="Calibri" w:hAnsi="Arial" w:cs="Arial"/>
          <w:sz w:val="26"/>
          <w:szCs w:val="26"/>
        </w:rPr>
        <w:t xml:space="preserve">dos mil dieciocho, dictada en el expediente </w:t>
      </w:r>
      <w:r w:rsidRPr="002850D8">
        <w:rPr>
          <w:rFonts w:ascii="Arial" w:eastAsia="Calibri" w:hAnsi="Arial" w:cs="Arial"/>
          <w:b/>
          <w:sz w:val="26"/>
          <w:szCs w:val="26"/>
        </w:rPr>
        <w:t>116/2016</w:t>
      </w:r>
      <w:r>
        <w:rPr>
          <w:rFonts w:ascii="Arial" w:eastAsia="Calibri" w:hAnsi="Arial" w:cs="Arial"/>
          <w:b/>
          <w:sz w:val="26"/>
          <w:szCs w:val="26"/>
        </w:rPr>
        <w:t>,</w:t>
      </w:r>
      <w:r w:rsidRPr="002850D8">
        <w:rPr>
          <w:rFonts w:ascii="Arial" w:eastAsia="Calibri" w:hAnsi="Arial" w:cs="Arial"/>
          <w:b/>
          <w:sz w:val="26"/>
          <w:szCs w:val="26"/>
        </w:rPr>
        <w:t xml:space="preserve"> </w:t>
      </w:r>
      <w:r w:rsidRPr="002850D8">
        <w:rPr>
          <w:rFonts w:ascii="Arial" w:eastAsia="Calibri" w:hAnsi="Arial" w:cs="Arial"/>
          <w:sz w:val="26"/>
          <w:szCs w:val="26"/>
        </w:rPr>
        <w:t xml:space="preserve">de la Quinta Sala Unitaria de Primera Instancia, </w:t>
      </w:r>
      <w:r w:rsidRPr="002850D8">
        <w:rPr>
          <w:rFonts w:ascii="Arial" w:hAnsi="Arial" w:cs="Arial"/>
          <w:sz w:val="26"/>
          <w:szCs w:val="26"/>
        </w:rPr>
        <w:t xml:space="preserve">relativo al juicio de nulidad promovido por </w:t>
      </w:r>
      <w:r w:rsidR="00EA2806">
        <w:rPr>
          <w:rFonts w:ascii="Arial" w:hAnsi="Arial" w:cs="Arial"/>
          <w:b/>
          <w:sz w:val="26"/>
          <w:szCs w:val="26"/>
        </w:rPr>
        <w:t>**********</w:t>
      </w:r>
      <w:r w:rsidRPr="002850D8">
        <w:rPr>
          <w:rFonts w:ascii="Arial" w:hAnsi="Arial" w:cs="Arial"/>
          <w:b/>
          <w:sz w:val="26"/>
          <w:szCs w:val="26"/>
        </w:rPr>
        <w:t xml:space="preserve">, </w:t>
      </w:r>
      <w:r w:rsidRPr="002850D8">
        <w:rPr>
          <w:rFonts w:ascii="Arial" w:hAnsi="Arial" w:cs="Arial"/>
          <w:sz w:val="26"/>
          <w:szCs w:val="26"/>
        </w:rPr>
        <w:t xml:space="preserve">en contra del </w:t>
      </w:r>
      <w:r w:rsidRPr="002850D8">
        <w:rPr>
          <w:rFonts w:ascii="Arial" w:eastAsia="Calibri" w:hAnsi="Arial" w:cs="Arial"/>
          <w:b/>
          <w:sz w:val="26"/>
          <w:szCs w:val="26"/>
        </w:rPr>
        <w:t>Presidente Municipal Constitucional, Síndico Procurador Municipal y Director de Recursos Humanos, todos del Municipio de Oaxaca de Juárez, Oaxaca</w:t>
      </w:r>
      <w:r w:rsidRPr="002850D8">
        <w:rPr>
          <w:rFonts w:ascii="Arial" w:eastAsia="Calibri" w:hAnsi="Arial" w:cs="Arial"/>
          <w:sz w:val="26"/>
          <w:szCs w:val="26"/>
        </w:rPr>
        <w:t xml:space="preserve">, por lo que con fundamento en los artículos 207 y 208, de la Ley de Justicia Administrativa para el Estado de Oaxaca, </w:t>
      </w:r>
      <w:r w:rsidRPr="002850D8">
        <w:rPr>
          <w:rFonts w:ascii="Arial" w:hAnsi="Arial" w:cs="Arial"/>
          <w:bCs/>
          <w:iCs/>
          <w:sz w:val="26"/>
          <w:szCs w:val="26"/>
        </w:rPr>
        <w:t>vigente hasta el 20 veinte de octubre de 2017 dos mil diecisiete</w:t>
      </w:r>
      <w:r w:rsidRPr="002850D8">
        <w:rPr>
          <w:rFonts w:ascii="Arial" w:hAnsi="Arial" w:cs="Arial"/>
          <w:sz w:val="26"/>
          <w:szCs w:val="26"/>
        </w:rPr>
        <w:t>, se admite. En consecuencia, se procede a dictar resolución en los siguientes términos:</w:t>
      </w:r>
    </w:p>
    <w:p w:rsidR="002850D8" w:rsidRPr="002850D8" w:rsidRDefault="002850D8" w:rsidP="002850D8">
      <w:pPr>
        <w:spacing w:line="360" w:lineRule="auto"/>
        <w:jc w:val="center"/>
        <w:rPr>
          <w:rFonts w:ascii="Arial" w:hAnsi="Arial" w:cs="Arial"/>
          <w:b/>
          <w:bCs/>
          <w:sz w:val="26"/>
          <w:szCs w:val="26"/>
        </w:rPr>
      </w:pPr>
      <w:r w:rsidRPr="002850D8">
        <w:rPr>
          <w:rFonts w:ascii="Arial" w:hAnsi="Arial" w:cs="Arial"/>
          <w:b/>
          <w:bCs/>
          <w:sz w:val="26"/>
          <w:szCs w:val="26"/>
        </w:rPr>
        <w:t>R E S U L T A N D O</w:t>
      </w:r>
    </w:p>
    <w:p w:rsidR="002850D8" w:rsidRPr="002850D8" w:rsidRDefault="002850D8" w:rsidP="002850D8">
      <w:pPr>
        <w:spacing w:line="360" w:lineRule="auto"/>
        <w:jc w:val="both"/>
        <w:rPr>
          <w:rFonts w:ascii="Arial" w:eastAsia="Calibri" w:hAnsi="Arial" w:cs="Arial"/>
          <w:sz w:val="26"/>
          <w:szCs w:val="26"/>
        </w:rPr>
      </w:pPr>
      <w:r w:rsidRPr="002850D8">
        <w:rPr>
          <w:rFonts w:ascii="Arial" w:eastAsia="Calibri" w:hAnsi="Arial" w:cs="Arial"/>
          <w:b/>
          <w:bCs/>
          <w:sz w:val="26"/>
          <w:szCs w:val="26"/>
        </w:rPr>
        <w:tab/>
        <w:t xml:space="preserve">PRIMERO. </w:t>
      </w:r>
      <w:r w:rsidRPr="002850D8">
        <w:rPr>
          <w:rFonts w:ascii="Arial" w:eastAsia="Calibri" w:hAnsi="Arial" w:cs="Arial"/>
          <w:sz w:val="26"/>
          <w:szCs w:val="26"/>
        </w:rPr>
        <w:t xml:space="preserve">Inconformes con la sentencia de </w:t>
      </w:r>
      <w:r>
        <w:rPr>
          <w:rFonts w:ascii="Arial" w:eastAsia="Calibri" w:hAnsi="Arial" w:cs="Arial"/>
          <w:sz w:val="26"/>
          <w:szCs w:val="26"/>
        </w:rPr>
        <w:t xml:space="preserve">13 </w:t>
      </w:r>
      <w:r w:rsidRPr="002850D8">
        <w:rPr>
          <w:rFonts w:ascii="Arial" w:eastAsia="Calibri" w:hAnsi="Arial" w:cs="Arial"/>
          <w:sz w:val="26"/>
          <w:szCs w:val="26"/>
        </w:rPr>
        <w:t xml:space="preserve">trece de junio de </w:t>
      </w:r>
      <w:r>
        <w:rPr>
          <w:rFonts w:ascii="Arial" w:eastAsia="Calibri" w:hAnsi="Arial" w:cs="Arial"/>
          <w:sz w:val="26"/>
          <w:szCs w:val="26"/>
        </w:rPr>
        <w:t xml:space="preserve">2018 </w:t>
      </w:r>
      <w:r w:rsidRPr="002850D8">
        <w:rPr>
          <w:rFonts w:ascii="Arial" w:eastAsia="Calibri" w:hAnsi="Arial" w:cs="Arial"/>
          <w:sz w:val="26"/>
          <w:szCs w:val="26"/>
        </w:rPr>
        <w:t>dos mil dieciocho, dictada por la Quinta Sala Unitaria de Primera Instancia de este Tribunal, los codemandados PRESIDENTE CONSTITUCIONAL  y  SINDICO  SEGUNDO, ambos del  MUNICIPIO DEL HONORABLE AYUNTAMIENTO DE OAXACA  DE OAXACA, interpusieron en su contra recurso de revisión.</w:t>
      </w:r>
    </w:p>
    <w:p w:rsidR="002850D8" w:rsidRPr="002850D8" w:rsidRDefault="002850D8" w:rsidP="002850D8">
      <w:pPr>
        <w:spacing w:before="240" w:after="240" w:line="360" w:lineRule="auto"/>
        <w:jc w:val="both"/>
        <w:rPr>
          <w:rFonts w:ascii="Arial" w:eastAsia="Calibri" w:hAnsi="Arial" w:cs="Arial"/>
          <w:bCs/>
          <w:sz w:val="26"/>
          <w:szCs w:val="26"/>
        </w:rPr>
      </w:pPr>
      <w:r w:rsidRPr="002850D8">
        <w:rPr>
          <w:rFonts w:ascii="Arial" w:eastAsia="Calibri" w:hAnsi="Arial" w:cs="Arial"/>
          <w:b/>
          <w:bCs/>
          <w:sz w:val="26"/>
          <w:szCs w:val="26"/>
        </w:rPr>
        <w:tab/>
        <w:t xml:space="preserve">SEGUNDO. </w:t>
      </w:r>
      <w:r w:rsidRPr="002850D8">
        <w:rPr>
          <w:rFonts w:ascii="Arial" w:eastAsia="Calibri" w:hAnsi="Arial" w:cs="Arial"/>
          <w:bCs/>
          <w:sz w:val="26"/>
          <w:szCs w:val="26"/>
        </w:rPr>
        <w:t>Los puntos resolutivos de la sentencia recurrida son los siguientes:</w:t>
      </w:r>
    </w:p>
    <w:p w:rsidR="002850D8" w:rsidRPr="002850D8" w:rsidRDefault="002850D8" w:rsidP="002850D8">
      <w:pPr>
        <w:spacing w:line="240" w:lineRule="auto"/>
        <w:ind w:left="922" w:right="616"/>
        <w:jc w:val="both"/>
        <w:rPr>
          <w:rFonts w:ascii="Arial" w:eastAsia="Calibri" w:hAnsi="Arial" w:cs="Arial"/>
          <w:bCs/>
        </w:rPr>
      </w:pPr>
      <w:r w:rsidRPr="002850D8">
        <w:rPr>
          <w:rFonts w:ascii="Arial" w:eastAsia="Calibri" w:hAnsi="Arial" w:cs="Arial"/>
          <w:b/>
          <w:bCs/>
        </w:rPr>
        <w:lastRenderedPageBreak/>
        <w:t>“PRIMERO</w:t>
      </w:r>
      <w:r w:rsidRPr="002850D8">
        <w:rPr>
          <w:rFonts w:ascii="Arial" w:eastAsia="Calibri" w:hAnsi="Arial" w:cs="Arial"/>
          <w:bCs/>
        </w:rPr>
        <w:t>.- Esta Quinta Sala Unitaria de Primera Instancia del Tribunal de Justicia Administrativa del Estado de Oaxaca, fue competente para conocer y resolver el presente asunto.</w:t>
      </w:r>
    </w:p>
    <w:p w:rsidR="002850D8" w:rsidRPr="002850D8" w:rsidRDefault="002850D8" w:rsidP="002850D8">
      <w:pPr>
        <w:spacing w:line="240" w:lineRule="auto"/>
        <w:ind w:left="851" w:right="616"/>
        <w:jc w:val="both"/>
        <w:rPr>
          <w:rFonts w:ascii="Arial" w:eastAsia="Calibri" w:hAnsi="Arial" w:cs="Arial"/>
        </w:rPr>
      </w:pPr>
      <w:r w:rsidRPr="002850D8">
        <w:rPr>
          <w:rFonts w:ascii="Arial" w:eastAsia="Calibri" w:hAnsi="Arial" w:cs="Arial"/>
          <w:b/>
          <w:bCs/>
        </w:rPr>
        <w:t>SEGUNDO.-</w:t>
      </w:r>
      <w:r w:rsidRPr="002850D8">
        <w:rPr>
          <w:rFonts w:ascii="Arial" w:eastAsia="Calibri" w:hAnsi="Arial" w:cs="Arial"/>
          <w:bCs/>
        </w:rPr>
        <w:t xml:space="preserve"> La personalidad  de las (sic) parte actora quedó acreditada en autos, así como las autoridades demandas (sic) </w:t>
      </w:r>
      <w:r w:rsidRPr="002850D8">
        <w:rPr>
          <w:rFonts w:ascii="Arial" w:eastAsia="Calibri" w:hAnsi="Arial" w:cs="Arial"/>
        </w:rPr>
        <w:t xml:space="preserve">Presidente Municipal Constitucional, Síndico Procurador Municipal, Director de Recursos Humanos y comisionado  de seguridad Publica, Vialidad, Transporte y Protección  Civil, todas las autoridades  del Municipio de Oaxaca de Juárez, Oaxaca; </w:t>
      </w:r>
    </w:p>
    <w:p w:rsidR="002850D8" w:rsidRPr="002850D8" w:rsidRDefault="002850D8" w:rsidP="002850D8">
      <w:pPr>
        <w:spacing w:line="240" w:lineRule="auto"/>
        <w:ind w:left="851" w:right="616"/>
        <w:jc w:val="both"/>
        <w:rPr>
          <w:rFonts w:ascii="Arial" w:eastAsia="Calibri" w:hAnsi="Arial" w:cs="Arial"/>
          <w:bCs/>
        </w:rPr>
      </w:pPr>
      <w:r w:rsidRPr="002850D8">
        <w:rPr>
          <w:rFonts w:ascii="Arial" w:eastAsia="Calibri" w:hAnsi="Arial" w:cs="Arial"/>
          <w:b/>
          <w:bCs/>
        </w:rPr>
        <w:t>TERCERO.- SE SOBRESEE EL PRESENTE JUICIO</w:t>
      </w:r>
      <w:r w:rsidRPr="002850D8">
        <w:rPr>
          <w:rFonts w:ascii="Arial" w:eastAsia="Calibri" w:hAnsi="Arial" w:cs="Arial"/>
          <w:bCs/>
        </w:rPr>
        <w:t xml:space="preserve">, respecto de la orden verbal de separación o despido de las autoridades demandadas </w:t>
      </w:r>
      <w:r w:rsidRPr="002850D8">
        <w:rPr>
          <w:rFonts w:ascii="Arial" w:eastAsia="Calibri" w:hAnsi="Arial" w:cs="Arial"/>
          <w:b/>
        </w:rPr>
        <w:t>Presidente Municipal Constitucional, Síndico Procurador Municipal, Director de Recursos Humanos y Comisionado de Seguridad Publica, Vialidad, Transporte y Protección Civil, todas las autoridades del Municipio de Oaxaca de Juárez, Oaxaca</w:t>
      </w:r>
      <w:r w:rsidRPr="002850D8">
        <w:rPr>
          <w:rFonts w:ascii="Arial" w:eastAsia="Calibri" w:hAnsi="Arial" w:cs="Arial"/>
          <w:bCs/>
        </w:rPr>
        <w:t>; en atención al razonamiento expuesto en el considerando QUINTO de esta sentencia.</w:t>
      </w:r>
    </w:p>
    <w:p w:rsidR="002850D8" w:rsidRPr="002850D8" w:rsidRDefault="002850D8" w:rsidP="002850D8">
      <w:pPr>
        <w:spacing w:line="240" w:lineRule="auto"/>
        <w:ind w:left="851" w:right="616"/>
        <w:jc w:val="both"/>
        <w:rPr>
          <w:rFonts w:ascii="Arial" w:eastAsia="Calibri" w:hAnsi="Arial" w:cs="Arial"/>
          <w:bCs/>
        </w:rPr>
      </w:pPr>
      <w:r w:rsidRPr="002850D8">
        <w:rPr>
          <w:rFonts w:ascii="Arial" w:eastAsia="Calibri" w:hAnsi="Arial" w:cs="Arial"/>
          <w:b/>
          <w:bCs/>
        </w:rPr>
        <w:t>CUARTO.-</w:t>
      </w:r>
      <w:r w:rsidRPr="002850D8">
        <w:rPr>
          <w:rFonts w:ascii="Arial" w:eastAsia="Calibri" w:hAnsi="Arial" w:cs="Arial"/>
          <w:bCs/>
        </w:rPr>
        <w:t xml:space="preserve"> Páguese a </w:t>
      </w:r>
      <w:r w:rsidR="00EA2806">
        <w:rPr>
          <w:rFonts w:ascii="Arial" w:eastAsia="Calibri" w:hAnsi="Arial" w:cs="Arial"/>
          <w:bCs/>
        </w:rPr>
        <w:t>**********</w:t>
      </w:r>
      <w:r w:rsidRPr="002850D8">
        <w:rPr>
          <w:rFonts w:ascii="Arial" w:eastAsia="Calibri" w:hAnsi="Arial" w:cs="Arial"/>
          <w:bCs/>
        </w:rPr>
        <w:t xml:space="preserve">, la indemnización y demás prestaciones a que tiene derecho, en los términos del considerando SEXTO de la presente sentencia. </w:t>
      </w:r>
    </w:p>
    <w:p w:rsidR="002850D8" w:rsidRPr="002850D8" w:rsidRDefault="002850D8" w:rsidP="002850D8">
      <w:pPr>
        <w:spacing w:line="240" w:lineRule="auto"/>
        <w:ind w:left="851" w:right="616"/>
        <w:jc w:val="both"/>
        <w:rPr>
          <w:rFonts w:ascii="Arial" w:eastAsia="Calibri" w:hAnsi="Arial" w:cs="Arial"/>
          <w:bCs/>
        </w:rPr>
      </w:pPr>
      <w:r w:rsidRPr="002850D8">
        <w:rPr>
          <w:rFonts w:ascii="Arial" w:eastAsia="Calibri" w:hAnsi="Arial" w:cs="Arial"/>
          <w:b/>
          <w:bCs/>
        </w:rPr>
        <w:t>QUINTO.-</w:t>
      </w:r>
      <w:r w:rsidRPr="002850D8">
        <w:rPr>
          <w:rFonts w:ascii="Arial" w:eastAsia="Calibri" w:hAnsi="Arial" w:cs="Arial"/>
          <w:bCs/>
        </w:rPr>
        <w:t xml:space="preserve"> Conforme a lo dispuesto en los artículos 142 fracción I y 143 fracciones I y II de la Ley de Justicia Administrativa para el Estado, </w:t>
      </w:r>
      <w:r w:rsidRPr="002850D8">
        <w:rPr>
          <w:rFonts w:ascii="Arial" w:eastAsia="Calibri" w:hAnsi="Arial" w:cs="Arial"/>
          <w:b/>
          <w:bCs/>
        </w:rPr>
        <w:t>NOTIFIQUESE</w:t>
      </w:r>
      <w:r w:rsidRPr="002850D8">
        <w:rPr>
          <w:rFonts w:ascii="Arial" w:eastAsia="Calibri" w:hAnsi="Arial" w:cs="Arial"/>
          <w:bCs/>
        </w:rPr>
        <w:t xml:space="preserve"> personalmente al actor en el domicilio que tiene señalado para ello, a través de sus autorizados y por oficio a las autoridades demandadas.  CUMPLASE.”</w:t>
      </w:r>
    </w:p>
    <w:p w:rsidR="002850D8" w:rsidRPr="002850D8" w:rsidRDefault="002850D8" w:rsidP="002850D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2850D8">
        <w:rPr>
          <w:rFonts w:ascii="Arial" w:eastAsia="Times New Roman" w:hAnsi="Arial" w:cs="Arial"/>
          <w:b/>
          <w:bCs/>
          <w:sz w:val="26"/>
          <w:szCs w:val="26"/>
          <w:lang w:eastAsia="es-ES"/>
        </w:rPr>
        <w:t>C O N S I D E R A N D O:</w:t>
      </w:r>
    </w:p>
    <w:p w:rsidR="002850D8" w:rsidRPr="002850D8" w:rsidRDefault="002850D8" w:rsidP="002850D8">
      <w:pPr>
        <w:spacing w:before="240" w:line="360" w:lineRule="auto"/>
        <w:ind w:firstLine="708"/>
        <w:jc w:val="both"/>
        <w:rPr>
          <w:rFonts w:ascii="Arial" w:hAnsi="Arial" w:cs="Arial"/>
          <w:bCs/>
          <w:iCs/>
          <w:sz w:val="26"/>
          <w:szCs w:val="26"/>
        </w:rPr>
      </w:pPr>
      <w:r w:rsidRPr="002850D8">
        <w:rPr>
          <w:rFonts w:ascii="Arial" w:hAnsi="Arial" w:cs="Arial"/>
          <w:b/>
          <w:bCs/>
          <w:iCs/>
          <w:sz w:val="26"/>
          <w:szCs w:val="26"/>
        </w:rPr>
        <w:t xml:space="preserve">PRIMERO. </w:t>
      </w:r>
      <w:r w:rsidRPr="002850D8">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octubre de 2017 dos mil diecisiete,</w:t>
      </w:r>
      <w:r w:rsidRPr="002850D8">
        <w:rPr>
          <w:rFonts w:ascii="Arial" w:hAnsi="Arial" w:cs="Arial"/>
          <w:bCs/>
          <w:sz w:val="26"/>
          <w:szCs w:val="26"/>
        </w:rPr>
        <w:t xml:space="preserve"> </w:t>
      </w:r>
      <w:r w:rsidRPr="002850D8">
        <w:rPr>
          <w:rFonts w:ascii="Arial" w:hAnsi="Arial" w:cs="Arial"/>
          <w:bCs/>
          <w:iCs/>
          <w:sz w:val="26"/>
          <w:szCs w:val="26"/>
        </w:rPr>
        <w:t xml:space="preserve">dado que se trata de un </w:t>
      </w:r>
      <w:r w:rsidR="009A6799">
        <w:rPr>
          <w:rFonts w:ascii="Arial" w:hAnsi="Arial" w:cs="Arial"/>
          <w:bCs/>
          <w:iCs/>
          <w:sz w:val="26"/>
          <w:szCs w:val="26"/>
        </w:rPr>
        <w:t>juicio iniciado</w:t>
      </w:r>
      <w:r w:rsidRPr="002850D8">
        <w:rPr>
          <w:rFonts w:ascii="Arial" w:hAnsi="Arial" w:cs="Arial"/>
          <w:bCs/>
          <w:iCs/>
          <w:sz w:val="26"/>
          <w:szCs w:val="26"/>
        </w:rPr>
        <w:t xml:space="preserve"> en el año </w:t>
      </w:r>
      <w:r w:rsidR="009A6799">
        <w:rPr>
          <w:rFonts w:ascii="Arial" w:hAnsi="Arial" w:cs="Arial"/>
          <w:bCs/>
          <w:iCs/>
          <w:sz w:val="26"/>
          <w:szCs w:val="26"/>
        </w:rPr>
        <w:t xml:space="preserve">2015 </w:t>
      </w:r>
      <w:r w:rsidRPr="002850D8">
        <w:rPr>
          <w:rFonts w:ascii="Arial" w:hAnsi="Arial" w:cs="Arial"/>
          <w:bCs/>
          <w:iCs/>
          <w:sz w:val="26"/>
          <w:szCs w:val="26"/>
        </w:rPr>
        <w:t xml:space="preserve">dos mil quince y resuelto el </w:t>
      </w:r>
      <w:r w:rsidR="009A6799">
        <w:rPr>
          <w:rFonts w:ascii="Arial" w:hAnsi="Arial" w:cs="Arial"/>
          <w:bCs/>
          <w:iCs/>
          <w:sz w:val="26"/>
          <w:szCs w:val="26"/>
        </w:rPr>
        <w:t xml:space="preserve">13 </w:t>
      </w:r>
      <w:r w:rsidRPr="002850D8">
        <w:rPr>
          <w:rFonts w:ascii="Arial" w:hAnsi="Arial" w:cs="Arial"/>
          <w:bCs/>
          <w:iCs/>
          <w:sz w:val="26"/>
          <w:szCs w:val="26"/>
        </w:rPr>
        <w:t xml:space="preserve">trece de junio del </w:t>
      </w:r>
      <w:r w:rsidR="009A6799">
        <w:rPr>
          <w:rFonts w:ascii="Arial" w:hAnsi="Arial" w:cs="Arial"/>
          <w:bCs/>
          <w:iCs/>
          <w:sz w:val="26"/>
          <w:szCs w:val="26"/>
        </w:rPr>
        <w:t xml:space="preserve">2018 </w:t>
      </w:r>
      <w:r w:rsidRPr="002850D8">
        <w:rPr>
          <w:rFonts w:ascii="Arial" w:hAnsi="Arial" w:cs="Arial"/>
          <w:bCs/>
          <w:iCs/>
          <w:sz w:val="26"/>
          <w:szCs w:val="26"/>
        </w:rPr>
        <w:t xml:space="preserve">dos mil dieciocho, dictada por la Quinta Sala Unitaria de Primera Instancia, en el expediente </w:t>
      </w:r>
      <w:r w:rsidRPr="009A6799">
        <w:rPr>
          <w:rFonts w:ascii="Arial" w:hAnsi="Arial" w:cs="Arial"/>
          <w:b/>
          <w:bCs/>
          <w:iCs/>
          <w:sz w:val="26"/>
          <w:szCs w:val="26"/>
        </w:rPr>
        <w:t>0118/2016.</w:t>
      </w:r>
    </w:p>
    <w:p w:rsidR="002850D8" w:rsidRPr="002850D8" w:rsidRDefault="002850D8" w:rsidP="002850D8">
      <w:pPr>
        <w:spacing w:before="240" w:line="360" w:lineRule="auto"/>
        <w:ind w:firstLine="708"/>
        <w:jc w:val="both"/>
        <w:rPr>
          <w:rFonts w:ascii="Arial" w:hAnsi="Arial" w:cs="Arial"/>
          <w:bCs/>
          <w:iCs/>
          <w:sz w:val="26"/>
          <w:szCs w:val="26"/>
        </w:rPr>
      </w:pPr>
      <w:r w:rsidRPr="002850D8">
        <w:rPr>
          <w:rFonts w:ascii="Arial" w:hAnsi="Arial" w:cs="Arial"/>
          <w:b/>
          <w:bCs/>
          <w:sz w:val="26"/>
          <w:szCs w:val="26"/>
        </w:rPr>
        <w:t>SEGUNDO.</w:t>
      </w:r>
      <w:r w:rsidRPr="002850D8">
        <w:rPr>
          <w:rFonts w:ascii="Arial" w:hAnsi="Arial" w:cs="Arial"/>
          <w:bCs/>
          <w:sz w:val="26"/>
          <w:szCs w:val="26"/>
        </w:rPr>
        <w:t xml:space="preserve"> </w:t>
      </w:r>
      <w:r w:rsidRPr="002850D8">
        <w:rPr>
          <w:rFonts w:ascii="Arial" w:eastAsia="Calibri" w:hAnsi="Arial" w:cs="Arial"/>
          <w:bCs/>
          <w:sz w:val="26"/>
          <w:szCs w:val="26"/>
        </w:rPr>
        <w:t xml:space="preserve">Con motivo de la sentencia de trece de junio  de dos mil dieciocho, derivaron los recursos de revisión </w:t>
      </w:r>
      <w:r w:rsidRPr="009A6799">
        <w:rPr>
          <w:rFonts w:ascii="Arial" w:eastAsia="Calibri" w:hAnsi="Arial" w:cs="Arial"/>
          <w:b/>
          <w:bCs/>
          <w:sz w:val="26"/>
          <w:szCs w:val="26"/>
        </w:rPr>
        <w:t>265/2018 y 266/2018</w:t>
      </w:r>
      <w:r w:rsidRPr="002850D8">
        <w:rPr>
          <w:rFonts w:ascii="Arial" w:hAnsi="Arial" w:cs="Arial"/>
          <w:bCs/>
          <w:iCs/>
          <w:sz w:val="26"/>
          <w:szCs w:val="26"/>
        </w:rPr>
        <w:t xml:space="preserve">, interpuestos por los demandados </w:t>
      </w:r>
      <w:r w:rsidRPr="002850D8">
        <w:rPr>
          <w:rFonts w:ascii="Arial" w:eastAsia="Calibri" w:hAnsi="Arial" w:cs="Arial"/>
          <w:b/>
          <w:sz w:val="26"/>
          <w:szCs w:val="26"/>
        </w:rPr>
        <w:t>Presidente Municipal Constitucional y Síndico Procurador Municipal, todos del Municipio de Oaxaca de Juárez, Oaxaca</w:t>
      </w:r>
      <w:r w:rsidRPr="002850D8">
        <w:rPr>
          <w:rFonts w:ascii="Arial" w:hAnsi="Arial" w:cs="Arial"/>
          <w:bCs/>
          <w:sz w:val="26"/>
          <w:szCs w:val="26"/>
        </w:rPr>
        <w:t xml:space="preserve">; a efecto de contribuir a una mayor certeza y seguridad jurídica en favor de los recurrentes, </w:t>
      </w:r>
      <w:r w:rsidRPr="002850D8">
        <w:rPr>
          <w:rFonts w:ascii="Arial" w:hAnsi="Arial" w:cs="Arial"/>
          <w:sz w:val="26"/>
          <w:szCs w:val="26"/>
        </w:rPr>
        <w:t xml:space="preserve">conviene emitir una resolución común </w:t>
      </w:r>
      <w:r w:rsidRPr="002850D8">
        <w:rPr>
          <w:rFonts w:ascii="Arial" w:hAnsi="Arial" w:cs="Arial"/>
          <w:bCs/>
          <w:sz w:val="26"/>
          <w:szCs w:val="26"/>
        </w:rPr>
        <w:t xml:space="preserve">a ambos medios de impugnación, </w:t>
      </w:r>
      <w:r w:rsidRPr="002850D8">
        <w:rPr>
          <w:rFonts w:ascii="Arial" w:hAnsi="Arial" w:cs="Arial"/>
          <w:sz w:val="26"/>
          <w:szCs w:val="26"/>
        </w:rPr>
        <w:t>a fin de armonizarla y evitar se dicten resoluciones contradictorias.</w:t>
      </w:r>
    </w:p>
    <w:p w:rsidR="002850D8" w:rsidRPr="002850D8" w:rsidRDefault="002850D8" w:rsidP="002850D8">
      <w:pPr>
        <w:spacing w:before="240" w:line="360" w:lineRule="auto"/>
        <w:ind w:firstLine="708"/>
        <w:jc w:val="both"/>
        <w:rPr>
          <w:rFonts w:ascii="Arial" w:hAnsi="Arial" w:cs="Arial"/>
          <w:bCs/>
          <w:color w:val="000000" w:themeColor="text1"/>
          <w:sz w:val="26"/>
          <w:szCs w:val="26"/>
          <w:lang w:val="es-MX"/>
        </w:rPr>
      </w:pPr>
      <w:r w:rsidRPr="002850D8">
        <w:rPr>
          <w:rFonts w:ascii="Arial" w:hAnsi="Arial" w:cs="Arial"/>
          <w:b/>
          <w:bCs/>
          <w:sz w:val="26"/>
          <w:szCs w:val="26"/>
          <w:lang w:val="es-MX"/>
        </w:rPr>
        <w:t xml:space="preserve">TERCERO. </w:t>
      </w:r>
      <w:r w:rsidRPr="002850D8">
        <w:rPr>
          <w:rFonts w:ascii="Arial" w:hAnsi="Arial" w:cs="Arial"/>
          <w:bCs/>
          <w:color w:val="000000" w:themeColor="text1"/>
          <w:sz w:val="26"/>
          <w:szCs w:val="26"/>
          <w:lang w:val="es-MX"/>
        </w:rPr>
        <w:t>Previo al análisis de los motivos de inconformidad que alegan los recurrentes, cabe resaltar que en el Juicio Contencioso Administrativo es regla elemental, la consistente en examinar en primer lugar las violaciones alegadas o aquellas que se adviertan de oficio por el Tribunal; acorde a lo dispuesto por el artículo 206, fracción VII de la Ley de Justicia Administrativa para el Estado de Oaxaca</w:t>
      </w:r>
      <w:r w:rsidR="009A6799">
        <w:rPr>
          <w:rFonts w:ascii="Arial" w:hAnsi="Arial" w:cs="Arial"/>
          <w:bCs/>
          <w:color w:val="000000" w:themeColor="text1"/>
          <w:sz w:val="26"/>
          <w:szCs w:val="26"/>
          <w:lang w:val="es-MX"/>
        </w:rPr>
        <w:t>, vigente hasta el veinte de octubre de dos mil diecisiete</w:t>
      </w:r>
      <w:r w:rsidRPr="002850D8">
        <w:rPr>
          <w:rFonts w:ascii="Arial" w:hAnsi="Arial" w:cs="Arial"/>
          <w:bCs/>
          <w:color w:val="000000" w:themeColor="text1"/>
          <w:sz w:val="26"/>
          <w:szCs w:val="26"/>
          <w:lang w:val="es-MX"/>
        </w:rPr>
        <w:t>.</w:t>
      </w:r>
    </w:p>
    <w:p w:rsidR="002850D8" w:rsidRPr="002850D8" w:rsidRDefault="002850D8" w:rsidP="002850D8">
      <w:pPr>
        <w:pStyle w:val="Sinespaciado"/>
        <w:spacing w:before="240" w:line="360" w:lineRule="auto"/>
        <w:ind w:firstLine="708"/>
        <w:jc w:val="both"/>
        <w:rPr>
          <w:rFonts w:ascii="Arial" w:hAnsi="Arial" w:cs="Arial"/>
          <w:bCs/>
          <w:sz w:val="26"/>
          <w:szCs w:val="26"/>
          <w:lang w:val="es-MX"/>
        </w:rPr>
      </w:pPr>
      <w:r w:rsidRPr="002850D8">
        <w:rPr>
          <w:rFonts w:ascii="Arial" w:hAnsi="Arial" w:cs="Arial"/>
          <w:bCs/>
          <w:color w:val="000000"/>
          <w:sz w:val="26"/>
          <w:szCs w:val="26"/>
          <w:lang w:val="es-MX"/>
        </w:rPr>
        <w:t xml:space="preserve">Del estudio a las constancias que integran el expediente de primera instancia, que merecen pleno valor probatorio de conformidad con lo dispuesto en la fracción I, del artículo 173 de la </w:t>
      </w:r>
      <w:r w:rsidR="009A6799">
        <w:rPr>
          <w:rFonts w:ascii="Arial" w:hAnsi="Arial" w:cs="Arial"/>
          <w:bCs/>
          <w:color w:val="000000"/>
          <w:sz w:val="26"/>
          <w:szCs w:val="26"/>
          <w:lang w:val="es-MX"/>
        </w:rPr>
        <w:t xml:space="preserve">citada </w:t>
      </w:r>
      <w:r w:rsidRPr="002850D8">
        <w:rPr>
          <w:rFonts w:ascii="Arial" w:hAnsi="Arial" w:cs="Arial"/>
          <w:bCs/>
          <w:color w:val="000000"/>
          <w:sz w:val="26"/>
          <w:szCs w:val="26"/>
          <w:lang w:val="es-MX"/>
        </w:rPr>
        <w:t xml:space="preserve">Ley de Justicia Administrativa para el Estado de Oaxaca, por tratarse de actuaciones judiciales, </w:t>
      </w:r>
      <w:r w:rsidRPr="002850D8">
        <w:rPr>
          <w:rFonts w:ascii="Arial" w:hAnsi="Arial" w:cs="Arial"/>
          <w:bCs/>
          <w:sz w:val="26"/>
          <w:szCs w:val="26"/>
          <w:lang w:val="es-MX"/>
        </w:rPr>
        <w:t xml:space="preserve">se advierte violación a las normas fundamentales que regulan el procedimiento. </w:t>
      </w:r>
    </w:p>
    <w:p w:rsidR="002850D8" w:rsidRPr="002850D8" w:rsidRDefault="002850D8" w:rsidP="002850D8">
      <w:pPr>
        <w:pStyle w:val="Sinespaciado"/>
        <w:spacing w:before="240" w:line="360" w:lineRule="auto"/>
        <w:ind w:firstLine="708"/>
        <w:jc w:val="both"/>
        <w:rPr>
          <w:rFonts w:ascii="Arial" w:hAnsi="Arial" w:cs="Arial"/>
          <w:sz w:val="26"/>
          <w:szCs w:val="26"/>
        </w:rPr>
      </w:pPr>
      <w:r w:rsidRPr="002850D8">
        <w:rPr>
          <w:rFonts w:ascii="Arial" w:hAnsi="Arial" w:cs="Arial"/>
          <w:bCs/>
          <w:sz w:val="26"/>
          <w:szCs w:val="26"/>
          <w:lang w:val="es-MX"/>
        </w:rPr>
        <w:t xml:space="preserve">No se abordará el estudio de las consideraciones que sustentan el sentido de la resolución recurrida, ni de los agravios expresados para combatirla, toda vez que </w:t>
      </w:r>
      <w:r w:rsidRPr="002850D8">
        <w:rPr>
          <w:rFonts w:ascii="Arial" w:hAnsi="Arial" w:cs="Arial"/>
          <w:sz w:val="26"/>
          <w:szCs w:val="26"/>
        </w:rPr>
        <w:t xml:space="preserve">esta Sala Superior advierte de oficio que dicha sentencia carece de un requisito de validez, consistente en la falta de firma de la juez que emitió el auto de admisión de fecha veintinueve de octubre de dos mil quince. </w:t>
      </w:r>
    </w:p>
    <w:p w:rsidR="002850D8" w:rsidRPr="002850D8" w:rsidRDefault="002850D8" w:rsidP="002850D8">
      <w:pPr>
        <w:spacing w:before="240" w:line="360" w:lineRule="auto"/>
        <w:ind w:firstLine="708"/>
        <w:jc w:val="both"/>
        <w:rPr>
          <w:rFonts w:ascii="Arial" w:hAnsi="Arial" w:cs="Arial"/>
          <w:bCs/>
          <w:sz w:val="26"/>
          <w:szCs w:val="26"/>
          <w:lang w:val="es-MX"/>
        </w:rPr>
      </w:pPr>
      <w:r w:rsidRPr="002850D8">
        <w:rPr>
          <w:rFonts w:ascii="Arial" w:hAnsi="Arial" w:cs="Arial"/>
          <w:bCs/>
          <w:sz w:val="26"/>
          <w:szCs w:val="26"/>
          <w:lang w:val="es-MX"/>
        </w:rPr>
        <w:t>Respecto de la facultad de este órgano jurisdicción para abordar tal estudio de manera oficiosa, se cita el criterio contenido en la jurisprudencia XIX.1o.P.T. J/14, que por identidad jurídica resulta aplicable, la cual es sostenida por el Primer Tribunal Colegiado en materias Penal y de Trabajo del Décimo Noveno Circuito, publicada en el Semanario Judicial de la Federación y su Gaceta, Novena Época, página 3103, Tomo XXXIII,  enero de 2011, Materia Común, de rubro y texto siguientes:</w:t>
      </w:r>
    </w:p>
    <w:p w:rsidR="002850D8" w:rsidRDefault="002850D8" w:rsidP="002850D8">
      <w:pPr>
        <w:spacing w:after="0"/>
        <w:ind w:left="1134" w:right="495"/>
        <w:jc w:val="both"/>
        <w:rPr>
          <w:rFonts w:ascii="Arial" w:hAnsi="Arial" w:cs="Arial"/>
          <w:bCs/>
          <w:lang w:val="es-MX"/>
        </w:rPr>
      </w:pPr>
      <w:r w:rsidRPr="002850D8">
        <w:rPr>
          <w:rFonts w:ascii="Arial" w:hAnsi="Arial" w:cs="Arial"/>
          <w:b/>
          <w:bCs/>
          <w:i/>
          <w:sz w:val="24"/>
          <w:szCs w:val="24"/>
          <w:lang w:val="es-MX"/>
        </w:rPr>
        <w:t xml:space="preserve"> </w:t>
      </w:r>
      <w:r w:rsidRPr="002850D8">
        <w:rPr>
          <w:rFonts w:ascii="Arial" w:hAnsi="Arial" w:cs="Arial"/>
          <w:b/>
          <w:bCs/>
          <w:i/>
          <w:lang w:val="es-MX"/>
        </w:rPr>
        <w:t>“</w:t>
      </w:r>
      <w:r w:rsidRPr="002850D8">
        <w:rPr>
          <w:rFonts w:ascii="Arial" w:hAnsi="Arial" w:cs="Arial"/>
          <w:b/>
          <w:bCs/>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0011D">
        <w:rPr>
          <w:rFonts w:ascii="Arial" w:hAnsi="Arial" w:cs="Arial"/>
          <w:bCs/>
          <w:lang w:val="es-MX"/>
        </w:rPr>
        <w:t xml:space="preserve"> 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rsidR="002850D8" w:rsidRPr="00D0011D" w:rsidRDefault="002850D8" w:rsidP="002850D8">
      <w:pPr>
        <w:spacing w:after="0"/>
        <w:ind w:left="1134" w:right="495"/>
        <w:jc w:val="both"/>
        <w:rPr>
          <w:rFonts w:ascii="Arial" w:hAnsi="Arial" w:cs="Arial"/>
          <w:bCs/>
          <w:lang w:val="es-MX"/>
        </w:rPr>
      </w:pPr>
    </w:p>
    <w:p w:rsidR="002850D8" w:rsidRPr="002850D8" w:rsidRDefault="002850D8" w:rsidP="002850D8">
      <w:pPr>
        <w:pStyle w:val="corte5transcripcion"/>
        <w:ind w:left="0" w:right="-93"/>
        <w:rPr>
          <w:rFonts w:cs="Arial"/>
          <w:b w:val="0"/>
          <w:i w:val="0"/>
          <w:sz w:val="26"/>
          <w:szCs w:val="26"/>
        </w:rPr>
      </w:pPr>
      <w:r w:rsidRPr="00D0011D">
        <w:rPr>
          <w:rFonts w:cs="Arial"/>
          <w:b w:val="0"/>
          <w:i w:val="0"/>
          <w:sz w:val="24"/>
          <w:szCs w:val="24"/>
        </w:rPr>
        <w:t xml:space="preserve">         </w:t>
      </w:r>
      <w:r w:rsidRPr="002850D8">
        <w:rPr>
          <w:rFonts w:cs="Arial"/>
          <w:b w:val="0"/>
          <w:i w:val="0"/>
          <w:sz w:val="26"/>
          <w:szCs w:val="26"/>
        </w:rPr>
        <w:t>Es preciso analizar que el artículo 16 Constitucional, párrafo primero, consagra en favor de los gobernados las garantías de legalidad y seguridad jurídica y, su eficacia reside en el hecho de que se protege todo el sistema de derecho objetivo desde la propia Carta Magna hasta el reglamento administrativo más minucioso.</w:t>
      </w:r>
    </w:p>
    <w:p w:rsidR="002850D8" w:rsidRPr="002850D8" w:rsidRDefault="002850D8" w:rsidP="002850D8">
      <w:pPr>
        <w:pStyle w:val="corte5transcripcion"/>
        <w:ind w:left="0" w:right="-93"/>
        <w:rPr>
          <w:rFonts w:cs="Arial"/>
          <w:b w:val="0"/>
          <w:i w:val="0"/>
          <w:sz w:val="26"/>
          <w:szCs w:val="26"/>
        </w:rPr>
      </w:pPr>
      <w:r w:rsidRPr="002850D8">
        <w:rPr>
          <w:rFonts w:cs="Arial"/>
          <w:b w:val="0"/>
          <w:i w:val="0"/>
          <w:sz w:val="26"/>
          <w:szCs w:val="26"/>
        </w:rPr>
        <w:t xml:space="preserve">       De manera que la garantía de legalidad contenida en el invocado artículo 16, condiciona a que todo acto de molestia debe reunir los requisitos de fundamentación y motivación de la causa legal del procedimiento, por la que se entiende el acto o la serie de actos que provocan la molestia en la persona, familia, domicilio, papeles o posesiones de un gobernado realizados por la autoridad competente, deben no sólo tener un causa o elemento determinante, sino que éste sea legal, es decir, fundado y motivado en una ley en su aspecto, material. Esto es, una disposición normativa general e impersonal, creadora y reguladora de situaciones abstractas. </w:t>
      </w:r>
    </w:p>
    <w:p w:rsidR="002850D8" w:rsidRDefault="002850D8" w:rsidP="002850D8">
      <w:pPr>
        <w:pStyle w:val="corte5transcripcion"/>
        <w:ind w:left="0" w:right="49"/>
        <w:rPr>
          <w:rFonts w:cs="Arial"/>
          <w:b w:val="0"/>
          <w:i w:val="0"/>
          <w:sz w:val="26"/>
          <w:szCs w:val="26"/>
        </w:rPr>
      </w:pPr>
      <w:r w:rsidRPr="002850D8">
        <w:rPr>
          <w:rFonts w:cs="Arial"/>
          <w:b w:val="0"/>
          <w:i w:val="0"/>
          <w:sz w:val="26"/>
          <w:szCs w:val="26"/>
        </w:rPr>
        <w:t xml:space="preserve">         La fundamentación legal, consiste en que los actos que originen la molestia de que habla el artículo 16 constitucional, deben basarse en una disposición normativa general; es decir, que ésta prevea la situación concreta para la cual sea procedente realizar el acto de autoridad, que exista una ley que lo autorice.</w:t>
      </w:r>
    </w:p>
    <w:p w:rsidR="009A6799" w:rsidRPr="002850D8" w:rsidRDefault="009A6799" w:rsidP="002850D8">
      <w:pPr>
        <w:pStyle w:val="corte5transcripcion"/>
        <w:ind w:left="0" w:right="49"/>
        <w:rPr>
          <w:rFonts w:cs="Arial"/>
          <w:b w:val="0"/>
          <w:i w:val="0"/>
          <w:sz w:val="26"/>
          <w:szCs w:val="26"/>
        </w:rPr>
      </w:pPr>
    </w:p>
    <w:p w:rsidR="002850D8" w:rsidRPr="002850D8" w:rsidRDefault="002850D8" w:rsidP="009A6799">
      <w:pPr>
        <w:pStyle w:val="corte5transcripcion"/>
        <w:ind w:left="0" w:right="49" w:firstLine="708"/>
        <w:rPr>
          <w:rFonts w:cs="Arial"/>
          <w:b w:val="0"/>
          <w:i w:val="0"/>
          <w:sz w:val="26"/>
          <w:szCs w:val="26"/>
        </w:rPr>
      </w:pPr>
      <w:r w:rsidRPr="002850D8">
        <w:rPr>
          <w:rFonts w:cs="Arial"/>
          <w:b w:val="0"/>
          <w:i w:val="0"/>
          <w:sz w:val="26"/>
          <w:szCs w:val="26"/>
        </w:rPr>
        <w:t>De dicho precepto constitucional, se desprende que la emisión de todo acto de molestia debe cumplir con tres requisitos mínimos, que son:</w:t>
      </w:r>
    </w:p>
    <w:p w:rsidR="002850D8" w:rsidRPr="002850D8" w:rsidRDefault="002850D8" w:rsidP="002850D8">
      <w:pPr>
        <w:pStyle w:val="corte5transcripcion"/>
        <w:rPr>
          <w:rFonts w:cs="Arial"/>
          <w:b w:val="0"/>
          <w:i w:val="0"/>
          <w:sz w:val="26"/>
          <w:szCs w:val="26"/>
        </w:rPr>
      </w:pPr>
      <w:r w:rsidRPr="002850D8">
        <w:rPr>
          <w:rFonts w:cs="Arial"/>
          <w:b w:val="0"/>
          <w:i w:val="0"/>
          <w:sz w:val="26"/>
          <w:szCs w:val="26"/>
        </w:rPr>
        <w:t>1. Que se exprese por escrito y contenga la firma original o autógrafa del respectivo funcionario.</w:t>
      </w:r>
    </w:p>
    <w:p w:rsidR="002850D8" w:rsidRPr="002850D8" w:rsidRDefault="002850D8" w:rsidP="002850D8">
      <w:pPr>
        <w:pStyle w:val="corte5transcripcion"/>
        <w:rPr>
          <w:rFonts w:cs="Arial"/>
          <w:b w:val="0"/>
          <w:i w:val="0"/>
          <w:sz w:val="26"/>
          <w:szCs w:val="26"/>
        </w:rPr>
      </w:pPr>
      <w:r w:rsidRPr="002850D8">
        <w:rPr>
          <w:rFonts w:cs="Arial"/>
          <w:b w:val="0"/>
          <w:i w:val="0"/>
          <w:sz w:val="26"/>
          <w:szCs w:val="26"/>
        </w:rPr>
        <w:t xml:space="preserve">2. Que provenga de autoridad competente; y, </w:t>
      </w:r>
    </w:p>
    <w:p w:rsidR="002850D8" w:rsidRDefault="002850D8" w:rsidP="002850D8">
      <w:pPr>
        <w:pStyle w:val="corte5transcripcion"/>
        <w:rPr>
          <w:rFonts w:cs="Arial"/>
          <w:b w:val="0"/>
          <w:i w:val="0"/>
          <w:sz w:val="26"/>
          <w:szCs w:val="26"/>
        </w:rPr>
      </w:pPr>
      <w:r w:rsidRPr="002850D8">
        <w:rPr>
          <w:rFonts w:cs="Arial"/>
          <w:b w:val="0"/>
          <w:i w:val="0"/>
          <w:sz w:val="26"/>
          <w:szCs w:val="26"/>
        </w:rPr>
        <w:t>3. Que en los documentos escritos en los que se exprese, se funde y motive la causa legal del procedimiento.</w:t>
      </w:r>
    </w:p>
    <w:p w:rsidR="0022718B" w:rsidRPr="002850D8" w:rsidRDefault="0022718B" w:rsidP="002850D8">
      <w:pPr>
        <w:pStyle w:val="corte5transcripcion"/>
        <w:rPr>
          <w:rFonts w:cs="Arial"/>
          <w:b w:val="0"/>
          <w:i w:val="0"/>
          <w:sz w:val="26"/>
          <w:szCs w:val="26"/>
        </w:rPr>
      </w:pPr>
    </w:p>
    <w:p w:rsidR="002850D8" w:rsidRPr="002850D8" w:rsidRDefault="002850D8" w:rsidP="0022718B">
      <w:pPr>
        <w:pStyle w:val="corte5transcripcion"/>
        <w:ind w:left="0" w:right="49"/>
        <w:rPr>
          <w:rFonts w:cs="Arial"/>
          <w:b w:val="0"/>
          <w:i w:val="0"/>
          <w:sz w:val="26"/>
          <w:szCs w:val="26"/>
        </w:rPr>
      </w:pPr>
      <w:r w:rsidRPr="002850D8">
        <w:rPr>
          <w:rFonts w:cs="Arial"/>
          <w:b w:val="0"/>
          <w:i w:val="0"/>
          <w:sz w:val="26"/>
          <w:szCs w:val="26"/>
        </w:rPr>
        <w:t xml:space="preserve">         En ese sentido, para atender el contenido del artículo 16 constitucional, el acto de molestia, entre otros aspectos, deberá estar fundado y motivado, con la finalidad de que el gobernado tenga la posibilidad de conocer los preceptos légales en que se establece la conducta sancionada por la autoridad competente, pues los actos de esa naturaleza, contrario a los actos privativos, que son aquellos que producen como efecto la disminución, menoscabo o supresión definitiva de un derecho del gobernado, los autoriza solamente a través del cumplimiento de determinados requisitos precisados en el artículo 14, siendo que los actos de molestia, independientemente de constituir afectación a la esfera jurídica del gobernador, no producen los mismos efectos que los actos privativos, pues sólo restringen de manera provisional o preventiva un derecho con el objeto de proteger determinados bienes jurídicos, los autoriza, según lo dispuesto por el artículo 16, siempre y cuando preceda mandamiento escrito girado por una autoridad con competencia legal para ello, en donde ésta funde y motive la causa legal del procedimiento.</w:t>
      </w:r>
    </w:p>
    <w:p w:rsidR="002850D8" w:rsidRPr="002850D8" w:rsidRDefault="002850D8" w:rsidP="0022718B">
      <w:pPr>
        <w:pStyle w:val="corte5transcripcion"/>
        <w:ind w:left="0" w:right="49"/>
        <w:rPr>
          <w:rFonts w:cs="Arial"/>
          <w:b w:val="0"/>
          <w:i w:val="0"/>
          <w:sz w:val="26"/>
          <w:szCs w:val="26"/>
        </w:rPr>
      </w:pPr>
      <w:r w:rsidRPr="002850D8">
        <w:rPr>
          <w:rFonts w:cs="Arial"/>
          <w:b w:val="0"/>
          <w:i w:val="0"/>
          <w:sz w:val="26"/>
          <w:szCs w:val="26"/>
        </w:rPr>
        <w:tab/>
        <w:t xml:space="preserve">Expuesto lo anterior, ahora se tiene presente que en el auto de fecha 29 veintinueve de octubre de 2015 dos mil quince, se advierte que al final de su texto aparece los nombres de los funcionarios públicos que intervinieron en la emisión del auto, </w:t>
      </w:r>
      <w:r w:rsidRPr="002850D8">
        <w:rPr>
          <w:rFonts w:cs="Arial"/>
          <w:i w:val="0"/>
          <w:sz w:val="26"/>
          <w:szCs w:val="26"/>
        </w:rPr>
        <w:t xml:space="preserve">únicamente aparece la firma de la Secretaria de Estudio y Cuenta, quien realiza funciones de Secretario de Acuerdos de Juzgado, </w:t>
      </w:r>
      <w:r w:rsidRPr="002850D8">
        <w:rPr>
          <w:rFonts w:cs="Arial"/>
          <w:b w:val="0"/>
          <w:i w:val="0"/>
          <w:sz w:val="26"/>
          <w:szCs w:val="26"/>
        </w:rPr>
        <w:t xml:space="preserve">como consta en la parte final de la foja 77 reversa.  </w:t>
      </w:r>
    </w:p>
    <w:p w:rsidR="002850D8" w:rsidRPr="002850D8" w:rsidRDefault="002850D8" w:rsidP="0022718B">
      <w:pPr>
        <w:pStyle w:val="corte5transcripcion"/>
        <w:ind w:right="49"/>
        <w:rPr>
          <w:rFonts w:cs="Arial"/>
          <w:b w:val="0"/>
          <w:i w:val="0"/>
          <w:sz w:val="26"/>
          <w:szCs w:val="26"/>
        </w:rPr>
      </w:pPr>
    </w:p>
    <w:p w:rsidR="002850D8" w:rsidRPr="002850D8" w:rsidRDefault="002850D8" w:rsidP="0022718B">
      <w:pPr>
        <w:pStyle w:val="corte5transcripcion"/>
        <w:ind w:left="0" w:right="49"/>
        <w:rPr>
          <w:rFonts w:cs="Arial"/>
          <w:b w:val="0"/>
          <w:i w:val="0"/>
          <w:sz w:val="26"/>
          <w:szCs w:val="26"/>
        </w:rPr>
      </w:pPr>
      <w:r w:rsidRPr="002850D8">
        <w:rPr>
          <w:rFonts w:cs="Arial"/>
          <w:b w:val="0"/>
          <w:i w:val="0"/>
          <w:sz w:val="26"/>
          <w:szCs w:val="26"/>
        </w:rPr>
        <w:tab/>
        <w:t>Siendo que la emisión de un  auto  exige contener las firmas autógrafas de las funcionarias que  intervienen  en su emisión, que tiene como propósito evidente que pueda haber certeza sobre la existencia del acto de molestia y para que el afectado pueda conocer con precisión de cuál autoridad proviene, pues sobre el particular, debe tenerse en cuenta que el artículo 16 constitucional al hacer referencia al requisito de que esté emitido por “autoridad competente” significa que quien lo expide es la persona que cuenta con un cargo habilitado constitucional o legalmente y tenga dentro de sus atribuciones la facultad de emitirlo.</w:t>
      </w:r>
    </w:p>
    <w:p w:rsidR="002850D8" w:rsidRPr="002850D8" w:rsidRDefault="002850D8" w:rsidP="0022718B">
      <w:pPr>
        <w:pStyle w:val="corte5transcripcion"/>
        <w:ind w:left="0" w:right="49"/>
        <w:rPr>
          <w:rFonts w:cs="Arial"/>
          <w:b w:val="0"/>
          <w:i w:val="0"/>
          <w:sz w:val="26"/>
          <w:szCs w:val="26"/>
        </w:rPr>
      </w:pPr>
      <w:r w:rsidRPr="002850D8">
        <w:rPr>
          <w:rFonts w:cs="Arial"/>
          <w:b w:val="0"/>
          <w:i w:val="0"/>
          <w:sz w:val="26"/>
          <w:szCs w:val="26"/>
        </w:rPr>
        <w:t xml:space="preserve">          De modo que para la validez de la resolución emitida, se requiere que estén debidamente firmadas, por la que la emite, así como por el Secretario que la autoriza, ya que las firmas que plasman las Autoridades intervinientes en dichas resoluciones, es el signo manifiesto con el que validan su contenido, cumpliendo de esta manera con la obligación que les imponen los mencionados preceptos legales.</w:t>
      </w:r>
    </w:p>
    <w:p w:rsidR="002850D8" w:rsidRDefault="002850D8" w:rsidP="0022718B">
      <w:pPr>
        <w:pStyle w:val="corte5transcripcion"/>
        <w:ind w:left="0" w:right="49"/>
        <w:rPr>
          <w:rFonts w:cs="Arial"/>
          <w:b w:val="0"/>
          <w:i w:val="0"/>
          <w:sz w:val="26"/>
          <w:szCs w:val="26"/>
        </w:rPr>
      </w:pPr>
      <w:r w:rsidRPr="002850D8">
        <w:rPr>
          <w:rFonts w:cs="Arial"/>
          <w:b w:val="0"/>
          <w:i w:val="0"/>
          <w:sz w:val="26"/>
          <w:szCs w:val="26"/>
        </w:rPr>
        <w:tab/>
        <w:t xml:space="preserve">Es así, de acuerdo de la interpretación de los artículos 105 y 106 de la Ley de Justicia Administrativa vigente hasta el diciembre 2015, año en la que se emitió el auto admisorio, señala: </w:t>
      </w:r>
    </w:p>
    <w:p w:rsidR="0022718B" w:rsidRPr="002850D8" w:rsidRDefault="0022718B" w:rsidP="002850D8">
      <w:pPr>
        <w:pStyle w:val="corte5transcripcion"/>
        <w:ind w:left="0"/>
        <w:rPr>
          <w:rFonts w:cs="Arial"/>
          <w:b w:val="0"/>
          <w:i w:val="0"/>
          <w:sz w:val="26"/>
          <w:szCs w:val="26"/>
        </w:rPr>
      </w:pPr>
    </w:p>
    <w:p w:rsidR="002850D8" w:rsidRPr="00D0011D" w:rsidRDefault="002850D8" w:rsidP="0022718B">
      <w:pPr>
        <w:pStyle w:val="corte5transcripcion"/>
        <w:spacing w:line="276" w:lineRule="auto"/>
        <w:ind w:left="567"/>
        <w:rPr>
          <w:rFonts w:cs="Arial"/>
          <w:b w:val="0"/>
          <w:i w:val="0"/>
          <w:sz w:val="22"/>
          <w:szCs w:val="22"/>
        </w:rPr>
      </w:pPr>
      <w:r w:rsidRPr="00D0011D">
        <w:rPr>
          <w:rFonts w:cs="Arial"/>
          <w:i w:val="0"/>
          <w:sz w:val="22"/>
          <w:szCs w:val="22"/>
        </w:rPr>
        <w:t>“ARTÍCULO 105</w:t>
      </w:r>
      <w:r w:rsidRPr="00D0011D">
        <w:rPr>
          <w:rFonts w:cs="Arial"/>
          <w:b w:val="0"/>
          <w:i w:val="0"/>
          <w:sz w:val="22"/>
          <w:szCs w:val="22"/>
        </w:rPr>
        <w:t>.- Corresponde a los jueces de primera instancia de lo Contencioso Administrativo:…</w:t>
      </w:r>
    </w:p>
    <w:p w:rsidR="002850D8" w:rsidRPr="00D0011D" w:rsidRDefault="002850D8" w:rsidP="0022718B">
      <w:pPr>
        <w:pStyle w:val="corte5transcripcion"/>
        <w:spacing w:line="276" w:lineRule="auto"/>
        <w:ind w:left="567"/>
        <w:rPr>
          <w:rFonts w:cs="Arial"/>
          <w:b w:val="0"/>
          <w:i w:val="0"/>
          <w:sz w:val="22"/>
          <w:szCs w:val="22"/>
        </w:rPr>
      </w:pPr>
      <w:r w:rsidRPr="00D0011D">
        <w:rPr>
          <w:rFonts w:cs="Arial"/>
          <w:b w:val="0"/>
          <w:i w:val="0"/>
          <w:sz w:val="22"/>
          <w:szCs w:val="22"/>
        </w:rPr>
        <w:t xml:space="preserve">1.- Instruir y resolver el procedimiento contencioso administrativo; </w:t>
      </w:r>
    </w:p>
    <w:p w:rsidR="002850D8" w:rsidRPr="00D0011D" w:rsidRDefault="002850D8" w:rsidP="0022718B">
      <w:pPr>
        <w:pStyle w:val="corte5transcripcion"/>
        <w:spacing w:line="276" w:lineRule="auto"/>
        <w:ind w:left="567"/>
        <w:rPr>
          <w:rFonts w:cs="Arial"/>
          <w:b w:val="0"/>
          <w:i w:val="0"/>
          <w:sz w:val="22"/>
          <w:szCs w:val="22"/>
        </w:rPr>
      </w:pPr>
      <w:r w:rsidRPr="00D0011D">
        <w:rPr>
          <w:rFonts w:cs="Arial"/>
          <w:b w:val="0"/>
          <w:i w:val="0"/>
          <w:sz w:val="22"/>
          <w:szCs w:val="22"/>
        </w:rPr>
        <w:t>III. Dictar las resoluciones en los asuntos de su competencia;</w:t>
      </w:r>
    </w:p>
    <w:p w:rsidR="002850D8" w:rsidRPr="00D0011D" w:rsidRDefault="002850D8" w:rsidP="0022718B">
      <w:pPr>
        <w:pStyle w:val="corte5transcripcion"/>
        <w:spacing w:line="276" w:lineRule="auto"/>
        <w:ind w:left="567"/>
        <w:rPr>
          <w:rFonts w:cs="Arial"/>
          <w:b w:val="0"/>
          <w:i w:val="0"/>
          <w:sz w:val="22"/>
          <w:szCs w:val="22"/>
        </w:rPr>
      </w:pPr>
      <w:r w:rsidRPr="00D0011D">
        <w:rPr>
          <w:rFonts w:cs="Arial"/>
          <w:b w:val="0"/>
          <w:i w:val="0"/>
          <w:sz w:val="22"/>
          <w:szCs w:val="22"/>
        </w:rPr>
        <w:t xml:space="preserve"> …”</w:t>
      </w:r>
    </w:p>
    <w:p w:rsidR="002850D8" w:rsidRPr="00D0011D" w:rsidRDefault="002850D8" w:rsidP="0022718B">
      <w:pPr>
        <w:pStyle w:val="corte5transcripcion"/>
        <w:spacing w:line="276" w:lineRule="auto"/>
        <w:ind w:left="567"/>
        <w:rPr>
          <w:rFonts w:cs="Arial"/>
          <w:b w:val="0"/>
          <w:i w:val="0"/>
          <w:sz w:val="22"/>
          <w:szCs w:val="22"/>
        </w:rPr>
      </w:pPr>
      <w:r w:rsidRPr="00D0011D">
        <w:rPr>
          <w:rFonts w:cs="Arial"/>
          <w:i w:val="0"/>
          <w:sz w:val="22"/>
          <w:szCs w:val="22"/>
        </w:rPr>
        <w:t>“ARTÍCULO 106</w:t>
      </w:r>
      <w:r w:rsidRPr="00D0011D">
        <w:rPr>
          <w:rFonts w:cs="Arial"/>
          <w:b w:val="0"/>
          <w:i w:val="0"/>
          <w:sz w:val="22"/>
          <w:szCs w:val="22"/>
        </w:rPr>
        <w:t>.- Corresponde a los secretarios judiciales de lo contencioso administrativo de Primera Instancia;</w:t>
      </w:r>
    </w:p>
    <w:p w:rsidR="002850D8" w:rsidRPr="00D0011D" w:rsidRDefault="002850D8" w:rsidP="0022718B">
      <w:pPr>
        <w:pStyle w:val="corte5transcripcion"/>
        <w:spacing w:line="276" w:lineRule="auto"/>
        <w:ind w:left="567"/>
        <w:rPr>
          <w:rFonts w:cs="Arial"/>
          <w:b w:val="0"/>
          <w:i w:val="0"/>
          <w:sz w:val="22"/>
          <w:szCs w:val="22"/>
        </w:rPr>
      </w:pPr>
      <w:r w:rsidRPr="00D0011D">
        <w:rPr>
          <w:rFonts w:cs="Arial"/>
          <w:b w:val="0"/>
          <w:i w:val="0"/>
          <w:sz w:val="22"/>
          <w:szCs w:val="22"/>
        </w:rPr>
        <w:t>I.- Dar fe y firmar las resoluciones, acuerdos y actuaciones emitidos por los juzgados al que estén adscritos, autorizándolos con su firma;</w:t>
      </w:r>
    </w:p>
    <w:p w:rsidR="002850D8" w:rsidRPr="00D0011D" w:rsidRDefault="002850D8" w:rsidP="0022718B">
      <w:pPr>
        <w:pStyle w:val="corte5transcripcion"/>
        <w:spacing w:line="276" w:lineRule="auto"/>
        <w:ind w:left="567"/>
        <w:rPr>
          <w:rFonts w:cs="Arial"/>
          <w:b w:val="0"/>
          <w:i w:val="0"/>
          <w:sz w:val="22"/>
          <w:szCs w:val="22"/>
        </w:rPr>
      </w:pPr>
      <w:r w:rsidRPr="00D0011D">
        <w:rPr>
          <w:rFonts w:cs="Arial"/>
          <w:b w:val="0"/>
          <w:i w:val="0"/>
          <w:sz w:val="22"/>
          <w:szCs w:val="22"/>
        </w:rPr>
        <w:t>…”</w:t>
      </w:r>
    </w:p>
    <w:p w:rsidR="002850D8" w:rsidRPr="00D0011D" w:rsidRDefault="002850D8" w:rsidP="002850D8">
      <w:pPr>
        <w:pStyle w:val="corte5transcripcion"/>
        <w:ind w:left="0"/>
        <w:rPr>
          <w:rFonts w:cs="Arial"/>
          <w:b w:val="0"/>
          <w:i w:val="0"/>
          <w:sz w:val="24"/>
          <w:szCs w:val="24"/>
        </w:rPr>
      </w:pPr>
    </w:p>
    <w:p w:rsidR="002850D8" w:rsidRPr="0022718B" w:rsidRDefault="002850D8" w:rsidP="0022718B">
      <w:pPr>
        <w:pStyle w:val="corte5transcripcion"/>
        <w:ind w:left="0" w:right="49"/>
        <w:rPr>
          <w:rFonts w:cs="Arial"/>
          <w:b w:val="0"/>
          <w:i w:val="0"/>
          <w:sz w:val="26"/>
          <w:szCs w:val="26"/>
        </w:rPr>
      </w:pPr>
      <w:r w:rsidRPr="00D0011D">
        <w:rPr>
          <w:rFonts w:cs="Arial"/>
          <w:b w:val="0"/>
          <w:i w:val="0"/>
          <w:sz w:val="24"/>
          <w:szCs w:val="24"/>
        </w:rPr>
        <w:tab/>
      </w:r>
      <w:r w:rsidRPr="0022718B">
        <w:rPr>
          <w:rFonts w:cs="Arial"/>
          <w:b w:val="0"/>
          <w:i w:val="0"/>
          <w:sz w:val="26"/>
          <w:szCs w:val="26"/>
        </w:rPr>
        <w:t>Preceptos legales de los que se advierte que el juez y secretario de acuerdos actúan de manera conjunta; la primera es la que instruye y resuelve el procedimiento contencioso administrativo los asuntos de su competencia y la segunda da fe y firma las resoluciones, acuerdos y actuaciones emitidos por la primera, autorizándolos con su firma. Por ello, las actuaciones emitidas por el titular del juzgado deben estar debidamente firmadas por los integrantes del mismo, ya que con la firma que se plasma, es el signo manifiesto con el que se valida su contenido, cumpliendo de esta manera con la obligación que le impone los mencionados preceptos legales.</w:t>
      </w:r>
    </w:p>
    <w:p w:rsidR="002850D8" w:rsidRPr="00D0011D" w:rsidRDefault="002850D8" w:rsidP="002850D8">
      <w:pPr>
        <w:pStyle w:val="corte5transcripcion"/>
        <w:ind w:left="0"/>
        <w:rPr>
          <w:rFonts w:cs="Arial"/>
          <w:b w:val="0"/>
          <w:i w:val="0"/>
          <w:sz w:val="24"/>
          <w:szCs w:val="24"/>
        </w:rPr>
      </w:pPr>
      <w:r w:rsidRPr="00D0011D">
        <w:rPr>
          <w:rFonts w:cs="Arial"/>
          <w:b w:val="0"/>
          <w:i w:val="0"/>
          <w:sz w:val="24"/>
          <w:szCs w:val="24"/>
        </w:rPr>
        <w:tab/>
      </w:r>
    </w:p>
    <w:p w:rsidR="002850D8" w:rsidRPr="0022718B" w:rsidRDefault="002850D8" w:rsidP="0022718B">
      <w:pPr>
        <w:pStyle w:val="corte5transcripcion"/>
        <w:ind w:left="0" w:right="49"/>
        <w:rPr>
          <w:rFonts w:cs="Arial"/>
          <w:b w:val="0"/>
          <w:i w:val="0"/>
          <w:sz w:val="26"/>
          <w:szCs w:val="26"/>
        </w:rPr>
      </w:pPr>
      <w:r w:rsidRPr="00D0011D">
        <w:rPr>
          <w:rFonts w:cs="Arial"/>
          <w:b w:val="0"/>
          <w:i w:val="0"/>
          <w:sz w:val="24"/>
          <w:szCs w:val="24"/>
        </w:rPr>
        <w:tab/>
      </w:r>
      <w:r w:rsidRPr="0022718B">
        <w:rPr>
          <w:rFonts w:cs="Arial"/>
          <w:b w:val="0"/>
          <w:i w:val="0"/>
          <w:sz w:val="26"/>
          <w:szCs w:val="26"/>
        </w:rPr>
        <w:t>De modo que la falta de firma de la juez en  el  auto de fecha 29 veintinueve de octubre de 2015 dos mil quince, constituye una violación a las reglas fundamentales del procedimiento, ya que es quien instruye y resuelve el procedimiento, siendo indispensable que plasmara su firma correspondiente, y ante dicha omisión, es claro que no existe certeza de la autenticidad del acto y, por ende,  la resolución  es inválida</w:t>
      </w:r>
      <w:r w:rsidRPr="0022718B">
        <w:rPr>
          <w:rFonts w:cs="Arial"/>
          <w:i w:val="0"/>
          <w:sz w:val="26"/>
          <w:szCs w:val="26"/>
        </w:rPr>
        <w:t xml:space="preserve"> </w:t>
      </w:r>
      <w:r w:rsidRPr="0022718B">
        <w:rPr>
          <w:rFonts w:cs="Arial"/>
          <w:b w:val="0"/>
          <w:i w:val="0"/>
          <w:sz w:val="26"/>
          <w:szCs w:val="26"/>
        </w:rPr>
        <w:t xml:space="preserve">que origina su nulidad por no existir certeza de su autenticidad, ni puede surtir efecto legal alguno por no contener la firma de la emisora. </w:t>
      </w:r>
    </w:p>
    <w:p w:rsidR="002850D8" w:rsidRDefault="002850D8" w:rsidP="0022718B">
      <w:pPr>
        <w:pStyle w:val="corte5transcripcion"/>
        <w:ind w:left="0" w:right="49"/>
        <w:rPr>
          <w:rFonts w:cs="Arial"/>
          <w:b w:val="0"/>
          <w:i w:val="0"/>
          <w:sz w:val="26"/>
          <w:szCs w:val="26"/>
        </w:rPr>
      </w:pPr>
      <w:r w:rsidRPr="0022718B">
        <w:rPr>
          <w:rFonts w:cs="Arial"/>
          <w:b w:val="0"/>
          <w:sz w:val="26"/>
          <w:szCs w:val="26"/>
        </w:rPr>
        <w:tab/>
      </w:r>
      <w:r w:rsidRPr="0022718B">
        <w:rPr>
          <w:rFonts w:cs="Arial"/>
          <w:b w:val="0"/>
          <w:i w:val="0"/>
          <w:sz w:val="26"/>
          <w:szCs w:val="26"/>
        </w:rPr>
        <w:t>Se encuentra sustento lo anterior, por similitud del caso en la tesis de rubro:</w:t>
      </w:r>
    </w:p>
    <w:p w:rsidR="0022718B" w:rsidRPr="0022718B" w:rsidRDefault="0022718B" w:rsidP="0022718B">
      <w:pPr>
        <w:pStyle w:val="corte5transcripcion"/>
        <w:ind w:left="0" w:right="49"/>
        <w:rPr>
          <w:rFonts w:cs="Arial"/>
          <w:b w:val="0"/>
          <w:i w:val="0"/>
          <w:sz w:val="26"/>
          <w:szCs w:val="26"/>
        </w:rPr>
      </w:pPr>
    </w:p>
    <w:p w:rsidR="002850D8" w:rsidRDefault="002850D8" w:rsidP="00412A51">
      <w:pPr>
        <w:pStyle w:val="corte5transcripcion"/>
        <w:spacing w:line="276" w:lineRule="auto"/>
        <w:ind w:left="567"/>
        <w:rPr>
          <w:rFonts w:cs="Arial"/>
          <w:b w:val="0"/>
          <w:i w:val="0"/>
          <w:sz w:val="22"/>
          <w:szCs w:val="22"/>
        </w:rPr>
      </w:pPr>
      <w:r w:rsidRPr="00000708">
        <w:rPr>
          <w:rFonts w:cs="Arial"/>
          <w:i w:val="0"/>
          <w:sz w:val="24"/>
          <w:szCs w:val="24"/>
        </w:rPr>
        <w:t xml:space="preserve"> </w:t>
      </w:r>
      <w:r w:rsidRPr="00000708">
        <w:rPr>
          <w:rFonts w:cs="Arial"/>
          <w:b w:val="0"/>
          <w:i w:val="0"/>
          <w:sz w:val="22"/>
          <w:szCs w:val="22"/>
        </w:rPr>
        <w:t>“</w:t>
      </w:r>
      <w:r w:rsidRPr="00000708">
        <w:rPr>
          <w:rFonts w:cs="Arial"/>
          <w:i w:val="0"/>
          <w:sz w:val="22"/>
          <w:szCs w:val="22"/>
        </w:rPr>
        <w:t>DEMANDA DE AMPARO. LA FALTA DE FIRMA DEL AUTO ADMISORIO POR PARTE DEL TITULAR DEL ÓRGANO QUE CONOCE DE ELLA O DEL SECRETARIO QUE LO AUTORIZA, DA LUGAR A LA REPOSICIÓN DEL PROCEDIMIENTO</w:t>
      </w:r>
      <w:r w:rsidRPr="00000708">
        <w:rPr>
          <w:rFonts w:cs="Arial"/>
          <w:b w:val="0"/>
          <w:i w:val="0"/>
          <w:sz w:val="22"/>
          <w:szCs w:val="22"/>
        </w:rPr>
        <w:t>. De acuerdo con lo dispuesto en los artículos 219 y 220 del Código Federal de Procedimientos Civiles, de aplicación supletoria a la Ley de Amparo, conforme a su artículo 2o., todas las resoluciones judiciales deben estar suscritas por el Juez, Magistrado o Ministro que las pronuncie, según corresponda, entendiéndose por resoluciones judiciales: Los decretos, autos o sentencias que se emitan en el juicio. En estas condiciones, es claro que conforme a estos preceptos y dada la trascendencia jurídica que reviste el auto admisorio, para su validez se deben satisfacer, entre otros requisitos, que el mismo se encuentre firmado tanto por el titular del órgano jurisdiccional que lo emite, como por el secretario que lo autoriza; por lo que, si dicho auto carece de las referidas firmas, lo procedente es revocar la sentencia recurrida y ordenar la reposición del procedimiento, de conformidad con lo establecido por el artículo 91, fracción IV, de la Ley de Amparo, por tratarse de una violación a las reglas fundamentales que norman el procedimiento en el juicio de amparo.</w:t>
      </w:r>
      <w:r>
        <w:rPr>
          <w:rFonts w:cs="Arial"/>
          <w:b w:val="0"/>
          <w:i w:val="0"/>
          <w:sz w:val="22"/>
          <w:szCs w:val="22"/>
        </w:rPr>
        <w:t xml:space="preserve">”  </w:t>
      </w:r>
    </w:p>
    <w:p w:rsidR="002850D8" w:rsidRPr="00D0011D" w:rsidRDefault="002850D8" w:rsidP="002850D8">
      <w:pPr>
        <w:pStyle w:val="corte5transcripcion"/>
        <w:ind w:left="0"/>
        <w:rPr>
          <w:rFonts w:cs="Arial"/>
          <w:b w:val="0"/>
          <w:i w:val="0"/>
          <w:sz w:val="22"/>
          <w:szCs w:val="22"/>
        </w:rPr>
      </w:pPr>
    </w:p>
    <w:p w:rsidR="002850D8" w:rsidRPr="0022718B" w:rsidRDefault="002850D8" w:rsidP="00412A51">
      <w:pPr>
        <w:pStyle w:val="corte5transcripcion"/>
        <w:ind w:left="0" w:right="49"/>
        <w:rPr>
          <w:rFonts w:cs="Arial"/>
          <w:b w:val="0"/>
          <w:i w:val="0"/>
          <w:sz w:val="26"/>
          <w:szCs w:val="26"/>
        </w:rPr>
      </w:pPr>
      <w:r w:rsidRPr="00000708">
        <w:rPr>
          <w:rFonts w:cs="Arial"/>
          <w:b w:val="0"/>
          <w:i w:val="0"/>
          <w:sz w:val="24"/>
          <w:szCs w:val="24"/>
        </w:rPr>
        <w:tab/>
      </w:r>
      <w:r w:rsidRPr="0022718B">
        <w:rPr>
          <w:rFonts w:cs="Arial"/>
          <w:b w:val="0"/>
          <w:i w:val="0"/>
          <w:sz w:val="26"/>
          <w:szCs w:val="26"/>
        </w:rPr>
        <w:t xml:space="preserve">En consecuencia se revoca la sentencia de fecha trece de junio de dos mil dieciocho, para el efecto de que la sala correspondiente reponga el procedimiento a partir de la violación de carácter formal apuntada, hecho lo anterior continué con la secuela del procedimiento y en su momento procesal oportuno emita la sentencia correspondiente. </w:t>
      </w:r>
    </w:p>
    <w:p w:rsidR="002850D8" w:rsidRPr="0022718B" w:rsidRDefault="002850D8" w:rsidP="00412A51">
      <w:pPr>
        <w:spacing w:before="240" w:line="360" w:lineRule="auto"/>
        <w:ind w:right="49" w:firstLine="709"/>
        <w:jc w:val="both"/>
        <w:rPr>
          <w:rFonts w:ascii="Arial" w:hAnsi="Arial" w:cs="Arial"/>
          <w:sz w:val="26"/>
          <w:szCs w:val="26"/>
          <w:lang w:val="es-MX"/>
        </w:rPr>
      </w:pPr>
      <w:r w:rsidRPr="0022718B">
        <w:rPr>
          <w:rFonts w:ascii="Arial" w:hAnsi="Arial" w:cs="Arial"/>
          <w:sz w:val="26"/>
          <w:szCs w:val="26"/>
          <w:lang w:val="es-MX"/>
        </w:rPr>
        <w:t>En mérito de lo anterior, con fundamento en los artículos 206 fracción VII, 207 y 208 de la Ley de Justicia Administrativa para el Estado,</w:t>
      </w:r>
      <w:r w:rsidR="00412A51">
        <w:rPr>
          <w:rFonts w:ascii="Arial" w:hAnsi="Arial" w:cs="Arial"/>
          <w:sz w:val="26"/>
          <w:szCs w:val="26"/>
          <w:lang w:val="es-MX"/>
        </w:rPr>
        <w:t xml:space="preserve"> vigente al inicio del juicio natural,</w:t>
      </w:r>
      <w:r w:rsidRPr="0022718B">
        <w:rPr>
          <w:rFonts w:ascii="Arial" w:hAnsi="Arial" w:cs="Arial"/>
          <w:sz w:val="26"/>
          <w:szCs w:val="26"/>
          <w:lang w:val="es-MX"/>
        </w:rPr>
        <w:t xml:space="preserve"> se:</w:t>
      </w:r>
    </w:p>
    <w:p w:rsidR="002850D8" w:rsidRPr="0022718B" w:rsidRDefault="002850D8" w:rsidP="0022718B">
      <w:pPr>
        <w:tabs>
          <w:tab w:val="left" w:pos="1134"/>
        </w:tabs>
        <w:spacing w:before="240" w:line="360" w:lineRule="auto"/>
        <w:ind w:right="-376"/>
        <w:jc w:val="center"/>
        <w:rPr>
          <w:rFonts w:ascii="Arial" w:hAnsi="Arial" w:cs="Arial"/>
          <w:b/>
          <w:sz w:val="26"/>
          <w:szCs w:val="26"/>
        </w:rPr>
      </w:pPr>
      <w:r w:rsidRPr="0022718B">
        <w:rPr>
          <w:rFonts w:ascii="Arial" w:hAnsi="Arial" w:cs="Arial"/>
          <w:b/>
          <w:sz w:val="26"/>
          <w:szCs w:val="26"/>
        </w:rPr>
        <w:t>R E S U E L V E</w:t>
      </w:r>
    </w:p>
    <w:p w:rsidR="009A6799" w:rsidRDefault="002850D8" w:rsidP="009A6799">
      <w:pPr>
        <w:spacing w:before="240" w:line="360" w:lineRule="auto"/>
        <w:ind w:right="-376" w:firstLine="708"/>
        <w:jc w:val="both"/>
        <w:rPr>
          <w:rFonts w:ascii="Arial" w:hAnsi="Arial" w:cs="Arial"/>
          <w:sz w:val="26"/>
          <w:szCs w:val="26"/>
          <w:lang w:val="es-MX"/>
        </w:rPr>
      </w:pPr>
      <w:r w:rsidRPr="0022718B">
        <w:rPr>
          <w:rFonts w:ascii="Arial" w:hAnsi="Arial" w:cs="Arial"/>
          <w:b/>
          <w:sz w:val="26"/>
          <w:szCs w:val="26"/>
        </w:rPr>
        <w:t>PRIMERO</w:t>
      </w:r>
      <w:r w:rsidRPr="0022718B">
        <w:rPr>
          <w:rFonts w:ascii="Arial" w:hAnsi="Arial" w:cs="Arial"/>
          <w:b/>
          <w:sz w:val="26"/>
          <w:szCs w:val="26"/>
          <w:lang w:val="es-MX"/>
        </w:rPr>
        <w:t>.</w:t>
      </w:r>
      <w:r w:rsidRPr="0022718B">
        <w:rPr>
          <w:rFonts w:ascii="Arial" w:hAnsi="Arial" w:cs="Arial"/>
          <w:sz w:val="26"/>
          <w:szCs w:val="26"/>
          <w:lang w:val="es-MX"/>
        </w:rPr>
        <w:t xml:space="preserve"> Se </w:t>
      </w:r>
      <w:r w:rsidRPr="009A6799">
        <w:rPr>
          <w:rFonts w:ascii="Arial" w:hAnsi="Arial" w:cs="Arial"/>
          <w:b/>
          <w:sz w:val="26"/>
          <w:szCs w:val="26"/>
          <w:lang w:val="es-MX"/>
        </w:rPr>
        <w:t>REVOCA</w:t>
      </w:r>
      <w:r w:rsidR="009A6799">
        <w:rPr>
          <w:rFonts w:ascii="Arial" w:hAnsi="Arial" w:cs="Arial"/>
          <w:sz w:val="26"/>
          <w:szCs w:val="26"/>
          <w:lang w:val="es-MX"/>
        </w:rPr>
        <w:t xml:space="preserve"> la sentencia recurrida.</w:t>
      </w:r>
    </w:p>
    <w:p w:rsidR="009A6799" w:rsidRDefault="002850D8" w:rsidP="009A6799">
      <w:pPr>
        <w:spacing w:before="240" w:line="360" w:lineRule="auto"/>
        <w:ind w:right="-376" w:firstLine="708"/>
        <w:jc w:val="both"/>
        <w:rPr>
          <w:rFonts w:ascii="Arial" w:hAnsi="Arial" w:cs="Arial"/>
          <w:sz w:val="26"/>
          <w:szCs w:val="26"/>
          <w:lang w:val="es-MX"/>
        </w:rPr>
      </w:pPr>
      <w:r w:rsidRPr="0022718B">
        <w:rPr>
          <w:rFonts w:ascii="Arial" w:hAnsi="Arial" w:cs="Arial"/>
          <w:b/>
          <w:sz w:val="26"/>
          <w:szCs w:val="26"/>
          <w:lang w:val="es-MX"/>
        </w:rPr>
        <w:t>SEGUNDO</w:t>
      </w:r>
      <w:r w:rsidRPr="0022718B">
        <w:rPr>
          <w:rFonts w:ascii="Arial" w:hAnsi="Arial" w:cs="Arial"/>
          <w:sz w:val="26"/>
          <w:szCs w:val="26"/>
          <w:lang w:val="es-MX"/>
        </w:rPr>
        <w:t xml:space="preserve">. Se ordena reponer el procedimiento, en los términos precisados </w:t>
      </w:r>
      <w:r w:rsidR="009A6799">
        <w:rPr>
          <w:rFonts w:ascii="Arial" w:hAnsi="Arial" w:cs="Arial"/>
          <w:sz w:val="26"/>
          <w:szCs w:val="26"/>
          <w:lang w:val="es-MX"/>
        </w:rPr>
        <w:t>en el considerando que antecede.</w:t>
      </w:r>
    </w:p>
    <w:p w:rsidR="009A6799" w:rsidRDefault="002850D8" w:rsidP="009A6799">
      <w:pPr>
        <w:spacing w:before="240" w:line="360" w:lineRule="auto"/>
        <w:ind w:right="-376" w:firstLine="708"/>
        <w:jc w:val="both"/>
        <w:rPr>
          <w:rFonts w:ascii="Arial" w:hAnsi="Arial" w:cs="Arial"/>
          <w:sz w:val="26"/>
          <w:szCs w:val="26"/>
        </w:rPr>
      </w:pPr>
      <w:r w:rsidRPr="0022718B">
        <w:rPr>
          <w:rFonts w:ascii="Arial" w:hAnsi="Arial" w:cs="Arial"/>
          <w:b/>
          <w:sz w:val="26"/>
          <w:szCs w:val="26"/>
        </w:rPr>
        <w:t>TERCERO</w:t>
      </w:r>
      <w:r w:rsidRPr="0022718B">
        <w:rPr>
          <w:rFonts w:ascii="Arial" w:hAnsi="Arial" w:cs="Arial"/>
          <w:sz w:val="26"/>
          <w:szCs w:val="26"/>
        </w:rPr>
        <w:t xml:space="preserve">. Glósese copia certificada de la presente resolución al cuaderno de revisión </w:t>
      </w:r>
      <w:r w:rsidRPr="0022718B">
        <w:rPr>
          <w:rFonts w:ascii="Arial" w:hAnsi="Arial" w:cs="Arial"/>
          <w:b/>
          <w:sz w:val="26"/>
          <w:szCs w:val="26"/>
        </w:rPr>
        <w:t>266/2018</w:t>
      </w:r>
      <w:r w:rsidRPr="0022718B">
        <w:rPr>
          <w:rFonts w:ascii="Arial" w:hAnsi="Arial" w:cs="Arial"/>
          <w:sz w:val="26"/>
          <w:szCs w:val="26"/>
        </w:rPr>
        <w:t>, para los ef</w:t>
      </w:r>
      <w:r w:rsidR="009A6799">
        <w:rPr>
          <w:rFonts w:ascii="Arial" w:hAnsi="Arial" w:cs="Arial"/>
          <w:sz w:val="26"/>
          <w:szCs w:val="26"/>
        </w:rPr>
        <w:t>ectos legales a que haya lugar.</w:t>
      </w:r>
    </w:p>
    <w:p w:rsidR="00412A51" w:rsidRPr="009A6799" w:rsidRDefault="00412A51" w:rsidP="009A6799">
      <w:pPr>
        <w:spacing w:before="240" w:line="360" w:lineRule="auto"/>
        <w:ind w:right="-376" w:firstLine="708"/>
        <w:jc w:val="both"/>
        <w:rPr>
          <w:rFonts w:ascii="Arial" w:hAnsi="Arial" w:cs="Arial"/>
          <w:sz w:val="26"/>
          <w:szCs w:val="26"/>
          <w:lang w:val="es-MX"/>
        </w:rPr>
      </w:pPr>
      <w:r>
        <w:rPr>
          <w:rFonts w:ascii="Arial" w:hAnsi="Arial" w:cs="Arial"/>
          <w:b/>
          <w:sz w:val="26"/>
          <w:szCs w:val="26"/>
          <w:lang w:val="es-MX"/>
        </w:rPr>
        <w:t>CUARTO</w:t>
      </w:r>
      <w:r>
        <w:rPr>
          <w:rFonts w:ascii="Arial" w:hAnsi="Arial" w:cs="Arial"/>
          <w:sz w:val="26"/>
          <w:szCs w:val="26"/>
          <w:lang w:val="es-MX"/>
        </w:rPr>
        <w:t>.</w:t>
      </w:r>
      <w:r>
        <w:rPr>
          <w:rFonts w:ascii="Arial" w:hAnsi="Arial" w:cs="Arial"/>
          <w:b/>
          <w:sz w:val="26"/>
          <w:szCs w:val="26"/>
        </w:rPr>
        <w:t xml:space="preserve"> </w:t>
      </w:r>
      <w:r w:rsidR="009A6799" w:rsidRPr="009A6799">
        <w:rPr>
          <w:rFonts w:ascii="Arial" w:hAnsi="Arial" w:cs="Arial"/>
          <w:sz w:val="26"/>
          <w:szCs w:val="26"/>
        </w:rPr>
        <w:t>Finalmente</w:t>
      </w:r>
      <w:r w:rsidR="009A6799">
        <w:rPr>
          <w:rFonts w:ascii="Arial" w:hAnsi="Arial" w:cs="Arial"/>
          <w:b/>
          <w:sz w:val="26"/>
          <w:szCs w:val="26"/>
        </w:rPr>
        <w:t xml:space="preserve"> </w:t>
      </w:r>
      <w:r w:rsidRPr="00F95C7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A611F6" w:rsidRPr="00412A51" w:rsidRDefault="00412A51" w:rsidP="00412A51">
      <w:pPr>
        <w:spacing w:before="240" w:line="360" w:lineRule="auto"/>
        <w:ind w:right="-376"/>
        <w:jc w:val="both"/>
        <w:rPr>
          <w:rFonts w:ascii="Arial" w:hAnsi="Arial" w:cs="Arial"/>
          <w:sz w:val="26"/>
          <w:szCs w:val="26"/>
        </w:rPr>
      </w:pPr>
      <w:r>
        <w:rPr>
          <w:rFonts w:ascii="Arial" w:hAnsi="Arial" w:cs="Arial"/>
          <w:b/>
          <w:sz w:val="26"/>
          <w:szCs w:val="26"/>
        </w:rPr>
        <w:t xml:space="preserve">           QUINTO</w:t>
      </w:r>
      <w:r w:rsidR="002850D8" w:rsidRPr="0022718B">
        <w:rPr>
          <w:rFonts w:ascii="Arial" w:hAnsi="Arial" w:cs="Arial"/>
          <w:sz w:val="26"/>
          <w:szCs w:val="26"/>
        </w:rPr>
        <w:t xml:space="preserve">.- </w:t>
      </w:r>
      <w:r w:rsidR="002850D8" w:rsidRPr="0022718B">
        <w:rPr>
          <w:rFonts w:ascii="Arial" w:hAnsi="Arial" w:cs="Arial"/>
          <w:b/>
          <w:sz w:val="26"/>
          <w:szCs w:val="26"/>
        </w:rPr>
        <w:t>NOTIFÍQUESE Y CÚMPLASE</w:t>
      </w:r>
      <w:r w:rsidR="002850D8" w:rsidRPr="0022718B">
        <w:rPr>
          <w:rFonts w:ascii="Arial" w:hAnsi="Arial" w:cs="Arial"/>
          <w:sz w:val="26"/>
          <w:szCs w:val="26"/>
        </w:rPr>
        <w:t>, con copia certificada de la presente resolución, vuelvan las constancias remitidas a la Quinta Sala Unitaria de Primera Instancia y en su oportunidad archívese el cuaderno de revisión como concluido.</w:t>
      </w:r>
    </w:p>
    <w:p w:rsidR="00412A51" w:rsidRPr="00146B0F" w:rsidRDefault="00412A51" w:rsidP="00412A51">
      <w:pPr>
        <w:spacing w:line="360" w:lineRule="auto"/>
        <w:ind w:firstLine="708"/>
        <w:jc w:val="both"/>
        <w:rPr>
          <w:rFonts w:ascii="Arial" w:eastAsiaTheme="minorEastAsia" w:hAnsi="Arial" w:cs="Arial"/>
          <w:sz w:val="26"/>
          <w:szCs w:val="26"/>
          <w:lang w:val="es-MX" w:eastAsia="es-MX"/>
        </w:rPr>
      </w:pPr>
      <w:r w:rsidRPr="00146B0F">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12A51" w:rsidRDefault="00412A51" w:rsidP="00412A51">
      <w:pPr>
        <w:spacing w:line="360" w:lineRule="auto"/>
        <w:jc w:val="both"/>
        <w:rPr>
          <w:rFonts w:ascii="Arial" w:eastAsiaTheme="minorEastAsia" w:hAnsi="Arial" w:cs="Arial"/>
          <w:sz w:val="26"/>
          <w:szCs w:val="26"/>
          <w:lang w:val="es-MX" w:eastAsia="es-MX"/>
        </w:rPr>
      </w:pPr>
    </w:p>
    <w:p w:rsidR="00412A51" w:rsidRDefault="00412A51" w:rsidP="00412A51">
      <w:pPr>
        <w:spacing w:line="360" w:lineRule="auto"/>
        <w:jc w:val="both"/>
        <w:rPr>
          <w:rFonts w:ascii="Arial" w:eastAsiaTheme="minorEastAsia" w:hAnsi="Arial" w:cs="Arial"/>
          <w:sz w:val="26"/>
          <w:szCs w:val="26"/>
          <w:lang w:val="es-MX" w:eastAsia="es-MX"/>
        </w:rPr>
      </w:pPr>
    </w:p>
    <w:p w:rsidR="00412A51" w:rsidRDefault="00412A51" w:rsidP="00412A51">
      <w:pPr>
        <w:pStyle w:val="Sinespaciado"/>
        <w:jc w:val="center"/>
        <w:rPr>
          <w:rFonts w:ascii="Arial" w:hAnsi="Arial" w:cs="Arial"/>
          <w:sz w:val="26"/>
          <w:szCs w:val="26"/>
          <w:lang w:val="es-MX"/>
        </w:rPr>
      </w:pPr>
      <w:r>
        <w:rPr>
          <w:rFonts w:ascii="Arial" w:hAnsi="Arial" w:cs="Arial"/>
          <w:sz w:val="26"/>
          <w:szCs w:val="26"/>
        </w:rPr>
        <w:t>MAGISTRADO ADRIÁN QUIROGA AVENDAÑO.</w:t>
      </w:r>
    </w:p>
    <w:p w:rsidR="00412A51" w:rsidRDefault="00412A51" w:rsidP="00412A51">
      <w:pPr>
        <w:pStyle w:val="Sinespaciado"/>
        <w:jc w:val="center"/>
        <w:rPr>
          <w:rFonts w:ascii="Arial" w:hAnsi="Arial" w:cs="Arial"/>
          <w:sz w:val="26"/>
          <w:szCs w:val="26"/>
        </w:rPr>
      </w:pPr>
      <w:r>
        <w:rPr>
          <w:rFonts w:ascii="Arial" w:hAnsi="Arial" w:cs="Arial"/>
          <w:sz w:val="26"/>
          <w:szCs w:val="26"/>
        </w:rPr>
        <w:t>PRESIDENTE</w:t>
      </w:r>
    </w:p>
    <w:p w:rsidR="00412A51" w:rsidRDefault="00412A51" w:rsidP="00412A51">
      <w:pPr>
        <w:spacing w:line="360" w:lineRule="auto"/>
        <w:rPr>
          <w:rFonts w:ascii="Arial" w:eastAsia="Calibri" w:hAnsi="Arial" w:cs="Arial"/>
          <w:sz w:val="26"/>
          <w:szCs w:val="26"/>
        </w:rPr>
      </w:pPr>
    </w:p>
    <w:p w:rsidR="00412A51" w:rsidRPr="00D106BB" w:rsidRDefault="00D106BB" w:rsidP="00D106BB">
      <w:pPr>
        <w:spacing w:line="360" w:lineRule="auto"/>
        <w:jc w:val="center"/>
        <w:rPr>
          <w:rFonts w:ascii="Arial" w:eastAsia="Calibri" w:hAnsi="Arial" w:cs="Arial"/>
          <w:b/>
          <w:sz w:val="14"/>
          <w:szCs w:val="26"/>
        </w:rPr>
      </w:pPr>
      <w:r w:rsidRPr="00D106BB">
        <w:rPr>
          <w:rFonts w:ascii="Arial" w:eastAsia="Calibri" w:hAnsi="Arial" w:cs="Arial"/>
          <w:b/>
          <w:sz w:val="14"/>
          <w:szCs w:val="26"/>
        </w:rPr>
        <w:t>LAS PRESENTES FIRMAS CORRESPONDEN AL RECURSO DE REVISIÓN 265/2018</w:t>
      </w:r>
    </w:p>
    <w:p w:rsidR="00412A51" w:rsidRDefault="00412A51" w:rsidP="00412A51">
      <w:pPr>
        <w:spacing w:line="360" w:lineRule="auto"/>
        <w:rPr>
          <w:rFonts w:ascii="Arial" w:eastAsia="Calibri" w:hAnsi="Arial" w:cs="Arial"/>
          <w:sz w:val="26"/>
          <w:szCs w:val="26"/>
        </w:rPr>
      </w:pPr>
    </w:p>
    <w:p w:rsidR="00D106BB" w:rsidRDefault="00D106BB" w:rsidP="00412A51">
      <w:pPr>
        <w:spacing w:line="360" w:lineRule="auto"/>
        <w:rPr>
          <w:rFonts w:ascii="Arial" w:eastAsia="Calibri" w:hAnsi="Arial" w:cs="Arial"/>
          <w:sz w:val="26"/>
          <w:szCs w:val="26"/>
        </w:rPr>
      </w:pPr>
    </w:p>
    <w:p w:rsidR="00D106BB" w:rsidRDefault="00D106BB" w:rsidP="00412A51">
      <w:pPr>
        <w:spacing w:line="360" w:lineRule="auto"/>
        <w:rPr>
          <w:rFonts w:ascii="Arial" w:eastAsia="Calibri" w:hAnsi="Arial" w:cs="Arial"/>
          <w:sz w:val="26"/>
          <w:szCs w:val="26"/>
        </w:rPr>
      </w:pPr>
    </w:p>
    <w:p w:rsidR="00412A51" w:rsidRDefault="00412A51" w:rsidP="00412A51">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412A51" w:rsidRDefault="00412A51" w:rsidP="00412A51">
      <w:pPr>
        <w:spacing w:line="360" w:lineRule="auto"/>
        <w:jc w:val="center"/>
        <w:rPr>
          <w:rFonts w:ascii="Arial" w:eastAsia="Calibri" w:hAnsi="Arial" w:cs="Arial"/>
          <w:sz w:val="26"/>
          <w:szCs w:val="26"/>
        </w:rPr>
      </w:pPr>
    </w:p>
    <w:p w:rsidR="00412A51" w:rsidRDefault="00412A51" w:rsidP="00412A51">
      <w:pPr>
        <w:spacing w:line="360" w:lineRule="auto"/>
        <w:rPr>
          <w:rFonts w:ascii="Arial" w:eastAsia="Calibri" w:hAnsi="Arial" w:cs="Arial"/>
          <w:sz w:val="26"/>
          <w:szCs w:val="26"/>
        </w:rPr>
      </w:pPr>
    </w:p>
    <w:p w:rsidR="00412A51" w:rsidRDefault="00412A51" w:rsidP="00412A51">
      <w:pPr>
        <w:spacing w:line="360" w:lineRule="auto"/>
        <w:rPr>
          <w:rFonts w:ascii="Arial" w:eastAsia="Calibri" w:hAnsi="Arial" w:cs="Arial"/>
          <w:sz w:val="26"/>
          <w:szCs w:val="26"/>
        </w:rPr>
      </w:pPr>
    </w:p>
    <w:p w:rsidR="00412A51" w:rsidRDefault="00412A51" w:rsidP="00412A51">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412A51" w:rsidRDefault="00412A51" w:rsidP="00412A51">
      <w:pPr>
        <w:rPr>
          <w:rFonts w:ascii="Arial" w:eastAsia="Calibri" w:hAnsi="Arial" w:cs="Arial"/>
          <w:sz w:val="26"/>
          <w:szCs w:val="26"/>
        </w:rPr>
      </w:pPr>
    </w:p>
    <w:p w:rsidR="00412A51" w:rsidRDefault="00412A51" w:rsidP="00412A51">
      <w:pPr>
        <w:rPr>
          <w:rFonts w:ascii="Arial" w:eastAsia="Calibri" w:hAnsi="Arial" w:cs="Arial"/>
          <w:sz w:val="26"/>
          <w:szCs w:val="26"/>
        </w:rPr>
      </w:pPr>
    </w:p>
    <w:p w:rsidR="00D106BB" w:rsidRDefault="00D106BB" w:rsidP="00412A51">
      <w:pPr>
        <w:rPr>
          <w:rFonts w:ascii="Arial" w:eastAsia="Calibri" w:hAnsi="Arial" w:cs="Arial"/>
          <w:sz w:val="26"/>
          <w:szCs w:val="26"/>
        </w:rPr>
      </w:pPr>
    </w:p>
    <w:p w:rsidR="000E1E64" w:rsidRDefault="000E1E64" w:rsidP="00412A51">
      <w:pPr>
        <w:rPr>
          <w:rFonts w:ascii="Arial" w:eastAsia="Calibri" w:hAnsi="Arial" w:cs="Arial"/>
          <w:sz w:val="26"/>
          <w:szCs w:val="26"/>
        </w:rPr>
      </w:pPr>
    </w:p>
    <w:p w:rsidR="00412A51" w:rsidRDefault="00412A51" w:rsidP="00412A51">
      <w:pPr>
        <w:pStyle w:val="Sinespaciado"/>
        <w:jc w:val="center"/>
        <w:rPr>
          <w:rFonts w:ascii="Arial" w:hAnsi="Arial" w:cs="Arial"/>
          <w:sz w:val="26"/>
          <w:szCs w:val="26"/>
        </w:rPr>
      </w:pPr>
      <w:r>
        <w:rPr>
          <w:rFonts w:ascii="Arial" w:hAnsi="Arial" w:cs="Arial"/>
          <w:sz w:val="26"/>
          <w:szCs w:val="26"/>
        </w:rPr>
        <w:t>LICENCIADA LETICIA GARCÍA SOTO.</w:t>
      </w:r>
    </w:p>
    <w:p w:rsidR="00412A51" w:rsidRPr="00FA26A1" w:rsidRDefault="00412A51" w:rsidP="00412A51">
      <w:pPr>
        <w:pStyle w:val="Sinespaciado"/>
        <w:jc w:val="center"/>
        <w:rPr>
          <w:rFonts w:ascii="Arial" w:hAnsi="Arial" w:cs="Arial"/>
          <w:sz w:val="26"/>
          <w:szCs w:val="26"/>
        </w:rPr>
      </w:pPr>
      <w:r>
        <w:rPr>
          <w:rFonts w:ascii="Arial" w:hAnsi="Arial" w:cs="Arial"/>
          <w:sz w:val="26"/>
          <w:szCs w:val="26"/>
        </w:rPr>
        <w:t>SECRETARIA GENERAL DE ACUERDOS.</w:t>
      </w:r>
    </w:p>
    <w:p w:rsidR="00412A51" w:rsidRPr="00737021" w:rsidRDefault="00412A51" w:rsidP="00412A51">
      <w:pPr>
        <w:spacing w:line="360" w:lineRule="auto"/>
        <w:ind w:firstLine="708"/>
        <w:jc w:val="both"/>
      </w:pPr>
    </w:p>
    <w:p w:rsidR="00412A51" w:rsidRPr="002850D8" w:rsidRDefault="00412A51" w:rsidP="002850D8"/>
    <w:sectPr w:rsidR="00412A51" w:rsidRPr="002850D8" w:rsidSect="002850D8">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979" w:rsidRDefault="00DE5979">
      <w:pPr>
        <w:spacing w:after="0" w:line="240" w:lineRule="auto"/>
      </w:pPr>
      <w:r>
        <w:separator/>
      </w:r>
    </w:p>
  </w:endnote>
  <w:endnote w:type="continuationSeparator" w:id="0">
    <w:p w:rsidR="00DE5979" w:rsidRDefault="00DE5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E15" w:rsidRDefault="003A7E1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E15" w:rsidRDefault="003A7E15">
    <w:pPr>
      <w:pStyle w:val="Piedepgina"/>
    </w:pPr>
    <w:r>
      <w:rPr>
        <w:noProof/>
        <w:lang w:val="es-MX" w:eastAsia="es-MX"/>
      </w:rPr>
      <w:drawing>
        <wp:anchor distT="0" distB="0" distL="114300" distR="114300" simplePos="0" relativeHeight="251665408" behindDoc="0" locked="0" layoutInCell="1" allowOverlap="1" wp14:anchorId="52EE73BE" wp14:editId="20DB20AF">
          <wp:simplePos x="0" y="0"/>
          <wp:positionH relativeFrom="column">
            <wp:posOffset>-1471041</wp:posOffset>
          </wp:positionH>
          <wp:positionV relativeFrom="paragraph">
            <wp:posOffset>-4841240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E15" w:rsidRDefault="003A7E1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979" w:rsidRDefault="00DE5979">
      <w:pPr>
        <w:spacing w:after="0" w:line="240" w:lineRule="auto"/>
      </w:pPr>
      <w:r>
        <w:separator/>
      </w:r>
    </w:p>
  </w:footnote>
  <w:footnote w:type="continuationSeparator" w:id="0">
    <w:p w:rsidR="00DE5979" w:rsidRDefault="00DE5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3A7E15">
          <w:rPr>
            <w:noProof/>
          </w:rPr>
          <w:t>8</w:t>
        </w:r>
        <w:r>
          <w:fldChar w:fldCharType="end"/>
        </w:r>
      </w:p>
    </w:sdtContent>
  </w:sdt>
  <w:p w:rsidR="00126798" w:rsidRDefault="003A7E15">
    <w:pPr>
      <w:pStyle w:val="Encabezado"/>
    </w:pPr>
    <w:bookmarkStart w:id="0" w:name="_GoBack"/>
    <w:r>
      <w:rPr>
        <w:noProof/>
        <w:lang w:val="es-MX" w:eastAsia="es-MX"/>
      </w:rPr>
      <w:drawing>
        <wp:anchor distT="0" distB="0" distL="114300" distR="114300" simplePos="0" relativeHeight="251670528" behindDoc="0" locked="0" layoutInCell="1" allowOverlap="1" wp14:anchorId="47F5CB7E" wp14:editId="3B8C8D1F">
          <wp:simplePos x="0" y="0"/>
          <wp:positionH relativeFrom="column">
            <wp:posOffset>5485384</wp:posOffset>
          </wp:positionH>
          <wp:positionV relativeFrom="paragraph">
            <wp:posOffset>2471039</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3A7E15">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2336" behindDoc="0" locked="0" layoutInCell="1" allowOverlap="1" wp14:anchorId="722C8110" wp14:editId="3060359B">
          <wp:simplePos x="0" y="0"/>
          <wp:positionH relativeFrom="page">
            <wp:posOffset>492346</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3120" behindDoc="1" locked="0" layoutInCell="1" allowOverlap="1" wp14:anchorId="75F53945" wp14:editId="5BA3149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E15" w:rsidRDefault="003A7E1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3"/>
  </w:num>
  <w:num w:numId="11">
    <w:abstractNumId w:val="14"/>
  </w:num>
  <w:num w:numId="12">
    <w:abstractNumId w:val="10"/>
  </w:num>
  <w:num w:numId="13">
    <w:abstractNumId w:val="1"/>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4111"/>
    <w:rsid w:val="00056951"/>
    <w:rsid w:val="00057817"/>
    <w:rsid w:val="000616B5"/>
    <w:rsid w:val="00064E52"/>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1E64"/>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477E1"/>
    <w:rsid w:val="00151B8F"/>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2718B"/>
    <w:rsid w:val="0023003B"/>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71C9"/>
    <w:rsid w:val="002805AC"/>
    <w:rsid w:val="00283967"/>
    <w:rsid w:val="00283B3F"/>
    <w:rsid w:val="002844AF"/>
    <w:rsid w:val="002850D8"/>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1794A"/>
    <w:rsid w:val="00322320"/>
    <w:rsid w:val="003253CA"/>
    <w:rsid w:val="0032557A"/>
    <w:rsid w:val="00331836"/>
    <w:rsid w:val="0033332B"/>
    <w:rsid w:val="0033426E"/>
    <w:rsid w:val="00337583"/>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A7E15"/>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2A51"/>
    <w:rsid w:val="004138D3"/>
    <w:rsid w:val="0041496A"/>
    <w:rsid w:val="00421FF6"/>
    <w:rsid w:val="00431B28"/>
    <w:rsid w:val="00434134"/>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A3F"/>
    <w:rsid w:val="00586BC3"/>
    <w:rsid w:val="00593333"/>
    <w:rsid w:val="00594E64"/>
    <w:rsid w:val="005A3A1D"/>
    <w:rsid w:val="005A493F"/>
    <w:rsid w:val="005B0BFE"/>
    <w:rsid w:val="005B2365"/>
    <w:rsid w:val="005C0B46"/>
    <w:rsid w:val="005C13C6"/>
    <w:rsid w:val="005C1925"/>
    <w:rsid w:val="005C20AB"/>
    <w:rsid w:val="005C414F"/>
    <w:rsid w:val="005C4862"/>
    <w:rsid w:val="005C7C2F"/>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CE0"/>
    <w:rsid w:val="00637FFB"/>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3A4C"/>
    <w:rsid w:val="0066613F"/>
    <w:rsid w:val="00671FE2"/>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4310"/>
    <w:rsid w:val="006D7154"/>
    <w:rsid w:val="006E43D3"/>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274D"/>
    <w:rsid w:val="00737021"/>
    <w:rsid w:val="007372AF"/>
    <w:rsid w:val="007402AF"/>
    <w:rsid w:val="007410D8"/>
    <w:rsid w:val="00747AB7"/>
    <w:rsid w:val="0075258C"/>
    <w:rsid w:val="00752909"/>
    <w:rsid w:val="00752B02"/>
    <w:rsid w:val="0076073E"/>
    <w:rsid w:val="00766389"/>
    <w:rsid w:val="00773CB1"/>
    <w:rsid w:val="007758EE"/>
    <w:rsid w:val="007806D4"/>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0CA9"/>
    <w:rsid w:val="0084114B"/>
    <w:rsid w:val="00841CA9"/>
    <w:rsid w:val="0084346F"/>
    <w:rsid w:val="00855650"/>
    <w:rsid w:val="00856BCA"/>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98C"/>
    <w:rsid w:val="008B4EBC"/>
    <w:rsid w:val="008C0506"/>
    <w:rsid w:val="008C264F"/>
    <w:rsid w:val="008C380D"/>
    <w:rsid w:val="008C508D"/>
    <w:rsid w:val="008D04B8"/>
    <w:rsid w:val="008D0A98"/>
    <w:rsid w:val="008D1236"/>
    <w:rsid w:val="008D2AB2"/>
    <w:rsid w:val="008D3309"/>
    <w:rsid w:val="008D4C0A"/>
    <w:rsid w:val="008E0B92"/>
    <w:rsid w:val="008E1D54"/>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52ED"/>
    <w:rsid w:val="0093625A"/>
    <w:rsid w:val="0093721A"/>
    <w:rsid w:val="00941288"/>
    <w:rsid w:val="0094607A"/>
    <w:rsid w:val="00947785"/>
    <w:rsid w:val="00947C09"/>
    <w:rsid w:val="00950E1F"/>
    <w:rsid w:val="00952B54"/>
    <w:rsid w:val="009539C5"/>
    <w:rsid w:val="00953B09"/>
    <w:rsid w:val="009541DD"/>
    <w:rsid w:val="00956CD1"/>
    <w:rsid w:val="00964A87"/>
    <w:rsid w:val="00965F01"/>
    <w:rsid w:val="009678B3"/>
    <w:rsid w:val="00975A6B"/>
    <w:rsid w:val="0097768E"/>
    <w:rsid w:val="0098214A"/>
    <w:rsid w:val="009827C5"/>
    <w:rsid w:val="00983201"/>
    <w:rsid w:val="0098391F"/>
    <w:rsid w:val="00985C5D"/>
    <w:rsid w:val="00987537"/>
    <w:rsid w:val="00990B55"/>
    <w:rsid w:val="00993E24"/>
    <w:rsid w:val="00995EC7"/>
    <w:rsid w:val="00997F96"/>
    <w:rsid w:val="009A33AC"/>
    <w:rsid w:val="009A33BE"/>
    <w:rsid w:val="009A5AE2"/>
    <w:rsid w:val="009A5D8D"/>
    <w:rsid w:val="009A6799"/>
    <w:rsid w:val="009B0D95"/>
    <w:rsid w:val="009B1106"/>
    <w:rsid w:val="009B1EAF"/>
    <w:rsid w:val="009B38C8"/>
    <w:rsid w:val="009B3FAA"/>
    <w:rsid w:val="009C0C37"/>
    <w:rsid w:val="009C4221"/>
    <w:rsid w:val="009C7EE8"/>
    <w:rsid w:val="009D41D4"/>
    <w:rsid w:val="009D7058"/>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41DA"/>
    <w:rsid w:val="00A442A4"/>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AF4022"/>
    <w:rsid w:val="00AF7779"/>
    <w:rsid w:val="00B029C5"/>
    <w:rsid w:val="00B03486"/>
    <w:rsid w:val="00B049EC"/>
    <w:rsid w:val="00B04DD6"/>
    <w:rsid w:val="00B10264"/>
    <w:rsid w:val="00B10FF6"/>
    <w:rsid w:val="00B1212B"/>
    <w:rsid w:val="00B177F2"/>
    <w:rsid w:val="00B17D70"/>
    <w:rsid w:val="00B233DD"/>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06"/>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1E1C"/>
    <w:rsid w:val="00CE50AD"/>
    <w:rsid w:val="00CE56E7"/>
    <w:rsid w:val="00CE794B"/>
    <w:rsid w:val="00CF00CE"/>
    <w:rsid w:val="00CF4F47"/>
    <w:rsid w:val="00CF6971"/>
    <w:rsid w:val="00D00AC1"/>
    <w:rsid w:val="00D014AF"/>
    <w:rsid w:val="00D029BE"/>
    <w:rsid w:val="00D10175"/>
    <w:rsid w:val="00D106BB"/>
    <w:rsid w:val="00D10D2E"/>
    <w:rsid w:val="00D13B55"/>
    <w:rsid w:val="00D1634F"/>
    <w:rsid w:val="00D16547"/>
    <w:rsid w:val="00D17636"/>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E5979"/>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13F0"/>
    <w:rsid w:val="00E56D9B"/>
    <w:rsid w:val="00E604BE"/>
    <w:rsid w:val="00E618BF"/>
    <w:rsid w:val="00E61CDE"/>
    <w:rsid w:val="00E65BDB"/>
    <w:rsid w:val="00E67D3C"/>
    <w:rsid w:val="00E7006D"/>
    <w:rsid w:val="00E701CD"/>
    <w:rsid w:val="00E72FFF"/>
    <w:rsid w:val="00E73B25"/>
    <w:rsid w:val="00E759A2"/>
    <w:rsid w:val="00E75BB5"/>
    <w:rsid w:val="00E760B5"/>
    <w:rsid w:val="00E83450"/>
    <w:rsid w:val="00E86739"/>
    <w:rsid w:val="00E90E54"/>
    <w:rsid w:val="00E92A73"/>
    <w:rsid w:val="00E93880"/>
    <w:rsid w:val="00E9445B"/>
    <w:rsid w:val="00E94929"/>
    <w:rsid w:val="00E94FF3"/>
    <w:rsid w:val="00E9514D"/>
    <w:rsid w:val="00E97B99"/>
    <w:rsid w:val="00EA1731"/>
    <w:rsid w:val="00EA2806"/>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DE0"/>
    <w:rsid w:val="00F053FC"/>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334"/>
    <w:rsid w:val="00F95C7C"/>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7CB"/>
    <w:rsid w:val="00FE0F7D"/>
    <w:rsid w:val="00FE0F9D"/>
    <w:rsid w:val="00FE0FB1"/>
    <w:rsid w:val="00FE26E3"/>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681556C7-D870-432F-9930-DC21AA2C1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0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corte5transcripcion">
    <w:name w:val="corte5 transcripcion"/>
    <w:basedOn w:val="Normal"/>
    <w:link w:val="corte5transcripcionCar"/>
    <w:qFormat/>
    <w:rsid w:val="002850D8"/>
    <w:pPr>
      <w:spacing w:after="0" w:line="360" w:lineRule="auto"/>
      <w:ind w:left="709" w:right="709"/>
      <w:jc w:val="both"/>
    </w:pPr>
    <w:rPr>
      <w:rFonts w:ascii="Arial" w:eastAsia="Times New Roman" w:hAnsi="Arial" w:cs="Times New Roman"/>
      <w:b/>
      <w:i/>
      <w:sz w:val="30"/>
      <w:szCs w:val="20"/>
      <w:lang w:val="es-MX" w:eastAsia="es-MX"/>
    </w:rPr>
  </w:style>
  <w:style w:type="character" w:customStyle="1" w:styleId="corte5transcripcionCar">
    <w:name w:val="corte5 transcripcion Car"/>
    <w:link w:val="corte5transcripcion"/>
    <w:locked/>
    <w:rsid w:val="002850D8"/>
    <w:rPr>
      <w:rFonts w:ascii="Arial" w:eastAsia="Times New Roman" w:hAnsi="Arial" w:cs="Times New Roman"/>
      <w:b/>
      <w:i/>
      <w:sz w:val="3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1449394362">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9E118-84D7-41FC-984A-130746771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2846</Words>
  <Characters>15655</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19</cp:revision>
  <cp:lastPrinted>2019-01-24T21:57:00Z</cp:lastPrinted>
  <dcterms:created xsi:type="dcterms:W3CDTF">2019-01-24T21:58:00Z</dcterms:created>
  <dcterms:modified xsi:type="dcterms:W3CDTF">2019-04-08T19:18:00Z</dcterms:modified>
</cp:coreProperties>
</file>